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8C050" w14:textId="77777777" w:rsidR="008C2C1C" w:rsidRDefault="008C2C1C" w:rsidP="008C2C1C">
      <w:pPr>
        <w:jc w:val="center"/>
        <w:rPr>
          <w:rFonts w:asciiTheme="majorBidi" w:hAnsiTheme="majorBidi" w:cstheme="majorBidi"/>
          <w:b/>
          <w:bCs/>
          <w:color w:val="000000" w:themeColor="text1"/>
          <w:sz w:val="28"/>
          <w:szCs w:val="28"/>
          <w:lang w:val="en-US"/>
        </w:rPr>
      </w:pPr>
      <w:bookmarkStart w:id="0" w:name="_Hlk168404379"/>
      <w:bookmarkStart w:id="1" w:name="_Hlk154500843"/>
      <w:r>
        <w:rPr>
          <w:rFonts w:asciiTheme="majorBidi" w:hAnsiTheme="majorBidi" w:cstheme="majorBidi"/>
          <w:b/>
          <w:bCs/>
          <w:color w:val="000000" w:themeColor="text1"/>
          <w:sz w:val="28"/>
          <w:szCs w:val="28"/>
          <w:lang w:val="en-US"/>
        </w:rPr>
        <w:t xml:space="preserve">Institutional quality and firms’ recycling performance </w:t>
      </w:r>
    </w:p>
    <w:p w14:paraId="3C367DCD" w14:textId="77777777" w:rsidR="008C2C1C" w:rsidRDefault="008C2C1C" w:rsidP="008C2C1C">
      <w:pPr>
        <w:jc w:val="center"/>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 xml:space="preserve"> </w:t>
      </w:r>
    </w:p>
    <w:p w14:paraId="1184F8EB" w14:textId="77777777" w:rsidR="008C2C1C" w:rsidRDefault="008C2C1C" w:rsidP="008C2C1C">
      <w:pPr>
        <w:spacing w:line="240" w:lineRule="auto"/>
        <w:jc w:val="center"/>
        <w:rPr>
          <w:rFonts w:asciiTheme="majorBidi" w:hAnsiTheme="majorBidi" w:cstheme="majorBidi"/>
          <w:b/>
          <w:color w:val="000000" w:themeColor="text1"/>
          <w:sz w:val="24"/>
          <w:szCs w:val="24"/>
          <w:vertAlign w:val="superscript"/>
          <w:lang w:val="en-US"/>
        </w:rPr>
      </w:pPr>
      <w:r>
        <w:rPr>
          <w:rFonts w:asciiTheme="majorBidi" w:hAnsiTheme="majorBidi" w:cstheme="majorBidi"/>
          <w:b/>
          <w:color w:val="000000" w:themeColor="text1"/>
          <w:sz w:val="24"/>
          <w:szCs w:val="24"/>
          <w:lang w:val="en-US"/>
        </w:rPr>
        <w:t>Nicolae Stef</w:t>
      </w:r>
      <w:r>
        <w:rPr>
          <w:rFonts w:asciiTheme="majorBidi" w:hAnsiTheme="majorBidi" w:cstheme="majorBidi"/>
          <w:bCs/>
          <w:color w:val="000000" w:themeColor="text1"/>
          <w:sz w:val="24"/>
          <w:szCs w:val="24"/>
          <w:vertAlign w:val="superscript"/>
          <w:lang w:val="en-US"/>
        </w:rPr>
        <w:t>a</w:t>
      </w:r>
    </w:p>
    <w:p w14:paraId="354E01E0" w14:textId="77777777" w:rsidR="008C2C1C" w:rsidRDefault="008C2C1C" w:rsidP="008C2C1C">
      <w:pPr>
        <w:spacing w:line="24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vertAlign w:val="superscript"/>
          <w:lang w:val="en-US"/>
        </w:rPr>
        <w:t>a</w:t>
      </w:r>
      <w:r>
        <w:rPr>
          <w:rFonts w:asciiTheme="majorBidi" w:hAnsiTheme="majorBidi" w:cstheme="majorBidi"/>
          <w:color w:val="000000" w:themeColor="text1"/>
          <w:sz w:val="24"/>
          <w:szCs w:val="24"/>
          <w:lang w:val="en-US"/>
        </w:rPr>
        <w:t xml:space="preserve">Université Bourgogne Europe, Burgundy School of Business, CEREN EA 7477, 21000 Dijon, France. E-mail: </w:t>
      </w:r>
      <w:hyperlink r:id="rId10" w:history="1">
        <w:r>
          <w:rPr>
            <w:rStyle w:val="Hyperlink"/>
            <w:rFonts w:asciiTheme="majorBidi" w:hAnsiTheme="majorBidi" w:cstheme="majorBidi"/>
            <w:sz w:val="24"/>
            <w:szCs w:val="24"/>
            <w:lang w:val="en-US"/>
          </w:rPr>
          <w:t>nicolae.stef@bsb-education.com</w:t>
        </w:r>
      </w:hyperlink>
    </w:p>
    <w:p w14:paraId="0CAAB230"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ORCID : 0000-0001-9471-4669</w:t>
      </w:r>
    </w:p>
    <w:p w14:paraId="0B829DAD" w14:textId="77777777" w:rsidR="008C2C1C" w:rsidRDefault="008C2C1C" w:rsidP="008C2C1C">
      <w:pPr>
        <w:spacing w:line="240" w:lineRule="auto"/>
        <w:jc w:val="center"/>
        <w:rPr>
          <w:rFonts w:asciiTheme="majorBidi" w:hAnsiTheme="majorBidi" w:cstheme="majorBidi"/>
          <w:color w:val="000000" w:themeColor="text1"/>
          <w:sz w:val="24"/>
          <w:szCs w:val="24"/>
          <w:lang w:val="en-US"/>
        </w:rPr>
      </w:pPr>
    </w:p>
    <w:p w14:paraId="2CE7BF34" w14:textId="77777777" w:rsidR="008C2C1C" w:rsidRDefault="008C2C1C" w:rsidP="008C2C1C">
      <w:pPr>
        <w:spacing w:line="240" w:lineRule="auto"/>
        <w:jc w:val="center"/>
        <w:rPr>
          <w:rStyle w:val="Hyperlink"/>
          <w:b/>
          <w:bCs/>
          <w:color w:val="000000" w:themeColor="text1"/>
          <w:u w:val="none"/>
          <w:vertAlign w:val="superscript"/>
        </w:rPr>
      </w:pPr>
      <w:r>
        <w:rPr>
          <w:rStyle w:val="Hyperlink"/>
          <w:rFonts w:asciiTheme="majorBidi" w:hAnsiTheme="majorBidi" w:cstheme="majorBidi"/>
          <w:b/>
          <w:bCs/>
          <w:color w:val="000000" w:themeColor="text1"/>
          <w:sz w:val="24"/>
          <w:szCs w:val="24"/>
          <w:lang w:val="en-US"/>
        </w:rPr>
        <w:t>Nabila Arfaoui</w:t>
      </w:r>
      <w:r>
        <w:rPr>
          <w:rStyle w:val="Hyperlink"/>
          <w:rFonts w:asciiTheme="majorBidi" w:hAnsiTheme="majorBidi" w:cstheme="majorBidi"/>
          <w:color w:val="000000" w:themeColor="text1"/>
          <w:sz w:val="24"/>
          <w:szCs w:val="24"/>
          <w:vertAlign w:val="superscript"/>
          <w:lang w:val="en-US"/>
        </w:rPr>
        <w:t>b,c</w:t>
      </w:r>
    </w:p>
    <w:p w14:paraId="519F010F" w14:textId="77777777" w:rsidR="008C2C1C" w:rsidRDefault="008C2C1C" w:rsidP="008C2C1C">
      <w:pPr>
        <w:spacing w:line="240" w:lineRule="auto"/>
        <w:jc w:val="center"/>
      </w:pPr>
      <w:r>
        <w:rPr>
          <w:rFonts w:asciiTheme="majorBidi" w:hAnsiTheme="majorBidi" w:cstheme="majorBidi"/>
          <w:color w:val="000000" w:themeColor="text1"/>
          <w:sz w:val="24"/>
          <w:szCs w:val="24"/>
          <w:vertAlign w:val="superscript"/>
          <w:lang w:val="en-US"/>
        </w:rPr>
        <w:t>b</w:t>
      </w:r>
      <w:r>
        <w:rPr>
          <w:rFonts w:asciiTheme="majorBidi" w:hAnsiTheme="majorBidi" w:cstheme="majorBidi"/>
          <w:color w:val="000000" w:themeColor="text1"/>
          <w:sz w:val="24"/>
          <w:szCs w:val="24"/>
          <w:lang w:val="en-US"/>
        </w:rPr>
        <w:t>UCLy (Lyon Catholic University), ESDES, Lyon, France.</w:t>
      </w:r>
    </w:p>
    <w:p w14:paraId="5BF88E1D" w14:textId="77777777" w:rsidR="008C2C1C" w:rsidRDefault="008C2C1C" w:rsidP="008C2C1C">
      <w:pPr>
        <w:spacing w:line="240" w:lineRule="auto"/>
        <w:jc w:val="center"/>
        <w:rPr>
          <w:rStyle w:val="Hyperlink"/>
          <w:color w:val="000000" w:themeColor="text1"/>
        </w:rPr>
      </w:pPr>
      <w:r>
        <w:rPr>
          <w:rFonts w:asciiTheme="majorBidi" w:hAnsiTheme="majorBidi" w:cstheme="majorBidi"/>
          <w:color w:val="000000" w:themeColor="text1"/>
          <w:sz w:val="24"/>
          <w:szCs w:val="24"/>
          <w:vertAlign w:val="superscript"/>
          <w:lang w:val="en-US"/>
        </w:rPr>
        <w:t>c</w:t>
      </w:r>
      <w:r>
        <w:rPr>
          <w:rFonts w:asciiTheme="majorBidi" w:hAnsiTheme="majorBidi" w:cstheme="majorBidi"/>
          <w:color w:val="000000" w:themeColor="text1"/>
          <w:sz w:val="24"/>
          <w:szCs w:val="24"/>
          <w:lang w:val="en-US"/>
        </w:rPr>
        <w:t xml:space="preserve">UCLy (Lyon Catholic University), UR CONFLUENCE : Sciences et Humanités (EA1598), France. E-mail: </w:t>
      </w:r>
      <w:hyperlink r:id="rId11" w:history="1">
        <w:r>
          <w:rPr>
            <w:rStyle w:val="Hyperlink"/>
            <w:rFonts w:asciiTheme="majorBidi" w:hAnsiTheme="majorBidi" w:cstheme="majorBidi"/>
            <w:sz w:val="24"/>
            <w:szCs w:val="24"/>
            <w:lang w:val="en-US"/>
          </w:rPr>
          <w:t>narfaoui@univ-catholyon.fr</w:t>
        </w:r>
      </w:hyperlink>
    </w:p>
    <w:p w14:paraId="6970DD6D" w14:textId="77777777" w:rsidR="008C2C1C" w:rsidRDefault="008C2C1C" w:rsidP="008C2C1C">
      <w:pPr>
        <w:spacing w:line="240" w:lineRule="auto"/>
        <w:jc w:val="center"/>
        <w:rPr>
          <w:vertAlign w:val="superscript"/>
        </w:rPr>
      </w:pPr>
      <w:bookmarkStart w:id="2" w:name="_Hlk197242925"/>
      <w:r>
        <w:rPr>
          <w:rFonts w:asciiTheme="majorBidi" w:hAnsiTheme="majorBidi" w:cstheme="majorBidi"/>
          <w:b/>
          <w:bCs/>
          <w:color w:val="000000" w:themeColor="text1"/>
          <w:sz w:val="24"/>
          <w:szCs w:val="24"/>
          <w:lang w:val="en-US"/>
        </w:rPr>
        <w:t>Sami Ben Jabeur</w:t>
      </w:r>
      <w:r>
        <w:rPr>
          <w:rFonts w:asciiTheme="majorBidi" w:hAnsiTheme="majorBidi" w:cstheme="majorBidi"/>
          <w:color w:val="000000" w:themeColor="text1"/>
          <w:sz w:val="24"/>
          <w:szCs w:val="24"/>
          <w:vertAlign w:val="superscript"/>
          <w:lang w:val="en-US"/>
        </w:rPr>
        <w:t>b,c,*</w:t>
      </w:r>
    </w:p>
    <w:p w14:paraId="29EB9835"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vertAlign w:val="superscript"/>
          <w:lang w:val="en-US"/>
        </w:rPr>
        <w:t>b</w:t>
      </w:r>
      <w:r>
        <w:rPr>
          <w:rFonts w:asciiTheme="majorBidi" w:hAnsiTheme="majorBidi" w:cstheme="majorBidi"/>
          <w:color w:val="000000" w:themeColor="text1"/>
          <w:sz w:val="24"/>
          <w:szCs w:val="24"/>
          <w:lang w:val="en-US"/>
        </w:rPr>
        <w:t>UCLy (Lyon Catholic University), ESDES, Lyon, France.</w:t>
      </w:r>
    </w:p>
    <w:p w14:paraId="4E3AFB86"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vertAlign w:val="superscript"/>
          <w:lang w:val="en-US"/>
        </w:rPr>
        <w:t>c</w:t>
      </w:r>
      <w:r>
        <w:rPr>
          <w:rFonts w:asciiTheme="majorBidi" w:hAnsiTheme="majorBidi" w:cstheme="majorBidi"/>
          <w:color w:val="000000" w:themeColor="text1"/>
          <w:sz w:val="24"/>
          <w:szCs w:val="24"/>
          <w:lang w:val="en-US"/>
        </w:rPr>
        <w:t xml:space="preserve">UCLy (Lyon Catholic University), UR CONFLUENCE : Sciences et Humanités (EA1598), Lyon, France. E-mail: </w:t>
      </w:r>
      <w:hyperlink r:id="rId12" w:history="1">
        <w:r>
          <w:rPr>
            <w:rStyle w:val="Hyperlink"/>
            <w:rFonts w:asciiTheme="majorBidi" w:hAnsiTheme="majorBidi" w:cstheme="majorBidi"/>
            <w:sz w:val="24"/>
            <w:szCs w:val="24"/>
            <w:lang w:val="en-US"/>
          </w:rPr>
          <w:t>sbenjabeur@univ-catholyon.fr</w:t>
        </w:r>
      </w:hyperlink>
    </w:p>
    <w:p w14:paraId="47D02E74"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p>
    <w:p w14:paraId="1892EBC3"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ORCID : 0000-0002-9242-4913</w:t>
      </w:r>
    </w:p>
    <w:bookmarkEnd w:id="2"/>
    <w:p w14:paraId="576B6697"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US"/>
        </w:rPr>
      </w:pPr>
    </w:p>
    <w:p w14:paraId="4E4B8506" w14:textId="77777777" w:rsidR="008C2C1C" w:rsidRDefault="008C2C1C" w:rsidP="008C2C1C">
      <w:pPr>
        <w:tabs>
          <w:tab w:val="left" w:pos="5870"/>
        </w:tabs>
        <w:spacing w:after="0" w:line="240" w:lineRule="auto"/>
        <w:jc w:val="center"/>
        <w:rPr>
          <w:rFonts w:asciiTheme="majorBidi" w:hAnsiTheme="majorBidi" w:cstheme="majorBidi"/>
          <w:b/>
          <w:bCs/>
          <w:color w:val="000000" w:themeColor="text1"/>
          <w:sz w:val="24"/>
          <w:szCs w:val="24"/>
          <w:vertAlign w:val="superscript"/>
          <w:lang w:val="en-US"/>
        </w:rPr>
      </w:pPr>
      <w:r>
        <w:rPr>
          <w:rFonts w:asciiTheme="majorBidi" w:hAnsiTheme="majorBidi" w:cstheme="majorBidi"/>
          <w:b/>
          <w:bCs/>
          <w:color w:val="000000" w:themeColor="text1"/>
          <w:sz w:val="24"/>
          <w:szCs w:val="24"/>
          <w:lang w:val="en-US"/>
        </w:rPr>
        <w:t>Muhammad Ali Nasir</w:t>
      </w:r>
      <w:r>
        <w:rPr>
          <w:rFonts w:asciiTheme="majorBidi" w:hAnsiTheme="majorBidi" w:cstheme="majorBidi"/>
          <w:color w:val="000000" w:themeColor="text1"/>
          <w:sz w:val="24"/>
          <w:szCs w:val="24"/>
          <w:vertAlign w:val="superscript"/>
          <w:lang w:val="en-US"/>
        </w:rPr>
        <w:t>d, c</w:t>
      </w:r>
    </w:p>
    <w:p w14:paraId="423B0CAC"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vertAlign w:val="superscript"/>
          <w:lang w:val="en-GB"/>
        </w:rPr>
        <w:t>d</w:t>
      </w:r>
      <w:r>
        <w:rPr>
          <w:rFonts w:asciiTheme="majorBidi" w:hAnsiTheme="majorBidi" w:cstheme="majorBidi"/>
          <w:color w:val="000000" w:themeColor="text1"/>
          <w:sz w:val="24"/>
          <w:szCs w:val="24"/>
          <w:lang w:val="en-GB"/>
        </w:rPr>
        <w:t xml:space="preserve">Department of Economics, University of Leeds </w:t>
      </w:r>
    </w:p>
    <w:p w14:paraId="6E6205FD" w14:textId="77777777" w:rsidR="008C2C1C" w:rsidRDefault="008C2C1C" w:rsidP="008C2C1C">
      <w:pPr>
        <w:tabs>
          <w:tab w:val="left" w:pos="5870"/>
        </w:tabs>
        <w:spacing w:after="0" w:line="240"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vertAlign w:val="superscript"/>
          <w:lang w:val="en-GB"/>
        </w:rPr>
        <w:t>c</w:t>
      </w:r>
      <w:r>
        <w:rPr>
          <w:rFonts w:asciiTheme="majorBidi" w:hAnsiTheme="majorBidi" w:cstheme="majorBidi"/>
          <w:color w:val="000000" w:themeColor="text1"/>
          <w:sz w:val="24"/>
          <w:szCs w:val="24"/>
          <w:lang w:val="en-GB"/>
        </w:rPr>
        <w:t xml:space="preserve">Department of Land Economy, University of Cambridge, United Kingdom </w:t>
      </w:r>
    </w:p>
    <w:p w14:paraId="418C9D24" w14:textId="77777777" w:rsidR="008C2C1C" w:rsidRDefault="008C2C1C" w:rsidP="008C2C1C">
      <w:pPr>
        <w:tabs>
          <w:tab w:val="left" w:pos="5870"/>
        </w:tabs>
        <w:spacing w:after="0" w:line="240" w:lineRule="auto"/>
        <w:jc w:val="center"/>
        <w:rPr>
          <w:rFonts w:asciiTheme="majorBidi" w:hAnsiTheme="majorBidi" w:cstheme="majorBidi"/>
          <w:color w:val="0000FF"/>
          <w:sz w:val="24"/>
          <w:szCs w:val="24"/>
          <w:lang w:val="de-DE"/>
        </w:rPr>
      </w:pPr>
      <w:r>
        <w:rPr>
          <w:rFonts w:asciiTheme="majorBidi" w:hAnsiTheme="majorBidi" w:cstheme="majorBidi"/>
          <w:color w:val="000000" w:themeColor="text1"/>
          <w:sz w:val="24"/>
          <w:szCs w:val="24"/>
          <w:lang w:val="de-DE"/>
        </w:rPr>
        <w:t xml:space="preserve">E-mail: </w:t>
      </w:r>
      <w:hyperlink r:id="rId13" w:history="1">
        <w:r>
          <w:rPr>
            <w:rStyle w:val="Hyperlink"/>
            <w:rFonts w:asciiTheme="majorBidi" w:hAnsiTheme="majorBidi" w:cstheme="majorBidi"/>
            <w:sz w:val="24"/>
            <w:szCs w:val="24"/>
            <w:lang w:val="de-DE"/>
          </w:rPr>
          <w:t>m.a.nasir@leeds.ac.uk</w:t>
        </w:r>
      </w:hyperlink>
      <w:r>
        <w:rPr>
          <w:rFonts w:asciiTheme="majorBidi" w:hAnsiTheme="majorBidi" w:cstheme="majorBidi"/>
          <w:color w:val="0000FF"/>
          <w:sz w:val="24"/>
          <w:szCs w:val="24"/>
          <w:lang w:val="de-DE"/>
        </w:rPr>
        <w:t xml:space="preserve"> </w:t>
      </w:r>
    </w:p>
    <w:p w14:paraId="4A754D03" w14:textId="77777777" w:rsidR="008C2C1C" w:rsidRDefault="008C2C1C" w:rsidP="008C2C1C"/>
    <w:p w14:paraId="11184B41" w14:textId="77777777" w:rsidR="008C2C1C" w:rsidRDefault="008C2C1C" w:rsidP="008C2C1C">
      <w:pPr>
        <w:rPr>
          <w:lang w:val="en-US"/>
        </w:rPr>
      </w:pPr>
    </w:p>
    <w:p w14:paraId="6C0BA3F3" w14:textId="77777777" w:rsidR="008C2C1C" w:rsidRDefault="008C2C1C" w:rsidP="008C2C1C">
      <w:pPr>
        <w:jc w:val="both"/>
        <w:rPr>
          <w:rFonts w:ascii="Times New Roman" w:hAnsi="Times New Roman" w:cs="Times New Roman"/>
          <w:b/>
          <w:bCs/>
          <w:sz w:val="24"/>
          <w:szCs w:val="24"/>
          <w:lang w:val="en-US"/>
        </w:rPr>
      </w:pPr>
    </w:p>
    <w:p w14:paraId="159D88FB" w14:textId="77777777" w:rsidR="008C2C1C" w:rsidRDefault="008C2C1C" w:rsidP="008C2C1C">
      <w:pPr>
        <w:jc w:val="both"/>
        <w:rPr>
          <w:rFonts w:ascii="Times New Roman" w:hAnsi="Times New Roman" w:cs="Times New Roman"/>
          <w:sz w:val="24"/>
          <w:szCs w:val="24"/>
          <w:lang w:val="en-US"/>
        </w:rPr>
      </w:pPr>
      <w:r>
        <w:rPr>
          <w:rFonts w:ascii="Times New Roman" w:hAnsi="Times New Roman" w:cs="Times New Roman"/>
          <w:sz w:val="24"/>
          <w:szCs w:val="24"/>
          <w:lang w:val="en-US"/>
        </w:rPr>
        <w:t>*Corresponding au</w:t>
      </w:r>
      <w:bookmarkStart w:id="3" w:name="_GoBack"/>
      <w:bookmarkEnd w:id="3"/>
      <w:r>
        <w:rPr>
          <w:rFonts w:ascii="Times New Roman" w:hAnsi="Times New Roman" w:cs="Times New Roman"/>
          <w:sz w:val="24"/>
          <w:szCs w:val="24"/>
          <w:lang w:val="en-US"/>
        </w:rPr>
        <w:t>thor.</w:t>
      </w:r>
    </w:p>
    <w:p w14:paraId="0D69FF24" w14:textId="77777777" w:rsidR="008C2C1C" w:rsidRDefault="008C2C1C" w:rsidP="008C2C1C">
      <w:pPr>
        <w:jc w:val="both"/>
        <w:rPr>
          <w:rFonts w:ascii="Times New Roman" w:hAnsi="Times New Roman" w:cs="Times New Roman"/>
          <w:b/>
          <w:bCs/>
          <w:sz w:val="24"/>
          <w:szCs w:val="24"/>
          <w:lang w:val="en-US"/>
        </w:rPr>
      </w:pPr>
    </w:p>
    <w:p w14:paraId="579CC7A5" w14:textId="3CBF2E8F" w:rsidR="008C2C1C" w:rsidRDefault="008C2C1C" w:rsidP="008C2C1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Declaration of interests</w:t>
      </w:r>
    </w:p>
    <w:p w14:paraId="34A3E334" w14:textId="4A4862FE" w:rsidR="008C2C1C" w:rsidRDefault="008C2C1C" w:rsidP="008C2C1C">
      <w:pPr>
        <w:jc w:val="both"/>
        <w:rPr>
          <w:rFonts w:ascii="Times New Roman" w:hAnsi="Times New Roman" w:cs="Times New Roman"/>
          <w:sz w:val="24"/>
          <w:szCs w:val="24"/>
          <w:lang w:val="en-US"/>
        </w:rPr>
      </w:pPr>
      <w:r>
        <w:rPr>
          <w:rFonts w:ascii="Times New Roman" w:hAnsi="Times New Roman" w:cs="Times New Roman"/>
          <w:sz w:val="24"/>
          <w:szCs w:val="24"/>
          <w:lang w:val="en-US"/>
        </w:rPr>
        <w:t>The authors declare that they have no known competing financial interests or personal relationships that could have appeared to influence the work reported in this paper.</w:t>
      </w:r>
    </w:p>
    <w:p w14:paraId="0E5008B4" w14:textId="77777777" w:rsidR="008C2C1C" w:rsidRDefault="008C2C1C" w:rsidP="008C2C1C">
      <w:pPr>
        <w:jc w:val="both"/>
        <w:rPr>
          <w:rFonts w:ascii="Times New Roman" w:hAnsi="Times New Roman" w:cs="Times New Roman"/>
          <w:sz w:val="24"/>
          <w:szCs w:val="24"/>
          <w:lang w:val="en-US"/>
        </w:rPr>
      </w:pPr>
    </w:p>
    <w:p w14:paraId="78EDCDED" w14:textId="77777777" w:rsidR="008C2C1C" w:rsidRDefault="008C2C1C">
      <w:pPr>
        <w:spacing w:line="259" w:lineRule="auto"/>
        <w:rPr>
          <w:rFonts w:asciiTheme="majorBidi" w:hAnsiTheme="majorBidi" w:cstheme="majorBidi"/>
          <w:b/>
          <w:bCs/>
          <w:sz w:val="28"/>
          <w:szCs w:val="28"/>
          <w:lang w:val="en-GB"/>
        </w:rPr>
      </w:pPr>
      <w:r>
        <w:rPr>
          <w:rFonts w:asciiTheme="majorBidi" w:hAnsiTheme="majorBidi" w:cstheme="majorBidi"/>
          <w:b/>
          <w:bCs/>
          <w:sz w:val="28"/>
          <w:szCs w:val="28"/>
          <w:lang w:val="en-GB"/>
        </w:rPr>
        <w:br w:type="page"/>
      </w:r>
    </w:p>
    <w:p w14:paraId="7A28C129" w14:textId="4CEB461E" w:rsidR="00B21E5C" w:rsidRPr="00EE533D" w:rsidRDefault="00B21E5C" w:rsidP="00B21E5C">
      <w:pPr>
        <w:jc w:val="center"/>
        <w:rPr>
          <w:rFonts w:asciiTheme="majorBidi" w:hAnsiTheme="majorBidi" w:cstheme="majorBidi"/>
          <w:b/>
          <w:bCs/>
          <w:sz w:val="28"/>
          <w:szCs w:val="28"/>
          <w:lang w:val="en-GB"/>
        </w:rPr>
      </w:pPr>
      <w:r w:rsidRPr="00EE533D">
        <w:rPr>
          <w:rFonts w:asciiTheme="majorBidi" w:hAnsiTheme="majorBidi" w:cstheme="majorBidi"/>
          <w:b/>
          <w:bCs/>
          <w:sz w:val="28"/>
          <w:szCs w:val="28"/>
          <w:lang w:val="en-GB"/>
        </w:rPr>
        <w:t xml:space="preserve">Institutional quality and firms’ </w:t>
      </w:r>
      <w:bookmarkEnd w:id="0"/>
      <w:bookmarkEnd w:id="1"/>
      <w:r w:rsidRPr="00EE533D">
        <w:rPr>
          <w:rFonts w:asciiTheme="majorBidi" w:hAnsiTheme="majorBidi" w:cstheme="majorBidi"/>
          <w:b/>
          <w:bCs/>
          <w:sz w:val="28"/>
          <w:szCs w:val="28"/>
          <w:lang w:val="en-GB"/>
        </w:rPr>
        <w:t>recycling performance</w:t>
      </w:r>
    </w:p>
    <w:p w14:paraId="08872D45" w14:textId="77777777" w:rsidR="00B21E5C" w:rsidRPr="00EE533D" w:rsidRDefault="00B21E5C" w:rsidP="00B21E5C">
      <w:pPr>
        <w:rPr>
          <w:rFonts w:asciiTheme="majorBidi" w:hAnsiTheme="majorBidi" w:cstheme="majorBidi"/>
          <w:b/>
          <w:bCs/>
          <w:sz w:val="28"/>
          <w:szCs w:val="28"/>
          <w:lang w:val="en-GB"/>
        </w:rPr>
      </w:pPr>
    </w:p>
    <w:p w14:paraId="44E06EC8" w14:textId="77777777" w:rsidR="00B21E5C" w:rsidRPr="00EE533D" w:rsidRDefault="00B21E5C" w:rsidP="00B21E5C">
      <w:pPr>
        <w:autoSpaceDE w:val="0"/>
        <w:autoSpaceDN w:val="0"/>
        <w:adjustRightInd w:val="0"/>
        <w:spacing w:after="0" w:line="240" w:lineRule="auto"/>
        <w:jc w:val="both"/>
        <w:rPr>
          <w:rFonts w:asciiTheme="majorBidi" w:hAnsiTheme="majorBidi" w:cstheme="majorBidi"/>
          <w:sz w:val="24"/>
          <w:szCs w:val="24"/>
          <w:lang w:val="en-GB"/>
        </w:rPr>
      </w:pPr>
      <w:r w:rsidRPr="00EE533D">
        <w:rPr>
          <w:rFonts w:asciiTheme="majorBidi" w:hAnsiTheme="majorBidi" w:cstheme="majorBidi"/>
          <w:b/>
          <w:bCs/>
          <w:noProof/>
          <w:sz w:val="24"/>
          <w:szCs w:val="24"/>
          <w:lang w:val="en-GB"/>
        </w:rPr>
        <w:t xml:space="preserve">Abstract: </w:t>
      </w:r>
    </w:p>
    <w:p w14:paraId="7106C9C4" w14:textId="77777777" w:rsidR="00B21E5C" w:rsidRPr="00EE533D" w:rsidRDefault="00B21E5C" w:rsidP="00B21E5C">
      <w:pPr>
        <w:autoSpaceDE w:val="0"/>
        <w:autoSpaceDN w:val="0"/>
        <w:adjustRightInd w:val="0"/>
        <w:spacing w:after="0" w:line="480" w:lineRule="auto"/>
        <w:jc w:val="both"/>
        <w:rPr>
          <w:rFonts w:ascii="Times New Roman" w:hAnsi="Times New Roman" w:cs="Times New Roman"/>
          <w:sz w:val="24"/>
          <w:szCs w:val="24"/>
          <w:lang w:val="en-GB"/>
        </w:rPr>
      </w:pPr>
    </w:p>
    <w:p w14:paraId="2C775F9D" w14:textId="44F5A381" w:rsidR="00B21E5C" w:rsidRPr="00EE533D" w:rsidRDefault="00B21E5C" w:rsidP="00B21E5C">
      <w:pPr>
        <w:autoSpaceDE w:val="0"/>
        <w:autoSpaceDN w:val="0"/>
        <w:adjustRightInd w:val="0"/>
        <w:spacing w:after="0" w:line="360" w:lineRule="auto"/>
        <w:ind w:firstLine="708"/>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The institutional environment can play a crucial part in the adoption of recycling practices by firms. Drawing on a sample of </w:t>
      </w:r>
      <w:r w:rsidRPr="00EE533D">
        <w:rPr>
          <w:rFonts w:ascii="Times New Roman" w:hAnsi="Times New Roman" w:cs="Times New Roman"/>
          <w:sz w:val="24"/>
          <w:szCs w:val="24"/>
          <w:lang w:val="en-GB"/>
        </w:rPr>
        <w:t>1</w:t>
      </w:r>
      <w:r w:rsidR="009A07FA" w:rsidRPr="00EE533D">
        <w:rPr>
          <w:rFonts w:ascii="Times New Roman" w:hAnsi="Times New Roman" w:cs="Times New Roman"/>
          <w:sz w:val="24"/>
          <w:szCs w:val="24"/>
          <w:lang w:val="en-GB"/>
        </w:rPr>
        <w:t>096</w:t>
      </w:r>
      <w:r w:rsidRPr="00EE533D">
        <w:rPr>
          <w:rFonts w:ascii="Times New Roman" w:hAnsi="Times New Roman" w:cs="Times New Roman"/>
          <w:sz w:val="24"/>
          <w:szCs w:val="24"/>
          <w:lang w:val="en-GB"/>
        </w:rPr>
        <w:t xml:space="preserve"> nonfinancial listed firms operating in 40 countries over the period 2012-</w:t>
      </w:r>
      <w:r w:rsidR="00854491" w:rsidRPr="00EE533D">
        <w:rPr>
          <w:rFonts w:ascii="Times New Roman" w:hAnsi="Times New Roman" w:cs="Times New Roman"/>
          <w:sz w:val="24"/>
          <w:szCs w:val="24"/>
          <w:lang w:val="en-GB"/>
        </w:rPr>
        <w:t>2024</w:t>
      </w:r>
      <w:r w:rsidRPr="00EE533D">
        <w:rPr>
          <w:rFonts w:ascii="Times New Roman" w:hAnsi="Times New Roman" w:cs="Times New Roman"/>
          <w:sz w:val="24"/>
          <w:szCs w:val="24"/>
          <w:lang w:val="en-GB"/>
        </w:rPr>
        <w:t>, our study inves</w:t>
      </w:r>
      <w:r w:rsidRPr="00EE533D">
        <w:rPr>
          <w:rFonts w:ascii="Times New Roman" w:hAnsi="Times New Roman" w:cs="Times New Roman"/>
          <w:sz w:val="24"/>
          <w:szCs w:val="24"/>
          <w:lang w:val="en-GB"/>
        </w:rPr>
        <w:lastRenderedPageBreak/>
        <w:t xml:space="preserve">tigates the effects of institutional stability (political stability and confidence in the rule of law) and institutional conduciveness (free and fair corporate governance, a liberal market and an effective administrative infrastructure) on corporate recycling performance. </w:t>
      </w:r>
      <w:r w:rsidRPr="00EE533D">
        <w:rPr>
          <w:rFonts w:asciiTheme="majorBidi" w:hAnsiTheme="majorBidi" w:cstheme="majorBidi"/>
          <w:sz w:val="24"/>
          <w:szCs w:val="24"/>
          <w:lang w:val="en-GB"/>
        </w:rPr>
        <w:t>Estimates reveal that</w:t>
      </w:r>
      <w:r w:rsidRPr="00EE533D">
        <w:rPr>
          <w:rFonts w:ascii="Times New Roman" w:hAnsi="Times New Roman" w:cs="Times New Roman"/>
          <w:sz w:val="24"/>
          <w:szCs w:val="24"/>
          <w:lang w:val="en-GB"/>
        </w:rPr>
        <w:t xml:space="preserve"> listed firms tend to recycle a larger proportion of their waste in countries </w:t>
      </w:r>
      <w:r w:rsidRPr="00EE533D">
        <w:rPr>
          <w:rFonts w:asciiTheme="majorBidi" w:hAnsiTheme="majorBidi" w:cstheme="majorBidi"/>
          <w:sz w:val="24"/>
          <w:szCs w:val="24"/>
          <w:lang w:val="en-GB"/>
        </w:rPr>
        <w:t>with a high level of political accountability that are</w:t>
      </w:r>
      <w:r w:rsidR="00775877" w:rsidRPr="00EE533D">
        <w:rPr>
          <w:rFonts w:asciiTheme="majorBidi" w:hAnsiTheme="majorBidi" w:cstheme="majorBidi"/>
          <w:sz w:val="24"/>
          <w:szCs w:val="24"/>
          <w:lang w:val="en-GB"/>
        </w:rPr>
        <w:t xml:space="preserve"> also</w:t>
      </w:r>
      <w:r w:rsidRPr="00EE533D">
        <w:rPr>
          <w:rFonts w:asciiTheme="majorBidi" w:hAnsiTheme="majorBidi" w:cstheme="majorBidi"/>
          <w:sz w:val="24"/>
          <w:szCs w:val="24"/>
          <w:lang w:val="en-GB"/>
        </w:rPr>
        <w:t xml:space="preserve"> politically </w:t>
      </w:r>
      <w:r w:rsidR="00775877" w:rsidRPr="00EE533D">
        <w:rPr>
          <w:rFonts w:asciiTheme="majorBidi" w:hAnsiTheme="majorBidi" w:cstheme="majorBidi"/>
          <w:sz w:val="24"/>
          <w:szCs w:val="24"/>
          <w:lang w:val="en-GB"/>
        </w:rPr>
        <w:t xml:space="preserve">more </w:t>
      </w:r>
      <w:r w:rsidRPr="00EE533D">
        <w:rPr>
          <w:rFonts w:asciiTheme="majorBidi" w:hAnsiTheme="majorBidi" w:cstheme="majorBidi"/>
          <w:sz w:val="24"/>
          <w:szCs w:val="24"/>
          <w:lang w:val="en-GB"/>
        </w:rPr>
        <w:t>stable</w:t>
      </w:r>
      <w:r w:rsidRPr="00EE533D">
        <w:rPr>
          <w:rFonts w:ascii="Times New Roman" w:hAnsi="Times New Roman" w:cs="Times New Roman"/>
          <w:sz w:val="24"/>
          <w:szCs w:val="24"/>
          <w:lang w:val="en-GB"/>
        </w:rPr>
        <w:t xml:space="preserve">. </w:t>
      </w:r>
      <w:r w:rsidRPr="00EE533D">
        <w:rPr>
          <w:rFonts w:asciiTheme="majorBidi" w:hAnsiTheme="majorBidi" w:cstheme="majorBidi"/>
          <w:sz w:val="24"/>
          <w:szCs w:val="24"/>
          <w:lang w:val="en-GB"/>
        </w:rPr>
        <w:t xml:space="preserve">In such countries, the voting power of citizens can put pressure on politicians </w:t>
      </w:r>
      <w:r w:rsidRPr="00EE533D">
        <w:rPr>
          <w:rFonts w:asciiTheme="majorBidi" w:hAnsiTheme="majorBidi" w:cstheme="majorBidi"/>
          <w:sz w:val="24"/>
          <w:szCs w:val="24"/>
          <w:lang w:val="en-GB"/>
        </w:rPr>
        <w:lastRenderedPageBreak/>
        <w:t xml:space="preserve">to monitor more effectively the waste management of large listed firms. Therefore, </w:t>
      </w:r>
      <w:r w:rsidRPr="00EE533D">
        <w:rPr>
          <w:rFonts w:ascii="Times New Roman" w:hAnsi="Times New Roman" w:cs="Times New Roman"/>
          <w:sz w:val="24"/>
          <w:szCs w:val="24"/>
          <w:lang w:val="en-GB"/>
        </w:rPr>
        <w:t>political actors can have a major role in increasing a firm’s level of recycled waste by providing a more predictable political agenda and by monitoring more effectively the ecological impact of firms.</w:t>
      </w:r>
    </w:p>
    <w:p w14:paraId="7A9BC3CD" w14:textId="77777777" w:rsidR="00B21E5C" w:rsidRPr="00EE533D" w:rsidRDefault="00B21E5C" w:rsidP="00B21E5C">
      <w:pPr>
        <w:autoSpaceDE w:val="0"/>
        <w:autoSpaceDN w:val="0"/>
        <w:adjustRightInd w:val="0"/>
        <w:spacing w:after="0" w:line="360" w:lineRule="auto"/>
        <w:ind w:firstLine="708"/>
        <w:jc w:val="both"/>
        <w:rPr>
          <w:rFonts w:ascii="Times New Roman" w:hAnsi="Times New Roman" w:cs="Times New Roman"/>
          <w:lang w:val="en-GB"/>
        </w:rPr>
      </w:pPr>
    </w:p>
    <w:p w14:paraId="44B39166" w14:textId="77777777" w:rsidR="00B21E5C" w:rsidRPr="00EE533D" w:rsidRDefault="00B21E5C" w:rsidP="00B21E5C">
      <w:pPr>
        <w:autoSpaceDE w:val="0"/>
        <w:autoSpaceDN w:val="0"/>
        <w:adjustRightInd w:val="0"/>
        <w:spacing w:after="0" w:line="240" w:lineRule="auto"/>
        <w:jc w:val="both"/>
        <w:rPr>
          <w:rFonts w:asciiTheme="majorBidi" w:hAnsiTheme="majorBidi" w:cstheme="majorBidi"/>
          <w:b/>
          <w:bCs/>
          <w:sz w:val="24"/>
          <w:szCs w:val="24"/>
          <w:lang w:val="en-GB"/>
        </w:rPr>
      </w:pPr>
    </w:p>
    <w:p w14:paraId="37DDCEB2" w14:textId="77777777" w:rsidR="00B21E5C" w:rsidRPr="00EE533D" w:rsidRDefault="00B21E5C" w:rsidP="00B21E5C">
      <w:pPr>
        <w:spacing w:line="240" w:lineRule="auto"/>
        <w:jc w:val="both"/>
        <w:rPr>
          <w:rFonts w:asciiTheme="majorBidi" w:hAnsiTheme="majorBidi" w:cstheme="majorBidi"/>
          <w:b/>
          <w:bCs/>
          <w:sz w:val="24"/>
          <w:szCs w:val="24"/>
          <w:lang w:val="en-GB"/>
        </w:rPr>
      </w:pPr>
      <w:r w:rsidRPr="00EE533D">
        <w:rPr>
          <w:rFonts w:asciiTheme="majorBidi" w:hAnsiTheme="majorBidi" w:cstheme="majorBidi"/>
          <w:b/>
          <w:bCs/>
          <w:sz w:val="24"/>
          <w:szCs w:val="24"/>
          <w:lang w:val="en-GB"/>
        </w:rPr>
        <w:t xml:space="preserve">Keywords: </w:t>
      </w:r>
      <w:r w:rsidRPr="00EE533D">
        <w:rPr>
          <w:rFonts w:asciiTheme="majorBidi" w:hAnsiTheme="majorBidi" w:cstheme="majorBidi"/>
          <w:sz w:val="24"/>
          <w:szCs w:val="24"/>
          <w:lang w:val="en-GB"/>
        </w:rPr>
        <w:t xml:space="preserve">Institutions; Firm; Recycled waste; Circular Economy; Climate Change </w:t>
      </w:r>
    </w:p>
    <w:p w14:paraId="534F57EE" w14:textId="77777777" w:rsidR="00B21E5C" w:rsidRPr="00EE533D" w:rsidRDefault="00B21E5C" w:rsidP="00B21E5C">
      <w:pPr>
        <w:spacing w:line="240" w:lineRule="auto"/>
        <w:jc w:val="both"/>
        <w:rPr>
          <w:rFonts w:asciiTheme="majorBidi" w:hAnsiTheme="majorBidi" w:cstheme="majorBidi"/>
          <w:sz w:val="24"/>
          <w:szCs w:val="24"/>
          <w:lang w:val="en-GB"/>
        </w:rPr>
      </w:pPr>
      <w:r w:rsidRPr="00EE533D">
        <w:rPr>
          <w:rFonts w:asciiTheme="majorBidi" w:hAnsiTheme="majorBidi" w:cstheme="majorBidi"/>
          <w:b/>
          <w:bCs/>
          <w:sz w:val="24"/>
          <w:szCs w:val="24"/>
          <w:lang w:val="en-GB"/>
        </w:rPr>
        <w:t xml:space="preserve">JEL codes: </w:t>
      </w:r>
      <w:r w:rsidRPr="00EE533D">
        <w:rPr>
          <w:rFonts w:asciiTheme="majorBidi" w:hAnsiTheme="majorBidi" w:cstheme="majorBidi"/>
          <w:sz w:val="24"/>
          <w:szCs w:val="24"/>
          <w:lang w:val="en-GB"/>
        </w:rPr>
        <w:t>Q54; G33</w:t>
      </w:r>
    </w:p>
    <w:p w14:paraId="3121ACA4" w14:textId="77777777" w:rsidR="00BE55BA" w:rsidRPr="00EE533D" w:rsidRDefault="00BE55BA" w:rsidP="00B21E5C">
      <w:pPr>
        <w:spacing w:line="240" w:lineRule="auto"/>
        <w:jc w:val="both"/>
        <w:rPr>
          <w:rFonts w:asciiTheme="majorBidi" w:hAnsiTheme="majorBidi" w:cstheme="majorBidi"/>
          <w:sz w:val="24"/>
          <w:szCs w:val="24"/>
          <w:lang w:val="en-GB"/>
        </w:rPr>
      </w:pPr>
    </w:p>
    <w:p w14:paraId="466FA0A6" w14:textId="77777777" w:rsidR="00BE55BA" w:rsidRPr="00EE533D" w:rsidRDefault="00BE55BA" w:rsidP="00B21E5C">
      <w:pPr>
        <w:spacing w:line="240" w:lineRule="auto"/>
        <w:jc w:val="both"/>
        <w:rPr>
          <w:rFonts w:asciiTheme="majorBidi" w:hAnsiTheme="majorBidi" w:cstheme="majorBidi"/>
          <w:sz w:val="24"/>
          <w:szCs w:val="24"/>
          <w:lang w:val="en-GB"/>
        </w:rPr>
      </w:pPr>
    </w:p>
    <w:p w14:paraId="2AFBEE86" w14:textId="77777777" w:rsidR="00BE55BA" w:rsidRPr="00EE533D" w:rsidRDefault="00BE55BA" w:rsidP="00B21E5C">
      <w:pPr>
        <w:spacing w:line="240" w:lineRule="auto"/>
        <w:jc w:val="both"/>
        <w:rPr>
          <w:rFonts w:asciiTheme="majorBidi" w:hAnsiTheme="majorBidi" w:cstheme="majorBidi"/>
          <w:sz w:val="24"/>
          <w:szCs w:val="24"/>
          <w:lang w:val="en-GB"/>
        </w:rPr>
      </w:pPr>
    </w:p>
    <w:p w14:paraId="2976596C" w14:textId="77777777" w:rsidR="00BE55BA" w:rsidRPr="00EE533D" w:rsidRDefault="00BE55BA" w:rsidP="00B21E5C">
      <w:pPr>
        <w:spacing w:line="240" w:lineRule="auto"/>
        <w:jc w:val="both"/>
        <w:rPr>
          <w:rFonts w:asciiTheme="majorBidi" w:hAnsiTheme="majorBidi" w:cstheme="majorBidi"/>
          <w:sz w:val="24"/>
          <w:szCs w:val="24"/>
          <w:lang w:val="en-GB"/>
        </w:rPr>
      </w:pPr>
    </w:p>
    <w:p w14:paraId="15B2F1AF" w14:textId="77777777" w:rsidR="00BE55BA" w:rsidRPr="00EE533D" w:rsidRDefault="00BE55BA" w:rsidP="00B21E5C">
      <w:pPr>
        <w:spacing w:line="240" w:lineRule="auto"/>
        <w:jc w:val="both"/>
        <w:rPr>
          <w:rFonts w:asciiTheme="majorBidi" w:hAnsiTheme="majorBidi" w:cstheme="majorBidi"/>
          <w:sz w:val="24"/>
          <w:szCs w:val="24"/>
          <w:lang w:val="en-GB"/>
        </w:rPr>
      </w:pPr>
    </w:p>
    <w:p w14:paraId="369BB610" w14:textId="77777777" w:rsidR="00BE55BA" w:rsidRPr="00EE533D" w:rsidRDefault="00BE55BA" w:rsidP="00B21E5C">
      <w:pPr>
        <w:spacing w:line="240" w:lineRule="auto"/>
        <w:jc w:val="both"/>
        <w:rPr>
          <w:rFonts w:asciiTheme="majorBidi" w:hAnsiTheme="majorBidi" w:cstheme="majorBidi"/>
          <w:sz w:val="24"/>
          <w:szCs w:val="24"/>
          <w:lang w:val="en-GB"/>
        </w:rPr>
      </w:pPr>
    </w:p>
    <w:p w14:paraId="536D188B" w14:textId="77777777" w:rsidR="00BE55BA" w:rsidRPr="00EE533D" w:rsidRDefault="00BE55BA" w:rsidP="00B21E5C">
      <w:pPr>
        <w:spacing w:line="240" w:lineRule="auto"/>
        <w:jc w:val="both"/>
        <w:rPr>
          <w:rFonts w:asciiTheme="majorBidi" w:hAnsiTheme="majorBidi" w:cstheme="majorBidi"/>
          <w:sz w:val="24"/>
          <w:szCs w:val="24"/>
          <w:lang w:val="en-GB"/>
        </w:rPr>
      </w:pPr>
    </w:p>
    <w:p w14:paraId="6D77D5A6" w14:textId="77777777" w:rsidR="00BE55BA" w:rsidRPr="00EE533D" w:rsidRDefault="00BE55BA" w:rsidP="00B21E5C">
      <w:pPr>
        <w:spacing w:line="240" w:lineRule="auto"/>
        <w:jc w:val="both"/>
        <w:rPr>
          <w:rFonts w:asciiTheme="majorBidi" w:hAnsiTheme="majorBidi" w:cstheme="majorBidi"/>
          <w:sz w:val="24"/>
          <w:szCs w:val="24"/>
          <w:lang w:val="en-GB"/>
        </w:rPr>
      </w:pPr>
    </w:p>
    <w:p w14:paraId="69F91252" w14:textId="77777777" w:rsidR="00BE55BA" w:rsidRPr="00EE533D" w:rsidRDefault="00BE55BA" w:rsidP="00B21E5C">
      <w:pPr>
        <w:spacing w:line="240" w:lineRule="auto"/>
        <w:jc w:val="both"/>
        <w:rPr>
          <w:rFonts w:asciiTheme="majorBidi" w:hAnsiTheme="majorBidi" w:cstheme="majorBidi"/>
          <w:sz w:val="24"/>
          <w:szCs w:val="24"/>
          <w:lang w:val="en-GB"/>
        </w:rPr>
      </w:pPr>
    </w:p>
    <w:p w14:paraId="3742BDC5" w14:textId="77777777" w:rsidR="00BE55BA" w:rsidRPr="00EE533D" w:rsidRDefault="00BE55BA" w:rsidP="00B21E5C">
      <w:pPr>
        <w:spacing w:line="240" w:lineRule="auto"/>
        <w:jc w:val="both"/>
        <w:rPr>
          <w:rFonts w:asciiTheme="majorBidi" w:hAnsiTheme="majorBidi" w:cstheme="majorBidi"/>
          <w:sz w:val="24"/>
          <w:szCs w:val="24"/>
          <w:lang w:val="en-GB"/>
        </w:rPr>
      </w:pPr>
    </w:p>
    <w:p w14:paraId="6B6B5EEA" w14:textId="77777777" w:rsidR="00BE55BA" w:rsidRPr="00EE533D" w:rsidRDefault="00BE55BA" w:rsidP="00B21E5C">
      <w:pPr>
        <w:spacing w:line="240" w:lineRule="auto"/>
        <w:jc w:val="both"/>
        <w:rPr>
          <w:rFonts w:asciiTheme="majorBidi" w:hAnsiTheme="majorBidi" w:cstheme="majorBidi"/>
          <w:sz w:val="24"/>
          <w:szCs w:val="24"/>
          <w:lang w:val="en-GB"/>
        </w:rPr>
      </w:pPr>
    </w:p>
    <w:p w14:paraId="5862AB5D" w14:textId="77777777" w:rsidR="00BE55BA" w:rsidRPr="00EE533D" w:rsidRDefault="00BE55BA" w:rsidP="00B21E5C">
      <w:pPr>
        <w:spacing w:line="240" w:lineRule="auto"/>
        <w:jc w:val="both"/>
        <w:rPr>
          <w:rFonts w:asciiTheme="majorBidi" w:hAnsiTheme="majorBidi" w:cstheme="majorBidi"/>
          <w:sz w:val="24"/>
          <w:szCs w:val="24"/>
          <w:lang w:val="en-GB"/>
        </w:rPr>
      </w:pPr>
    </w:p>
    <w:p w14:paraId="25ED3A6D" w14:textId="77777777" w:rsidR="00B21E5C" w:rsidRPr="00EE533D" w:rsidRDefault="00B21E5C" w:rsidP="00B21E5C">
      <w:pPr>
        <w:rPr>
          <w:rFonts w:ascii="Times New Roman" w:hAnsi="Times New Roman" w:cs="Times New Roman"/>
          <w:b/>
          <w:bCs/>
          <w:sz w:val="24"/>
          <w:szCs w:val="24"/>
          <w:lang w:val="en-GB"/>
        </w:rPr>
      </w:pPr>
    </w:p>
    <w:p w14:paraId="18E72FD5" w14:textId="77777777" w:rsidR="00B21E5C" w:rsidRPr="00EE533D" w:rsidRDefault="00B21E5C" w:rsidP="00B21E5C">
      <w:pPr>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lastRenderedPageBreak/>
        <w:t>1. Introduction</w:t>
      </w:r>
    </w:p>
    <w:p w14:paraId="7822B5BF" w14:textId="4F57D54F" w:rsidR="00B21E5C" w:rsidRPr="00EE533D" w:rsidRDefault="00B21E5C" w:rsidP="005F2695">
      <w:pPr>
        <w:spacing w:after="0" w:line="360" w:lineRule="auto"/>
        <w:ind w:firstLine="709"/>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The urgency of a transition to a net-zero and climate-resilient economy has never been more pronounced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{"citationID":"9UJGPv3D","properties":{"formattedCitation":"(Goworek et al. 2018)","plainCitation":"(Goworek et al. 2018)","dontUpdate":true,"noteIndex":0},"citationItems":[{"id":1377,"uris":["http://zotero.org/users/local/T7rqwO1Q/items/JGY6KHBM","http://zotero.org/users/8125408/items/JGY6KHBM"],"itemData":{"id":1377,"type":"article-journal","abstract":"Abstract This paper introduces the special issue of the British Journal of Management on ?Scaling Sustainability: Regulation and Resilience in Managerial Responses to Climate Change?, providing an overview of the key issues in scaling sustainability, comprising an analysis of the six papers in the special issue. We discuss the complex relationship between micro, meso and macro scales, in the context of organizations?, managers? and consumers? complicity in the creation and intensification of climate-changing conditions. In networking multiple sites into a ?global? scale, managers and organizations can lose sight of the situated, localized nature of the position from which they perform the global. We conclude that a key factor in the capacity and speed at which local actions can be scaled up is the connection of sustainability-related activities by intermediary organizations that can generate resonance between multiple sites through association or alliance, rather than imposing a single logic. Thus, more resilient approaches, which acknowledge the significance of the interconnection between scales, are required to effectively scale sustainability strategies upwards or downwards.","container-title":"British Journal of Management","DOI":"10.1111/1467-8551.12295","ISSN":"1045-3172","issue":"2","journalAbbreviation":"British Journal of Management","note":"publisher: John Wiley &amp; Sons, Ltd","page":"209-219","title":"Scaling Sustainability: Regulation and Resilience in Managerial Responses to Climate Change","volume":"29","author":[{"family":"Goworek","given":"Helen"},{"family":"Land","given":"Chris"},{"family":"Burt","given":"George"},{"family":"Zundel","given":"Mike"},{"family":"Saren","given":"Mike"},{"family":"Parker","given":"Martin"},{"family":"Lambe","given":"Brendan"}],"issued":{"date-parts":[["2018",4,1]]}}}],"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 xml:space="preserve">Goworek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2018</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{"citationID":"AfJFk1T7","properties":{"formattedCitation":"(Agrawal, Atasu, and \\uc0\\u220{}lk\\uc0\\u252{} 2021)","plainCitation":"(Agrawal, Atasu, and Ülkü 2021)","dontUpdate":true,"noteIndex":0},"citationItems":[{"id":1388,"uris":["http://zotero.org/users/local/T7rqwO1Q/items/8EILIKX5","http://zotero.org/users/8125408/items/8EILIKX5"],"itemData":{"id":1388,"type":"article-journal","abstract":"We investigate the economic and environmental implications of jointly implementing leasing and modularity, two prominent circular economy strategies, and their interaction. We develop a durable goods model to obtain insights for firms considering the use of these strategies. We first analyze the effect of adopting leasing on a firm’s product architecture choice. We find that a modular product architecture is more attractive under leasing only if off-lease products depreciate to a greater extent. We next analyze the effect of adopting a modular product architecture on the firm’s business model choice. We find that adopting a modular architecture can cause a leasing firm to switch to selling but will not lead a selling firm to switch to leasing. Building on these results, we show that leasing a modular product is preferred by the firm only under limited conditions (i.e., when production costs are low, off-lease products are in relatively better condition, and when there is a large difference between depreciation levels of different modules). Finally, we show that jointly implementing leasing and modularity can also lead to higher environmental impact than only adopting leasing or modularity in isolation.This paper was accepted by Vishal Gaur, operations management.","container-title":"Management Science","DOI":"10.1287/mnsc.2020.3829","issue":"11","note":"_eprint: https://doi.org/10.1287/mnsc.2020.3829","page":"6782-6802","title":"Leasing, Modularity, and the Circular Economy","volume":"67","author":[{"family":"Agrawal","given":"Vishal"},{"family":"Atasu","given":"Atalay"},{"family":"Ülkü","given":"Sezer"}],"issued":{"date-parts":[["2021"]]}}}],"schema":"https://github.com/citation-style-language/schema/raw/master/csl-citation.json"}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 xml:space="preserve">Agrawal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2021)</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The awareness about this urgency has risen at an exponential rate across the world. For instance, the World Bank released its first report on circular economy (CE) in 2022 pointing out that the current business approach of “take-make-waste” is unsustainable because the virgin resources extracted between 2000 and </w:t>
      </w:r>
      <w:r w:rsidRPr="00EE533D">
        <w:rPr>
          <w:rFonts w:ascii="Times New Roman" w:hAnsi="Times New Roman" w:cs="Times New Roman"/>
          <w:sz w:val="24"/>
          <w:szCs w:val="24"/>
          <w:lang w:val="en-GB"/>
        </w:rPr>
        <w:lastRenderedPageBreak/>
        <w:t xml:space="preserve">2015 represent more than half of the resources that were extracted in the last century (World Bank, 2022). </w:t>
      </w:r>
      <w:r w:rsidR="00C3098A" w:rsidRPr="00EE533D">
        <w:rPr>
          <w:rFonts w:asciiTheme="majorBidi" w:hAnsiTheme="majorBidi" w:cstheme="majorBidi"/>
          <w:sz w:val="24"/>
          <w:szCs w:val="24"/>
          <w:lang w:val="en-GB"/>
        </w:rPr>
        <w:t xml:space="preserve">According to </w:t>
      </w:r>
      <w:r w:rsidR="00863809" w:rsidRPr="00EE533D">
        <w:rPr>
          <w:rFonts w:asciiTheme="majorBidi" w:hAnsiTheme="majorBidi" w:cstheme="majorBidi"/>
          <w:sz w:val="24"/>
          <w:szCs w:val="24"/>
          <w:lang w:val="en-GB"/>
        </w:rPr>
        <w:t xml:space="preserve">the </w:t>
      </w:r>
      <w:r w:rsidR="00C3098A" w:rsidRPr="00EE533D">
        <w:rPr>
          <w:rFonts w:asciiTheme="majorBidi" w:hAnsiTheme="majorBidi" w:cstheme="majorBidi"/>
          <w:sz w:val="24"/>
          <w:szCs w:val="24"/>
          <w:lang w:val="en-GB"/>
        </w:rPr>
        <w:t xml:space="preserve">United Nations </w:t>
      </w:r>
      <w:r w:rsidR="004D5700" w:rsidRPr="00EE533D">
        <w:rPr>
          <w:rFonts w:asciiTheme="majorBidi" w:hAnsiTheme="majorBidi" w:cstheme="majorBidi"/>
          <w:sz w:val="24"/>
          <w:szCs w:val="24"/>
          <w:lang w:val="en-GB"/>
        </w:rPr>
        <w:t>Environment</w:t>
      </w:r>
      <w:r w:rsidR="00C3098A" w:rsidRPr="00EE533D">
        <w:rPr>
          <w:rFonts w:asciiTheme="majorBidi" w:hAnsiTheme="majorBidi" w:cstheme="majorBidi"/>
          <w:sz w:val="24"/>
          <w:szCs w:val="24"/>
          <w:lang w:val="en-GB"/>
        </w:rPr>
        <w:t xml:space="preserve"> Programme, circular economy solutions can enhance profitability and generate value not only for companies but also for their stakeholders and the financial sector, potentially unlocking up to USD 4.5 trillion in economic growth (UNEP, 2023). Additionally, the World Economic Forum (2025) reports that 65% of firms expect greater resilience through reduced </w:t>
      </w:r>
      <w:r w:rsidR="00C3098A" w:rsidRPr="00EE533D">
        <w:rPr>
          <w:rFonts w:asciiTheme="majorBidi" w:hAnsiTheme="majorBidi" w:cstheme="majorBidi"/>
          <w:sz w:val="24"/>
          <w:szCs w:val="24"/>
          <w:lang w:val="en-GB"/>
        </w:rPr>
        <w:lastRenderedPageBreak/>
        <w:t>dependence on scarce raw materials, extended product lifecycles, and simplified supply chains.</w:t>
      </w:r>
      <w:r w:rsidR="00CC1F59" w:rsidRPr="00EE533D">
        <w:rPr>
          <w:rFonts w:asciiTheme="majorBidi" w:hAnsiTheme="majorBidi" w:cstheme="majorBidi"/>
          <w:sz w:val="24"/>
          <w:szCs w:val="24"/>
          <w:lang w:val="en-GB"/>
        </w:rPr>
        <w:t xml:space="preserve"> Moreover, CE initiatives encourage the development of durable, repairable, and recyclable products. For example, the number of goods and services certified by the European Ecolabel rose from over 21,000 in 2010 to more than 83,500 in 2021</w:t>
      </w:r>
      <w:r w:rsidR="0023427F" w:rsidRPr="00EE533D">
        <w:rPr>
          <w:rFonts w:asciiTheme="majorBidi" w:hAnsiTheme="majorBidi" w:cstheme="majorBidi"/>
          <w:sz w:val="24"/>
          <w:szCs w:val="24"/>
          <w:lang w:val="en-GB"/>
        </w:rPr>
        <w:t xml:space="preserve">, as reported by the </w:t>
      </w:r>
      <w:r w:rsidR="004F4862" w:rsidRPr="00EE533D">
        <w:rPr>
          <w:rFonts w:asciiTheme="majorBidi" w:hAnsiTheme="majorBidi" w:cstheme="majorBidi"/>
          <w:sz w:val="24"/>
          <w:szCs w:val="24"/>
          <w:lang w:val="en-GB"/>
        </w:rPr>
        <w:t>European Environment Agency (EEA, 2023).</w:t>
      </w:r>
      <w:r w:rsidR="00CC1F59" w:rsidRPr="00EE533D">
        <w:rPr>
          <w:rFonts w:ascii="Times New Roman" w:hAnsi="Times New Roman" w:cs="Times New Roman"/>
          <w:sz w:val="24"/>
          <w:szCs w:val="24"/>
          <w:lang w:val="en-GB"/>
        </w:rPr>
        <w:t xml:space="preserve"> </w:t>
      </w:r>
      <w:r w:rsidR="00C3098A"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A solution to overcome this global issue resides in initiatives that can encourage firms to embrace circular models </w:t>
      </w:r>
      <w:r w:rsidRPr="00EE533D">
        <w:rPr>
          <w:rFonts w:ascii="Times New Roman" w:hAnsi="Times New Roman" w:cs="Times New Roman"/>
          <w:sz w:val="24"/>
          <w:szCs w:val="24"/>
          <w:lang w:val="en-GB"/>
        </w:rPr>
        <w:lastRenderedPageBreak/>
        <w:t>that can permit the conservation of resources, the reduction of the carbon footprint, the creation of new jobs</w:t>
      </w:r>
      <w:r w:rsidR="00A75F81"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and the maintenance of critical materials supply (European Investment Bank, 2023). In this regard,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{"citationID":"it3ofRw0","properties":{"formattedCitation":"(Ghisellini, Cialani &amp; Ulgiati, 2016)","plainCitation":"(Ghisellini, Cialani &amp; Ulgiati, 2016)","dontUpdate":true,"noteIndex":0},"citationItems":[{"id":1914,"uris":["http://zotero.org/users/8125408/items/IN47M32Q"],"itemData":{"id":1914,"type":"article-journal","container-title":"Journal of Cleaner production","note":"ISBN: 0959-6526\npublisher: Elsevier","page":"11-32","title":"A review on circular economy: the expected transition to a balanced interplay of environmental and economic systems","volume":"114","author":[{"family":"Ghisellini","given":"Patrizia"},{"family":"Cialani","given":"Catia"},{"family":"Ulgiati","given":"Sergio"}],"issued":{"date-parts":[["2016"]]}}}],"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 xml:space="preserve">Ghisellini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(2016)</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argue that CE aims to improve resource use efficiency by promoting the implementation of closing-the-loop production patterns that can reestablish the balance between the economic system, ecological system</w:t>
      </w:r>
      <w:r w:rsidR="0023427F"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and society. As pointed out by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{"citationID":"gzFvrmEX","properties":{"formattedCitation":"(Arranz, Sena &amp; Kwong, 2022a)","plainCitation":"(Arranz, Sena &amp; Kwong, 2022a)","dontUpdate":true,"noteIndex":0},"citationItems":[{"id":1905,"uris":["http://zotero.org/users/8125408/items/IH9PCNJK"],"itemData":{"id":1905,"type":"article-journal","abstract":"This paper investigates how institutional pressures affect the development of Circular Economy (CE) in firms. Using Institutional Entrepreneurship as a theoretical framework, this paper considers three different levels of institutional pressures (coercive, normative, and mimetic) to examine the effect of each pressure and their interactions on the development of CE. Seeking to clarify the debate on the effect of institutional pressures, this paper considers that the main limitation arises from the fact that previous research has analysed the relationship between institutional pressures without considering the interaction between them and the non-linearity of the processes. Deviating from previous papers, our analysis combines regression methods with Machine learning (i.e. Artificial Neural Networks), and employs data from the EU survey on Public Consultation on the Circular Economy. This research finds that while coercive pressures have a compulsory effect on the development of CE, mimetic and normative pressures do not have an effect by themselves, but only in interaction with coercive pressures. Moreover, this paper shows that the application of machine learning tools has an important contribution in solving interaction problems. From the perspective of environmental policy, this means that a comprehensive policy is required, which implies the coexistence or interaction of the three types of pressures.","container-title":"Journal of Cleaner Production","DOI":"https://doi.org/10.1016/j.jclepro.2022.131738","ISSN":"0959-6526","page":"131738","title":"Institutional pressures as drivers of circular economy in firms: A machine learning approach","volume":"355","author":[{"family":"Arranz","given":"Carlos F. A."},{"family":"Sena","given":"Vania"},{"family":"Kwong","given":"Caleb"}],"issued":{"date-parts":[["2022"]]}}}],"schema":"https://github.com/citation-style-language/schema/raw/master/csl-citation.json"}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Arranz, Sena &amp; Kwong (2022a)</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lastRenderedPageBreak/>
        <w:t xml:space="preserve">the growing importance of CE models is evident in the increasing emphasis placed on their implementation within firms and organizations. This trend is widely recognized and supported by various institutions, policymakers, and public administrations, as highlighted in the works of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{"citationID":"wxZnrwfI","properties":{"formattedCitation":"(Katz-Gerro &amp; L\\uc0\\u243{}pez Sintas, 2019)","plainCitation":"(Katz-Gerro &amp; López Sintas, 2019)","dontUpdate":true,"noteIndex":0},"citationItems":[{"id":1908,"uris":["http://zotero.org/users/8125408/items/9TCTUP8I"],"itemData":{"id":1908,"type":"article-journal","abstract":"Abstract With the European Commission looking for ways to incentivize the adoption of circular economy (CE) activities by small and medium-sized enterprises (SMEs) in the European Union (EU), further insights into the implementation of CE activities across member states are needed. We analyse a European Commission survey conducted in 2016 among approximately 11,000 firms in EU-28 member states in order to throw light on the conditions in which SMEs engage in five specific CE activities. In contrast to previous studies arguing that CE activities are independent of each other, we present novel findings demonstrating that seven patterns of engagement in CE can be identified in which activities are systematically interdependent. Further, we show that these patterns are associated with the organizational properties of SMEs and are differentially distributed among EU member states and industrial sectors. The interdependency of activities forms a hierarchy in which waste minimization is the most likely activity to be implemented in SMEs, followed, in descending order of likelihood, by replanning of energy use, redesigning products and services, and finally using renewable energy and replanning water usage. The findings have theoretical, managerial, and policy implications for the adoption of interdependent CE activities.","container-title":"Business Strategy and the Environment","DOI":"https://doi.org/10.1002/bse.2259","issue":"4","note":"_eprint: https://onlinelibrary.wiley.com/doi/pdf/10.1002/bse.2259","page":"485-496","title":"Mapping circular economy activities in the European Union: Patterns of implementation and their correlates in small and medium-sized enterprises","volume":"28","author":[{"family":"Katz-Gerro","given":"Tally"},{"family":"López Sintas","given":"Jordi"}],"issued":{"date-parts":[["2019"]]}}}],"schema":"https://github.com/citation-style-language/schema/raw/master/csl-citation.json"}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Katz-Gerro and López Sintas (2019)</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{"citationID":"AxPVJ4xg","properties":{"formattedCitation":"(Millar, McLaughlin &amp; B\\uc0\\u246{}rger, 2019)","plainCitation":"(Millar, McLaughlin &amp; Börger, 2019)","dontUpdate":true,"noteIndex":0},"citationItems":[{"id":1911,"uris":["http://zotero.org/users/8125408/items/8YGBXFHZ"],"itemData":{"id":1911,"type":"article-journal","abstract":"In the last few decades the Circular Economy has increasingly been advertised as an economic model that can replace the current “linear” economy whilst addressing the issues of environmental deterioration, social equity and long-term economic growth with the explicit suggestion that it can serve as a tool for Sustainable Development. However, despite the individual prominence of the Circular Economy and Sustainable Development in the academic and wider literature, the exact relationship between the two concepts has neither been thoroughly defined nor explored. The consequent result is various inconsistencies occurring across the literature regarding how the Circular Economy can serve as a tool for Sustainable Development and an incomplete understanding of how its long-term effects differ from those of the “linear” economy. A literature review was conducted to interpret the current conceptual relationship between the Circular Economy and Sustainable Development. The review highlights numerous challenges concerning conceptual definition, economic growth and implementation that inhibit the use of the Circular Economy as a tool for Sustainable Development in its current form. The review concludes by providing suggestions for how research concerning the Circular Economy should proceed if it is to provide a potential approach for achieving Sustainable Development.","container-title":"Ecological Economics","DOI":"https://doi.org/10.1016/j.ecolecon.2018.12.012","ISSN":"0921-8009","page":"11-19","title":"The Circular Economy: Swings and Roundabouts?","volume":"158","author":[{"family":"Millar","given":"Neal"},{"family":"McLaughlin","given":"Eoin"},{"family":"Börger","given":"Tobias"}],"issued":{"date-parts":[["2019"]]}}}],"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 xml:space="preserve">Millar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(2019)</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w:t>
      </w:r>
    </w:p>
    <w:p w14:paraId="5A07A5D3" w14:textId="143F743B" w:rsidR="00863809" w:rsidRPr="00EE533D" w:rsidRDefault="00BD7A10" w:rsidP="007360E9">
      <w:pPr>
        <w:autoSpaceDE w:val="0"/>
        <w:autoSpaceDN w:val="0"/>
        <w:adjustRightInd w:val="0"/>
        <w:spacing w:after="0" w:line="360" w:lineRule="auto"/>
        <w:ind w:firstLine="708"/>
        <w:jc w:val="both"/>
        <w:rPr>
          <w:rFonts w:ascii="Times New Roman" w:hAnsi="Times New Roman" w:cs="Times New Roman"/>
          <w:sz w:val="24"/>
          <w:szCs w:val="24"/>
          <w:lang w:val="en-GB"/>
        </w:rPr>
      </w:pPr>
      <w:bookmarkStart w:id="4" w:name="_Hlk197002560"/>
      <w:r w:rsidRPr="00EE533D">
        <w:rPr>
          <w:rFonts w:ascii="Times New Roman" w:hAnsi="Times New Roman" w:cs="Times New Roman"/>
          <w:sz w:val="24"/>
          <w:szCs w:val="24"/>
          <w:lang w:val="en-GB"/>
        </w:rPr>
        <w:t xml:space="preserve">Even if the CE has been identified as a reliable alternative to the current linear economic model, </w:t>
      </w:r>
      <w:r w:rsidRPr="00EE533D">
        <w:rPr>
          <w:rFonts w:ascii="Times New Roman" w:eastAsiaTheme="majorEastAsia" w:hAnsi="Times New Roman" w:cs="Times New Roman"/>
          <w:kern w:val="28"/>
          <w:sz w:val="24"/>
          <w:szCs w:val="24"/>
          <w:lang w:val="en-GB"/>
        </w:rPr>
        <w:t xml:space="preserve">it is still an ambiguous paradigm in the </w:t>
      </w:r>
      <w:r w:rsidRPr="00EE533D">
        <w:rPr>
          <w:rFonts w:ascii="Times New Roman" w:eastAsiaTheme="majorEastAsia" w:hAnsi="Times New Roman" w:cs="Times New Roman"/>
          <w:kern w:val="28"/>
          <w:sz w:val="24"/>
          <w:szCs w:val="24"/>
          <w:lang w:val="en-GB"/>
        </w:rPr>
        <w:lastRenderedPageBreak/>
        <w:t>field of sustainability (</w:t>
      </w:r>
      <w:r w:rsidRPr="00EE533D">
        <w:rPr>
          <w:rFonts w:ascii="Times New Roman" w:eastAsiaTheme="majorEastAsia" w:hAnsi="Times New Roman" w:cs="Times New Roman"/>
          <w:kern w:val="28"/>
          <w:sz w:val="24"/>
          <w:szCs w:val="24"/>
          <w:lang w:val="en-GB"/>
        </w:rPr>
        <w:fldChar w:fldCharType="begin"/>
      </w:r>
      <w:r w:rsidRPr="00EE533D">
        <w:rPr>
          <w:rFonts w:ascii="Times New Roman" w:eastAsiaTheme="majorEastAsia" w:hAnsi="Times New Roman" w:cs="Times New Roman"/>
          <w:kern w:val="28"/>
          <w:sz w:val="24"/>
          <w:szCs w:val="24"/>
          <w:lang w:val="en-GB"/>
        </w:rPr>
        <w:instrText xml:space="preserve"> ADDIN ZOTERO_ITEM CSL_CITATION {"citationID":"DRTjboDB","properties":{"formattedCitation":"(Geissdoerfer et al., 2017)","plainCitation":"(Geissdoerfer et al., 2017)","dontUpdate":true,"noteIndex":0},"citationItems":[{"id":2048,"uris":["http://zotero.org/users/8125408/items/N3ECIKUK"],"itemData":{"id":2048,"type":"article-journal","container-title":"Journal of cleaner production","ISSN":"0959-6526","journalAbbreviation":"Journal of cleaner production","note":"publisher: Elsevier","page":"757-768","title":"The Circular Economy–A new sustainability paradigm?","volume":"143","author":[{"family":"Geissdoerfer","given":"Martin"},{"family":"Savaget","given":"Paulo"},{"family":"Bocken","given":"Nancy MP"},{"family":"Hultink","given":"Erik Jan"}],"issued":{"date-parts":[["2017"]]}}}],"schema":"https://github.com/citation-style-language/schema/raw/master/csl-citation.json"} </w:instrText>
      </w:r>
      <w:r w:rsidRPr="00EE533D">
        <w:rPr>
          <w:rFonts w:ascii="Times New Roman" w:eastAsiaTheme="majorEastAsia" w:hAnsi="Times New Roman" w:cs="Times New Roman"/>
          <w:kern w:val="28"/>
          <w:sz w:val="24"/>
          <w:szCs w:val="24"/>
          <w:lang w:val="en-GB"/>
        </w:rPr>
        <w:fldChar w:fldCharType="separate"/>
      </w:r>
      <w:r w:rsidRPr="00EE533D">
        <w:rPr>
          <w:rFonts w:ascii="Times New Roman" w:hAnsi="Times New Roman" w:cs="Times New Roman"/>
          <w:sz w:val="24"/>
          <w:szCs w:val="24"/>
          <w:lang w:val="en-GB"/>
        </w:rPr>
        <w:t xml:space="preserve">Geissdoerfer </w:t>
      </w:r>
      <w:r w:rsidRPr="00EE533D">
        <w:rPr>
          <w:rFonts w:ascii="Times New Roman" w:hAnsi="Times New Roman" w:cs="Times New Roman"/>
          <w:i/>
          <w:iCs/>
          <w:sz w:val="24"/>
          <w:szCs w:val="24"/>
          <w:lang w:val="en-GB"/>
        </w:rPr>
        <w:t>et</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2017)</w:t>
      </w:r>
      <w:r w:rsidRPr="00EE533D">
        <w:rPr>
          <w:rFonts w:ascii="Times New Roman" w:eastAsiaTheme="majorEastAsia" w:hAnsi="Times New Roman" w:cs="Times New Roman"/>
          <w:kern w:val="28"/>
          <w:sz w:val="24"/>
          <w:szCs w:val="24"/>
          <w:lang w:val="en-GB"/>
        </w:rPr>
        <w:fldChar w:fldCharType="end"/>
      </w:r>
      <w:r w:rsidRPr="00EE533D">
        <w:rPr>
          <w:rFonts w:ascii="Times New Roman" w:eastAsiaTheme="majorEastAsia" w:hAnsi="Times New Roman" w:cs="Times New Roman"/>
          <w:kern w:val="28"/>
          <w:sz w:val="24"/>
          <w:szCs w:val="24"/>
          <w:lang w:val="en-GB"/>
        </w:rPr>
        <w:t xml:space="preserve">, in that multiple definitions and approaches have been suggested </w:t>
      </w:r>
      <w:r w:rsidRPr="00EE533D">
        <w:rPr>
          <w:rFonts w:ascii="Times New Roman" w:eastAsiaTheme="majorEastAsia" w:hAnsi="Times New Roman" w:cs="Times New Roman"/>
          <w:kern w:val="28"/>
          <w:sz w:val="24"/>
          <w:szCs w:val="24"/>
          <w:lang w:val="en-GB"/>
        </w:rPr>
        <w:fldChar w:fldCharType="begin"/>
      </w:r>
      <w:r w:rsidRPr="00EE533D">
        <w:rPr>
          <w:rFonts w:ascii="Times New Roman" w:eastAsiaTheme="majorEastAsia" w:hAnsi="Times New Roman" w:cs="Times New Roman"/>
          <w:kern w:val="28"/>
          <w:sz w:val="24"/>
          <w:szCs w:val="24"/>
          <w:lang w:val="en-GB"/>
        </w:rPr>
        <w:instrText xml:space="preserve"> ADDIN ZOTERO_ITEM CSL_CITATION {"citationID":"Lguu9zrZ","properties":{"formattedCitation":"(Kirchherr, Reike &amp; Hekkert, 2017)","plainCitation":"(Kirchherr, Reike &amp; Hekkert, 2017)","dontUpdate":true,"noteIndex":0},"citationItems":[{"id":2049,"uris":["http://zotero.org/users/8125408/items/FI7LTZNF"],"itemData":{"id":2049,"type":"article-journal","container-title":"Resources, conservation and recycling","ISSN":"0921-3449","journalAbbreviation":"Resources, conservation and recycling","note":"publisher: Elsevier","page":"221-232","title":"Conceptualizing the circular economy: An analysis of 114 definitions","volume":"127","author":[{"family":"Kirchherr","given":"Julian"},{"family":"Reike","given":"Denise"},{"family":"Hekkert","given":"Marko"}],"issued":{"date-parts":[["2017"]]}}}],"schema":"https://github.com/citation-style-language/schema/raw/master/csl-citation.json"} </w:instrText>
      </w:r>
      <w:r w:rsidRPr="00EE533D">
        <w:rPr>
          <w:rFonts w:ascii="Times New Roman" w:eastAsiaTheme="majorEastAsia" w:hAnsi="Times New Roman" w:cs="Times New Roman"/>
          <w:kern w:val="28"/>
          <w:sz w:val="24"/>
          <w:szCs w:val="24"/>
          <w:lang w:val="en-GB"/>
        </w:rPr>
        <w:fldChar w:fldCharType="separate"/>
      </w:r>
      <w:r w:rsidRPr="00EE533D">
        <w:rPr>
          <w:rFonts w:ascii="Times New Roman" w:hAnsi="Times New Roman" w:cs="Times New Roman"/>
          <w:sz w:val="24"/>
          <w:szCs w:val="24"/>
          <w:lang w:val="en-GB"/>
        </w:rPr>
        <w:t xml:space="preserve">(Kirchherr </w:t>
      </w:r>
      <w:r w:rsidRPr="00EE533D">
        <w:rPr>
          <w:rFonts w:ascii="Times New Roman" w:hAnsi="Times New Roman" w:cs="Times New Roman"/>
          <w:i/>
          <w:iCs/>
          <w:sz w:val="24"/>
          <w:szCs w:val="24"/>
          <w:lang w:val="en-GB"/>
        </w:rPr>
        <w:t>et</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2017)</w:t>
      </w:r>
      <w:r w:rsidRPr="00EE533D">
        <w:rPr>
          <w:rFonts w:ascii="Times New Roman" w:eastAsiaTheme="majorEastAsia" w:hAnsi="Times New Roman" w:cs="Times New Roman"/>
          <w:kern w:val="28"/>
          <w:sz w:val="24"/>
          <w:szCs w:val="24"/>
          <w:lang w:val="en-GB"/>
        </w:rPr>
        <w:fldChar w:fldCharType="end"/>
      </w:r>
      <w:r w:rsidRPr="00EE533D">
        <w:rPr>
          <w:rFonts w:ascii="Times New Roman" w:eastAsiaTheme="majorEastAsia" w:hAnsi="Times New Roman" w:cs="Times New Roman"/>
          <w:kern w:val="28"/>
          <w:sz w:val="24"/>
          <w:szCs w:val="24"/>
          <w:lang w:val="en-GB"/>
        </w:rPr>
        <w:t xml:space="preserve">. It has been described as an ‘umbrella concept’ </w:t>
      </w:r>
      <w:r w:rsidRPr="00EE533D">
        <w:rPr>
          <w:rFonts w:ascii="Times New Roman" w:eastAsiaTheme="majorEastAsia" w:hAnsi="Times New Roman" w:cs="Times New Roman"/>
          <w:kern w:val="28"/>
          <w:sz w:val="24"/>
          <w:szCs w:val="24"/>
          <w:lang w:val="en-GB"/>
        </w:rPr>
        <w:fldChar w:fldCharType="begin"/>
      </w:r>
      <w:r w:rsidRPr="00EE533D">
        <w:rPr>
          <w:rFonts w:ascii="Times New Roman" w:eastAsiaTheme="majorEastAsia" w:hAnsi="Times New Roman" w:cs="Times New Roman"/>
          <w:kern w:val="28"/>
          <w:sz w:val="24"/>
          <w:szCs w:val="24"/>
          <w:lang w:val="en-GB"/>
        </w:rPr>
        <w:instrText xml:space="preserve"> ADDIN ZOTERO_ITEM CSL_CITATION {"citationID":"HGYXRCyH","properties":{"formattedCitation":"(Blomsma &amp; Brennan, 2017)","plainCitation":"(Blomsma &amp; Brennan, 2017)","dontUpdate":true,"noteIndex":0},"citationItems":[{"id":2050,"uris":["http://zotero.org/users/8125408/items/ABDAHI9E"],"itemData":{"id":2050,"type":"article-journal","container-title":"Journal of industrial ecology","ISSN":"1088-1980","issue":"3","journalAbbreviation":"Journal of industrial ecology","note":"publisher: Wiley Online Library","page":"603-614","title":"The emergence of circular economy: a new framing around prolonging resource productivity","volume":"21","author":[{"family":"Blomsma","given":"Fenna"},{"family":"Brennan","given":"Geraldine"}],"issued":{"date-parts":[["2017"]]}}}],"schema":"https://github.com/citation-style-language/schema/raw/master/csl-citation.json"} </w:instrText>
      </w:r>
      <w:r w:rsidRPr="00EE533D">
        <w:rPr>
          <w:rFonts w:ascii="Times New Roman" w:eastAsiaTheme="majorEastAsia" w:hAnsi="Times New Roman" w:cs="Times New Roman"/>
          <w:kern w:val="28"/>
          <w:sz w:val="24"/>
          <w:szCs w:val="24"/>
          <w:lang w:val="en-GB"/>
        </w:rPr>
        <w:fldChar w:fldCharType="separate"/>
      </w:r>
      <w:r w:rsidRPr="00EE533D">
        <w:rPr>
          <w:rFonts w:ascii="Times New Roman" w:hAnsi="Times New Roman" w:cs="Times New Roman"/>
          <w:sz w:val="24"/>
          <w:szCs w:val="24"/>
          <w:lang w:val="en-GB"/>
        </w:rPr>
        <w:t>(Blomsma and Brennan, 2017)</w:t>
      </w:r>
      <w:r w:rsidRPr="00EE533D">
        <w:rPr>
          <w:rFonts w:ascii="Times New Roman" w:eastAsiaTheme="majorEastAsia" w:hAnsi="Times New Roman" w:cs="Times New Roman"/>
          <w:kern w:val="28"/>
          <w:sz w:val="24"/>
          <w:szCs w:val="24"/>
          <w:lang w:val="en-GB"/>
        </w:rPr>
        <w:fldChar w:fldCharType="end"/>
      </w:r>
      <w:r w:rsidRPr="00EE533D">
        <w:rPr>
          <w:rFonts w:ascii="Times New Roman" w:eastAsiaTheme="majorEastAsia" w:hAnsi="Times New Roman" w:cs="Times New Roman"/>
          <w:kern w:val="28"/>
          <w:sz w:val="24"/>
          <w:szCs w:val="24"/>
          <w:lang w:val="en-GB"/>
        </w:rPr>
        <w:t xml:space="preserve">. Nevertheless, among the 114 definitions of </w:t>
      </w:r>
      <w:r w:rsidRPr="00EE533D">
        <w:rPr>
          <w:rFonts w:asciiTheme="majorBidi" w:eastAsiaTheme="majorEastAsia" w:hAnsiTheme="majorBidi" w:cstheme="majorBidi"/>
          <w:kern w:val="28"/>
          <w:sz w:val="24"/>
          <w:szCs w:val="24"/>
          <w:lang w:val="en-GB"/>
        </w:rPr>
        <w:t>CE (</w:t>
      </w:r>
      <w:r w:rsidRPr="00EE533D">
        <w:rPr>
          <w:rFonts w:asciiTheme="majorBidi" w:hAnsiTheme="majorBidi" w:cstheme="majorBidi"/>
          <w:sz w:val="24"/>
          <w:szCs w:val="24"/>
          <w:shd w:val="clear" w:color="auto" w:fill="FFFFFF"/>
          <w:lang w:val="en-GB"/>
        </w:rPr>
        <w:t>Kirchherr et al., 2017)</w:t>
      </w:r>
      <w:r w:rsidRPr="00EE533D">
        <w:rPr>
          <w:rFonts w:asciiTheme="majorBidi" w:eastAsiaTheme="majorEastAsia" w:hAnsiTheme="majorBidi" w:cstheme="majorBidi"/>
          <w:kern w:val="28"/>
          <w:sz w:val="24"/>
          <w:szCs w:val="24"/>
          <w:lang w:val="en-GB"/>
        </w:rPr>
        <w:t>,</w:t>
      </w:r>
      <w:r w:rsidRPr="00EE533D">
        <w:rPr>
          <w:rFonts w:ascii="Times New Roman" w:eastAsiaTheme="majorEastAsia" w:hAnsi="Times New Roman" w:cs="Times New Roman"/>
          <w:kern w:val="28"/>
          <w:sz w:val="24"/>
          <w:szCs w:val="24"/>
          <w:lang w:val="en-GB"/>
        </w:rPr>
        <w:t xml:space="preserve"> two broad perspectives can be identified. </w:t>
      </w:r>
      <w:r w:rsidRPr="00EE533D">
        <w:rPr>
          <w:rFonts w:ascii="Times New Roman" w:hAnsi="Times New Roman" w:cs="Times New Roman"/>
          <w:sz w:val="24"/>
          <w:szCs w:val="24"/>
          <w:lang w:val="en-GB"/>
        </w:rPr>
        <w:t xml:space="preserve">First, the CE is necessarily technical or technologically oriented, as it involves inter-sectoral material and energy flows and regenerative technologies. This focus is consistent with </w:t>
      </w:r>
      <w:r w:rsidRPr="00EE533D">
        <w:rPr>
          <w:rFonts w:ascii="Times New Roman" w:hAnsi="Times New Roman" w:cs="Times New Roman"/>
          <w:sz w:val="24"/>
          <w:szCs w:val="24"/>
          <w:lang w:val="en-GB"/>
        </w:rPr>
        <w:lastRenderedPageBreak/>
        <w:t xml:space="preserve">the definition of CE provided by Geissdoerfer </w:t>
      </w:r>
      <w:r w:rsidRPr="00EE533D">
        <w:rPr>
          <w:rFonts w:ascii="Times New Roman" w:hAnsi="Times New Roman" w:cs="Times New Roman"/>
          <w:i/>
          <w:iCs/>
          <w:sz w:val="24"/>
          <w:szCs w:val="24"/>
          <w:lang w:val="en-GB"/>
        </w:rPr>
        <w:t>et</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xml:space="preserve">. (2017): “the CE is a </w:t>
      </w:r>
      <w:r w:rsidRPr="00EE533D">
        <w:rPr>
          <w:rFonts w:ascii="Times New Roman" w:hAnsi="Times New Roman" w:cs="Times New Roman"/>
          <w:iCs/>
          <w:sz w:val="24"/>
          <w:szCs w:val="24"/>
          <w:lang w:val="en-GB"/>
        </w:rPr>
        <w:t>regenerative system in which resource input and waste, emission, and energy</w:t>
      </w:r>
      <w:r w:rsidRPr="00EE533D">
        <w:rPr>
          <w:rFonts w:ascii="Times New Roman" w:hAnsi="Times New Roman" w:cs="Times New Roman"/>
          <w:sz w:val="24"/>
          <w:szCs w:val="24"/>
          <w:lang w:val="en-GB"/>
        </w:rPr>
        <w:t xml:space="preserve"> </w:t>
      </w:r>
      <w:r w:rsidRPr="00EE533D">
        <w:rPr>
          <w:rFonts w:ascii="Times New Roman" w:hAnsi="Times New Roman" w:cs="Times New Roman"/>
          <w:iCs/>
          <w:sz w:val="24"/>
          <w:szCs w:val="24"/>
          <w:lang w:val="en-GB"/>
        </w:rPr>
        <w:t>leakage are minimized by slowing, closing, and narrowing material and energy</w:t>
      </w:r>
      <w:r w:rsidRPr="00EE533D">
        <w:rPr>
          <w:rFonts w:ascii="Times New Roman" w:hAnsi="Times New Roman" w:cs="Times New Roman"/>
          <w:sz w:val="24"/>
          <w:szCs w:val="24"/>
          <w:lang w:val="en-GB"/>
        </w:rPr>
        <w:t xml:space="preserve"> </w:t>
      </w:r>
      <w:r w:rsidRPr="00EE533D">
        <w:rPr>
          <w:rFonts w:ascii="Times New Roman" w:hAnsi="Times New Roman" w:cs="Times New Roman"/>
          <w:iCs/>
          <w:sz w:val="24"/>
          <w:szCs w:val="24"/>
          <w:lang w:val="en-GB"/>
        </w:rPr>
        <w:t>loops. This can be achieved through long-lasting design, maintenance, repair,</w:t>
      </w:r>
      <w:r w:rsidRPr="00EE533D">
        <w:rPr>
          <w:rFonts w:ascii="Times New Roman" w:hAnsi="Times New Roman" w:cs="Times New Roman"/>
          <w:sz w:val="24"/>
          <w:szCs w:val="24"/>
          <w:lang w:val="en-GB"/>
        </w:rPr>
        <w:t xml:space="preserve"> </w:t>
      </w:r>
      <w:r w:rsidRPr="00EE533D">
        <w:rPr>
          <w:rFonts w:ascii="Times New Roman" w:hAnsi="Times New Roman" w:cs="Times New Roman"/>
          <w:iCs/>
          <w:sz w:val="24"/>
          <w:szCs w:val="24"/>
          <w:lang w:val="en-GB"/>
        </w:rPr>
        <w:t xml:space="preserve">reuse, remanufacturing, refurbishing, and recycling”. </w:t>
      </w:r>
      <w:r w:rsidRPr="00EE533D">
        <w:rPr>
          <w:rStyle w:val="reference-text"/>
          <w:rFonts w:ascii="Times New Roman" w:hAnsi="Times New Roman" w:cs="Times New Roman"/>
          <w:sz w:val="24"/>
          <w:szCs w:val="24"/>
          <w:lang w:val="en-GB"/>
        </w:rPr>
        <w:t xml:space="preserve">This definition is essentially operational and technical. It emphasizes the </w:t>
      </w:r>
      <w:r w:rsidRPr="00EE533D">
        <w:rPr>
          <w:rStyle w:val="tlid-translation"/>
          <w:rFonts w:ascii="Times New Roman" w:hAnsi="Times New Roman" w:cs="Times New Roman"/>
          <w:sz w:val="24"/>
          <w:szCs w:val="24"/>
          <w:lang w:val="en-GB"/>
        </w:rPr>
        <w:t>different operations that</w:t>
      </w:r>
      <w:r w:rsidRPr="00EE533D">
        <w:rPr>
          <w:rStyle w:val="reference-text"/>
          <w:rFonts w:ascii="Times New Roman" w:hAnsi="Times New Roman" w:cs="Times New Roman"/>
          <w:sz w:val="24"/>
          <w:szCs w:val="24"/>
          <w:lang w:val="en-GB"/>
        </w:rPr>
        <w:t xml:space="preserve"> are linked to a production process. </w:t>
      </w:r>
      <w:r w:rsidRPr="00EE533D">
        <w:rPr>
          <w:rFonts w:ascii="Times New Roman" w:hAnsi="Times New Roman" w:cs="Times New Roman"/>
          <w:sz w:val="24"/>
          <w:szCs w:val="24"/>
          <w:lang w:val="en-GB"/>
        </w:rPr>
        <w:t xml:space="preserve">Second, scholars have </w:t>
      </w:r>
      <w:r w:rsidRPr="00EE533D">
        <w:rPr>
          <w:rFonts w:ascii="Times New Roman" w:hAnsi="Times New Roman" w:cs="Times New Roman"/>
          <w:sz w:val="24"/>
          <w:szCs w:val="24"/>
          <w:lang w:val="en-GB"/>
        </w:rPr>
        <w:lastRenderedPageBreak/>
        <w:t xml:space="preserve">started to conceptualize the CE as a multi-actor concept (de Jesus and Mendonça, 2018), with economic and social actors at the core of the CE (Geissdoerfer </w:t>
      </w:r>
      <w:r w:rsidRPr="00EE533D">
        <w:rPr>
          <w:rFonts w:ascii="Times New Roman" w:hAnsi="Times New Roman" w:cs="Times New Roman"/>
          <w:i/>
          <w:iCs/>
          <w:sz w:val="24"/>
          <w:szCs w:val="24"/>
          <w:lang w:val="en-GB"/>
        </w:rPr>
        <w:t>et</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2017). Here, a CE system is seen as gathering a variety of actors with diverse interests, preferences, and visions, in different geographical and economic spaces. These actors, as producers, consumers and social groups, have to join each other in a process of cooperation to achieve a CE (</w:t>
      </w:r>
      <w:r w:rsidRPr="00EE533D">
        <w:rPr>
          <w:rFonts w:ascii="Times New Roman" w:hAnsi="Times New Roman" w:cs="Times New Roman"/>
          <w:bCs/>
          <w:sz w:val="24"/>
          <w:szCs w:val="24"/>
          <w:lang w:val="en-GB"/>
        </w:rPr>
        <w:fldChar w:fldCharType="begin"/>
      </w:r>
      <w:r w:rsidRPr="00EE533D">
        <w:rPr>
          <w:rFonts w:ascii="Times New Roman" w:hAnsi="Times New Roman" w:cs="Times New Roman"/>
          <w:bCs/>
          <w:sz w:val="24"/>
          <w:szCs w:val="24"/>
          <w:lang w:val="en-GB"/>
        </w:rPr>
        <w:instrText xml:space="preserve"> ADDIN ZOTERO_ITEM CSL_CITATION {"citationID":"yy01wFNc","properties":{"formattedCitation":"(Gupta et al., 2019)","plainCitation":"(Gupta et al., 2019)","dontUpdate":true,"noteIndex":0},"citationItems":[{"id":2051,"uris":["http://zotero.org/users/8125408/items/XTL9UI2M"],"itemData":{"id":2051,"type":"article-journal","container-title":"Technological Forecasting and Social Change","ISSN":"0040-1625","journalAbbreviation":"Technological Forecasting and Social Change","note":"publisher: Elsevier","page":"466-474","title":"Circular economy and big data analytics: A stakeholder perspective","volume":"144","author":[{"family":"Gupta","given":"Shivam"},{"family":"Chen","given":"Haozhe"},{"family":"Hazen","given":"Benjamin T"},{"family":"Kaur","given":"Sarabjot"},{"family":"Gonzalez","given":"Ernesto DR Santibañez"}],"issued":{"date-parts":[["2019"]]}}}],"schema":"https://github.com/citation-style-language/schema/raw/master/csl-citation.json"} </w:instrText>
      </w:r>
      <w:r w:rsidRPr="00EE533D">
        <w:rPr>
          <w:rFonts w:ascii="Times New Roman" w:hAnsi="Times New Roman" w:cs="Times New Roman"/>
          <w:bCs/>
          <w:sz w:val="24"/>
          <w:szCs w:val="24"/>
          <w:lang w:val="en-GB"/>
        </w:rPr>
        <w:fldChar w:fldCharType="separate"/>
      </w:r>
      <w:r w:rsidRPr="00EE533D">
        <w:rPr>
          <w:rFonts w:ascii="Times New Roman" w:hAnsi="Times New Roman" w:cs="Times New Roman"/>
          <w:sz w:val="24"/>
          <w:szCs w:val="24"/>
          <w:lang w:val="en-GB"/>
        </w:rPr>
        <w:t xml:space="preserve">Gupta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2019)</w:t>
      </w:r>
      <w:r w:rsidRPr="00EE533D">
        <w:rPr>
          <w:rFonts w:ascii="Times New Roman" w:hAnsi="Times New Roman" w:cs="Times New Roman"/>
          <w:bCs/>
          <w:sz w:val="24"/>
          <w:szCs w:val="24"/>
          <w:lang w:val="en-GB"/>
        </w:rPr>
        <w:fldChar w:fldCharType="end"/>
      </w:r>
      <w:r w:rsidRPr="00EE533D">
        <w:rPr>
          <w:rFonts w:ascii="Times New Roman" w:hAnsi="Times New Roman" w:cs="Times New Roman"/>
          <w:sz w:val="24"/>
          <w:szCs w:val="24"/>
          <w:lang w:val="en-GB"/>
        </w:rPr>
        <w:t xml:space="preserve">. In this regard, </w:t>
      </w:r>
      <w:r w:rsidRPr="00EE533D">
        <w:rPr>
          <w:rStyle w:val="reference-text"/>
          <w:rFonts w:ascii="Times New Roman" w:hAnsi="Times New Roman" w:cs="Times New Roman"/>
          <w:sz w:val="24"/>
          <w:szCs w:val="24"/>
          <w:lang w:val="en-GB"/>
        </w:rPr>
        <w:t xml:space="preserve">the CE not only involves a mapping of </w:t>
      </w:r>
      <w:r w:rsidRPr="00EE533D">
        <w:rPr>
          <w:rStyle w:val="reference-text"/>
          <w:rFonts w:ascii="Times New Roman" w:hAnsi="Times New Roman" w:cs="Times New Roman"/>
          <w:sz w:val="24"/>
          <w:szCs w:val="24"/>
          <w:lang w:val="en-GB"/>
        </w:rPr>
        <w:lastRenderedPageBreak/>
        <w:t>the circulation of material resources and energy, but should also be seen as a societal system, in which social agents are at the core</w:t>
      </w:r>
      <w:r w:rsidRPr="00EE533D">
        <w:rPr>
          <w:rFonts w:ascii="Times New Roman" w:hAnsi="Times New Roman" w:cs="Times New Roman"/>
          <w:sz w:val="24"/>
          <w:szCs w:val="24"/>
          <w:lang w:val="en-GB"/>
        </w:rPr>
        <w:t xml:space="preserve">, and mutual support and coordination between different stakeholders along the entire supply chain are highly important (Millar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2019)</w:t>
      </w:r>
      <w:r w:rsidRPr="00EE533D">
        <w:rPr>
          <w:rStyle w:val="reference-text"/>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Therefore</w:t>
      </w:r>
      <w:bookmarkStart w:id="5" w:name="_Hlk169872777"/>
      <w:r w:rsidRPr="00EE533D">
        <w:rPr>
          <w:rFonts w:ascii="Times New Roman" w:hAnsi="Times New Roman" w:cs="Times New Roman"/>
          <w:sz w:val="24"/>
          <w:szCs w:val="24"/>
          <w:lang w:val="en-GB"/>
        </w:rPr>
        <w:t xml:space="preserve">, the transition from a linear to a circular economy implies </w:t>
      </w:r>
      <w:bookmarkEnd w:id="5"/>
      <w:r w:rsidRPr="00EE533D">
        <w:rPr>
          <w:rFonts w:ascii="Times New Roman" w:hAnsi="Times New Roman" w:cs="Times New Roman"/>
          <w:sz w:val="24"/>
          <w:szCs w:val="24"/>
          <w:lang w:val="en-GB"/>
        </w:rPr>
        <w:t>that firms require new capabilities, i.e., new knowledge and skills to coordinate and deploy resources efficiently</w:t>
      </w:r>
      <w:r w:rsidR="000E0B9A" w:rsidRPr="00EE533D">
        <w:rPr>
          <w:rFonts w:ascii="Times New Roman" w:hAnsi="Times New Roman" w:cs="Times New Roman"/>
          <w:sz w:val="24"/>
          <w:szCs w:val="24"/>
          <w:lang w:val="en-GB"/>
        </w:rPr>
        <w:t>, by</w:t>
      </w:r>
      <w:r w:rsidRPr="00EE533D">
        <w:rPr>
          <w:rFonts w:ascii="Times New Roman" w:hAnsi="Times New Roman" w:cs="Times New Roman"/>
          <w:sz w:val="24"/>
          <w:szCs w:val="24"/>
          <w:lang w:val="en-GB"/>
        </w:rPr>
        <w:t xml:space="preserve"> promoting a balance between economic, ecological, </w:t>
      </w:r>
      <w:r w:rsidRPr="00EE533D">
        <w:rPr>
          <w:rFonts w:ascii="Times New Roman" w:hAnsi="Times New Roman" w:cs="Times New Roman"/>
          <w:sz w:val="24"/>
          <w:szCs w:val="24"/>
          <w:lang w:val="en-GB"/>
        </w:rPr>
        <w:lastRenderedPageBreak/>
        <w:t>and social objectives. This</w:t>
      </w:r>
      <w:r w:rsidRPr="00EE533D">
        <w:rPr>
          <w:rStyle w:val="reference-text"/>
          <w:rFonts w:ascii="Times New Roman" w:hAnsi="Times New Roman" w:cs="Times New Roman"/>
          <w:sz w:val="24"/>
          <w:szCs w:val="24"/>
          <w:lang w:val="en-GB"/>
        </w:rPr>
        <w:t xml:space="preserve"> requires new </w:t>
      </w:r>
      <w:r w:rsidRPr="00EE533D">
        <w:rPr>
          <w:rFonts w:ascii="Times New Roman" w:hAnsi="Times New Roman" w:cs="Times New Roman"/>
          <w:sz w:val="24"/>
          <w:szCs w:val="24"/>
          <w:lang w:val="en-GB"/>
        </w:rPr>
        <w:t xml:space="preserve">inter-organizational management, stakeholder cooperation and appropriate institutional frameworks (Korhonen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2018;</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{"citationID":"3xH9dUTw","properties":{"formattedCitation":"(Vernier et al., 2022)","plainCitation":"(Vernier et al., 2022)","dontUpdate":true,"noteIndex":0},"citationItems":[{"id":2585,"uris":["http://zotero.org/users/8125408/items/KU9AY7AG"],"itemData":{"id":2585,"type":"article-journal","container-title":"Journal of Innovation Economics &amp; Management","ISSN":"2032-5355","journalAbbreviation":"Journal of Innovation Economics &amp; Management","note":"publisher: Cairn/Cairn","page":"In-32","title":"Factors Influencing Profitability in Eco-design: Lessons from European and Canadian Firms 1","author":[{"family":"Vernier","given":"Marie-France"},{"family":"Arfaoui","given":"Nabila"},{"family":"Challita","given":"Sandra"},{"family":"Lanoie","given":"Paul"},{"family":"Plouffe","given":"Sylvain"}],"issued":{"date-parts":[["2022"]]}}}],"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 Vernier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2022)</w:t>
      </w:r>
      <w:r w:rsidRPr="00EE533D">
        <w:rPr>
          <w:rFonts w:ascii="Times New Roman" w:hAnsi="Times New Roman" w:cs="Times New Roman"/>
          <w:sz w:val="24"/>
          <w:szCs w:val="24"/>
          <w:lang w:val="en-GB"/>
        </w:rPr>
        <w:fldChar w:fldCharType="end"/>
      </w:r>
      <w:r w:rsidRPr="00EE533D">
        <w:rPr>
          <w:rStyle w:val="reference-text"/>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Indeed, </w:t>
      </w:r>
      <w:bookmarkStart w:id="6" w:name="_Hlk169873677"/>
      <w:r w:rsidRPr="00EE533D">
        <w:rPr>
          <w:rFonts w:ascii="Times New Roman" w:hAnsi="Times New Roman" w:cs="Times New Roman"/>
          <w:sz w:val="24"/>
          <w:szCs w:val="24"/>
          <w:lang w:val="en-GB"/>
        </w:rPr>
        <w:t xml:space="preserve">some studies argue that the institutional framework can pave the way for the transition to the CE. </w:t>
      </w:r>
      <w:bookmarkEnd w:id="6"/>
      <w:r w:rsidRPr="00EE533D">
        <w:rPr>
          <w:rFonts w:ascii="Times New Roman" w:hAnsi="Times New Roman" w:cs="Times New Roman"/>
          <w:sz w:val="24"/>
          <w:szCs w:val="24"/>
          <w:lang w:val="en-GB"/>
        </w:rPr>
        <w:t xml:space="preserve">For example,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{"citationID":"vpnooTmJ","properties":{"formattedCitation":"(Dai et al., 2015)","plainCitation":"(Dai et al., 2015)","dontUpdate":true,"noteIndex":0},"citationItems":[{"id":2656,"uris":["http://zotero.org/users/8125408/items/VCK2LSQW"],"itemData":{"id":2656,"type":"article-journal","container-title":"Resources, Conservation and Recycling","ISSN":"0921-3449","journalAbbreviation":"Resources, Conservation and Recycling","note":"publisher: Elsevier","page":"9-19","title":"Why doorstepping can increase household waste recycling","volume":"102","author":[{"family":"Dai","given":"YC"},{"family":"Gordon","given":"MPR"},{"family":"Ye","given":"JY"},{"family":"Xu","given":"DY"},{"family":"Lin","given":"ZY"},{"family":"Robinson","given":"NKL"},{"family":"Woodard","given":"Ryan"},{"family":"Harder","given":"MK"}],"issued":{"date-parts":[["2015"]]}}}],"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Dai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(2015)</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{"citationID":"L8bo0KgQ","properties":{"formattedCitation":"(Dubey et al., 2016)","plainCitation":"(Dubey et al., 2016)","dontUpdate":true,"noteIndex":0},"citationItems":[{"id":2657,"uris":["http://zotero.org/users/8125408/items/X8PVTS8R"],"itemData":{"id":2657,"type":"article-journal","container-title":"Resources, Conservation and Recycling","ISSN":"0921-3449","journalAbbreviation":"Resources, Conservation and Recycling","note":"publisher: Elsevier","page":"78-89","title":"Towards a theory of sustainable consumption and production: Constructs and measurement","volume":"106","author":[{"family":"Dubey","given":"Rameshwar"},{"family":"Gunasekaran","given":"Angappa"},{"family":"Childe","given":"Stephen J"},{"family":"Papadopoulos","given":"Thanos"},{"family":"Wamba","given":"Samuel Fosso"},{"family":"Song","given":"Malin"}],"issued":{"date-parts":[["2016"]]}}}],"schema":"https://github.com/citation-style-language/schema/raw/master/csl-citation.json"}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Dubey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xml:space="preserve"> (2016)</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suggested that the success of CE initiatives is closely influenced by institutional aspects such as norms and cultural factors.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{"citationID":"V8XfyKJw","properties":{"formattedCitation":"(Fei et al., 2016)","plainCitation":"(Fei et al., 2016)","dontUpdate":true,"noteIndex":0},"citationItems":[{"id":2658,"uris":["http://zotero.org/users/8125408/items/BLJSZFE2"],"itemData":{"id":2658,"type":"article-journal","container-title":"Resources, conservation and recycling","ISSN":"0921-3449","journalAbbreviation":"Resources, conservation and recycling","note":"publisher: Elsevier","page":"74-86","title":"How to integrate the informal recycling system into municipal solid waste management in developing countries: Based on a China’s case in Suzhou urban area","volume":"110","author":[{"family":"Fei","given":"Fan"},{"family":"Qu","given":"Lili"},{"family":"Wen","given":"Zongguo"},{"family":"Xue","given":"Yanyan"},{"family":"Zhang","given":"Huanan"}],"issued":{"date-parts":[["2016"]]}}}],"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Fei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(2016)</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{"citationID":"CcWWbuzI","properties":{"formattedCitation":"(Lev\\uc0\\u228{}nen, 2015)","plainCitation":"(Levänen, 2015)","dontUpdate":true,"noteIndex":0},"citationItems":[{"id":2659,"uris":["http://zotero.org/users/8125408/items/7WAKXBVW"],"itemData":{"id":2659,"type":"article-journal","container-title":"Journal of cleaner production","ISSN":"0959-6526","journalAbbreviation":"Journal of cleaner production","note":"publisher: Elsevier","page":"542-549","title":"Ending waste by law: institutions and collective learning in the development of industrial recycling in Finland","volume":"87","author":[{"family":"Levänen","given":"Jarkko"}],"issued":{"date-parts":[["2015"]]}}}],"schema":"https://github.com/citation-style-language/schema/raw/master/csl-citation.json"}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Levänen (2015)</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state that </w:t>
      </w:r>
      <w:r w:rsidRPr="00EE533D">
        <w:rPr>
          <w:rFonts w:ascii="Times New Roman" w:hAnsi="Times New Roman" w:cs="Times New Roman"/>
          <w:sz w:val="24"/>
          <w:szCs w:val="24"/>
          <w:lang w:val="en-GB"/>
        </w:rPr>
        <w:lastRenderedPageBreak/>
        <w:t xml:space="preserve">the transition to more sustainable choices and the adoption of CE principles </w:t>
      </w:r>
      <w:r w:rsidR="005438CF" w:rsidRPr="00EE533D">
        <w:rPr>
          <w:rFonts w:ascii="Times New Roman" w:hAnsi="Times New Roman" w:cs="Times New Roman"/>
          <w:sz w:val="24"/>
          <w:szCs w:val="24"/>
          <w:lang w:val="en-GB"/>
        </w:rPr>
        <w:t>involve</w:t>
      </w:r>
      <w:r w:rsidRPr="00EE533D">
        <w:rPr>
          <w:rFonts w:ascii="Times New Roman" w:hAnsi="Times New Roman" w:cs="Times New Roman"/>
          <w:sz w:val="24"/>
          <w:szCs w:val="24"/>
          <w:lang w:val="en-GB"/>
        </w:rPr>
        <w:t xml:space="preserve"> societal support, legislation</w:t>
      </w:r>
      <w:r w:rsidR="005438CF"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and financial subsidies. Ghisellini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xml:space="preserve"> (2016) and Murray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xml:space="preserve">. (2017) demonstrate that the legal framework, infrastructure development, tax incentives, and public education are all promoters of the CE. In the same vein, according to de Abreu and Ceglia (2018)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{"citationID":"THp2bMdd","properties":{"formattedCitation":"(De Jesus et al., 2018)","plainCitation":"(De Jesus et al., 2018)","dontUpdate":true,"noteIndex":0},"citationItems":[{"id":2586,"uris":["http://zotero.org/users/8125408/items/AUEXT9ZV"],"itemData":{"id":2586,"type":"article-journal","container-title":"Journal of cleaner Production","ISSN":"0959-6526","journalAbbreviation":"Journal of cleaner Production","note":"publisher: Elsevier","page":"2999-3018","title":"Eco-innovation in the transition to a circular economy: An analytical literature review","volume":"172","author":[{"family":"De Jesus","given":"Ana"},{"family":"Antunes","given":"Paula"},{"family":"Santos","given":"Rui"},{"family":"Mendonça","given":"Sandro"}],"issued":{"date-parts":[["2018"]]}}}],"schema":"https://github.com/citation-style-language/schema/raw/master/csl-citation.json"}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De Jesus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(2018)</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governments play a key role in promoting an environment that is conducive </w:t>
      </w:r>
      <w:r w:rsidR="005438CF" w:rsidRPr="00EE533D">
        <w:rPr>
          <w:rFonts w:ascii="Times New Roman" w:hAnsi="Times New Roman" w:cs="Times New Roman"/>
          <w:sz w:val="24"/>
          <w:szCs w:val="24"/>
          <w:lang w:val="en-GB"/>
        </w:rPr>
        <w:t>to</w:t>
      </w:r>
      <w:r w:rsidRPr="00EE533D">
        <w:rPr>
          <w:rFonts w:ascii="Times New Roman" w:hAnsi="Times New Roman" w:cs="Times New Roman"/>
          <w:sz w:val="24"/>
          <w:szCs w:val="24"/>
          <w:lang w:val="en-GB"/>
        </w:rPr>
        <w:t xml:space="preserve"> CE development and </w:t>
      </w:r>
      <w:r w:rsidRPr="00EE533D">
        <w:rPr>
          <w:rStyle w:val="reference-text"/>
          <w:rFonts w:ascii="Times New Roman" w:hAnsi="Times New Roman" w:cs="Times New Roman"/>
          <w:sz w:val="24"/>
          <w:szCs w:val="24"/>
          <w:lang w:val="en-GB"/>
        </w:rPr>
        <w:t xml:space="preserve">in building </w:t>
      </w:r>
      <w:r w:rsidRPr="00EE533D">
        <w:rPr>
          <w:rFonts w:ascii="Times New Roman" w:hAnsi="Times New Roman" w:cs="Times New Roman"/>
          <w:sz w:val="24"/>
          <w:szCs w:val="24"/>
          <w:lang w:val="en-GB"/>
        </w:rPr>
        <w:lastRenderedPageBreak/>
        <w:t xml:space="preserve">institutional capacity that increases the knowledge and relational resources necessary for the CE. However, although research has shown that institutional factors are crucial determinants of the transition to the CE, </w:t>
      </w:r>
      <w:r w:rsidRPr="00EE533D">
        <w:rPr>
          <w:rFonts w:ascii="Times New Roman" w:eastAsiaTheme="majorEastAsia" w:hAnsi="Times New Roman" w:cs="Times New Roman"/>
          <w:kern w:val="28"/>
          <w:sz w:val="24"/>
          <w:szCs w:val="24"/>
          <w:lang w:val="en-GB"/>
        </w:rPr>
        <w:t xml:space="preserve">there are several shortcomings in the literature. First, until now, the analysis of the institutional factors has been largely </w:t>
      </w:r>
      <w:r w:rsidRPr="00EE533D">
        <w:rPr>
          <w:rFonts w:ascii="Times New Roman" w:hAnsi="Times New Roman" w:cs="Times New Roman"/>
          <w:sz w:val="24"/>
          <w:szCs w:val="24"/>
          <w:lang w:val="en-GB"/>
        </w:rPr>
        <w:t xml:space="preserve">qualitative, and there is still a </w:t>
      </w:r>
      <w:r w:rsidRPr="00EE533D">
        <w:rPr>
          <w:rFonts w:ascii="Times New Roman" w:eastAsiaTheme="majorEastAsia" w:hAnsi="Times New Roman" w:cs="Times New Roman"/>
          <w:kern w:val="28"/>
          <w:sz w:val="24"/>
          <w:szCs w:val="24"/>
          <w:lang w:val="en-GB"/>
        </w:rPr>
        <w:t>need for large</w:t>
      </w:r>
      <w:r w:rsidR="005438CF" w:rsidRPr="00EE533D">
        <w:rPr>
          <w:rFonts w:ascii="Times New Roman" w:eastAsiaTheme="majorEastAsia" w:hAnsi="Times New Roman" w:cs="Times New Roman"/>
          <w:kern w:val="28"/>
          <w:sz w:val="24"/>
          <w:szCs w:val="24"/>
          <w:lang w:val="en-GB"/>
        </w:rPr>
        <w:t>,</w:t>
      </w:r>
      <w:r w:rsidRPr="00EE533D">
        <w:rPr>
          <w:rFonts w:ascii="Times New Roman" w:eastAsiaTheme="majorEastAsia" w:hAnsi="Times New Roman" w:cs="Times New Roman"/>
          <w:kern w:val="28"/>
          <w:sz w:val="24"/>
          <w:szCs w:val="24"/>
          <w:lang w:val="en-GB"/>
        </w:rPr>
        <w:t xml:space="preserve"> empirical quantitative studies. </w:t>
      </w:r>
      <w:r w:rsidRPr="00EE533D">
        <w:rPr>
          <w:rFonts w:ascii="Times New Roman" w:hAnsi="Times New Roman" w:cs="Times New Roman"/>
          <w:sz w:val="24"/>
          <w:szCs w:val="24"/>
          <w:lang w:val="en-GB"/>
        </w:rPr>
        <w:t xml:space="preserve">Second, De Jesus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xml:space="preserve">. (2018) and </w:t>
      </w:r>
      <w:r w:rsidR="00C06FA8" w:rsidRPr="00EE533D">
        <w:rPr>
          <w:rFonts w:ascii="Times New Roman" w:hAnsi="Times New Roman" w:cs="Times New Roman"/>
          <w:sz w:val="24"/>
          <w:szCs w:val="24"/>
          <w:lang w:val="en-GB"/>
        </w:rPr>
        <w:fldChar w:fldCharType="begin"/>
      </w:r>
      <w:r w:rsidR="003551D5" w:rsidRPr="00EE533D">
        <w:rPr>
          <w:rFonts w:ascii="Times New Roman" w:hAnsi="Times New Roman" w:cs="Times New Roman"/>
          <w:sz w:val="24"/>
          <w:szCs w:val="24"/>
          <w:lang w:val="en-GB"/>
        </w:rPr>
        <w:instrText xml:space="preserve"> ADDIN ZOTERO_ITEM CSL_CITATION {"citationID":"WkrRvR6U","properties":{"formattedCitation":"(C. F. Arranz et al., 2022)","plainCitation":"(C. F. Arranz et al., 2022)","dontUpdate":true,"noteIndex":0},"citationItems":[{"id":3749,"uris":["http://zotero.org/users/8125408/items/VJ4PKLR5"],"itemData":{"id":3749,"type":"article-journal","container-title":"Journal of Cleaner Production","ISSN":"0959-6526","journalAbbreviation":"Journal of Cleaner Production","note":"publisher: Elsevier","page":"131738","title":"Institutional pressures as drivers of circular economy in firms: A machine learning approach","volume":"355","author":[{"family":"Arranz","given":"Carlos FA"},{"family":"Sena","given":"Vania"},{"family":"Kwong","given":"Caleb"}],"issued":{"date-parts":[["2022"]]}}}],"schema":"https://github.com/citation-style-language/schema/raw/master/csl-citation.json"} </w:instrText>
      </w:r>
      <w:r w:rsidR="00C06FA8" w:rsidRPr="00EE533D">
        <w:rPr>
          <w:rFonts w:ascii="Times New Roman" w:hAnsi="Times New Roman" w:cs="Times New Roman"/>
          <w:sz w:val="24"/>
          <w:szCs w:val="24"/>
          <w:lang w:val="en-GB"/>
        </w:rPr>
        <w:fldChar w:fldCharType="separate"/>
      </w:r>
      <w:r w:rsidR="00C06FA8" w:rsidRPr="00EE533D">
        <w:rPr>
          <w:rFonts w:ascii="Times New Roman" w:hAnsi="Times New Roman" w:cs="Times New Roman"/>
          <w:sz w:val="24"/>
          <w:lang w:val="en-GB"/>
        </w:rPr>
        <w:t>Arranz et al. (2022)</w:t>
      </w:r>
      <w:r w:rsidR="00C06FA8" w:rsidRPr="00EE533D">
        <w:rPr>
          <w:rFonts w:ascii="Times New Roman" w:hAnsi="Times New Roman" w:cs="Times New Roman"/>
          <w:sz w:val="24"/>
          <w:szCs w:val="24"/>
          <w:lang w:val="en-GB"/>
        </w:rPr>
        <w:fldChar w:fldCharType="end"/>
      </w:r>
      <w:r w:rsidR="00C06FA8"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call for more academic research to examine how </w:t>
      </w:r>
      <w:r w:rsidRPr="00EE533D">
        <w:rPr>
          <w:rFonts w:ascii="Times New Roman" w:hAnsi="Times New Roman" w:cs="Times New Roman"/>
          <w:sz w:val="24"/>
          <w:szCs w:val="24"/>
          <w:lang w:val="en-GB"/>
        </w:rPr>
        <w:lastRenderedPageBreak/>
        <w:t xml:space="preserve">institutional factors operate, because little </w:t>
      </w:r>
      <w:bookmarkStart w:id="7" w:name="_Hlk169875803"/>
      <w:r w:rsidRPr="00EE533D">
        <w:rPr>
          <w:rFonts w:ascii="Times New Roman" w:hAnsi="Times New Roman" w:cs="Times New Roman"/>
          <w:sz w:val="24"/>
          <w:szCs w:val="24"/>
          <w:lang w:val="en-GB"/>
        </w:rPr>
        <w:t>is known about how these pressures arise and act to drive firms towards the adoption of practices based on the principles of the CE</w:t>
      </w:r>
      <w:bookmarkEnd w:id="7"/>
      <w:r w:rsidRPr="00EE533D">
        <w:rPr>
          <w:rFonts w:ascii="Times New Roman" w:hAnsi="Times New Roman" w:cs="Times New Roman"/>
          <w:sz w:val="24"/>
          <w:szCs w:val="24"/>
          <w:lang w:val="en-GB"/>
        </w:rPr>
        <w:t xml:space="preserve">. Only a few researchers, such as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{"citationID":"dw9ZbcZ3","properties":{"formattedCitation":"(Ranta et al., 2018)","plainCitation":"(Ranta et al., 2018)","dontUpdate":true,"noteIndex":0},"citationItems":[{"id":2587,"uris":["http://zotero.org/users/8125408/items/SSJU92N4"],"itemData":{"id":2587,"type":"article-journal","container-title":"Resources, Conservation and Recycling","ISSN":"0921-3449","journalAbbreviation":"Resources, Conservation and Recycling","note":"publisher: Elsevier","page":"70-82","title":"Exploring institutional drivers and barriers of the circular economy: A cross-regional comparison of China, the US, and Europe","volume":"135","author":[{"family":"Ranta","given":"Valtteri"},{"family":"Aarikka-Stenroos","given":"Leena"},{"family":"Ritala","given":"Paavo"},{"family":"Mäkinen","given":"Saku J"}],"issued":{"date-parts":[["2018"]]}}}],"schema":"https://github.com/citation-style-language/schema/raw/master/csl-citation.json"}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Ranta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(2018)</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Arranz </w:t>
      </w:r>
      <w:r w:rsidRPr="00EE533D">
        <w:rPr>
          <w:rFonts w:ascii="Times New Roman" w:hAnsi="Times New Roman" w:cs="Times New Roman"/>
          <w:i/>
          <w:iCs/>
          <w:sz w:val="24"/>
          <w:szCs w:val="24"/>
          <w:lang w:val="en-GB"/>
        </w:rPr>
        <w:t>et al</w:t>
      </w:r>
      <w:r w:rsidRPr="00EE533D">
        <w:rPr>
          <w:rFonts w:ascii="Times New Roman" w:hAnsi="Times New Roman" w:cs="Times New Roman"/>
          <w:sz w:val="24"/>
          <w:szCs w:val="24"/>
          <w:lang w:val="en-GB"/>
        </w:rPr>
        <w:t xml:space="preserve">. 2022,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{"citationID":"MlV3OHPZ","properties":{"formattedCitation":"(Calzolari et al., 2023)","plainCitation":"(Calzolari et al., 2023)","dontUpdate":true,"noteIndex":0},"citationItems":[{"id":2588,"uris":["http://zotero.org/users/8125408/items/EERIH76A"],"itemData":{"id":2588,"type":"article-journal","container-title":"Journal of Cleaner Production","ISSN":"0959-6526","journalAbbreviation":"Journal of Cleaner Production","note":"publisher: Elsevier","page":"139686","title":"Understanding the relationship between institutional pressures, supply chain integration and the adoption of circular economy practices","volume":"432","author":[{"family":"Calzolari","given":"Tommaso"},{"family":"Bimpizas-Pinis","given":"Meletios"},{"family":"Genovese","given":"Andrea"},{"family":"Brint","given":"Andrew"}],"issued":{"date-parts":[["2023"]]}}}],"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Calzolari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(2023)</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have applied institutional theory to the institutional pressures for firms’ adoption of CE practices. While these studies offer valuable insights, they have explored particular country cases and focused on a narrow set of institutional factors </w:t>
      </w:r>
      <w:r w:rsidRPr="00EE533D">
        <w:rPr>
          <w:rFonts w:ascii="Times New Roman" w:hAnsi="Times New Roman" w:cs="Times New Roman"/>
          <w:sz w:val="24"/>
          <w:szCs w:val="24"/>
          <w:lang w:val="en-GB"/>
        </w:rPr>
        <w:lastRenderedPageBreak/>
        <w:t xml:space="preserve">(regulation and norms). Third, a significant issue that remains unexplored in the literature is the influence of institutional development on firms’ adoption of CE practices. </w:t>
      </w:r>
      <w:r w:rsidRPr="00EE533D">
        <w:rPr>
          <w:rFonts w:ascii="Times New Roman" w:hAnsi="Times New Roman" w:cs="Times New Roman"/>
          <w:bCs/>
          <w:sz w:val="24"/>
          <w:szCs w:val="24"/>
          <w:lang w:val="en-GB"/>
        </w:rPr>
        <w:t>I</w:t>
      </w:r>
      <w:r w:rsidRPr="00EE533D">
        <w:rPr>
          <w:rFonts w:ascii="Times New Roman" w:hAnsi="Times New Roman" w:cs="Times New Roman"/>
          <w:sz w:val="24"/>
          <w:szCs w:val="24"/>
          <w:lang w:val="en-GB"/>
        </w:rPr>
        <w:t xml:space="preserve">t is crucial to examine the quality of a country's economic, political, and social institutions </w:t>
      </w:r>
      <w:r w:rsidRPr="00EE533D">
        <w:rPr>
          <w:rFonts w:ascii="Times New Roman" w:hAnsi="Times New Roman" w:cs="Times New Roman"/>
          <w:sz w:val="24"/>
          <w:szCs w:val="24"/>
          <w:lang w:val="en-GB"/>
        </w:rPr>
        <w:fldChar w:fldCharType="begin"/>
      </w:r>
      <w:r w:rsidR="00BE55BA" w:rsidRPr="00EE533D">
        <w:rPr>
          <w:rFonts w:ascii="Times New Roman" w:hAnsi="Times New Roman" w:cs="Times New Roman"/>
          <w:sz w:val="24"/>
          <w:szCs w:val="24"/>
          <w:lang w:val="en-GB"/>
        </w:rPr>
        <w:instrText xml:space="preserve"> ADDIN ZOTERO_ITEM CSL_CITATION {"citationID":"Do7MA7lR","properties":{"formattedCitation":"(Hermelo and Vassolo, 2010)","plainCitation":"(Hermelo and Vassolo, 2010)","noteIndex":0},"citationItems":[{"id":2589,"uris":["http://zotero.org/users/8125408/items/GN6EQ7F2"],"itemData":{"id":2589,"type":"article-journal","container-title":"Strategic Management Journal","ISSN":"0143-2095","issue":"13","journalAbbreviation":"Strategic Management Journal","note":"publisher: Wiley Online Library","page":"1457-1473","title":"Institutional development and hypercompetition in emerging economies","volume":"31","author":[{"family":"Hermelo","given":"Francisco Diaz"},{"family":"Vassolo","given":"Roberto"}],"issued":{"date-parts":[["2010"]]}}}],"schema":"https://github.com/citation-style-language/schema/raw/master/csl-citation.json"} </w:instrText>
      </w:r>
      <w:r w:rsidRPr="00EE533D">
        <w:rPr>
          <w:rFonts w:ascii="Times New Roman" w:hAnsi="Times New Roman" w:cs="Times New Roman"/>
          <w:sz w:val="24"/>
          <w:szCs w:val="24"/>
          <w:lang w:val="en-GB"/>
        </w:rPr>
        <w:fldChar w:fldCharType="separate"/>
      </w:r>
      <w:r w:rsidR="00BE55BA" w:rsidRPr="00EE533D">
        <w:rPr>
          <w:rFonts w:ascii="Times New Roman" w:hAnsi="Times New Roman" w:cs="Times New Roman"/>
          <w:sz w:val="24"/>
          <w:lang w:val="en-GB"/>
        </w:rPr>
        <w:t>(Hermelo and Vassolo, 2010)</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how effectively they can establish an environment conducive to CE practices. This involves analyzing the extent to which </w:t>
      </w:r>
      <w:bookmarkStart w:id="8" w:name="_Hlk169876218"/>
      <w:r w:rsidRPr="00EE533D">
        <w:rPr>
          <w:rFonts w:ascii="Times New Roman" w:hAnsi="Times New Roman" w:cs="Times New Roman"/>
          <w:sz w:val="24"/>
          <w:szCs w:val="24"/>
          <w:lang w:val="en-GB"/>
        </w:rPr>
        <w:t xml:space="preserve">institutional stability and what we term </w:t>
      </w:r>
      <w:r w:rsidRPr="00EE533D">
        <w:rPr>
          <w:rFonts w:ascii="Times New Roman" w:hAnsi="Times New Roman" w:cs="Times New Roman"/>
          <w:sz w:val="24"/>
          <w:szCs w:val="24"/>
          <w:lang w:val="en-GB"/>
        </w:rPr>
        <w:lastRenderedPageBreak/>
        <w:t>institutional conduciveness</w:t>
      </w:r>
      <w:bookmarkEnd w:id="8"/>
      <w:r w:rsidRPr="00EE533D">
        <w:rPr>
          <w:rFonts w:ascii="Times New Roman" w:hAnsi="Times New Roman" w:cs="Times New Roman"/>
          <w:sz w:val="24"/>
          <w:szCs w:val="24"/>
          <w:lang w:val="en-GB"/>
        </w:rPr>
        <w:t xml:space="preserve"> (a fair and favo</w:t>
      </w:r>
      <w:r w:rsidR="00863809" w:rsidRPr="00EE533D">
        <w:rPr>
          <w:rFonts w:ascii="Times New Roman" w:hAnsi="Times New Roman" w:cs="Times New Roman"/>
          <w:sz w:val="24"/>
          <w:szCs w:val="24"/>
          <w:lang w:val="en-GB"/>
        </w:rPr>
        <w:t>u</w:t>
      </w:r>
      <w:r w:rsidRPr="00EE533D">
        <w:rPr>
          <w:rFonts w:ascii="Times New Roman" w:hAnsi="Times New Roman" w:cs="Times New Roman"/>
          <w:sz w:val="24"/>
          <w:szCs w:val="24"/>
          <w:lang w:val="en-GB"/>
        </w:rPr>
        <w:t>rable market and regulatory framework) promote the adoption of CE practices. Those two dimensions represent an important determinant for the transition to CE, as that transition implies a radical change in organizational structures, business models, operating systems, and procedures. Institutional stability is crucial in mitigating the uncertainty that surrounds CE activities by conferring a consistent and predictable business en</w:t>
      </w:r>
      <w:r w:rsidRPr="00EE533D">
        <w:rPr>
          <w:rFonts w:ascii="Times New Roman" w:hAnsi="Times New Roman" w:cs="Times New Roman"/>
          <w:sz w:val="24"/>
          <w:szCs w:val="24"/>
          <w:lang w:val="en-GB"/>
        </w:rPr>
        <w:lastRenderedPageBreak/>
        <w:t xml:space="preserve">vironment; institutional conduciveness is expected to be a key driver for the CE as it implies a transparent business environment and fair rules, improving the competition conditions for all firms. </w:t>
      </w:r>
    </w:p>
    <w:p w14:paraId="0FF80D68" w14:textId="327DA193" w:rsidR="00B80176" w:rsidRPr="00EE533D" w:rsidRDefault="00742EAA" w:rsidP="00BD7A10">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The objective of our paper is to fill these gaps by going beyond the </w:t>
      </w:r>
      <w:r w:rsidR="00D041A4" w:rsidRPr="00EE533D">
        <w:rPr>
          <w:rFonts w:ascii="Times New Roman" w:hAnsi="Times New Roman" w:cs="Times New Roman"/>
          <w:sz w:val="24"/>
          <w:szCs w:val="24"/>
          <w:lang w:val="en-GB"/>
        </w:rPr>
        <w:t xml:space="preserve">regulation </w:t>
      </w:r>
      <w:r w:rsidRPr="00EE533D">
        <w:rPr>
          <w:rFonts w:ascii="Times New Roman" w:hAnsi="Times New Roman" w:cs="Times New Roman"/>
          <w:sz w:val="24"/>
          <w:szCs w:val="24"/>
          <w:lang w:val="en-GB"/>
        </w:rPr>
        <w:t>pressures and considering a larger institutional framework to analyze how institutional quality</w:t>
      </w:r>
      <w:r w:rsidR="00D57B98" w:rsidRPr="00EE533D">
        <w:rPr>
          <w:rFonts w:ascii="Times New Roman" w:hAnsi="Times New Roman" w:cs="Times New Roman"/>
          <w:sz w:val="24"/>
          <w:szCs w:val="24"/>
          <w:lang w:val="en-GB"/>
        </w:rPr>
        <w:t>, which encompasses both institutional stability and conduciveness factors, shapes</w:t>
      </w:r>
      <w:r w:rsidR="00FF6341" w:rsidRPr="00EE533D">
        <w:rPr>
          <w:rFonts w:ascii="Times New Roman" w:hAnsi="Times New Roman" w:cs="Times New Roman"/>
          <w:sz w:val="24"/>
          <w:szCs w:val="24"/>
          <w:lang w:val="en-GB"/>
        </w:rPr>
        <w:t xml:space="preserve"> the opportunities and </w:t>
      </w:r>
      <w:r w:rsidR="00FF6341" w:rsidRPr="00EE533D">
        <w:rPr>
          <w:rFonts w:ascii="Times New Roman" w:hAnsi="Times New Roman" w:cs="Times New Roman"/>
          <w:sz w:val="24"/>
          <w:szCs w:val="24"/>
          <w:lang w:val="en-GB"/>
        </w:rPr>
        <w:lastRenderedPageBreak/>
        <w:t xml:space="preserve">barriers to implementing CE practices. </w:t>
      </w:r>
      <w:r w:rsidRPr="00EE533D">
        <w:rPr>
          <w:rFonts w:ascii="Times New Roman" w:hAnsi="Times New Roman" w:cs="Times New Roman"/>
          <w:sz w:val="24"/>
          <w:szCs w:val="24"/>
          <w:lang w:val="en-GB"/>
        </w:rPr>
        <w:t xml:space="preserve">We </w:t>
      </w:r>
      <w:r w:rsidR="00D57B98" w:rsidRPr="00EE533D">
        <w:rPr>
          <w:rFonts w:ascii="Times New Roman" w:hAnsi="Times New Roman" w:cs="Times New Roman"/>
          <w:sz w:val="24"/>
          <w:szCs w:val="24"/>
          <w:lang w:val="en-GB"/>
        </w:rPr>
        <w:t>hypothesize that those dimensions represent an important determinant for the transition to CE</w:t>
      </w:r>
      <w:r w:rsidR="00A75F81" w:rsidRPr="00EE533D">
        <w:rPr>
          <w:rFonts w:ascii="Times New Roman" w:hAnsi="Times New Roman" w:cs="Times New Roman"/>
          <w:sz w:val="24"/>
          <w:szCs w:val="24"/>
          <w:lang w:val="en-GB"/>
        </w:rPr>
        <w:t>,</w:t>
      </w:r>
      <w:r w:rsidR="00D57B98" w:rsidRPr="00EE533D">
        <w:rPr>
          <w:rFonts w:ascii="Times New Roman" w:hAnsi="Times New Roman" w:cs="Times New Roman"/>
          <w:sz w:val="24"/>
          <w:szCs w:val="24"/>
          <w:lang w:val="en-GB"/>
        </w:rPr>
        <w:t xml:space="preserve"> as it implies a radical change in organizational structures, business models, operating systems,</w:t>
      </w:r>
      <w:r w:rsidR="00B21E5C" w:rsidRPr="00EE533D">
        <w:rPr>
          <w:rFonts w:ascii="Times New Roman" w:hAnsi="Times New Roman" w:cs="Times New Roman"/>
          <w:sz w:val="24"/>
          <w:szCs w:val="24"/>
          <w:lang w:val="en-GB"/>
        </w:rPr>
        <w:t xml:space="preserve"> and procedures. </w:t>
      </w:r>
      <w:r w:rsidRPr="00EE533D">
        <w:rPr>
          <w:rFonts w:ascii="Times New Roman" w:hAnsi="Times New Roman" w:cs="Times New Roman"/>
          <w:sz w:val="24"/>
          <w:szCs w:val="24"/>
          <w:lang w:val="en-GB"/>
        </w:rPr>
        <w:t>Indeed</w:t>
      </w:r>
      <w:r w:rsidR="00B21E5C" w:rsidRPr="00EE533D">
        <w:rPr>
          <w:rFonts w:ascii="Times New Roman" w:hAnsi="Times New Roman" w:cs="Times New Roman"/>
          <w:sz w:val="24"/>
          <w:szCs w:val="24"/>
          <w:lang w:val="en-GB"/>
        </w:rPr>
        <w:t xml:space="preserve">, institutional stability is crucial in mitigating the uncertainty that </w:t>
      </w:r>
      <w:r w:rsidR="0023427F" w:rsidRPr="00EE533D">
        <w:rPr>
          <w:rFonts w:ascii="Times New Roman" w:hAnsi="Times New Roman" w:cs="Times New Roman"/>
          <w:sz w:val="24"/>
          <w:szCs w:val="24"/>
          <w:lang w:val="en-GB"/>
        </w:rPr>
        <w:t xml:space="preserve">surrounds CE activities by providing a consistent and predictable foundation for the </w:t>
      </w:r>
      <w:r w:rsidR="00B21E5C" w:rsidRPr="00EE533D">
        <w:rPr>
          <w:rFonts w:ascii="Times New Roman" w:hAnsi="Times New Roman" w:cs="Times New Roman"/>
          <w:sz w:val="24"/>
          <w:szCs w:val="24"/>
          <w:lang w:val="en-GB"/>
        </w:rPr>
        <w:t xml:space="preserve">institutional environment. </w:t>
      </w:r>
      <w:r w:rsidR="00407231" w:rsidRPr="00EE533D">
        <w:rPr>
          <w:rFonts w:ascii="Times New Roman" w:hAnsi="Times New Roman" w:cs="Times New Roman"/>
          <w:sz w:val="24"/>
          <w:szCs w:val="24"/>
          <w:lang w:val="en-GB"/>
        </w:rPr>
        <w:t>Also</w:t>
      </w:r>
      <w:r w:rsidR="002F335C" w:rsidRPr="00EE533D">
        <w:rPr>
          <w:rFonts w:ascii="Times New Roman" w:hAnsi="Times New Roman" w:cs="Times New Roman"/>
          <w:sz w:val="24"/>
          <w:szCs w:val="24"/>
          <w:lang w:val="en-GB"/>
        </w:rPr>
        <w:t>,</w:t>
      </w:r>
      <w:r w:rsidR="00407231" w:rsidRPr="00EE533D">
        <w:rPr>
          <w:rFonts w:ascii="Times New Roman" w:hAnsi="Times New Roman" w:cs="Times New Roman"/>
          <w:sz w:val="24"/>
          <w:szCs w:val="24"/>
          <w:lang w:val="en-GB"/>
        </w:rPr>
        <w:t xml:space="preserve"> institutional conduciveness, </w:t>
      </w:r>
      <w:bookmarkStart w:id="9" w:name="_Hlk195904876"/>
      <w:r w:rsidR="00407231" w:rsidRPr="00EE533D">
        <w:rPr>
          <w:rFonts w:ascii="Times New Roman" w:hAnsi="Times New Roman" w:cs="Times New Roman"/>
          <w:sz w:val="24"/>
          <w:szCs w:val="24"/>
          <w:lang w:val="en-GB"/>
        </w:rPr>
        <w:t xml:space="preserve">rooted in a free and fair institutional framework </w:t>
      </w:r>
      <w:r w:rsidR="00407231" w:rsidRPr="00EE533D">
        <w:rPr>
          <w:rFonts w:ascii="Times New Roman" w:hAnsi="Times New Roman" w:cs="Times New Roman"/>
          <w:sz w:val="24"/>
          <w:szCs w:val="24"/>
          <w:lang w:val="en-GB"/>
        </w:rPr>
        <w:lastRenderedPageBreak/>
        <w:t xml:space="preserve">and supported by the quality of administrative infrastructure, plays a key role in advancing the circular economy. It contributes to </w:t>
      </w:r>
      <w:r w:rsidR="0023427F" w:rsidRPr="00EE533D">
        <w:rPr>
          <w:rFonts w:ascii="Times New Roman" w:hAnsi="Times New Roman" w:cs="Times New Roman"/>
          <w:sz w:val="24"/>
          <w:szCs w:val="24"/>
          <w:lang w:val="en-GB"/>
        </w:rPr>
        <w:t>creating</w:t>
      </w:r>
      <w:r w:rsidR="00407231" w:rsidRPr="00EE533D">
        <w:rPr>
          <w:rFonts w:ascii="Times New Roman" w:hAnsi="Times New Roman" w:cs="Times New Roman"/>
          <w:sz w:val="24"/>
          <w:szCs w:val="24"/>
          <w:lang w:val="en-GB"/>
        </w:rPr>
        <w:t xml:space="preserve"> a transparent environment and ensures fair rules, thereby improving competitive conditions for all businesses</w:t>
      </w:r>
      <w:bookmarkEnd w:id="9"/>
      <w:r w:rsidR="00407231" w:rsidRPr="00EE533D">
        <w:rPr>
          <w:rFonts w:ascii="Times New Roman" w:hAnsi="Times New Roman" w:cs="Times New Roman"/>
          <w:sz w:val="24"/>
          <w:szCs w:val="24"/>
          <w:lang w:val="en-GB"/>
        </w:rPr>
        <w:t xml:space="preserve">. </w:t>
      </w:r>
      <w:r w:rsidR="00B21E5C" w:rsidRPr="00EE533D">
        <w:rPr>
          <w:rFonts w:ascii="Times New Roman" w:hAnsi="Times New Roman" w:cs="Times New Roman"/>
          <w:sz w:val="24"/>
          <w:szCs w:val="24"/>
          <w:lang w:val="en-GB"/>
        </w:rPr>
        <w:t xml:space="preserve">In this perspective, we use the </w:t>
      </w:r>
      <w:r w:rsidR="00B21E5C" w:rsidRPr="00EE533D">
        <w:rPr>
          <w:rFonts w:ascii="Times New Roman" w:hAnsi="Times New Roman" w:cs="Times New Roman"/>
          <w:i/>
          <w:iCs/>
          <w:sz w:val="24"/>
          <w:szCs w:val="24"/>
          <w:lang w:val="en-GB"/>
        </w:rPr>
        <w:t>World Governance Indicators</w:t>
      </w:r>
      <w:r w:rsidR="00B21E5C" w:rsidRPr="00EE533D">
        <w:rPr>
          <w:rFonts w:ascii="Times New Roman" w:hAnsi="Times New Roman" w:cs="Times New Roman"/>
          <w:sz w:val="24"/>
          <w:szCs w:val="24"/>
          <w:lang w:val="en-GB"/>
        </w:rPr>
        <w:t xml:space="preserve"> database of the </w:t>
      </w:r>
      <w:r w:rsidR="00B21E5C" w:rsidRPr="00EE533D">
        <w:rPr>
          <w:rFonts w:ascii="Times New Roman" w:hAnsi="Times New Roman" w:cs="Times New Roman"/>
          <w:i/>
          <w:iCs/>
          <w:sz w:val="24"/>
          <w:szCs w:val="24"/>
          <w:lang w:val="en-GB"/>
        </w:rPr>
        <w:t xml:space="preserve">World Bank </w:t>
      </w:r>
      <w:r w:rsidR="00B21E5C" w:rsidRPr="00EE533D">
        <w:rPr>
          <w:rFonts w:ascii="Times New Roman" w:hAnsi="Times New Roman" w:cs="Times New Roman"/>
          <w:sz w:val="24"/>
          <w:szCs w:val="24"/>
          <w:lang w:val="en-GB"/>
        </w:rPr>
        <w:t>and the fifteenth edition of the Legatum Prosperity Index</w:t>
      </w:r>
      <w:r w:rsidR="0023427F" w:rsidRPr="00EE533D">
        <w:rPr>
          <w:rFonts w:ascii="Times New Roman" w:hAnsi="Times New Roman" w:cs="Times New Roman"/>
          <w:sz w:val="24"/>
          <w:szCs w:val="24"/>
          <w:lang w:val="en-GB"/>
        </w:rPr>
        <w:t xml:space="preserve">, which offers annual time-variant measures of the institutional stability captured by the political stability and the confidence </w:t>
      </w:r>
      <w:r w:rsidR="0023427F" w:rsidRPr="00EE533D">
        <w:rPr>
          <w:rFonts w:ascii="Times New Roman" w:hAnsi="Times New Roman" w:cs="Times New Roman"/>
          <w:sz w:val="24"/>
          <w:szCs w:val="24"/>
          <w:lang w:val="en-GB"/>
        </w:rPr>
        <w:lastRenderedPageBreak/>
        <w:t>in the rule of law</w:t>
      </w:r>
      <w:r w:rsidR="00B21E5C" w:rsidRPr="00EE533D">
        <w:rPr>
          <w:rFonts w:ascii="Times New Roman" w:hAnsi="Times New Roman" w:cs="Times New Roman"/>
          <w:sz w:val="24"/>
          <w:szCs w:val="24"/>
          <w:lang w:val="en-GB"/>
        </w:rPr>
        <w:t>. Meanwhile, institutional conduciveness is assessed through factors such as free and fair corporate governance, a liberal market</w:t>
      </w:r>
      <w:r w:rsidR="0023427F" w:rsidRPr="00EE533D">
        <w:rPr>
          <w:rFonts w:ascii="Times New Roman" w:hAnsi="Times New Roman" w:cs="Times New Roman"/>
          <w:sz w:val="24"/>
          <w:szCs w:val="24"/>
          <w:lang w:val="en-GB"/>
        </w:rPr>
        <w:t>,</w:t>
      </w:r>
      <w:r w:rsidR="00B21E5C" w:rsidRPr="00EE533D">
        <w:rPr>
          <w:rFonts w:ascii="Times New Roman" w:hAnsi="Times New Roman" w:cs="Times New Roman"/>
          <w:sz w:val="24"/>
          <w:szCs w:val="24"/>
          <w:lang w:val="en-GB"/>
        </w:rPr>
        <w:t xml:space="preserve"> and an effective administrative infrastructure. </w:t>
      </w:r>
      <w:bookmarkStart w:id="10" w:name="_Hlk154230831"/>
    </w:p>
    <w:p w14:paraId="3A26FF30" w14:textId="142FBC6D" w:rsidR="00B21E5C" w:rsidRPr="00EE533D" w:rsidRDefault="00B80176" w:rsidP="00EE2C32">
      <w:pPr>
        <w:spacing w:line="360" w:lineRule="auto"/>
        <w:ind w:firstLine="708"/>
        <w:jc w:val="both"/>
        <w:rPr>
          <w:rFonts w:ascii="Times New Roman" w:hAnsi="Times New Roman" w:cs="Times New Roman"/>
          <w:sz w:val="24"/>
          <w:szCs w:val="24"/>
          <w:lang w:val="en-GB"/>
        </w:rPr>
      </w:pPr>
      <w:bookmarkStart w:id="11" w:name="_Hlk195898514"/>
      <w:bookmarkEnd w:id="4"/>
      <w:r w:rsidRPr="00EE533D">
        <w:rPr>
          <w:rFonts w:ascii="Times New Roman" w:hAnsi="Times New Roman" w:cs="Times New Roman"/>
          <w:sz w:val="24"/>
          <w:szCs w:val="24"/>
          <w:lang w:val="en-GB"/>
        </w:rPr>
        <w:t>As r</w:t>
      </w:r>
      <w:r w:rsidRPr="00EE533D">
        <w:rPr>
          <w:rFonts w:ascii="Times New Roman" w:eastAsia="Times New Roman" w:hAnsi="Times New Roman" w:cs="Times New Roman"/>
          <w:bCs/>
          <w:sz w:val="24"/>
          <w:szCs w:val="24"/>
          <w:lang w:val="en-GB" w:eastAsia="fr-FR" w:bidi="ar-SA"/>
        </w:rPr>
        <w:t>ecycling plays a fundamental role in CE frameworks by promoting material recovery, minimizing waste, and lowering the demand for primary resources</w:t>
      </w:r>
      <w:bookmarkEnd w:id="11"/>
      <w:r w:rsidRPr="00EE533D">
        <w:rPr>
          <w:rFonts w:ascii="Times New Roman" w:eastAsia="Times New Roman" w:hAnsi="Times New Roman" w:cs="Times New Roman"/>
          <w:bCs/>
          <w:sz w:val="24"/>
          <w:szCs w:val="24"/>
          <w:lang w:val="en-GB" w:eastAsia="fr-FR" w:bidi="ar-SA"/>
        </w:rPr>
        <w:t xml:space="preserve"> </w:t>
      </w:r>
      <w:r w:rsidR="004A6E6B" w:rsidRPr="00EE533D">
        <w:rPr>
          <w:rFonts w:ascii="Times New Roman" w:eastAsia="Times New Roman" w:hAnsi="Times New Roman" w:cs="Times New Roman"/>
          <w:bCs/>
          <w:sz w:val="24"/>
          <w:szCs w:val="24"/>
          <w:lang w:val="en-GB" w:eastAsia="fr-FR" w:bidi="ar-SA"/>
        </w:rPr>
        <w:t>(</w:t>
      </w:r>
      <w:r w:rsidR="00EE2C32" w:rsidRPr="00EE533D">
        <w:rPr>
          <w:rFonts w:ascii="Times New Roman" w:eastAsia="Times New Roman" w:hAnsi="Times New Roman" w:cs="Times New Roman"/>
          <w:bCs/>
          <w:sz w:val="24"/>
          <w:szCs w:val="24"/>
          <w:lang w:val="en-GB" w:eastAsia="fr-FR" w:bidi="ar-SA"/>
        </w:rPr>
        <w:fldChar w:fldCharType="begin"/>
      </w:r>
      <w:r w:rsidR="008D5E03" w:rsidRPr="00EE533D">
        <w:rPr>
          <w:rFonts w:ascii="Times New Roman" w:eastAsia="Times New Roman" w:hAnsi="Times New Roman" w:cs="Times New Roman"/>
          <w:bCs/>
          <w:sz w:val="24"/>
          <w:szCs w:val="24"/>
          <w:lang w:val="en-GB" w:eastAsia="fr-FR" w:bidi="ar-SA"/>
        </w:rPr>
        <w:instrText xml:space="preserve"> ADDIN ZOTERO_ITEM CSL_CITATION {"citationID":"AOwqlXTR","properties":{"formattedCitation":"(Sarja et al., 2021)","plainCitation":"(Sarja et al., 2021)","dontUpdate":true,"noteIndex":0},"citationItems":[{"id":3725,"uris":["http://zotero.org/users/8125408/items/V2FBPMH2"],"itemData":{"id":3725,"type":"article-journal","container-title":"Journal of Cleaner Production","ISSN":"0959-6526","journalAbbreviation":"Journal of Cleaner Production","note":"publisher: Elsevier","page":"125492","title":"A systematic literature review of the transition to the circular economy in business organizations: Obstacles, catalysts and ambivalences","volume":"286","author":[{"family":"Sarja","given":"Milla"},{"family":"Onkila","given":"Tiina"},{"family":"Mäkelä","given":"Marileena"}],"issued":{"date-parts":[["2021"]]}}}],"schema":"https://github.com/citation-style-language/schema/raw/master/csl-citation.json"} </w:instrText>
      </w:r>
      <w:r w:rsidR="00EE2C32" w:rsidRPr="00EE533D">
        <w:rPr>
          <w:rFonts w:ascii="Times New Roman" w:eastAsia="Times New Roman" w:hAnsi="Times New Roman" w:cs="Times New Roman"/>
          <w:bCs/>
          <w:sz w:val="24"/>
          <w:szCs w:val="24"/>
          <w:lang w:val="en-GB" w:eastAsia="fr-FR" w:bidi="ar-SA"/>
        </w:rPr>
        <w:fldChar w:fldCharType="separate"/>
      </w:r>
      <w:r w:rsidR="00EE2C32" w:rsidRPr="00EE533D">
        <w:rPr>
          <w:rFonts w:ascii="Times New Roman" w:hAnsi="Times New Roman" w:cs="Times New Roman"/>
          <w:sz w:val="24"/>
          <w:lang w:val="en-GB"/>
        </w:rPr>
        <w:t>Sarja et al.</w:t>
      </w:r>
      <w:r w:rsidR="004A6E6B" w:rsidRPr="00EE533D">
        <w:rPr>
          <w:rFonts w:ascii="Times New Roman" w:hAnsi="Times New Roman" w:cs="Times New Roman"/>
          <w:sz w:val="24"/>
          <w:lang w:val="en-GB"/>
        </w:rPr>
        <w:t>,</w:t>
      </w:r>
      <w:r w:rsidR="00EE2C32" w:rsidRPr="00EE533D">
        <w:rPr>
          <w:rFonts w:ascii="Times New Roman" w:hAnsi="Times New Roman" w:cs="Times New Roman"/>
          <w:sz w:val="24"/>
          <w:lang w:val="en-GB"/>
        </w:rPr>
        <w:t xml:space="preserve"> 2021)</w:t>
      </w:r>
      <w:r w:rsidR="00EE2C32" w:rsidRPr="00EE533D">
        <w:rPr>
          <w:rFonts w:ascii="Times New Roman" w:eastAsia="Times New Roman" w:hAnsi="Times New Roman" w:cs="Times New Roman"/>
          <w:bCs/>
          <w:sz w:val="24"/>
          <w:szCs w:val="24"/>
          <w:lang w:val="en-GB" w:eastAsia="fr-FR" w:bidi="ar-SA"/>
        </w:rPr>
        <w:fldChar w:fldCharType="end"/>
      </w:r>
      <w:r w:rsidR="00EE2C32" w:rsidRPr="00EE533D">
        <w:rPr>
          <w:rFonts w:ascii="Times New Roman" w:eastAsia="Times New Roman" w:hAnsi="Times New Roman" w:cs="Times New Roman"/>
          <w:bCs/>
          <w:sz w:val="24"/>
          <w:szCs w:val="24"/>
          <w:lang w:val="en-GB" w:eastAsia="fr-FR" w:bidi="ar-SA"/>
        </w:rPr>
        <w:t>,</w:t>
      </w:r>
      <w:r w:rsidR="00B21E5C" w:rsidRPr="00EE533D">
        <w:rPr>
          <w:rFonts w:ascii="Times New Roman" w:hAnsi="Times New Roman" w:cs="Times New Roman"/>
          <w:sz w:val="24"/>
          <w:szCs w:val="24"/>
          <w:lang w:val="en-GB"/>
        </w:rPr>
        <w:t xml:space="preserve"> our study explores this concept by examining the impact of these institutional variables on recycled waste </w:t>
      </w:r>
      <w:r w:rsidR="00B21E5C" w:rsidRPr="00EE533D">
        <w:rPr>
          <w:rFonts w:ascii="Times New Roman" w:hAnsi="Times New Roman" w:cs="Times New Roman"/>
          <w:sz w:val="24"/>
          <w:szCs w:val="24"/>
          <w:lang w:val="en-GB"/>
        </w:rPr>
        <w:lastRenderedPageBreak/>
        <w:t xml:space="preserve">levels of </w:t>
      </w:r>
      <w:r w:rsidR="00AB3124" w:rsidRPr="00EE533D">
        <w:rPr>
          <w:rFonts w:ascii="Times New Roman" w:hAnsi="Times New Roman" w:cs="Times New Roman"/>
          <w:sz w:val="24"/>
          <w:szCs w:val="24"/>
          <w:lang w:val="en-GB"/>
        </w:rPr>
        <w:t>1096</w:t>
      </w:r>
      <w:r w:rsidR="00B21E5C" w:rsidRPr="00EE533D">
        <w:rPr>
          <w:rFonts w:ascii="Times New Roman" w:hAnsi="Times New Roman" w:cs="Times New Roman"/>
          <w:sz w:val="24"/>
          <w:szCs w:val="24"/>
          <w:lang w:val="en-GB"/>
        </w:rPr>
        <w:t xml:space="preserve"> firms listed in 40 countries, spanning the period from 2012 to 202</w:t>
      </w:r>
      <w:r w:rsidR="00AB3124" w:rsidRPr="00EE533D">
        <w:rPr>
          <w:rFonts w:ascii="Times New Roman" w:hAnsi="Times New Roman" w:cs="Times New Roman"/>
          <w:sz w:val="24"/>
          <w:szCs w:val="24"/>
          <w:lang w:val="en-GB"/>
        </w:rPr>
        <w:t>4</w:t>
      </w:r>
      <w:r w:rsidR="00B21E5C" w:rsidRPr="00EE533D">
        <w:rPr>
          <w:rFonts w:ascii="Times New Roman" w:hAnsi="Times New Roman" w:cs="Times New Roman"/>
          <w:sz w:val="24"/>
          <w:szCs w:val="24"/>
          <w:lang w:val="en-GB"/>
        </w:rPr>
        <w:t>. Our empirical analysis based on static and dynamic panel approaches will benefit from the strong heterogeneity that exists among the listed firms in terms of recycled waste as a percentage of a firm’s total waste (a), the level of recycled water (b) and the amount of recycled paper (</w:t>
      </w:r>
      <w:r w:rsidR="006B5FFA" w:rsidRPr="00EE533D">
        <w:rPr>
          <w:rFonts w:ascii="Times New Roman" w:hAnsi="Times New Roman" w:cs="Times New Roman"/>
          <w:sz w:val="24"/>
          <w:szCs w:val="24"/>
          <w:lang w:val="en-GB"/>
        </w:rPr>
        <w:t>c</w:t>
      </w:r>
      <w:r w:rsidR="00B21E5C" w:rsidRPr="00EE533D">
        <w:rPr>
          <w:rFonts w:ascii="Times New Roman" w:hAnsi="Times New Roman" w:cs="Times New Roman"/>
          <w:sz w:val="24"/>
          <w:szCs w:val="24"/>
          <w:lang w:val="en-GB"/>
        </w:rPr>
        <w:t xml:space="preserve">). </w:t>
      </w:r>
      <w:bookmarkEnd w:id="10"/>
      <w:r w:rsidR="00B21E5C" w:rsidRPr="00EE533D">
        <w:rPr>
          <w:rFonts w:ascii="Times New Roman" w:hAnsi="Times New Roman" w:cs="Times New Roman"/>
          <w:sz w:val="24"/>
          <w:szCs w:val="24"/>
          <w:lang w:val="en-GB"/>
        </w:rPr>
        <w:t>Therefore, the contribution of this paper is multifold. F</w:t>
      </w:r>
      <w:r w:rsidR="00863809" w:rsidRPr="00EE533D">
        <w:rPr>
          <w:rFonts w:ascii="Times New Roman" w:hAnsi="Times New Roman" w:cs="Times New Roman"/>
          <w:sz w:val="24"/>
          <w:szCs w:val="24"/>
          <w:lang w:val="en-GB"/>
        </w:rPr>
        <w:t>ir</w:t>
      </w:r>
      <w:r w:rsidR="00B21E5C" w:rsidRPr="00EE533D">
        <w:rPr>
          <w:rFonts w:ascii="Times New Roman" w:hAnsi="Times New Roman" w:cs="Times New Roman"/>
          <w:sz w:val="24"/>
          <w:szCs w:val="24"/>
          <w:lang w:val="en-GB"/>
        </w:rPr>
        <w:t>st, this paper emphasizes the intricate inter</w:t>
      </w:r>
      <w:r w:rsidR="00B21E5C" w:rsidRPr="00EE533D">
        <w:rPr>
          <w:rFonts w:ascii="Times New Roman" w:hAnsi="Times New Roman" w:cs="Times New Roman"/>
          <w:sz w:val="24"/>
          <w:szCs w:val="24"/>
          <w:lang w:val="en-GB"/>
        </w:rPr>
        <w:lastRenderedPageBreak/>
        <w:t>play between firms and their institutional environment. It provides a fresh lens to understand the barriers and enablers in the path toward a circular economy, enriching the ongoing discourse on environmental sustainability and firm capabilities. Furthermore, our research lays a foundational framework for policymakers, assisting them in devising informed policies and strategies to overcome obstacles in implementing CE initiatives and ensuring their successful execution.</w:t>
      </w:r>
    </w:p>
    <w:p w14:paraId="6B3E6BE7" w14:textId="7CB50B7A" w:rsidR="00871FC0" w:rsidRPr="00EE533D" w:rsidRDefault="00B21E5C" w:rsidP="00BD7A10">
      <w:pPr>
        <w:spacing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Our study is organized as follows. Section 2 will discuss the relationship between institutions and CE capabilities highlighting our hypotheses. The data set and the variables will be statistically described in Section 3 while the empirical analysis and the robustness checks will be performed in Section 4. The last section concludes.</w:t>
      </w:r>
    </w:p>
    <w:p w14:paraId="7AA3DF68" w14:textId="77777777" w:rsidR="00641E4D" w:rsidRPr="00EE533D" w:rsidRDefault="00641E4D" w:rsidP="002F335C">
      <w:pPr>
        <w:spacing w:line="360" w:lineRule="auto"/>
        <w:jc w:val="both"/>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2. Institutions and circular economy practices</w:t>
      </w:r>
    </w:p>
    <w:p w14:paraId="7BBE9CA7" w14:textId="2FF7B6C6" w:rsidR="00641E4D" w:rsidRPr="00EE533D" w:rsidRDefault="00641E4D" w:rsidP="002F335C">
      <w:pPr>
        <w:pStyle w:val="NormalWeb"/>
        <w:spacing w:line="360" w:lineRule="auto"/>
        <w:ind w:firstLine="708"/>
        <w:jc w:val="both"/>
        <w:rPr>
          <w:lang w:val="en-GB"/>
        </w:rPr>
      </w:pPr>
      <w:r w:rsidRPr="00EE533D">
        <w:rPr>
          <w:lang w:val="en-GB"/>
        </w:rPr>
        <w:t xml:space="preserve">In </w:t>
      </w:r>
      <w:r w:rsidR="008B253A" w:rsidRPr="00EE533D">
        <w:rPr>
          <w:lang w:val="en-GB"/>
        </w:rPr>
        <w:t>their</w:t>
      </w:r>
      <w:r w:rsidRPr="00EE533D">
        <w:rPr>
          <w:lang w:val="en-GB"/>
        </w:rPr>
        <w:t xml:space="preserve"> literature review, </w:t>
      </w:r>
      <w:r w:rsidR="008D5E03" w:rsidRPr="00EE533D">
        <w:rPr>
          <w:lang w:val="en-GB"/>
        </w:rPr>
        <w:fldChar w:fldCharType="begin"/>
      </w:r>
      <w:r w:rsidR="00BE55BA" w:rsidRPr="00EE533D">
        <w:rPr>
          <w:lang w:val="en-GB"/>
        </w:rPr>
        <w:instrText xml:space="preserve"> ADDIN ZOTERO_ITEM CSL_CITATION {"citationID":"dwUVpizX","properties":{"formattedCitation":"(De Jesus and Mendon\\uc0\\u231{}a, 2018)","plainCitation":"(De Jesus and Mendonça, 2018)","dontUpdate":true,"noteIndex":0},"citationItems":[{"id":3741,"uris":["http://zotero.org/users/8125408/items/6JPXSSNB"],"itemData":{"id":3741,"type":"article-journal","container-title":"Ecological economics","ISSN":"0921-8009","journalAbbreviation":"Ecological economics","note":"publisher: Elsevier","page":"75-89","title":"Lost in transition? Drivers and barriers in the eco-innovation road to the circular economy","volume":"145","author":[{"family":"De Jesus","given":"Ana"},{"family":"Mendonça","given":"Sandro"}],"issued":{"date-parts":[["2018"]]}}}],"schema":"https://github.com/citation-style-language/schema/raw/master/csl-citation.json"} </w:instrText>
      </w:r>
      <w:r w:rsidR="008D5E03" w:rsidRPr="00EE533D">
        <w:rPr>
          <w:lang w:val="en-GB"/>
        </w:rPr>
        <w:fldChar w:fldCharType="separate"/>
      </w:r>
      <w:r w:rsidR="008D5E03" w:rsidRPr="00EE533D">
        <w:rPr>
          <w:lang w:val="en-GB"/>
        </w:rPr>
        <w:t>De Jesus and Mendonça (2018)</w:t>
      </w:r>
      <w:r w:rsidR="008D5E03" w:rsidRPr="00EE533D">
        <w:rPr>
          <w:lang w:val="en-GB"/>
        </w:rPr>
        <w:fldChar w:fldCharType="end"/>
      </w:r>
      <w:r w:rsidR="008D5E03" w:rsidRPr="00EE533D">
        <w:rPr>
          <w:lang w:val="en-GB"/>
        </w:rPr>
        <w:t xml:space="preserve"> </w:t>
      </w:r>
      <w:r w:rsidRPr="00EE533D">
        <w:rPr>
          <w:lang w:val="en-GB"/>
        </w:rPr>
        <w:t>identif</w:t>
      </w:r>
      <w:r w:rsidR="007A4A8D" w:rsidRPr="00EE533D">
        <w:rPr>
          <w:lang w:val="en-GB"/>
        </w:rPr>
        <w:t>ied</w:t>
      </w:r>
      <w:r w:rsidRPr="00EE533D">
        <w:rPr>
          <w:lang w:val="en-GB"/>
        </w:rPr>
        <w:t xml:space="preserve"> two types of factors</w:t>
      </w:r>
      <w:r w:rsidR="007A4A8D" w:rsidRPr="00EE533D">
        <w:rPr>
          <w:lang w:val="en-GB"/>
        </w:rPr>
        <w:t xml:space="preserve"> that </w:t>
      </w:r>
      <w:r w:rsidR="007A4A8D" w:rsidRPr="00EE533D">
        <w:rPr>
          <w:lang w:val="en-GB"/>
        </w:rPr>
        <w:lastRenderedPageBreak/>
        <w:t xml:space="preserve">could affect the </w:t>
      </w:r>
      <w:r w:rsidR="008B253A" w:rsidRPr="00EE533D">
        <w:rPr>
          <w:lang w:val="en-GB"/>
        </w:rPr>
        <w:t>performance of CE practices</w:t>
      </w:r>
      <w:r w:rsidR="000538B7" w:rsidRPr="00EE533D">
        <w:rPr>
          <w:lang w:val="en-GB"/>
        </w:rPr>
        <w:t>, namely</w:t>
      </w:r>
      <w:r w:rsidRPr="00EE533D">
        <w:rPr>
          <w:lang w:val="en-GB"/>
        </w:rPr>
        <w:t xml:space="preserve"> the hard factors and soft factors. Hard drivers and barriers include technical factors</w:t>
      </w:r>
      <w:r w:rsidR="00871FC0" w:rsidRPr="00EE533D">
        <w:rPr>
          <w:lang w:val="en-GB"/>
        </w:rPr>
        <w:t>,</w:t>
      </w:r>
      <w:r w:rsidRPr="00EE533D">
        <w:rPr>
          <w:lang w:val="en-GB"/>
        </w:rPr>
        <w:t xml:space="preserve"> as the availability of technical solutions is crucial for the transition to the CE because it implies a new mode of production and new business templates. It also includes economic, financial, and market factors. For example, the transition to the CE can be deterred by high costs and market uncertainty related to new investments. Factors linked to the economic context</w:t>
      </w:r>
      <w:r w:rsidR="00871FC0" w:rsidRPr="00EE533D">
        <w:rPr>
          <w:lang w:val="en-GB"/>
        </w:rPr>
        <w:t xml:space="preserve">, such as resource </w:t>
      </w:r>
      <w:r w:rsidR="00871FC0" w:rsidRPr="00EE533D">
        <w:rPr>
          <w:lang w:val="en-GB"/>
        </w:rPr>
        <w:lastRenderedPageBreak/>
        <w:t>consumption, imperfect information, and price volatility,</w:t>
      </w:r>
      <w:r w:rsidRPr="00EE533D">
        <w:rPr>
          <w:lang w:val="en-GB"/>
        </w:rPr>
        <w:t xml:space="preserve"> can promote or hinder the development of the CE. </w:t>
      </w:r>
    </w:p>
    <w:p w14:paraId="5A8CA6E1" w14:textId="5D219570" w:rsidR="00641E4D" w:rsidRPr="00EE533D" w:rsidRDefault="00641E4D" w:rsidP="00814C6B">
      <w:pPr>
        <w:pStyle w:val="NormalWeb"/>
        <w:spacing w:after="0" w:afterAutospacing="0" w:line="360" w:lineRule="auto"/>
        <w:ind w:firstLine="708"/>
        <w:jc w:val="both"/>
        <w:rPr>
          <w:rStyle w:val="reference-text"/>
          <w:lang w:val="en-GB"/>
        </w:rPr>
      </w:pPr>
      <w:r w:rsidRPr="00EE533D">
        <w:rPr>
          <w:lang w:val="en-GB"/>
        </w:rPr>
        <w:t>On the other hand, De Jesus and Mandonça</w:t>
      </w:r>
      <w:r w:rsidR="00871FC0" w:rsidRPr="00EE533D">
        <w:rPr>
          <w:lang w:val="en-GB"/>
        </w:rPr>
        <w:t xml:space="preserve"> (2018) identify soft factors such as institutional, social,</w:t>
      </w:r>
      <w:r w:rsidRPr="00EE533D">
        <w:rPr>
          <w:lang w:val="en-GB"/>
        </w:rPr>
        <w:t xml:space="preserve"> and cultural dimensions. For example, studies highlighted that cultural acceptance of the CE is considered </w:t>
      </w:r>
      <w:r w:rsidR="00871FC0" w:rsidRPr="00EE533D">
        <w:rPr>
          <w:lang w:val="en-GB"/>
        </w:rPr>
        <w:t xml:space="preserve">to be increasing slowly, resulting in the </w:t>
      </w:r>
      <w:r w:rsidRPr="00EE533D">
        <w:rPr>
          <w:lang w:val="en-GB"/>
        </w:rPr>
        <w:t xml:space="preserve">slow diffusion of CE models. The mindset of CE as an emerging and desirable business is still limited in different regions in the </w:t>
      </w:r>
      <w:r w:rsidRPr="00EE533D">
        <w:rPr>
          <w:lang w:val="en-GB"/>
        </w:rPr>
        <w:lastRenderedPageBreak/>
        <w:t xml:space="preserve">world (Ranta et al., 2018). Also, </w:t>
      </w:r>
      <w:r w:rsidR="00871FC0" w:rsidRPr="00EE533D">
        <w:rPr>
          <w:lang w:val="en-GB"/>
        </w:rPr>
        <w:t xml:space="preserve">a few studies started to question the role of the </w:t>
      </w:r>
      <w:r w:rsidRPr="00EE533D">
        <w:rPr>
          <w:lang w:val="en-GB"/>
        </w:rPr>
        <w:t xml:space="preserve">institutional framework in adopting CE practices. Ghisellini et </w:t>
      </w:r>
      <w:r w:rsidRPr="00EE533D">
        <w:rPr>
          <w:i/>
          <w:iCs/>
          <w:lang w:val="en-GB"/>
        </w:rPr>
        <w:t>al</w:t>
      </w:r>
      <w:r w:rsidRPr="00EE533D">
        <w:rPr>
          <w:lang w:val="en-GB"/>
        </w:rPr>
        <w:t xml:space="preserve">. (2016) and </w:t>
      </w:r>
      <w:r w:rsidRPr="00EE533D">
        <w:rPr>
          <w:lang w:val="en-GB"/>
        </w:rPr>
        <w:fldChar w:fldCharType="begin"/>
      </w:r>
      <w:r w:rsidR="00EE2C32" w:rsidRPr="00EE533D">
        <w:rPr>
          <w:lang w:val="en-GB"/>
        </w:rPr>
        <w:instrText xml:space="preserve"> ADDIN ZOTERO_ITEM CSL_CITATION {"citationID":"QlcfwQ63","properties":{"formattedCitation":"(Murray, Skene &amp; Haynes, 2017)","plainCitation":"(Murray, Skene &amp; Haynes, 2017)","dontUpdate":true,"noteIndex":0},"citationItems":[{"id":2071,"uris":["http://zotero.org/users/8125408/items/NEHBU3RJ"],"itemData":{"id":2071,"type":"article-journal","container-title":"Journal of business ethics","ISSN":"0167-4544","journalAbbreviation":"Journal of business ethics","note":"publisher: Springer","page":"369-380","title":"The circular economy: an interdisciplinary exploration of the concept and application in a global context","volume":"140","author":[{"family":"Murray","given":"Alan"},{"family":"Skene","given":"Keith"},{"family":"Haynes","given":"Kathryn"}],"issued":{"date-parts":[["2017"]]}}}],"schema":"https://github.com/citation-style-language/schema/raw/master/csl-citation.json"} </w:instrText>
      </w:r>
      <w:r w:rsidRPr="00EE533D">
        <w:rPr>
          <w:lang w:val="en-GB"/>
        </w:rPr>
        <w:fldChar w:fldCharType="separate"/>
      </w:r>
      <w:r w:rsidRPr="00EE533D">
        <w:rPr>
          <w:lang w:val="en-GB"/>
        </w:rPr>
        <w:t xml:space="preserve">Murray et </w:t>
      </w:r>
      <w:r w:rsidRPr="00EE533D">
        <w:rPr>
          <w:i/>
          <w:iCs/>
          <w:lang w:val="en-GB"/>
        </w:rPr>
        <w:t>al</w:t>
      </w:r>
      <w:r w:rsidRPr="00EE533D">
        <w:rPr>
          <w:lang w:val="en-GB"/>
        </w:rPr>
        <w:t>. (2017)</w:t>
      </w:r>
      <w:r w:rsidRPr="00EE533D">
        <w:rPr>
          <w:lang w:val="en-GB"/>
        </w:rPr>
        <w:fldChar w:fldCharType="end"/>
      </w:r>
      <w:r w:rsidRPr="00EE533D">
        <w:rPr>
          <w:lang w:val="en-GB"/>
        </w:rPr>
        <w:t xml:space="preserve"> stress that the legal framework, infrastructure development, tax incentives, and public education are all </w:t>
      </w:r>
      <w:r w:rsidR="00871FC0" w:rsidRPr="00EE533D">
        <w:rPr>
          <w:lang w:val="en-GB"/>
        </w:rPr>
        <w:t>promoters</w:t>
      </w:r>
      <w:r w:rsidRPr="00EE533D">
        <w:rPr>
          <w:lang w:val="en-GB"/>
        </w:rPr>
        <w:t xml:space="preserve"> of the CE. For </w:t>
      </w:r>
      <w:r w:rsidRPr="00EE533D">
        <w:rPr>
          <w:lang w:val="en-GB"/>
        </w:rPr>
        <w:fldChar w:fldCharType="begin"/>
      </w:r>
      <w:r w:rsidR="00EE2C32" w:rsidRPr="00EE533D">
        <w:rPr>
          <w:lang w:val="en-GB"/>
        </w:rPr>
        <w:instrText xml:space="preserve"> ADDIN ZOTERO_ITEM CSL_CITATION {"citationID":"F3yDmzku","properties":{"formattedCitation":"(de Abreu &amp; Ceglia, 2018)","plainCitation":"(de Abreu &amp; Ceglia, 2018)","dontUpdate":true,"noteIndex":0},"citationItems":[{"id":2072,"uris":["http://zotero.org/users/8125408/items/FR85FGD5"],"itemData":{"id":2072,"type":"article-journal","container-title":"Resources, conservation and recycling","ISSN":"0921-3449","journalAbbreviation":"Resources, conservation and recycling","note":"publisher: Elsevier","page":"99-109","title":"On the implementation of a circular economy: The role of institutional capacity-building through industrial symbiosis","volume":"138","author":[{"family":"Abreu","given":"Mônica Cavalcanti Sá","non-dropping-particle":"de"},{"family":"Ceglia","given":"Domenico"}],"issued":{"date-parts":[["2018"]]}}}],"schema":"https://github.com/citation-style-language/schema/raw/master/csl-citation.json"} </w:instrText>
      </w:r>
      <w:r w:rsidRPr="00EE533D">
        <w:rPr>
          <w:lang w:val="en-GB"/>
        </w:rPr>
        <w:fldChar w:fldCharType="separate"/>
      </w:r>
      <w:r w:rsidRPr="00EE533D">
        <w:rPr>
          <w:lang w:val="en-GB"/>
        </w:rPr>
        <w:t>de Abreu and Ceglia (2018)</w:t>
      </w:r>
      <w:r w:rsidRPr="00EE533D">
        <w:rPr>
          <w:lang w:val="en-GB"/>
        </w:rPr>
        <w:fldChar w:fldCharType="end"/>
      </w:r>
      <w:r w:rsidRPr="00EE533D">
        <w:rPr>
          <w:lang w:val="en-GB"/>
        </w:rPr>
        <w:t xml:space="preserve">, the government plays a key role in promoting an environment that is conducive to CE development and </w:t>
      </w:r>
      <w:r w:rsidRPr="00EE533D">
        <w:rPr>
          <w:rStyle w:val="reference-text"/>
          <w:lang w:val="en-GB"/>
        </w:rPr>
        <w:t xml:space="preserve">in building </w:t>
      </w:r>
      <w:r w:rsidRPr="00EE533D">
        <w:rPr>
          <w:lang w:val="en-GB"/>
        </w:rPr>
        <w:t xml:space="preserve">institutional capacity that increases the knowledge and relational </w:t>
      </w:r>
      <w:r w:rsidRPr="00EE533D">
        <w:rPr>
          <w:lang w:val="en-GB"/>
        </w:rPr>
        <w:lastRenderedPageBreak/>
        <w:t xml:space="preserve">resources necessary for the CE. </w:t>
      </w:r>
      <w:r w:rsidRPr="00EE533D">
        <w:rPr>
          <w:lang w:val="en-GB"/>
        </w:rPr>
        <w:fldChar w:fldCharType="begin"/>
      </w:r>
      <w:r w:rsidR="00EE2C32" w:rsidRPr="00EE533D">
        <w:rPr>
          <w:lang w:val="en-GB"/>
        </w:rPr>
        <w:instrText xml:space="preserve"> ADDIN ZOTERO_ITEM CSL_CITATION {"citationID":"j6qmgIKq","properties":{"formattedCitation":"(Flynn &amp; Hacking, 2019)","plainCitation":"(Flynn &amp; Hacking, 2019)","dontUpdate":true,"noteIndex":0},"citationItems":[{"id":2073,"uris":["http://zotero.org/users/8125408/items/227TSGAN"],"itemData":{"id":2073,"type":"article-journal","abstract":"National and regional governments around the world are steering actors in the waste and resources management industry towards a more circular economy (CE). Such a hoped-for transition is set against a backdrop of neoliberal environmental governance. The private sector increasingly delivers outcomes via public-private initiatives. Similarly, voluntary quality assurance standards covering flows of waste and resources around the globe are increasingly central to markets and trade. The role of standards in contemporary environmental governance is critically reassessed by examining how they are involved in the upscaling or down-scaling of markets. This analysis matters to understanding how the CE is conceptualised at a range of scales and how neoliberal environmental governance can help or hinder CE development. To overcome the paucity of data on how and why public and private sector actors set and use voluntary standards for material flows, twenty-eight key actor interviews with those involved in standard setting and the CE in Europe are drawn upon. Results suggest that proponents of standards and the CE see the raising of the quality of recycled material as central to building up confidence and trust in existing and emerging markets. However, others suggest markets will always privilege cost over quality and that standards are peripheral. For the CE transition to accelerate, this research suggests that policy instruments like standards need to challenge existing neoliberal market relations rather than simply follow them.","container-title":"Journal of Cleaner Production","DOI":"https://doi.org/10.1016/j.jclepro.2018.11.257","ISSN":"0959-6526","page":"1256-1267","title":"Setting standards for a circular economy: A challenge too far for neoliberal environmental governance?","volume":"212","author":[{"family":"Flynn","given":"Andrew"},{"family":"Hacking","given":"Nick"}],"issued":{"date-parts":[["2019"]]}}}],"schema":"https://github.com/citation-style-language/schema/raw/master/csl-citation.json"} </w:instrText>
      </w:r>
      <w:r w:rsidRPr="00EE533D">
        <w:rPr>
          <w:lang w:val="en-GB"/>
        </w:rPr>
        <w:fldChar w:fldCharType="separate"/>
      </w:r>
      <w:r w:rsidRPr="00EE533D">
        <w:rPr>
          <w:lang w:val="en-GB"/>
        </w:rPr>
        <w:t>Flynn &amp; Hacking (2019)</w:t>
      </w:r>
      <w:r w:rsidRPr="00EE533D">
        <w:rPr>
          <w:lang w:val="en-GB"/>
        </w:rPr>
        <w:fldChar w:fldCharType="end"/>
      </w:r>
      <w:r w:rsidRPr="00EE533D">
        <w:rPr>
          <w:lang w:val="en-GB"/>
        </w:rPr>
        <w:t xml:space="preserve"> suggest that public policy and private agent strategy can help to locate inflexible institutions and systems in order to undertake the gradual reconfiguration from linear to circular. The studies of Korhonen et </w:t>
      </w:r>
      <w:r w:rsidRPr="00EE533D">
        <w:rPr>
          <w:i/>
          <w:iCs/>
          <w:lang w:val="en-GB"/>
        </w:rPr>
        <w:t>al</w:t>
      </w:r>
      <w:r w:rsidRPr="00EE533D">
        <w:rPr>
          <w:lang w:val="en-GB"/>
        </w:rPr>
        <w:t>. (2018) and</w:t>
      </w:r>
      <w:r w:rsidR="00814C6B" w:rsidRPr="00EE533D">
        <w:rPr>
          <w:lang w:val="en-GB"/>
        </w:rPr>
        <w:t xml:space="preserve"> </w:t>
      </w:r>
      <w:r w:rsidR="00814C6B" w:rsidRPr="00EE533D">
        <w:rPr>
          <w:lang w:val="en-GB"/>
        </w:rPr>
        <w:fldChar w:fldCharType="begin"/>
      </w:r>
      <w:r w:rsidR="0036633D" w:rsidRPr="00EE533D">
        <w:rPr>
          <w:lang w:val="en-GB"/>
        </w:rPr>
        <w:instrText xml:space="preserve"> ADDIN ZOTERO_ITEM CSL_CITATION {"citationID":"UKorqqTh","properties":{"formattedCitation":"(Vernier et al., 2022)","plainCitation":"(Vernier et al., 2022)","dontUpdate":true,"noteIndex":0},"citationItems":[{"id":3734,"uris":["http://zotero.org/users/8125408/items/DD4UYF8D"],"itemData":{"id":3734,"type":"article-journal","container-title":"Journal of Innovation Economics &amp; Management","issue":"3","journalAbbreviation":"Journal of Innovation Economics &amp; Management","note":"publisher: De Boeck Supérieur","page":"141-172","title":"Factors Influencing Profitability in Eco-design: Lessons from European and Canadian Firms","volume":"39","author":[{"family":"Vernier","given":"Marie-France"},{"family":"Arfaoui","given":"Nabila"},{"family":"Challita","given":"Sandra"},{"family":"Lanoie","given":"Paul"},{"family":"Plouffe","given":"Sylvain"}],"issued":{"date-parts":[["2022"]]}}}],"schema":"https://github.com/citation-style-language/schema/raw/master/csl-citation.json"} </w:instrText>
      </w:r>
      <w:r w:rsidR="00814C6B" w:rsidRPr="00EE533D">
        <w:rPr>
          <w:lang w:val="en-GB"/>
        </w:rPr>
        <w:fldChar w:fldCharType="separate"/>
      </w:r>
      <w:r w:rsidR="00814C6B" w:rsidRPr="00EE533D">
        <w:rPr>
          <w:lang w:val="en-GB"/>
        </w:rPr>
        <w:t>Vernier et al. (2022)</w:t>
      </w:r>
      <w:r w:rsidR="00814C6B" w:rsidRPr="00EE533D">
        <w:rPr>
          <w:lang w:val="en-GB"/>
        </w:rPr>
        <w:fldChar w:fldCharType="end"/>
      </w:r>
      <w:r w:rsidRPr="00EE533D">
        <w:rPr>
          <w:lang w:val="en-GB"/>
        </w:rPr>
        <w:t xml:space="preserve"> consider that CE </w:t>
      </w:r>
      <w:r w:rsidRPr="00EE533D">
        <w:rPr>
          <w:rStyle w:val="reference-text"/>
          <w:lang w:val="en-GB"/>
        </w:rPr>
        <w:t xml:space="preserve">requires a new reconfiguration of </w:t>
      </w:r>
      <w:r w:rsidRPr="00EE533D">
        <w:rPr>
          <w:lang w:val="en-GB"/>
        </w:rPr>
        <w:t>inter-organizational management and appropriate institutional frameworks</w:t>
      </w:r>
      <w:r w:rsidRPr="00EE533D">
        <w:rPr>
          <w:rStyle w:val="reference-text"/>
          <w:lang w:val="en-GB"/>
        </w:rPr>
        <w:t xml:space="preserve">. </w:t>
      </w:r>
    </w:p>
    <w:p w14:paraId="60EAFB73" w14:textId="7870EDA9" w:rsidR="002A35BE" w:rsidRPr="00EE533D" w:rsidRDefault="002A35BE" w:rsidP="00EE2C32">
      <w:pPr>
        <w:pStyle w:val="NormalWeb"/>
        <w:spacing w:before="0" w:beforeAutospacing="0" w:after="0" w:afterAutospacing="0" w:line="360" w:lineRule="auto"/>
        <w:ind w:firstLine="709"/>
        <w:jc w:val="both"/>
        <w:rPr>
          <w:rStyle w:val="reference-text"/>
          <w:lang w:val="en-GB"/>
        </w:rPr>
      </w:pPr>
      <w:r w:rsidRPr="00EE533D">
        <w:rPr>
          <w:lang w:val="en-GB"/>
        </w:rPr>
        <w:lastRenderedPageBreak/>
        <w:t>Theoretically, it has long been recognized in the environmental literature that</w:t>
      </w:r>
      <w:r w:rsidR="00D57B98" w:rsidRPr="00EE533D">
        <w:rPr>
          <w:lang w:val="en-GB"/>
        </w:rPr>
        <w:t>,</w:t>
      </w:r>
      <w:r w:rsidRPr="00EE533D">
        <w:rPr>
          <w:lang w:val="en-GB"/>
        </w:rPr>
        <w:t xml:space="preserve"> without institutional pressure, individuals and firms in a free market cannot address environmental challenges, due to market failure </w:t>
      </w:r>
      <w:r w:rsidRPr="00EE533D">
        <w:rPr>
          <w:lang w:val="en-GB"/>
        </w:rPr>
        <w:fldChar w:fldCharType="begin"/>
      </w:r>
      <w:r w:rsidRPr="00EE533D">
        <w:rPr>
          <w:lang w:val="en-GB"/>
        </w:rPr>
        <w:instrText xml:space="preserve"> ADDIN ZOTERO_ITEM CSL_CITATION {"citationID":"pmy9vJBK","properties":{"formattedCitation":"(Pigou, 1951)","plainCitation":"(Pigou, 1951)","dontUpdate":true,"noteIndex":0},"citationItems":[{"id":2660,"uris":["http://zotero.org/users/8125408/items/SM6JX3YP"],"itemData":{"id":2660,"type":"article-journal","container-title":"The American Economic Review","ISSN":"0002-8282","issue":"3","journalAbbreviation":"The American Economic Review","note":"publisher: JSTOR","page":"287-302","title":"Some aspects of welfare economics","volume":"41","author":[{"family":"Pigou","given":"Arthur C"}],"issued":{"date-parts":[["1951"]]}}}],"schema":"https://github.com/citation-style-language/schema/raw/master/csl-citation.json"} </w:instrText>
      </w:r>
      <w:r w:rsidRPr="00EE533D">
        <w:rPr>
          <w:lang w:val="en-GB"/>
        </w:rPr>
        <w:fldChar w:fldCharType="separate"/>
      </w:r>
      <w:r w:rsidRPr="00EE533D">
        <w:rPr>
          <w:lang w:val="en-GB"/>
        </w:rPr>
        <w:t>(Pigou, 1951</w:t>
      </w:r>
      <w:r w:rsidRPr="00EE533D">
        <w:rPr>
          <w:lang w:val="en-GB"/>
        </w:rPr>
        <w:fldChar w:fldCharType="end"/>
      </w:r>
      <w:r w:rsidRPr="00EE533D">
        <w:rPr>
          <w:lang w:val="en-GB"/>
        </w:rPr>
        <w:t xml:space="preserve">; </w:t>
      </w:r>
      <w:r w:rsidRPr="00EE533D">
        <w:rPr>
          <w:lang w:val="en-GB"/>
        </w:rPr>
        <w:fldChar w:fldCharType="begin"/>
      </w:r>
      <w:r w:rsidR="00BE55BA" w:rsidRPr="00EE533D">
        <w:rPr>
          <w:lang w:val="en-GB"/>
        </w:rPr>
        <w:instrText xml:space="preserve"> ADDIN ZOTERO_ITEM CSL_CITATION {"citationID":"tEC6cKnn","properties":{"formattedCitation":"(Randall et al., 1983)","plainCitation":"(Randall et al., 1983)","dontUpdate":true,"noteIndex":0},"citationItems":[{"id":2756,"uris":["http://zotero.org/users/8125408/items/Y4JC9V94"],"itemData":{"id":2756,"type":"article-journal","container-title":"Natural Resources Journal","ISSN":"0028-0739","issue":"3","journalAbbreviation":"Natural Resources Journal","note":"publisher: JSTOR","page":"635-648","title":"Contingent valuation surveys for evaluating environmental assets","volume":"23","author":[{"family":"Randall","given":"Alan"},{"family":"Hoehn","given":"John P"},{"family":"Brookshire","given":"David S"}],"issued":{"date-parts":[["1983"]]}}}],"schema":"https://github.com/citation-style-language/schema/raw/master/csl-citation.json"} </w:instrText>
      </w:r>
      <w:r w:rsidRPr="00EE533D">
        <w:rPr>
          <w:lang w:val="en-GB"/>
        </w:rPr>
        <w:fldChar w:fldCharType="separate"/>
      </w:r>
      <w:r w:rsidR="00EE2C32" w:rsidRPr="00EE533D">
        <w:rPr>
          <w:lang w:val="en-GB"/>
        </w:rPr>
        <w:t>Randall et al., 1983)</w:t>
      </w:r>
      <w:r w:rsidRPr="00EE533D">
        <w:rPr>
          <w:lang w:val="en-GB"/>
        </w:rPr>
        <w:fldChar w:fldCharType="end"/>
      </w:r>
      <w:r w:rsidRPr="00EE533D">
        <w:rPr>
          <w:lang w:val="en-GB"/>
        </w:rPr>
        <w:t xml:space="preserve">; </w:t>
      </w:r>
      <w:r w:rsidRPr="00EE533D">
        <w:rPr>
          <w:lang w:val="en-GB"/>
        </w:rPr>
        <w:fldChar w:fldCharType="begin"/>
      </w:r>
      <w:r w:rsidRPr="00EE533D">
        <w:rPr>
          <w:lang w:val="en-GB"/>
        </w:rPr>
        <w:instrText xml:space="preserve"> ADDIN ZOTERO_ITEM CSL_CITATION {"citationID":"bHhOxFVI","properties":{"formattedCitation":"(Jaffe, Newell &amp; Stavins, 2005)","plainCitation":"(Jaffe, Newell &amp; Stavins, 2005)","dontUpdate":true,"noteIndex":0},"citationItems":[{"id":2597,"uris":["http://zotero.org/users/8125408/items/VPZRDU6S"],"itemData":{"id":2597,"type":"article-journal","container-title":"Ecological economics","ISSN":"0921-8009","issue":"2-3","journalAbbreviation":"Ecological economics","note":"publisher: Elsevier","page":"164-174","title":"A tale of two market failures: Technology and environmental policy","volume":"54","author":[{"family":"Jaffe","given":"Adam B"},{"family":"Newell","given":"Richard G"},{"family":"Stavins","given":"Robert N"}],"issued":{"date-parts":[["2005"]]}}}],"schema":"https://github.com/citation-style-language/schema/raw/master/csl-citation.json"} </w:instrText>
      </w:r>
      <w:r w:rsidRPr="00EE533D">
        <w:rPr>
          <w:lang w:val="en-GB"/>
        </w:rPr>
        <w:fldChar w:fldCharType="separate"/>
      </w:r>
      <w:r w:rsidRPr="00EE533D">
        <w:rPr>
          <w:lang w:val="en-GB"/>
        </w:rPr>
        <w:t>Jaffe, Newell &amp; Stavins, 2005)</w:t>
      </w:r>
      <w:r w:rsidRPr="00EE533D">
        <w:rPr>
          <w:lang w:val="en-GB"/>
        </w:rPr>
        <w:fldChar w:fldCharType="end"/>
      </w:r>
      <w:r w:rsidRPr="00EE533D">
        <w:rPr>
          <w:lang w:val="en-GB"/>
        </w:rPr>
        <w:t xml:space="preserve">. In this regard, a recent research stream has used institutional theory to investigate the adoption of environmental activities. Institutional theory, which emerged in the early 1980s, represents a complex and large theory used in </w:t>
      </w:r>
      <w:r w:rsidRPr="00EE533D">
        <w:rPr>
          <w:lang w:val="en-GB"/>
        </w:rPr>
        <w:lastRenderedPageBreak/>
        <w:t>social science to explain the influence of institutions on political organization (</w:t>
      </w:r>
      <w:r w:rsidRPr="00EE533D">
        <w:rPr>
          <w:lang w:val="en-GB"/>
        </w:rPr>
        <w:fldChar w:fldCharType="begin"/>
      </w:r>
      <w:r w:rsidRPr="00EE533D">
        <w:rPr>
          <w:lang w:val="en-GB"/>
        </w:rPr>
        <w:instrText xml:space="preserve"> ADDIN ZOTERO_ITEM CSL_CITATION {"citationID":"d9oMiydU","properties":{"formattedCitation":"(March &amp; Olsen, 1996)","plainCitation":"(March &amp; Olsen, 1996)","dontUpdate":true,"noteIndex":0},"citationItems":[{"id":2598,"uris":["http://zotero.org/users/8125408/items/GMWSFHEB"],"itemData":{"id":2598,"type":"article-journal","container-title":"Governance","ISSN":"0952-1895","issue":"3","journalAbbreviation":"Governance","note":"publisher: Wiley Online Library","page":"247-264","title":"Institutional perspectives on political institutions","volume":"9","author":[{"family":"March","given":"James G"},{"family":"Olsen","given":"Johan P"}],"issued":{"date-parts":[["1996"]]}}}],"schema":"https://github.com/citation-style-language/schema/raw/master/csl-citation.json"} </w:instrText>
      </w:r>
      <w:r w:rsidRPr="00EE533D">
        <w:rPr>
          <w:lang w:val="en-GB"/>
        </w:rPr>
        <w:fldChar w:fldCharType="separate"/>
      </w:r>
      <w:r w:rsidRPr="00EE533D">
        <w:rPr>
          <w:lang w:val="en-GB"/>
        </w:rPr>
        <w:t>March &amp; Olsen, 1996</w:t>
      </w:r>
      <w:r w:rsidRPr="00EE533D">
        <w:rPr>
          <w:lang w:val="en-GB"/>
        </w:rPr>
        <w:fldChar w:fldCharType="end"/>
      </w:r>
      <w:r w:rsidRPr="00EE533D">
        <w:rPr>
          <w:lang w:val="en-GB"/>
        </w:rPr>
        <w:t xml:space="preserve">; </w:t>
      </w:r>
      <w:r w:rsidRPr="00EE533D">
        <w:rPr>
          <w:lang w:val="en-GB"/>
        </w:rPr>
        <w:fldChar w:fldCharType="begin"/>
      </w:r>
      <w:r w:rsidRPr="00EE533D">
        <w:rPr>
          <w:lang w:val="en-GB"/>
        </w:rPr>
        <w:instrText xml:space="preserve"> ADDIN ZOTERO_ITEM CSL_CITATION {"citationID":"kkaZroB9","properties":{"formattedCitation":"(North, 1990)","plainCitation":"(North, 1990)","dontUpdate":true,"noteIndex":0},"citationItems":[{"id":2599,"uris":["http://zotero.org/users/8125408/items/VMUPCDQX"],"itemData":{"id":2599,"type":"book","ISBN":"0-521-39734-0","publisher":"Cambridge university press","title":"Institutions, institutional change and economic performance","author":[{"family":"North","given":"Douglass C"}],"issued":{"date-parts":[["1990"]]}}}],"schema":"https://github.com/citation-style-language/schema/raw/master/csl-citation.json"} </w:instrText>
      </w:r>
      <w:r w:rsidRPr="00EE533D">
        <w:rPr>
          <w:lang w:val="en-GB"/>
        </w:rPr>
        <w:fldChar w:fldCharType="separate"/>
      </w:r>
      <w:r w:rsidRPr="00EE533D">
        <w:rPr>
          <w:lang w:val="en-GB"/>
        </w:rPr>
        <w:t>North, 1990</w:t>
      </w:r>
      <w:r w:rsidRPr="00EE533D">
        <w:rPr>
          <w:lang w:val="en-GB"/>
        </w:rPr>
        <w:fldChar w:fldCharType="end"/>
      </w:r>
      <w:r w:rsidRPr="00EE533D">
        <w:rPr>
          <w:lang w:val="en-GB"/>
        </w:rPr>
        <w:t xml:space="preserve">; </w:t>
      </w:r>
      <w:r w:rsidRPr="00EE533D">
        <w:rPr>
          <w:lang w:val="en-GB"/>
        </w:rPr>
        <w:fldChar w:fldCharType="begin"/>
      </w:r>
      <w:r w:rsidRPr="00EE533D">
        <w:rPr>
          <w:lang w:val="en-GB"/>
        </w:rPr>
        <w:instrText xml:space="preserve"> ADDIN ZOTERO_ITEM CSL_CITATION {"citationID":"YFiXwHOx","properties":{"formattedCitation":"(Miranda &amp; Kim, 2006)","plainCitation":"(Miranda &amp; Kim, 2006)","dontUpdate":true,"noteIndex":0},"citationItems":[{"id":2601,"uris":["http://zotero.org/users/8125408/items/7GYMVAYP"],"itemData":{"id":2601,"type":"article-journal","container-title":"Mis Quarterly","ISSN":"0276-7783","journalAbbreviation":"Mis Quarterly","note":"publisher: JSTOR","page":"725-753","title":"Professional versus political contexts: institutional mitigation and the transaction cost heuristic in information systems outsourcing","author":[{"family":"Miranda","given":"Shaila M"},{"family":"Kim","given":"Yong-Mi"}],"issued":{"date-parts":[["2006"]]}}}],"schema":"https://github.com/citation-style-language/schema/raw/master/csl-citation.json"} </w:instrText>
      </w:r>
      <w:r w:rsidRPr="00EE533D">
        <w:rPr>
          <w:lang w:val="en-GB"/>
        </w:rPr>
        <w:fldChar w:fldCharType="separate"/>
      </w:r>
      <w:r w:rsidRPr="00EE533D">
        <w:rPr>
          <w:lang w:val="en-GB"/>
        </w:rPr>
        <w:t>Miranda &amp; Kim, 2006)</w:t>
      </w:r>
      <w:r w:rsidRPr="00EE533D">
        <w:rPr>
          <w:lang w:val="en-GB"/>
        </w:rPr>
        <w:fldChar w:fldCharType="end"/>
      </w:r>
      <w:r w:rsidRPr="00EE533D">
        <w:rPr>
          <w:lang w:val="en-GB"/>
        </w:rPr>
        <w:t>, as well as social, economic, and management organization (</w:t>
      </w:r>
      <w:r w:rsidRPr="00EE533D">
        <w:rPr>
          <w:lang w:val="en-GB"/>
        </w:rPr>
        <w:fldChar w:fldCharType="begin"/>
      </w:r>
      <w:r w:rsidRPr="00EE533D">
        <w:rPr>
          <w:lang w:val="en-GB"/>
        </w:rPr>
        <w:instrText xml:space="preserve"> ADDIN ZOTERO_ITEM CSL_CITATION {"citationID":"n5rkGG18","properties":{"formattedCitation":"(Meyer &amp; Rowan, 1977)","plainCitation":"(Meyer &amp; Rowan, 1977)","dontUpdate":true,"noteIndex":0},"citationItems":[{"id":2602,"uris":["http://zotero.org/users/8125408/items/V5KW7GXU"],"itemData":{"id":2602,"type":"article-journal","container-title":"American journal of sociology","ISSN":"0002-9602","issue":"2","journalAbbreviation":"American journal of sociology","note":"publisher: University of Chicago Press","page":"340-363","title":"Institutionalized organizations: Formal structure as myth and ceremony","volume":"83","author":[{"family":"Meyer","given":"John W"},{"family":"Rowan","given":"Brian"}],"issued":{"date-parts":[["1977"]]}}}],"schema":"https://github.com/citation-style-language/schema/raw/master/csl-citation.json"} </w:instrText>
      </w:r>
      <w:r w:rsidRPr="00EE533D">
        <w:rPr>
          <w:lang w:val="en-GB"/>
        </w:rPr>
        <w:fldChar w:fldCharType="separate"/>
      </w:r>
      <w:r w:rsidRPr="00EE533D">
        <w:rPr>
          <w:lang w:val="en-GB"/>
        </w:rPr>
        <w:t>Meyer &amp; Rowan, 1977</w:t>
      </w:r>
      <w:r w:rsidRPr="00EE533D">
        <w:rPr>
          <w:lang w:val="en-GB"/>
        </w:rPr>
        <w:fldChar w:fldCharType="end"/>
      </w:r>
      <w:r w:rsidRPr="00EE533D">
        <w:rPr>
          <w:lang w:val="en-GB"/>
        </w:rPr>
        <w:t xml:space="preserve">; </w:t>
      </w:r>
      <w:r w:rsidRPr="00EE533D">
        <w:rPr>
          <w:lang w:val="en-GB"/>
        </w:rPr>
        <w:fldChar w:fldCharType="begin"/>
      </w:r>
      <w:r w:rsidRPr="00EE533D">
        <w:rPr>
          <w:lang w:val="en-GB"/>
        </w:rPr>
        <w:instrText xml:space="preserve"> ADDIN ZOTERO_ITEM CSL_CITATION {"citationID":"Nj8T1mKc","properties":{"formattedCitation":"(DiMaggio &amp; Powell, 1983)","plainCitation":"(DiMaggio &amp; Powell, 1983)","dontUpdate":true,"noteIndex":0},"citationItems":[{"id":2603,"uris":["http://zotero.org/users/8125408/items/YF5NXAAP"],"itemData":{"id":2603,"type":"article-journal","container-title":"American sociological review","ISSN":"0003-1224","issue":"2","journalAbbreviation":"American sociological review","note":"publisher: United States","page":"147-160","title":"The iron cage revisited: Institutional isomorphism and collective rationality in organizational fields","volume":"48","author":[{"family":"DiMaggio","given":"Paul J"},{"family":"Powell","given":"Walter W"}],"issued":{"date-parts":[["1983"]]}}}],"schema":"https://github.com/citation-style-language/schema/raw/master/csl-citation.json"} </w:instrText>
      </w:r>
      <w:r w:rsidRPr="00EE533D">
        <w:rPr>
          <w:lang w:val="en-GB"/>
        </w:rPr>
        <w:fldChar w:fldCharType="separate"/>
      </w:r>
      <w:r w:rsidRPr="00EE533D">
        <w:rPr>
          <w:lang w:val="en-GB"/>
        </w:rPr>
        <w:t>DiMaggio &amp; Powell, 1983</w:t>
      </w:r>
      <w:r w:rsidRPr="00EE533D">
        <w:rPr>
          <w:lang w:val="en-GB"/>
        </w:rPr>
        <w:fldChar w:fldCharType="end"/>
      </w:r>
      <w:r w:rsidRPr="00EE533D">
        <w:rPr>
          <w:lang w:val="en-GB"/>
        </w:rPr>
        <w:t xml:space="preserve">; </w:t>
      </w:r>
      <w:r w:rsidR="00BE55BA" w:rsidRPr="00EE533D">
        <w:rPr>
          <w:lang w:val="en-GB"/>
        </w:rPr>
        <w:fldChar w:fldCharType="begin"/>
      </w:r>
      <w:r w:rsidR="00BE55BA" w:rsidRPr="00EE533D">
        <w:rPr>
          <w:lang w:val="en-GB"/>
        </w:rPr>
        <w:instrText xml:space="preserve"> ADDIN ZOTERO_ITEM CSL_CITATION {"citationID":"jut4VjbS","properties":{"formattedCitation":"(Zucker, 1987)","plainCitation":"(Zucker, 1987)","dontUpdate":true,"noteIndex":0},"citationItems":[{"id":1919,"uris":["http://zotero.org/users/8125408/items/V6WXNI6K"],"itemData":{"id":1919,"type":"article-journal","container-title":"Annual review of sociology","ISSN":"0360-0572","issue":"1","journalAbbreviation":"Annual review of sociology","note":"publisher: Annual Reviews 4139 El Camino Way, PO Box 10139, Palo Alto, CA 94303-0139, USA","page":"443-464","title":"Institutional theories of organization","volume":"13","author":[{"family":"Zucker","given":"Lynne G"}],"issued":{"date-parts":[["1987"]]}}}],"schema":"https://github.com/citation-style-language/schema/raw/master/csl-citation.json"} </w:instrText>
      </w:r>
      <w:r w:rsidR="00BE55BA" w:rsidRPr="00EE533D">
        <w:rPr>
          <w:lang w:val="en-GB"/>
        </w:rPr>
        <w:fldChar w:fldCharType="separate"/>
      </w:r>
      <w:r w:rsidR="00BE55BA" w:rsidRPr="00EE533D">
        <w:rPr>
          <w:lang w:val="en-GB"/>
        </w:rPr>
        <w:t>Zucker, 1987</w:t>
      </w:r>
      <w:r w:rsidR="00BE55BA" w:rsidRPr="00EE533D">
        <w:rPr>
          <w:lang w:val="en-GB"/>
        </w:rPr>
        <w:fldChar w:fldCharType="end"/>
      </w:r>
      <w:r w:rsidRPr="00EE533D">
        <w:rPr>
          <w:lang w:val="en-GB"/>
        </w:rPr>
        <w:t xml:space="preserve">). This theory </w:t>
      </w:r>
      <w:r w:rsidRPr="00EE533D">
        <w:rPr>
          <w:lang w:val="en-GB"/>
        </w:rPr>
        <w:fldChar w:fldCharType="begin"/>
      </w:r>
      <w:r w:rsidRPr="00EE533D">
        <w:rPr>
          <w:lang w:val="en-GB"/>
        </w:rPr>
        <w:instrText xml:space="preserve"> ADDIN ZOTERO_ITEM CSL_CITATION {"citationID":"XiXDm2o0","properties":{"formattedCitation":"(North, 1991)","plainCitation":"(North, 1991)","dontUpdate":true,"noteIndex":0},"citationItems":[{"id":1977,"uris":["http://zotero.org/users/8125408/items/Z4VNMYUF"],"itemData":{"id":1977,"type":"article-journal","container-title":"Quarterly Review of Economics and Business","ISSN":"0033-5797","issue":"4","journalAbbreviation":"Quarterly Review of Economics and Business","note":"publisher: Elsevier Science Publishers","page":"3-12","title":"Towards a theory of institutional change","volume":"31","author":[{"family":"North","given":"Douglass C"}],"issued":{"date-parts":[["1991"]]}}}],"schema":"https://github.com/citation-style-language/schema/raw/master/csl-citation.json"} </w:instrText>
      </w:r>
      <w:r w:rsidRPr="00EE533D">
        <w:rPr>
          <w:lang w:val="en-GB"/>
        </w:rPr>
        <w:fldChar w:fldCharType="separate"/>
      </w:r>
      <w:r w:rsidRPr="00EE533D">
        <w:rPr>
          <w:lang w:val="en-GB"/>
        </w:rPr>
        <w:t>(North, 1991;</w:t>
      </w:r>
      <w:r w:rsidRPr="00EE533D">
        <w:rPr>
          <w:lang w:val="en-GB"/>
        </w:rPr>
        <w:fldChar w:fldCharType="end"/>
      </w:r>
      <w:r w:rsidRPr="00EE533D">
        <w:rPr>
          <w:lang w:val="en-GB"/>
        </w:rPr>
        <w:t xml:space="preserve"> </w:t>
      </w:r>
      <w:r w:rsidRPr="00EE533D">
        <w:rPr>
          <w:lang w:val="en-GB"/>
        </w:rPr>
        <w:fldChar w:fldCharType="begin"/>
      </w:r>
      <w:r w:rsidRPr="00EE533D">
        <w:rPr>
          <w:lang w:val="en-GB"/>
        </w:rPr>
        <w:instrText xml:space="preserve"> ADDIN ZOTERO_ITEM CSL_CITATION {"citationID":"uaM2z7ZP","properties":{"formattedCitation":"(Metcalfe, 2001)","plainCitation":"(Metcalfe, 2001)","dontUpdate":true,"noteIndex":0},"citationItems":[{"id":2065,"uris":["http://zotero.org/users/8125408/items/ASNC6W6F"],"itemData":{"id":2065,"type":"article-journal","container-title":"Industrial and corporate change","ISSN":"1464-3650","issue":"3","journalAbbreviation":"Industrial and corporate change","note":"publisher: Oxford University Press","page":"561-586","title":"Institutions and progress","volume":"10","author":[{"family":"Metcalfe","given":"J Stanley"}],"issued":{"date-parts":[["2001"]]}}}],"schema":"https://github.com/citation-style-language/schema/raw/master/csl-citation.json"} </w:instrText>
      </w:r>
      <w:r w:rsidRPr="00EE533D">
        <w:rPr>
          <w:lang w:val="en-GB"/>
        </w:rPr>
        <w:fldChar w:fldCharType="separate"/>
      </w:r>
      <w:r w:rsidRPr="00EE533D">
        <w:rPr>
          <w:lang w:val="en-GB"/>
        </w:rPr>
        <w:t>Metcalfe, 2001)</w:t>
      </w:r>
      <w:r w:rsidRPr="00EE533D">
        <w:rPr>
          <w:lang w:val="en-GB"/>
        </w:rPr>
        <w:fldChar w:fldCharType="end"/>
      </w:r>
      <w:r w:rsidRPr="00EE533D">
        <w:rPr>
          <w:lang w:val="en-GB"/>
        </w:rPr>
        <w:t xml:space="preserve"> argues that institutions, which are the </w:t>
      </w:r>
      <w:r w:rsidRPr="00EE533D">
        <w:rPr>
          <w:rFonts w:eastAsia="AdvP4DF60E"/>
          <w:lang w:val="en-GB"/>
        </w:rPr>
        <w:t>‘‘humanly devised</w:t>
      </w:r>
      <w:r w:rsidRPr="00EE533D">
        <w:rPr>
          <w:lang w:val="en-GB"/>
        </w:rPr>
        <w:t xml:space="preserve"> </w:t>
      </w:r>
      <w:r w:rsidRPr="00EE533D">
        <w:rPr>
          <w:rFonts w:eastAsia="AdvP4DF60E"/>
          <w:lang w:val="en-GB"/>
        </w:rPr>
        <w:t>constraints that structure political, economic and social interaction’’</w:t>
      </w:r>
      <w:r w:rsidRPr="00EE533D">
        <w:rPr>
          <w:lang w:val="en-GB"/>
        </w:rPr>
        <w:t xml:space="preserve"> </w:t>
      </w:r>
      <w:r w:rsidRPr="00EE533D">
        <w:rPr>
          <w:rFonts w:eastAsia="AdvP4DF60E"/>
          <w:lang w:val="en-GB"/>
        </w:rPr>
        <w:t>(North, 1991 p.87),</w:t>
      </w:r>
      <w:r w:rsidRPr="00EE533D">
        <w:rPr>
          <w:lang w:val="en-GB"/>
        </w:rPr>
        <w:t xml:space="preserve"> establish the “rule of games” for social and economic life </w:t>
      </w:r>
      <w:r w:rsidRPr="00EE533D">
        <w:rPr>
          <w:lang w:val="en-GB"/>
        </w:rPr>
        <w:lastRenderedPageBreak/>
        <w:t xml:space="preserve">and exert their influence through coercive, normative, and mimetic mechanisms (DiMaggio and Powell, 1983). Firms are embedded in their institutional contexts and dependent on the institutionalized framework applied locally. In particular, </w:t>
      </w:r>
      <w:r w:rsidRPr="00EE533D">
        <w:rPr>
          <w:lang w:val="en-GB"/>
        </w:rPr>
        <w:fldChar w:fldCharType="begin"/>
      </w:r>
      <w:r w:rsidRPr="00EE533D">
        <w:rPr>
          <w:lang w:val="en-GB"/>
        </w:rPr>
        <w:instrText xml:space="preserve"> ADDIN ZOTERO_ITEM CSL_CITATION {"citationID":"x5ZF0qRS","properties":{"formattedCitation":"(Scott, 2008)","plainCitation":"(Scott, 2008)","dontUpdate":true,"noteIndex":0},"citationItems":[{"id":2605,"uris":["http://zotero.org/users/8125408/items/KRTQVRNU"],"itemData":{"id":2605,"type":"article-journal","container-title":"Theory and society","ISSN":"0304-2421","journalAbbreviation":"Theory and society","note":"publisher: Springer","page":"427-442","title":"Approaching adulthood: the maturing of institutional theory","volume":"37","author":[{"family":"Scott","given":"W Richard"}],"issued":{"date-parts":[["2008"]]}}}],"schema":"https://github.com/citation-style-language/schema/raw/master/csl-citation.json"} </w:instrText>
      </w:r>
      <w:r w:rsidRPr="00EE533D">
        <w:rPr>
          <w:lang w:val="en-GB"/>
        </w:rPr>
        <w:fldChar w:fldCharType="separate"/>
      </w:r>
      <w:r w:rsidRPr="00EE533D">
        <w:rPr>
          <w:lang w:val="en-GB"/>
        </w:rPr>
        <w:t>Scott (2008)</w:t>
      </w:r>
      <w:r w:rsidRPr="00EE533D">
        <w:rPr>
          <w:lang w:val="en-GB"/>
        </w:rPr>
        <w:fldChar w:fldCharType="end"/>
      </w:r>
      <w:r w:rsidRPr="00EE533D">
        <w:rPr>
          <w:lang w:val="en-GB"/>
        </w:rPr>
        <w:t xml:space="preserve"> highlights that three interconnected pillars, regulative, normative, and cultural-cognitive,  influence how firms and individuals behave. </w:t>
      </w:r>
    </w:p>
    <w:p w14:paraId="470C3B67" w14:textId="535A1E2D" w:rsidR="00641E4D" w:rsidRPr="00EE533D" w:rsidRDefault="00F97B75" w:rsidP="00DE7F25">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 xml:space="preserve">In </w:t>
      </w:r>
      <w:r w:rsidR="00641E4D" w:rsidRPr="00EE533D">
        <w:rPr>
          <w:rFonts w:ascii="Times New Roman" w:hAnsi="Times New Roman" w:cs="Times New Roman"/>
          <w:sz w:val="24"/>
          <w:szCs w:val="24"/>
          <w:lang w:val="en-GB"/>
        </w:rPr>
        <w:t xml:space="preserve">this framework, some scholars investigate the influence of institutional factors </w:t>
      </w:r>
      <w:r w:rsidR="00775877" w:rsidRPr="00EE533D">
        <w:rPr>
          <w:rFonts w:ascii="Times New Roman" w:hAnsi="Times New Roman" w:cs="Times New Roman"/>
          <w:sz w:val="24"/>
          <w:szCs w:val="24"/>
          <w:lang w:val="en-GB"/>
        </w:rPr>
        <w:t>o</w:t>
      </w:r>
      <w:r w:rsidR="00641E4D" w:rsidRPr="00EE533D">
        <w:rPr>
          <w:rFonts w:ascii="Times New Roman" w:hAnsi="Times New Roman" w:cs="Times New Roman"/>
          <w:sz w:val="24"/>
          <w:szCs w:val="24"/>
          <w:lang w:val="en-GB"/>
        </w:rPr>
        <w:t xml:space="preserve">n different sustainable practices. In sustainable innovation and technical change, </w:t>
      </w:r>
      <w:r w:rsidR="0036633D" w:rsidRPr="00EE533D">
        <w:rPr>
          <w:rFonts w:ascii="Times New Roman" w:hAnsi="Times New Roman" w:cs="Times New Roman"/>
          <w:sz w:val="24"/>
          <w:szCs w:val="24"/>
          <w:lang w:val="en-GB"/>
        </w:rPr>
        <w:fldChar w:fldCharType="begin"/>
      </w:r>
      <w:r w:rsidR="008D5E03" w:rsidRPr="00EE533D">
        <w:rPr>
          <w:rFonts w:ascii="Times New Roman" w:hAnsi="Times New Roman" w:cs="Times New Roman"/>
          <w:sz w:val="24"/>
          <w:szCs w:val="24"/>
          <w:lang w:val="en-GB"/>
        </w:rPr>
        <w:instrText xml:space="preserve"> ADDIN ZOTERO_ITEM CSL_CITATION {"citationID":"OIX5aSie","properties":{"formattedCitation":"(Coenen and L\\uc0\\u243{}pez, 2010)","plainCitation":"(Coenen and López, 2010)","dontUpdate":true,"noteIndex":0},"citationItems":[{"id":3737,"uris":["http://zotero.org/users/8125408/items/87QBRZWU"],"itemData":{"id":3737,"type":"article-journal","container-title":"Journal of cleaner production","ISSN":"0959-6526","issue":"12","journalAbbreviation":"Journal of cleaner production","note":"publisher: Elsevier","page":"1149-1160","title":"Comparing systems approaches to innovation and technological change for sustainable and competitive economies: an explorative study into conceptual commonalities, differences and complementarities","volume":"18","author":[{"family":"Coenen","given":"Lars"},{"family":"López","given":"Fernando J Díaz"}],"issued":{"date-parts":[["2010"]]}}}],"schema":"https://github.com/citation-style-language/schema/raw/master/csl-citation.json"} </w:instrText>
      </w:r>
      <w:r w:rsidR="0036633D" w:rsidRPr="00EE533D">
        <w:rPr>
          <w:rFonts w:ascii="Times New Roman" w:hAnsi="Times New Roman" w:cs="Times New Roman"/>
          <w:sz w:val="24"/>
          <w:szCs w:val="24"/>
          <w:lang w:val="en-GB"/>
        </w:rPr>
        <w:fldChar w:fldCharType="separate"/>
      </w:r>
      <w:r w:rsidR="00A105CB" w:rsidRPr="00EE533D">
        <w:rPr>
          <w:rFonts w:ascii="Times New Roman" w:hAnsi="Times New Roman" w:cs="Times New Roman"/>
          <w:sz w:val="24"/>
          <w:lang w:val="en-GB"/>
        </w:rPr>
        <w:t>Coenen and López (2010)</w:t>
      </w:r>
      <w:r w:rsidR="0036633D" w:rsidRPr="00EE533D">
        <w:rPr>
          <w:rFonts w:ascii="Times New Roman" w:hAnsi="Times New Roman" w:cs="Times New Roman"/>
          <w:sz w:val="24"/>
          <w:szCs w:val="24"/>
          <w:lang w:val="en-GB"/>
        </w:rPr>
        <w:fldChar w:fldCharType="end"/>
      </w:r>
      <w:r w:rsidR="00A105CB" w:rsidRPr="00EE533D">
        <w:rPr>
          <w:rFonts w:ascii="Times New Roman" w:hAnsi="Times New Roman" w:cs="Times New Roman"/>
          <w:iCs/>
          <w:sz w:val="24"/>
          <w:szCs w:val="24"/>
          <w:lang w:val="en-GB" w:bidi="ar-SA"/>
        </w:rPr>
        <w:t xml:space="preserve"> </w:t>
      </w:r>
      <w:r w:rsidR="00641E4D" w:rsidRPr="00EE533D">
        <w:rPr>
          <w:rFonts w:ascii="Times New Roman" w:hAnsi="Times New Roman" w:cs="Times New Roman"/>
          <w:iCs/>
          <w:sz w:val="24"/>
          <w:szCs w:val="24"/>
          <w:lang w:val="en-GB" w:bidi="ar-SA"/>
        </w:rPr>
        <w:t xml:space="preserve">analyze the effect of the </w:t>
      </w:r>
      <w:r w:rsidR="00641E4D" w:rsidRPr="00EE533D">
        <w:rPr>
          <w:rFonts w:ascii="Times New Roman" w:hAnsi="Times New Roman" w:cs="Times New Roman"/>
          <w:sz w:val="24"/>
          <w:szCs w:val="24"/>
          <w:lang w:val="en-GB" w:bidi="ar-SA"/>
        </w:rPr>
        <w:t>three-pillar framework of regulatory, normative, and cultural cognitive</w:t>
      </w:r>
      <w:r w:rsidR="00641E4D" w:rsidRPr="00EE533D">
        <w:rPr>
          <w:rFonts w:ascii="Times New Roman" w:hAnsi="Times New Roman" w:cs="Times New Roman"/>
          <w:sz w:val="24"/>
          <w:szCs w:val="24"/>
          <w:lang w:val="en-GB"/>
        </w:rPr>
        <w:t xml:space="preserve"> i</w:t>
      </w:r>
      <w:r w:rsidR="00641E4D" w:rsidRPr="00EE533D">
        <w:rPr>
          <w:rFonts w:ascii="Times New Roman" w:hAnsi="Times New Roman" w:cs="Times New Roman"/>
          <w:sz w:val="24"/>
          <w:szCs w:val="24"/>
          <w:lang w:val="en-GB" w:bidi="ar-SA"/>
        </w:rPr>
        <w:t>nstitutions on sectoral</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bidi="ar-SA"/>
        </w:rPr>
        <w:t>systems of innovation (SSI), technological innovation systems (TIS),</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bidi="ar-SA"/>
        </w:rPr>
        <w:t xml:space="preserve">and socio-technical systems (STS) as approaches to innovation and technological change for sustainable and competitive </w:t>
      </w:r>
      <w:r w:rsidR="00641E4D" w:rsidRPr="00EE533D">
        <w:rPr>
          <w:rFonts w:ascii="Times New Roman" w:hAnsi="Times New Roman" w:cs="Times New Roman"/>
          <w:sz w:val="24"/>
          <w:szCs w:val="24"/>
          <w:lang w:val="en-GB" w:bidi="ar-SA"/>
        </w:rPr>
        <w:lastRenderedPageBreak/>
        <w:t>economies. They show that institutions serve</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bidi="ar-SA"/>
        </w:rPr>
        <w:t xml:space="preserve">as guiding innovators.  In </w:t>
      </w:r>
      <w:r w:rsidR="0036633D" w:rsidRPr="00EE533D">
        <w:rPr>
          <w:rFonts w:ascii="Times New Roman" w:hAnsi="Times New Roman" w:cs="Times New Roman"/>
          <w:sz w:val="24"/>
          <w:szCs w:val="24"/>
          <w:lang w:val="en-GB" w:bidi="ar-SA"/>
        </w:rPr>
        <w:t xml:space="preserve">the </w:t>
      </w:r>
      <w:r w:rsidR="00641E4D" w:rsidRPr="00EE533D">
        <w:rPr>
          <w:rFonts w:ascii="Times New Roman" w:hAnsi="Times New Roman" w:cs="Times New Roman"/>
          <w:sz w:val="24"/>
          <w:szCs w:val="24"/>
          <w:lang w:val="en-GB" w:bidi="ar-SA"/>
        </w:rPr>
        <w:t>same way,</w:t>
      </w:r>
      <w:r w:rsidR="0036633D" w:rsidRPr="00EE533D">
        <w:rPr>
          <w:rFonts w:ascii="Times New Roman" w:hAnsi="Times New Roman" w:cs="Times New Roman"/>
          <w:sz w:val="24"/>
          <w:szCs w:val="24"/>
          <w:lang w:val="en-GB" w:bidi="ar-SA"/>
        </w:rPr>
        <w:t xml:space="preserve"> </w:t>
      </w:r>
      <w:r w:rsidR="0036633D" w:rsidRPr="00EE533D">
        <w:rPr>
          <w:rFonts w:ascii="Times New Roman" w:hAnsi="Times New Roman" w:cs="Times New Roman"/>
          <w:sz w:val="24"/>
          <w:szCs w:val="24"/>
          <w:lang w:val="en-GB" w:bidi="ar-SA"/>
        </w:rPr>
        <w:fldChar w:fldCharType="begin"/>
      </w:r>
      <w:r w:rsidR="008D5E03" w:rsidRPr="00EE533D">
        <w:rPr>
          <w:rFonts w:ascii="Times New Roman" w:hAnsi="Times New Roman" w:cs="Times New Roman"/>
          <w:sz w:val="24"/>
          <w:szCs w:val="24"/>
          <w:lang w:val="en-GB" w:bidi="ar-SA"/>
        </w:rPr>
        <w:instrText xml:space="preserve"> ADDIN ZOTERO_ITEM CSL_CITATION {"citationID":"SSxgk0S5","properties":{"formattedCitation":"(Berrone et al., 2013)","plainCitation":"(Berrone et al., 2013)","dontUpdate":true,"noteIndex":0},"citationItems":[{"id":3735,"uris":["http://zotero.org/users/8125408/items/RNZAUTDW"],"itemData":{"id":3735,"type":"article-journal","container-title":"Strategic management journal","ISSN":"0143-2095","issue":"8","journalAbbreviation":"Strategic management journal","note":"publisher: Wiley Online Library","page":"891-909","title":"Necessity as the mother of ‘green’inventions: Institutional pressures and environmental innovations","volume":"34","author":[{"family":"Berrone","given":"Pascual"},{"family":"Fosfuri","given":"Andrea"},{"family":"Gelabert","given":"Liliana"},{"family":"Gomez‐Mejia","given":"Luis R"}],"issued":{"date-parts":[["2013"]]}}}],"schema":"https://github.com/citation-style-language/schema/raw/master/csl-citation.json"} </w:instrText>
      </w:r>
      <w:r w:rsidR="0036633D" w:rsidRPr="00EE533D">
        <w:rPr>
          <w:rFonts w:ascii="Times New Roman" w:hAnsi="Times New Roman" w:cs="Times New Roman"/>
          <w:sz w:val="24"/>
          <w:szCs w:val="24"/>
          <w:lang w:val="en-GB" w:bidi="ar-SA"/>
        </w:rPr>
        <w:fldChar w:fldCharType="separate"/>
      </w:r>
      <w:r w:rsidR="0036633D" w:rsidRPr="00EE533D">
        <w:rPr>
          <w:rFonts w:ascii="Times New Roman" w:hAnsi="Times New Roman" w:cs="Times New Roman"/>
          <w:sz w:val="24"/>
          <w:lang w:val="en-GB"/>
        </w:rPr>
        <w:t>Berrone et al. (2013)</w:t>
      </w:r>
      <w:r w:rsidR="0036633D" w:rsidRPr="00EE533D">
        <w:rPr>
          <w:rFonts w:ascii="Times New Roman" w:hAnsi="Times New Roman" w:cs="Times New Roman"/>
          <w:sz w:val="24"/>
          <w:szCs w:val="24"/>
          <w:lang w:val="en-GB" w:bidi="ar-SA"/>
        </w:rPr>
        <w:fldChar w:fldCharType="end"/>
      </w:r>
      <w:r w:rsidR="00641E4D" w:rsidRPr="00EE533D">
        <w:rPr>
          <w:rFonts w:ascii="Times New Roman" w:hAnsi="Times New Roman" w:cs="Times New Roman"/>
          <w:sz w:val="24"/>
          <w:szCs w:val="24"/>
          <w:lang w:val="en-GB" w:bidi="ar-SA"/>
        </w:rPr>
        <w:t xml:space="preserve"> </w:t>
      </w:r>
      <w:r w:rsidR="00641E4D" w:rsidRPr="00EE533D">
        <w:rPr>
          <w:rFonts w:ascii="Times New Roman" w:hAnsi="Times New Roman" w:cs="Times New Roman"/>
          <w:sz w:val="24"/>
          <w:szCs w:val="24"/>
          <w:lang w:val="en-GB"/>
        </w:rPr>
        <w:t xml:space="preserve">highlight that greater regulatory and normative pressures </w:t>
      </w:r>
      <w:r w:rsidR="0036633D" w:rsidRPr="00EE533D">
        <w:rPr>
          <w:rFonts w:ascii="Times New Roman" w:hAnsi="Times New Roman" w:cs="Times New Roman"/>
          <w:sz w:val="24"/>
          <w:szCs w:val="24"/>
          <w:lang w:val="en-GB"/>
        </w:rPr>
        <w:t xml:space="preserve">positively affect the propensity of the firm to engage in eco-innovation in the </w:t>
      </w:r>
      <w:r w:rsidR="00641E4D" w:rsidRPr="00EE533D">
        <w:rPr>
          <w:rFonts w:ascii="Times New Roman" w:hAnsi="Times New Roman" w:cs="Times New Roman"/>
          <w:sz w:val="24"/>
          <w:szCs w:val="24"/>
          <w:lang w:val="en-GB"/>
        </w:rPr>
        <w:t>U</w:t>
      </w:r>
      <w:r w:rsidR="00653ADA" w:rsidRPr="00EE533D">
        <w:rPr>
          <w:rFonts w:ascii="Times New Roman" w:hAnsi="Times New Roman" w:cs="Times New Roman"/>
          <w:sz w:val="24"/>
          <w:szCs w:val="24"/>
          <w:lang w:val="en-GB"/>
        </w:rPr>
        <w:t>.</w:t>
      </w:r>
      <w:r w:rsidR="00641E4D" w:rsidRPr="00EE533D">
        <w:rPr>
          <w:rFonts w:ascii="Times New Roman" w:hAnsi="Times New Roman" w:cs="Times New Roman"/>
          <w:sz w:val="24"/>
          <w:szCs w:val="24"/>
          <w:lang w:val="en-GB"/>
        </w:rPr>
        <w:t>S.</w:t>
      </w:r>
      <w:r w:rsidR="00653ADA" w:rsidRPr="00EE533D">
        <w:rPr>
          <w:rFonts w:ascii="Times New Roman" w:hAnsi="Times New Roman" w:cs="Times New Roman"/>
          <w:sz w:val="24"/>
          <w:szCs w:val="24"/>
          <w:lang w:val="en-GB"/>
        </w:rPr>
        <w:t xml:space="preserve"> (United States). </w:t>
      </w:r>
      <w:r w:rsidR="003D3478" w:rsidRPr="00EE533D">
        <w:rPr>
          <w:rFonts w:ascii="Times New Roman" w:hAnsi="Times New Roman" w:cs="Times New Roman"/>
          <w:sz w:val="24"/>
          <w:szCs w:val="24"/>
          <w:lang w:val="en-GB"/>
        </w:rPr>
        <w:fldChar w:fldCharType="begin"/>
      </w:r>
      <w:r w:rsidR="003D3478" w:rsidRPr="00EE533D">
        <w:rPr>
          <w:rFonts w:ascii="Times New Roman" w:hAnsi="Times New Roman" w:cs="Times New Roman"/>
          <w:sz w:val="24"/>
          <w:szCs w:val="24"/>
          <w:lang w:val="en-GB"/>
        </w:rPr>
        <w:instrText xml:space="preserve"> ADDIN ZOTERO_ITEM CSL_CITATION {"citationID":"UMEeZ5uV","properties":{"formattedCitation":"(Pajunen et al., 2013)","plainCitation":"(Pajunen et al., 2013)","dontUpdate":true,"noteIndex":0},"citationItems":[{"id":2607,"uris":["http://zotero.org/users/8125408/items/TT3EX8NW"],"itemData":{"id":2607,"type":"article-journal","container-title":"Minerals Engineering","ISSN":"0892-6875","journalAbbreviation":"Minerals Engineering","note":"publisher: Elsevier","page":"144-156","title":"The challenge to overcome institutional barriers in the development of industrial residue based novel symbiosis products–Experiences from Finnish process industry","volume":"46","author":[{"family":"Pajunen","given":"Nani"},{"family":"Watkins","given":"G"},{"family":"Husgafvel","given":"R"},{"family":"Heiskanen","given":"Kari"},{"family":"Dahl","given":"O"}],"issued":{"date-parts":[["2013"]]}}}],"schema":"https://github.com/citation-style-language/schema/raw/master/csl-citation.json"} </w:instrText>
      </w:r>
      <w:r w:rsidR="003D3478" w:rsidRPr="00EE533D">
        <w:rPr>
          <w:rFonts w:ascii="Times New Roman" w:hAnsi="Times New Roman" w:cs="Times New Roman"/>
          <w:sz w:val="24"/>
          <w:szCs w:val="24"/>
          <w:lang w:val="en-GB"/>
        </w:rPr>
        <w:fldChar w:fldCharType="separate"/>
      </w:r>
      <w:r w:rsidR="003D3478" w:rsidRPr="00EE533D">
        <w:rPr>
          <w:rFonts w:ascii="Times New Roman" w:hAnsi="Times New Roman" w:cs="Times New Roman"/>
          <w:sz w:val="24"/>
          <w:lang w:val="en-GB"/>
        </w:rPr>
        <w:t xml:space="preserve">Pajunen </w:t>
      </w:r>
      <w:r w:rsidR="003D3478" w:rsidRPr="00EE533D">
        <w:rPr>
          <w:rFonts w:ascii="Times New Roman" w:hAnsi="Times New Roman" w:cs="Times New Roman"/>
          <w:i/>
          <w:iCs/>
          <w:sz w:val="24"/>
          <w:lang w:val="en-GB"/>
        </w:rPr>
        <w:t xml:space="preserve">et </w:t>
      </w:r>
      <w:r w:rsidR="003D3478" w:rsidRPr="00EE533D">
        <w:rPr>
          <w:rFonts w:ascii="Times New Roman" w:hAnsi="Times New Roman" w:cs="Times New Roman"/>
          <w:sz w:val="24"/>
          <w:lang w:val="en-GB"/>
        </w:rPr>
        <w:t>al. (2013)</w:t>
      </w:r>
      <w:r w:rsidR="003D3478" w:rsidRPr="00EE533D">
        <w:rPr>
          <w:rFonts w:ascii="Times New Roman" w:hAnsi="Times New Roman" w:cs="Times New Roman"/>
          <w:sz w:val="24"/>
          <w:szCs w:val="24"/>
          <w:lang w:val="en-GB"/>
        </w:rPr>
        <w:fldChar w:fldCharType="end"/>
      </w:r>
      <w:r w:rsidR="003D3478" w:rsidRPr="00EE533D">
        <w:rPr>
          <w:rFonts w:ascii="Times New Roman" w:hAnsi="Times New Roman" w:cs="Times New Roman"/>
          <w:sz w:val="24"/>
          <w:szCs w:val="24"/>
          <w:lang w:val="en-GB"/>
        </w:rPr>
        <w:t xml:space="preserve"> </w:t>
      </w:r>
      <w:r w:rsidR="00871FC0" w:rsidRPr="00EE533D">
        <w:rPr>
          <w:rFonts w:ascii="Times New Roman" w:hAnsi="Times New Roman" w:cs="Times New Roman"/>
          <w:iCs/>
          <w:sz w:val="24"/>
          <w:szCs w:val="24"/>
          <w:lang w:val="en-GB" w:bidi="ar-SA"/>
        </w:rPr>
        <w:t>studied the institutional barriers in the development of innovative residue-based products in Finland</w:t>
      </w:r>
      <w:r w:rsidR="00641E4D" w:rsidRPr="00EE533D">
        <w:rPr>
          <w:rFonts w:ascii="Times New Roman" w:hAnsi="Times New Roman" w:cs="Times New Roman"/>
          <w:sz w:val="24"/>
          <w:szCs w:val="24"/>
          <w:lang w:val="en-GB" w:bidi="ar-SA"/>
        </w:rPr>
        <w:t xml:space="preserve">. Other studies applied </w:t>
      </w:r>
      <w:r w:rsidR="00641E4D" w:rsidRPr="00EE533D">
        <w:rPr>
          <w:rFonts w:ascii="Times New Roman" w:hAnsi="Times New Roman" w:cs="Times New Roman"/>
          <w:sz w:val="24"/>
          <w:szCs w:val="24"/>
          <w:lang w:val="en-GB"/>
        </w:rPr>
        <w:t>institutional</w:t>
      </w:r>
      <w:r w:rsidR="00641E4D" w:rsidRPr="00EE533D">
        <w:rPr>
          <w:rFonts w:ascii="Times New Roman" w:hAnsi="Times New Roman" w:cs="Times New Roman"/>
          <w:sz w:val="24"/>
          <w:szCs w:val="24"/>
          <w:lang w:val="en-GB" w:bidi="ar-SA"/>
        </w:rPr>
        <w:t xml:space="preserve"> theory to examine climate change strategies. For example, </w:t>
      </w:r>
      <w:r w:rsidR="005438CF" w:rsidRPr="00EE533D">
        <w:rPr>
          <w:rFonts w:ascii="Times New Roman" w:hAnsi="Times New Roman" w:cs="Times New Roman"/>
          <w:sz w:val="24"/>
          <w:szCs w:val="24"/>
          <w:lang w:val="en-GB" w:bidi="ar-SA"/>
        </w:rPr>
        <w:fldChar w:fldCharType="begin"/>
      </w:r>
      <w:r w:rsidR="005438CF" w:rsidRPr="00EE533D">
        <w:rPr>
          <w:rFonts w:ascii="Times New Roman" w:hAnsi="Times New Roman" w:cs="Times New Roman"/>
          <w:sz w:val="24"/>
          <w:szCs w:val="24"/>
          <w:lang w:val="en-GB" w:bidi="ar-SA"/>
        </w:rPr>
        <w:instrText xml:space="preserve"> ADDIN ZOTERO_ITEM CSL_CITATION {"citationID":"GiaUrc7M","properties":{"formattedCitation":"(Delmas &amp; Montes\\uc0\\u8208{}Sancho, 2010)","plainCitation":"(Delmas &amp; Montes‐Sancho, 2010)","dontUpdate":true,"noteIndex":0},"citationItems":[{"id":2608,"uris":["http://zotero.org/users/8125408/items/2MIMVQQQ"],"itemData":{"id":2608,"type":"article-journal","container-title":"Strategic Management Journal","ISSN":"0143-2095","issue":"6","journalAbbreviation":"Strategic Management Journal","note":"publisher: Wiley Online Library","page":"575-601","title":"Voluntary agreements to improve environmental quality: Symbolic and substantive cooperation","volume":"31","author":[{"family":"Delmas","given":"Magali A"},{"family":"Montes‐Sancho","given":"Maria J"}],"issued":{"date-parts":[["2010"]]}}}],"schema":"https://github.com/citation-style-language/schema/raw/master/csl-citation.json"} </w:instrText>
      </w:r>
      <w:r w:rsidR="005438CF" w:rsidRPr="00EE533D">
        <w:rPr>
          <w:rFonts w:ascii="Times New Roman" w:hAnsi="Times New Roman" w:cs="Times New Roman"/>
          <w:sz w:val="24"/>
          <w:szCs w:val="24"/>
          <w:lang w:val="en-GB" w:bidi="ar-SA"/>
        </w:rPr>
        <w:fldChar w:fldCharType="separate"/>
      </w:r>
      <w:r w:rsidR="005438CF" w:rsidRPr="00EE533D">
        <w:rPr>
          <w:rFonts w:ascii="Times New Roman" w:hAnsi="Times New Roman" w:cs="Times New Roman"/>
          <w:sz w:val="24"/>
          <w:lang w:val="en-GB"/>
        </w:rPr>
        <w:t>Delmas and Montes‐Sancho (2010</w:t>
      </w:r>
      <w:r w:rsidR="005438CF" w:rsidRPr="00EE533D">
        <w:rPr>
          <w:rFonts w:ascii="Times New Roman" w:hAnsi="Times New Roman" w:cs="Times New Roman"/>
          <w:sz w:val="24"/>
          <w:szCs w:val="24"/>
          <w:lang w:val="en-GB" w:bidi="ar-SA"/>
        </w:rPr>
        <w:fldChar w:fldCharType="end"/>
      </w:r>
      <w:r w:rsidR="005438CF" w:rsidRPr="00EE533D">
        <w:rPr>
          <w:rFonts w:ascii="Times New Roman" w:hAnsi="Times New Roman" w:cs="Times New Roman"/>
          <w:sz w:val="24"/>
          <w:szCs w:val="24"/>
          <w:lang w:val="en-GB" w:bidi="ar-SA"/>
        </w:rPr>
        <w:t>)</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rPr>
        <w:lastRenderedPageBreak/>
        <w:t xml:space="preserve">analyze different countries to explore the effect of institutional pressures </w:t>
      </w:r>
      <w:r w:rsidR="0036633D" w:rsidRPr="00EE533D">
        <w:rPr>
          <w:rFonts w:ascii="Times New Roman" w:hAnsi="Times New Roman" w:cs="Times New Roman"/>
          <w:sz w:val="24"/>
          <w:szCs w:val="24"/>
          <w:lang w:val="en-GB"/>
        </w:rPr>
        <w:t xml:space="preserve">on </w:t>
      </w:r>
      <w:r w:rsidR="00641E4D" w:rsidRPr="00EE533D">
        <w:rPr>
          <w:rFonts w:ascii="Times New Roman" w:hAnsi="Times New Roman" w:cs="Times New Roman"/>
          <w:sz w:val="24"/>
          <w:szCs w:val="24"/>
          <w:lang w:val="en-GB"/>
        </w:rPr>
        <w:t xml:space="preserve">early or late participation in climate change programs of businesses.  </w:t>
      </w:r>
      <w:r w:rsidR="003D3478" w:rsidRPr="00EE533D">
        <w:rPr>
          <w:rFonts w:ascii="Times New Roman" w:hAnsi="Times New Roman" w:cs="Times New Roman"/>
          <w:sz w:val="24"/>
          <w:szCs w:val="24"/>
          <w:lang w:val="en-GB"/>
        </w:rPr>
        <w:fldChar w:fldCharType="begin"/>
      </w:r>
      <w:r w:rsidR="003D3478" w:rsidRPr="00EE533D">
        <w:rPr>
          <w:rFonts w:ascii="Times New Roman" w:hAnsi="Times New Roman" w:cs="Times New Roman"/>
          <w:sz w:val="24"/>
          <w:szCs w:val="24"/>
          <w:lang w:val="en-GB"/>
        </w:rPr>
        <w:instrText xml:space="preserve"> ADDIN ZOTERO_ITEM CSL_CITATION {"citationID":"FIC6qgJw","properties":{"formattedCitation":"(Shinkle &amp; Spencer, 2012)","plainCitation":"(Shinkle &amp; Spencer, 2012)","dontUpdate":true,"noteIndex":0},"citationItems":[{"id":2609,"uris":["http://zotero.org/users/8125408/items/KRENHQTZ"],"itemData":{"id":2609,"type":"article-journal","container-title":"Journal of World Business","ISSN":"1090-9516","issue":"1","journalAbbreviation":"Journal of World Business","note":"publisher: Elsevier","page":"123-133","title":"The social construction of global corporate citizenship: Sustainability reports of automotive corporations","volume":"47","author":[{"family":"Shinkle","given":"George A"},{"family":"Spencer","given":"J William"}],"issued":{"date-parts":[["2012"]]}}}],"schema":"https://github.com/citation-style-language/schema/raw/master/csl-citation.json"} </w:instrText>
      </w:r>
      <w:r w:rsidR="003D3478" w:rsidRPr="00EE533D">
        <w:rPr>
          <w:rFonts w:ascii="Times New Roman" w:hAnsi="Times New Roman" w:cs="Times New Roman"/>
          <w:sz w:val="24"/>
          <w:szCs w:val="24"/>
          <w:lang w:val="en-GB"/>
        </w:rPr>
        <w:fldChar w:fldCharType="separate"/>
      </w:r>
      <w:r w:rsidR="003D3478" w:rsidRPr="00EE533D">
        <w:rPr>
          <w:rFonts w:ascii="Times New Roman" w:hAnsi="Times New Roman" w:cs="Times New Roman"/>
          <w:sz w:val="24"/>
          <w:lang w:val="en-GB"/>
        </w:rPr>
        <w:t>Shinkle &amp; Spencer (2012</w:t>
      </w:r>
      <w:r w:rsidR="003D3478" w:rsidRPr="00EE533D">
        <w:rPr>
          <w:rFonts w:ascii="Times New Roman" w:hAnsi="Times New Roman" w:cs="Times New Roman"/>
          <w:sz w:val="24"/>
          <w:szCs w:val="24"/>
          <w:lang w:val="en-GB"/>
        </w:rPr>
        <w:fldChar w:fldCharType="end"/>
      </w:r>
      <w:r w:rsidR="003D3478" w:rsidRPr="00EE533D">
        <w:rPr>
          <w:rFonts w:ascii="Times New Roman" w:hAnsi="Times New Roman" w:cs="Times New Roman"/>
          <w:sz w:val="24"/>
          <w:szCs w:val="24"/>
          <w:lang w:val="en-GB"/>
        </w:rPr>
        <w:t xml:space="preserve">) </w:t>
      </w:r>
      <w:r w:rsidR="0036633D" w:rsidRPr="00EE533D">
        <w:rPr>
          <w:rFonts w:ascii="Times New Roman" w:hAnsi="Times New Roman" w:cs="Times New Roman"/>
          <w:sz w:val="24"/>
          <w:szCs w:val="24"/>
          <w:lang w:val="en-GB"/>
        </w:rPr>
        <w:t xml:space="preserve">and </w:t>
      </w:r>
      <w:r w:rsidR="00DE7F25" w:rsidRPr="00EE533D">
        <w:rPr>
          <w:rFonts w:ascii="Times New Roman" w:hAnsi="Times New Roman" w:cs="Times New Roman"/>
          <w:sz w:val="24"/>
          <w:szCs w:val="24"/>
          <w:lang w:val="en-GB"/>
        </w:rPr>
        <w:fldChar w:fldCharType="begin"/>
      </w:r>
      <w:r w:rsidR="00BE55BA" w:rsidRPr="00EE533D">
        <w:rPr>
          <w:rFonts w:ascii="Times New Roman" w:hAnsi="Times New Roman" w:cs="Times New Roman"/>
          <w:sz w:val="24"/>
          <w:szCs w:val="24"/>
          <w:lang w:val="en-GB"/>
        </w:rPr>
        <w:instrText xml:space="preserve"> ADDIN ZOTERO_ITEM CSL_CITATION {"citationID":"ZPZVNtqX","properties":{"formattedCitation":"(Hahn et al., 2015)","plainCitation":"(Hahn et al., 2015)","dontUpdate":true,"noteIndex":0},"citationItems":[{"id":3748,"uris":["http://zotero.org/users/8125408/items/HP3H9U5Y"],"itemData":{"id":3748,"type":"article-journal","container-title":"Organization &amp; environment","ISSN":"1086-0266","issue":"1","journalAbbreviation":"Organization &amp; environment","note":"publisher: Sage Publications Sage CA: Los Angeles, CA","page":"80-102","title":"Organizations, climate change, and transparency: Reviewing the literature on carbon disclosure","volume":"28","author":[{"family":"Hahn","given":"Rüdiger"},{"family":"Reimsbach","given":"Daniel"},{"family":"Schiemann","given":"Frank"}],"issued":{"date-parts":[["2015"]]}}}],"schema":"https://github.com/citation-style-language/schema/raw/master/csl-citation.json"} </w:instrText>
      </w:r>
      <w:r w:rsidR="00DE7F25" w:rsidRPr="00EE533D">
        <w:rPr>
          <w:rFonts w:ascii="Times New Roman" w:hAnsi="Times New Roman" w:cs="Times New Roman"/>
          <w:sz w:val="24"/>
          <w:szCs w:val="24"/>
          <w:lang w:val="en-GB"/>
        </w:rPr>
        <w:fldChar w:fldCharType="separate"/>
      </w:r>
      <w:r w:rsidR="00DE7F25" w:rsidRPr="00EE533D">
        <w:rPr>
          <w:rFonts w:ascii="Times New Roman" w:hAnsi="Times New Roman" w:cs="Times New Roman"/>
          <w:sz w:val="24"/>
          <w:lang w:val="en-GB"/>
        </w:rPr>
        <w:t>Hahn et al. (2015)</w:t>
      </w:r>
      <w:r w:rsidR="00DE7F25" w:rsidRPr="00EE533D">
        <w:rPr>
          <w:rFonts w:ascii="Times New Roman" w:hAnsi="Times New Roman" w:cs="Times New Roman"/>
          <w:sz w:val="24"/>
          <w:szCs w:val="24"/>
          <w:lang w:val="en-GB"/>
        </w:rPr>
        <w:fldChar w:fldCharType="end"/>
      </w:r>
      <w:r w:rsidR="00DE7F25" w:rsidRPr="00EE533D">
        <w:rPr>
          <w:rFonts w:ascii="Times New Roman" w:hAnsi="Times New Roman" w:cs="Times New Roman"/>
          <w:sz w:val="24"/>
          <w:szCs w:val="24"/>
          <w:lang w:val="en-GB"/>
        </w:rPr>
        <w:t xml:space="preserve"> </w:t>
      </w:r>
      <w:r w:rsidR="0036633D" w:rsidRPr="00EE533D">
        <w:rPr>
          <w:rFonts w:ascii="Times New Roman" w:hAnsi="Times New Roman" w:cs="Times New Roman"/>
          <w:sz w:val="24"/>
          <w:szCs w:val="24"/>
          <w:lang w:val="en-GB"/>
        </w:rPr>
        <w:t xml:space="preserve">investigate voluntary corporate disclosures of climate change-related information and highlight </w:t>
      </w:r>
      <w:r w:rsidR="00641E4D" w:rsidRPr="00EE533D">
        <w:rPr>
          <w:rFonts w:ascii="Times New Roman" w:hAnsi="Times New Roman" w:cs="Times New Roman"/>
          <w:sz w:val="24"/>
          <w:szCs w:val="24"/>
          <w:lang w:val="en-GB"/>
        </w:rPr>
        <w:t xml:space="preserve">that corporate disclosures are affected by institutional pressures.  Similarly, </w:t>
      </w:r>
      <w:bookmarkStart w:id="12" w:name="bbib100"/>
      <w:r w:rsidR="00B224D8" w:rsidRPr="00EE533D">
        <w:rPr>
          <w:rFonts w:ascii="Times New Roman" w:hAnsi="Times New Roman" w:cs="Times New Roman"/>
          <w:sz w:val="24"/>
          <w:szCs w:val="24"/>
          <w:lang w:val="en-GB"/>
        </w:rPr>
        <w:fldChar w:fldCharType="begin"/>
      </w:r>
      <w:r w:rsidR="00B224D8" w:rsidRPr="00EE533D">
        <w:rPr>
          <w:rFonts w:ascii="Times New Roman" w:hAnsi="Times New Roman" w:cs="Times New Roman"/>
          <w:sz w:val="24"/>
          <w:szCs w:val="24"/>
          <w:lang w:val="en-GB"/>
        </w:rPr>
        <w:instrText xml:space="preserve"> ADDIN ZOTERO_ITEM CSL_CITATION {"citationID":"5NXaVEjS","properties":{"formattedCitation":"(Daddi et al., 2016)","plainCitation":"(Daddi et al., 2016)","dontUpdate":true,"noteIndex":0},"citationItems":[{"id":2611,"uris":["http://zotero.org/users/8125408/items/3FA9EIRD"],"itemData":{"id":2611,"type":"article-journal","container-title":"Journal of environmental management","ISSN":"0301-4797","journalAbbreviation":"Journal of environmental management","note":"publisher: Elsevier","page":"647-656","title":"Exploring the link between institutional pressures and environmental management systems effectiveness: An empirical study","volume":"183","author":[{"family":"Daddi","given":"Tiberio"},{"family":"Testa","given":"Francesco"},{"family":"Frey","given":"Marco"},{"family":"Iraldo","given":"Fabio"}],"issued":{"date-parts":[["2016"]]}}}],"schema":"https://github.com/citation-style-language/schema/raw/master/csl-citation.json"} </w:instrText>
      </w:r>
      <w:r w:rsidR="00B224D8" w:rsidRPr="00EE533D">
        <w:rPr>
          <w:rFonts w:ascii="Times New Roman" w:hAnsi="Times New Roman" w:cs="Times New Roman"/>
          <w:sz w:val="24"/>
          <w:szCs w:val="24"/>
          <w:lang w:val="en-GB"/>
        </w:rPr>
        <w:fldChar w:fldCharType="separate"/>
      </w:r>
      <w:r w:rsidR="00B224D8" w:rsidRPr="00EE533D">
        <w:rPr>
          <w:rFonts w:ascii="Times New Roman" w:hAnsi="Times New Roman" w:cs="Times New Roman"/>
          <w:sz w:val="24"/>
          <w:lang w:val="en-GB"/>
        </w:rPr>
        <w:t xml:space="preserve">Daddi </w:t>
      </w:r>
      <w:r w:rsidR="00B224D8" w:rsidRPr="00EE533D">
        <w:rPr>
          <w:rFonts w:ascii="Times New Roman" w:hAnsi="Times New Roman" w:cs="Times New Roman"/>
          <w:i/>
          <w:iCs/>
          <w:sz w:val="24"/>
          <w:lang w:val="en-GB"/>
        </w:rPr>
        <w:t>et al.</w:t>
      </w:r>
      <w:r w:rsidR="00B224D8" w:rsidRPr="00EE533D">
        <w:rPr>
          <w:rFonts w:ascii="Times New Roman" w:hAnsi="Times New Roman" w:cs="Times New Roman"/>
          <w:sz w:val="24"/>
          <w:lang w:val="en-GB"/>
        </w:rPr>
        <w:t xml:space="preserve"> (2016)</w:t>
      </w:r>
      <w:r w:rsidR="00B224D8" w:rsidRPr="00EE533D">
        <w:rPr>
          <w:rFonts w:ascii="Times New Roman" w:hAnsi="Times New Roman" w:cs="Times New Roman"/>
          <w:sz w:val="24"/>
          <w:szCs w:val="24"/>
          <w:lang w:val="en-GB"/>
        </w:rPr>
        <w:fldChar w:fldCharType="end"/>
      </w:r>
      <w:r w:rsidR="00B224D8" w:rsidRPr="00EE533D">
        <w:rPr>
          <w:rFonts w:ascii="Times New Roman" w:hAnsi="Times New Roman" w:cs="Times New Roman"/>
          <w:sz w:val="24"/>
          <w:szCs w:val="24"/>
          <w:lang w:val="en-GB"/>
        </w:rPr>
        <w:t xml:space="preserve"> </w:t>
      </w:r>
      <w:r w:rsidR="0036633D" w:rsidRPr="00EE533D">
        <w:rPr>
          <w:rFonts w:ascii="Times New Roman" w:hAnsi="Times New Roman" w:cs="Times New Roman"/>
          <w:sz w:val="24"/>
          <w:szCs w:val="24"/>
          <w:lang w:val="en-GB"/>
        </w:rPr>
        <w:t>studied the effects of coercive, normative, and mimetic pressures on the</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rPr>
        <w:lastRenderedPageBreak/>
        <w:t xml:space="preserve">climate change mitigation and adaptation strategies of 487 Italian firms. Moreover, studies emphasize the effect of institutional pressure on </w:t>
      </w:r>
      <w:r w:rsidR="00863809" w:rsidRPr="00EE533D">
        <w:rPr>
          <w:rFonts w:ascii="Times New Roman" w:hAnsi="Times New Roman" w:cs="Times New Roman"/>
          <w:sz w:val="24"/>
          <w:szCs w:val="24"/>
          <w:lang w:val="en-GB"/>
        </w:rPr>
        <w:t xml:space="preserve">the </w:t>
      </w:r>
      <w:r w:rsidR="00641E4D" w:rsidRPr="00EE533D">
        <w:rPr>
          <w:rFonts w:ascii="Times New Roman" w:hAnsi="Times New Roman" w:cs="Times New Roman"/>
          <w:sz w:val="24"/>
          <w:szCs w:val="24"/>
          <w:lang w:val="en-GB"/>
        </w:rPr>
        <w:t>environmental management system</w:t>
      </w:r>
      <w:bookmarkStart w:id="13" w:name="bbib83"/>
      <w:r w:rsidR="00641E4D" w:rsidRPr="00EE533D">
        <w:rPr>
          <w:rFonts w:ascii="Times New Roman" w:hAnsi="Times New Roman" w:cs="Times New Roman"/>
          <w:sz w:val="24"/>
          <w:szCs w:val="24"/>
          <w:lang w:val="en-GB"/>
        </w:rPr>
        <w:t xml:space="preserve"> (</w:t>
      </w:r>
      <w:bookmarkEnd w:id="13"/>
      <w:r w:rsidR="005438CF" w:rsidRPr="00EE533D">
        <w:rPr>
          <w:rFonts w:ascii="Times New Roman" w:hAnsi="Times New Roman" w:cs="Times New Roman"/>
          <w:sz w:val="24"/>
          <w:szCs w:val="24"/>
          <w:lang w:val="en-GB"/>
        </w:rPr>
        <w:fldChar w:fldCharType="begin"/>
      </w:r>
      <w:r w:rsidR="00C06FA8" w:rsidRPr="00EE533D">
        <w:rPr>
          <w:rFonts w:ascii="Times New Roman" w:hAnsi="Times New Roman" w:cs="Times New Roman"/>
          <w:sz w:val="24"/>
          <w:szCs w:val="24"/>
          <w:lang w:val="en-GB"/>
        </w:rPr>
        <w:instrText xml:space="preserve"> ADDIN ZOTERO_ITEM CSL_CITATION {"citationID":"M9ovaN1J","properties":{"formattedCitation":"(Phan &amp; Baird, 2015)","plainCitation":"(Phan &amp; Baird, 2015)","dontUpdate":true,"noteIndex":0},"citationItems":[{"id":2612,"uris":["http://zotero.org/users/8125408/items/VV3XUF2Y"],"itemData":{"id":2612,"type":"article-journal","container-title":"Journal of environmental management","ISSN":"0301-4797","journalAbbreviation":"Journal of environmental management","note":"publisher: Elsevier","page":"45-56","title":"The comprehensiveness of environmental management systems: The influence of institutional pressures and the impact on environmental performance","volume":"160","author":[{"family":"Phan","given":"Thanh Nguyet"},{"family":"Baird","given":"Kevin"}],"issued":{"date-parts":[["2015"]]}}}],"schema":"https://github.com/citation-style-language/schema/raw/master/csl-citation.json"} </w:instrText>
      </w:r>
      <w:r w:rsidR="005438CF" w:rsidRPr="00EE533D">
        <w:rPr>
          <w:rFonts w:ascii="Times New Roman" w:hAnsi="Times New Roman" w:cs="Times New Roman"/>
          <w:sz w:val="24"/>
          <w:szCs w:val="24"/>
          <w:lang w:val="en-GB"/>
        </w:rPr>
        <w:fldChar w:fldCharType="separate"/>
      </w:r>
      <w:r w:rsidR="005438CF" w:rsidRPr="00EE533D">
        <w:rPr>
          <w:rFonts w:ascii="Times New Roman" w:hAnsi="Times New Roman" w:cs="Times New Roman"/>
          <w:sz w:val="24"/>
          <w:lang w:val="en-GB"/>
        </w:rPr>
        <w:t>Phan &amp; Baird, 2015</w:t>
      </w:r>
      <w:r w:rsidR="005438CF" w:rsidRPr="00EE533D">
        <w:rPr>
          <w:rFonts w:ascii="Times New Roman" w:hAnsi="Times New Roman" w:cs="Times New Roman"/>
          <w:sz w:val="24"/>
          <w:szCs w:val="24"/>
          <w:lang w:val="en-GB"/>
        </w:rPr>
        <w:fldChar w:fldCharType="end"/>
      </w:r>
      <w:r w:rsidR="005438CF" w:rsidRPr="00EE533D">
        <w:rPr>
          <w:rFonts w:ascii="Times New Roman" w:hAnsi="Times New Roman" w:cs="Times New Roman"/>
          <w:sz w:val="24"/>
          <w:szCs w:val="24"/>
          <w:lang w:val="en-GB"/>
        </w:rPr>
        <w:t>;</w:t>
      </w:r>
      <w:r w:rsidR="00641E4D" w:rsidRPr="00EE533D">
        <w:rPr>
          <w:rFonts w:ascii="Times New Roman" w:hAnsi="Times New Roman" w:cs="Times New Roman"/>
          <w:sz w:val="24"/>
          <w:szCs w:val="24"/>
          <w:lang w:val="en-GB"/>
        </w:rPr>
        <w:t xml:space="preserve"> </w:t>
      </w:r>
      <w:r w:rsidR="00641E4D" w:rsidRPr="00EE533D">
        <w:rPr>
          <w:rFonts w:ascii="Times New Roman" w:hAnsi="Times New Roman" w:cs="Times New Roman"/>
          <w:iCs/>
          <w:sz w:val="24"/>
          <w:szCs w:val="24"/>
          <w:lang w:val="en-GB" w:bidi="ar-SA"/>
        </w:rPr>
        <w:t>Abreu et al.</w:t>
      </w:r>
      <w:r w:rsidR="00641E4D" w:rsidRPr="00EE533D">
        <w:rPr>
          <w:rFonts w:ascii="Times New Roman" w:hAnsi="Times New Roman" w:cs="Times New Roman"/>
          <w:iCs/>
          <w:sz w:val="24"/>
          <w:szCs w:val="24"/>
          <w:lang w:val="en-GB"/>
        </w:rPr>
        <w:t xml:space="preserve"> </w:t>
      </w:r>
      <w:r w:rsidR="00641E4D" w:rsidRPr="00EE533D">
        <w:rPr>
          <w:rFonts w:ascii="Times New Roman" w:hAnsi="Times New Roman" w:cs="Times New Roman"/>
          <w:iCs/>
          <w:sz w:val="24"/>
          <w:szCs w:val="24"/>
          <w:lang w:val="en-GB" w:bidi="ar-SA"/>
        </w:rPr>
        <w:t>201</w:t>
      </w:r>
      <w:r w:rsidR="00641E4D" w:rsidRPr="00EE533D">
        <w:rPr>
          <w:rFonts w:ascii="Times New Roman" w:hAnsi="Times New Roman" w:cs="Times New Roman"/>
          <w:iCs/>
          <w:sz w:val="24"/>
          <w:szCs w:val="24"/>
          <w:lang w:val="en-GB"/>
        </w:rPr>
        <w:t>2)</w:t>
      </w:r>
      <w:r w:rsidR="00641E4D" w:rsidRPr="00EE533D">
        <w:rPr>
          <w:rFonts w:ascii="Times New Roman" w:hAnsi="Times New Roman" w:cs="Times New Roman"/>
          <w:iCs/>
          <w:sz w:val="24"/>
          <w:szCs w:val="24"/>
          <w:lang w:val="en-GB" w:bidi="ar-SA"/>
        </w:rPr>
        <w:t xml:space="preserve">  </w:t>
      </w:r>
      <w:r w:rsidR="00641E4D" w:rsidRPr="00EE533D">
        <w:rPr>
          <w:rFonts w:ascii="Times New Roman" w:hAnsi="Times New Roman" w:cs="Times New Roman"/>
          <w:iCs/>
          <w:sz w:val="24"/>
          <w:szCs w:val="24"/>
          <w:lang w:val="en-GB"/>
        </w:rPr>
        <w:t xml:space="preserve">or </w:t>
      </w:r>
      <w:r w:rsidR="0068562D" w:rsidRPr="00EE533D">
        <w:rPr>
          <w:rFonts w:ascii="Times New Roman" w:hAnsi="Times New Roman" w:cs="Times New Roman"/>
          <w:sz w:val="24"/>
          <w:szCs w:val="24"/>
          <w:lang w:val="en-GB"/>
        </w:rPr>
        <w:t>e</w:t>
      </w:r>
      <w:r w:rsidR="00641E4D" w:rsidRPr="00EE533D">
        <w:rPr>
          <w:rFonts w:ascii="Times New Roman" w:hAnsi="Times New Roman" w:cs="Times New Roman"/>
          <w:sz w:val="24"/>
          <w:szCs w:val="24"/>
          <w:lang w:val="en-GB"/>
        </w:rPr>
        <w:t xml:space="preserve">nvironmental management accounting </w:t>
      </w:r>
      <w:bookmarkEnd w:id="12"/>
      <w:r w:rsidR="00B224D8" w:rsidRPr="00EE533D">
        <w:rPr>
          <w:rFonts w:ascii="Times New Roman" w:hAnsi="Times New Roman" w:cs="Times New Roman"/>
          <w:sz w:val="24"/>
          <w:szCs w:val="24"/>
          <w:lang w:val="en-GB"/>
        </w:rPr>
        <w:t xml:space="preserve"> </w:t>
      </w:r>
      <w:r w:rsidR="00B224D8" w:rsidRPr="00EE533D">
        <w:rPr>
          <w:rFonts w:ascii="Times New Roman" w:hAnsi="Times New Roman" w:cs="Times New Roman"/>
          <w:sz w:val="24"/>
          <w:szCs w:val="24"/>
          <w:lang w:val="en-GB"/>
        </w:rPr>
        <w:fldChar w:fldCharType="begin"/>
      </w:r>
      <w:r w:rsidR="00BE55BA" w:rsidRPr="00EE533D">
        <w:rPr>
          <w:rFonts w:ascii="Times New Roman" w:hAnsi="Times New Roman" w:cs="Times New Roman"/>
          <w:sz w:val="24"/>
          <w:szCs w:val="24"/>
          <w:lang w:val="en-GB"/>
        </w:rPr>
        <w:instrText xml:space="preserve"> ADDIN ZOTERO_ITEM CSL_CITATION {"citationID":"eRRlZ6SY","properties":{"formattedCitation":"(Wang, Wang &amp; Wang, 2019)","plainCitation":"(Wang, Wang &amp; Wang, 2019)","dontUpdate":true,"noteIndex":0},"citationItems":[{"id":2613,"uris":["http://zotero.org/users/8125408/items/MUHGNMTZ"],"itemData":{"id":2613,"type":"article-journal","container-title":"Business Strategy and the Environment","ISSN":"0964-4733","issue":"1","journalAbbreviation":"Business Strategy and the Environment","note":"publisher: Wiley Online Library","page":"233-243","title":"Exploring the effects of institutional pressures on the implementation of environmental management accounting: Do top management support and perceived benefit work?","volume":"28","author":[{"family":"Wang","given":"Shanyong"},{"family":"Wang","given":"Hualong"},{"family":"Wang","given":"Jing"}],"issued":{"date-parts":[["2019"]]}}}],"schema":"https://github.com/citation-style-language/schema/raw/master/csl-citation.json"} </w:instrText>
      </w:r>
      <w:r w:rsidR="00B224D8" w:rsidRPr="00EE533D">
        <w:rPr>
          <w:rFonts w:ascii="Times New Roman" w:hAnsi="Times New Roman" w:cs="Times New Roman"/>
          <w:sz w:val="24"/>
          <w:szCs w:val="24"/>
          <w:lang w:val="en-GB"/>
        </w:rPr>
        <w:fldChar w:fldCharType="separate"/>
      </w:r>
      <w:r w:rsidR="00B224D8" w:rsidRPr="00EE533D">
        <w:rPr>
          <w:rFonts w:ascii="Times New Roman" w:hAnsi="Times New Roman" w:cs="Times New Roman"/>
          <w:sz w:val="24"/>
          <w:lang w:val="en-GB"/>
        </w:rPr>
        <w:t>(</w:t>
      </w:r>
      <w:bookmarkStart w:id="14" w:name="_Hlk197071500"/>
      <w:r w:rsidR="00B224D8" w:rsidRPr="00EE533D">
        <w:rPr>
          <w:rFonts w:ascii="Times New Roman" w:hAnsi="Times New Roman" w:cs="Times New Roman"/>
          <w:sz w:val="24"/>
          <w:lang w:val="en-GB"/>
        </w:rPr>
        <w:t>Wang, et al., 2019</w:t>
      </w:r>
      <w:bookmarkEnd w:id="14"/>
      <w:r w:rsidR="00B224D8" w:rsidRPr="00EE533D">
        <w:rPr>
          <w:rFonts w:ascii="Times New Roman" w:hAnsi="Times New Roman" w:cs="Times New Roman"/>
          <w:sz w:val="24"/>
          <w:szCs w:val="24"/>
          <w:lang w:val="en-GB"/>
        </w:rPr>
        <w:fldChar w:fldCharType="end"/>
      </w:r>
      <w:r w:rsidR="00B224D8" w:rsidRPr="00EE533D">
        <w:rPr>
          <w:rFonts w:ascii="Times New Roman" w:hAnsi="Times New Roman" w:cs="Times New Roman"/>
          <w:sz w:val="24"/>
          <w:szCs w:val="24"/>
          <w:lang w:val="en-GB"/>
        </w:rPr>
        <w:t xml:space="preserve">; </w:t>
      </w:r>
      <w:r w:rsidR="00B224D8" w:rsidRPr="00EE533D">
        <w:rPr>
          <w:rFonts w:ascii="Times New Roman" w:hAnsi="Times New Roman" w:cs="Times New Roman"/>
          <w:sz w:val="24"/>
          <w:szCs w:val="24"/>
          <w:lang w:val="en-GB"/>
        </w:rPr>
        <w:fldChar w:fldCharType="begin"/>
      </w:r>
      <w:r w:rsidR="00B224D8" w:rsidRPr="00EE533D">
        <w:rPr>
          <w:rFonts w:ascii="Times New Roman" w:hAnsi="Times New Roman" w:cs="Times New Roman"/>
          <w:sz w:val="24"/>
          <w:szCs w:val="24"/>
          <w:lang w:val="en-GB"/>
        </w:rPr>
        <w:instrText xml:space="preserve"> ADDIN ZOTERO_ITEM CSL_CITATION {"citationID":"NpBHyQCq","properties":{"formattedCitation":"(Alnaim &amp; Metwally, 2024)","plainCitation":"(Alnaim &amp; Metwally, 2024)","dontUpdate":true,"noteIndex":0},"citationItems":[{"id":2614,"uris":["http://zotero.org/users/8125408/items/GMBP3BDN"],"itemData":{"id":2614,"type":"article-journal","container-title":"Sustainability","ISSN":"2071-1050","issue":"7","journalAbbreviation":"Sustainability","note":"publisher: MDPI","page":"3020","title":"Institutional Pressures and Environmental Management Accounting Adoption: Do Environmental Strategy Matter?","volume":"16","author":[{"family":"Alnaim","given":"Musaab"},{"family":"Metwally","given":"Abdelmoneim Bahyeldin Mohamed"}],"issued":{"date-parts":[["2024"]]}}}],"schema":"https://github.com/citation-style-language/schema/raw/master/csl-citation.json"} </w:instrText>
      </w:r>
      <w:r w:rsidR="00B224D8" w:rsidRPr="00EE533D">
        <w:rPr>
          <w:rFonts w:ascii="Times New Roman" w:hAnsi="Times New Roman" w:cs="Times New Roman"/>
          <w:sz w:val="24"/>
          <w:szCs w:val="24"/>
          <w:lang w:val="en-GB"/>
        </w:rPr>
        <w:fldChar w:fldCharType="separate"/>
      </w:r>
      <w:r w:rsidR="00B224D8" w:rsidRPr="00EE533D">
        <w:rPr>
          <w:rFonts w:ascii="Times New Roman" w:hAnsi="Times New Roman" w:cs="Times New Roman"/>
          <w:sz w:val="24"/>
          <w:lang w:val="en-GB"/>
        </w:rPr>
        <w:t>Alnaim &amp; Metwally, 2024)</w:t>
      </w:r>
      <w:r w:rsidR="00B224D8" w:rsidRPr="00EE533D">
        <w:rPr>
          <w:rFonts w:ascii="Times New Roman" w:hAnsi="Times New Roman" w:cs="Times New Roman"/>
          <w:sz w:val="24"/>
          <w:szCs w:val="24"/>
          <w:lang w:val="en-GB"/>
        </w:rPr>
        <w:fldChar w:fldCharType="end"/>
      </w:r>
      <w:r w:rsidR="00B224D8" w:rsidRPr="00EE533D">
        <w:rPr>
          <w:rFonts w:ascii="Times New Roman" w:hAnsi="Times New Roman" w:cs="Times New Roman"/>
          <w:sz w:val="24"/>
          <w:szCs w:val="24"/>
          <w:lang w:val="en-GB"/>
        </w:rPr>
        <w:t>.</w:t>
      </w:r>
    </w:p>
    <w:p w14:paraId="7E4257CA" w14:textId="10854079" w:rsidR="00F84E17" w:rsidRPr="00EE533D" w:rsidRDefault="00641E4D" w:rsidP="0031721B">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Regarding CE practices, only very few studies started to question the institutional theory to understand how institutional pressures act </w:t>
      </w:r>
      <w:r w:rsidR="00863809" w:rsidRPr="00EE533D">
        <w:rPr>
          <w:rFonts w:ascii="Times New Roman" w:hAnsi="Times New Roman" w:cs="Times New Roman"/>
          <w:sz w:val="24"/>
          <w:szCs w:val="24"/>
          <w:lang w:val="en-GB"/>
        </w:rPr>
        <w:t xml:space="preserve">and </w:t>
      </w:r>
      <w:r w:rsidR="003D3478" w:rsidRPr="00EE533D">
        <w:rPr>
          <w:rFonts w:ascii="Times New Roman" w:hAnsi="Times New Roman" w:cs="Times New Roman"/>
          <w:sz w:val="24"/>
          <w:szCs w:val="24"/>
          <w:lang w:val="en-GB"/>
        </w:rPr>
        <w:t>arise</w:t>
      </w:r>
      <w:r w:rsidRPr="00EE533D">
        <w:rPr>
          <w:rFonts w:ascii="Times New Roman" w:hAnsi="Times New Roman" w:cs="Times New Roman"/>
          <w:sz w:val="24"/>
          <w:szCs w:val="24"/>
          <w:lang w:val="en-GB"/>
        </w:rPr>
        <w:t xml:space="preserve"> to drive the changes in firms toward CE </w:t>
      </w:r>
      <w:r w:rsidRPr="00EE533D">
        <w:rPr>
          <w:rFonts w:ascii="Times New Roman" w:hAnsi="Times New Roman" w:cs="Times New Roman"/>
          <w:sz w:val="24"/>
          <w:szCs w:val="24"/>
          <w:lang w:val="en-GB"/>
        </w:rPr>
        <w:lastRenderedPageBreak/>
        <w:t xml:space="preserve">practices. Ranta et al. (2018) used several case studies </w:t>
      </w:r>
      <w:r w:rsidRPr="00EE533D">
        <w:rPr>
          <w:rFonts w:ascii="Times New Roman" w:hAnsi="Times New Roman" w:cs="Times New Roman"/>
          <w:sz w:val="24"/>
          <w:szCs w:val="24"/>
          <w:lang w:val="en-GB" w:bidi="ar-SA"/>
        </w:rPr>
        <w:t>in China, the U</w:t>
      </w:r>
      <w:r w:rsidR="00941BD1" w:rsidRPr="00EE533D">
        <w:rPr>
          <w:rFonts w:ascii="Times New Roman" w:hAnsi="Times New Roman" w:cs="Times New Roman"/>
          <w:sz w:val="24"/>
          <w:szCs w:val="24"/>
          <w:lang w:val="en-GB" w:bidi="ar-SA"/>
        </w:rPr>
        <w:t>.</w:t>
      </w:r>
      <w:r w:rsidRPr="00EE533D">
        <w:rPr>
          <w:rFonts w:ascii="Times New Roman" w:hAnsi="Times New Roman" w:cs="Times New Roman"/>
          <w:sz w:val="24"/>
          <w:szCs w:val="24"/>
          <w:lang w:val="en-GB" w:bidi="ar-SA"/>
        </w:rPr>
        <w:t>S</w:t>
      </w:r>
      <w:r w:rsidR="00941BD1" w:rsidRPr="00EE533D">
        <w:rPr>
          <w:rFonts w:ascii="Times New Roman" w:hAnsi="Times New Roman" w:cs="Times New Roman"/>
          <w:sz w:val="24"/>
          <w:szCs w:val="24"/>
          <w:lang w:val="en-GB" w:bidi="ar-SA"/>
        </w:rPr>
        <w:t>.</w:t>
      </w:r>
      <w:r w:rsidR="003D3478" w:rsidRPr="00EE533D">
        <w:rPr>
          <w:rFonts w:ascii="Times New Roman" w:hAnsi="Times New Roman" w:cs="Times New Roman"/>
          <w:sz w:val="24"/>
          <w:szCs w:val="24"/>
          <w:lang w:val="en-GB" w:bidi="ar-SA"/>
        </w:rPr>
        <w:t>,</w:t>
      </w:r>
      <w:r w:rsidRPr="00EE533D">
        <w:rPr>
          <w:rFonts w:ascii="Times New Roman" w:hAnsi="Times New Roman" w:cs="Times New Roman"/>
          <w:sz w:val="24"/>
          <w:szCs w:val="24"/>
          <w:lang w:val="en-GB" w:bidi="ar-SA"/>
        </w:rPr>
        <w:t xml:space="preserve"> and Europe to analyse the different institutional drivers and barriers to CE implementation. </w:t>
      </w:r>
      <w:r w:rsidR="00D235A6" w:rsidRPr="00EE533D">
        <w:rPr>
          <w:rFonts w:ascii="Times New Roman" w:hAnsi="Times New Roman" w:cs="Times New Roman"/>
          <w:sz w:val="24"/>
          <w:szCs w:val="24"/>
          <w:lang w:val="en-GB"/>
        </w:rPr>
        <w:t>Arranz et al. (2022) draw on institutional entrepreneurship theory, which defines institutional entrepreneurs as actors that both support divergent change and actively engage in its implementation. These actors use their resources to reshape existing institutional frameworks by introducing innovative ideas that drive transformation</w:t>
      </w:r>
      <w:r w:rsidR="002C421A" w:rsidRPr="00EE533D">
        <w:rPr>
          <w:rFonts w:ascii="Times New Roman" w:hAnsi="Times New Roman" w:cs="Times New Roman"/>
          <w:sz w:val="24"/>
          <w:szCs w:val="24"/>
          <w:lang w:val="en-GB"/>
        </w:rPr>
        <w:t xml:space="preserve">. </w:t>
      </w:r>
      <w:r w:rsidR="00DD10B1" w:rsidRPr="00EE533D">
        <w:rPr>
          <w:rFonts w:ascii="Times New Roman" w:hAnsi="Times New Roman" w:cs="Times New Roman"/>
          <w:sz w:val="24"/>
          <w:szCs w:val="24"/>
          <w:lang w:val="en-GB"/>
        </w:rPr>
        <w:t xml:space="preserve">They combine traditional </w:t>
      </w:r>
      <w:r w:rsidR="00DD10B1" w:rsidRPr="00EE533D">
        <w:rPr>
          <w:rFonts w:ascii="Times New Roman" w:hAnsi="Times New Roman" w:cs="Times New Roman"/>
          <w:sz w:val="24"/>
          <w:szCs w:val="24"/>
          <w:lang w:val="en-GB"/>
        </w:rPr>
        <w:lastRenderedPageBreak/>
        <w:t>regression methods with machine learning techniques, specifically Artificial Neural Networks, using data from the European Union’s Public Consultation on the Circular Economy. This mixed-method approach enables them to offer a comprehensive understanding of the phenomenon by examining how three types of institutional pressures</w:t>
      </w:r>
      <w:r w:rsidR="002C421A" w:rsidRPr="00EE533D">
        <w:rPr>
          <w:rFonts w:ascii="Times New Roman" w:hAnsi="Times New Roman" w:cs="Times New Roman"/>
          <w:sz w:val="24"/>
          <w:szCs w:val="24"/>
          <w:lang w:val="en-GB"/>
        </w:rPr>
        <w:t xml:space="preserve"> (</w:t>
      </w:r>
      <w:r w:rsidR="00DD10B1" w:rsidRPr="00EE533D">
        <w:rPr>
          <w:rFonts w:ascii="Times New Roman" w:hAnsi="Times New Roman" w:cs="Times New Roman"/>
          <w:sz w:val="24"/>
          <w:szCs w:val="24"/>
          <w:lang w:val="en-GB"/>
        </w:rPr>
        <w:t>coercive, normative, and mimetic</w:t>
      </w:r>
      <w:r w:rsidR="002C421A" w:rsidRPr="00EE533D">
        <w:rPr>
          <w:rFonts w:ascii="Times New Roman" w:hAnsi="Times New Roman" w:cs="Times New Roman"/>
          <w:sz w:val="24"/>
          <w:szCs w:val="24"/>
          <w:lang w:val="en-GB"/>
        </w:rPr>
        <w:t xml:space="preserve">) </w:t>
      </w:r>
      <w:r w:rsidR="00DD10B1" w:rsidRPr="00EE533D">
        <w:rPr>
          <w:rFonts w:ascii="Times New Roman" w:hAnsi="Times New Roman" w:cs="Times New Roman"/>
          <w:sz w:val="24"/>
          <w:szCs w:val="24"/>
          <w:lang w:val="en-GB"/>
        </w:rPr>
        <w:t>and their interactions influence the development of circular economy initiatives.</w:t>
      </w:r>
      <w:r w:rsidR="00550D3B" w:rsidRPr="00EE533D">
        <w:rPr>
          <w:rFonts w:ascii="Times New Roman" w:hAnsi="Times New Roman" w:cs="Times New Roman"/>
          <w:sz w:val="24"/>
          <w:szCs w:val="24"/>
          <w:lang w:val="en-GB"/>
        </w:rPr>
        <w:t xml:space="preserve"> </w:t>
      </w:r>
      <w:r w:rsidR="00863809" w:rsidRPr="00EE533D">
        <w:rPr>
          <w:rFonts w:ascii="Times New Roman" w:hAnsi="Times New Roman" w:cs="Times New Roman"/>
          <w:sz w:val="24"/>
          <w:szCs w:val="24"/>
          <w:lang w:val="en-GB"/>
        </w:rPr>
        <w:t>Along</w:t>
      </w:r>
      <w:r w:rsidRPr="00EE533D">
        <w:rPr>
          <w:rFonts w:ascii="Times New Roman" w:hAnsi="Times New Roman" w:cs="Times New Roman"/>
          <w:sz w:val="24"/>
          <w:szCs w:val="24"/>
          <w:lang w:val="en-GB"/>
        </w:rPr>
        <w:t xml:space="preserve"> the same line, Calzorali et al. (2023) </w:t>
      </w:r>
      <w:r w:rsidR="002C421A" w:rsidRPr="00EE533D">
        <w:rPr>
          <w:rFonts w:ascii="Times New Roman" w:hAnsi="Times New Roman" w:cs="Times New Roman"/>
          <w:sz w:val="24"/>
          <w:szCs w:val="24"/>
          <w:lang w:val="en-GB"/>
        </w:rPr>
        <w:t xml:space="preserve">provide </w:t>
      </w:r>
      <w:r w:rsidR="002C421A" w:rsidRPr="00EE533D">
        <w:rPr>
          <w:rFonts w:ascii="Times New Roman" w:hAnsi="Times New Roman" w:cs="Times New Roman"/>
          <w:sz w:val="24"/>
          <w:szCs w:val="24"/>
          <w:lang w:val="en-GB"/>
        </w:rPr>
        <w:lastRenderedPageBreak/>
        <w:t xml:space="preserve">new insights </w:t>
      </w:r>
      <w:r w:rsidR="00863809" w:rsidRPr="00EE533D">
        <w:rPr>
          <w:rFonts w:ascii="Times New Roman" w:hAnsi="Times New Roman" w:cs="Times New Roman"/>
          <w:sz w:val="24"/>
          <w:szCs w:val="24"/>
          <w:lang w:val="en-GB"/>
        </w:rPr>
        <w:t>into</w:t>
      </w:r>
      <w:r w:rsidR="002C421A" w:rsidRPr="00EE533D">
        <w:rPr>
          <w:rFonts w:ascii="Times New Roman" w:hAnsi="Times New Roman" w:cs="Times New Roman"/>
          <w:sz w:val="24"/>
          <w:szCs w:val="24"/>
          <w:lang w:val="en-GB"/>
        </w:rPr>
        <w:t xml:space="preserve"> the role of coercive, normative, and mimetic pressure in shaping the implementation of circular supply chains. Using Delphi like approach and 30 expert interviews they </w:t>
      </w:r>
      <w:r w:rsidRPr="00EE533D">
        <w:rPr>
          <w:rFonts w:ascii="Times New Roman" w:hAnsi="Times New Roman" w:cs="Times New Roman"/>
          <w:sz w:val="24"/>
          <w:szCs w:val="24"/>
          <w:lang w:val="en-GB"/>
        </w:rPr>
        <w:t>highlight that institutional pressure based on coercive market and regulatory pressures have a higher effect tha</w:t>
      </w:r>
      <w:r w:rsidR="005375AA" w:rsidRPr="00EE533D">
        <w:rPr>
          <w:rFonts w:ascii="Times New Roman" w:hAnsi="Times New Roman" w:cs="Times New Roman"/>
          <w:sz w:val="24"/>
          <w:szCs w:val="24"/>
          <w:lang w:val="en-GB"/>
        </w:rPr>
        <w:t>n</w:t>
      </w:r>
      <w:r w:rsidRPr="00EE533D">
        <w:rPr>
          <w:rFonts w:ascii="Times New Roman" w:hAnsi="Times New Roman" w:cs="Times New Roman"/>
          <w:sz w:val="24"/>
          <w:szCs w:val="24"/>
          <w:lang w:val="en-GB"/>
        </w:rPr>
        <w:t xml:space="preserve"> the normative and mimetic pressures. Recently, Dagiliene et al 2024, examine</w:t>
      </w:r>
      <w:r w:rsidR="00863809" w:rsidRPr="00EE533D">
        <w:rPr>
          <w:rFonts w:ascii="Times New Roman" w:hAnsi="Times New Roman" w:cs="Times New Roman"/>
          <w:sz w:val="24"/>
          <w:szCs w:val="24"/>
          <w:lang w:val="en-GB"/>
        </w:rPr>
        <w:t>d</w:t>
      </w:r>
      <w:r w:rsidRPr="00EE533D">
        <w:rPr>
          <w:rFonts w:ascii="Times New Roman" w:hAnsi="Times New Roman" w:cs="Times New Roman"/>
          <w:sz w:val="24"/>
          <w:szCs w:val="24"/>
          <w:lang w:val="en-GB"/>
        </w:rPr>
        <w:t xml:space="preserve"> the institutional logic of the transition to CE in manufacturing firms based on quali</w:t>
      </w:r>
      <w:r w:rsidR="00863809" w:rsidRPr="00EE533D">
        <w:rPr>
          <w:rFonts w:ascii="Times New Roman" w:hAnsi="Times New Roman" w:cs="Times New Roman"/>
          <w:sz w:val="24"/>
          <w:szCs w:val="24"/>
          <w:lang w:val="en-GB"/>
        </w:rPr>
        <w:t>ta</w:t>
      </w:r>
      <w:r w:rsidRPr="00EE533D">
        <w:rPr>
          <w:rFonts w:ascii="Times New Roman" w:hAnsi="Times New Roman" w:cs="Times New Roman"/>
          <w:sz w:val="24"/>
          <w:szCs w:val="24"/>
          <w:lang w:val="en-GB"/>
        </w:rPr>
        <w:t xml:space="preserve">tive data. </w:t>
      </w:r>
    </w:p>
    <w:p w14:paraId="590037AE" w14:textId="4B9E629E" w:rsidR="00F84E17" w:rsidRPr="00EE533D" w:rsidRDefault="007109D0" w:rsidP="0031721B">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 xml:space="preserve">Moreover, </w:t>
      </w:r>
      <w:r w:rsidR="00550D3B" w:rsidRPr="00EE533D">
        <w:rPr>
          <w:rFonts w:ascii="Times New Roman" w:hAnsi="Times New Roman" w:cs="Times New Roman"/>
          <w:sz w:val="24"/>
          <w:szCs w:val="24"/>
          <w:lang w:val="en-GB"/>
        </w:rPr>
        <w:t>as stressed by scholars</w:t>
      </w:r>
      <w:r w:rsidR="004C36AB" w:rsidRPr="00EE533D">
        <w:rPr>
          <w:rFonts w:ascii="Times New Roman" w:hAnsi="Times New Roman" w:cs="Times New Roman"/>
          <w:sz w:val="24"/>
          <w:szCs w:val="24"/>
          <w:lang w:val="en-GB"/>
        </w:rPr>
        <w:t xml:space="preserve"> (Ranta e</w:t>
      </w:r>
      <w:r w:rsidR="00863809" w:rsidRPr="00EE533D">
        <w:rPr>
          <w:rFonts w:ascii="Times New Roman" w:hAnsi="Times New Roman" w:cs="Times New Roman"/>
          <w:sz w:val="24"/>
          <w:szCs w:val="24"/>
          <w:lang w:val="en-GB"/>
        </w:rPr>
        <w:t>t a</w:t>
      </w:r>
      <w:r w:rsidR="004C36AB" w:rsidRPr="00EE533D">
        <w:rPr>
          <w:rFonts w:ascii="Times New Roman" w:hAnsi="Times New Roman" w:cs="Times New Roman"/>
          <w:sz w:val="24"/>
          <w:szCs w:val="24"/>
          <w:lang w:val="en-GB"/>
        </w:rPr>
        <w:t xml:space="preserve">l. 2018, Jain </w:t>
      </w:r>
      <w:r w:rsidR="008A659A" w:rsidRPr="00EE533D">
        <w:rPr>
          <w:rFonts w:ascii="Times New Roman" w:hAnsi="Times New Roman" w:cs="Times New Roman"/>
          <w:sz w:val="24"/>
          <w:szCs w:val="24"/>
          <w:lang w:val="en-GB"/>
        </w:rPr>
        <w:t>et al 2020)</w:t>
      </w:r>
      <w:r w:rsidR="00422680" w:rsidRPr="00EE533D">
        <w:rPr>
          <w:rFonts w:ascii="Times New Roman" w:hAnsi="Times New Roman" w:cs="Times New Roman"/>
          <w:sz w:val="24"/>
          <w:szCs w:val="24"/>
          <w:lang w:val="en-GB"/>
        </w:rPr>
        <w:t>,</w:t>
      </w:r>
      <w:r w:rsidR="008A659A" w:rsidRPr="00EE533D">
        <w:rPr>
          <w:rFonts w:ascii="Times New Roman" w:hAnsi="Times New Roman" w:cs="Times New Roman"/>
          <w:sz w:val="24"/>
          <w:szCs w:val="24"/>
          <w:lang w:val="en-GB"/>
        </w:rPr>
        <w:t xml:space="preserve"> </w:t>
      </w:r>
      <w:r w:rsidR="00550D3B" w:rsidRPr="00EE533D">
        <w:rPr>
          <w:rFonts w:ascii="Times New Roman" w:hAnsi="Times New Roman" w:cs="Times New Roman"/>
          <w:sz w:val="24"/>
          <w:szCs w:val="24"/>
          <w:lang w:val="en-GB"/>
        </w:rPr>
        <w:t xml:space="preserve">institutional pressures alone is insufficient to enforce a systemic change. In this condition </w:t>
      </w:r>
      <w:r w:rsidR="00F84E17" w:rsidRPr="00EE533D">
        <w:rPr>
          <w:rFonts w:ascii="Times New Roman" w:hAnsi="Times New Roman" w:cs="Times New Roman"/>
          <w:sz w:val="24"/>
          <w:szCs w:val="24"/>
          <w:lang w:val="en-GB"/>
        </w:rPr>
        <w:t>a significant issue remains unexplored: how institutional development influences firms</w:t>
      </w:r>
      <w:r w:rsidR="00550D3B" w:rsidRPr="00EE533D">
        <w:rPr>
          <w:rFonts w:ascii="Times New Roman" w:hAnsi="Times New Roman" w:cs="Times New Roman"/>
          <w:sz w:val="24"/>
          <w:szCs w:val="24"/>
          <w:lang w:val="en-GB"/>
        </w:rPr>
        <w:t xml:space="preserve"> CE </w:t>
      </w:r>
      <w:r w:rsidR="00F84E17" w:rsidRPr="00EE533D">
        <w:rPr>
          <w:rFonts w:ascii="Times New Roman" w:hAnsi="Times New Roman" w:cs="Times New Roman"/>
          <w:sz w:val="24"/>
          <w:szCs w:val="24"/>
          <w:lang w:val="en-GB"/>
        </w:rPr>
        <w:t xml:space="preserve">capabilities. Indeed, beyond the regulatory and normative pressures, institutional conditions (which vary greatly across countries) influence the capacity of firms to minimize climate risks, facilitate low-carbon </w:t>
      </w:r>
      <w:r w:rsidR="00F84E17" w:rsidRPr="00EE533D">
        <w:rPr>
          <w:rFonts w:ascii="Times New Roman" w:hAnsi="Times New Roman" w:cs="Times New Roman"/>
          <w:sz w:val="24"/>
          <w:szCs w:val="24"/>
          <w:lang w:val="en-GB"/>
        </w:rPr>
        <w:lastRenderedPageBreak/>
        <w:t>transitions and mobilize private finance for sustainable development. Weak institutions may exacerbate vulnerabilities or slow necessary economic transformations. In this context, institutional development, which encompasses the strength and effectiveness of governance structures, plays a key role in incentivizing firms</w:t>
      </w:r>
      <w:r w:rsidR="004C36AB" w:rsidRPr="00EE533D">
        <w:rPr>
          <w:rFonts w:ascii="Times New Roman" w:hAnsi="Times New Roman" w:cs="Times New Roman"/>
          <w:sz w:val="24"/>
          <w:szCs w:val="24"/>
          <w:lang w:val="en-GB"/>
        </w:rPr>
        <w:t xml:space="preserve"> to adopt CE</w:t>
      </w:r>
      <w:r w:rsidR="00F84E17" w:rsidRPr="00EE533D">
        <w:rPr>
          <w:rFonts w:ascii="Times New Roman" w:hAnsi="Times New Roman" w:cs="Times New Roman"/>
          <w:sz w:val="24"/>
          <w:szCs w:val="24"/>
          <w:lang w:val="en-GB"/>
        </w:rPr>
        <w:t>.</w:t>
      </w:r>
      <w:r w:rsidR="004C36AB" w:rsidRPr="00EE533D">
        <w:rPr>
          <w:rFonts w:ascii="Times New Roman" w:hAnsi="Times New Roman" w:cs="Times New Roman"/>
          <w:sz w:val="24"/>
          <w:szCs w:val="24"/>
          <w:lang w:val="en-GB"/>
        </w:rPr>
        <w:t xml:space="preserve"> </w:t>
      </w:r>
      <w:r w:rsidR="00641E4D" w:rsidRPr="00EE533D">
        <w:rPr>
          <w:rFonts w:ascii="Times New Roman" w:hAnsi="Times New Roman" w:cs="Times New Roman"/>
          <w:sz w:val="24"/>
          <w:szCs w:val="24"/>
          <w:lang w:val="en-GB"/>
        </w:rPr>
        <w:t>Therefore, this paper</w:t>
      </w:r>
      <w:r w:rsidR="00550D3B" w:rsidRPr="00EE533D">
        <w:rPr>
          <w:rFonts w:ascii="Times New Roman" w:hAnsi="Times New Roman" w:cs="Times New Roman"/>
          <w:sz w:val="24"/>
          <w:szCs w:val="24"/>
          <w:lang w:val="en-GB"/>
        </w:rPr>
        <w:t xml:space="preserve"> i</w:t>
      </w:r>
      <w:r w:rsidR="00F84E17" w:rsidRPr="00EE533D">
        <w:rPr>
          <w:rFonts w:ascii="Times New Roman" w:hAnsi="Times New Roman" w:cs="Times New Roman"/>
          <w:sz w:val="24"/>
          <w:szCs w:val="24"/>
          <w:lang w:val="en-GB"/>
        </w:rPr>
        <w:t>nvestigate</w:t>
      </w:r>
      <w:r w:rsidR="00FF6341" w:rsidRPr="00EE533D">
        <w:rPr>
          <w:rFonts w:ascii="Times New Roman" w:hAnsi="Times New Roman" w:cs="Times New Roman"/>
          <w:sz w:val="24"/>
          <w:szCs w:val="24"/>
          <w:lang w:val="en-GB"/>
        </w:rPr>
        <w:t>s</w:t>
      </w:r>
      <w:r w:rsidR="00F84E17" w:rsidRPr="00EE533D">
        <w:rPr>
          <w:rFonts w:ascii="Times New Roman" w:hAnsi="Times New Roman" w:cs="Times New Roman"/>
          <w:sz w:val="24"/>
          <w:szCs w:val="24"/>
          <w:lang w:val="en-GB"/>
        </w:rPr>
        <w:t xml:space="preserve"> whether an advanced level of development of a country's economic, political, and social institutions (Hermelo and Vassolo, 2010) provides a </w:t>
      </w:r>
      <w:r w:rsidR="00F84E17" w:rsidRPr="00EE533D">
        <w:rPr>
          <w:rFonts w:ascii="Times New Roman" w:hAnsi="Times New Roman" w:cs="Times New Roman"/>
          <w:sz w:val="24"/>
          <w:szCs w:val="24"/>
          <w:lang w:val="en-GB"/>
        </w:rPr>
        <w:lastRenderedPageBreak/>
        <w:t>more conducive environment for recycling practices.</w:t>
      </w:r>
      <w:r w:rsidR="00550D3B" w:rsidRPr="00EE533D">
        <w:rPr>
          <w:rFonts w:ascii="Times New Roman" w:hAnsi="Times New Roman" w:cs="Times New Roman"/>
          <w:sz w:val="24"/>
          <w:szCs w:val="24"/>
          <w:lang w:val="en-GB"/>
        </w:rPr>
        <w:t xml:space="preserve"> </w:t>
      </w:r>
      <w:r w:rsidR="009E2003" w:rsidRPr="00EE533D">
        <w:rPr>
          <w:rFonts w:ascii="Times New Roman" w:hAnsi="Times New Roman" w:cs="Times New Roman"/>
          <w:sz w:val="24"/>
          <w:szCs w:val="24"/>
          <w:lang w:val="en-GB"/>
        </w:rPr>
        <w:t>Such activities</w:t>
      </w:r>
      <w:r w:rsidR="00550D3B" w:rsidRPr="00EE533D">
        <w:rPr>
          <w:rFonts w:ascii="Times New Roman" w:eastAsia="Times New Roman" w:hAnsi="Times New Roman" w:cs="Times New Roman"/>
          <w:bCs/>
          <w:sz w:val="24"/>
          <w:szCs w:val="24"/>
          <w:lang w:val="en-GB" w:eastAsia="fr-FR" w:bidi="ar-SA"/>
        </w:rPr>
        <w:t xml:space="preserve"> pla</w:t>
      </w:r>
      <w:r w:rsidR="009E2003" w:rsidRPr="00EE533D">
        <w:rPr>
          <w:rFonts w:ascii="Times New Roman" w:eastAsia="Times New Roman" w:hAnsi="Times New Roman" w:cs="Times New Roman"/>
          <w:bCs/>
          <w:sz w:val="24"/>
          <w:szCs w:val="24"/>
          <w:lang w:val="en-GB" w:eastAsia="fr-FR" w:bidi="ar-SA"/>
        </w:rPr>
        <w:t>y</w:t>
      </w:r>
      <w:r w:rsidR="00550D3B" w:rsidRPr="00EE533D">
        <w:rPr>
          <w:rFonts w:ascii="Times New Roman" w:eastAsia="Times New Roman" w:hAnsi="Times New Roman" w:cs="Times New Roman"/>
          <w:bCs/>
          <w:sz w:val="24"/>
          <w:szCs w:val="24"/>
          <w:lang w:val="en-GB" w:eastAsia="fr-FR" w:bidi="ar-SA"/>
        </w:rPr>
        <w:t xml:space="preserve"> a fundamental role in </w:t>
      </w:r>
      <w:r w:rsidR="004C36AB" w:rsidRPr="00EE533D">
        <w:rPr>
          <w:rFonts w:ascii="Times New Roman" w:eastAsia="Times New Roman" w:hAnsi="Times New Roman" w:cs="Times New Roman"/>
          <w:bCs/>
          <w:sz w:val="24"/>
          <w:szCs w:val="24"/>
          <w:lang w:val="en-GB" w:eastAsia="fr-FR" w:bidi="ar-SA"/>
        </w:rPr>
        <w:t>CE</w:t>
      </w:r>
      <w:r w:rsidR="00550D3B" w:rsidRPr="00EE533D">
        <w:rPr>
          <w:rFonts w:ascii="Times New Roman" w:eastAsia="Times New Roman" w:hAnsi="Times New Roman" w:cs="Times New Roman"/>
          <w:bCs/>
          <w:sz w:val="24"/>
          <w:szCs w:val="24"/>
          <w:lang w:val="en-GB" w:eastAsia="fr-FR" w:bidi="ar-SA"/>
        </w:rPr>
        <w:t xml:space="preserve"> frameworks by promoting material recovery, minimizing waste, and lowering the demand for primary resources</w:t>
      </w:r>
      <w:r w:rsidR="00FF6341" w:rsidRPr="00EE533D">
        <w:rPr>
          <w:rFonts w:ascii="Times New Roman" w:eastAsia="Times New Roman" w:hAnsi="Times New Roman" w:cs="Times New Roman"/>
          <w:bCs/>
          <w:sz w:val="24"/>
          <w:szCs w:val="24"/>
          <w:lang w:val="en-GB" w:eastAsia="fr-FR" w:bidi="ar-SA"/>
        </w:rPr>
        <w:t xml:space="preserve">. </w:t>
      </w:r>
    </w:p>
    <w:p w14:paraId="21C338BB" w14:textId="61485941" w:rsidR="00F97F30" w:rsidRPr="00EE533D" w:rsidRDefault="00641E4D" w:rsidP="0036633D">
      <w:pPr>
        <w:autoSpaceDE w:val="0"/>
        <w:autoSpaceDN w:val="0"/>
        <w:adjustRightInd w:val="0"/>
        <w:spacing w:after="0" w:line="360" w:lineRule="auto"/>
        <w:ind w:firstLine="709"/>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In this perspective, we examine the role of the two crucial and interrelated guiding principles of institutional development which are stability and conduciveness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{"citationID":"KpfQ5Nk4","properties":{"formattedCitation":"(Chan, Isobe &amp; Makino, 2008)","plainCitation":"(Chan, Isobe &amp; Makino, 2008)","dontUpdate":true,"noteIndex":0},"citationItems":[{"id":2075,"uris":["http://zotero.org/users/8125408/items/ABQ6LJ53"],"itemData":{"id":2075,"type":"article-journal","abstract":"Abstract This article investigates the effect of the level of institutional development of host countries on the level of and variation in foreign affiliate performance. Institutional development is defined as the extent to which the economic, political, and social institutions in a host country are developed and are favorable for foreign affiliates. A longitudinal analysis of over 30,000 foreign affiliate-year cases that include 6,985 foreign affiliates in 38 host countries between 1996 and 2001 shows that foreign affiliate performance varies noticeably both across and within host countries. The results suggest that the level of institutional development, as determined by the Institutional Development Index (IDI), a new measurement developed in this study, has a strong negative curvilinear relationship with the variation in foreign affiliate performance and a negative effect on the level of foreign affiliate performance. The implications for future research, practice, and policymaking are discussed. Copyright ? 2008 John Wiley &amp; Sons, Ltd.","container-title":"Strategic Management Journal","DOI":"10.1002/smj.705","ISSN":"0143-2095","issue":"11","journalAbbreviation":"Strategic Management Journal","note":"publisher: John Wiley &amp; Sons, Ltd","page":"1179-1205","title":"Which country matters? Institutional development and foreign affiliate performance","volume":"29","author":[{"family":"Chan","given":"Christine M."},{"family":"Isobe","given":"Takehiko"},{"family":"Makino","given":"Shige"}],"issued":{"date-parts":[["2008",11,1]]}}}],"schema":"https://github.com/citation-style-language/schema/raw/master/csl-citation.json"}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szCs w:val="24"/>
          <w:lang w:val="en-GB"/>
        </w:rPr>
        <w:t xml:space="preserve">Chan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2008</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Hermelo and Vassolo, 2010). </w:t>
      </w:r>
      <w:r w:rsidR="00863809" w:rsidRPr="00EE533D">
        <w:rPr>
          <w:rFonts w:ascii="Times New Roman" w:hAnsi="Times New Roman" w:cs="Times New Roman"/>
          <w:sz w:val="24"/>
          <w:szCs w:val="24"/>
          <w:lang w:val="en-GB"/>
        </w:rPr>
        <w:t>I</w:t>
      </w:r>
      <w:r w:rsidRPr="00EE533D">
        <w:rPr>
          <w:rFonts w:ascii="Times New Roman" w:hAnsi="Times New Roman" w:cs="Times New Roman"/>
          <w:sz w:val="24"/>
          <w:szCs w:val="24"/>
          <w:lang w:val="en-GB"/>
        </w:rPr>
        <w:t xml:space="preserve">nstitutional stability refers to the consistent and predictable </w:t>
      </w:r>
      <w:r w:rsidRPr="00EE533D">
        <w:rPr>
          <w:rFonts w:ascii="Times New Roman" w:hAnsi="Times New Roman" w:cs="Times New Roman"/>
          <w:sz w:val="24"/>
          <w:szCs w:val="24"/>
          <w:lang w:val="en-GB"/>
        </w:rPr>
        <w:lastRenderedPageBreak/>
        <w:t xml:space="preserve">foundation provided by the institutions (Chan et </w:t>
      </w:r>
      <w:r w:rsidRPr="00EE533D">
        <w:rPr>
          <w:rFonts w:ascii="Times New Roman" w:hAnsi="Times New Roman" w:cs="Times New Roman"/>
          <w:i/>
          <w:iCs/>
          <w:sz w:val="24"/>
          <w:szCs w:val="24"/>
          <w:lang w:val="en-GB"/>
        </w:rPr>
        <w:t>al</w:t>
      </w:r>
      <w:r w:rsidRPr="00EE533D">
        <w:rPr>
          <w:rFonts w:ascii="Times New Roman" w:hAnsi="Times New Roman" w:cs="Times New Roman"/>
          <w:sz w:val="24"/>
          <w:szCs w:val="24"/>
          <w:lang w:val="en-GB"/>
        </w:rPr>
        <w:t>., 2008). As stressed by public management, business environment</w:t>
      </w:r>
      <w:r w:rsidR="003D3478" w:rsidRPr="00EE533D">
        <w:rPr>
          <w:rFonts w:ascii="Times New Roman" w:hAnsi="Times New Roman" w:cs="Times New Roman"/>
          <w:sz w:val="24"/>
          <w:szCs w:val="24"/>
          <w:lang w:val="en-GB"/>
        </w:rPr>
        <w:t>, and political economy literature, institutional stability is essentially influenced by political stability (Herrera et al., 2020; Kauffaman and Laffare,</w:t>
      </w:r>
      <w:r w:rsidRPr="00EE533D">
        <w:rPr>
          <w:rFonts w:ascii="Times New Roman" w:hAnsi="Times New Roman" w:cs="Times New Roman"/>
          <w:sz w:val="24"/>
          <w:szCs w:val="24"/>
          <w:lang w:val="en-GB"/>
        </w:rPr>
        <w:t xml:space="preserve"> 2021). In fact, political stability, which implies stable government and regulation, creates a legitimacy of institutions and </w:t>
      </w:r>
      <w:r w:rsidR="003D3478" w:rsidRPr="00EE533D">
        <w:rPr>
          <w:rFonts w:ascii="Times New Roman" w:hAnsi="Times New Roman" w:cs="Times New Roman"/>
          <w:sz w:val="24"/>
          <w:szCs w:val="24"/>
          <w:lang w:val="en-GB"/>
        </w:rPr>
        <w:t xml:space="preserve">a </w:t>
      </w:r>
      <w:r w:rsidRPr="00EE533D">
        <w:rPr>
          <w:rFonts w:ascii="Times New Roman" w:hAnsi="Times New Roman" w:cs="Times New Roman"/>
          <w:sz w:val="24"/>
          <w:szCs w:val="24"/>
          <w:lang w:val="en-GB"/>
        </w:rPr>
        <w:t xml:space="preserve">predictable and trustworthy environment. This allows firms to maintain continuity in their objectives and operate and plan </w:t>
      </w:r>
      <w:r w:rsidRPr="00EE533D">
        <w:rPr>
          <w:rFonts w:ascii="Times New Roman" w:hAnsi="Times New Roman" w:cs="Times New Roman"/>
          <w:sz w:val="24"/>
          <w:szCs w:val="24"/>
          <w:lang w:val="en-GB"/>
        </w:rPr>
        <w:lastRenderedPageBreak/>
        <w:t xml:space="preserve">with confidence. </w:t>
      </w:r>
      <w:r w:rsidR="00F84E17" w:rsidRPr="00EE533D">
        <w:rPr>
          <w:rFonts w:ascii="Times New Roman" w:hAnsi="Times New Roman" w:cs="Times New Roman"/>
          <w:sz w:val="24"/>
          <w:szCs w:val="24"/>
          <w:lang w:val="en-GB"/>
        </w:rPr>
        <w:t>We assume that this factor is crucial because it mitigates the uncertainty that surrounds recycling activities</w:t>
      </w:r>
      <w:r w:rsidR="007109D0"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Indeed, several studies (Dejesus et al 2018</w:t>
      </w:r>
      <w:r w:rsidR="003D3478"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Ghisellini et al 2018,  </w:t>
      </w:r>
      <w:r w:rsidR="00814C6B" w:rsidRPr="00EE533D">
        <w:rPr>
          <w:rFonts w:ascii="Times New Roman" w:hAnsi="Times New Roman" w:cs="Times New Roman"/>
          <w:sz w:val="24"/>
          <w:szCs w:val="24"/>
          <w:lang w:val="en-GB"/>
        </w:rPr>
        <w:fldChar w:fldCharType="begin"/>
      </w:r>
      <w:r w:rsidR="008D5E03" w:rsidRPr="00EE533D">
        <w:rPr>
          <w:rFonts w:ascii="Times New Roman" w:hAnsi="Times New Roman" w:cs="Times New Roman"/>
          <w:sz w:val="24"/>
          <w:szCs w:val="24"/>
          <w:lang w:val="en-GB"/>
        </w:rPr>
        <w:instrText xml:space="preserve"> ADDIN ZOTERO_ITEM CSL_CITATION {"citationID":"rXmaFJCe","properties":{"formattedCitation":"(Antonioli et al., 2022)","plainCitation":"(Antonioli et al., 2022)","dontUpdate":true,"noteIndex":0},"citationItems":[{"id":3732,"uris":["http://zotero.org/users/8125408/items/QU7UH9EL"],"itemData":{"id":3732,"type":"article-journal","container-title":"Business Strategy and the Environment","ISSN":"0964-4733","issue":"5","journalAbbreviation":"Business Strategy and the Environment","note":"publisher: Wiley Online Library","page":"2603-2617","title":"Sustainable production: The economic returns of circular economy practices","volume":"31","author":[{"family":"Antonioli","given":"Davide"},{"family":"Ghisetti","given":"Claudia"},{"family":"Mazzanti","given":"Massimiliano"},{"family":"Nicolli","given":"Francesco"}],"issued":{"date-parts":[["2022"]]}}}],"schema":"https://github.com/citation-style-language/schema/raw/master/csl-citation.json"} </w:instrText>
      </w:r>
      <w:r w:rsidR="00814C6B" w:rsidRPr="00EE533D">
        <w:rPr>
          <w:rFonts w:ascii="Times New Roman" w:hAnsi="Times New Roman" w:cs="Times New Roman"/>
          <w:sz w:val="24"/>
          <w:szCs w:val="24"/>
          <w:lang w:val="en-GB"/>
        </w:rPr>
        <w:fldChar w:fldCharType="separate"/>
      </w:r>
      <w:r w:rsidR="00814C6B" w:rsidRPr="00EE533D">
        <w:rPr>
          <w:rFonts w:ascii="Times New Roman" w:hAnsi="Times New Roman" w:cs="Times New Roman"/>
          <w:sz w:val="24"/>
          <w:lang w:val="en-GB"/>
        </w:rPr>
        <w:t>Antonioli et al., 2022)</w:t>
      </w:r>
      <w:r w:rsidR="00814C6B"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have highlighted that the transition from linear to CE can be associated with a high level of initial and transition </w:t>
      </w:r>
      <w:r w:rsidR="003D3478" w:rsidRPr="00EE533D">
        <w:rPr>
          <w:rFonts w:ascii="Times New Roman" w:hAnsi="Times New Roman" w:cs="Times New Roman"/>
          <w:sz w:val="24"/>
          <w:szCs w:val="24"/>
          <w:lang w:val="en-GB"/>
        </w:rPr>
        <w:t>costs and uncertain returns on</w:t>
      </w:r>
      <w:r w:rsidRPr="00EE533D">
        <w:rPr>
          <w:rFonts w:ascii="Times New Roman" w:hAnsi="Times New Roman" w:cs="Times New Roman"/>
          <w:sz w:val="24"/>
          <w:szCs w:val="24"/>
          <w:lang w:val="en-GB"/>
        </w:rPr>
        <w:t xml:space="preserve"> profits. In this context, a predictable and stable institutional framework enables firms to make </w:t>
      </w:r>
      <w:r w:rsidR="003D3478" w:rsidRPr="00EE533D">
        <w:rPr>
          <w:rFonts w:ascii="Times New Roman" w:hAnsi="Times New Roman" w:cs="Times New Roman"/>
          <w:sz w:val="24"/>
          <w:szCs w:val="24"/>
          <w:lang w:val="en-GB"/>
        </w:rPr>
        <w:t>long-term investments</w:t>
      </w:r>
      <w:r w:rsidRPr="00EE533D">
        <w:rPr>
          <w:rFonts w:ascii="Times New Roman" w:hAnsi="Times New Roman" w:cs="Times New Roman"/>
          <w:sz w:val="24"/>
          <w:szCs w:val="24"/>
          <w:lang w:val="en-GB"/>
        </w:rPr>
        <w:t xml:space="preserve"> and allocate resources efficiently to integrate CE </w:t>
      </w:r>
      <w:r w:rsidRPr="00EE533D">
        <w:rPr>
          <w:rFonts w:ascii="Times New Roman" w:hAnsi="Times New Roman" w:cs="Times New Roman"/>
          <w:sz w:val="24"/>
          <w:szCs w:val="24"/>
          <w:lang w:val="en-GB"/>
        </w:rPr>
        <w:lastRenderedPageBreak/>
        <w:t>practices in</w:t>
      </w:r>
      <w:r w:rsidR="00863809" w:rsidRPr="00EE533D">
        <w:rPr>
          <w:rFonts w:ascii="Times New Roman" w:hAnsi="Times New Roman" w:cs="Times New Roman"/>
          <w:sz w:val="24"/>
          <w:szCs w:val="24"/>
          <w:lang w:val="en-GB"/>
        </w:rPr>
        <w:t>to</w:t>
      </w:r>
      <w:r w:rsidRPr="00EE533D">
        <w:rPr>
          <w:rFonts w:ascii="Times New Roman" w:hAnsi="Times New Roman" w:cs="Times New Roman"/>
          <w:sz w:val="24"/>
          <w:szCs w:val="24"/>
          <w:lang w:val="en-GB"/>
        </w:rPr>
        <w:t xml:space="preserve"> their operations and business </w:t>
      </w:r>
      <w:r w:rsidR="003D3478" w:rsidRPr="00EE533D">
        <w:rPr>
          <w:rFonts w:ascii="Times New Roman" w:hAnsi="Times New Roman" w:cs="Times New Roman"/>
          <w:sz w:val="24"/>
          <w:szCs w:val="24"/>
          <w:lang w:val="en-GB"/>
        </w:rPr>
        <w:t>models</w:t>
      </w:r>
      <w:r w:rsidRPr="00EE533D">
        <w:rPr>
          <w:rFonts w:ascii="Times New Roman" w:hAnsi="Times New Roman" w:cs="Times New Roman"/>
          <w:sz w:val="24"/>
          <w:szCs w:val="24"/>
          <w:lang w:val="en-GB"/>
        </w:rPr>
        <w:t xml:space="preserve">. Moreover, CE </w:t>
      </w:r>
      <w:r w:rsidRPr="00EE533D">
        <w:rPr>
          <w:rStyle w:val="reference-text"/>
          <w:rFonts w:ascii="Times New Roman" w:hAnsi="Times New Roman" w:cs="Times New Roman"/>
          <w:sz w:val="24"/>
          <w:szCs w:val="24"/>
          <w:lang w:val="en-GB"/>
        </w:rPr>
        <w:t>is not simply</w:t>
      </w:r>
      <w:r w:rsidRPr="00EE533D">
        <w:rPr>
          <w:rFonts w:ascii="Times New Roman" w:hAnsi="Times New Roman" w:cs="Times New Roman"/>
          <w:sz w:val="24"/>
          <w:szCs w:val="24"/>
          <w:lang w:val="en-GB"/>
        </w:rPr>
        <w:t xml:space="preserve"> a circular flow of materials and the use of raw materials and energy through multiple phases</w:t>
      </w:r>
      <w:r w:rsidR="003D3478" w:rsidRPr="00EE533D">
        <w:rPr>
          <w:rFonts w:ascii="Times New Roman" w:hAnsi="Times New Roman" w:cs="Times New Roman"/>
          <w:sz w:val="24"/>
          <w:szCs w:val="24"/>
          <w:lang w:val="en-GB"/>
        </w:rPr>
        <w:t xml:space="preserve">; it involves a collaborative system between actors in an </w:t>
      </w:r>
      <w:r w:rsidRPr="00EE533D">
        <w:rPr>
          <w:rFonts w:ascii="Times New Roman" w:hAnsi="Times New Roman" w:cs="Times New Roman"/>
          <w:sz w:val="24"/>
          <w:szCs w:val="24"/>
          <w:lang w:val="en-GB"/>
        </w:rPr>
        <w:t xml:space="preserve">entire ecosystem. This new system implies a room for social agents with their strategies, their visions, their conflicts, </w:t>
      </w:r>
      <w:r w:rsidR="00863809" w:rsidRPr="00EE533D">
        <w:rPr>
          <w:rFonts w:ascii="Times New Roman" w:hAnsi="Times New Roman" w:cs="Times New Roman"/>
          <w:sz w:val="24"/>
          <w:szCs w:val="24"/>
          <w:lang w:val="en-GB"/>
        </w:rPr>
        <w:t xml:space="preserve">and </w:t>
      </w:r>
      <w:r w:rsidRPr="00EE533D">
        <w:rPr>
          <w:rFonts w:ascii="Times New Roman" w:hAnsi="Times New Roman" w:cs="Times New Roman"/>
          <w:sz w:val="24"/>
          <w:szCs w:val="24"/>
          <w:lang w:val="en-GB"/>
        </w:rPr>
        <w:t>the cooperation they establish through the networks they build (Geissdoerfer et al., 2017</w:t>
      </w:r>
      <w:r w:rsidR="003D3478" w:rsidRPr="00EE533D">
        <w:rPr>
          <w:rFonts w:ascii="Times New Roman" w:hAnsi="Times New Roman" w:cs="Times New Roman"/>
          <w:sz w:val="24"/>
          <w:szCs w:val="24"/>
          <w:lang w:val="en-GB"/>
        </w:rPr>
        <w:t xml:space="preserve">; </w:t>
      </w:r>
      <w:r w:rsidR="003D3478" w:rsidRPr="00EE533D">
        <w:rPr>
          <w:rFonts w:ascii="Times New Roman" w:hAnsi="Times New Roman" w:cs="Times New Roman"/>
          <w:sz w:val="24"/>
          <w:szCs w:val="24"/>
          <w:lang w:val="en-GB"/>
        </w:rPr>
        <w:fldChar w:fldCharType="begin"/>
      </w:r>
      <w:r w:rsidR="00BE55BA" w:rsidRPr="00EE533D">
        <w:rPr>
          <w:rFonts w:ascii="Times New Roman" w:hAnsi="Times New Roman" w:cs="Times New Roman"/>
          <w:sz w:val="24"/>
          <w:szCs w:val="24"/>
          <w:lang w:val="en-GB"/>
        </w:rPr>
        <w:instrText xml:space="preserve"> ADDIN ZOTERO_ITEM CSL_CITATION {"citationID":"9GWvrclG","properties":{"formattedCitation":"(K\\uc0\\u246{}hler et al., 2022)","plainCitation":"(Köhler et al., 2022)","dontUpdate":true,"noteIndex":0},"citationItems":[{"id":3746,"uris":["http://zotero.org/users/8125408/items/9GEW8AR5"],"itemData":{"id":3746,"type":"article-journal","container-title":"Business Strategy and the Environment","ISSN":"0964-4733","issue":"6","journalAbbreviation":"Business Strategy and the Environment","note":"publisher: Wiley Online Library","page":"2700-2713","title":"Towards a collaboration framework for circular economy: The role of dynamic capabilities and open innovation","volume":"31","author":[{"family":"Köhler","given":"Julia"},{"family":"Sönnichsen","given":"Sönnich Dahl"},{"family":"Beske‐Jansen","given":"Philip"}],"issued":{"date-parts":[["2022"]]}}}],"schema":"https://github.com/citation-style-language/schema/raw/master/csl-citation.json"} </w:instrText>
      </w:r>
      <w:r w:rsidR="003D3478" w:rsidRPr="00EE533D">
        <w:rPr>
          <w:rFonts w:ascii="Times New Roman" w:hAnsi="Times New Roman" w:cs="Times New Roman"/>
          <w:sz w:val="24"/>
          <w:szCs w:val="24"/>
          <w:lang w:val="en-GB"/>
        </w:rPr>
        <w:fldChar w:fldCharType="separate"/>
      </w:r>
      <w:r w:rsidR="003D3478" w:rsidRPr="00EE533D">
        <w:rPr>
          <w:rFonts w:ascii="Times New Roman" w:hAnsi="Times New Roman" w:cs="Times New Roman"/>
          <w:sz w:val="24"/>
          <w:lang w:val="en-GB"/>
        </w:rPr>
        <w:t>Köhler et al., 2022)</w:t>
      </w:r>
      <w:r w:rsidR="003D3478"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w:t>
      </w:r>
      <w:r w:rsidRPr="00EE533D">
        <w:rPr>
          <w:rFonts w:ascii="Times New Roman" w:eastAsiaTheme="majorEastAsia" w:hAnsi="Times New Roman" w:cs="Times New Roman"/>
          <w:spacing w:val="-10"/>
          <w:kern w:val="28"/>
          <w:sz w:val="24"/>
          <w:szCs w:val="24"/>
          <w:lang w:val="en-GB"/>
        </w:rPr>
        <w:t xml:space="preserve">In this </w:t>
      </w:r>
      <w:r w:rsidRPr="00EE533D">
        <w:rPr>
          <w:rFonts w:ascii="Times New Roman" w:hAnsi="Times New Roman" w:cs="Times New Roman"/>
          <w:sz w:val="24"/>
          <w:szCs w:val="24"/>
          <w:lang w:val="en-GB"/>
        </w:rPr>
        <w:t>collaborative system, the objective is no</w:t>
      </w:r>
      <w:r w:rsidRPr="00EE533D">
        <w:rPr>
          <w:rFonts w:ascii="Times New Roman" w:eastAsia="Times New Roman" w:hAnsi="Times New Roman" w:cs="Times New Roman"/>
          <w:sz w:val="24"/>
          <w:szCs w:val="24"/>
          <w:lang w:val="en-GB" w:eastAsia="fr-FR" w:bidi="ar-SA"/>
        </w:rPr>
        <w:t xml:space="preserve"> </w:t>
      </w:r>
      <w:r w:rsidRPr="00EE533D">
        <w:rPr>
          <w:rFonts w:ascii="Times New Roman" w:eastAsia="Times New Roman" w:hAnsi="Times New Roman" w:cs="Times New Roman"/>
          <w:sz w:val="24"/>
          <w:szCs w:val="24"/>
          <w:lang w:val="en-GB" w:eastAsia="fr-FR" w:bidi="ar-SA"/>
        </w:rPr>
        <w:lastRenderedPageBreak/>
        <w:t xml:space="preserve">longer to capture value for sole profit, but rather to share it to ensure the long-term economic, social, and environmental health of the territory and the sector </w:t>
      </w:r>
      <w:r w:rsidR="0036633D" w:rsidRPr="00EE533D">
        <w:rPr>
          <w:rFonts w:ascii="Times New Roman" w:eastAsia="Times New Roman" w:hAnsi="Times New Roman" w:cs="Times New Roman"/>
          <w:sz w:val="24"/>
          <w:szCs w:val="24"/>
          <w:lang w:val="en-GB" w:eastAsia="fr-FR" w:bidi="ar-SA"/>
        </w:rPr>
        <w:fldChar w:fldCharType="begin"/>
      </w:r>
      <w:r w:rsidR="0036633D" w:rsidRPr="00EE533D">
        <w:rPr>
          <w:rFonts w:ascii="Times New Roman" w:eastAsia="Times New Roman" w:hAnsi="Times New Roman" w:cs="Times New Roman"/>
          <w:sz w:val="24"/>
          <w:szCs w:val="24"/>
          <w:lang w:val="en-GB" w:eastAsia="fr-FR" w:bidi="ar-SA"/>
        </w:rPr>
        <w:instrText xml:space="preserve"> ADDIN ZOTERO_ITEM CSL_CITATION {"citationID":"6EC5c4wQ","properties":{"formattedCitation":"(Boldrini and Antheaume, 2021)","plainCitation":"(Boldrini and Antheaume, 2021)","noteIndex":0},"citationItems":[{"id":3736,"uris":["http://zotero.org/users/8125408/items/5YWNS4L5"],"itemData":{"id":3736,"type":"article-journal","container-title":"Journal of Cleaner Production","ISSN":"0959-6526","journalAbbreviation":"Journal of Cleaner Production","note":"publisher: Elsevier","page":"127209","title":"Designing and testing a new sustainable business model tool for multi-actor, multi-level, circular, and collaborative contexts","volume":"309","author":[{"family":"Boldrini","given":"Jean-Claude"},{"family":"Antheaume","given":"Nicolas"}],"issued":{"date-parts":[["2021"]]}}}],"schema":"https://github.com/citation-style-language/schema/raw/master/csl-citation.json"} </w:instrText>
      </w:r>
      <w:r w:rsidR="0036633D" w:rsidRPr="00EE533D">
        <w:rPr>
          <w:rFonts w:ascii="Times New Roman" w:eastAsia="Times New Roman" w:hAnsi="Times New Roman" w:cs="Times New Roman"/>
          <w:sz w:val="24"/>
          <w:szCs w:val="24"/>
          <w:lang w:val="en-GB" w:eastAsia="fr-FR" w:bidi="ar-SA"/>
        </w:rPr>
        <w:fldChar w:fldCharType="separate"/>
      </w:r>
      <w:r w:rsidR="0036633D" w:rsidRPr="00EE533D">
        <w:rPr>
          <w:rFonts w:ascii="Times New Roman" w:hAnsi="Times New Roman" w:cs="Times New Roman"/>
          <w:sz w:val="24"/>
          <w:lang w:val="en-GB"/>
        </w:rPr>
        <w:t>(Boldrini and Antheaume, 2021)</w:t>
      </w:r>
      <w:r w:rsidR="0036633D" w:rsidRPr="00EE533D">
        <w:rPr>
          <w:rFonts w:ascii="Times New Roman" w:eastAsia="Times New Roman" w:hAnsi="Times New Roman" w:cs="Times New Roman"/>
          <w:sz w:val="24"/>
          <w:szCs w:val="24"/>
          <w:lang w:val="en-GB" w:eastAsia="fr-FR" w:bidi="ar-SA"/>
        </w:rPr>
        <w:fldChar w:fldCharType="end"/>
      </w:r>
      <w:r w:rsidRPr="00EE533D">
        <w:rPr>
          <w:rFonts w:ascii="Times New Roman" w:hAnsi="Times New Roman" w:cs="Times New Roman"/>
          <w:sz w:val="24"/>
          <w:szCs w:val="24"/>
          <w:lang w:val="en-GB"/>
        </w:rPr>
        <w:t xml:space="preserve">. </w:t>
      </w:r>
      <w:r w:rsidR="007109D0" w:rsidRPr="00EE533D">
        <w:rPr>
          <w:rFonts w:ascii="Times New Roman" w:hAnsi="Times New Roman" w:cs="Times New Roman"/>
          <w:sz w:val="24"/>
          <w:szCs w:val="24"/>
          <w:lang w:val="en-GB"/>
        </w:rPr>
        <w:t xml:space="preserve"> Hence, </w:t>
      </w:r>
      <w:r w:rsidR="007109D0" w:rsidRPr="00EE533D">
        <w:rPr>
          <w:rFonts w:ascii="Times New Roman" w:eastAsiaTheme="majorEastAsia" w:hAnsi="Times New Roman" w:cs="Times New Roman"/>
          <w:kern w:val="28"/>
          <w:sz w:val="24"/>
          <w:szCs w:val="24"/>
          <w:lang w:val="en-GB"/>
        </w:rPr>
        <w:t xml:space="preserve">institutional stability is expected to </w:t>
      </w:r>
      <w:r w:rsidR="007109D0" w:rsidRPr="00EE533D">
        <w:rPr>
          <w:rFonts w:ascii="Times New Roman" w:hAnsi="Times New Roman" w:cs="Times New Roman"/>
          <w:sz w:val="24"/>
          <w:szCs w:val="24"/>
          <w:lang w:val="en-GB"/>
        </w:rPr>
        <w:t xml:space="preserve">strengthen the trust between stakeholders, incentivizing firms to strengthen their recycling capabilities. Therefore, we hypothesize that: </w:t>
      </w:r>
    </w:p>
    <w:p w14:paraId="77F8935B" w14:textId="77777777" w:rsidR="00F97F30" w:rsidRPr="00EE533D" w:rsidRDefault="00F97F30" w:rsidP="00F97F30">
      <w:pPr>
        <w:autoSpaceDE w:val="0"/>
        <w:autoSpaceDN w:val="0"/>
        <w:adjustRightInd w:val="0"/>
        <w:spacing w:after="0" w:line="360" w:lineRule="auto"/>
        <w:ind w:firstLine="709"/>
        <w:jc w:val="both"/>
        <w:rPr>
          <w:rFonts w:ascii="Times New Roman" w:hAnsi="Times New Roman" w:cs="Times New Roman"/>
          <w:sz w:val="24"/>
          <w:szCs w:val="24"/>
          <w:lang w:val="en-GB"/>
        </w:rPr>
      </w:pPr>
    </w:p>
    <w:p w14:paraId="55E72133" w14:textId="77777777" w:rsidR="007109D0" w:rsidRPr="00EE533D" w:rsidRDefault="007109D0" w:rsidP="00F97F30">
      <w:pPr>
        <w:pStyle w:val="CommentText"/>
        <w:spacing w:after="0" w:line="360" w:lineRule="auto"/>
        <w:ind w:firstLine="709"/>
        <w:rPr>
          <w:rFonts w:ascii="Times New Roman" w:hAnsi="Times New Roman" w:cs="Times New Roman"/>
          <w:i/>
          <w:sz w:val="24"/>
          <w:szCs w:val="24"/>
          <w:lang w:val="en-GB"/>
        </w:rPr>
      </w:pPr>
      <w:r w:rsidRPr="00EE533D">
        <w:rPr>
          <w:rFonts w:ascii="Times New Roman" w:hAnsi="Times New Roman" w:cs="Times New Roman"/>
          <w:i/>
          <w:sz w:val="24"/>
          <w:szCs w:val="24"/>
          <w:lang w:val="en-GB"/>
        </w:rPr>
        <w:t>H1: Institutional stability positively influences a firm’s recycling performance.</w:t>
      </w:r>
    </w:p>
    <w:p w14:paraId="4935DA48" w14:textId="77777777" w:rsidR="00F97F30" w:rsidRPr="00EE533D" w:rsidRDefault="00F97F30" w:rsidP="00F97F30">
      <w:pPr>
        <w:pStyle w:val="Default"/>
        <w:spacing w:line="360" w:lineRule="auto"/>
        <w:ind w:firstLine="709"/>
        <w:jc w:val="both"/>
        <w:rPr>
          <w:color w:val="auto"/>
          <w:lang w:val="en-GB"/>
        </w:rPr>
      </w:pPr>
    </w:p>
    <w:p w14:paraId="1EF17F91" w14:textId="3A0C33CF" w:rsidR="00641E4D" w:rsidRPr="00EE533D" w:rsidRDefault="00641E4D" w:rsidP="002B1EDD">
      <w:pPr>
        <w:pStyle w:val="Default"/>
        <w:spacing w:line="360" w:lineRule="auto"/>
        <w:ind w:firstLine="709"/>
        <w:jc w:val="both"/>
        <w:rPr>
          <w:color w:val="auto"/>
          <w:lang w:val="en-GB"/>
        </w:rPr>
      </w:pPr>
      <w:r w:rsidRPr="00EE533D">
        <w:rPr>
          <w:color w:val="auto"/>
          <w:lang w:val="en-GB"/>
        </w:rPr>
        <w:t>Regarding institutional conduciveness, this principle stresses the importance of a fair and favo</w:t>
      </w:r>
      <w:r w:rsidR="00863809" w:rsidRPr="00EE533D">
        <w:rPr>
          <w:color w:val="auto"/>
          <w:lang w:val="en-GB"/>
        </w:rPr>
        <w:t>u</w:t>
      </w:r>
      <w:r w:rsidRPr="00EE533D">
        <w:rPr>
          <w:color w:val="auto"/>
          <w:lang w:val="en-GB"/>
        </w:rPr>
        <w:t>rable institutional framework (</w:t>
      </w:r>
      <w:r w:rsidRPr="00EE533D">
        <w:rPr>
          <w:color w:val="auto"/>
          <w:lang w:val="en-GB"/>
        </w:rPr>
        <w:fldChar w:fldCharType="begin"/>
      </w:r>
      <w:r w:rsidR="00EE2C32" w:rsidRPr="00EE533D">
        <w:rPr>
          <w:color w:val="auto"/>
          <w:lang w:val="en-GB"/>
        </w:rPr>
        <w:instrText xml:space="preserve"> ADDIN ZOTERO_ITEM CSL_CITATION {"citationID":"5w6bGEpl","properties":{"formattedCitation":"(Hoskisson et al., 2013)","plainCitation":"(Hoskisson et al., 2013)","dontUpdate":true,"noteIndex":0},"citationItems":[{"id":2077,"uris":["http://zotero.org/users/8125408/items/DA8HU9L8"],"itemData":{"id":2077,"type":"article-journal","abstract":"Abstract This paper revisits and extends our earlier work (in 2005) in the pages of this journal. We argue that there is a need for more fine-grained understanding of the country context along two dimensions: (1) institutional development and (2) infrastructure and factor market development. Specifically, we propose an enriched typology of emerging economies with a focus on mid-range emerging economies, which are positioned between traditional emerging economies and newly developed economies. Then we examine new multinationals from these mid-range emerging economies that have internationalized both regionally and globally. We outline directions for further research based on this typology in terms of (1) government influence, (2) resource orchestration, (3) market entry, and (4) corporate governance regarding the internationalization strategy of these emerging multinationals from mid-range economies.","container-title":"Journal of Management Studies","DOI":"https://doi.org/10.1111/j.1467-6486.2012.01085.x","issue":"7","note":"_eprint: https://onlinelibrary.wiley.com/doi/pdf/10.1111/j.1467-6486.2012.01085.x","page":"1295-1321","title":"Emerging Multinationals from Mid-Range Economies: The Influence of Institutions and Factor Markets","volume":"50","author":[{"family":"Hoskisson","given":"Robert E."},{"family":"Wright","given":"Mike"},{"family":"Filatotchev","given":"Igor"},{"family":"Peng","given":"Mike W."}],"issued":{"date-parts":[["2013"]]}}}],"schema":"https://github.com/citation-style-language/schema/raw/master/csl-citation.json"} </w:instrText>
      </w:r>
      <w:r w:rsidRPr="00EE533D">
        <w:rPr>
          <w:color w:val="auto"/>
          <w:lang w:val="en-GB"/>
        </w:rPr>
        <w:fldChar w:fldCharType="separate"/>
      </w:r>
      <w:r w:rsidRPr="00EE533D">
        <w:rPr>
          <w:color w:val="auto"/>
          <w:lang w:val="en-GB"/>
        </w:rPr>
        <w:t xml:space="preserve">Hoskisson et </w:t>
      </w:r>
      <w:r w:rsidRPr="00EE533D">
        <w:rPr>
          <w:i/>
          <w:iCs/>
          <w:color w:val="auto"/>
          <w:lang w:val="en-GB"/>
        </w:rPr>
        <w:t>al</w:t>
      </w:r>
      <w:r w:rsidRPr="00EE533D">
        <w:rPr>
          <w:color w:val="auto"/>
          <w:lang w:val="en-GB"/>
        </w:rPr>
        <w:t>., 2013)</w:t>
      </w:r>
      <w:r w:rsidRPr="00EE533D">
        <w:rPr>
          <w:color w:val="auto"/>
          <w:lang w:val="en-GB"/>
        </w:rPr>
        <w:fldChar w:fldCharType="end"/>
      </w:r>
      <w:r w:rsidRPr="00EE533D">
        <w:rPr>
          <w:color w:val="auto"/>
          <w:lang w:val="en-GB"/>
        </w:rPr>
        <w:t xml:space="preserve">. Several interconnected attributes are related to the conduciveness of the institutions. </w:t>
      </w:r>
      <w:r w:rsidRPr="00EE533D">
        <w:rPr>
          <w:color w:val="auto"/>
          <w:lang w:val="en-GB"/>
        </w:rPr>
        <w:fldChar w:fldCharType="begin"/>
      </w:r>
      <w:r w:rsidR="00EE2C32" w:rsidRPr="00EE533D">
        <w:rPr>
          <w:color w:val="auto"/>
          <w:lang w:val="en-GB"/>
        </w:rPr>
        <w:instrText xml:space="preserve"> ADDIN ZOTERO_ITEM CSL_CITATION {"citationID":"DGsmGQno","properties":{"formattedCitation":"(Teece, 2007)","plainCitation":"(Teece, 2007)","dontUpdate":true,"noteIndex":0},"citationItems":[{"id":2076,"uris":["http://zotero.org/users/8125408/items/B5XAA9SN"],"itemData":{"id":2076,"type":"article-journal","abstract":"Abstract This paper draws on the social and behavioral sciences in an endeavor to specify the nature and microfoundations of the capabilities necessary to sustain superior enterprise performance in an open economy with rapid innovation and globally dispersed sources of invention, innovation, and manufacturing capability. Dynamic capabilities enable business enterprises to create, deploy, and protect the intangible assets that support superior long- run business performance. The microfoundations of dynamic capabilities—the distinct skills, processes, procedures, organizational structures, decision rules, and disciplines—which undergird enterprise-level sensing, seizing, and reconfiguring capacities are difficult to develop and deploy. Enterprises with strong dynamic capabilities are intensely entrepreneurial. They not only adapt to business ecosystems, but also shape them through innovation and through collaboration with other enterprises, entities, and institutions. The framework advanced can help scholars understand the foundations of long-run enterprise success while helping managers delineate relevant strategic considerations and the priorities they must adopt to enhance enterprise performance and escape the zero profit tendency associated with operating in markets open to global competition. Copyright © 2007 John Wiley &amp; Sons, Ltd.","container-title":"Strategic Management Journal","DOI":"https://doi.org/10.1002/smj.640","issue":"13","note":"_eprint: https://onlinelibrary.wiley.com/doi/pdf/10.1002/smj.640","page":"1319-1350","title":"Explicating dynamic capabilities: the nature and microfoundations of (sustainable) enterprise performance","volume":"28","author":[{"family":"Teece","given":"David J."}],"issued":{"date-parts":[["2007"]]}}}],"schema":"https://github.com/citation-style-language/schema/raw/master/csl-citation.json"} </w:instrText>
      </w:r>
      <w:r w:rsidRPr="00EE533D">
        <w:rPr>
          <w:color w:val="auto"/>
          <w:lang w:val="en-GB"/>
        </w:rPr>
        <w:fldChar w:fldCharType="separate"/>
      </w:r>
      <w:r w:rsidRPr="00EE533D">
        <w:rPr>
          <w:color w:val="auto"/>
          <w:lang w:val="en-GB"/>
        </w:rPr>
        <w:t>Teece (2007)</w:t>
      </w:r>
      <w:r w:rsidRPr="00EE533D">
        <w:rPr>
          <w:color w:val="auto"/>
          <w:lang w:val="en-GB"/>
        </w:rPr>
        <w:fldChar w:fldCharType="end"/>
      </w:r>
      <w:r w:rsidRPr="00EE533D">
        <w:rPr>
          <w:color w:val="auto"/>
          <w:lang w:val="en-GB"/>
        </w:rPr>
        <w:t xml:space="preserve"> and </w:t>
      </w:r>
      <w:r w:rsidRPr="00EE533D">
        <w:rPr>
          <w:color w:val="auto"/>
          <w:lang w:val="en-GB"/>
        </w:rPr>
        <w:fldChar w:fldCharType="begin"/>
      </w:r>
      <w:r w:rsidR="00EE2C32" w:rsidRPr="00EE533D">
        <w:rPr>
          <w:color w:val="auto"/>
          <w:lang w:val="en-GB"/>
        </w:rPr>
        <w:instrText xml:space="preserve"> ADDIN ZOTERO_ITEM CSL_CITATION {"citationID":"mFpK4PvS","properties":{"formattedCitation":"(Hoskisson et al., 2013)","plainCitation":"(Hoskisson et al., 2013)","dontUpdate":true,"noteIndex":0},"citationItems":[{"id":2077,"uris":["http://zotero.org/users/8125408/items/DA8HU9L8"],"itemData":{"id":2077,"type":"article-journal","abstract":"Abstract This paper revisits and extends our earlier work (in 2005) in the pages of this journal. We argue that there is a need for more fine-grained understanding of the country context along two dimensions: (1) institutional development and (2) infrastructure and factor market development. Specifically, we propose an enriched typology of emerging economies with a focus on mid-range emerging economies, which are positioned between traditional emerging economies and newly developed economies. Then we examine new multinationals from these mid-range emerging economies that have internationalized both regionally and globally. We outline directions for further research based on this typology in terms of (1) government influence, (2) resource orchestration, (3) market entry, and (4) corporate governance regarding the internationalization strategy of these emerging multinationals from mid-range economies.","container-title":"Journal of Management Studies","DOI":"https://doi.org/10.1111/j.1467-6486.2012.01085.x","issue":"7","note":"_eprint: https://onlinelibrary.wiley.com/doi/pdf/10.1111/j.1467-6486.2012.01085.x","page":"1295-1321","title":"Emerging Multinationals from Mid-Range Economies: The Influence of Institutions and Factor Markets","volume":"50","author":[{"family":"Hoskisson","given":"Robert E."},{"family":"Wright","given":"Mike"},{"family":"Filatotchev","given":"Igor"},{"family":"Peng","given":"Mike W."}],"issued":{"date-parts":[["2013"]]}}}],"schema":"https://github.com/citation-style-language/schema/raw/master/csl-citation.json"} </w:instrText>
      </w:r>
      <w:r w:rsidRPr="00EE533D">
        <w:rPr>
          <w:color w:val="auto"/>
          <w:lang w:val="en-GB"/>
        </w:rPr>
        <w:fldChar w:fldCharType="separate"/>
      </w:r>
      <w:r w:rsidRPr="00EE533D">
        <w:rPr>
          <w:color w:val="auto"/>
          <w:lang w:val="en-GB"/>
        </w:rPr>
        <w:t xml:space="preserve">Hoskisson et </w:t>
      </w:r>
      <w:r w:rsidRPr="00EE533D">
        <w:rPr>
          <w:i/>
          <w:iCs/>
          <w:color w:val="auto"/>
          <w:lang w:val="en-GB"/>
        </w:rPr>
        <w:t>al</w:t>
      </w:r>
      <w:r w:rsidRPr="00EE533D">
        <w:rPr>
          <w:color w:val="auto"/>
          <w:lang w:val="en-GB"/>
        </w:rPr>
        <w:t>. (2013)</w:t>
      </w:r>
      <w:r w:rsidRPr="00EE533D">
        <w:rPr>
          <w:color w:val="auto"/>
          <w:lang w:val="en-GB"/>
        </w:rPr>
        <w:fldChar w:fldCharType="end"/>
      </w:r>
      <w:r w:rsidRPr="00EE533D">
        <w:rPr>
          <w:color w:val="auto"/>
          <w:lang w:val="en-GB"/>
        </w:rPr>
        <w:t xml:space="preserve"> highlight that the presence of effective infrastructure, the liberal market and free and fair corporate governance provide a conducive framework for deploying, manifesting, utilizing, and valuing </w:t>
      </w:r>
      <w:r w:rsidRPr="00EE533D">
        <w:rPr>
          <w:color w:val="auto"/>
          <w:lang w:val="en-GB"/>
        </w:rPr>
        <w:lastRenderedPageBreak/>
        <w:t>new firms</w:t>
      </w:r>
      <w:r w:rsidR="00863809" w:rsidRPr="00EE533D">
        <w:rPr>
          <w:color w:val="auto"/>
          <w:lang w:val="en-GB"/>
        </w:rPr>
        <w:t>'</w:t>
      </w:r>
      <w:r w:rsidRPr="00EE533D">
        <w:rPr>
          <w:color w:val="auto"/>
          <w:lang w:val="en-GB"/>
        </w:rPr>
        <w:t xml:space="preserve"> capabilities. Therefore, all these attributes could also play a key driver </w:t>
      </w:r>
      <w:r w:rsidR="00863809" w:rsidRPr="00EE533D">
        <w:rPr>
          <w:color w:val="auto"/>
          <w:lang w:val="en-GB"/>
        </w:rPr>
        <w:t>in</w:t>
      </w:r>
      <w:r w:rsidRPr="00EE533D">
        <w:rPr>
          <w:color w:val="auto"/>
          <w:lang w:val="en-GB"/>
        </w:rPr>
        <w:t xml:space="preserve"> the CE practices of firms. For example, in a high-conducive institutional environment, a firm would be aware that non-compliance with laws and regulations related to CE such as waste management, recycling, repairing reusing could lead to severe financial penalties and damages to its reputation. Thus, a firm should have strong incentives to resolve the management waste tensions to avoid those punishments. Also, beyond </w:t>
      </w:r>
      <w:r w:rsidRPr="00EE533D">
        <w:rPr>
          <w:color w:val="auto"/>
          <w:lang w:val="en-GB"/>
        </w:rPr>
        <w:lastRenderedPageBreak/>
        <w:t>the existence of regulations</w:t>
      </w:r>
      <w:r w:rsidR="00DB75BE" w:rsidRPr="00EE533D">
        <w:rPr>
          <w:color w:val="auto"/>
          <w:lang w:val="en-GB"/>
        </w:rPr>
        <w:t>,</w:t>
      </w:r>
      <w:r w:rsidRPr="00EE533D">
        <w:rPr>
          <w:color w:val="auto"/>
          <w:lang w:val="en-GB"/>
        </w:rPr>
        <w:t xml:space="preserve"> free and fair governance is a crucial factor for institutional conduciveness. </w:t>
      </w:r>
      <w:r w:rsidR="00863809" w:rsidRPr="00EE533D">
        <w:rPr>
          <w:color w:val="auto"/>
          <w:lang w:val="en-GB"/>
        </w:rPr>
        <w:t>F</w:t>
      </w:r>
      <w:r w:rsidRPr="00EE533D">
        <w:rPr>
          <w:color w:val="auto"/>
          <w:lang w:val="en-GB"/>
        </w:rPr>
        <w:t>ree governance contributes to</w:t>
      </w:r>
      <w:r w:rsidR="00EB6058" w:rsidRPr="00EE533D">
        <w:rPr>
          <w:color w:val="auto"/>
          <w:lang w:val="en-GB"/>
        </w:rPr>
        <w:t xml:space="preserve"> the</w:t>
      </w:r>
      <w:r w:rsidRPr="00EE533D">
        <w:rPr>
          <w:color w:val="auto"/>
          <w:lang w:val="en-GB"/>
        </w:rPr>
        <w:t xml:space="preserve"> </w:t>
      </w:r>
      <w:r w:rsidR="00EB6058" w:rsidRPr="00EE533D">
        <w:rPr>
          <w:color w:val="auto"/>
          <w:lang w:val="en-GB"/>
        </w:rPr>
        <w:t>emergence of a</w:t>
      </w:r>
      <w:r w:rsidRPr="00EE533D">
        <w:rPr>
          <w:color w:val="auto"/>
          <w:lang w:val="en-GB"/>
        </w:rPr>
        <w:t xml:space="preserve"> transparent environment and fair rules</w:t>
      </w:r>
      <w:r w:rsidR="008D5E03" w:rsidRPr="00EE533D">
        <w:rPr>
          <w:color w:val="auto"/>
          <w:lang w:val="en-GB"/>
        </w:rPr>
        <w:t>, improving the competition conditions for all businesses</w:t>
      </w:r>
      <w:r w:rsidRPr="00EE533D">
        <w:rPr>
          <w:color w:val="auto"/>
          <w:lang w:val="en-GB"/>
        </w:rPr>
        <w:t>. This is conducive to a market in which companies compete to innovate towards sustainability (</w:t>
      </w:r>
      <w:r w:rsidR="008D5E03" w:rsidRPr="00EE533D">
        <w:rPr>
          <w:color w:val="auto"/>
          <w:lang w:val="en-GB"/>
        </w:rPr>
        <w:fldChar w:fldCharType="begin"/>
      </w:r>
      <w:r w:rsidR="00BE55BA" w:rsidRPr="00EE533D">
        <w:rPr>
          <w:color w:val="auto"/>
          <w:lang w:val="en-GB"/>
        </w:rPr>
        <w:instrText xml:space="preserve"> ADDIN ZOTERO_ITEM CSL_CITATION {"citationID":"GacYm9qq","properties":{"formattedCitation":"(Sivak et al., 2011)","plainCitation":"(Sivak et al., 2011)","dontUpdate":true,"noteIndex":0},"citationItems":[{"id":3740,"uris":["http://zotero.org/users/8125408/items/N2NF6DFC"],"itemData":{"id":3740,"type":"article-journal","container-title":"Post-Communist Economies","ISSN":"1463-1377","issue":"02","journalAbbreviation":"Post-Communist Economies","note":"publisher: Taylor &amp; Francis","page":"203-217","title":"The impact of governance and infrastructure on innovation","volume":"23","author":[{"family":"Sivak","given":"Rudolf"},{"family":"Caplanova","given":"Anetta"},{"family":"Hudson","given":"John"}],"issued":{"date-parts":[["2011"]]}}}],"schema":"https://github.com/citation-style-language/schema/raw/master/csl-citation.json"} </w:instrText>
      </w:r>
      <w:r w:rsidR="008D5E03" w:rsidRPr="00EE533D">
        <w:rPr>
          <w:color w:val="auto"/>
          <w:lang w:val="en-GB"/>
        </w:rPr>
        <w:fldChar w:fldCharType="separate"/>
      </w:r>
      <w:r w:rsidR="008D5E03" w:rsidRPr="00EE533D">
        <w:rPr>
          <w:color w:val="auto"/>
          <w:lang w:val="en-GB"/>
        </w:rPr>
        <w:t>Sivak et al., 2011</w:t>
      </w:r>
      <w:r w:rsidR="008D5E03" w:rsidRPr="00EE533D">
        <w:rPr>
          <w:color w:val="auto"/>
          <w:lang w:val="en-GB"/>
        </w:rPr>
        <w:fldChar w:fldCharType="end"/>
      </w:r>
      <w:r w:rsidR="008D5E03" w:rsidRPr="00EE533D">
        <w:rPr>
          <w:color w:val="auto"/>
          <w:lang w:val="en-GB"/>
        </w:rPr>
        <w:t xml:space="preserve">; </w:t>
      </w:r>
      <w:r w:rsidR="008D5E03" w:rsidRPr="00EE533D">
        <w:rPr>
          <w:color w:val="auto"/>
          <w:lang w:val="en-GB"/>
        </w:rPr>
        <w:fldChar w:fldCharType="begin"/>
      </w:r>
      <w:r w:rsidR="00BE55BA" w:rsidRPr="00EE533D">
        <w:rPr>
          <w:color w:val="auto"/>
          <w:lang w:val="en-GB"/>
        </w:rPr>
        <w:instrText xml:space="preserve"> ADDIN ZOTERO_ITEM CSL_CITATION {"citationID":"7W3kTsxr","properties":{"formattedCitation":"(Ziegler, 2015)","plainCitation":"(Ziegler, 2015)","dontUpdate":true,"noteIndex":0},"citationItems":[{"id":3739,"uris":["http://zotero.org/users/8125408/items/EDZQRNHW"],"itemData":{"id":3739,"type":"article-journal","container-title":"Journal of Responsible Innovation","ISSN":"2329-9460","issue":"2","journalAbbreviation":"Journal of Responsible Innovation","note":"publisher: Taylor &amp; Francis","page":"184-200","title":"Justice and innovation–towards principles for creating a fair space for innovation","volume":"2","author":[{"family":"Ziegler","given":"Rafael"}],"issued":{"date-parts":[["2015"]]}}}],"schema":"https://github.com/citation-style-language/schema/raw/master/csl-citation.json"} </w:instrText>
      </w:r>
      <w:r w:rsidR="008D5E03" w:rsidRPr="00EE533D">
        <w:rPr>
          <w:color w:val="auto"/>
          <w:lang w:val="en-GB"/>
        </w:rPr>
        <w:fldChar w:fldCharType="separate"/>
      </w:r>
      <w:r w:rsidR="008D5E03" w:rsidRPr="00EE533D">
        <w:rPr>
          <w:color w:val="auto"/>
          <w:lang w:val="en-GB"/>
        </w:rPr>
        <w:t>Ziegler, 2015)</w:t>
      </w:r>
      <w:r w:rsidR="008D5E03" w:rsidRPr="00EE533D">
        <w:rPr>
          <w:color w:val="auto"/>
          <w:lang w:val="en-GB"/>
        </w:rPr>
        <w:fldChar w:fldCharType="end"/>
      </w:r>
      <w:r w:rsidRPr="00EE533D">
        <w:rPr>
          <w:color w:val="auto"/>
          <w:lang w:val="en-GB"/>
        </w:rPr>
        <w:t>. As highlighted by several scholars</w:t>
      </w:r>
      <w:r w:rsidR="00D52F0C" w:rsidRPr="00EE533D">
        <w:rPr>
          <w:color w:val="auto"/>
          <w:lang w:val="en-GB"/>
        </w:rPr>
        <w:t>,</w:t>
      </w:r>
      <w:r w:rsidRPr="00EE533D">
        <w:rPr>
          <w:color w:val="auto"/>
          <w:lang w:val="en-GB"/>
        </w:rPr>
        <w:t xml:space="preserve"> </w:t>
      </w:r>
      <w:r w:rsidR="00863809" w:rsidRPr="00EE533D">
        <w:rPr>
          <w:color w:val="auto"/>
          <w:lang w:val="en-GB"/>
        </w:rPr>
        <w:t xml:space="preserve">the </w:t>
      </w:r>
      <w:r w:rsidRPr="00EE533D">
        <w:rPr>
          <w:color w:val="auto"/>
          <w:lang w:val="en-GB"/>
        </w:rPr>
        <w:t>innovative behavio</w:t>
      </w:r>
      <w:r w:rsidR="00863809" w:rsidRPr="00EE533D">
        <w:rPr>
          <w:color w:val="auto"/>
          <w:lang w:val="en-GB"/>
        </w:rPr>
        <w:t>u</w:t>
      </w:r>
      <w:r w:rsidRPr="00EE533D">
        <w:rPr>
          <w:color w:val="auto"/>
          <w:lang w:val="en-GB"/>
        </w:rPr>
        <w:t>rs of firms represent the core prin</w:t>
      </w:r>
      <w:r w:rsidRPr="00EE533D">
        <w:rPr>
          <w:color w:val="auto"/>
          <w:lang w:val="en-GB"/>
        </w:rPr>
        <w:lastRenderedPageBreak/>
        <w:t xml:space="preserve">ciples for </w:t>
      </w:r>
      <w:r w:rsidR="00863809" w:rsidRPr="00EE533D">
        <w:rPr>
          <w:color w:val="auto"/>
          <w:lang w:val="en-GB"/>
        </w:rPr>
        <w:t>the</w:t>
      </w:r>
      <w:r w:rsidRPr="00EE533D">
        <w:rPr>
          <w:color w:val="auto"/>
          <w:lang w:val="en-GB"/>
        </w:rPr>
        <w:t xml:space="preserve"> successful adoption of CE practices </w:t>
      </w:r>
      <w:r w:rsidR="005A31BC" w:rsidRPr="00EE533D">
        <w:rPr>
          <w:color w:val="auto"/>
          <w:lang w:val="en-GB"/>
        </w:rPr>
        <w:fldChar w:fldCharType="begin"/>
      </w:r>
      <w:r w:rsidR="008D5E03" w:rsidRPr="00EE533D">
        <w:rPr>
          <w:color w:val="auto"/>
          <w:lang w:val="en-GB"/>
        </w:rPr>
        <w:instrText xml:space="preserve"> ADDIN ZOTERO_ITEM CSL_CITATION {"citationID":"H71WLh61","properties":{"formattedCitation":"(L\\uc0\\u252{}deke\\uc0\\u8208{}Freund et al., 2019)","plainCitation":"(Lüdeke‐Freund et al., 2019)","dontUpdate":true,"noteIndex":0},"citationItems":[{"id":3738,"uris":["http://zotero.org/users/8125408/items/7RI4ETEX"],"itemData":{"id":3738,"type":"article-journal","container-title":"Journal of industrial ecology","ISSN":"1088-1980","issue":"1","journalAbbreviation":"Journal of industrial ecology","note":"publisher: Wiley Online Library","page":"36-61","title":"A review and typology of circular economy business model patterns","volume":"23","author":[{"family":"Lüdeke‐Freund","given":"Florian"},{"family":"Gold","given":"Stefan"},{"family":"Bocken","given":"Nancy MP"}],"issued":{"date-parts":[["2019"]]}}}],"schema":"https://github.com/citation-style-language/schema/raw/master/csl-citation.json"} </w:instrText>
      </w:r>
      <w:r w:rsidR="005A31BC" w:rsidRPr="00EE533D">
        <w:rPr>
          <w:color w:val="auto"/>
          <w:lang w:val="en-GB"/>
        </w:rPr>
        <w:fldChar w:fldCharType="separate"/>
      </w:r>
      <w:r w:rsidR="005A31BC" w:rsidRPr="00EE533D">
        <w:rPr>
          <w:color w:val="auto"/>
          <w:lang w:val="en-GB"/>
        </w:rPr>
        <w:t>(Lüdeke‐Freund et al., 2019</w:t>
      </w:r>
      <w:r w:rsidR="005A31BC" w:rsidRPr="00EE533D">
        <w:rPr>
          <w:color w:val="auto"/>
          <w:lang w:val="en-GB"/>
        </w:rPr>
        <w:fldChar w:fldCharType="end"/>
      </w:r>
      <w:r w:rsidR="005A31BC" w:rsidRPr="00EE533D">
        <w:rPr>
          <w:color w:val="auto"/>
          <w:lang w:val="en-GB"/>
        </w:rPr>
        <w:t>;</w:t>
      </w:r>
      <w:r w:rsidRPr="00EE533D">
        <w:rPr>
          <w:color w:val="auto"/>
          <w:lang w:val="en-GB"/>
        </w:rPr>
        <w:t xml:space="preserve"> </w:t>
      </w:r>
      <w:r w:rsidR="00814C6B" w:rsidRPr="00EE533D">
        <w:rPr>
          <w:color w:val="auto"/>
          <w:lang w:val="en-GB"/>
        </w:rPr>
        <w:fldChar w:fldCharType="begin"/>
      </w:r>
      <w:r w:rsidR="0036633D" w:rsidRPr="00EE533D">
        <w:rPr>
          <w:color w:val="auto"/>
          <w:lang w:val="en-GB"/>
        </w:rPr>
        <w:instrText xml:space="preserve"> ADDIN ZOTERO_ITEM CSL_CITATION {"citationID":"39pZmFym","properties":{"formattedCitation":"(Vernier et al., 2022)","plainCitation":"(Vernier et al., 2022)","dontUpdate":true,"noteIndex":0},"citationItems":[{"id":3734,"uris":["http://zotero.org/users/8125408/items/DD4UYF8D"],"itemData":{"id":3734,"type":"article-journal","container-title":"Journal of Innovation Economics &amp; Management","issue":"3","journalAbbreviation":"Journal of Innovation Economics &amp; Management","note":"publisher: De Boeck Supérieur","page":"141-172","title":"Factors Influencing Profitability in Eco-design: Lessons from European and Canadian Firms","volume":"39","author":[{"family":"Vernier","given":"Marie-France"},{"family":"Arfaoui","given":"Nabila"},{"family":"Challita","given":"Sandra"},{"family":"Lanoie","given":"Paul"},{"family":"Plouffe","given":"Sylvain"}],"issued":{"date-parts":[["2022"]]}}}],"schema":"https://github.com/citation-style-language/schema/raw/master/csl-citation.json"} </w:instrText>
      </w:r>
      <w:r w:rsidR="00814C6B" w:rsidRPr="00EE533D">
        <w:rPr>
          <w:color w:val="auto"/>
          <w:lang w:val="en-GB"/>
        </w:rPr>
        <w:fldChar w:fldCharType="separate"/>
      </w:r>
      <w:r w:rsidR="00814C6B" w:rsidRPr="00EE533D">
        <w:rPr>
          <w:color w:val="auto"/>
          <w:lang w:val="en-GB"/>
        </w:rPr>
        <w:t>Vernier et al., 2022)</w:t>
      </w:r>
      <w:r w:rsidR="00814C6B" w:rsidRPr="00EE533D">
        <w:rPr>
          <w:color w:val="auto"/>
          <w:lang w:val="en-GB"/>
        </w:rPr>
        <w:fldChar w:fldCharType="end"/>
      </w:r>
      <w:r w:rsidRPr="00EE533D">
        <w:rPr>
          <w:color w:val="auto"/>
          <w:lang w:val="en-GB"/>
        </w:rPr>
        <w:t xml:space="preserve">. CE represents a new sustainable paradigm (de Jesus et al., 2018) that requires fundamental transformations in production and consumption patterns; thus, a radical change in the way material and energy flows and interactions between companies are managed </w:t>
      </w:r>
      <w:r w:rsidR="002B1EDD" w:rsidRPr="00EE533D">
        <w:rPr>
          <w:color w:val="auto"/>
          <w:lang w:val="en-GB"/>
        </w:rPr>
        <w:fldChar w:fldCharType="begin"/>
      </w:r>
      <w:r w:rsidR="002B1EDD" w:rsidRPr="00EE533D">
        <w:rPr>
          <w:color w:val="auto"/>
          <w:lang w:val="en-GB"/>
        </w:rPr>
        <w:instrText xml:space="preserve"> ADDIN ZOTERO_ITEM CSL_CITATION {"citationID":"JEG7CFUN","properties":{"formattedCitation":"(Korhonen et al., 2018)","plainCitation":"(Korhonen et al., 2018)","noteIndex":0},"citationItems":[{"id":3750,"uris":["http://zotero.org/users/8125408/items/BZ97YAKB"],"itemData":{"id":3750,"type":"article-journal","container-title":"Journal of cleaner production","ISSN":"0959-6526","journalAbbreviation":"Journal of cleaner production","note":"publisher: Elsevier","page":"544-552","title":"Circular economy as an essentially contested concept","volume":"175","author":[{"family":"Korhonen","given":"Jouni"},{"family":"Nuur","given":"Cali"},{"family":"Feldmann","given":"Andreas"},{"family":"Birkie","given":"Seyoum Eshetu"}],"issued":{"date-parts":[["2018"]]}}}],"schema":"https://github.com/citation-style-language/schema/raw/master/csl-citation.json"} </w:instrText>
      </w:r>
      <w:r w:rsidR="002B1EDD" w:rsidRPr="00EE533D">
        <w:rPr>
          <w:color w:val="auto"/>
          <w:lang w:val="en-GB"/>
        </w:rPr>
        <w:fldChar w:fldCharType="separate"/>
      </w:r>
      <w:r w:rsidR="002B1EDD" w:rsidRPr="00EE533D">
        <w:rPr>
          <w:color w:val="auto"/>
          <w:lang w:val="en-GB"/>
        </w:rPr>
        <w:t>(Korhonen et al., 2018)</w:t>
      </w:r>
      <w:r w:rsidR="002B1EDD" w:rsidRPr="00EE533D">
        <w:rPr>
          <w:color w:val="auto"/>
          <w:lang w:val="en-GB"/>
        </w:rPr>
        <w:fldChar w:fldCharType="end"/>
      </w:r>
      <w:r w:rsidRPr="00EE533D">
        <w:rPr>
          <w:color w:val="auto"/>
          <w:lang w:val="en-GB"/>
        </w:rPr>
        <w:t xml:space="preserve">. </w:t>
      </w:r>
      <w:r w:rsidR="00407231" w:rsidRPr="00EE533D">
        <w:rPr>
          <w:color w:val="auto"/>
          <w:lang w:val="en-GB"/>
        </w:rPr>
        <w:t>In this</w:t>
      </w:r>
      <w:r w:rsidR="00415610" w:rsidRPr="00EE533D">
        <w:rPr>
          <w:color w:val="auto"/>
          <w:lang w:val="en-GB"/>
        </w:rPr>
        <w:t xml:space="preserve"> regard,</w:t>
      </w:r>
      <w:r w:rsidR="00407231" w:rsidRPr="00EE533D">
        <w:rPr>
          <w:color w:val="auto"/>
          <w:lang w:val="en-GB"/>
        </w:rPr>
        <w:t xml:space="preserve"> </w:t>
      </w:r>
      <w:r w:rsidR="001314D6" w:rsidRPr="00EE533D">
        <w:rPr>
          <w:color w:val="auto"/>
          <w:lang w:val="en-GB"/>
        </w:rPr>
        <w:t xml:space="preserve">the nature of the system of economic governance had a direct impact on the innovative capabilities of firms. As observed </w:t>
      </w:r>
      <w:r w:rsidR="001314D6" w:rsidRPr="00EE533D">
        <w:rPr>
          <w:color w:val="auto"/>
          <w:lang w:val="en-GB"/>
        </w:rPr>
        <w:lastRenderedPageBreak/>
        <w:t xml:space="preserve">by </w:t>
      </w:r>
      <w:r w:rsidR="001314D6" w:rsidRPr="00EE533D">
        <w:rPr>
          <w:color w:val="auto"/>
          <w:lang w:val="en-GB"/>
        </w:rPr>
        <w:fldChar w:fldCharType="begin"/>
      </w:r>
      <w:r w:rsidR="00EE2C32" w:rsidRPr="00EE533D">
        <w:rPr>
          <w:color w:val="auto"/>
          <w:lang w:val="en-GB"/>
        </w:rPr>
        <w:instrText xml:space="preserve"> ADDIN ZOTERO_ITEM CSL_CITATION {"citationID":"HvDF0bYv","properties":{"formattedCitation":"(Boschma &amp; Capone, 2015)","plainCitation":"(Boschma &amp; Capone, 2015)","dontUpdate":true,"noteIndex":0},"citationItems":[{"id":2078,"uris":["http://zotero.org/users/8125408/items/GMF8I3D5"],"itemData":{"id":2078,"type":"article-journal","abstract":"The varieties of capitalism literature has drawn little attention to industrial renewal and diversification, while the related diversification literature has neglected the institutional dimension of industrial change. Bringing together both literatures, the paper proposes that institutions have an impact on the direction of the diversification process, in particular on whether countries gain a comparative advantage in new sectors that are close or far from what is already part of their existing industrial structure. We investigate the diversification process in 23 developed countries by means of detailed product trade data in the period 1995–2010. Our results show that relatedness is a stronger driver of diversification into new products in coordinated market economies, while liberal market economies show a higher probability to move in more unrelated industries: their overarching institutional framework gives countries more freedom to make a jump in their industrial evolution. In particular, we found that the role of relatedness as driver of diversification into new sectors is stronger in the presence of institutions that focus more on ‘non-market’ coordination in the domains of labor relations, corporate governance relations, product market relations, and inter-firm relations.","container-title":"Research Policy","DOI":"https://doi.org/10.1016/j.respol.2015.06.013","ISSN":"0048-7333","issue":"10","page":"1902-1914","title":"Institutions and diversification: Related versus unrelated diversification in a varieties of capitalism framework","volume":"44","author":[{"family":"Boschma","given":"Ron"},{"family":"Capone","given":"Gianluca"}],"issued":{"date-parts":[["2015"]]}}}],"schema":"https://github.com/citation-style-language/schema/raw/master/csl-citation.json"} </w:instrText>
      </w:r>
      <w:r w:rsidR="001314D6" w:rsidRPr="00EE533D">
        <w:rPr>
          <w:color w:val="auto"/>
          <w:lang w:val="en-GB"/>
        </w:rPr>
        <w:fldChar w:fldCharType="separate"/>
      </w:r>
      <w:r w:rsidR="001314D6" w:rsidRPr="00EE533D">
        <w:rPr>
          <w:color w:val="auto"/>
          <w:lang w:val="en-GB"/>
        </w:rPr>
        <w:t>Boschma and Capone (2015)</w:t>
      </w:r>
      <w:r w:rsidR="001314D6" w:rsidRPr="00EE533D">
        <w:rPr>
          <w:color w:val="auto"/>
          <w:lang w:val="en-GB"/>
        </w:rPr>
        <w:fldChar w:fldCharType="end"/>
      </w:r>
      <w:r w:rsidR="001314D6" w:rsidRPr="00EE533D">
        <w:rPr>
          <w:color w:val="auto"/>
          <w:lang w:val="en-GB"/>
        </w:rPr>
        <w:t>, coordinated market economies tend to support more evolutionary change</w:t>
      </w:r>
      <w:r w:rsidR="005A31BC" w:rsidRPr="00EE533D">
        <w:rPr>
          <w:color w:val="auto"/>
          <w:lang w:val="en-GB"/>
        </w:rPr>
        <w:t>,</w:t>
      </w:r>
      <w:r w:rsidR="001314D6" w:rsidRPr="00EE533D">
        <w:rPr>
          <w:color w:val="auto"/>
          <w:lang w:val="en-GB"/>
        </w:rPr>
        <w:t xml:space="preserve"> while </w:t>
      </w:r>
      <w:r w:rsidR="00407231" w:rsidRPr="00EE533D">
        <w:rPr>
          <w:color w:val="auto"/>
          <w:lang w:val="en-GB"/>
        </w:rPr>
        <w:t xml:space="preserve">free </w:t>
      </w:r>
      <w:r w:rsidR="001314D6" w:rsidRPr="00EE533D">
        <w:rPr>
          <w:color w:val="auto"/>
          <w:lang w:val="en-GB"/>
        </w:rPr>
        <w:t xml:space="preserve">liberal markets are better suited to revolutionary changes in industrial and firm structures. CE is seen as a new socio-economic paradigm implying a radical innovation in managing resources and in creating economic, social and environmental value (Korhonen et </w:t>
      </w:r>
      <w:r w:rsidR="001314D6" w:rsidRPr="00EE533D">
        <w:rPr>
          <w:i/>
          <w:iCs/>
          <w:color w:val="auto"/>
          <w:lang w:val="en-GB"/>
        </w:rPr>
        <w:t>al</w:t>
      </w:r>
      <w:r w:rsidR="001314D6" w:rsidRPr="00EE533D">
        <w:rPr>
          <w:color w:val="auto"/>
          <w:lang w:val="en-GB"/>
        </w:rPr>
        <w:t xml:space="preserve">. (2018). In this context, such revolutionary changes may encourage firms to </w:t>
      </w:r>
      <w:r w:rsidR="001314D6" w:rsidRPr="00EE533D">
        <w:rPr>
          <w:color w:val="auto"/>
          <w:lang w:val="en-GB"/>
        </w:rPr>
        <w:lastRenderedPageBreak/>
        <w:t>invest more in the development of practices that can minimize their environmental impact.</w:t>
      </w:r>
    </w:p>
    <w:p w14:paraId="31B78F94" w14:textId="77777777" w:rsidR="00641E4D" w:rsidRPr="00EE533D" w:rsidRDefault="00641E4D" w:rsidP="002F335C">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Accordingly, we assume that: </w:t>
      </w:r>
    </w:p>
    <w:p w14:paraId="55D6E498" w14:textId="77777777" w:rsidR="00F97F30" w:rsidRPr="00EE533D" w:rsidRDefault="00F97F30" w:rsidP="002F335C">
      <w:pPr>
        <w:autoSpaceDE w:val="0"/>
        <w:autoSpaceDN w:val="0"/>
        <w:adjustRightInd w:val="0"/>
        <w:spacing w:after="0" w:line="360" w:lineRule="auto"/>
        <w:ind w:firstLine="708"/>
        <w:jc w:val="both"/>
        <w:rPr>
          <w:rFonts w:ascii="Times New Roman" w:hAnsi="Times New Roman" w:cs="Times New Roman"/>
          <w:sz w:val="24"/>
          <w:szCs w:val="24"/>
          <w:lang w:val="en-GB"/>
        </w:rPr>
      </w:pPr>
    </w:p>
    <w:p w14:paraId="52047D13" w14:textId="0972EC7D" w:rsidR="00641E4D" w:rsidRPr="00EE533D" w:rsidRDefault="00641E4D" w:rsidP="002F335C">
      <w:pPr>
        <w:autoSpaceDE w:val="0"/>
        <w:autoSpaceDN w:val="0"/>
        <w:adjustRightInd w:val="0"/>
        <w:spacing w:after="0" w:line="360" w:lineRule="auto"/>
        <w:ind w:firstLine="708"/>
        <w:jc w:val="both"/>
        <w:rPr>
          <w:rFonts w:ascii="Times New Roman" w:hAnsi="Times New Roman" w:cs="Times New Roman"/>
          <w:i/>
          <w:sz w:val="24"/>
          <w:szCs w:val="24"/>
          <w:lang w:val="en-GB"/>
        </w:rPr>
      </w:pPr>
      <w:r w:rsidRPr="00EE533D">
        <w:rPr>
          <w:rFonts w:ascii="Times New Roman" w:hAnsi="Times New Roman" w:cs="Times New Roman"/>
          <w:i/>
          <w:sz w:val="24"/>
          <w:szCs w:val="24"/>
          <w:lang w:val="en-GB"/>
        </w:rPr>
        <w:t xml:space="preserve">H2: Free and fair governance should positively influence </w:t>
      </w:r>
      <w:r w:rsidR="001225F2" w:rsidRPr="00EE533D">
        <w:rPr>
          <w:rFonts w:ascii="Times New Roman" w:hAnsi="Times New Roman" w:cs="Times New Roman"/>
          <w:i/>
          <w:sz w:val="24"/>
          <w:szCs w:val="24"/>
          <w:lang w:val="en-GB"/>
        </w:rPr>
        <w:t>recycling</w:t>
      </w:r>
      <w:r w:rsidRPr="00EE533D">
        <w:rPr>
          <w:rFonts w:ascii="Times New Roman" w:hAnsi="Times New Roman" w:cs="Times New Roman"/>
          <w:i/>
          <w:sz w:val="24"/>
          <w:szCs w:val="24"/>
          <w:lang w:val="en-GB"/>
        </w:rPr>
        <w:t xml:space="preserve"> practices.</w:t>
      </w:r>
    </w:p>
    <w:p w14:paraId="18E73F7E" w14:textId="77777777" w:rsidR="002F335C" w:rsidRPr="00EE533D" w:rsidRDefault="002F335C" w:rsidP="0031721B">
      <w:pPr>
        <w:autoSpaceDE w:val="0"/>
        <w:autoSpaceDN w:val="0"/>
        <w:adjustRightInd w:val="0"/>
        <w:spacing w:after="0" w:line="360" w:lineRule="auto"/>
        <w:jc w:val="both"/>
        <w:rPr>
          <w:rFonts w:ascii="Times New Roman" w:hAnsi="Times New Roman" w:cs="Times New Roman"/>
          <w:i/>
          <w:sz w:val="24"/>
          <w:szCs w:val="24"/>
          <w:lang w:val="en-GB"/>
        </w:rPr>
      </w:pPr>
    </w:p>
    <w:p w14:paraId="113F21D0" w14:textId="5C46446C" w:rsidR="00641E4D" w:rsidRPr="00EE533D" w:rsidRDefault="00641E4D" w:rsidP="002F335C">
      <w:pPr>
        <w:autoSpaceDE w:val="0"/>
        <w:autoSpaceDN w:val="0"/>
        <w:adjustRightInd w:val="0"/>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Finally, the quality of the administrative infrastructure and the degree of bureaucracy represent as well important dimensions of institutional conduciveness that can affect a firm’s CE </w:t>
      </w:r>
      <w:r w:rsidRPr="00EE533D">
        <w:rPr>
          <w:rFonts w:ascii="Times New Roman" w:hAnsi="Times New Roman" w:cs="Times New Roman"/>
          <w:sz w:val="24"/>
          <w:szCs w:val="24"/>
          <w:lang w:val="en-GB"/>
        </w:rPr>
        <w:lastRenderedPageBreak/>
        <w:t>practices. Indeed, as several scholars pointed out (Ranta et al; 2018; de Jesus and Mendonça, 2018), the adoption of CE practices could be hampered by complex and rigid administrative procedures and lack of competence of officials. Therefore, firms can be discouraged by cumbersome and inflexible bureaucratic procedures that are not adapted to more circular business models that require a more agile approach.  In the light of this theoretical perspective, we constructed our last hypothesis (</w:t>
      </w:r>
      <w:r w:rsidRPr="00EE533D">
        <w:rPr>
          <w:rFonts w:ascii="Times New Roman" w:hAnsi="Times New Roman" w:cs="Times New Roman"/>
          <w:i/>
          <w:iCs/>
          <w:sz w:val="24"/>
          <w:szCs w:val="24"/>
          <w:lang w:val="en-GB"/>
        </w:rPr>
        <w:t>H</w:t>
      </w:r>
      <w:r w:rsidR="00407231" w:rsidRPr="00EE533D">
        <w:rPr>
          <w:rFonts w:ascii="Times New Roman" w:hAnsi="Times New Roman" w:cs="Times New Roman"/>
          <w:i/>
          <w:iCs/>
          <w:sz w:val="24"/>
          <w:szCs w:val="24"/>
          <w:lang w:val="en-GB"/>
        </w:rPr>
        <w:t>3</w:t>
      </w:r>
      <w:r w:rsidRPr="00EE533D">
        <w:rPr>
          <w:rFonts w:ascii="Times New Roman" w:hAnsi="Times New Roman" w:cs="Times New Roman"/>
          <w:sz w:val="24"/>
          <w:szCs w:val="24"/>
          <w:lang w:val="en-GB"/>
        </w:rPr>
        <w:t xml:space="preserve">). </w:t>
      </w:r>
    </w:p>
    <w:p w14:paraId="71EAD861" w14:textId="77777777" w:rsidR="001324BD" w:rsidRPr="00EE533D" w:rsidRDefault="001324BD" w:rsidP="002F335C">
      <w:pPr>
        <w:autoSpaceDE w:val="0"/>
        <w:autoSpaceDN w:val="0"/>
        <w:adjustRightInd w:val="0"/>
        <w:spacing w:after="0" w:line="360" w:lineRule="auto"/>
        <w:ind w:firstLine="708"/>
        <w:jc w:val="both"/>
        <w:rPr>
          <w:rFonts w:ascii="Times New Roman" w:hAnsi="Times New Roman" w:cs="Times New Roman"/>
          <w:i/>
          <w:sz w:val="24"/>
          <w:szCs w:val="24"/>
          <w:lang w:val="en-GB"/>
        </w:rPr>
      </w:pPr>
    </w:p>
    <w:p w14:paraId="3E00EF38" w14:textId="4CDE56BB" w:rsidR="00641E4D" w:rsidRPr="00EE533D" w:rsidRDefault="00641E4D" w:rsidP="002F335C">
      <w:pPr>
        <w:autoSpaceDE w:val="0"/>
        <w:autoSpaceDN w:val="0"/>
        <w:adjustRightInd w:val="0"/>
        <w:spacing w:after="0" w:line="360" w:lineRule="auto"/>
        <w:ind w:firstLine="708"/>
        <w:jc w:val="both"/>
        <w:rPr>
          <w:rFonts w:ascii="Times New Roman" w:hAnsi="Times New Roman" w:cs="Times New Roman"/>
          <w:i/>
          <w:sz w:val="24"/>
          <w:szCs w:val="24"/>
          <w:lang w:val="en-GB"/>
        </w:rPr>
      </w:pPr>
      <w:r w:rsidRPr="00EE533D">
        <w:rPr>
          <w:rFonts w:ascii="Times New Roman" w:hAnsi="Times New Roman" w:cs="Times New Roman"/>
          <w:i/>
          <w:sz w:val="24"/>
          <w:szCs w:val="24"/>
          <w:lang w:val="en-GB"/>
        </w:rPr>
        <w:t>H</w:t>
      </w:r>
      <w:r w:rsidR="00407231" w:rsidRPr="00EE533D">
        <w:rPr>
          <w:rFonts w:ascii="Times New Roman" w:hAnsi="Times New Roman" w:cs="Times New Roman"/>
          <w:i/>
          <w:sz w:val="24"/>
          <w:szCs w:val="24"/>
          <w:lang w:val="en-GB"/>
        </w:rPr>
        <w:t>3</w:t>
      </w:r>
      <w:r w:rsidRPr="00EE533D">
        <w:rPr>
          <w:rFonts w:ascii="Times New Roman" w:hAnsi="Times New Roman" w:cs="Times New Roman"/>
          <w:i/>
          <w:sz w:val="24"/>
          <w:szCs w:val="24"/>
          <w:lang w:val="en-GB"/>
        </w:rPr>
        <w:t xml:space="preserve">: More effective administrative infrastructures should increase the performance of </w:t>
      </w:r>
      <w:r w:rsidR="004C36AB" w:rsidRPr="00EE533D">
        <w:rPr>
          <w:rFonts w:ascii="Times New Roman" w:hAnsi="Times New Roman" w:cs="Times New Roman"/>
          <w:i/>
          <w:sz w:val="24"/>
          <w:szCs w:val="24"/>
          <w:lang w:val="en-GB"/>
        </w:rPr>
        <w:t xml:space="preserve">recycling </w:t>
      </w:r>
      <w:r w:rsidRPr="00EE533D">
        <w:rPr>
          <w:rFonts w:ascii="Times New Roman" w:hAnsi="Times New Roman" w:cs="Times New Roman"/>
          <w:i/>
          <w:sz w:val="24"/>
          <w:szCs w:val="24"/>
          <w:lang w:val="en-GB"/>
        </w:rPr>
        <w:t>practices.</w:t>
      </w:r>
    </w:p>
    <w:p w14:paraId="66D5A031" w14:textId="77777777" w:rsidR="007467F2" w:rsidRPr="00EE533D" w:rsidRDefault="007467F2" w:rsidP="002B1EDD">
      <w:pPr>
        <w:autoSpaceDE w:val="0"/>
        <w:autoSpaceDN w:val="0"/>
        <w:adjustRightInd w:val="0"/>
        <w:spacing w:after="0" w:line="240" w:lineRule="auto"/>
        <w:jc w:val="both"/>
        <w:rPr>
          <w:rFonts w:ascii="Times New Roman" w:hAnsi="Times New Roman" w:cs="Times New Roman"/>
          <w:i/>
          <w:sz w:val="24"/>
          <w:szCs w:val="24"/>
          <w:lang w:val="en-GB"/>
        </w:rPr>
      </w:pPr>
    </w:p>
    <w:p w14:paraId="17B2E69C" w14:textId="77777777" w:rsidR="007467F2" w:rsidRPr="00EE533D" w:rsidRDefault="007467F2" w:rsidP="0016558E">
      <w:pPr>
        <w:autoSpaceDE w:val="0"/>
        <w:autoSpaceDN w:val="0"/>
        <w:adjustRightInd w:val="0"/>
        <w:spacing w:after="0" w:line="240" w:lineRule="auto"/>
        <w:jc w:val="both"/>
        <w:rPr>
          <w:rFonts w:ascii="Times New Roman" w:hAnsi="Times New Roman" w:cs="Times New Roman"/>
          <w:i/>
          <w:sz w:val="24"/>
          <w:szCs w:val="24"/>
          <w:lang w:val="en-GB"/>
        </w:rPr>
      </w:pPr>
    </w:p>
    <w:p w14:paraId="4545BBEC" w14:textId="77777777" w:rsidR="007467F2" w:rsidRPr="00EE533D" w:rsidRDefault="007467F2" w:rsidP="007467F2">
      <w:pPr>
        <w:spacing w:line="480" w:lineRule="auto"/>
        <w:jc w:val="both"/>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3. Data and variables</w:t>
      </w:r>
    </w:p>
    <w:p w14:paraId="1F4730FE" w14:textId="0B39FE6B"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 xml:space="preserve">Our empirical study analyzes a sample of </w:t>
      </w:r>
      <w:r w:rsidR="0016558E" w:rsidRPr="00EE533D">
        <w:rPr>
          <w:rFonts w:ascii="Times New Roman" w:hAnsi="Times New Roman" w:cs="Times New Roman"/>
          <w:sz w:val="24"/>
          <w:szCs w:val="24"/>
          <w:lang w:val="en-GB"/>
        </w:rPr>
        <w:t>1096</w:t>
      </w:r>
      <w:r w:rsidRPr="00EE533D">
        <w:rPr>
          <w:rFonts w:ascii="Times New Roman" w:hAnsi="Times New Roman" w:cs="Times New Roman"/>
          <w:sz w:val="24"/>
          <w:szCs w:val="24"/>
          <w:lang w:val="en-GB"/>
        </w:rPr>
        <w:t xml:space="preserve"> nonfinancial listed firms operating in 40 countries over the period 2012-202</w:t>
      </w:r>
      <w:r w:rsidR="00B72260" w:rsidRPr="00EE533D">
        <w:rPr>
          <w:rFonts w:ascii="Times New Roman" w:hAnsi="Times New Roman" w:cs="Times New Roman"/>
          <w:sz w:val="24"/>
          <w:szCs w:val="24"/>
          <w:lang w:val="en-GB"/>
        </w:rPr>
        <w:t>4</w:t>
      </w:r>
      <w:r w:rsidRPr="00EE533D">
        <w:rPr>
          <w:rFonts w:ascii="Times New Roman" w:hAnsi="Times New Roman" w:cs="Times New Roman"/>
          <w:sz w:val="24"/>
          <w:szCs w:val="24"/>
          <w:lang w:val="en-GB"/>
        </w:rPr>
        <w:t>.</w:t>
      </w:r>
      <w:r w:rsidR="002E67CB" w:rsidRPr="00EE533D">
        <w:rPr>
          <w:rFonts w:ascii="Times New Roman" w:hAnsi="Times New Roman" w:cs="Times New Roman"/>
          <w:sz w:val="24"/>
          <w:szCs w:val="24"/>
          <w:lang w:val="en-GB"/>
        </w:rPr>
        <w:t xml:space="preserve"> </w:t>
      </w:r>
      <w:r w:rsidR="00392416" w:rsidRPr="00EE533D">
        <w:rPr>
          <w:rFonts w:ascii="Times New Roman" w:hAnsi="Times New Roman" w:cs="Times New Roman"/>
          <w:sz w:val="24"/>
          <w:szCs w:val="24"/>
          <w:lang w:val="en-GB"/>
        </w:rPr>
        <w:t xml:space="preserve">The initial sample was composed of </w:t>
      </w:r>
      <w:r w:rsidR="00AC5BED" w:rsidRPr="00EE533D">
        <w:rPr>
          <w:rFonts w:ascii="Times New Roman" w:hAnsi="Times New Roman" w:cs="Times New Roman"/>
          <w:sz w:val="24"/>
          <w:szCs w:val="24"/>
          <w:lang w:val="en-GB"/>
        </w:rPr>
        <w:t>1751</w:t>
      </w:r>
      <w:r w:rsidR="00B319DA" w:rsidRPr="00EE533D">
        <w:rPr>
          <w:rFonts w:ascii="Times New Roman" w:hAnsi="Times New Roman" w:cs="Times New Roman"/>
          <w:sz w:val="24"/>
          <w:szCs w:val="24"/>
          <w:lang w:val="en-GB"/>
        </w:rPr>
        <w:t xml:space="preserve"> listed firms that </w:t>
      </w:r>
      <w:r w:rsidR="00B319DA" w:rsidRPr="00EE533D">
        <w:rPr>
          <w:rFonts w:ascii="Times New Roman" w:hAnsi="Times New Roman" w:cs="Times New Roman"/>
          <w:sz w:val="24"/>
          <w:szCs w:val="24"/>
          <w:lang w:val="en-GB"/>
        </w:rPr>
        <w:lastRenderedPageBreak/>
        <w:t xml:space="preserve">reported data on recycling activities in the database of the </w:t>
      </w:r>
      <w:r w:rsidR="00B319DA" w:rsidRPr="00EE533D">
        <w:rPr>
          <w:rFonts w:ascii="Times New Roman" w:hAnsi="Times New Roman" w:cs="Times New Roman"/>
          <w:i/>
          <w:iCs/>
          <w:sz w:val="24"/>
          <w:szCs w:val="24"/>
          <w:lang w:val="en-GB"/>
        </w:rPr>
        <w:t>Bloomberg Terminal</w:t>
      </w:r>
      <w:r w:rsidR="00B319DA"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The</w:t>
      </w:r>
      <w:r w:rsidR="00AE74A3" w:rsidRPr="00EE533D">
        <w:rPr>
          <w:rFonts w:ascii="Times New Roman" w:hAnsi="Times New Roman" w:cs="Times New Roman"/>
          <w:sz w:val="24"/>
          <w:szCs w:val="24"/>
          <w:lang w:val="en-GB"/>
        </w:rPr>
        <w:t xml:space="preserve"> final</w:t>
      </w:r>
      <w:r w:rsidRPr="00EE533D">
        <w:rPr>
          <w:rFonts w:ascii="Times New Roman" w:hAnsi="Times New Roman" w:cs="Times New Roman"/>
          <w:sz w:val="24"/>
          <w:szCs w:val="24"/>
          <w:lang w:val="en-GB"/>
        </w:rPr>
        <w:t xml:space="preserve"> size of our sample </w:t>
      </w:r>
      <w:r w:rsidR="0026262F" w:rsidRPr="00EE533D">
        <w:rPr>
          <w:rFonts w:ascii="Times New Roman" w:hAnsi="Times New Roman" w:cs="Times New Roman"/>
          <w:sz w:val="24"/>
          <w:szCs w:val="24"/>
          <w:lang w:val="en-GB"/>
        </w:rPr>
        <w:t>was</w:t>
      </w:r>
      <w:r w:rsidRPr="00EE533D">
        <w:rPr>
          <w:rFonts w:ascii="Times New Roman" w:hAnsi="Times New Roman" w:cs="Times New Roman"/>
          <w:sz w:val="24"/>
          <w:szCs w:val="24"/>
          <w:lang w:val="en-GB"/>
        </w:rPr>
        <w:t xml:space="preserve"> determined by the availability of observations dealing </w:t>
      </w:r>
      <w:r w:rsidR="00B946BF" w:rsidRPr="00EE533D">
        <w:rPr>
          <w:rFonts w:ascii="Times New Roman" w:hAnsi="Times New Roman" w:cs="Times New Roman"/>
          <w:sz w:val="24"/>
          <w:szCs w:val="24"/>
          <w:lang w:val="en-GB"/>
        </w:rPr>
        <w:t xml:space="preserve">with </w:t>
      </w:r>
      <w:r w:rsidR="00037ECD" w:rsidRPr="00EE533D">
        <w:rPr>
          <w:rFonts w:ascii="Times New Roman" w:hAnsi="Times New Roman" w:cs="Times New Roman"/>
          <w:sz w:val="24"/>
          <w:szCs w:val="24"/>
          <w:lang w:val="en-GB"/>
        </w:rPr>
        <w:t>the firm’s financial feature</w:t>
      </w:r>
      <w:r w:rsidR="00B946BF" w:rsidRPr="00EE533D">
        <w:rPr>
          <w:rFonts w:ascii="Times New Roman" w:hAnsi="Times New Roman" w:cs="Times New Roman"/>
          <w:sz w:val="24"/>
          <w:szCs w:val="24"/>
          <w:lang w:val="en-GB"/>
        </w:rPr>
        <w:t>s</w:t>
      </w:r>
      <w:r w:rsidR="00037ECD" w:rsidRPr="00EE533D">
        <w:rPr>
          <w:rFonts w:ascii="Times New Roman" w:hAnsi="Times New Roman" w:cs="Times New Roman"/>
          <w:sz w:val="24"/>
          <w:szCs w:val="24"/>
          <w:lang w:val="en-GB"/>
        </w:rPr>
        <w:t xml:space="preserve"> (a)</w:t>
      </w:r>
      <w:r w:rsidR="00B946BF" w:rsidRPr="00EE533D">
        <w:rPr>
          <w:rFonts w:ascii="Times New Roman" w:hAnsi="Times New Roman" w:cs="Times New Roman"/>
          <w:sz w:val="24"/>
          <w:szCs w:val="24"/>
          <w:lang w:val="en-GB"/>
        </w:rPr>
        <w:t xml:space="preserve"> and </w:t>
      </w:r>
      <w:r w:rsidR="00545D1D" w:rsidRPr="00EE533D">
        <w:rPr>
          <w:rFonts w:ascii="Times New Roman" w:hAnsi="Times New Roman" w:cs="Times New Roman"/>
          <w:sz w:val="24"/>
          <w:szCs w:val="24"/>
          <w:lang w:val="en-GB"/>
        </w:rPr>
        <w:t>corporate governance (b).</w:t>
      </w:r>
      <w:r w:rsidR="00037ECD" w:rsidRPr="00EE533D">
        <w:rPr>
          <w:rFonts w:ascii="Times New Roman" w:hAnsi="Times New Roman" w:cs="Times New Roman"/>
          <w:sz w:val="24"/>
          <w:szCs w:val="24"/>
          <w:lang w:val="en-GB"/>
        </w:rPr>
        <w:t xml:space="preserve"> </w:t>
      </w:r>
      <w:r w:rsidR="007E1803" w:rsidRPr="00EE533D">
        <w:rPr>
          <w:rFonts w:ascii="Times New Roman" w:hAnsi="Times New Roman" w:cs="Times New Roman"/>
          <w:sz w:val="24"/>
          <w:szCs w:val="24"/>
          <w:lang w:val="en-GB"/>
        </w:rPr>
        <w:t xml:space="preserve">Furthermore, </w:t>
      </w:r>
      <w:r w:rsidR="007E1803" w:rsidRPr="00EE533D">
        <w:rPr>
          <w:rFonts w:ascii="Times New Roman" w:eastAsia="Times New Roman" w:hAnsi="Times New Roman" w:cs="Times New Roman"/>
          <w:sz w:val="24"/>
          <w:szCs w:val="24"/>
          <w:lang w:val="en-GB" w:eastAsia="fr-FR" w:bidi="ar-SA"/>
        </w:rPr>
        <w:t>w</w:t>
      </w:r>
      <w:r w:rsidRPr="00EE533D">
        <w:rPr>
          <w:rFonts w:ascii="Times New Roman" w:eastAsia="Times New Roman" w:hAnsi="Times New Roman" w:cs="Times New Roman"/>
          <w:sz w:val="24"/>
          <w:szCs w:val="24"/>
          <w:lang w:val="en-GB" w:eastAsia="fr-FR" w:bidi="ar-SA"/>
        </w:rPr>
        <w:t xml:space="preserve">e </w:t>
      </w:r>
      <w:r w:rsidRPr="00EE533D">
        <w:rPr>
          <w:rFonts w:ascii="Times New Roman" w:hAnsi="Times New Roman" w:cs="Times New Roman"/>
          <w:sz w:val="24"/>
          <w:szCs w:val="24"/>
          <w:lang w:val="en-GB"/>
        </w:rPr>
        <w:t>assess a firm’s capacity to recycle using three measures, namely the amount of waste recycled as a percentage of the firm’s total waste (</w:t>
      </w:r>
      <w:r w:rsidRPr="00EE533D">
        <w:rPr>
          <w:rFonts w:ascii="Times New Roman" w:hAnsi="Times New Roman" w:cs="Times New Roman"/>
          <w:i/>
          <w:iCs/>
          <w:sz w:val="24"/>
          <w:szCs w:val="24"/>
          <w:lang w:val="en-GB"/>
        </w:rPr>
        <w:t>Recycled Waste</w:t>
      </w:r>
      <w:r w:rsidRPr="00EE533D">
        <w:rPr>
          <w:rFonts w:ascii="Times New Roman" w:hAnsi="Times New Roman" w:cs="Times New Roman"/>
          <w:sz w:val="24"/>
          <w:szCs w:val="24"/>
          <w:lang w:val="en-GB"/>
        </w:rPr>
        <w:t xml:space="preserve">), the volume of recycled water as a percentage of the total water used for </w:t>
      </w:r>
      <w:r w:rsidRPr="00EE533D">
        <w:rPr>
          <w:rFonts w:ascii="Times New Roman" w:hAnsi="Times New Roman" w:cs="Times New Roman"/>
          <w:sz w:val="24"/>
          <w:szCs w:val="24"/>
          <w:lang w:val="en-GB"/>
        </w:rPr>
        <w:lastRenderedPageBreak/>
        <w:t>the firm’s operational activities (</w:t>
      </w:r>
      <w:r w:rsidRPr="00EE533D">
        <w:rPr>
          <w:rFonts w:ascii="Times New Roman" w:hAnsi="Times New Roman" w:cs="Times New Roman"/>
          <w:i/>
          <w:iCs/>
          <w:sz w:val="24"/>
          <w:szCs w:val="24"/>
          <w:lang w:val="en-GB"/>
        </w:rPr>
        <w:t>Recycled Water)</w:t>
      </w:r>
      <w:r w:rsidRPr="00EE533D">
        <w:rPr>
          <w:rFonts w:ascii="Times New Roman" w:hAnsi="Times New Roman" w:cs="Times New Roman"/>
          <w:sz w:val="24"/>
          <w:szCs w:val="24"/>
          <w:lang w:val="en-GB"/>
        </w:rPr>
        <w:t>, and the amount of paper sent for recycling (</w:t>
      </w:r>
      <w:r w:rsidRPr="00EE533D">
        <w:rPr>
          <w:rFonts w:ascii="Times New Roman" w:hAnsi="Times New Roman" w:cs="Times New Roman"/>
          <w:i/>
          <w:iCs/>
          <w:sz w:val="24"/>
          <w:szCs w:val="24"/>
          <w:lang w:val="en-GB"/>
        </w:rPr>
        <w:t>Recycled Paper</w:t>
      </w:r>
      <w:r w:rsidRPr="00EE533D">
        <w:rPr>
          <w:rFonts w:ascii="Times New Roman" w:hAnsi="Times New Roman" w:cs="Times New Roman"/>
          <w:sz w:val="24"/>
          <w:szCs w:val="24"/>
          <w:lang w:val="en-GB"/>
        </w:rPr>
        <w:t xml:space="preserve">). Second, the </w:t>
      </w:r>
      <w:r w:rsidRPr="00EE533D">
        <w:rPr>
          <w:rFonts w:ascii="Times New Roman" w:hAnsi="Times New Roman" w:cs="Times New Roman"/>
          <w:i/>
          <w:iCs/>
          <w:sz w:val="24"/>
          <w:szCs w:val="24"/>
          <w:lang w:val="en-GB"/>
        </w:rPr>
        <w:t xml:space="preserve">Worldwide Governance </w:t>
      </w:r>
      <w:r w:rsidRPr="00EE533D">
        <w:rPr>
          <w:rFonts w:ascii="Times New Roman" w:hAnsi="Times New Roman" w:cs="Times New Roman"/>
          <w:sz w:val="24"/>
          <w:szCs w:val="24"/>
          <w:lang w:val="en-GB"/>
        </w:rPr>
        <w:t xml:space="preserve">database of the </w:t>
      </w:r>
      <w:r w:rsidRPr="00EE533D">
        <w:rPr>
          <w:rFonts w:ascii="Times New Roman" w:hAnsi="Times New Roman" w:cs="Times New Roman"/>
          <w:i/>
          <w:iCs/>
          <w:sz w:val="24"/>
          <w:szCs w:val="24"/>
          <w:lang w:val="en-GB"/>
        </w:rPr>
        <w:t>World Bank</w:t>
      </w:r>
      <w:r w:rsidRPr="00EE533D">
        <w:rPr>
          <w:rFonts w:ascii="Times New Roman" w:hAnsi="Times New Roman" w:cs="Times New Roman"/>
          <w:sz w:val="24"/>
          <w:szCs w:val="24"/>
          <w:lang w:val="en-GB"/>
        </w:rPr>
        <w:t xml:space="preserve"> provides 6 time-variant proxies that capture institutional quality:  corruption control (</w:t>
      </w:r>
      <w:r w:rsidRPr="00EE533D">
        <w:rPr>
          <w:rFonts w:ascii="Times New Roman" w:hAnsi="Times New Roman" w:cs="Times New Roman"/>
          <w:i/>
          <w:iCs/>
          <w:sz w:val="24"/>
          <w:szCs w:val="24"/>
          <w:lang w:val="en-GB"/>
        </w:rPr>
        <w:t>Control of Corruption</w:t>
      </w:r>
      <w:r w:rsidRPr="00EE533D">
        <w:rPr>
          <w:rFonts w:ascii="Times New Roman" w:hAnsi="Times New Roman" w:cs="Times New Roman"/>
          <w:sz w:val="24"/>
          <w:szCs w:val="24"/>
          <w:lang w:val="en-GB"/>
        </w:rPr>
        <w:t>), the performance of the government and public institutions (</w:t>
      </w:r>
      <w:r w:rsidRPr="00EE533D">
        <w:rPr>
          <w:rFonts w:ascii="Times New Roman" w:hAnsi="Times New Roman" w:cs="Times New Roman"/>
          <w:i/>
          <w:iCs/>
          <w:sz w:val="24"/>
          <w:szCs w:val="24"/>
          <w:lang w:val="en-GB"/>
        </w:rPr>
        <w:t>Government Effectiveness</w:t>
      </w:r>
      <w:r w:rsidRPr="00EE533D">
        <w:rPr>
          <w:rFonts w:ascii="Times New Roman" w:hAnsi="Times New Roman" w:cs="Times New Roman"/>
          <w:sz w:val="24"/>
          <w:szCs w:val="24"/>
          <w:lang w:val="en-GB"/>
        </w:rPr>
        <w:t>), the stability of the political environment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the public governance capacity to develop the private sector (</w:t>
      </w:r>
      <w:r w:rsidRPr="00EE533D">
        <w:rPr>
          <w:rFonts w:ascii="Times New Roman" w:hAnsi="Times New Roman" w:cs="Times New Roman"/>
          <w:i/>
          <w:iCs/>
          <w:sz w:val="24"/>
          <w:szCs w:val="24"/>
          <w:lang w:val="en-GB"/>
        </w:rPr>
        <w:t>Regulatory Quality</w:t>
      </w:r>
      <w:r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lastRenderedPageBreak/>
        <w:t>confidence in the law (</w:t>
      </w:r>
      <w:r w:rsidRPr="00EE533D">
        <w:rPr>
          <w:rFonts w:ascii="Times New Roman" w:hAnsi="Times New Roman" w:cs="Times New Roman"/>
          <w:i/>
          <w:iCs/>
          <w:sz w:val="24"/>
          <w:szCs w:val="24"/>
          <w:lang w:val="en-GB"/>
        </w:rPr>
        <w:t>Rule of Law</w:t>
      </w:r>
      <w:r w:rsidRPr="00EE533D">
        <w:rPr>
          <w:rFonts w:ascii="Times New Roman" w:hAnsi="Times New Roman" w:cs="Times New Roman"/>
          <w:sz w:val="24"/>
          <w:szCs w:val="24"/>
          <w:lang w:val="en-GB"/>
        </w:rPr>
        <w:t>), and citizens’ political voice (</w:t>
      </w:r>
      <w:r w:rsidRPr="00EE533D">
        <w:rPr>
          <w:rFonts w:ascii="Times New Roman" w:hAnsi="Times New Roman" w:cs="Times New Roman"/>
          <w:i/>
          <w:iCs/>
          <w:sz w:val="24"/>
          <w:szCs w:val="24"/>
          <w:lang w:val="en-GB"/>
        </w:rPr>
        <w:t>Voice</w:t>
      </w:r>
      <w:r w:rsidRPr="00EE533D">
        <w:rPr>
          <w:rFonts w:ascii="Times New Roman" w:hAnsi="Times New Roman" w:cs="Times New Roman"/>
          <w:sz w:val="24"/>
          <w:szCs w:val="24"/>
          <w:lang w:val="en-GB"/>
        </w:rPr>
        <w:t xml:space="preserve">). We will rely on these institutional dimensions of the </w:t>
      </w:r>
      <w:r w:rsidRPr="00EE533D">
        <w:rPr>
          <w:rFonts w:ascii="Times New Roman" w:hAnsi="Times New Roman" w:cs="Times New Roman"/>
          <w:i/>
          <w:iCs/>
          <w:sz w:val="24"/>
          <w:szCs w:val="24"/>
          <w:lang w:val="en-GB"/>
        </w:rPr>
        <w:t>World Bank</w:t>
      </w:r>
      <w:r w:rsidRPr="00EE533D">
        <w:rPr>
          <w:rFonts w:ascii="Times New Roman" w:hAnsi="Times New Roman" w:cs="Times New Roman"/>
          <w:sz w:val="24"/>
          <w:szCs w:val="24"/>
          <w:lang w:val="en-GB"/>
        </w:rPr>
        <w:t xml:space="preserve"> to test our hypotheses related to institutional stability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Rule of Law</w:t>
      </w:r>
      <w:r w:rsidRPr="00EE533D">
        <w:rPr>
          <w:rFonts w:ascii="Times New Roman" w:hAnsi="Times New Roman" w:cs="Times New Roman"/>
          <w:sz w:val="24"/>
          <w:szCs w:val="24"/>
          <w:lang w:val="en-GB"/>
        </w:rPr>
        <w:t>) and institutional conduciveness (</w:t>
      </w:r>
      <w:r w:rsidRPr="00EE533D">
        <w:rPr>
          <w:rFonts w:ascii="Times New Roman" w:hAnsi="Times New Roman" w:cs="Times New Roman"/>
          <w:i/>
          <w:iCs/>
          <w:sz w:val="24"/>
          <w:szCs w:val="24"/>
          <w:lang w:val="en-GB"/>
        </w:rPr>
        <w:t>Voice</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Control of Corruption</w:t>
      </w:r>
      <w:r w:rsidRPr="00EE533D">
        <w:rPr>
          <w:rFonts w:ascii="Times New Roman" w:hAnsi="Times New Roman" w:cs="Times New Roman"/>
          <w:sz w:val="24"/>
          <w:szCs w:val="24"/>
          <w:lang w:val="en-GB"/>
        </w:rPr>
        <w:t>,</w:t>
      </w:r>
      <w:r w:rsidRPr="00EE533D">
        <w:rPr>
          <w:rFonts w:ascii="Times New Roman" w:hAnsi="Times New Roman" w:cs="Times New Roman"/>
          <w:i/>
          <w:iCs/>
          <w:sz w:val="24"/>
          <w:szCs w:val="24"/>
          <w:lang w:val="en-GB"/>
        </w:rPr>
        <w:t xml:space="preserve"> Regulatory Quality</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Government Effectiveness</w:t>
      </w:r>
      <w:r w:rsidRPr="00EE533D">
        <w:rPr>
          <w:rFonts w:ascii="Times New Roman" w:hAnsi="Times New Roman" w:cs="Times New Roman"/>
          <w:sz w:val="24"/>
          <w:szCs w:val="24"/>
          <w:lang w:val="en-GB"/>
        </w:rPr>
        <w:t xml:space="preserve">). All six variables are given a score that can range from -2.5 to 2.5, with higher values implying a higher institutional quality. </w:t>
      </w:r>
    </w:p>
    <w:p w14:paraId="092F351A" w14:textId="7F64EE8E" w:rsidR="007467F2" w:rsidRPr="00EE533D" w:rsidRDefault="007467F2" w:rsidP="007467F2">
      <w:pPr>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 xml:space="preserve">We also employed an alternative set of institutional variables constructed by the </w:t>
      </w:r>
      <w:r w:rsidRPr="00EE533D">
        <w:rPr>
          <w:rFonts w:ascii="Times New Roman" w:hAnsi="Times New Roman" w:cs="Times New Roman"/>
          <w:i/>
          <w:iCs/>
          <w:sz w:val="24"/>
          <w:szCs w:val="24"/>
          <w:lang w:val="en-GB"/>
        </w:rPr>
        <w:t>Legatum Institute</w:t>
      </w:r>
      <w:r w:rsidRPr="00EE533D">
        <w:rPr>
          <w:rFonts w:ascii="Times New Roman" w:hAnsi="Times New Roman" w:cs="Times New Roman"/>
          <w:sz w:val="24"/>
          <w:szCs w:val="24"/>
          <w:lang w:val="en-GB"/>
        </w:rPr>
        <w:t xml:space="preserve"> to explore the channels that might explain our empirical findings. Again, 6 variables capture institutional quality: executive constraints (</w:t>
      </w:r>
      <w:r w:rsidRPr="00EE533D">
        <w:rPr>
          <w:rFonts w:ascii="Times New Roman" w:hAnsi="Times New Roman" w:cs="Times New Roman"/>
          <w:i/>
          <w:iCs/>
          <w:sz w:val="24"/>
          <w:szCs w:val="24"/>
          <w:lang w:val="en-GB"/>
        </w:rPr>
        <w:t xml:space="preserve">Executive </w:t>
      </w:r>
      <w:r w:rsidR="003D1ABE" w:rsidRPr="00EE533D">
        <w:rPr>
          <w:rFonts w:ascii="Times New Roman" w:hAnsi="Times New Roman" w:cs="Times New Roman"/>
          <w:i/>
          <w:iCs/>
          <w:sz w:val="24"/>
          <w:szCs w:val="24"/>
          <w:lang w:val="en-GB"/>
        </w:rPr>
        <w:t>C</w:t>
      </w:r>
      <w:r w:rsidRPr="00EE533D">
        <w:rPr>
          <w:rFonts w:ascii="Times New Roman" w:hAnsi="Times New Roman" w:cs="Times New Roman"/>
          <w:i/>
          <w:iCs/>
          <w:sz w:val="24"/>
          <w:szCs w:val="24"/>
          <w:lang w:val="en-GB"/>
        </w:rPr>
        <w:t>onstraints</w:t>
      </w:r>
      <w:r w:rsidRPr="00EE533D">
        <w:rPr>
          <w:rFonts w:ascii="Times New Roman" w:hAnsi="Times New Roman" w:cs="Times New Roman"/>
          <w:sz w:val="24"/>
          <w:szCs w:val="24"/>
          <w:lang w:val="en-GB"/>
        </w:rPr>
        <w:t>), political accountability (</w:t>
      </w:r>
      <w:r w:rsidRPr="00EE533D">
        <w:rPr>
          <w:rFonts w:ascii="Times New Roman" w:hAnsi="Times New Roman" w:cs="Times New Roman"/>
          <w:i/>
          <w:iCs/>
          <w:sz w:val="24"/>
          <w:szCs w:val="24"/>
          <w:lang w:val="en-GB"/>
        </w:rPr>
        <w:t>Political Accountability</w:t>
      </w:r>
      <w:r w:rsidRPr="00EE533D">
        <w:rPr>
          <w:rFonts w:ascii="Times New Roman" w:hAnsi="Times New Roman" w:cs="Times New Roman"/>
          <w:sz w:val="24"/>
          <w:szCs w:val="24"/>
          <w:lang w:val="en-GB"/>
        </w:rPr>
        <w:t>), rule of law (</w:t>
      </w:r>
      <w:r w:rsidRPr="00EE533D">
        <w:rPr>
          <w:rFonts w:ascii="Times New Roman" w:hAnsi="Times New Roman" w:cs="Times New Roman"/>
          <w:i/>
          <w:iCs/>
          <w:sz w:val="24"/>
          <w:szCs w:val="24"/>
          <w:lang w:val="en-GB"/>
        </w:rPr>
        <w:t>Rule of Law (Legatum)</w:t>
      </w:r>
      <w:r w:rsidRPr="00EE533D">
        <w:rPr>
          <w:rFonts w:ascii="Times New Roman" w:hAnsi="Times New Roman" w:cs="Times New Roman"/>
          <w:sz w:val="24"/>
          <w:szCs w:val="24"/>
          <w:lang w:val="en-GB"/>
        </w:rPr>
        <w:t xml:space="preserve">), </w:t>
      </w:r>
      <w:r w:rsidR="00863809" w:rsidRPr="00EE533D">
        <w:rPr>
          <w:rFonts w:ascii="Times New Roman" w:hAnsi="Times New Roman" w:cs="Times New Roman"/>
          <w:sz w:val="24"/>
          <w:szCs w:val="24"/>
          <w:lang w:val="en-GB"/>
        </w:rPr>
        <w:t xml:space="preserve">the </w:t>
      </w:r>
      <w:r w:rsidRPr="00EE533D">
        <w:rPr>
          <w:rFonts w:ascii="Times New Roman" w:hAnsi="Times New Roman" w:cs="Times New Roman"/>
          <w:sz w:val="24"/>
          <w:szCs w:val="24"/>
          <w:lang w:val="en-GB"/>
        </w:rPr>
        <w:t>integrity of the government (</w:t>
      </w:r>
      <w:r w:rsidRPr="00EE533D">
        <w:rPr>
          <w:rFonts w:ascii="Times New Roman" w:hAnsi="Times New Roman" w:cs="Times New Roman"/>
          <w:i/>
          <w:iCs/>
          <w:sz w:val="24"/>
          <w:szCs w:val="24"/>
          <w:lang w:val="en-GB"/>
        </w:rPr>
        <w:t xml:space="preserve">Government </w:t>
      </w:r>
      <w:r w:rsidR="000E6A10" w:rsidRPr="00EE533D">
        <w:rPr>
          <w:rFonts w:ascii="Times New Roman" w:hAnsi="Times New Roman" w:cs="Times New Roman"/>
          <w:i/>
          <w:iCs/>
          <w:sz w:val="24"/>
          <w:szCs w:val="24"/>
          <w:lang w:val="en-GB"/>
        </w:rPr>
        <w:t>I</w:t>
      </w:r>
      <w:r w:rsidRPr="00EE533D">
        <w:rPr>
          <w:rFonts w:ascii="Times New Roman" w:hAnsi="Times New Roman" w:cs="Times New Roman"/>
          <w:i/>
          <w:iCs/>
          <w:sz w:val="24"/>
          <w:szCs w:val="24"/>
          <w:lang w:val="en-GB"/>
        </w:rPr>
        <w:t>ntegrity</w:t>
      </w:r>
      <w:r w:rsidRPr="00EE533D">
        <w:rPr>
          <w:rFonts w:ascii="Times New Roman" w:hAnsi="Times New Roman" w:cs="Times New Roman"/>
          <w:sz w:val="24"/>
          <w:szCs w:val="24"/>
          <w:lang w:val="en-GB"/>
        </w:rPr>
        <w:t>), government effectiveness (</w:t>
      </w:r>
      <w:r w:rsidRPr="00EE533D">
        <w:rPr>
          <w:rFonts w:ascii="Times New Roman" w:hAnsi="Times New Roman" w:cs="Times New Roman"/>
          <w:i/>
          <w:iCs/>
          <w:sz w:val="24"/>
          <w:szCs w:val="24"/>
          <w:lang w:val="en-GB"/>
        </w:rPr>
        <w:t>Government Effectiveness</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lastRenderedPageBreak/>
        <w:t>(Legatum)</w:t>
      </w:r>
      <w:r w:rsidRPr="00EE533D">
        <w:rPr>
          <w:rFonts w:ascii="Times New Roman" w:hAnsi="Times New Roman" w:cs="Times New Roman"/>
          <w:sz w:val="24"/>
          <w:szCs w:val="24"/>
          <w:lang w:val="en-GB"/>
        </w:rPr>
        <w:t>) and regulatory quality (</w:t>
      </w:r>
      <w:r w:rsidRPr="00EE533D">
        <w:rPr>
          <w:rFonts w:ascii="Times New Roman" w:hAnsi="Times New Roman" w:cs="Times New Roman"/>
          <w:i/>
          <w:iCs/>
          <w:sz w:val="24"/>
          <w:szCs w:val="24"/>
          <w:lang w:val="en-GB"/>
        </w:rPr>
        <w:t>Regulatory Quality (Legatum)</w:t>
      </w:r>
      <w:r w:rsidRPr="00EE533D">
        <w:rPr>
          <w:rFonts w:ascii="Times New Roman" w:hAnsi="Times New Roman" w:cs="Times New Roman"/>
          <w:sz w:val="24"/>
          <w:szCs w:val="24"/>
          <w:lang w:val="en-GB"/>
        </w:rPr>
        <w:t xml:space="preserve">). </w:t>
      </w:r>
    </w:p>
    <w:p w14:paraId="7314DC17" w14:textId="6E888567" w:rsidR="007467F2" w:rsidRPr="00EE533D" w:rsidRDefault="007467F2" w:rsidP="00135EA5">
      <w:pPr>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Third, the following firm financial features are gathered from the </w:t>
      </w:r>
      <w:r w:rsidRPr="00EE533D">
        <w:rPr>
          <w:rFonts w:ascii="Times New Roman" w:hAnsi="Times New Roman" w:cs="Times New Roman"/>
          <w:i/>
          <w:iCs/>
          <w:sz w:val="24"/>
          <w:szCs w:val="24"/>
          <w:lang w:val="en-GB"/>
        </w:rPr>
        <w:t>Bloomberg Terminal</w:t>
      </w:r>
      <w:r w:rsidRPr="00EE533D">
        <w:rPr>
          <w:rFonts w:ascii="Times New Roman" w:hAnsi="Times New Roman" w:cs="Times New Roman"/>
          <w:sz w:val="24"/>
          <w:szCs w:val="24"/>
          <w:lang w:val="en-GB"/>
        </w:rPr>
        <w:t>: level of debt (</w:t>
      </w:r>
      <w:r w:rsidRPr="00EE533D">
        <w:rPr>
          <w:rFonts w:ascii="Times New Roman" w:hAnsi="Times New Roman" w:cs="Times New Roman"/>
          <w:i/>
          <w:iCs/>
          <w:sz w:val="24"/>
          <w:szCs w:val="24"/>
          <w:lang w:val="en-GB"/>
        </w:rPr>
        <w:t>Debt/Equity</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Debt/Assets</w:t>
      </w:r>
      <w:r w:rsidRPr="00EE533D">
        <w:rPr>
          <w:rFonts w:ascii="Times New Roman" w:hAnsi="Times New Roman" w:cs="Times New Roman"/>
          <w:sz w:val="24"/>
          <w:szCs w:val="24"/>
          <w:lang w:val="en-GB"/>
        </w:rPr>
        <w:t>), operational performance (</w:t>
      </w:r>
      <w:r w:rsidRPr="00EE533D">
        <w:rPr>
          <w:rFonts w:ascii="Times New Roman" w:hAnsi="Times New Roman" w:cs="Times New Roman"/>
          <w:i/>
          <w:iCs/>
          <w:sz w:val="24"/>
          <w:szCs w:val="24"/>
          <w:lang w:val="en-GB"/>
        </w:rPr>
        <w:t>Sales Growth</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EBITDA/Revenue</w:t>
      </w:r>
      <w:r w:rsidRPr="00EE533D">
        <w:rPr>
          <w:rFonts w:ascii="Times New Roman" w:hAnsi="Times New Roman" w:cs="Times New Roman"/>
          <w:sz w:val="24"/>
          <w:szCs w:val="24"/>
          <w:lang w:val="en-GB"/>
        </w:rPr>
        <w:t>), degree of liquidity (</w:t>
      </w:r>
      <w:r w:rsidRPr="00EE533D">
        <w:rPr>
          <w:rFonts w:ascii="Times New Roman" w:hAnsi="Times New Roman" w:cs="Times New Roman"/>
          <w:i/>
          <w:iCs/>
          <w:sz w:val="24"/>
          <w:szCs w:val="24"/>
          <w:lang w:val="en-GB"/>
        </w:rPr>
        <w:t>Cash Ratio</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Quick Ratio</w:t>
      </w:r>
      <w:r w:rsidRPr="00EE533D">
        <w:rPr>
          <w:rFonts w:ascii="Times New Roman" w:hAnsi="Times New Roman" w:cs="Times New Roman"/>
          <w:sz w:val="24"/>
          <w:szCs w:val="24"/>
          <w:lang w:val="en-GB"/>
        </w:rPr>
        <w:t>)</w:t>
      </w:r>
      <w:r w:rsidR="00385EFC"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firm size (</w:t>
      </w:r>
      <w:r w:rsidRPr="00EE533D">
        <w:rPr>
          <w:rFonts w:ascii="Times New Roman" w:hAnsi="Times New Roman" w:cs="Times New Roman"/>
          <w:i/>
          <w:iCs/>
          <w:sz w:val="24"/>
          <w:szCs w:val="24"/>
          <w:lang w:val="en-GB"/>
        </w:rPr>
        <w:t>Assets</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Capitalization</w:t>
      </w:r>
      <w:r w:rsidRPr="00EE533D">
        <w:rPr>
          <w:rFonts w:ascii="Times New Roman" w:hAnsi="Times New Roman" w:cs="Times New Roman"/>
          <w:sz w:val="24"/>
          <w:szCs w:val="24"/>
          <w:lang w:val="en-GB"/>
        </w:rPr>
        <w:t>)</w:t>
      </w:r>
      <w:r w:rsidR="00385EFC" w:rsidRPr="00EE533D">
        <w:rPr>
          <w:rFonts w:ascii="Times New Roman" w:hAnsi="Times New Roman" w:cs="Times New Roman"/>
          <w:sz w:val="24"/>
          <w:szCs w:val="24"/>
          <w:lang w:val="en-GB"/>
        </w:rPr>
        <w:t xml:space="preserve"> and </w:t>
      </w:r>
      <w:r w:rsidR="009F257E" w:rsidRPr="00EE533D">
        <w:rPr>
          <w:rFonts w:ascii="Times New Roman" w:hAnsi="Times New Roman" w:cs="Times New Roman"/>
          <w:sz w:val="24"/>
          <w:szCs w:val="24"/>
          <w:lang w:val="en-GB"/>
        </w:rPr>
        <w:t>financial performance (</w:t>
      </w:r>
      <w:r w:rsidR="009F257E" w:rsidRPr="00EE533D">
        <w:rPr>
          <w:rFonts w:ascii="Times New Roman" w:hAnsi="Times New Roman" w:cs="Times New Roman"/>
          <w:i/>
          <w:iCs/>
          <w:sz w:val="24"/>
          <w:szCs w:val="24"/>
          <w:lang w:val="en-GB"/>
        </w:rPr>
        <w:t>ROA</w:t>
      </w:r>
      <w:r w:rsidR="009F257E" w:rsidRPr="00EE533D">
        <w:rPr>
          <w:rFonts w:ascii="Times New Roman" w:hAnsi="Times New Roman" w:cs="Times New Roman"/>
          <w:sz w:val="24"/>
          <w:szCs w:val="24"/>
          <w:lang w:val="en-GB"/>
        </w:rPr>
        <w:t xml:space="preserve"> and </w:t>
      </w:r>
      <w:r w:rsidR="009F257E" w:rsidRPr="00EE533D">
        <w:rPr>
          <w:rFonts w:ascii="Times New Roman" w:hAnsi="Times New Roman" w:cs="Times New Roman"/>
          <w:i/>
          <w:iCs/>
          <w:sz w:val="24"/>
          <w:szCs w:val="24"/>
          <w:lang w:val="en-GB"/>
        </w:rPr>
        <w:t>Tobin’s Q</w:t>
      </w:r>
      <w:r w:rsidR="009F257E"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Fourth, </w:t>
      </w:r>
      <w:r w:rsidR="00283439" w:rsidRPr="00EE533D">
        <w:rPr>
          <w:rFonts w:ascii="Times New Roman" w:hAnsi="Times New Roman" w:cs="Times New Roman"/>
          <w:sz w:val="24"/>
          <w:szCs w:val="24"/>
          <w:lang w:val="en-GB"/>
        </w:rPr>
        <w:t>we have included in our data set</w:t>
      </w:r>
      <w:r w:rsidR="00C968AD" w:rsidRPr="00EE533D">
        <w:rPr>
          <w:rFonts w:ascii="Times New Roman" w:hAnsi="Times New Roman" w:cs="Times New Roman"/>
          <w:sz w:val="24"/>
          <w:szCs w:val="24"/>
          <w:lang w:val="en-GB"/>
        </w:rPr>
        <w:t xml:space="preserve"> variables related to corporate governance</w:t>
      </w:r>
      <w:r w:rsidR="008424FA" w:rsidRPr="00EE533D">
        <w:rPr>
          <w:rFonts w:ascii="Times New Roman" w:hAnsi="Times New Roman" w:cs="Times New Roman"/>
          <w:sz w:val="24"/>
          <w:szCs w:val="24"/>
          <w:lang w:val="en-GB"/>
        </w:rPr>
        <w:t xml:space="preserve">, </w:t>
      </w:r>
      <w:r w:rsidR="008424FA" w:rsidRPr="00EE533D">
        <w:rPr>
          <w:rFonts w:ascii="Times New Roman" w:hAnsi="Times New Roman" w:cs="Times New Roman"/>
          <w:sz w:val="24"/>
          <w:szCs w:val="24"/>
          <w:lang w:val="en-GB"/>
        </w:rPr>
        <w:lastRenderedPageBreak/>
        <w:t xml:space="preserve">namely the duality of </w:t>
      </w:r>
      <w:r w:rsidR="00775877" w:rsidRPr="00EE533D">
        <w:rPr>
          <w:rFonts w:ascii="Times New Roman" w:hAnsi="Times New Roman" w:cs="Times New Roman"/>
          <w:sz w:val="24"/>
          <w:szCs w:val="24"/>
          <w:lang w:val="en-GB"/>
        </w:rPr>
        <w:t xml:space="preserve">the </w:t>
      </w:r>
      <w:r w:rsidR="008424FA" w:rsidRPr="00EE533D">
        <w:rPr>
          <w:rFonts w:ascii="Times New Roman" w:hAnsi="Times New Roman" w:cs="Times New Roman"/>
          <w:sz w:val="24"/>
          <w:szCs w:val="24"/>
          <w:lang w:val="en-GB"/>
        </w:rPr>
        <w:t>firm’s chief executive officer (</w:t>
      </w:r>
      <w:r w:rsidR="008424FA" w:rsidRPr="00EE533D">
        <w:rPr>
          <w:rFonts w:ascii="Times New Roman" w:hAnsi="Times New Roman" w:cs="Times New Roman"/>
          <w:i/>
          <w:iCs/>
          <w:sz w:val="24"/>
          <w:szCs w:val="24"/>
          <w:lang w:val="en-GB"/>
        </w:rPr>
        <w:t>CEO Duality</w:t>
      </w:r>
      <w:r w:rsidR="008424FA" w:rsidRPr="00EE533D">
        <w:rPr>
          <w:rFonts w:ascii="Times New Roman" w:hAnsi="Times New Roman" w:cs="Times New Roman"/>
          <w:sz w:val="24"/>
          <w:szCs w:val="24"/>
          <w:lang w:val="en-GB"/>
        </w:rPr>
        <w:t>)</w:t>
      </w:r>
      <w:r w:rsidR="00BB4A00" w:rsidRPr="00EE533D">
        <w:rPr>
          <w:rFonts w:ascii="Times New Roman" w:hAnsi="Times New Roman" w:cs="Times New Roman"/>
          <w:sz w:val="24"/>
          <w:szCs w:val="24"/>
          <w:lang w:val="en-GB"/>
        </w:rPr>
        <w:t xml:space="preserve">, </w:t>
      </w:r>
      <w:r w:rsidR="00863809" w:rsidRPr="00EE533D">
        <w:rPr>
          <w:rFonts w:ascii="Times New Roman" w:hAnsi="Times New Roman" w:cs="Times New Roman"/>
          <w:sz w:val="24"/>
          <w:szCs w:val="24"/>
          <w:lang w:val="en-GB"/>
        </w:rPr>
        <w:t xml:space="preserve">the </w:t>
      </w:r>
      <w:r w:rsidR="00BB4A00" w:rsidRPr="00EE533D">
        <w:rPr>
          <w:rFonts w:ascii="Times New Roman" w:hAnsi="Times New Roman" w:cs="Times New Roman"/>
          <w:sz w:val="24"/>
          <w:szCs w:val="24"/>
          <w:lang w:val="en-GB"/>
        </w:rPr>
        <w:t xml:space="preserve">number of individuals that are serving </w:t>
      </w:r>
      <w:r w:rsidR="00863809" w:rsidRPr="00EE533D">
        <w:rPr>
          <w:rFonts w:ascii="Times New Roman" w:hAnsi="Times New Roman" w:cs="Times New Roman"/>
          <w:sz w:val="24"/>
          <w:szCs w:val="24"/>
          <w:lang w:val="en-GB"/>
        </w:rPr>
        <w:t>o</w:t>
      </w:r>
      <w:r w:rsidR="00BB4A00" w:rsidRPr="00EE533D">
        <w:rPr>
          <w:rFonts w:ascii="Times New Roman" w:hAnsi="Times New Roman" w:cs="Times New Roman"/>
          <w:sz w:val="24"/>
          <w:szCs w:val="24"/>
          <w:lang w:val="en-GB"/>
        </w:rPr>
        <w:t>n the board (</w:t>
      </w:r>
      <w:r w:rsidR="00BB4A00" w:rsidRPr="00EE533D">
        <w:rPr>
          <w:rFonts w:ascii="Times New Roman" w:hAnsi="Times New Roman" w:cs="Times New Roman"/>
          <w:i/>
          <w:iCs/>
          <w:sz w:val="24"/>
          <w:szCs w:val="24"/>
          <w:lang w:val="en-GB"/>
        </w:rPr>
        <w:t>Board Size</w:t>
      </w:r>
      <w:r w:rsidR="00BB4A00" w:rsidRPr="00EE533D">
        <w:rPr>
          <w:rFonts w:ascii="Times New Roman" w:hAnsi="Times New Roman" w:cs="Times New Roman"/>
          <w:sz w:val="24"/>
          <w:szCs w:val="24"/>
          <w:lang w:val="en-GB"/>
        </w:rPr>
        <w:t xml:space="preserve">), </w:t>
      </w:r>
      <w:r w:rsidR="0092172E" w:rsidRPr="00EE533D">
        <w:rPr>
          <w:rFonts w:ascii="Times New Roman" w:hAnsi="Times New Roman" w:cs="Times New Roman"/>
          <w:sz w:val="24"/>
          <w:szCs w:val="24"/>
          <w:lang w:val="en-GB"/>
        </w:rPr>
        <w:t xml:space="preserve">the </w:t>
      </w:r>
      <w:r w:rsidR="000516BC" w:rsidRPr="00EE533D">
        <w:rPr>
          <w:rFonts w:ascii="Times New Roman" w:hAnsi="Times New Roman" w:cs="Times New Roman"/>
          <w:sz w:val="24"/>
          <w:szCs w:val="24"/>
          <w:lang w:val="en-GB"/>
        </w:rPr>
        <w:t>weight</w:t>
      </w:r>
      <w:r w:rsidR="0092172E" w:rsidRPr="00EE533D">
        <w:rPr>
          <w:rFonts w:ascii="Times New Roman" w:hAnsi="Times New Roman" w:cs="Times New Roman"/>
          <w:sz w:val="24"/>
          <w:szCs w:val="24"/>
          <w:lang w:val="en-GB"/>
        </w:rPr>
        <w:t xml:space="preserve"> of independent directors</w:t>
      </w:r>
      <w:r w:rsidR="000516BC" w:rsidRPr="00EE533D">
        <w:rPr>
          <w:rFonts w:ascii="Times New Roman" w:hAnsi="Times New Roman" w:cs="Times New Roman"/>
          <w:sz w:val="24"/>
          <w:szCs w:val="24"/>
          <w:lang w:val="en-GB"/>
        </w:rPr>
        <w:t xml:space="preserve"> in the firm’s board</w:t>
      </w:r>
      <w:r w:rsidR="0092172E" w:rsidRPr="00EE533D">
        <w:rPr>
          <w:rFonts w:ascii="Times New Roman" w:hAnsi="Times New Roman" w:cs="Times New Roman"/>
          <w:sz w:val="24"/>
          <w:szCs w:val="24"/>
          <w:lang w:val="en-GB"/>
        </w:rPr>
        <w:t xml:space="preserve"> (</w:t>
      </w:r>
      <w:r w:rsidR="0092172E" w:rsidRPr="00EE533D">
        <w:rPr>
          <w:rFonts w:ascii="Times New Roman" w:hAnsi="Times New Roman" w:cs="Times New Roman"/>
          <w:i/>
          <w:iCs/>
          <w:sz w:val="24"/>
          <w:szCs w:val="24"/>
          <w:lang w:val="en-GB"/>
        </w:rPr>
        <w:t>Independent</w:t>
      </w:r>
      <w:r w:rsidR="0092172E" w:rsidRPr="00EE533D">
        <w:rPr>
          <w:rFonts w:ascii="Times New Roman" w:hAnsi="Times New Roman" w:cs="Times New Roman"/>
          <w:sz w:val="24"/>
          <w:szCs w:val="24"/>
          <w:lang w:val="en-GB"/>
        </w:rPr>
        <w:t>) and</w:t>
      </w:r>
      <w:r w:rsidR="000516BC" w:rsidRPr="00EE533D">
        <w:rPr>
          <w:rFonts w:ascii="Times New Roman" w:hAnsi="Times New Roman" w:cs="Times New Roman"/>
          <w:sz w:val="24"/>
          <w:szCs w:val="24"/>
          <w:lang w:val="en-GB"/>
        </w:rPr>
        <w:t xml:space="preserve"> the presence of a corporate social responsibility (CSR) committee.</w:t>
      </w:r>
      <w:r w:rsidR="00135EA5" w:rsidRPr="00EE533D">
        <w:rPr>
          <w:rFonts w:ascii="Times New Roman" w:hAnsi="Times New Roman" w:cs="Times New Roman"/>
          <w:sz w:val="24"/>
          <w:szCs w:val="24"/>
          <w:lang w:val="en-GB"/>
        </w:rPr>
        <w:t xml:space="preserve"> Fifth, </w:t>
      </w:r>
      <w:r w:rsidRPr="00EE533D">
        <w:rPr>
          <w:rFonts w:ascii="Times New Roman" w:hAnsi="Times New Roman" w:cs="Times New Roman"/>
          <w:sz w:val="24"/>
          <w:szCs w:val="24"/>
          <w:lang w:val="en-GB"/>
        </w:rPr>
        <w:t>the macro</w:t>
      </w:r>
      <w:r w:rsidR="003046B7"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economic</w:t>
      </w:r>
      <w:r w:rsidR="003046B7"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context is assessed through </w:t>
      </w:r>
      <w:r w:rsidR="009162FB" w:rsidRPr="00EE533D">
        <w:rPr>
          <w:rFonts w:ascii="Times New Roman" w:hAnsi="Times New Roman" w:cs="Times New Roman"/>
          <w:sz w:val="24"/>
          <w:szCs w:val="24"/>
          <w:lang w:val="en-GB"/>
        </w:rPr>
        <w:t>the change in national average temperature from a baseline climatology (</w:t>
      </w:r>
      <w:r w:rsidR="009162FB" w:rsidRPr="00EE533D">
        <w:rPr>
          <w:rFonts w:ascii="Times New Roman" w:hAnsi="Times New Roman" w:cs="Times New Roman"/>
          <w:i/>
          <w:iCs/>
          <w:sz w:val="24"/>
          <w:szCs w:val="24"/>
          <w:lang w:val="en-GB"/>
        </w:rPr>
        <w:t>Temp</w:t>
      </w:r>
      <w:r w:rsidR="009162FB" w:rsidRPr="00EE533D">
        <w:rPr>
          <w:rFonts w:ascii="Times New Roman" w:hAnsi="Times New Roman" w:cs="Times New Roman"/>
          <w:sz w:val="24"/>
          <w:szCs w:val="24"/>
          <w:lang w:val="en-GB"/>
        </w:rPr>
        <w:t>)</w:t>
      </w:r>
      <w:r w:rsidR="00773F54"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gross domestic product per capita (</w:t>
      </w:r>
      <w:r w:rsidRPr="00EE533D">
        <w:rPr>
          <w:rFonts w:ascii="Times New Roman" w:hAnsi="Times New Roman" w:cs="Times New Roman"/>
          <w:i/>
          <w:iCs/>
          <w:sz w:val="24"/>
          <w:szCs w:val="24"/>
          <w:lang w:val="en-GB"/>
        </w:rPr>
        <w:t>GDPc</w:t>
      </w:r>
      <w:r w:rsidRPr="00EE533D">
        <w:rPr>
          <w:rFonts w:ascii="Times New Roman" w:hAnsi="Times New Roman" w:cs="Times New Roman"/>
          <w:sz w:val="24"/>
          <w:szCs w:val="24"/>
          <w:lang w:val="en-GB"/>
        </w:rPr>
        <w:t>), economic growth (</w:t>
      </w:r>
      <w:r w:rsidRPr="00EE533D">
        <w:rPr>
          <w:rFonts w:ascii="Times New Roman" w:hAnsi="Times New Roman" w:cs="Times New Roman"/>
          <w:i/>
          <w:iCs/>
          <w:sz w:val="24"/>
          <w:szCs w:val="24"/>
          <w:lang w:val="en-GB"/>
        </w:rPr>
        <w:t>GDPg</w:t>
      </w:r>
      <w:r w:rsidRPr="00EE533D">
        <w:rPr>
          <w:rFonts w:ascii="Times New Roman" w:hAnsi="Times New Roman" w:cs="Times New Roman"/>
          <w:sz w:val="24"/>
          <w:szCs w:val="24"/>
          <w:lang w:val="en-GB"/>
        </w:rPr>
        <w:t>) and the inflation rate (</w:t>
      </w:r>
      <w:r w:rsidRPr="00EE533D">
        <w:rPr>
          <w:rFonts w:ascii="Times New Roman" w:hAnsi="Times New Roman" w:cs="Times New Roman"/>
          <w:i/>
          <w:iCs/>
          <w:sz w:val="24"/>
          <w:szCs w:val="24"/>
          <w:lang w:val="en-GB"/>
        </w:rPr>
        <w:t>Inflation</w:t>
      </w:r>
      <w:r w:rsidRPr="00EE533D">
        <w:rPr>
          <w:rFonts w:ascii="Times New Roman" w:hAnsi="Times New Roman" w:cs="Times New Roman"/>
          <w:sz w:val="24"/>
          <w:szCs w:val="24"/>
          <w:lang w:val="en-GB"/>
        </w:rPr>
        <w:t>).</w:t>
      </w:r>
      <w:r w:rsidR="00773F54"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lastRenderedPageBreak/>
        <w:t xml:space="preserve">Table 1 details the definitions of all the above variables and indicates the sources of the data. </w:t>
      </w:r>
    </w:p>
    <w:p w14:paraId="024C60A9" w14:textId="77777777" w:rsidR="007467F2" w:rsidRPr="00EE533D" w:rsidRDefault="007467F2" w:rsidP="007467F2">
      <w:pPr>
        <w:spacing w:after="0" w:line="360" w:lineRule="auto"/>
        <w:ind w:firstLine="708"/>
        <w:jc w:val="both"/>
        <w:rPr>
          <w:rFonts w:ascii="Times New Roman" w:hAnsi="Times New Roman" w:cs="Times New Roman"/>
          <w:sz w:val="24"/>
          <w:szCs w:val="24"/>
          <w:lang w:val="en-GB"/>
        </w:rPr>
      </w:pPr>
    </w:p>
    <w:p w14:paraId="4724E213" w14:textId="77777777" w:rsidR="007467F2" w:rsidRPr="00EE533D" w:rsidRDefault="007467F2" w:rsidP="007467F2">
      <w:pPr>
        <w:jc w:val="center"/>
        <w:rPr>
          <w:rFonts w:ascii="Times New Roman" w:hAnsi="Times New Roman" w:cs="Times New Roman"/>
          <w:sz w:val="24"/>
          <w:szCs w:val="24"/>
          <w:lang w:val="en-GB"/>
        </w:rPr>
      </w:pPr>
      <w:r w:rsidRPr="00EE533D">
        <w:rPr>
          <w:rFonts w:ascii="Times New Roman" w:hAnsi="Times New Roman" w:cs="Times New Roman"/>
          <w:sz w:val="24"/>
          <w:szCs w:val="24"/>
          <w:lang w:val="en-GB"/>
        </w:rPr>
        <w:t>{Table 1}</w:t>
      </w:r>
    </w:p>
    <w:p w14:paraId="6D01D2F6" w14:textId="77777777" w:rsidR="007467F2" w:rsidRPr="00EE533D" w:rsidRDefault="007467F2" w:rsidP="007467F2">
      <w:pPr>
        <w:jc w:val="center"/>
        <w:rPr>
          <w:rFonts w:ascii="Times New Roman" w:hAnsi="Times New Roman" w:cs="Times New Roman"/>
          <w:sz w:val="24"/>
          <w:szCs w:val="24"/>
          <w:lang w:val="en-GB"/>
        </w:rPr>
      </w:pPr>
    </w:p>
    <w:p w14:paraId="7A0712F6" w14:textId="4253FFD1"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 xml:space="preserve">An overview </w:t>
      </w:r>
      <w:r w:rsidR="00863809" w:rsidRPr="00EE533D">
        <w:rPr>
          <w:rFonts w:ascii="Times New Roman" w:hAnsi="Times New Roman" w:cs="Times New Roman"/>
          <w:sz w:val="24"/>
          <w:szCs w:val="24"/>
          <w:lang w:val="en-GB"/>
        </w:rPr>
        <w:t xml:space="preserve">of per-country </w:t>
      </w:r>
      <w:r w:rsidRPr="00EE533D">
        <w:rPr>
          <w:rFonts w:ascii="Times New Roman" w:hAnsi="Times New Roman" w:cs="Times New Roman"/>
          <w:sz w:val="24"/>
          <w:szCs w:val="24"/>
          <w:lang w:val="en-GB"/>
        </w:rPr>
        <w:t xml:space="preserve">listed firms’ recycling performance is shown in Table 2. The figures suggest that the recycling of firm waste is widely emphasized across countries. The highest average percentages of recycled waste are reported by the listed firms from Japan and </w:t>
      </w:r>
      <w:r w:rsidR="00DB404E" w:rsidRPr="00EE533D">
        <w:rPr>
          <w:rFonts w:ascii="Times New Roman" w:hAnsi="Times New Roman" w:cs="Times New Roman"/>
          <w:sz w:val="24"/>
          <w:szCs w:val="24"/>
          <w:lang w:val="en-GB"/>
        </w:rPr>
        <w:lastRenderedPageBreak/>
        <w:t>Norway</w:t>
      </w:r>
      <w:r w:rsidRPr="00EE533D">
        <w:rPr>
          <w:rFonts w:ascii="Times New Roman" w:hAnsi="Times New Roman" w:cs="Times New Roman"/>
          <w:sz w:val="24"/>
          <w:szCs w:val="24"/>
          <w:lang w:val="en-GB"/>
        </w:rPr>
        <w:t xml:space="preserve">, which on average recycle more than 70% of the waste generated by their operations. Lower values of </w:t>
      </w:r>
      <w:r w:rsidRPr="00EE533D">
        <w:rPr>
          <w:rFonts w:ascii="Times New Roman" w:hAnsi="Times New Roman" w:cs="Times New Roman"/>
          <w:i/>
          <w:iCs/>
          <w:sz w:val="24"/>
          <w:szCs w:val="24"/>
          <w:lang w:val="en-GB"/>
        </w:rPr>
        <w:t>Recycled Waste</w:t>
      </w:r>
      <w:r w:rsidRPr="00EE533D">
        <w:rPr>
          <w:rFonts w:ascii="Times New Roman" w:hAnsi="Times New Roman" w:cs="Times New Roman"/>
          <w:sz w:val="24"/>
          <w:szCs w:val="24"/>
          <w:lang w:val="en-GB"/>
        </w:rPr>
        <w:t xml:space="preserve"> are mainly associated with countries from South America such as Argentina, Chile and Colombia. A higher level of water reuse relates to Chinese, </w:t>
      </w:r>
      <w:r w:rsidR="00AB6646" w:rsidRPr="00EE533D">
        <w:rPr>
          <w:rFonts w:ascii="Times New Roman" w:hAnsi="Times New Roman" w:cs="Times New Roman"/>
          <w:sz w:val="24"/>
          <w:szCs w:val="24"/>
          <w:lang w:val="en-GB"/>
        </w:rPr>
        <w:t>Irish</w:t>
      </w:r>
      <w:r w:rsidRPr="00EE533D">
        <w:rPr>
          <w:rFonts w:ascii="Times New Roman" w:hAnsi="Times New Roman" w:cs="Times New Roman"/>
          <w:sz w:val="24"/>
          <w:szCs w:val="24"/>
          <w:lang w:val="en-GB"/>
        </w:rPr>
        <w:t xml:space="preserve"> and </w:t>
      </w:r>
      <w:r w:rsidR="00C1777A" w:rsidRPr="00EE533D">
        <w:rPr>
          <w:rFonts w:ascii="Times New Roman" w:hAnsi="Times New Roman" w:cs="Times New Roman"/>
          <w:sz w:val="24"/>
          <w:szCs w:val="24"/>
          <w:lang w:val="en-GB"/>
        </w:rPr>
        <w:t>Philippine</w:t>
      </w:r>
      <w:r w:rsidRPr="00EE533D">
        <w:rPr>
          <w:rFonts w:ascii="Times New Roman" w:hAnsi="Times New Roman" w:cs="Times New Roman"/>
          <w:sz w:val="24"/>
          <w:szCs w:val="24"/>
          <w:lang w:val="en-GB"/>
        </w:rPr>
        <w:t xml:space="preserve"> firms, which recycle on average more than 60% of the total water volume employed in operational activities, but </w:t>
      </w:r>
      <w:r w:rsidR="00E85CF1" w:rsidRPr="00EE533D">
        <w:rPr>
          <w:rFonts w:ascii="Times New Roman" w:hAnsi="Times New Roman" w:cs="Times New Roman"/>
          <w:sz w:val="24"/>
          <w:szCs w:val="24"/>
          <w:lang w:val="en-GB"/>
        </w:rPr>
        <w:t>14</w:t>
      </w:r>
      <w:r w:rsidRPr="00EE533D">
        <w:rPr>
          <w:rFonts w:ascii="Times New Roman" w:hAnsi="Times New Roman" w:cs="Times New Roman"/>
          <w:sz w:val="24"/>
          <w:szCs w:val="24"/>
          <w:lang w:val="en-GB"/>
        </w:rPr>
        <w:t xml:space="preserve"> countries in our sample report average values of </w:t>
      </w:r>
      <w:r w:rsidRPr="00EE533D">
        <w:rPr>
          <w:rFonts w:ascii="Times New Roman" w:hAnsi="Times New Roman" w:cs="Times New Roman"/>
          <w:i/>
          <w:iCs/>
          <w:sz w:val="24"/>
          <w:szCs w:val="24"/>
          <w:lang w:val="en-GB"/>
        </w:rPr>
        <w:t>Recycled Water</w:t>
      </w:r>
      <w:r w:rsidRPr="00EE533D">
        <w:rPr>
          <w:rFonts w:ascii="Times New Roman" w:hAnsi="Times New Roman" w:cs="Times New Roman"/>
          <w:sz w:val="24"/>
          <w:szCs w:val="24"/>
          <w:lang w:val="en-GB"/>
        </w:rPr>
        <w:t xml:space="preserve"> below 20%. Firms operating in </w:t>
      </w:r>
      <w:r w:rsidRPr="00EE533D">
        <w:rPr>
          <w:rFonts w:ascii="Times New Roman" w:hAnsi="Times New Roman" w:cs="Times New Roman"/>
          <w:sz w:val="24"/>
          <w:szCs w:val="24"/>
          <w:lang w:val="en-GB"/>
        </w:rPr>
        <w:lastRenderedPageBreak/>
        <w:t xml:space="preserve">Chile, </w:t>
      </w:r>
      <w:r w:rsidR="005A554F" w:rsidRPr="00EE533D">
        <w:rPr>
          <w:rFonts w:ascii="Times New Roman" w:hAnsi="Times New Roman" w:cs="Times New Roman"/>
          <w:sz w:val="24"/>
          <w:szCs w:val="24"/>
          <w:lang w:val="en-GB"/>
        </w:rPr>
        <w:t>Norway</w:t>
      </w:r>
      <w:r w:rsidRPr="00EE533D">
        <w:rPr>
          <w:rFonts w:ascii="Times New Roman" w:hAnsi="Times New Roman" w:cs="Times New Roman"/>
          <w:sz w:val="24"/>
          <w:szCs w:val="24"/>
          <w:lang w:val="en-GB"/>
        </w:rPr>
        <w:t xml:space="preserve"> and the United Kingdom send larger quantities of paper for recycling.</w:t>
      </w:r>
    </w:p>
    <w:p w14:paraId="7C6F6146" w14:textId="77777777" w:rsidR="007467F2" w:rsidRPr="00EE533D" w:rsidRDefault="007467F2" w:rsidP="007467F2">
      <w:pPr>
        <w:spacing w:after="0" w:line="360" w:lineRule="auto"/>
        <w:jc w:val="both"/>
        <w:rPr>
          <w:rFonts w:ascii="Times New Roman" w:hAnsi="Times New Roman" w:cs="Times New Roman"/>
          <w:sz w:val="24"/>
          <w:szCs w:val="24"/>
          <w:lang w:val="en-GB"/>
        </w:rPr>
      </w:pPr>
    </w:p>
    <w:p w14:paraId="57F3A8A6" w14:textId="77777777" w:rsidR="007467F2" w:rsidRPr="00EE533D" w:rsidRDefault="007467F2" w:rsidP="007467F2">
      <w:pPr>
        <w:jc w:val="center"/>
        <w:rPr>
          <w:rFonts w:ascii="Times New Roman" w:hAnsi="Times New Roman" w:cs="Times New Roman"/>
          <w:sz w:val="24"/>
          <w:szCs w:val="24"/>
          <w:lang w:val="en-GB"/>
        </w:rPr>
      </w:pPr>
      <w:r w:rsidRPr="00EE533D">
        <w:rPr>
          <w:rFonts w:ascii="Times New Roman" w:hAnsi="Times New Roman" w:cs="Times New Roman"/>
          <w:sz w:val="24"/>
          <w:szCs w:val="24"/>
          <w:lang w:val="en-GB"/>
        </w:rPr>
        <w:t>{Table 2}</w:t>
      </w:r>
    </w:p>
    <w:p w14:paraId="3999C9A3" w14:textId="77777777" w:rsidR="007467F2" w:rsidRPr="00EE533D" w:rsidRDefault="007467F2" w:rsidP="007467F2">
      <w:pPr>
        <w:spacing w:after="0" w:line="360" w:lineRule="auto"/>
        <w:jc w:val="both"/>
        <w:rPr>
          <w:rFonts w:ascii="Times New Roman" w:hAnsi="Times New Roman" w:cs="Times New Roman"/>
          <w:sz w:val="24"/>
          <w:szCs w:val="24"/>
          <w:lang w:val="en-GB"/>
        </w:rPr>
      </w:pPr>
    </w:p>
    <w:p w14:paraId="5BD94A2E" w14:textId="47D38F3A"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 xml:space="preserve">Tables 3 and 4 present the summary statistics of our sample and the correlation matrix based on the pairwise coefficient. Some noteworthy observations can be made. First, a strong heterogeneity exists between countries in terms of institutional quality, but also between firms in </w:t>
      </w:r>
      <w:r w:rsidRPr="00EE533D">
        <w:rPr>
          <w:rFonts w:ascii="Times New Roman" w:hAnsi="Times New Roman" w:cs="Times New Roman"/>
          <w:sz w:val="24"/>
          <w:szCs w:val="24"/>
          <w:lang w:val="en-GB"/>
        </w:rPr>
        <w:lastRenderedPageBreak/>
        <w:t xml:space="preserve">terms of financial features, as reflected in the values of the standard deviations. Second,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has the lowest median value among the institutional variables constructed by the </w:t>
      </w:r>
      <w:r w:rsidRPr="00EE533D">
        <w:rPr>
          <w:rFonts w:ascii="Times New Roman" w:hAnsi="Times New Roman" w:cs="Times New Roman"/>
          <w:i/>
          <w:iCs/>
          <w:sz w:val="24"/>
          <w:szCs w:val="24"/>
          <w:lang w:val="en-GB"/>
        </w:rPr>
        <w:t>World Bank</w:t>
      </w:r>
      <w:r w:rsidRPr="00EE533D">
        <w:rPr>
          <w:rFonts w:ascii="Times New Roman" w:hAnsi="Times New Roman" w:cs="Times New Roman"/>
          <w:sz w:val="24"/>
          <w:szCs w:val="24"/>
          <w:lang w:val="en-GB"/>
        </w:rPr>
        <w:t xml:space="preserve">, with around half of our firm observations subject to a period of political uncertainty. </w:t>
      </w:r>
      <w:r w:rsidR="00715FF5" w:rsidRPr="00EE533D">
        <w:rPr>
          <w:rFonts w:ascii="Times New Roman" w:hAnsi="Times New Roman" w:cs="Times New Roman"/>
          <w:sz w:val="24"/>
          <w:szCs w:val="24"/>
          <w:lang w:val="en-GB"/>
        </w:rPr>
        <w:t xml:space="preserve">Table 3 also </w:t>
      </w:r>
      <w:r w:rsidR="00E047FF" w:rsidRPr="00EE533D">
        <w:rPr>
          <w:rFonts w:ascii="Times New Roman" w:hAnsi="Times New Roman" w:cs="Times New Roman"/>
          <w:sz w:val="24"/>
          <w:szCs w:val="24"/>
          <w:lang w:val="en-GB"/>
        </w:rPr>
        <w:t xml:space="preserve">reports the significance of the </w:t>
      </w:r>
      <w:r w:rsidR="00E047FF" w:rsidRPr="00EE533D">
        <w:rPr>
          <w:rFonts w:ascii="Times New Roman" w:hAnsi="Times New Roman" w:cs="Times New Roman"/>
          <w:i/>
          <w:iCs/>
          <w:sz w:val="24"/>
          <w:szCs w:val="24"/>
          <w:lang w:val="en-GB"/>
        </w:rPr>
        <w:t>t</w:t>
      </w:r>
      <w:r w:rsidR="00E047FF" w:rsidRPr="00EE533D">
        <w:rPr>
          <w:rFonts w:ascii="Times New Roman" w:hAnsi="Times New Roman" w:cs="Times New Roman"/>
          <w:sz w:val="24"/>
          <w:szCs w:val="24"/>
          <w:lang w:val="en-GB"/>
        </w:rPr>
        <w:t xml:space="preserve">-test for </w:t>
      </w:r>
      <w:r w:rsidR="00863809" w:rsidRPr="00EE533D">
        <w:rPr>
          <w:rFonts w:ascii="Times New Roman" w:hAnsi="Times New Roman" w:cs="Times New Roman"/>
          <w:sz w:val="24"/>
          <w:szCs w:val="24"/>
          <w:lang w:val="en-GB"/>
        </w:rPr>
        <w:t xml:space="preserve">the </w:t>
      </w:r>
      <w:r w:rsidR="00E047FF" w:rsidRPr="00EE533D">
        <w:rPr>
          <w:rFonts w:ascii="Times New Roman" w:hAnsi="Times New Roman" w:cs="Times New Roman"/>
          <w:sz w:val="24"/>
          <w:szCs w:val="24"/>
          <w:lang w:val="en-GB"/>
        </w:rPr>
        <w:t>difference in means between the subsample of observations subject to a high-quality institutional environment and the sub</w:t>
      </w:r>
      <w:r w:rsidR="00E047FF" w:rsidRPr="00EE533D">
        <w:rPr>
          <w:rFonts w:ascii="Times New Roman" w:hAnsi="Times New Roman" w:cs="Times New Roman"/>
          <w:sz w:val="24"/>
          <w:szCs w:val="24"/>
          <w:lang w:val="en-GB"/>
        </w:rPr>
        <w:lastRenderedPageBreak/>
        <w:t>sample of observations dealing with a low-quality institutional environment.</w:t>
      </w:r>
      <w:r w:rsidR="00A70D37" w:rsidRPr="00EE533D">
        <w:rPr>
          <w:rFonts w:ascii="Times New Roman" w:hAnsi="Times New Roman" w:cs="Times New Roman"/>
          <w:sz w:val="24"/>
          <w:szCs w:val="24"/>
          <w:lang w:val="en-GB"/>
        </w:rPr>
        <w:t xml:space="preserve"> In this regard,</w:t>
      </w:r>
      <w:r w:rsidR="00E047FF" w:rsidRPr="00EE533D">
        <w:rPr>
          <w:rFonts w:ascii="Times New Roman" w:hAnsi="Times New Roman" w:cs="Times New Roman"/>
          <w:sz w:val="24"/>
          <w:szCs w:val="24"/>
          <w:lang w:val="en-GB"/>
        </w:rPr>
        <w:t xml:space="preserve"> a high-quality institutional environment </w:t>
      </w:r>
      <w:r w:rsidR="00F3315D" w:rsidRPr="00EE533D">
        <w:rPr>
          <w:rFonts w:ascii="Times New Roman" w:hAnsi="Times New Roman" w:cs="Times New Roman"/>
          <w:sz w:val="24"/>
          <w:szCs w:val="24"/>
          <w:lang w:val="en-GB"/>
        </w:rPr>
        <w:t xml:space="preserve">was identified </w:t>
      </w:r>
      <w:r w:rsidR="00E047FF" w:rsidRPr="00EE533D">
        <w:rPr>
          <w:rFonts w:ascii="Times New Roman" w:hAnsi="Times New Roman" w:cs="Times New Roman"/>
          <w:sz w:val="24"/>
          <w:szCs w:val="24"/>
          <w:lang w:val="en-GB"/>
        </w:rPr>
        <w:t>as an environment for which the value of the institutional variable (</w:t>
      </w:r>
      <w:r w:rsidR="00E047FF" w:rsidRPr="00EE533D">
        <w:rPr>
          <w:rFonts w:ascii="Times New Roman" w:hAnsi="Times New Roman" w:cs="Times New Roman"/>
          <w:i/>
          <w:iCs/>
          <w:sz w:val="24"/>
          <w:szCs w:val="24"/>
          <w:lang w:val="en-GB"/>
        </w:rPr>
        <w:t>Control of Corruption</w:t>
      </w:r>
      <w:r w:rsidR="00E047FF" w:rsidRPr="00EE533D">
        <w:rPr>
          <w:rFonts w:ascii="Times New Roman" w:hAnsi="Times New Roman" w:cs="Times New Roman"/>
          <w:sz w:val="24"/>
          <w:szCs w:val="24"/>
          <w:lang w:val="en-GB"/>
        </w:rPr>
        <w:t xml:space="preserve">, </w:t>
      </w:r>
      <w:r w:rsidR="00E047FF" w:rsidRPr="00EE533D">
        <w:rPr>
          <w:rFonts w:ascii="Times New Roman" w:hAnsi="Times New Roman" w:cs="Times New Roman"/>
          <w:i/>
          <w:iCs/>
          <w:sz w:val="24"/>
          <w:szCs w:val="24"/>
          <w:lang w:val="en-GB"/>
        </w:rPr>
        <w:t>Government Effectiveness</w:t>
      </w:r>
      <w:r w:rsidR="00E047FF" w:rsidRPr="00EE533D">
        <w:rPr>
          <w:rFonts w:ascii="Times New Roman" w:hAnsi="Times New Roman" w:cs="Times New Roman"/>
          <w:sz w:val="24"/>
          <w:szCs w:val="24"/>
          <w:lang w:val="en-GB"/>
        </w:rPr>
        <w:t xml:space="preserve">, </w:t>
      </w:r>
      <w:r w:rsidR="00E047FF" w:rsidRPr="00EE533D">
        <w:rPr>
          <w:rFonts w:ascii="Times New Roman" w:hAnsi="Times New Roman" w:cs="Times New Roman"/>
          <w:i/>
          <w:iCs/>
          <w:sz w:val="24"/>
          <w:szCs w:val="24"/>
          <w:lang w:val="en-GB"/>
        </w:rPr>
        <w:t>Political Stability</w:t>
      </w:r>
      <w:r w:rsidR="00E047FF" w:rsidRPr="00EE533D">
        <w:rPr>
          <w:rFonts w:ascii="Times New Roman" w:hAnsi="Times New Roman" w:cs="Times New Roman"/>
          <w:sz w:val="24"/>
          <w:szCs w:val="24"/>
          <w:lang w:val="en-GB"/>
        </w:rPr>
        <w:t xml:space="preserve">, </w:t>
      </w:r>
      <w:r w:rsidR="00E047FF" w:rsidRPr="00EE533D">
        <w:rPr>
          <w:rFonts w:ascii="Times New Roman" w:hAnsi="Times New Roman" w:cs="Times New Roman"/>
          <w:i/>
          <w:iCs/>
          <w:sz w:val="24"/>
          <w:szCs w:val="24"/>
          <w:lang w:val="en-GB"/>
        </w:rPr>
        <w:t>Regulatory Quality</w:t>
      </w:r>
      <w:r w:rsidR="00E047FF" w:rsidRPr="00EE533D">
        <w:rPr>
          <w:rFonts w:ascii="Times New Roman" w:hAnsi="Times New Roman" w:cs="Times New Roman"/>
          <w:sz w:val="24"/>
          <w:szCs w:val="24"/>
          <w:lang w:val="en-GB"/>
        </w:rPr>
        <w:t xml:space="preserve">, </w:t>
      </w:r>
      <w:r w:rsidR="00E047FF" w:rsidRPr="00EE533D">
        <w:rPr>
          <w:rFonts w:ascii="Times New Roman" w:hAnsi="Times New Roman" w:cs="Times New Roman"/>
          <w:i/>
          <w:iCs/>
          <w:sz w:val="24"/>
          <w:szCs w:val="24"/>
          <w:lang w:val="en-GB"/>
        </w:rPr>
        <w:t>Rule of Law</w:t>
      </w:r>
      <w:r w:rsidR="00A75F81" w:rsidRPr="00EE533D">
        <w:rPr>
          <w:rFonts w:ascii="Times New Roman" w:hAnsi="Times New Roman" w:cs="Times New Roman"/>
          <w:sz w:val="24"/>
          <w:szCs w:val="24"/>
          <w:lang w:val="en-GB"/>
        </w:rPr>
        <w:t>,</w:t>
      </w:r>
      <w:r w:rsidR="00E047FF" w:rsidRPr="00EE533D">
        <w:rPr>
          <w:rFonts w:ascii="Times New Roman" w:hAnsi="Times New Roman" w:cs="Times New Roman"/>
          <w:i/>
          <w:iCs/>
          <w:sz w:val="24"/>
          <w:szCs w:val="24"/>
          <w:lang w:val="en-GB"/>
        </w:rPr>
        <w:t xml:space="preserve"> </w:t>
      </w:r>
      <w:r w:rsidR="00E047FF" w:rsidRPr="00EE533D">
        <w:rPr>
          <w:rFonts w:ascii="Times New Roman" w:hAnsi="Times New Roman" w:cs="Times New Roman"/>
          <w:sz w:val="24"/>
          <w:szCs w:val="24"/>
          <w:lang w:val="en-GB"/>
        </w:rPr>
        <w:t>or</w:t>
      </w:r>
      <w:r w:rsidR="00E047FF" w:rsidRPr="00EE533D">
        <w:rPr>
          <w:rFonts w:ascii="Times New Roman" w:hAnsi="Times New Roman" w:cs="Times New Roman"/>
          <w:i/>
          <w:iCs/>
          <w:sz w:val="24"/>
          <w:szCs w:val="24"/>
          <w:lang w:val="en-GB"/>
        </w:rPr>
        <w:t xml:space="preserve"> Voice</w:t>
      </w:r>
      <w:r w:rsidR="00E047FF" w:rsidRPr="00EE533D">
        <w:rPr>
          <w:rFonts w:ascii="Times New Roman" w:hAnsi="Times New Roman" w:cs="Times New Roman"/>
          <w:sz w:val="24"/>
          <w:szCs w:val="24"/>
          <w:lang w:val="en-GB"/>
        </w:rPr>
        <w:t xml:space="preserve">) </w:t>
      </w:r>
      <w:r w:rsidR="00A70D37" w:rsidRPr="00EE533D">
        <w:rPr>
          <w:rFonts w:ascii="Times New Roman" w:hAnsi="Times New Roman" w:cs="Times New Roman"/>
          <w:sz w:val="24"/>
          <w:szCs w:val="24"/>
          <w:lang w:val="en-GB"/>
        </w:rPr>
        <w:t>was</w:t>
      </w:r>
      <w:r w:rsidR="00E047FF" w:rsidRPr="00EE533D">
        <w:rPr>
          <w:rFonts w:ascii="Times New Roman" w:hAnsi="Times New Roman" w:cs="Times New Roman"/>
          <w:sz w:val="24"/>
          <w:szCs w:val="24"/>
          <w:lang w:val="en-GB"/>
        </w:rPr>
        <w:t xml:space="preserve"> higher than the median of the sample.</w:t>
      </w:r>
      <w:r w:rsidR="00756641" w:rsidRPr="00EE533D">
        <w:rPr>
          <w:rFonts w:ascii="Times New Roman" w:hAnsi="Times New Roman" w:cs="Times New Roman"/>
          <w:sz w:val="24"/>
          <w:szCs w:val="24"/>
          <w:lang w:val="en-GB"/>
        </w:rPr>
        <w:t xml:space="preserve"> </w:t>
      </w:r>
      <w:r w:rsidR="00386EA9" w:rsidRPr="00EE533D">
        <w:rPr>
          <w:rFonts w:ascii="Times New Roman" w:hAnsi="Times New Roman" w:cs="Times New Roman"/>
          <w:sz w:val="24"/>
          <w:szCs w:val="24"/>
          <w:lang w:val="en-GB"/>
        </w:rPr>
        <w:t xml:space="preserve">The waste and water recycling </w:t>
      </w:r>
      <w:r w:rsidR="00D52F0C" w:rsidRPr="00EE533D">
        <w:rPr>
          <w:rFonts w:ascii="Times New Roman" w:hAnsi="Times New Roman" w:cs="Times New Roman"/>
          <w:sz w:val="24"/>
          <w:szCs w:val="24"/>
          <w:lang w:val="en-GB"/>
        </w:rPr>
        <w:t>performances</w:t>
      </w:r>
      <w:r w:rsidR="00386EA9" w:rsidRPr="00EE533D">
        <w:rPr>
          <w:rFonts w:ascii="Times New Roman" w:hAnsi="Times New Roman" w:cs="Times New Roman"/>
          <w:sz w:val="24"/>
          <w:szCs w:val="24"/>
          <w:lang w:val="en-GB"/>
        </w:rPr>
        <w:t xml:space="preserve"> are</w:t>
      </w:r>
      <w:r w:rsidR="006E03E9" w:rsidRPr="00EE533D">
        <w:rPr>
          <w:rFonts w:ascii="Times New Roman" w:hAnsi="Times New Roman" w:cs="Times New Roman"/>
          <w:sz w:val="24"/>
          <w:szCs w:val="24"/>
          <w:lang w:val="en-GB"/>
        </w:rPr>
        <w:t xml:space="preserve"> significantly different between </w:t>
      </w:r>
      <w:r w:rsidR="004F62BB" w:rsidRPr="00EE533D">
        <w:rPr>
          <w:rFonts w:ascii="Times New Roman" w:hAnsi="Times New Roman" w:cs="Times New Roman"/>
          <w:sz w:val="24"/>
          <w:szCs w:val="24"/>
          <w:lang w:val="en-GB"/>
        </w:rPr>
        <w:t xml:space="preserve">environments with </w:t>
      </w:r>
      <w:r w:rsidR="005F7BAA" w:rsidRPr="00EE533D">
        <w:rPr>
          <w:rFonts w:ascii="Times New Roman" w:hAnsi="Times New Roman" w:cs="Times New Roman"/>
          <w:sz w:val="24"/>
          <w:szCs w:val="24"/>
          <w:lang w:val="en-GB"/>
        </w:rPr>
        <w:t>low- and high-quality</w:t>
      </w:r>
      <w:r w:rsidR="004F62BB" w:rsidRPr="00EE533D">
        <w:rPr>
          <w:rFonts w:ascii="Times New Roman" w:hAnsi="Times New Roman" w:cs="Times New Roman"/>
          <w:sz w:val="24"/>
          <w:szCs w:val="24"/>
          <w:lang w:val="en-GB"/>
        </w:rPr>
        <w:t xml:space="preserve"> institutions.</w:t>
      </w:r>
      <w:r w:rsidR="00C333E1"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Third, the </w:t>
      </w:r>
      <w:r w:rsidRPr="00EE533D">
        <w:rPr>
          <w:rFonts w:ascii="Times New Roman" w:hAnsi="Times New Roman" w:cs="Times New Roman"/>
          <w:sz w:val="24"/>
          <w:szCs w:val="24"/>
          <w:lang w:val="en-GB"/>
        </w:rPr>
        <w:lastRenderedPageBreak/>
        <w:t>mean annual temperature change per country is 1.</w:t>
      </w:r>
      <w:r w:rsidR="00C52107" w:rsidRPr="00EE533D">
        <w:rPr>
          <w:rFonts w:ascii="Times New Roman" w:hAnsi="Times New Roman" w:cs="Times New Roman"/>
          <w:sz w:val="24"/>
          <w:szCs w:val="24"/>
          <w:lang w:val="en-GB"/>
        </w:rPr>
        <w:t>493</w:t>
      </w:r>
      <w:r w:rsidRPr="00EE533D">
        <w:rPr>
          <w:rFonts w:ascii="Times New Roman" w:hAnsi="Times New Roman" w:cs="Times New Roman"/>
          <w:sz w:val="24"/>
          <w:szCs w:val="24"/>
          <w:lang w:val="en-GB"/>
        </w:rPr>
        <w:t xml:space="preserve"> degrees Celsius over the period 2012-202</w:t>
      </w:r>
      <w:r w:rsidR="00F84A4A" w:rsidRPr="00EE533D">
        <w:rPr>
          <w:rFonts w:ascii="Times New Roman" w:hAnsi="Times New Roman" w:cs="Times New Roman"/>
          <w:sz w:val="24"/>
          <w:szCs w:val="24"/>
          <w:lang w:val="en-GB"/>
        </w:rPr>
        <w:t>4</w:t>
      </w:r>
      <w:r w:rsidRPr="00EE533D">
        <w:rPr>
          <w:rFonts w:ascii="Times New Roman" w:hAnsi="Times New Roman" w:cs="Times New Roman"/>
          <w:sz w:val="24"/>
          <w:szCs w:val="24"/>
          <w:lang w:val="en-GB"/>
        </w:rPr>
        <w:t xml:space="preserve">, which is a marked environmental degradation. Fourth, the quality of the national institutional framework is positively and significantly correlated at a 1% level with </w:t>
      </w:r>
      <w:r w:rsidRPr="00EE533D">
        <w:rPr>
          <w:rFonts w:ascii="Times New Roman" w:hAnsi="Times New Roman" w:cs="Times New Roman"/>
          <w:i/>
          <w:iCs/>
          <w:sz w:val="24"/>
          <w:szCs w:val="24"/>
          <w:lang w:val="en-GB"/>
        </w:rPr>
        <w:t>Recycled Waste</w:t>
      </w:r>
      <w:r w:rsidRPr="00EE533D">
        <w:rPr>
          <w:rFonts w:ascii="Times New Roman" w:hAnsi="Times New Roman" w:cs="Times New Roman"/>
          <w:sz w:val="24"/>
          <w:szCs w:val="24"/>
          <w:lang w:val="en-GB"/>
        </w:rPr>
        <w:t xml:space="preserve"> (Table 4). Moreover, high levels of operational performance (</w:t>
      </w:r>
      <w:r w:rsidRPr="00EE533D">
        <w:rPr>
          <w:rFonts w:ascii="Times New Roman" w:hAnsi="Times New Roman" w:cs="Times New Roman"/>
          <w:i/>
          <w:iCs/>
          <w:sz w:val="24"/>
          <w:szCs w:val="24"/>
          <w:lang w:val="en-GB"/>
        </w:rPr>
        <w:t>Sales Growth</w:t>
      </w:r>
      <w:r w:rsidRPr="00EE533D">
        <w:rPr>
          <w:rFonts w:ascii="Times New Roman" w:hAnsi="Times New Roman" w:cs="Times New Roman"/>
          <w:sz w:val="24"/>
          <w:szCs w:val="24"/>
          <w:lang w:val="en-GB"/>
        </w:rPr>
        <w:t xml:space="preserve"> and </w:t>
      </w:r>
      <w:r w:rsidRPr="00EE533D">
        <w:rPr>
          <w:rFonts w:ascii="Times New Roman" w:hAnsi="Times New Roman" w:cs="Times New Roman"/>
          <w:i/>
          <w:iCs/>
          <w:sz w:val="24"/>
          <w:szCs w:val="24"/>
          <w:lang w:val="en-GB"/>
        </w:rPr>
        <w:t>EBITDA/Revenue</w:t>
      </w:r>
      <w:r w:rsidRPr="00EE533D">
        <w:rPr>
          <w:rFonts w:ascii="Times New Roman" w:hAnsi="Times New Roman" w:cs="Times New Roman"/>
          <w:sz w:val="24"/>
          <w:szCs w:val="24"/>
          <w:lang w:val="en-GB"/>
        </w:rPr>
        <w:t>) are also strongly correlated with the recycling of water.</w:t>
      </w:r>
      <w:r w:rsidR="00D30D81" w:rsidRPr="00EE533D">
        <w:rPr>
          <w:rFonts w:ascii="Times New Roman" w:hAnsi="Times New Roman" w:cs="Times New Roman"/>
          <w:sz w:val="24"/>
          <w:szCs w:val="24"/>
          <w:lang w:val="en-GB"/>
        </w:rPr>
        <w:t xml:space="preserve"> </w:t>
      </w:r>
      <w:r w:rsidR="00A7132F" w:rsidRPr="00EE533D">
        <w:rPr>
          <w:rFonts w:ascii="Times New Roman" w:hAnsi="Times New Roman" w:cs="Times New Roman"/>
          <w:sz w:val="24"/>
          <w:szCs w:val="24"/>
          <w:lang w:val="en-GB"/>
        </w:rPr>
        <w:t xml:space="preserve">Interestingly, firms with a </w:t>
      </w:r>
      <w:r w:rsidR="00D01AFB" w:rsidRPr="00EE533D">
        <w:rPr>
          <w:rFonts w:ascii="Times New Roman" w:hAnsi="Times New Roman" w:cs="Times New Roman"/>
          <w:sz w:val="24"/>
          <w:szCs w:val="24"/>
          <w:lang w:val="en-GB"/>
        </w:rPr>
        <w:t xml:space="preserve">CSR committee seem to be associated </w:t>
      </w:r>
      <w:r w:rsidR="00D01AFB" w:rsidRPr="00EE533D">
        <w:rPr>
          <w:rFonts w:ascii="Times New Roman" w:hAnsi="Times New Roman" w:cs="Times New Roman"/>
          <w:sz w:val="24"/>
          <w:szCs w:val="24"/>
          <w:lang w:val="en-GB"/>
        </w:rPr>
        <w:lastRenderedPageBreak/>
        <w:t>with a higher degree of recycled water and a low</w:t>
      </w:r>
      <w:r w:rsidR="00AF1DDE" w:rsidRPr="00EE533D">
        <w:rPr>
          <w:rFonts w:ascii="Times New Roman" w:hAnsi="Times New Roman" w:cs="Times New Roman"/>
          <w:sz w:val="24"/>
          <w:szCs w:val="24"/>
          <w:lang w:val="en-GB"/>
        </w:rPr>
        <w:t>er level of recycled waste.</w:t>
      </w:r>
      <w:r w:rsidRPr="00EE533D">
        <w:rPr>
          <w:rFonts w:ascii="Times New Roman" w:hAnsi="Times New Roman" w:cs="Times New Roman"/>
          <w:sz w:val="24"/>
          <w:szCs w:val="24"/>
          <w:lang w:val="en-GB"/>
        </w:rPr>
        <w:t xml:space="preserve"> In the following section, we shall empirically examine the relationship between institutional quality and our measures of recycling performance. </w:t>
      </w:r>
    </w:p>
    <w:p w14:paraId="39FFA9FE" w14:textId="77777777" w:rsidR="007467F2" w:rsidRPr="00EE533D" w:rsidRDefault="007467F2" w:rsidP="007467F2">
      <w:pPr>
        <w:rPr>
          <w:rFonts w:ascii="Times New Roman" w:hAnsi="Times New Roman" w:cs="Times New Roman"/>
          <w:sz w:val="24"/>
          <w:szCs w:val="24"/>
          <w:lang w:val="en-GB"/>
        </w:rPr>
      </w:pPr>
    </w:p>
    <w:p w14:paraId="2029429A" w14:textId="77777777" w:rsidR="007467F2" w:rsidRPr="00EE533D" w:rsidRDefault="007467F2" w:rsidP="007467F2">
      <w:pPr>
        <w:jc w:val="center"/>
        <w:rPr>
          <w:rFonts w:ascii="Times New Roman" w:hAnsi="Times New Roman" w:cs="Times New Roman"/>
          <w:sz w:val="24"/>
          <w:szCs w:val="24"/>
          <w:lang w:val="en-GB"/>
        </w:rPr>
      </w:pPr>
      <w:r w:rsidRPr="00EE533D">
        <w:rPr>
          <w:rFonts w:ascii="Times New Roman" w:hAnsi="Times New Roman" w:cs="Times New Roman"/>
          <w:sz w:val="24"/>
          <w:szCs w:val="24"/>
          <w:lang w:val="en-GB"/>
        </w:rPr>
        <w:t>{Table 3}</w:t>
      </w:r>
    </w:p>
    <w:p w14:paraId="69ECD2CD" w14:textId="77777777" w:rsidR="007467F2" w:rsidRPr="00EE533D" w:rsidRDefault="007467F2" w:rsidP="007467F2">
      <w:pPr>
        <w:jc w:val="center"/>
        <w:rPr>
          <w:rFonts w:ascii="Times New Roman" w:hAnsi="Times New Roman" w:cs="Times New Roman"/>
          <w:sz w:val="24"/>
          <w:szCs w:val="24"/>
          <w:lang w:val="en-GB"/>
        </w:rPr>
      </w:pPr>
      <w:r w:rsidRPr="00EE533D">
        <w:rPr>
          <w:rFonts w:ascii="Times New Roman" w:hAnsi="Times New Roman" w:cs="Times New Roman"/>
          <w:sz w:val="24"/>
          <w:szCs w:val="24"/>
          <w:lang w:val="en-GB"/>
        </w:rPr>
        <w:t>{Table 4}</w:t>
      </w:r>
    </w:p>
    <w:p w14:paraId="3D5FFFE7" w14:textId="77777777" w:rsidR="007467F2" w:rsidRPr="00EE533D" w:rsidRDefault="007467F2" w:rsidP="007467F2">
      <w:pPr>
        <w:jc w:val="center"/>
        <w:rPr>
          <w:lang w:val="en-GB"/>
        </w:rPr>
      </w:pPr>
    </w:p>
    <w:p w14:paraId="67D7D2B3" w14:textId="77777777" w:rsidR="00970379" w:rsidRPr="00EE533D" w:rsidRDefault="00970379" w:rsidP="007467F2">
      <w:pPr>
        <w:jc w:val="center"/>
        <w:rPr>
          <w:lang w:val="en-GB"/>
        </w:rPr>
      </w:pPr>
    </w:p>
    <w:p w14:paraId="696CBD13" w14:textId="77777777" w:rsidR="00742E35" w:rsidRPr="00EE533D" w:rsidRDefault="00742E35" w:rsidP="007467F2">
      <w:pPr>
        <w:jc w:val="center"/>
        <w:rPr>
          <w:lang w:val="en-GB"/>
        </w:rPr>
      </w:pPr>
    </w:p>
    <w:p w14:paraId="26E91D4E" w14:textId="77777777" w:rsidR="007467F2" w:rsidRPr="00EE533D" w:rsidRDefault="007467F2" w:rsidP="007467F2">
      <w:pPr>
        <w:jc w:val="both"/>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4. Estimates</w:t>
      </w:r>
    </w:p>
    <w:p w14:paraId="581611C0" w14:textId="59177DD3"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ab/>
        <w:t>In this section, we shall present our econometric model based on a static panel approach (subsection 4.1) and the estimations of different robustness checks dealing with alternative financial control variables (subsection 4.2), subsamples (subsection 4.3), a dynamic panel approach (subsection 4.4)</w:t>
      </w:r>
      <w:r w:rsidR="0060759F"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alternative proxies to assess the institutional framework (subsection 4.5)</w:t>
      </w:r>
      <w:r w:rsidR="0060759F" w:rsidRPr="00EE533D">
        <w:rPr>
          <w:rFonts w:ascii="Times New Roman" w:hAnsi="Times New Roman" w:cs="Times New Roman"/>
          <w:sz w:val="24"/>
          <w:szCs w:val="24"/>
          <w:lang w:val="en-GB"/>
        </w:rPr>
        <w:t xml:space="preserve"> and </w:t>
      </w:r>
      <w:r w:rsidR="003C74AA" w:rsidRPr="00EE533D">
        <w:rPr>
          <w:rFonts w:ascii="Times New Roman" w:hAnsi="Times New Roman" w:cs="Times New Roman"/>
          <w:sz w:val="24"/>
          <w:szCs w:val="24"/>
          <w:lang w:val="en-GB"/>
        </w:rPr>
        <w:t xml:space="preserve">Heckman selection model (subsection 4.6). </w:t>
      </w:r>
      <w:r w:rsidRPr="00EE533D">
        <w:rPr>
          <w:rFonts w:ascii="Times New Roman" w:hAnsi="Times New Roman" w:cs="Times New Roman"/>
          <w:sz w:val="24"/>
          <w:szCs w:val="24"/>
          <w:lang w:val="en-GB"/>
        </w:rPr>
        <w:t xml:space="preserve"> </w:t>
      </w:r>
    </w:p>
    <w:p w14:paraId="61B3D97A" w14:textId="77777777" w:rsidR="007467F2" w:rsidRPr="00EE533D" w:rsidRDefault="007467F2" w:rsidP="007467F2">
      <w:pPr>
        <w:spacing w:after="0" w:line="360" w:lineRule="auto"/>
        <w:jc w:val="both"/>
        <w:rPr>
          <w:rFonts w:ascii="Times New Roman" w:hAnsi="Times New Roman" w:cs="Times New Roman"/>
          <w:sz w:val="24"/>
          <w:szCs w:val="24"/>
          <w:lang w:val="en-GB"/>
        </w:rPr>
      </w:pPr>
    </w:p>
    <w:p w14:paraId="4BAAF848" w14:textId="77777777" w:rsidR="007467F2" w:rsidRPr="00EE533D" w:rsidRDefault="007467F2" w:rsidP="007467F2">
      <w:pPr>
        <w:spacing w:line="480" w:lineRule="auto"/>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lastRenderedPageBreak/>
        <w:tab/>
        <w:t>4.1 Static panel approach</w:t>
      </w:r>
    </w:p>
    <w:p w14:paraId="7903CFA0" w14:textId="77777777"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We will estimate the following econometric equation to understand how the institutional environment shapes the recycling activity of listed firms:</w:t>
      </w:r>
    </w:p>
    <w:p w14:paraId="2241156D" w14:textId="114E7166" w:rsidR="007467F2" w:rsidRPr="00EE533D" w:rsidRDefault="007467F2" w:rsidP="007467F2">
      <w:pPr>
        <w:spacing w:after="0" w:line="360" w:lineRule="auto"/>
        <w:ind w:left="709" w:hanging="709"/>
        <w:jc w:val="both"/>
        <w:rPr>
          <w:rFonts w:ascii="Times New Roman" w:hAnsi="Times New Roman" w:cs="Times New Roman"/>
          <w:i/>
          <w:sz w:val="24"/>
          <w:szCs w:val="24"/>
        </w:rPr>
      </w:pPr>
      <w:r w:rsidRPr="00EE533D">
        <w:rPr>
          <w:rFonts w:ascii="Times New Roman" w:hAnsi="Times New Roman" w:cs="Times New Roman"/>
          <w:i/>
          <w:sz w:val="24"/>
          <w:szCs w:val="24"/>
        </w:rPr>
        <w:t>Recycle</w:t>
      </w:r>
      <w:r w:rsidRPr="00EE533D">
        <w:rPr>
          <w:rFonts w:ascii="Times New Roman" w:hAnsi="Times New Roman" w:cs="Times New Roman"/>
          <w:i/>
          <w:sz w:val="24"/>
          <w:szCs w:val="24"/>
          <w:vertAlign w:val="subscript"/>
        </w:rPr>
        <w:t>i,t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ψ</w:t>
      </w:r>
      <w:r w:rsidRPr="00EE533D">
        <w:rPr>
          <w:rFonts w:ascii="Times New Roman" w:hAnsi="Times New Roman" w:cs="Times New Roman"/>
          <w:i/>
          <w:sz w:val="24"/>
          <w:szCs w:val="24"/>
        </w:rPr>
        <w:t>(Institution</w:t>
      </w:r>
      <w:r w:rsidRPr="00EE533D">
        <w:rPr>
          <w:rFonts w:ascii="Times New Roman" w:hAnsi="Times New Roman" w:cs="Times New Roman"/>
          <w:i/>
          <w:sz w:val="24"/>
          <w:szCs w:val="24"/>
          <w:vertAlign w:val="subscript"/>
        </w:rPr>
        <w:t>i,t</w:t>
      </w:r>
      <w:r w:rsidR="00FD4E1E"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Φ</w:t>
      </w:r>
      <w:r w:rsidRPr="00EE533D">
        <w:rPr>
          <w:rFonts w:ascii="Times New Roman" w:hAnsi="Times New Roman" w:cs="Times New Roman"/>
          <w:i/>
          <w:sz w:val="24"/>
          <w:szCs w:val="24"/>
        </w:rPr>
        <w:t>(Financial</w:t>
      </w:r>
      <w:r w:rsidRPr="00EE533D">
        <w:rPr>
          <w:rFonts w:ascii="Times New Roman" w:hAnsi="Times New Roman" w:cs="Times New Roman"/>
          <w:i/>
          <w:sz w:val="24"/>
          <w:szCs w:val="24"/>
          <w:vertAlign w:val="subscript"/>
        </w:rPr>
        <w:t>i,t</w:t>
      </w:r>
      <w:r w:rsidR="00FD4E1E"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λ</w:t>
      </w:r>
      <w:r w:rsidRPr="00EE533D">
        <w:rPr>
          <w:rFonts w:ascii="Times New Roman" w:hAnsi="Times New Roman" w:cs="Times New Roman"/>
          <w:i/>
          <w:sz w:val="24"/>
          <w:szCs w:val="24"/>
        </w:rPr>
        <w:t>(</w:t>
      </w:r>
      <w:r w:rsidR="00FD4E1E" w:rsidRPr="00EE533D">
        <w:rPr>
          <w:rFonts w:ascii="Times New Roman" w:hAnsi="Times New Roman" w:cs="Times New Roman"/>
          <w:i/>
          <w:sz w:val="24"/>
          <w:szCs w:val="24"/>
        </w:rPr>
        <w:t>Governance</w:t>
      </w:r>
      <w:r w:rsidRPr="00EE533D">
        <w:rPr>
          <w:rFonts w:ascii="Times New Roman" w:hAnsi="Times New Roman" w:cs="Times New Roman"/>
          <w:i/>
          <w:sz w:val="24"/>
          <w:szCs w:val="24"/>
          <w:vertAlign w:val="subscript"/>
        </w:rPr>
        <w:t>i,t</w:t>
      </w:r>
      <w:r w:rsidR="00FD4E1E"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τ</w:t>
      </w:r>
      <w:r w:rsidRPr="00EE533D">
        <w:rPr>
          <w:rFonts w:ascii="Times New Roman" w:hAnsi="Times New Roman" w:cs="Times New Roman"/>
          <w:i/>
          <w:sz w:val="24"/>
          <w:szCs w:val="24"/>
        </w:rPr>
        <w:t xml:space="preserve"> (Macro</w:t>
      </w:r>
      <w:r w:rsidRPr="00EE533D">
        <w:rPr>
          <w:rFonts w:ascii="Times New Roman" w:hAnsi="Times New Roman" w:cs="Times New Roman"/>
          <w:i/>
          <w:sz w:val="24"/>
          <w:szCs w:val="24"/>
          <w:vertAlign w:val="subscript"/>
        </w:rPr>
        <w:t>i,t</w:t>
      </w:r>
      <w:r w:rsidR="00FD4E1E"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w:t>
      </w:r>
      <w:r w:rsidRPr="00EE533D">
        <w:rPr>
          <w:rFonts w:ascii="Times New Roman" w:hAnsi="Times New Roman" w:cs="Times New Roman"/>
          <w:sz w:val="24"/>
          <w:szCs w:val="24"/>
        </w:rPr>
        <w:t xml:space="preserve"> </w:t>
      </w:r>
      <w:r w:rsidRPr="00EE533D">
        <w:rPr>
          <w:rFonts w:ascii="Times New Roman" w:hAnsi="Times New Roman" w:cs="Times New Roman"/>
          <w:i/>
          <w:sz w:val="24"/>
          <w:szCs w:val="24"/>
          <w:lang w:val="en-GB"/>
        </w:rPr>
        <w:t>α</w:t>
      </w:r>
      <w:r w:rsidRPr="00EE533D">
        <w:rPr>
          <w:rFonts w:ascii="Times New Roman" w:hAnsi="Times New Roman" w:cs="Times New Roman"/>
          <w:i/>
          <w:sz w:val="24"/>
          <w:szCs w:val="24"/>
          <w:vertAlign w:val="subscript"/>
        </w:rPr>
        <w:t>i</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rPr>
        <w:t>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ξ</w:t>
      </w:r>
      <w:r w:rsidRPr="00EE533D">
        <w:rPr>
          <w:rFonts w:ascii="Times New Roman" w:hAnsi="Times New Roman" w:cs="Times New Roman"/>
          <w:i/>
          <w:sz w:val="24"/>
          <w:szCs w:val="24"/>
          <w:vertAlign w:val="subscript"/>
        </w:rPr>
        <w:t>i,t</w:t>
      </w:r>
      <w:r w:rsidRPr="00EE533D">
        <w:rPr>
          <w:rFonts w:ascii="Times New Roman" w:hAnsi="Times New Roman" w:cs="Times New Roman"/>
          <w:sz w:val="24"/>
          <w:szCs w:val="24"/>
        </w:rPr>
        <w:t xml:space="preserve">         </w:t>
      </w:r>
      <w:r w:rsidRPr="00EE533D">
        <w:rPr>
          <w:rFonts w:ascii="Times New Roman" w:hAnsi="Times New Roman" w:cs="Times New Roman"/>
          <w:sz w:val="24"/>
          <w:szCs w:val="24"/>
        </w:rPr>
        <w:tab/>
        <w:t xml:space="preserve">        </w:t>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t>(1)</w:t>
      </w:r>
    </w:p>
    <w:p w14:paraId="35DFCA72" w14:textId="7DB44A42" w:rsidR="007467F2" w:rsidRPr="00EE533D" w:rsidRDefault="007467F2" w:rsidP="007467F2">
      <w:pPr>
        <w:spacing w:after="0" w:line="360" w:lineRule="auto"/>
        <w:jc w:val="both"/>
        <w:rPr>
          <w:rFonts w:ascii="Times New Roman" w:hAnsi="Times New Roman" w:cs="Times New Roman"/>
          <w:iCs/>
          <w:sz w:val="24"/>
          <w:szCs w:val="24"/>
          <w:lang w:val="en-GB"/>
        </w:rPr>
      </w:pPr>
      <w:r w:rsidRPr="00EE533D">
        <w:rPr>
          <w:rFonts w:ascii="Times New Roman" w:hAnsi="Times New Roman" w:cs="Times New Roman"/>
          <w:sz w:val="24"/>
          <w:szCs w:val="24"/>
          <w:lang w:val="en-GB"/>
        </w:rPr>
        <w:t xml:space="preserve">where </w:t>
      </w:r>
      <w:r w:rsidRPr="00EE533D">
        <w:rPr>
          <w:rFonts w:ascii="Times New Roman" w:hAnsi="Times New Roman" w:cs="Times New Roman"/>
          <w:i/>
          <w:iCs/>
          <w:sz w:val="24"/>
          <w:szCs w:val="24"/>
          <w:lang w:val="en-GB"/>
        </w:rPr>
        <w:t>i</w:t>
      </w:r>
      <w:r w:rsidRPr="00EE533D">
        <w:rPr>
          <w:rFonts w:ascii="Times New Roman" w:hAnsi="Times New Roman" w:cs="Times New Roman"/>
          <w:sz w:val="24"/>
          <w:szCs w:val="24"/>
          <w:lang w:val="en-GB"/>
        </w:rPr>
        <w:t xml:space="preserve"> is the firm’s index, which ranges from 1 to </w:t>
      </w:r>
      <w:r w:rsidR="00E400C0" w:rsidRPr="00EE533D">
        <w:rPr>
          <w:rFonts w:ascii="Times New Roman" w:hAnsi="Times New Roman" w:cs="Times New Roman"/>
          <w:sz w:val="24"/>
          <w:szCs w:val="24"/>
          <w:lang w:val="en-GB"/>
        </w:rPr>
        <w:t>1096</w:t>
      </w:r>
      <w:r w:rsidRPr="00EE533D">
        <w:rPr>
          <w:rFonts w:ascii="Times New Roman" w:hAnsi="Times New Roman" w:cs="Times New Roman"/>
          <w:sz w:val="24"/>
          <w:szCs w:val="24"/>
          <w:lang w:val="en-GB"/>
        </w:rPr>
        <w:t xml:space="preserve">, and </w:t>
      </w:r>
      <w:r w:rsidRPr="00EE533D">
        <w:rPr>
          <w:rFonts w:ascii="Times New Roman" w:hAnsi="Times New Roman" w:cs="Times New Roman"/>
          <w:i/>
          <w:iCs/>
          <w:sz w:val="24"/>
          <w:szCs w:val="24"/>
          <w:lang w:val="en-GB"/>
        </w:rPr>
        <w:t>t</w:t>
      </w:r>
      <w:r w:rsidRPr="00EE533D">
        <w:rPr>
          <w:rFonts w:ascii="Times New Roman" w:hAnsi="Times New Roman" w:cs="Times New Roman"/>
          <w:sz w:val="24"/>
          <w:szCs w:val="24"/>
          <w:lang w:val="en-GB"/>
        </w:rPr>
        <w:t xml:space="preserve"> the index of year; </w:t>
      </w:r>
      <w:r w:rsidRPr="00EE533D">
        <w:rPr>
          <w:rFonts w:ascii="Times New Roman" w:hAnsi="Times New Roman" w:cs="Times New Roman"/>
          <w:i/>
          <w:sz w:val="24"/>
          <w:szCs w:val="24"/>
          <w:lang w:val="en-GB"/>
        </w:rPr>
        <w:t>α</w:t>
      </w:r>
      <w:r w:rsidRPr="00EE533D">
        <w:rPr>
          <w:rFonts w:ascii="Times New Roman" w:hAnsi="Times New Roman" w:cs="Times New Roman"/>
          <w:i/>
          <w:sz w:val="24"/>
          <w:szCs w:val="24"/>
          <w:vertAlign w:val="subscript"/>
          <w:lang w:val="en-GB"/>
        </w:rPr>
        <w:t>i</w:t>
      </w:r>
      <w:r w:rsidRPr="00EE533D">
        <w:rPr>
          <w:rFonts w:ascii="Times New Roman" w:hAnsi="Times New Roman" w:cs="Times New Roman"/>
          <w:iCs/>
          <w:sz w:val="24"/>
          <w:szCs w:val="24"/>
          <w:lang w:val="en-GB"/>
        </w:rPr>
        <w:t xml:space="preserve"> captures the </w:t>
      </w:r>
      <w:r w:rsidRPr="00EE533D">
        <w:rPr>
          <w:rFonts w:ascii="Times New Roman" w:hAnsi="Times New Roman" w:cs="Times New Roman"/>
          <w:iCs/>
          <w:sz w:val="24"/>
          <w:szCs w:val="24"/>
          <w:lang w:val="en-GB"/>
        </w:rPr>
        <w:lastRenderedPageBreak/>
        <w:t xml:space="preserve">firms’ fixed effects,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lang w:val="en-GB"/>
        </w:rPr>
        <w:t>t</w:t>
      </w:r>
      <w:r w:rsidRPr="00EE533D">
        <w:rPr>
          <w:rFonts w:ascii="Times New Roman" w:hAnsi="Times New Roman" w:cs="Times New Roman"/>
          <w:iCs/>
          <w:sz w:val="24"/>
          <w:szCs w:val="24"/>
          <w:lang w:val="en-GB"/>
        </w:rPr>
        <w:t xml:space="preserve"> the time effects, and </w:t>
      </w:r>
      <w:r w:rsidRPr="00EE533D">
        <w:rPr>
          <w:rFonts w:ascii="Times New Roman" w:hAnsi="Times New Roman" w:cs="Times New Roman"/>
          <w:i/>
          <w:sz w:val="24"/>
          <w:szCs w:val="24"/>
          <w:lang w:val="en-GB"/>
        </w:rPr>
        <w:t>ξ</w:t>
      </w:r>
      <w:r w:rsidRPr="00EE533D">
        <w:rPr>
          <w:rFonts w:ascii="Times New Roman" w:hAnsi="Times New Roman" w:cs="Times New Roman"/>
          <w:i/>
          <w:sz w:val="24"/>
          <w:szCs w:val="24"/>
          <w:vertAlign w:val="subscript"/>
          <w:lang w:val="en-GB"/>
        </w:rPr>
        <w:t>i,t</w:t>
      </w:r>
      <w:r w:rsidRPr="00EE533D">
        <w:rPr>
          <w:rFonts w:ascii="Times New Roman" w:hAnsi="Times New Roman" w:cs="Times New Roman"/>
          <w:iCs/>
          <w:sz w:val="24"/>
          <w:szCs w:val="24"/>
          <w:lang w:val="en-GB"/>
        </w:rPr>
        <w:t xml:space="preserve"> is the error term. </w:t>
      </w:r>
      <w:r w:rsidRPr="00EE533D">
        <w:rPr>
          <w:rFonts w:ascii="Times New Roman" w:hAnsi="Times New Roman" w:cs="Times New Roman"/>
          <w:i/>
          <w:sz w:val="24"/>
          <w:szCs w:val="24"/>
          <w:lang w:val="en-GB"/>
        </w:rPr>
        <w:t>Recycle</w:t>
      </w:r>
      <w:r w:rsidRPr="00EE533D">
        <w:rPr>
          <w:rFonts w:ascii="Times New Roman" w:hAnsi="Times New Roman" w:cs="Times New Roman"/>
          <w:iCs/>
          <w:sz w:val="24"/>
          <w:szCs w:val="24"/>
          <w:lang w:val="en-GB"/>
        </w:rPr>
        <w:t xml:space="preserve"> is a vector that includes one of our dependent variables, namely </w:t>
      </w:r>
      <w:r w:rsidRPr="00EE533D">
        <w:rPr>
          <w:rFonts w:ascii="Times New Roman" w:hAnsi="Times New Roman" w:cs="Times New Roman"/>
          <w:i/>
          <w:sz w:val="24"/>
          <w:szCs w:val="24"/>
          <w:lang w:val="en-GB"/>
        </w:rPr>
        <w:t>Recycled Waste</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Recycled Water</w:t>
      </w:r>
      <w:r w:rsidRPr="00EE533D">
        <w:rPr>
          <w:rFonts w:ascii="Times New Roman" w:hAnsi="Times New Roman" w:cs="Times New Roman"/>
          <w:iCs/>
          <w:sz w:val="24"/>
          <w:szCs w:val="24"/>
          <w:lang w:val="en-GB"/>
        </w:rPr>
        <w:t xml:space="preserve"> and </w:t>
      </w:r>
      <w:r w:rsidRPr="00EE533D">
        <w:rPr>
          <w:rFonts w:ascii="Times New Roman" w:hAnsi="Times New Roman" w:cs="Times New Roman"/>
          <w:i/>
          <w:sz w:val="24"/>
          <w:szCs w:val="24"/>
          <w:lang w:val="en-GB"/>
        </w:rPr>
        <w:t>Recycled Paper</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Financial</w:t>
      </w:r>
      <w:r w:rsidRPr="00EE533D">
        <w:rPr>
          <w:rFonts w:ascii="Times New Roman" w:hAnsi="Times New Roman" w:cs="Times New Roman"/>
          <w:iCs/>
          <w:sz w:val="24"/>
          <w:szCs w:val="24"/>
          <w:lang w:val="en-GB"/>
        </w:rPr>
        <w:t xml:space="preserve"> is a vector composed of four financial features of firms</w:t>
      </w:r>
      <w:r w:rsidR="006F53E6" w:rsidRPr="00EE533D">
        <w:rPr>
          <w:rFonts w:ascii="Times New Roman" w:hAnsi="Times New Roman" w:cs="Times New Roman"/>
          <w:iCs/>
          <w:sz w:val="24"/>
          <w:szCs w:val="24"/>
          <w:lang w:val="en-GB"/>
        </w:rPr>
        <w:t xml:space="preserve"> lagged by 1 year</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Debt/Equity</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Sales Growth</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Cash Ratio</w:t>
      </w:r>
      <w:r w:rsidR="00E400C0"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 xml:space="preserve">the natural logarithm of </w:t>
      </w:r>
      <w:r w:rsidRPr="00EE533D">
        <w:rPr>
          <w:rFonts w:ascii="Times New Roman" w:hAnsi="Times New Roman" w:cs="Times New Roman"/>
          <w:i/>
          <w:sz w:val="24"/>
          <w:szCs w:val="24"/>
          <w:lang w:val="en-GB"/>
        </w:rPr>
        <w:t>Assets</w:t>
      </w:r>
      <w:r w:rsidR="00E400C0" w:rsidRPr="00EE533D">
        <w:rPr>
          <w:rFonts w:ascii="Times New Roman" w:hAnsi="Times New Roman" w:cs="Times New Roman"/>
          <w:iCs/>
          <w:sz w:val="24"/>
          <w:szCs w:val="24"/>
          <w:lang w:val="en-GB"/>
        </w:rPr>
        <w:t xml:space="preserve"> and </w:t>
      </w:r>
      <w:r w:rsidR="006F53E6" w:rsidRPr="00EE533D">
        <w:rPr>
          <w:rFonts w:ascii="Times New Roman" w:hAnsi="Times New Roman" w:cs="Times New Roman"/>
          <w:i/>
          <w:sz w:val="24"/>
          <w:szCs w:val="24"/>
          <w:lang w:val="en-GB"/>
        </w:rPr>
        <w:t>ROA</w:t>
      </w:r>
      <w:r w:rsidRPr="00EE533D">
        <w:rPr>
          <w:rFonts w:ascii="Times New Roman" w:hAnsi="Times New Roman" w:cs="Times New Roman"/>
          <w:iCs/>
          <w:sz w:val="24"/>
          <w:szCs w:val="24"/>
          <w:lang w:val="en-GB"/>
        </w:rPr>
        <w:t xml:space="preserve">). </w:t>
      </w:r>
      <w:r w:rsidR="00D45141" w:rsidRPr="00EE533D">
        <w:rPr>
          <w:rFonts w:ascii="Times New Roman" w:hAnsi="Times New Roman" w:cs="Times New Roman"/>
          <w:i/>
          <w:sz w:val="24"/>
          <w:szCs w:val="24"/>
          <w:lang w:val="en-GB"/>
        </w:rPr>
        <w:t>Governance</w:t>
      </w:r>
      <w:r w:rsidRPr="00EE533D">
        <w:rPr>
          <w:rFonts w:ascii="Times New Roman" w:hAnsi="Times New Roman" w:cs="Times New Roman"/>
          <w:iCs/>
          <w:sz w:val="24"/>
          <w:szCs w:val="24"/>
          <w:lang w:val="en-GB"/>
        </w:rPr>
        <w:t xml:space="preserve"> and </w:t>
      </w:r>
      <w:r w:rsidRPr="00EE533D">
        <w:rPr>
          <w:rFonts w:ascii="Times New Roman" w:hAnsi="Times New Roman" w:cs="Times New Roman"/>
          <w:i/>
          <w:sz w:val="24"/>
          <w:szCs w:val="24"/>
          <w:lang w:val="en-GB"/>
        </w:rPr>
        <w:t>Macro</w:t>
      </w:r>
      <w:r w:rsidRPr="00EE533D">
        <w:rPr>
          <w:rFonts w:ascii="Times New Roman" w:hAnsi="Times New Roman" w:cs="Times New Roman"/>
          <w:iCs/>
          <w:sz w:val="24"/>
          <w:szCs w:val="24"/>
          <w:lang w:val="en-GB"/>
        </w:rPr>
        <w:t xml:space="preserve"> represent our vectors of variables that will control for </w:t>
      </w:r>
      <w:r w:rsidR="00D45141" w:rsidRPr="00EE533D">
        <w:rPr>
          <w:rFonts w:ascii="Times New Roman" w:hAnsi="Times New Roman" w:cs="Times New Roman"/>
          <w:iCs/>
          <w:sz w:val="24"/>
          <w:szCs w:val="24"/>
          <w:lang w:val="en-GB"/>
        </w:rPr>
        <w:t>the governance struc</w:t>
      </w:r>
      <w:r w:rsidR="00D45141" w:rsidRPr="00EE533D">
        <w:rPr>
          <w:rFonts w:ascii="Times New Roman" w:hAnsi="Times New Roman" w:cs="Times New Roman"/>
          <w:iCs/>
          <w:sz w:val="24"/>
          <w:szCs w:val="24"/>
          <w:lang w:val="en-GB"/>
        </w:rPr>
        <w:lastRenderedPageBreak/>
        <w:t>ture of the firm (</w:t>
      </w:r>
      <w:r w:rsidR="00F872CE" w:rsidRPr="00EE533D">
        <w:rPr>
          <w:rFonts w:ascii="Times New Roman" w:hAnsi="Times New Roman" w:cs="Times New Roman"/>
          <w:i/>
          <w:sz w:val="24"/>
          <w:szCs w:val="24"/>
          <w:lang w:val="en-GB"/>
        </w:rPr>
        <w:t>CEO Duality</w:t>
      </w:r>
      <w:r w:rsidR="00F872CE" w:rsidRPr="00EE533D">
        <w:rPr>
          <w:rFonts w:ascii="Times New Roman" w:hAnsi="Times New Roman" w:cs="Times New Roman"/>
          <w:iCs/>
          <w:sz w:val="24"/>
          <w:szCs w:val="24"/>
          <w:lang w:val="en-GB"/>
        </w:rPr>
        <w:t xml:space="preserve">, </w:t>
      </w:r>
      <w:r w:rsidR="00BB7CB8" w:rsidRPr="00EE533D">
        <w:rPr>
          <w:rFonts w:ascii="Times New Roman" w:hAnsi="Times New Roman" w:cs="Times New Roman"/>
          <w:i/>
          <w:sz w:val="24"/>
          <w:szCs w:val="24"/>
          <w:lang w:val="en-GB"/>
        </w:rPr>
        <w:t>Board Size</w:t>
      </w:r>
      <w:r w:rsidR="00BB7CB8" w:rsidRPr="00EE533D">
        <w:rPr>
          <w:rFonts w:ascii="Times New Roman" w:hAnsi="Times New Roman" w:cs="Times New Roman"/>
          <w:iCs/>
          <w:sz w:val="24"/>
          <w:szCs w:val="24"/>
          <w:lang w:val="en-GB"/>
        </w:rPr>
        <w:t xml:space="preserve">, </w:t>
      </w:r>
      <w:r w:rsidR="00BB7CB8" w:rsidRPr="00EE533D">
        <w:rPr>
          <w:rFonts w:ascii="Times New Roman" w:hAnsi="Times New Roman" w:cs="Times New Roman"/>
          <w:i/>
          <w:sz w:val="24"/>
          <w:szCs w:val="24"/>
          <w:lang w:val="en-GB"/>
        </w:rPr>
        <w:t>Independent</w:t>
      </w:r>
      <w:r w:rsidR="00BB7CB8" w:rsidRPr="00EE533D">
        <w:rPr>
          <w:rFonts w:ascii="Times New Roman" w:hAnsi="Times New Roman" w:cs="Times New Roman"/>
          <w:iCs/>
          <w:sz w:val="24"/>
          <w:szCs w:val="24"/>
          <w:lang w:val="en-GB"/>
        </w:rPr>
        <w:t xml:space="preserve"> and </w:t>
      </w:r>
      <w:r w:rsidR="00BB7CB8" w:rsidRPr="00EE533D">
        <w:rPr>
          <w:rFonts w:ascii="Times New Roman" w:hAnsi="Times New Roman" w:cs="Times New Roman"/>
          <w:i/>
          <w:sz w:val="24"/>
          <w:szCs w:val="24"/>
          <w:lang w:val="en-GB"/>
        </w:rPr>
        <w:t>CSR Committ</w:t>
      </w:r>
      <w:r w:rsidR="0012307B" w:rsidRPr="00EE533D">
        <w:rPr>
          <w:rFonts w:ascii="Times New Roman" w:hAnsi="Times New Roman" w:cs="Times New Roman"/>
          <w:i/>
          <w:sz w:val="24"/>
          <w:szCs w:val="24"/>
          <w:lang w:val="en-GB"/>
        </w:rPr>
        <w:t>ee</w:t>
      </w:r>
      <w:r w:rsidR="0012307B"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the ecological environment (</w:t>
      </w:r>
      <w:r w:rsidRPr="00EE533D">
        <w:rPr>
          <w:rFonts w:ascii="Times New Roman" w:hAnsi="Times New Roman" w:cs="Times New Roman"/>
          <w:i/>
          <w:sz w:val="24"/>
          <w:szCs w:val="24"/>
          <w:lang w:val="en-GB"/>
        </w:rPr>
        <w:t>Temp</w:t>
      </w:r>
      <w:r w:rsidRPr="00EE533D">
        <w:rPr>
          <w:rFonts w:ascii="Times New Roman" w:hAnsi="Times New Roman" w:cs="Times New Roman"/>
          <w:iCs/>
          <w:sz w:val="24"/>
          <w:szCs w:val="24"/>
          <w:lang w:val="en-GB"/>
        </w:rPr>
        <w:t xml:space="preserve">) and macroeconomic fluctuations (natural logarithm of </w:t>
      </w:r>
      <w:r w:rsidRPr="00EE533D">
        <w:rPr>
          <w:rFonts w:ascii="Times New Roman" w:hAnsi="Times New Roman" w:cs="Times New Roman"/>
          <w:i/>
          <w:sz w:val="24"/>
          <w:szCs w:val="24"/>
          <w:lang w:val="en-GB"/>
        </w:rPr>
        <w:t>GDPc</w:t>
      </w:r>
      <w:r w:rsidRPr="00EE533D">
        <w:rPr>
          <w:rFonts w:ascii="Times New Roman" w:hAnsi="Times New Roman" w:cs="Times New Roman"/>
          <w:iCs/>
          <w:sz w:val="24"/>
          <w:szCs w:val="24"/>
          <w:lang w:val="en-GB"/>
        </w:rPr>
        <w:t xml:space="preserve">, </w:t>
      </w:r>
      <w:r w:rsidRPr="00EE533D">
        <w:rPr>
          <w:rFonts w:ascii="Times New Roman" w:hAnsi="Times New Roman" w:cs="Times New Roman"/>
          <w:i/>
          <w:sz w:val="24"/>
          <w:szCs w:val="24"/>
          <w:lang w:val="en-GB"/>
        </w:rPr>
        <w:t>GPDg</w:t>
      </w:r>
      <w:r w:rsidRPr="00EE533D">
        <w:rPr>
          <w:rFonts w:ascii="Times New Roman" w:hAnsi="Times New Roman" w:cs="Times New Roman"/>
          <w:iCs/>
          <w:sz w:val="24"/>
          <w:szCs w:val="24"/>
          <w:lang w:val="en-GB"/>
        </w:rPr>
        <w:t xml:space="preserve"> and </w:t>
      </w:r>
      <w:r w:rsidRPr="00EE533D">
        <w:rPr>
          <w:rFonts w:ascii="Times New Roman" w:hAnsi="Times New Roman" w:cs="Times New Roman"/>
          <w:i/>
          <w:sz w:val="24"/>
          <w:szCs w:val="24"/>
          <w:lang w:val="en-GB"/>
        </w:rPr>
        <w:t>Inflation</w:t>
      </w:r>
      <w:r w:rsidRPr="00EE533D">
        <w:rPr>
          <w:rFonts w:ascii="Times New Roman" w:hAnsi="Times New Roman" w:cs="Times New Roman"/>
          <w:iCs/>
          <w:sz w:val="24"/>
          <w:szCs w:val="24"/>
          <w:lang w:val="en-GB"/>
        </w:rPr>
        <w:t xml:space="preserve">). The national institutional framework is assessed through the vector </w:t>
      </w:r>
      <w:r w:rsidRPr="00EE533D">
        <w:rPr>
          <w:rFonts w:ascii="Times New Roman" w:hAnsi="Times New Roman" w:cs="Times New Roman"/>
          <w:i/>
          <w:sz w:val="24"/>
          <w:szCs w:val="24"/>
          <w:lang w:val="en-GB"/>
        </w:rPr>
        <w:t>Institution</w:t>
      </w:r>
      <w:r w:rsidR="00FA0DE4" w:rsidRPr="00EE533D">
        <w:rPr>
          <w:rFonts w:ascii="Times New Roman" w:hAnsi="Times New Roman" w:cs="Times New Roman"/>
          <w:iCs/>
          <w:sz w:val="24"/>
          <w:szCs w:val="24"/>
          <w:lang w:val="en-GB"/>
        </w:rPr>
        <w:t xml:space="preserve"> lagged by 1 year</w:t>
      </w:r>
      <w:r w:rsidRPr="00EE533D">
        <w:rPr>
          <w:rFonts w:ascii="Times New Roman" w:hAnsi="Times New Roman" w:cs="Times New Roman"/>
          <w:iCs/>
          <w:sz w:val="24"/>
          <w:szCs w:val="24"/>
          <w:lang w:val="en-GB"/>
        </w:rPr>
        <w:t xml:space="preserve">, which has our six dimensions gathered from the database of the </w:t>
      </w:r>
      <w:r w:rsidRPr="00EE533D">
        <w:rPr>
          <w:rFonts w:ascii="Times New Roman" w:hAnsi="Times New Roman" w:cs="Times New Roman"/>
          <w:i/>
          <w:sz w:val="24"/>
          <w:szCs w:val="24"/>
          <w:lang w:val="en-GB"/>
        </w:rPr>
        <w:t>World Bank</w:t>
      </w:r>
      <w:r w:rsidRPr="00EE533D">
        <w:rPr>
          <w:rFonts w:ascii="Times New Roman" w:hAnsi="Times New Roman" w:cs="Times New Roman"/>
          <w:iCs/>
          <w:sz w:val="24"/>
          <w:szCs w:val="24"/>
          <w:lang w:val="en-GB"/>
        </w:rPr>
        <w:t xml:space="preserve">. In this regard, hypothesis </w:t>
      </w:r>
      <w:r w:rsidRPr="00EE533D">
        <w:rPr>
          <w:rFonts w:ascii="Times New Roman" w:hAnsi="Times New Roman" w:cs="Times New Roman"/>
          <w:i/>
          <w:sz w:val="24"/>
          <w:szCs w:val="24"/>
          <w:lang w:val="en-GB"/>
        </w:rPr>
        <w:t>H1</w:t>
      </w:r>
      <w:r w:rsidRPr="00EE533D">
        <w:rPr>
          <w:rFonts w:ascii="Times New Roman" w:hAnsi="Times New Roman" w:cs="Times New Roman"/>
          <w:iCs/>
          <w:sz w:val="24"/>
          <w:szCs w:val="24"/>
          <w:lang w:val="en-GB"/>
        </w:rPr>
        <w:t xml:space="preserve"> (related to institutional stability) will be assessed through the degree of po</w:t>
      </w:r>
      <w:r w:rsidRPr="00EE533D">
        <w:rPr>
          <w:rFonts w:ascii="Times New Roman" w:hAnsi="Times New Roman" w:cs="Times New Roman"/>
          <w:iCs/>
          <w:sz w:val="24"/>
          <w:szCs w:val="24"/>
          <w:lang w:val="en-GB"/>
        </w:rPr>
        <w:lastRenderedPageBreak/>
        <w:t>litical stability (</w:t>
      </w:r>
      <w:r w:rsidRPr="00EE533D">
        <w:rPr>
          <w:rFonts w:ascii="Times New Roman" w:hAnsi="Times New Roman" w:cs="Times New Roman"/>
          <w:i/>
          <w:sz w:val="24"/>
          <w:szCs w:val="24"/>
          <w:lang w:val="en-GB"/>
        </w:rPr>
        <w:t>Political Stability</w:t>
      </w:r>
      <w:r w:rsidRPr="00EE533D">
        <w:rPr>
          <w:rFonts w:ascii="Times New Roman" w:hAnsi="Times New Roman" w:cs="Times New Roman"/>
          <w:iCs/>
          <w:sz w:val="24"/>
          <w:szCs w:val="24"/>
          <w:lang w:val="en-GB"/>
        </w:rPr>
        <w:t>) and confidence in law and order (</w:t>
      </w:r>
      <w:r w:rsidRPr="00EE533D">
        <w:rPr>
          <w:rFonts w:ascii="Times New Roman" w:hAnsi="Times New Roman" w:cs="Times New Roman"/>
          <w:i/>
          <w:sz w:val="24"/>
          <w:szCs w:val="24"/>
          <w:lang w:val="en-GB"/>
        </w:rPr>
        <w:t>Rule of Law</w:t>
      </w:r>
      <w:r w:rsidRPr="00EE533D">
        <w:rPr>
          <w:rFonts w:ascii="Times New Roman" w:hAnsi="Times New Roman" w:cs="Times New Roman"/>
          <w:iCs/>
          <w:sz w:val="24"/>
          <w:szCs w:val="24"/>
          <w:lang w:val="en-GB"/>
        </w:rPr>
        <w:t xml:space="preserve">). The testing of hypothesis </w:t>
      </w:r>
      <w:r w:rsidRPr="00EE533D">
        <w:rPr>
          <w:rFonts w:ascii="Times New Roman" w:hAnsi="Times New Roman" w:cs="Times New Roman"/>
          <w:i/>
          <w:sz w:val="24"/>
          <w:szCs w:val="24"/>
          <w:lang w:val="en-GB"/>
        </w:rPr>
        <w:t>H2</w:t>
      </w:r>
      <w:r w:rsidRPr="00EE533D">
        <w:rPr>
          <w:rFonts w:ascii="Times New Roman" w:hAnsi="Times New Roman" w:cs="Times New Roman"/>
          <w:iCs/>
          <w:sz w:val="24"/>
          <w:szCs w:val="24"/>
          <w:lang w:val="en-GB"/>
        </w:rPr>
        <w:t xml:space="preserve"> (related to </w:t>
      </w:r>
      <w:r w:rsidR="00216E35" w:rsidRPr="00EE533D">
        <w:rPr>
          <w:rFonts w:ascii="Times New Roman" w:hAnsi="Times New Roman" w:cs="Times New Roman"/>
          <w:iCs/>
          <w:sz w:val="24"/>
          <w:szCs w:val="24"/>
          <w:lang w:val="en-GB"/>
        </w:rPr>
        <w:t>free and fair governance</w:t>
      </w:r>
      <w:r w:rsidRPr="00EE533D">
        <w:rPr>
          <w:rFonts w:ascii="Times New Roman" w:hAnsi="Times New Roman" w:cs="Times New Roman"/>
          <w:iCs/>
          <w:sz w:val="24"/>
          <w:szCs w:val="24"/>
          <w:lang w:val="en-GB"/>
        </w:rPr>
        <w:t>) will rely on freedom of expression and citizens’ political involvement (</w:t>
      </w:r>
      <w:r w:rsidRPr="00EE533D">
        <w:rPr>
          <w:rFonts w:ascii="Times New Roman" w:hAnsi="Times New Roman" w:cs="Times New Roman"/>
          <w:i/>
          <w:sz w:val="24"/>
          <w:szCs w:val="24"/>
          <w:lang w:val="en-GB"/>
        </w:rPr>
        <w:t>Voice</w:t>
      </w:r>
      <w:r w:rsidRPr="00EE533D">
        <w:rPr>
          <w:rFonts w:ascii="Times New Roman" w:hAnsi="Times New Roman" w:cs="Times New Roman"/>
          <w:iCs/>
          <w:sz w:val="24"/>
          <w:szCs w:val="24"/>
          <w:lang w:val="en-GB"/>
        </w:rPr>
        <w:t>)</w:t>
      </w:r>
      <w:r w:rsidR="00216E35" w:rsidRPr="00EE533D">
        <w:rPr>
          <w:rFonts w:ascii="Times New Roman" w:hAnsi="Times New Roman" w:cs="Times New Roman"/>
          <w:iCs/>
          <w:sz w:val="24"/>
          <w:szCs w:val="24"/>
          <w:lang w:val="en-GB"/>
        </w:rPr>
        <w:t xml:space="preserve"> and</w:t>
      </w:r>
      <w:r w:rsidRPr="00EE533D">
        <w:rPr>
          <w:rFonts w:ascii="Times New Roman" w:hAnsi="Times New Roman" w:cs="Times New Roman"/>
          <w:iCs/>
          <w:sz w:val="24"/>
          <w:szCs w:val="24"/>
          <w:lang w:val="en-GB"/>
        </w:rPr>
        <w:t xml:space="preserve"> the control of local corruption (</w:t>
      </w:r>
      <w:r w:rsidRPr="00EE533D">
        <w:rPr>
          <w:rFonts w:ascii="Times New Roman" w:hAnsi="Times New Roman" w:cs="Times New Roman"/>
          <w:i/>
          <w:sz w:val="24"/>
          <w:szCs w:val="24"/>
          <w:lang w:val="en-GB"/>
        </w:rPr>
        <w:t>Control of Corruption</w:t>
      </w:r>
      <w:r w:rsidRPr="00EE533D">
        <w:rPr>
          <w:rFonts w:ascii="Times New Roman" w:hAnsi="Times New Roman" w:cs="Times New Roman"/>
          <w:iCs/>
          <w:sz w:val="24"/>
          <w:szCs w:val="24"/>
          <w:lang w:val="en-GB"/>
        </w:rPr>
        <w:t>)</w:t>
      </w:r>
      <w:r w:rsidR="00216E35" w:rsidRPr="00EE533D">
        <w:rPr>
          <w:rFonts w:ascii="Times New Roman" w:hAnsi="Times New Roman" w:cs="Times New Roman"/>
          <w:iCs/>
          <w:sz w:val="24"/>
          <w:szCs w:val="24"/>
          <w:lang w:val="en-GB"/>
        </w:rPr>
        <w:t xml:space="preserve"> while</w:t>
      </w:r>
      <w:r w:rsidRPr="00EE533D">
        <w:rPr>
          <w:rFonts w:ascii="Times New Roman" w:hAnsi="Times New Roman" w:cs="Times New Roman"/>
          <w:iCs/>
          <w:sz w:val="24"/>
          <w:szCs w:val="24"/>
          <w:lang w:val="en-GB"/>
        </w:rPr>
        <w:t xml:space="preserve"> the ability of governments to implement policies (</w:t>
      </w:r>
      <w:r w:rsidRPr="00EE533D">
        <w:rPr>
          <w:rFonts w:ascii="Times New Roman" w:hAnsi="Times New Roman" w:cs="Times New Roman"/>
          <w:i/>
          <w:sz w:val="24"/>
          <w:szCs w:val="24"/>
          <w:lang w:val="en-GB"/>
        </w:rPr>
        <w:t>Regulatory Quality</w:t>
      </w:r>
      <w:r w:rsidRPr="00EE533D">
        <w:rPr>
          <w:rFonts w:ascii="Times New Roman" w:hAnsi="Times New Roman" w:cs="Times New Roman"/>
          <w:iCs/>
          <w:sz w:val="24"/>
          <w:szCs w:val="24"/>
          <w:lang w:val="en-GB"/>
        </w:rPr>
        <w:t>) and the efficiency of the administrative infrastructure (</w:t>
      </w:r>
      <w:r w:rsidRPr="00EE533D">
        <w:rPr>
          <w:rFonts w:ascii="Times New Roman" w:hAnsi="Times New Roman" w:cs="Times New Roman"/>
          <w:i/>
          <w:sz w:val="24"/>
          <w:szCs w:val="24"/>
          <w:lang w:val="en-GB"/>
        </w:rPr>
        <w:t>Government effectiveness</w:t>
      </w:r>
      <w:r w:rsidRPr="00EE533D">
        <w:rPr>
          <w:rFonts w:ascii="Times New Roman" w:hAnsi="Times New Roman" w:cs="Times New Roman"/>
          <w:iCs/>
          <w:sz w:val="24"/>
          <w:szCs w:val="24"/>
          <w:lang w:val="en-GB"/>
        </w:rPr>
        <w:t>)</w:t>
      </w:r>
      <w:r w:rsidR="00216E35" w:rsidRPr="00EE533D">
        <w:rPr>
          <w:rFonts w:ascii="Times New Roman" w:hAnsi="Times New Roman" w:cs="Times New Roman"/>
          <w:iCs/>
          <w:sz w:val="24"/>
          <w:szCs w:val="24"/>
          <w:lang w:val="en-GB"/>
        </w:rPr>
        <w:t xml:space="preserve"> will</w:t>
      </w:r>
      <w:r w:rsidR="00953F38" w:rsidRPr="00EE533D">
        <w:rPr>
          <w:rFonts w:ascii="Times New Roman" w:hAnsi="Times New Roman" w:cs="Times New Roman"/>
          <w:iCs/>
          <w:sz w:val="24"/>
          <w:szCs w:val="24"/>
          <w:lang w:val="en-GB"/>
        </w:rPr>
        <w:t xml:space="preserve"> assess our last hypothesis.</w:t>
      </w:r>
    </w:p>
    <w:p w14:paraId="656634B4" w14:textId="709B0AE2" w:rsidR="007467F2" w:rsidRPr="00EE533D" w:rsidRDefault="007467F2" w:rsidP="0023427F">
      <w:pPr>
        <w:spacing w:after="0" w:line="360" w:lineRule="auto"/>
        <w:ind w:firstLine="708"/>
        <w:jc w:val="both"/>
        <w:rPr>
          <w:rFonts w:ascii="Times New Roman" w:hAnsi="Times New Roman" w:cs="Times New Roman"/>
          <w:iCs/>
          <w:sz w:val="24"/>
          <w:szCs w:val="24"/>
          <w:lang w:val="en-GB"/>
        </w:rPr>
      </w:pPr>
      <w:r w:rsidRPr="00EE533D">
        <w:rPr>
          <w:rFonts w:ascii="Times New Roman" w:hAnsi="Times New Roman" w:cs="Times New Roman"/>
          <w:iCs/>
          <w:sz w:val="24"/>
          <w:szCs w:val="24"/>
          <w:lang w:val="en-GB"/>
        </w:rPr>
        <w:lastRenderedPageBreak/>
        <w:t>The financial variables were winsorized at the 10</w:t>
      </w:r>
      <w:r w:rsidRPr="00EE533D">
        <w:rPr>
          <w:rFonts w:ascii="Times New Roman" w:hAnsi="Times New Roman" w:cs="Times New Roman"/>
          <w:iCs/>
          <w:sz w:val="24"/>
          <w:szCs w:val="24"/>
          <w:vertAlign w:val="superscript"/>
          <w:lang w:val="en-GB"/>
        </w:rPr>
        <w:t>th</w:t>
      </w:r>
      <w:r w:rsidRPr="00EE533D">
        <w:rPr>
          <w:rFonts w:ascii="Times New Roman" w:hAnsi="Times New Roman" w:cs="Times New Roman"/>
          <w:iCs/>
          <w:sz w:val="24"/>
          <w:szCs w:val="24"/>
          <w:lang w:val="en-GB"/>
        </w:rPr>
        <w:t xml:space="preserve"> and 90</w:t>
      </w:r>
      <w:r w:rsidRPr="00EE533D">
        <w:rPr>
          <w:rFonts w:ascii="Times New Roman" w:hAnsi="Times New Roman" w:cs="Times New Roman"/>
          <w:iCs/>
          <w:sz w:val="24"/>
          <w:szCs w:val="24"/>
          <w:vertAlign w:val="superscript"/>
          <w:lang w:val="en-GB"/>
        </w:rPr>
        <w:t>th</w:t>
      </w:r>
      <w:r w:rsidRPr="00EE533D">
        <w:rPr>
          <w:rFonts w:ascii="Times New Roman" w:hAnsi="Times New Roman" w:cs="Times New Roman"/>
          <w:iCs/>
          <w:sz w:val="24"/>
          <w:szCs w:val="24"/>
          <w:lang w:val="en-GB"/>
        </w:rPr>
        <w:t xml:space="preserve"> percentiles to address the influence of outliers. In this regard, we should expect firms that are benefiting from a high degree of liquidity (</w:t>
      </w:r>
      <w:r w:rsidRPr="00EE533D">
        <w:rPr>
          <w:rFonts w:ascii="Times New Roman" w:hAnsi="Times New Roman" w:cs="Times New Roman"/>
          <w:i/>
          <w:sz w:val="24"/>
          <w:szCs w:val="24"/>
          <w:lang w:val="en-GB"/>
        </w:rPr>
        <w:t>Cash Ratio</w:t>
      </w:r>
      <w:r w:rsidRPr="00EE533D">
        <w:rPr>
          <w:rFonts w:ascii="Times New Roman" w:hAnsi="Times New Roman" w:cs="Times New Roman"/>
          <w:iCs/>
          <w:sz w:val="24"/>
          <w:szCs w:val="24"/>
          <w:lang w:val="en-GB"/>
        </w:rPr>
        <w:t>)</w:t>
      </w:r>
      <w:r w:rsidR="00BE7EA2"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an expansion of their activities (</w:t>
      </w:r>
      <w:r w:rsidRPr="00EE533D">
        <w:rPr>
          <w:rFonts w:ascii="Times New Roman" w:hAnsi="Times New Roman" w:cs="Times New Roman"/>
          <w:i/>
          <w:sz w:val="24"/>
          <w:szCs w:val="24"/>
          <w:lang w:val="en-GB"/>
        </w:rPr>
        <w:t>Sales Growth</w:t>
      </w:r>
      <w:r w:rsidRPr="00EE533D">
        <w:rPr>
          <w:rFonts w:ascii="Times New Roman" w:hAnsi="Times New Roman" w:cs="Times New Roman"/>
          <w:iCs/>
          <w:sz w:val="24"/>
          <w:szCs w:val="24"/>
          <w:lang w:val="en-GB"/>
        </w:rPr>
        <w:t>)</w:t>
      </w:r>
      <w:r w:rsidR="00A75F81" w:rsidRPr="00EE533D">
        <w:rPr>
          <w:rFonts w:ascii="Times New Roman" w:hAnsi="Times New Roman" w:cs="Times New Roman"/>
          <w:iCs/>
          <w:sz w:val="24"/>
          <w:szCs w:val="24"/>
          <w:lang w:val="en-GB"/>
        </w:rPr>
        <w:t>,</w:t>
      </w:r>
      <w:r w:rsidRPr="00EE533D">
        <w:rPr>
          <w:rFonts w:ascii="Times New Roman" w:hAnsi="Times New Roman" w:cs="Times New Roman"/>
          <w:iCs/>
          <w:sz w:val="24"/>
          <w:szCs w:val="24"/>
          <w:lang w:val="en-GB"/>
        </w:rPr>
        <w:t xml:space="preserve"> </w:t>
      </w:r>
      <w:r w:rsidR="00BE7EA2" w:rsidRPr="00EE533D">
        <w:rPr>
          <w:rFonts w:ascii="Times New Roman" w:hAnsi="Times New Roman" w:cs="Times New Roman"/>
          <w:iCs/>
          <w:sz w:val="24"/>
          <w:szCs w:val="24"/>
          <w:lang w:val="en-GB"/>
        </w:rPr>
        <w:t xml:space="preserve">and </w:t>
      </w:r>
      <w:r w:rsidR="000179AB" w:rsidRPr="00EE533D">
        <w:rPr>
          <w:rFonts w:ascii="Times New Roman" w:hAnsi="Times New Roman" w:cs="Times New Roman"/>
          <w:iCs/>
          <w:sz w:val="24"/>
          <w:szCs w:val="24"/>
          <w:lang w:val="en-GB"/>
        </w:rPr>
        <w:t>solid financial performance (</w:t>
      </w:r>
      <w:r w:rsidR="000179AB" w:rsidRPr="00EE533D">
        <w:rPr>
          <w:rFonts w:ascii="Times New Roman" w:hAnsi="Times New Roman" w:cs="Times New Roman"/>
          <w:i/>
          <w:sz w:val="24"/>
          <w:szCs w:val="24"/>
          <w:lang w:val="en-GB"/>
        </w:rPr>
        <w:t>ROA</w:t>
      </w:r>
      <w:r w:rsidR="000179AB"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to engage more easily in initiatives that could strengthen their corporate green dimension. Similarly, large firms (</w:t>
      </w:r>
      <w:r w:rsidRPr="00EE533D">
        <w:rPr>
          <w:rFonts w:ascii="Times New Roman" w:hAnsi="Times New Roman" w:cs="Times New Roman"/>
          <w:i/>
          <w:sz w:val="24"/>
          <w:szCs w:val="24"/>
          <w:lang w:val="en-GB"/>
        </w:rPr>
        <w:t>Ln(Assets)</w:t>
      </w:r>
      <w:r w:rsidRPr="00EE533D">
        <w:rPr>
          <w:rFonts w:ascii="Times New Roman" w:hAnsi="Times New Roman" w:cs="Times New Roman"/>
          <w:iCs/>
          <w:sz w:val="24"/>
          <w:szCs w:val="24"/>
          <w:lang w:val="en-GB"/>
        </w:rPr>
        <w:t xml:space="preserve">) should be better equipped to establish recycling facilities. However, firms with a high degree of </w:t>
      </w:r>
      <w:r w:rsidRPr="00EE533D">
        <w:rPr>
          <w:rFonts w:ascii="Times New Roman" w:hAnsi="Times New Roman" w:cs="Times New Roman"/>
          <w:iCs/>
          <w:sz w:val="24"/>
          <w:szCs w:val="24"/>
          <w:lang w:val="en-GB"/>
        </w:rPr>
        <w:lastRenderedPageBreak/>
        <w:t>indebtedness (</w:t>
      </w:r>
      <w:r w:rsidRPr="00EE533D">
        <w:rPr>
          <w:rFonts w:ascii="Times New Roman" w:hAnsi="Times New Roman" w:cs="Times New Roman"/>
          <w:i/>
          <w:sz w:val="24"/>
          <w:szCs w:val="24"/>
          <w:lang w:val="en-GB"/>
        </w:rPr>
        <w:t>Debt/Equity</w:t>
      </w:r>
      <w:r w:rsidRPr="00EE533D">
        <w:rPr>
          <w:rFonts w:ascii="Times New Roman" w:hAnsi="Times New Roman" w:cs="Times New Roman"/>
          <w:iCs/>
          <w:sz w:val="24"/>
          <w:szCs w:val="24"/>
          <w:lang w:val="en-GB"/>
        </w:rPr>
        <w:t xml:space="preserve">) may neglect the development of their sustainable practices to meet their financial obligations. Furthermore, </w:t>
      </w:r>
      <w:r w:rsidR="008C034B" w:rsidRPr="00EE533D">
        <w:rPr>
          <w:rFonts w:ascii="Times New Roman" w:hAnsi="Times New Roman" w:cs="Times New Roman"/>
          <w:iCs/>
          <w:sz w:val="24"/>
          <w:szCs w:val="24"/>
          <w:lang w:val="en-GB"/>
        </w:rPr>
        <w:t>the study of</w:t>
      </w:r>
      <w:r w:rsidR="0023427F" w:rsidRPr="00EE533D">
        <w:rPr>
          <w:rFonts w:ascii="Times New Roman" w:hAnsi="Times New Roman" w:cs="Times New Roman"/>
          <w:iCs/>
          <w:sz w:val="24"/>
          <w:szCs w:val="24"/>
          <w:lang w:val="en-GB"/>
        </w:rPr>
        <w:t xml:space="preserve"> </w:t>
      </w:r>
      <w:r w:rsidR="0023427F" w:rsidRPr="00EE533D">
        <w:rPr>
          <w:rFonts w:ascii="Times New Roman" w:hAnsi="Times New Roman" w:cs="Times New Roman"/>
          <w:iCs/>
          <w:sz w:val="24"/>
          <w:szCs w:val="24"/>
          <w:lang w:val="en-GB"/>
        </w:rPr>
        <w:fldChar w:fldCharType="begin"/>
      </w:r>
      <w:r w:rsidR="008D5E03" w:rsidRPr="00EE533D">
        <w:rPr>
          <w:rFonts w:ascii="Times New Roman" w:hAnsi="Times New Roman" w:cs="Times New Roman"/>
          <w:iCs/>
          <w:sz w:val="24"/>
          <w:szCs w:val="24"/>
          <w:lang w:val="en-GB"/>
        </w:rPr>
        <w:instrText xml:space="preserve"> ADDIN ZOTERO_ITEM CSL_CITATION {"citationID":"8WoYGFkV","properties":{"formattedCitation":"(Hussain et al., 2018)","plainCitation":"(Hussain et al., 2018)","dontUpdate":true,"noteIndex":0},"citationItems":[{"id":3726,"uris":["http://zotero.org/users/8125408/items/UICM5KYY"],"itemData":{"id":3726,"type":"article-journal","container-title":"Journal of business ethics","ISSN":"0167-4544","journalAbbreviation":"Journal of business ethics","note":"publisher: Springer","page":"411-432","title":"Corporate governance and sustainability performance: Analysis of triple bottom line performance","volume":"149","author":[{"family":"Hussain","given":"Nazim"},{"family":"Rigoni","given":"Ugo"},{"family":"Orij","given":"René P"}],"issued":{"date-parts":[["2018"]]}}}],"schema":"https://github.com/citation-style-language/schema/raw/master/csl-citation.json"} </w:instrText>
      </w:r>
      <w:r w:rsidR="0023427F" w:rsidRPr="00EE533D">
        <w:rPr>
          <w:rFonts w:ascii="Times New Roman" w:hAnsi="Times New Roman" w:cs="Times New Roman"/>
          <w:iCs/>
          <w:sz w:val="24"/>
          <w:szCs w:val="24"/>
          <w:lang w:val="en-GB"/>
        </w:rPr>
        <w:fldChar w:fldCharType="separate"/>
      </w:r>
      <w:r w:rsidR="0023427F" w:rsidRPr="00EE533D">
        <w:rPr>
          <w:rFonts w:ascii="Times New Roman" w:hAnsi="Times New Roman" w:cs="Times New Roman"/>
          <w:sz w:val="24"/>
          <w:lang w:val="en-GB"/>
        </w:rPr>
        <w:t>Hussain et al. (2018)</w:t>
      </w:r>
      <w:r w:rsidR="0023427F" w:rsidRPr="00EE533D">
        <w:rPr>
          <w:rFonts w:ascii="Times New Roman" w:hAnsi="Times New Roman" w:cs="Times New Roman"/>
          <w:iCs/>
          <w:sz w:val="24"/>
          <w:szCs w:val="24"/>
          <w:lang w:val="en-GB"/>
        </w:rPr>
        <w:fldChar w:fldCharType="end"/>
      </w:r>
      <w:r w:rsidR="008C034B" w:rsidRPr="00EE533D">
        <w:rPr>
          <w:rFonts w:ascii="Times New Roman" w:hAnsi="Times New Roman" w:cs="Times New Roman"/>
          <w:iCs/>
          <w:sz w:val="24"/>
          <w:szCs w:val="24"/>
          <w:lang w:val="en-GB"/>
        </w:rPr>
        <w:t xml:space="preserve"> offers some guidance regarding the potential impact of corporate g</w:t>
      </w:r>
      <w:r w:rsidR="009E3855" w:rsidRPr="00EE533D">
        <w:rPr>
          <w:rFonts w:ascii="Times New Roman" w:hAnsi="Times New Roman" w:cs="Times New Roman"/>
          <w:iCs/>
          <w:sz w:val="24"/>
          <w:szCs w:val="24"/>
          <w:lang w:val="en-GB"/>
        </w:rPr>
        <w:t xml:space="preserve">overnance characteristics on sustainability performance. </w:t>
      </w:r>
      <w:r w:rsidR="00D14F55" w:rsidRPr="00EE533D">
        <w:rPr>
          <w:rFonts w:ascii="Times New Roman" w:hAnsi="Times New Roman" w:cs="Times New Roman"/>
          <w:iCs/>
          <w:sz w:val="24"/>
          <w:szCs w:val="24"/>
          <w:lang w:val="en-GB"/>
        </w:rPr>
        <w:t>On the one hand,</w:t>
      </w:r>
      <w:r w:rsidR="003E3764" w:rsidRPr="00EE533D">
        <w:rPr>
          <w:rFonts w:ascii="Times New Roman" w:hAnsi="Times New Roman" w:cs="Times New Roman"/>
          <w:iCs/>
          <w:sz w:val="24"/>
          <w:szCs w:val="24"/>
          <w:lang w:val="en-GB"/>
        </w:rPr>
        <w:t xml:space="preserve"> </w:t>
      </w:r>
      <w:r w:rsidR="00D6514C" w:rsidRPr="00EE533D">
        <w:rPr>
          <w:rFonts w:ascii="Times New Roman" w:hAnsi="Times New Roman" w:cs="Times New Roman"/>
          <w:iCs/>
          <w:sz w:val="24"/>
          <w:szCs w:val="24"/>
          <w:lang w:val="en-GB"/>
        </w:rPr>
        <w:t>larger boards</w:t>
      </w:r>
      <w:r w:rsidR="00943076" w:rsidRPr="00EE533D">
        <w:rPr>
          <w:rFonts w:ascii="Times New Roman" w:hAnsi="Times New Roman" w:cs="Times New Roman"/>
          <w:iCs/>
          <w:sz w:val="24"/>
          <w:szCs w:val="24"/>
          <w:lang w:val="en-GB"/>
        </w:rPr>
        <w:t xml:space="preserve"> (</w:t>
      </w:r>
      <w:r w:rsidR="00943076" w:rsidRPr="00EE533D">
        <w:rPr>
          <w:rFonts w:ascii="Times New Roman" w:hAnsi="Times New Roman" w:cs="Times New Roman"/>
          <w:i/>
          <w:sz w:val="24"/>
          <w:szCs w:val="24"/>
          <w:lang w:val="en-GB"/>
        </w:rPr>
        <w:t>Board Size</w:t>
      </w:r>
      <w:r w:rsidR="00943076" w:rsidRPr="00EE533D">
        <w:rPr>
          <w:rFonts w:ascii="Times New Roman" w:hAnsi="Times New Roman" w:cs="Times New Roman"/>
          <w:iCs/>
          <w:sz w:val="24"/>
          <w:szCs w:val="24"/>
          <w:lang w:val="en-GB"/>
        </w:rPr>
        <w:t>)</w:t>
      </w:r>
      <w:r w:rsidR="00D6514C" w:rsidRPr="00EE533D">
        <w:rPr>
          <w:rFonts w:ascii="Times New Roman" w:hAnsi="Times New Roman" w:cs="Times New Roman"/>
          <w:iCs/>
          <w:sz w:val="24"/>
          <w:szCs w:val="24"/>
          <w:lang w:val="en-GB"/>
        </w:rPr>
        <w:t xml:space="preserve"> </w:t>
      </w:r>
      <w:r w:rsidR="00AF7559" w:rsidRPr="00EE533D">
        <w:rPr>
          <w:rFonts w:ascii="Times New Roman" w:hAnsi="Times New Roman" w:cs="Times New Roman"/>
          <w:iCs/>
          <w:sz w:val="24"/>
          <w:szCs w:val="24"/>
          <w:lang w:val="en-GB"/>
        </w:rPr>
        <w:t xml:space="preserve">and the </w:t>
      </w:r>
      <w:r w:rsidR="005D011F" w:rsidRPr="00EE533D">
        <w:rPr>
          <w:rFonts w:ascii="Times New Roman" w:hAnsi="Times New Roman" w:cs="Times New Roman"/>
          <w:iCs/>
          <w:sz w:val="24"/>
          <w:szCs w:val="24"/>
          <w:lang w:val="en-GB"/>
        </w:rPr>
        <w:t>duality of CEO</w:t>
      </w:r>
      <w:r w:rsidR="00943076" w:rsidRPr="00EE533D">
        <w:rPr>
          <w:rFonts w:ascii="Times New Roman" w:hAnsi="Times New Roman" w:cs="Times New Roman"/>
          <w:iCs/>
          <w:sz w:val="24"/>
          <w:szCs w:val="24"/>
          <w:lang w:val="en-GB"/>
        </w:rPr>
        <w:t xml:space="preserve"> (</w:t>
      </w:r>
      <w:r w:rsidR="00943076" w:rsidRPr="00EE533D">
        <w:rPr>
          <w:rFonts w:ascii="Times New Roman" w:hAnsi="Times New Roman" w:cs="Times New Roman"/>
          <w:i/>
          <w:sz w:val="24"/>
          <w:szCs w:val="24"/>
          <w:lang w:val="en-GB"/>
        </w:rPr>
        <w:t>CEO Duality</w:t>
      </w:r>
      <w:r w:rsidR="00943076" w:rsidRPr="00EE533D">
        <w:rPr>
          <w:rFonts w:ascii="Times New Roman" w:hAnsi="Times New Roman" w:cs="Times New Roman"/>
          <w:iCs/>
          <w:sz w:val="24"/>
          <w:szCs w:val="24"/>
          <w:lang w:val="en-GB"/>
        </w:rPr>
        <w:t>)</w:t>
      </w:r>
      <w:r w:rsidR="005D011F" w:rsidRPr="00EE533D">
        <w:rPr>
          <w:rFonts w:ascii="Times New Roman" w:hAnsi="Times New Roman" w:cs="Times New Roman"/>
          <w:iCs/>
          <w:sz w:val="24"/>
          <w:szCs w:val="24"/>
          <w:lang w:val="en-GB"/>
        </w:rPr>
        <w:t xml:space="preserve"> </w:t>
      </w:r>
      <w:r w:rsidR="00B261D8" w:rsidRPr="00EE533D">
        <w:rPr>
          <w:rFonts w:ascii="Times New Roman" w:hAnsi="Times New Roman" w:cs="Times New Roman"/>
          <w:iCs/>
          <w:sz w:val="24"/>
          <w:szCs w:val="24"/>
          <w:lang w:val="en-GB"/>
        </w:rPr>
        <w:t xml:space="preserve">can </w:t>
      </w:r>
      <w:r w:rsidR="005D011F" w:rsidRPr="00EE533D">
        <w:rPr>
          <w:rFonts w:ascii="Times New Roman" w:hAnsi="Times New Roman" w:cs="Times New Roman"/>
          <w:iCs/>
          <w:sz w:val="24"/>
          <w:szCs w:val="24"/>
          <w:lang w:val="en-GB"/>
        </w:rPr>
        <w:t>limit th</w:t>
      </w:r>
      <w:r w:rsidR="00891797" w:rsidRPr="00EE533D">
        <w:rPr>
          <w:rFonts w:ascii="Times New Roman" w:hAnsi="Times New Roman" w:cs="Times New Roman"/>
          <w:iCs/>
          <w:sz w:val="24"/>
          <w:szCs w:val="24"/>
          <w:lang w:val="en-GB"/>
        </w:rPr>
        <w:t xml:space="preserve">e effectiveness of monitoring </w:t>
      </w:r>
      <w:r w:rsidR="009F79A1" w:rsidRPr="00EE533D">
        <w:rPr>
          <w:rFonts w:ascii="Times New Roman" w:hAnsi="Times New Roman" w:cs="Times New Roman"/>
          <w:iCs/>
          <w:sz w:val="24"/>
          <w:szCs w:val="24"/>
          <w:lang w:val="en-GB"/>
        </w:rPr>
        <w:t>managerial</w:t>
      </w:r>
      <w:r w:rsidR="00B261D8" w:rsidRPr="00EE533D">
        <w:rPr>
          <w:rFonts w:ascii="Times New Roman" w:hAnsi="Times New Roman" w:cs="Times New Roman"/>
          <w:iCs/>
          <w:sz w:val="24"/>
          <w:szCs w:val="24"/>
          <w:lang w:val="en-GB"/>
        </w:rPr>
        <w:t xml:space="preserve"> activity</w:t>
      </w:r>
      <w:r w:rsidR="009F79A1" w:rsidRPr="00EE533D">
        <w:rPr>
          <w:rFonts w:ascii="Times New Roman" w:hAnsi="Times New Roman" w:cs="Times New Roman"/>
          <w:iCs/>
          <w:sz w:val="24"/>
          <w:szCs w:val="24"/>
          <w:lang w:val="en-GB"/>
        </w:rPr>
        <w:t xml:space="preserve"> lead</w:t>
      </w:r>
      <w:r w:rsidR="00BA12C5" w:rsidRPr="00EE533D">
        <w:rPr>
          <w:rFonts w:ascii="Times New Roman" w:hAnsi="Times New Roman" w:cs="Times New Roman"/>
          <w:iCs/>
          <w:sz w:val="24"/>
          <w:szCs w:val="24"/>
          <w:lang w:val="en-GB"/>
        </w:rPr>
        <w:t>ing</w:t>
      </w:r>
      <w:r w:rsidR="009F79A1" w:rsidRPr="00EE533D">
        <w:rPr>
          <w:rFonts w:ascii="Times New Roman" w:hAnsi="Times New Roman" w:cs="Times New Roman"/>
          <w:iCs/>
          <w:sz w:val="24"/>
          <w:szCs w:val="24"/>
          <w:lang w:val="en-GB"/>
        </w:rPr>
        <w:t xml:space="preserve"> to negative conse</w:t>
      </w:r>
      <w:r w:rsidR="009F79A1" w:rsidRPr="00EE533D">
        <w:rPr>
          <w:rFonts w:ascii="Times New Roman" w:hAnsi="Times New Roman" w:cs="Times New Roman"/>
          <w:iCs/>
          <w:sz w:val="24"/>
          <w:szCs w:val="24"/>
          <w:lang w:val="en-GB"/>
        </w:rPr>
        <w:lastRenderedPageBreak/>
        <w:t>quences on the firm’s environmental performance. On the</w:t>
      </w:r>
      <w:r w:rsidR="00BA12C5" w:rsidRPr="00EE533D">
        <w:rPr>
          <w:rFonts w:ascii="Times New Roman" w:hAnsi="Times New Roman" w:cs="Times New Roman"/>
          <w:iCs/>
          <w:sz w:val="24"/>
          <w:szCs w:val="24"/>
          <w:lang w:val="en-GB"/>
        </w:rPr>
        <w:t xml:space="preserve"> other hand, </w:t>
      </w:r>
      <w:r w:rsidR="00E13F82" w:rsidRPr="00EE533D">
        <w:rPr>
          <w:rFonts w:ascii="Times New Roman" w:hAnsi="Times New Roman" w:cs="Times New Roman"/>
          <w:iCs/>
          <w:sz w:val="24"/>
          <w:szCs w:val="24"/>
          <w:lang w:val="en-GB"/>
        </w:rPr>
        <w:t xml:space="preserve">a governing board with a high degree </w:t>
      </w:r>
      <w:r w:rsidR="00896A8D" w:rsidRPr="00EE533D">
        <w:rPr>
          <w:rFonts w:ascii="Times New Roman" w:hAnsi="Times New Roman" w:cs="Times New Roman"/>
          <w:iCs/>
          <w:sz w:val="24"/>
          <w:szCs w:val="24"/>
          <w:lang w:val="en-GB"/>
        </w:rPr>
        <w:t>of independenc</w:t>
      </w:r>
      <w:r w:rsidR="00863809" w:rsidRPr="00EE533D">
        <w:rPr>
          <w:rFonts w:ascii="Times New Roman" w:hAnsi="Times New Roman" w:cs="Times New Roman"/>
          <w:iCs/>
          <w:sz w:val="24"/>
          <w:szCs w:val="24"/>
          <w:lang w:val="en-GB"/>
        </w:rPr>
        <w:t>e</w:t>
      </w:r>
      <w:r w:rsidR="0035677E" w:rsidRPr="00EE533D">
        <w:rPr>
          <w:rFonts w:ascii="Times New Roman" w:hAnsi="Times New Roman" w:cs="Times New Roman"/>
          <w:iCs/>
          <w:sz w:val="24"/>
          <w:szCs w:val="24"/>
          <w:lang w:val="en-GB"/>
        </w:rPr>
        <w:t xml:space="preserve"> (</w:t>
      </w:r>
      <w:r w:rsidR="0035677E" w:rsidRPr="00EE533D">
        <w:rPr>
          <w:rFonts w:ascii="Times New Roman" w:hAnsi="Times New Roman" w:cs="Times New Roman"/>
          <w:i/>
          <w:sz w:val="24"/>
          <w:szCs w:val="24"/>
          <w:lang w:val="en-GB"/>
        </w:rPr>
        <w:t>Independent</w:t>
      </w:r>
      <w:r w:rsidR="0035677E" w:rsidRPr="00EE533D">
        <w:rPr>
          <w:rFonts w:ascii="Times New Roman" w:hAnsi="Times New Roman" w:cs="Times New Roman"/>
          <w:iCs/>
          <w:sz w:val="24"/>
          <w:szCs w:val="24"/>
          <w:lang w:val="en-GB"/>
        </w:rPr>
        <w:t>)</w:t>
      </w:r>
      <w:r w:rsidR="00896A8D" w:rsidRPr="00EE533D">
        <w:rPr>
          <w:rFonts w:ascii="Times New Roman" w:hAnsi="Times New Roman" w:cs="Times New Roman"/>
          <w:iCs/>
          <w:sz w:val="24"/>
          <w:szCs w:val="24"/>
          <w:lang w:val="en-GB"/>
        </w:rPr>
        <w:t xml:space="preserve"> </w:t>
      </w:r>
      <w:r w:rsidR="008E3881" w:rsidRPr="00EE533D">
        <w:rPr>
          <w:rFonts w:ascii="Times New Roman" w:hAnsi="Times New Roman" w:cs="Times New Roman"/>
          <w:iCs/>
          <w:sz w:val="24"/>
          <w:szCs w:val="24"/>
          <w:lang w:val="en-GB"/>
        </w:rPr>
        <w:t>is</w:t>
      </w:r>
      <w:r w:rsidR="0035677E" w:rsidRPr="00EE533D">
        <w:rPr>
          <w:rFonts w:ascii="Times New Roman" w:hAnsi="Times New Roman" w:cs="Times New Roman"/>
          <w:iCs/>
          <w:sz w:val="24"/>
          <w:szCs w:val="24"/>
          <w:lang w:val="en-GB"/>
        </w:rPr>
        <w:t xml:space="preserve"> more committed to </w:t>
      </w:r>
      <w:r w:rsidR="00884385" w:rsidRPr="00EE533D">
        <w:rPr>
          <w:rFonts w:ascii="Times New Roman" w:hAnsi="Times New Roman" w:cs="Times New Roman"/>
          <w:iCs/>
          <w:sz w:val="24"/>
          <w:szCs w:val="24"/>
          <w:lang w:val="en-GB"/>
        </w:rPr>
        <w:t xml:space="preserve">a variety of </w:t>
      </w:r>
      <w:r w:rsidR="0035677E" w:rsidRPr="00EE533D">
        <w:rPr>
          <w:rFonts w:ascii="Times New Roman" w:hAnsi="Times New Roman" w:cs="Times New Roman"/>
          <w:iCs/>
          <w:sz w:val="24"/>
          <w:szCs w:val="24"/>
          <w:lang w:val="en-GB"/>
        </w:rPr>
        <w:t>stakeholders</w:t>
      </w:r>
      <w:r w:rsidR="00BD72F8" w:rsidRPr="00EE533D">
        <w:rPr>
          <w:rFonts w:ascii="Times New Roman" w:hAnsi="Times New Roman" w:cs="Times New Roman"/>
          <w:iCs/>
          <w:sz w:val="24"/>
          <w:szCs w:val="24"/>
          <w:lang w:val="en-GB"/>
        </w:rPr>
        <w:t xml:space="preserve"> while </w:t>
      </w:r>
      <w:r w:rsidR="00CE04FD" w:rsidRPr="00EE533D">
        <w:rPr>
          <w:rFonts w:ascii="Times New Roman" w:hAnsi="Times New Roman" w:cs="Times New Roman"/>
          <w:iCs/>
          <w:sz w:val="24"/>
          <w:szCs w:val="24"/>
          <w:lang w:val="en-GB"/>
        </w:rPr>
        <w:t>the presence of a CSR committee (</w:t>
      </w:r>
      <w:r w:rsidR="00CE04FD" w:rsidRPr="00EE533D">
        <w:rPr>
          <w:rFonts w:ascii="Times New Roman" w:hAnsi="Times New Roman" w:cs="Times New Roman"/>
          <w:i/>
          <w:sz w:val="24"/>
          <w:szCs w:val="24"/>
          <w:lang w:val="en-GB"/>
        </w:rPr>
        <w:t>CSR Committee</w:t>
      </w:r>
      <w:r w:rsidR="00CE04FD" w:rsidRPr="00EE533D">
        <w:rPr>
          <w:rFonts w:ascii="Times New Roman" w:hAnsi="Times New Roman" w:cs="Times New Roman"/>
          <w:iCs/>
          <w:sz w:val="24"/>
          <w:szCs w:val="24"/>
          <w:lang w:val="en-GB"/>
        </w:rPr>
        <w:t xml:space="preserve">) </w:t>
      </w:r>
      <w:r w:rsidR="00550A17" w:rsidRPr="00EE533D">
        <w:rPr>
          <w:rFonts w:ascii="Times New Roman" w:hAnsi="Times New Roman" w:cs="Times New Roman"/>
          <w:iCs/>
          <w:sz w:val="24"/>
          <w:szCs w:val="24"/>
          <w:lang w:val="en-GB"/>
        </w:rPr>
        <w:t>can also capture the board’s commitment towards sustainability.</w:t>
      </w:r>
      <w:r w:rsidR="0073111E" w:rsidRPr="00EE533D">
        <w:rPr>
          <w:rFonts w:ascii="Times New Roman" w:hAnsi="Times New Roman" w:cs="Times New Roman"/>
          <w:iCs/>
          <w:sz w:val="24"/>
          <w:szCs w:val="24"/>
          <w:lang w:val="en-GB"/>
        </w:rPr>
        <w:t xml:space="preserve"> </w:t>
      </w:r>
      <w:r w:rsidR="0072558D" w:rsidRPr="00EE533D">
        <w:rPr>
          <w:rFonts w:ascii="Times New Roman" w:hAnsi="Times New Roman" w:cs="Times New Roman"/>
          <w:iCs/>
          <w:sz w:val="24"/>
          <w:szCs w:val="24"/>
          <w:lang w:val="en-GB"/>
        </w:rPr>
        <w:t xml:space="preserve">Such </w:t>
      </w:r>
      <w:r w:rsidR="00994D19" w:rsidRPr="00EE533D">
        <w:rPr>
          <w:rFonts w:ascii="Times New Roman" w:hAnsi="Times New Roman" w:cs="Times New Roman"/>
          <w:iCs/>
          <w:sz w:val="24"/>
          <w:szCs w:val="24"/>
          <w:lang w:val="en-GB"/>
        </w:rPr>
        <w:t>a level</w:t>
      </w:r>
      <w:r w:rsidR="0072558D" w:rsidRPr="00EE533D">
        <w:rPr>
          <w:rFonts w:ascii="Times New Roman" w:hAnsi="Times New Roman" w:cs="Times New Roman"/>
          <w:iCs/>
          <w:sz w:val="24"/>
          <w:szCs w:val="24"/>
          <w:lang w:val="en-GB"/>
        </w:rPr>
        <w:t xml:space="preserve"> of engagement should incentivize firms to </w:t>
      </w:r>
      <w:r w:rsidR="00265937" w:rsidRPr="00EE533D">
        <w:rPr>
          <w:rFonts w:ascii="Times New Roman" w:hAnsi="Times New Roman" w:cs="Times New Roman"/>
          <w:iCs/>
          <w:sz w:val="24"/>
          <w:szCs w:val="24"/>
          <w:lang w:val="en-GB"/>
        </w:rPr>
        <w:t>develop their green practices.</w:t>
      </w:r>
      <w:r w:rsidR="00994D19" w:rsidRPr="00EE533D">
        <w:rPr>
          <w:rFonts w:ascii="Times New Roman" w:hAnsi="Times New Roman" w:cs="Times New Roman"/>
          <w:iCs/>
          <w:sz w:val="24"/>
          <w:szCs w:val="24"/>
          <w:lang w:val="en-GB"/>
        </w:rPr>
        <w:t xml:space="preserve"> Additionally, </w:t>
      </w:r>
      <w:r w:rsidRPr="00EE533D">
        <w:rPr>
          <w:rFonts w:ascii="Times New Roman" w:hAnsi="Times New Roman" w:cs="Times New Roman"/>
          <w:iCs/>
          <w:sz w:val="24"/>
          <w:szCs w:val="24"/>
          <w:lang w:val="en-GB"/>
        </w:rPr>
        <w:t xml:space="preserve">we should expect a high degree of recycling performance from firms operating in countries </w:t>
      </w:r>
      <w:r w:rsidR="00D45BCF" w:rsidRPr="00EE533D">
        <w:rPr>
          <w:rFonts w:ascii="Times New Roman" w:hAnsi="Times New Roman" w:cs="Times New Roman"/>
          <w:iCs/>
          <w:sz w:val="24"/>
          <w:szCs w:val="24"/>
          <w:lang w:val="en-GB"/>
        </w:rPr>
        <w:t xml:space="preserve">with </w:t>
      </w:r>
      <w:r w:rsidRPr="00EE533D">
        <w:rPr>
          <w:rFonts w:ascii="Times New Roman" w:hAnsi="Times New Roman" w:cs="Times New Roman"/>
          <w:iCs/>
          <w:sz w:val="24"/>
          <w:szCs w:val="24"/>
          <w:lang w:val="en-GB"/>
        </w:rPr>
        <w:t xml:space="preserve">extreme </w:t>
      </w:r>
      <w:r w:rsidRPr="00EE533D">
        <w:rPr>
          <w:rFonts w:ascii="Times New Roman" w:hAnsi="Times New Roman" w:cs="Times New Roman"/>
          <w:iCs/>
          <w:sz w:val="24"/>
          <w:szCs w:val="24"/>
          <w:lang w:val="en-GB"/>
        </w:rPr>
        <w:lastRenderedPageBreak/>
        <w:t>changes in the local temperature (</w:t>
      </w:r>
      <w:r w:rsidRPr="00EE533D">
        <w:rPr>
          <w:rFonts w:ascii="Times New Roman" w:hAnsi="Times New Roman" w:cs="Times New Roman"/>
          <w:i/>
          <w:sz w:val="24"/>
          <w:szCs w:val="24"/>
          <w:lang w:val="en-GB"/>
        </w:rPr>
        <w:t>Temp</w:t>
      </w:r>
      <w:r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fldChar w:fldCharType="begin"/>
      </w:r>
      <w:r w:rsidRPr="00EE533D">
        <w:rPr>
          <w:rFonts w:ascii="Times New Roman" w:hAnsi="Times New Roman" w:cs="Times New Roman"/>
          <w:iCs/>
          <w:sz w:val="24"/>
          <w:szCs w:val="24"/>
          <w:lang w:val="en-GB"/>
        </w:rPr>
        <w:instrText xml:space="preserve"> ADDIN ZOTERO_ITEM CSL_CITATION {"citationID":"5ZqBomcF","properties":{"formattedCitation":"(Campiglio et al., 2023)","plainCitation":"(Campiglio et al., 2023)","dontUpdate":true,"noteIndex":0},"citationItems":[{"id":1980,"uris":["http://zotero.org/users/8125408/items/DUHTMNLN"],"itemData":{"id":1980,"type":"article-journal","abstract":"Abstract\n            The financial risks and potential systemic impacts induced by climate change and the transition to a low‐carbon economy have become a central issue for both financial investors and their regulators. In this article, we develop a critical review of the empirical and theoretical literature concerning the impact of climate‐related risks on the price of financial assets. We first present the theoretical links between asset pricing and climate‐related risks and develop a theory of how climate risk drivers transmit costs to firms and lead to asset price changes. We then discuss studies looking at past climate‐related events, which show that both climate physical impacts and transition dynamics can trigger a revaluation of financial assets through multiple direct and indirect channels. Finally, we review the emerging literature that uses forward‐looking methodologies to estimate future climate‐related asset price changes, which suggests that climate financial risks can indeed have significant implications on financial stability.","container-title":"Journal of Economic Surveys","DOI":"10.1111/joes.12525","ISSN":"0950-0804, 1467-6419","issue":"3","journalAbbreviation":"Journal of Economic Surveys","language":"en","page":"950-992","source":"DOI.org (Crossref)","title":"Climate‐related risks in financial assets","volume":"37","author":[{"family":"Campiglio","given":"Emanuele"},{"family":"Daumas","given":"Louis"},{"family":"Monnin","given":"Pierre"},{"family":"Von Jagow","given":"Adrian"}],"issued":{"date-parts":[["2023",7]]}}}],"schema":"https://github.com/citation-style-language/schema/raw/master/csl-citation.json"} </w:instrText>
      </w:r>
      <w:r w:rsidRPr="00EE533D">
        <w:rPr>
          <w:rFonts w:ascii="Times New Roman" w:hAnsi="Times New Roman" w:cs="Times New Roman"/>
          <w:iCs/>
          <w:sz w:val="24"/>
          <w:szCs w:val="24"/>
          <w:lang w:val="en-GB"/>
        </w:rPr>
        <w:fldChar w:fldCharType="separate"/>
      </w:r>
      <w:r w:rsidRPr="00EE533D">
        <w:rPr>
          <w:rFonts w:ascii="Times New Roman" w:hAnsi="Times New Roman" w:cs="Times New Roman"/>
          <w:sz w:val="24"/>
          <w:lang w:val="en-GB"/>
        </w:rPr>
        <w:t xml:space="preserve">Campiglio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(2023)</w:t>
      </w:r>
      <w:r w:rsidRPr="00EE533D">
        <w:rPr>
          <w:rFonts w:ascii="Times New Roman" w:hAnsi="Times New Roman" w:cs="Times New Roman"/>
          <w:iCs/>
          <w:sz w:val="24"/>
          <w:szCs w:val="24"/>
          <w:lang w:val="en-GB"/>
        </w:rPr>
        <w:fldChar w:fldCharType="end"/>
      </w:r>
      <w:r w:rsidRPr="00EE533D">
        <w:rPr>
          <w:rFonts w:ascii="Times New Roman" w:hAnsi="Times New Roman" w:cs="Times New Roman"/>
          <w:iCs/>
          <w:sz w:val="24"/>
          <w:szCs w:val="24"/>
          <w:lang w:val="en-GB"/>
        </w:rPr>
        <w:t xml:space="preserve"> pointed out that the asset value can decrease because of the physical risks that emerge from long-term shifts in temperature and weather events. Consequently, firms might be more persuaded to strengthen their recycling performance. Those firms might be encouraged to invest more in recycling initiatives when rival businesses are already engaged in sustainable practices.</w:t>
      </w:r>
      <w:r w:rsidR="00953F38" w:rsidRPr="00EE533D">
        <w:rPr>
          <w:rFonts w:ascii="Times New Roman" w:hAnsi="Times New Roman" w:cs="Times New Roman"/>
          <w:iCs/>
          <w:sz w:val="24"/>
          <w:szCs w:val="24"/>
          <w:lang w:val="en-GB"/>
        </w:rPr>
        <w:t xml:space="preserve"> Additionally, </w:t>
      </w:r>
      <w:r w:rsidR="009D0188" w:rsidRPr="00EE533D">
        <w:rPr>
          <w:rFonts w:ascii="Times New Roman" w:hAnsi="Times New Roman" w:cs="Times New Roman"/>
          <w:iCs/>
          <w:sz w:val="24"/>
          <w:szCs w:val="24"/>
          <w:lang w:val="en-GB"/>
        </w:rPr>
        <w:t>growing large economies (</w:t>
      </w:r>
      <w:r w:rsidR="009D0188" w:rsidRPr="00EE533D">
        <w:rPr>
          <w:rFonts w:ascii="Times New Roman" w:hAnsi="Times New Roman" w:cs="Times New Roman"/>
          <w:i/>
          <w:sz w:val="24"/>
          <w:szCs w:val="24"/>
          <w:lang w:val="en-GB"/>
        </w:rPr>
        <w:t>GDPc</w:t>
      </w:r>
      <w:r w:rsidR="009D0188" w:rsidRPr="00EE533D">
        <w:rPr>
          <w:rFonts w:ascii="Times New Roman" w:hAnsi="Times New Roman" w:cs="Times New Roman"/>
          <w:iCs/>
          <w:sz w:val="24"/>
          <w:szCs w:val="24"/>
          <w:lang w:val="en-GB"/>
        </w:rPr>
        <w:t xml:space="preserve"> and </w:t>
      </w:r>
      <w:r w:rsidR="009D0188" w:rsidRPr="00EE533D">
        <w:rPr>
          <w:rFonts w:ascii="Times New Roman" w:hAnsi="Times New Roman" w:cs="Times New Roman"/>
          <w:i/>
          <w:sz w:val="24"/>
          <w:szCs w:val="24"/>
          <w:lang w:val="en-GB"/>
        </w:rPr>
        <w:t>GDPg</w:t>
      </w:r>
      <w:r w:rsidR="009D0188" w:rsidRPr="00EE533D">
        <w:rPr>
          <w:rFonts w:ascii="Times New Roman" w:hAnsi="Times New Roman" w:cs="Times New Roman"/>
          <w:iCs/>
          <w:sz w:val="24"/>
          <w:szCs w:val="24"/>
          <w:lang w:val="en-GB"/>
        </w:rPr>
        <w:t xml:space="preserve">) subject to a </w:t>
      </w:r>
      <w:r w:rsidR="009D0188" w:rsidRPr="00EE533D">
        <w:rPr>
          <w:rFonts w:ascii="Times New Roman" w:hAnsi="Times New Roman" w:cs="Times New Roman"/>
          <w:iCs/>
          <w:sz w:val="24"/>
          <w:szCs w:val="24"/>
          <w:lang w:val="en-GB"/>
        </w:rPr>
        <w:lastRenderedPageBreak/>
        <w:t>low inflation rate (</w:t>
      </w:r>
      <w:r w:rsidR="009D0188" w:rsidRPr="00EE533D">
        <w:rPr>
          <w:rFonts w:ascii="Times New Roman" w:hAnsi="Times New Roman" w:cs="Times New Roman"/>
          <w:i/>
          <w:sz w:val="24"/>
          <w:szCs w:val="24"/>
          <w:lang w:val="en-GB"/>
        </w:rPr>
        <w:t>Inflation</w:t>
      </w:r>
      <w:r w:rsidR="009D0188" w:rsidRPr="00EE533D">
        <w:rPr>
          <w:rFonts w:ascii="Times New Roman" w:hAnsi="Times New Roman" w:cs="Times New Roman"/>
          <w:iCs/>
          <w:sz w:val="24"/>
          <w:szCs w:val="24"/>
          <w:lang w:val="en-GB"/>
        </w:rPr>
        <w:t xml:space="preserve">) </w:t>
      </w:r>
      <w:r w:rsidR="00B353DB" w:rsidRPr="00EE533D">
        <w:rPr>
          <w:rFonts w:ascii="Times New Roman" w:hAnsi="Times New Roman" w:cs="Times New Roman"/>
          <w:iCs/>
          <w:sz w:val="24"/>
          <w:szCs w:val="24"/>
          <w:lang w:val="en-GB"/>
        </w:rPr>
        <w:t xml:space="preserve">should </w:t>
      </w:r>
      <w:r w:rsidR="00F56466" w:rsidRPr="00EE533D">
        <w:rPr>
          <w:rFonts w:ascii="Times New Roman" w:hAnsi="Times New Roman" w:cs="Times New Roman"/>
          <w:iCs/>
          <w:sz w:val="24"/>
          <w:szCs w:val="24"/>
          <w:lang w:val="en-GB"/>
        </w:rPr>
        <w:t>favo</w:t>
      </w:r>
      <w:r w:rsidR="00863809" w:rsidRPr="00EE533D">
        <w:rPr>
          <w:rFonts w:ascii="Times New Roman" w:hAnsi="Times New Roman" w:cs="Times New Roman"/>
          <w:iCs/>
          <w:sz w:val="24"/>
          <w:szCs w:val="24"/>
          <w:lang w:val="en-GB"/>
        </w:rPr>
        <w:t>u</w:t>
      </w:r>
      <w:r w:rsidR="00F56466" w:rsidRPr="00EE533D">
        <w:rPr>
          <w:rFonts w:ascii="Times New Roman" w:hAnsi="Times New Roman" w:cs="Times New Roman"/>
          <w:iCs/>
          <w:sz w:val="24"/>
          <w:szCs w:val="24"/>
          <w:lang w:val="en-GB"/>
        </w:rPr>
        <w:t>r</w:t>
      </w:r>
      <w:r w:rsidR="00B353DB" w:rsidRPr="00EE533D">
        <w:rPr>
          <w:rFonts w:ascii="Times New Roman" w:hAnsi="Times New Roman" w:cs="Times New Roman"/>
          <w:iCs/>
          <w:sz w:val="24"/>
          <w:szCs w:val="24"/>
          <w:lang w:val="en-GB"/>
        </w:rPr>
        <w:t xml:space="preserve"> high production </w:t>
      </w:r>
      <w:r w:rsidR="009164F6" w:rsidRPr="00EE533D">
        <w:rPr>
          <w:rFonts w:ascii="Times New Roman" w:hAnsi="Times New Roman" w:cs="Times New Roman"/>
          <w:iCs/>
          <w:sz w:val="24"/>
          <w:szCs w:val="24"/>
          <w:lang w:val="en-GB"/>
        </w:rPr>
        <w:t>output</w:t>
      </w:r>
      <w:r w:rsidR="00B353DB" w:rsidRPr="00EE533D">
        <w:rPr>
          <w:rFonts w:ascii="Times New Roman" w:hAnsi="Times New Roman" w:cs="Times New Roman"/>
          <w:iCs/>
          <w:sz w:val="24"/>
          <w:szCs w:val="24"/>
          <w:lang w:val="en-GB"/>
        </w:rPr>
        <w:t xml:space="preserve"> and thus </w:t>
      </w:r>
      <w:r w:rsidR="00EB2875" w:rsidRPr="00EE533D">
        <w:rPr>
          <w:rFonts w:ascii="Times New Roman" w:hAnsi="Times New Roman" w:cs="Times New Roman"/>
          <w:iCs/>
          <w:sz w:val="24"/>
          <w:szCs w:val="24"/>
          <w:lang w:val="en-GB"/>
        </w:rPr>
        <w:t>higher recycling performance for firms with more competitive recycling</w:t>
      </w:r>
      <w:r w:rsidR="00B52A3A" w:rsidRPr="00EE533D">
        <w:rPr>
          <w:rFonts w:ascii="Times New Roman" w:hAnsi="Times New Roman" w:cs="Times New Roman"/>
          <w:iCs/>
          <w:sz w:val="24"/>
          <w:szCs w:val="24"/>
          <w:lang w:val="en-GB"/>
        </w:rPr>
        <w:t xml:space="preserve"> facilities.</w:t>
      </w:r>
    </w:p>
    <w:p w14:paraId="1D00CD90" w14:textId="7A81492D" w:rsidR="007467F2" w:rsidRPr="00EE533D" w:rsidRDefault="007467F2" w:rsidP="007467F2">
      <w:pPr>
        <w:spacing w:after="0" w:line="360" w:lineRule="auto"/>
        <w:jc w:val="both"/>
        <w:rPr>
          <w:rFonts w:ascii="Times New Roman" w:hAnsi="Times New Roman" w:cs="Times New Roman"/>
          <w:iCs/>
          <w:sz w:val="24"/>
          <w:szCs w:val="24"/>
          <w:lang w:val="en-GB"/>
        </w:rPr>
      </w:pPr>
      <w:r w:rsidRPr="00EE533D">
        <w:rPr>
          <w:rFonts w:ascii="Times New Roman" w:hAnsi="Times New Roman" w:cs="Times New Roman"/>
          <w:iCs/>
          <w:sz w:val="24"/>
          <w:szCs w:val="24"/>
          <w:lang w:val="en-GB"/>
        </w:rPr>
        <w:tab/>
        <w:t xml:space="preserve">The coefficients of equation (1) are estimated using a panel regression with time effects, the firms’ fixed effects and standard errors clustered at the industry level, because each sector of activity may have different capabilities to adopt eco-friendly practices. The results are shown in Table 5. In light of the wide criticism </w:t>
      </w:r>
      <w:r w:rsidRPr="00EE533D">
        <w:rPr>
          <w:rFonts w:ascii="Times New Roman" w:hAnsi="Times New Roman" w:cs="Times New Roman"/>
          <w:iCs/>
          <w:sz w:val="24"/>
          <w:szCs w:val="24"/>
          <w:lang w:val="en-GB"/>
        </w:rPr>
        <w:lastRenderedPageBreak/>
        <w:t>of the significance testing of a null hypothesis (</w:t>
      </w:r>
      <w:r w:rsidRPr="00EE533D">
        <w:rPr>
          <w:rFonts w:ascii="Times New Roman" w:hAnsi="Times New Roman" w:cs="Times New Roman"/>
          <w:iCs/>
          <w:sz w:val="24"/>
          <w:szCs w:val="24"/>
          <w:lang w:val="en-GB"/>
        </w:rPr>
        <w:fldChar w:fldCharType="begin"/>
      </w:r>
      <w:r w:rsidRPr="00EE533D">
        <w:rPr>
          <w:rFonts w:ascii="Times New Roman" w:hAnsi="Times New Roman" w:cs="Times New Roman"/>
          <w:iCs/>
          <w:sz w:val="24"/>
          <w:szCs w:val="24"/>
          <w:lang w:val="en-GB"/>
        </w:rPr>
        <w:instrText xml:space="preserve"> ADDIN ZOTERO_ITEM CSL_CITATION {"citationID":"YoKKZNbK","properties":{"formattedCitation":"(Gill, 1999)","plainCitation":"(Gill, 1999)","dontUpdate":true,"noteIndex":0},"citationItems":[{"id":1982,"uris":["http://zotero.org/users/8125408/items/D5T3Q2AN"],"itemData":{"id":1982,"type":"article-journal","container-title":"Political research quarterly","ISSN":"1065-9129","issue":"3","journalAbbreviation":"Political research quarterly","note":"publisher: University of Utah 260 SO. Central Campus Drive, RM. 252, Salt Lake City …","page":"647-674","title":"The insignificance of null hypothesis significance testing","volume":"52","author":[{"family":"Gill","given":"Jeff"}],"issued":{"date-parts":[["1999"]]}}}],"schema":"https://github.com/citation-style-language/schema/raw/master/csl-citation.json"} </w:instrText>
      </w:r>
      <w:r w:rsidRPr="00EE533D">
        <w:rPr>
          <w:rFonts w:ascii="Times New Roman" w:hAnsi="Times New Roman" w:cs="Times New Roman"/>
          <w:iCs/>
          <w:sz w:val="24"/>
          <w:szCs w:val="24"/>
          <w:lang w:val="en-GB"/>
        </w:rPr>
        <w:fldChar w:fldCharType="separate"/>
      </w:r>
      <w:r w:rsidRPr="00EE533D">
        <w:rPr>
          <w:rFonts w:ascii="Times New Roman" w:hAnsi="Times New Roman" w:cs="Times New Roman"/>
          <w:sz w:val="24"/>
          <w:lang w:val="en-GB"/>
        </w:rPr>
        <w:t>Gill, 1999</w:t>
      </w:r>
      <w:r w:rsidRPr="00EE533D">
        <w:rPr>
          <w:rFonts w:ascii="Times New Roman" w:hAnsi="Times New Roman" w:cs="Times New Roman"/>
          <w:iCs/>
          <w:sz w:val="24"/>
          <w:szCs w:val="24"/>
          <w:lang w:val="en-GB"/>
        </w:rPr>
        <w:fldChar w:fldCharType="end"/>
      </w:r>
      <w:r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fldChar w:fldCharType="begin"/>
      </w:r>
      <w:r w:rsidRPr="00EE533D">
        <w:rPr>
          <w:rFonts w:ascii="Times New Roman" w:hAnsi="Times New Roman" w:cs="Times New Roman"/>
          <w:iCs/>
          <w:sz w:val="24"/>
          <w:szCs w:val="24"/>
          <w:lang w:val="en-GB"/>
        </w:rPr>
        <w:instrText xml:space="preserve"> ADDIN ZOTERO_ITEM CSL_CITATION {"citationID":"iBV2TWkO","properties":{"formattedCitation":"(Schwab et al., 2011)","plainCitation":"(Schwab et al., 2011)","dontUpdate":true,"noteIndex":0},"citationItems":[{"id":1983,"uris":["http://zotero.org/users/8125408/items/7LGZFBQB"],"itemData":{"id":1983,"type":"article-journal","container-title":"Organization Science","ISSN":"1047-7039","issue":"4","journalAbbreviation":"Organization Science","note":"publisher: INFORMS","page":"1105-1120","title":"Perspective—researchers should make thoughtful assessments instead of null-hypothesis significance tests","volume":"22","author":[{"family":"Schwab","given":"Andreas"},{"family":"Abrahamson","given":"Eric"},{"family":"Starbuck","given":"William H"},{"family":"Fidler","given":"Fiona"}],"issued":{"date-parts":[["2011"]]}}}],"schema":"https://github.com/citation-style-language/schema/raw/master/csl-citation.json"} </w:instrText>
      </w:r>
      <w:r w:rsidRPr="00EE533D">
        <w:rPr>
          <w:rFonts w:ascii="Times New Roman" w:hAnsi="Times New Roman" w:cs="Times New Roman"/>
          <w:iCs/>
          <w:sz w:val="24"/>
          <w:szCs w:val="24"/>
          <w:lang w:val="en-GB"/>
        </w:rPr>
        <w:fldChar w:fldCharType="separate"/>
      </w:r>
      <w:r w:rsidRPr="00EE533D">
        <w:rPr>
          <w:rFonts w:ascii="Times New Roman" w:hAnsi="Times New Roman" w:cs="Times New Roman"/>
          <w:sz w:val="24"/>
          <w:lang w:val="en-GB"/>
        </w:rPr>
        <w:t xml:space="preserve">Schwab </w:t>
      </w:r>
      <w:r w:rsidRPr="00EE533D">
        <w:rPr>
          <w:rFonts w:ascii="Times New Roman" w:hAnsi="Times New Roman" w:cs="Times New Roman"/>
          <w:i/>
          <w:iCs/>
          <w:sz w:val="24"/>
          <w:lang w:val="en-GB"/>
        </w:rPr>
        <w:t>et al</w:t>
      </w:r>
      <w:r w:rsidRPr="00EE533D">
        <w:rPr>
          <w:rFonts w:ascii="Times New Roman" w:hAnsi="Times New Roman" w:cs="Times New Roman"/>
          <w:sz w:val="24"/>
          <w:lang w:val="en-GB"/>
        </w:rPr>
        <w:t>., 2011)</w:t>
      </w:r>
      <w:r w:rsidRPr="00EE533D">
        <w:rPr>
          <w:rFonts w:ascii="Times New Roman" w:hAnsi="Times New Roman" w:cs="Times New Roman"/>
          <w:iCs/>
          <w:sz w:val="24"/>
          <w:szCs w:val="24"/>
          <w:lang w:val="en-GB"/>
        </w:rPr>
        <w:fldChar w:fldCharType="end"/>
      </w:r>
      <w:r w:rsidRPr="00EE533D">
        <w:rPr>
          <w:rFonts w:ascii="Times New Roman" w:hAnsi="Times New Roman" w:cs="Times New Roman"/>
          <w:iCs/>
          <w:sz w:val="24"/>
          <w:szCs w:val="24"/>
          <w:lang w:val="en-GB"/>
        </w:rPr>
        <w:t xml:space="preserve">, we will limit the interpretation of the significant coefficients estimated in Table 5 to the effect sizes. </w:t>
      </w:r>
      <w:r w:rsidR="00A11AF6" w:rsidRPr="00EE533D">
        <w:rPr>
          <w:rFonts w:ascii="Times New Roman" w:hAnsi="Times New Roman" w:cs="Times New Roman"/>
          <w:iCs/>
          <w:sz w:val="24"/>
          <w:szCs w:val="24"/>
          <w:lang w:val="en-GB"/>
        </w:rPr>
        <w:t>The first three columns report the estimated coefficients in the absence of corporate governance variables. Overall, t</w:t>
      </w:r>
      <w:r w:rsidRPr="00EE533D">
        <w:rPr>
          <w:rFonts w:ascii="Times New Roman" w:hAnsi="Times New Roman" w:cs="Times New Roman"/>
          <w:iCs/>
          <w:sz w:val="24"/>
          <w:szCs w:val="24"/>
          <w:lang w:val="en-GB"/>
        </w:rPr>
        <w:t>he panel estimates reveal that firms recycle more waste and more paper in more politically stable countries</w:t>
      </w:r>
      <w:r w:rsidR="00791C92" w:rsidRPr="00EE533D">
        <w:rPr>
          <w:rFonts w:ascii="Times New Roman" w:hAnsi="Times New Roman" w:cs="Times New Roman"/>
          <w:iCs/>
          <w:sz w:val="24"/>
          <w:szCs w:val="24"/>
          <w:lang w:val="en-GB"/>
        </w:rPr>
        <w:t xml:space="preserve"> providing some support to our first hypothesis</w:t>
      </w:r>
      <w:r w:rsidRPr="00EE533D">
        <w:rPr>
          <w:rFonts w:ascii="Times New Roman" w:hAnsi="Times New Roman" w:cs="Times New Roman"/>
          <w:iCs/>
          <w:sz w:val="24"/>
          <w:szCs w:val="24"/>
          <w:lang w:val="en-GB"/>
        </w:rPr>
        <w:t xml:space="preserve">. A 0.1-point improvement in the index of </w:t>
      </w:r>
      <w:r w:rsidRPr="00EE533D">
        <w:rPr>
          <w:rFonts w:ascii="Times New Roman" w:hAnsi="Times New Roman" w:cs="Times New Roman"/>
          <w:i/>
          <w:sz w:val="24"/>
          <w:szCs w:val="24"/>
          <w:lang w:val="en-GB"/>
        </w:rPr>
        <w:t>Political Stability</w:t>
      </w:r>
      <w:r w:rsidRPr="00EE533D">
        <w:rPr>
          <w:rFonts w:ascii="Times New Roman" w:hAnsi="Times New Roman" w:cs="Times New Roman"/>
          <w:iCs/>
          <w:sz w:val="24"/>
          <w:szCs w:val="24"/>
          <w:lang w:val="en-GB"/>
        </w:rPr>
        <w:t xml:space="preserve"> is </w:t>
      </w:r>
      <w:r w:rsidRPr="00EE533D">
        <w:rPr>
          <w:rFonts w:ascii="Times New Roman" w:hAnsi="Times New Roman" w:cs="Times New Roman"/>
          <w:iCs/>
          <w:sz w:val="24"/>
          <w:szCs w:val="24"/>
          <w:lang w:val="en-GB"/>
        </w:rPr>
        <w:lastRenderedPageBreak/>
        <w:t>associated with an expected increase of 0.</w:t>
      </w:r>
      <w:r w:rsidR="004E6B32" w:rsidRPr="00EE533D">
        <w:rPr>
          <w:rFonts w:ascii="Times New Roman" w:hAnsi="Times New Roman" w:cs="Times New Roman"/>
          <w:iCs/>
          <w:sz w:val="24"/>
          <w:szCs w:val="24"/>
          <w:lang w:val="en-GB"/>
        </w:rPr>
        <w:t>44</w:t>
      </w:r>
      <w:r w:rsidRPr="00EE533D">
        <w:rPr>
          <w:rFonts w:ascii="Times New Roman" w:hAnsi="Times New Roman" w:cs="Times New Roman"/>
          <w:iCs/>
          <w:sz w:val="24"/>
          <w:szCs w:val="24"/>
          <w:lang w:val="en-GB"/>
        </w:rPr>
        <w:t xml:space="preserve"> percentage points in the level of waste recycling</w:t>
      </w:r>
      <w:r w:rsidR="00E577D0"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 xml:space="preserve">(column (4)) and a </w:t>
      </w:r>
      <w:r w:rsidR="00BC46C7" w:rsidRPr="00EE533D">
        <w:rPr>
          <w:rFonts w:ascii="Times New Roman" w:hAnsi="Times New Roman" w:cs="Times New Roman"/>
          <w:iCs/>
          <w:sz w:val="24"/>
          <w:szCs w:val="24"/>
          <w:lang w:val="en-GB"/>
        </w:rPr>
        <w:t>5</w:t>
      </w:r>
      <w:r w:rsidRPr="00EE533D">
        <w:rPr>
          <w:rFonts w:ascii="Times New Roman" w:hAnsi="Times New Roman" w:cs="Times New Roman"/>
          <w:iCs/>
          <w:sz w:val="24"/>
          <w:szCs w:val="24"/>
          <w:lang w:val="en-GB"/>
        </w:rPr>
        <w:t>.</w:t>
      </w:r>
      <w:r w:rsidR="00BC46C7" w:rsidRPr="00EE533D">
        <w:rPr>
          <w:rFonts w:ascii="Times New Roman" w:hAnsi="Times New Roman" w:cs="Times New Roman"/>
          <w:iCs/>
          <w:sz w:val="24"/>
          <w:szCs w:val="24"/>
          <w:lang w:val="en-GB"/>
        </w:rPr>
        <w:t>5</w:t>
      </w:r>
      <w:r w:rsidRPr="00EE533D">
        <w:rPr>
          <w:rFonts w:ascii="Times New Roman" w:hAnsi="Times New Roman" w:cs="Times New Roman"/>
          <w:iCs/>
          <w:sz w:val="24"/>
          <w:szCs w:val="24"/>
          <w:lang w:val="en-GB"/>
        </w:rPr>
        <w:t>% increase in the volume of paper recycled (column (6))</w:t>
      </w:r>
      <w:r w:rsidRPr="00EE533D">
        <w:rPr>
          <w:rStyle w:val="FootnoteReference"/>
          <w:lang w:val="en-GB"/>
        </w:rPr>
        <w:footnoteReference w:id="1"/>
      </w:r>
      <w:r w:rsidRPr="00EE533D">
        <w:rPr>
          <w:rFonts w:ascii="Times New Roman" w:hAnsi="Times New Roman" w:cs="Times New Roman"/>
          <w:iCs/>
          <w:sz w:val="24"/>
          <w:szCs w:val="24"/>
          <w:lang w:val="en-GB"/>
        </w:rPr>
        <w:t>. Table 5 also reveals that a stronger rule of law</w:t>
      </w:r>
      <w:r w:rsidR="000A57C2" w:rsidRPr="00EE533D">
        <w:rPr>
          <w:rFonts w:ascii="Times New Roman" w:hAnsi="Times New Roman" w:cs="Times New Roman"/>
          <w:iCs/>
          <w:sz w:val="24"/>
          <w:szCs w:val="24"/>
          <w:lang w:val="en-GB"/>
        </w:rPr>
        <w:t xml:space="preserve"> and an intense control of local corruption</w:t>
      </w:r>
      <w:r w:rsidRPr="00EE533D">
        <w:rPr>
          <w:rFonts w:ascii="Times New Roman" w:hAnsi="Times New Roman" w:cs="Times New Roman"/>
          <w:iCs/>
          <w:sz w:val="24"/>
          <w:szCs w:val="24"/>
          <w:lang w:val="en-GB"/>
        </w:rPr>
        <w:t xml:space="preserve"> </w:t>
      </w:r>
      <w:r w:rsidR="00A81256" w:rsidRPr="00EE533D">
        <w:rPr>
          <w:rFonts w:ascii="Times New Roman" w:hAnsi="Times New Roman" w:cs="Times New Roman"/>
          <w:iCs/>
          <w:sz w:val="24"/>
          <w:szCs w:val="24"/>
          <w:lang w:val="en-GB"/>
        </w:rPr>
        <w:t>are</w:t>
      </w:r>
      <w:r w:rsidRPr="00EE533D">
        <w:rPr>
          <w:rFonts w:ascii="Times New Roman" w:hAnsi="Times New Roman" w:cs="Times New Roman"/>
          <w:iCs/>
          <w:sz w:val="24"/>
          <w:szCs w:val="24"/>
          <w:lang w:val="en-GB"/>
        </w:rPr>
        <w:t xml:space="preserve"> negatively and significantly associated with the use of recycled water (column (</w:t>
      </w:r>
      <w:r w:rsidR="00A81256" w:rsidRPr="00EE533D">
        <w:rPr>
          <w:rFonts w:ascii="Times New Roman" w:hAnsi="Times New Roman" w:cs="Times New Roman"/>
          <w:iCs/>
          <w:sz w:val="24"/>
          <w:szCs w:val="24"/>
          <w:lang w:val="en-GB"/>
        </w:rPr>
        <w:t>5</w:t>
      </w:r>
      <w:r w:rsidRPr="00EE533D">
        <w:rPr>
          <w:rFonts w:ascii="Times New Roman" w:hAnsi="Times New Roman" w:cs="Times New Roman"/>
          <w:iCs/>
          <w:sz w:val="24"/>
          <w:szCs w:val="24"/>
          <w:lang w:val="en-GB"/>
        </w:rPr>
        <w:t>)).</w:t>
      </w:r>
    </w:p>
    <w:p w14:paraId="42DABD91" w14:textId="76BBD061" w:rsidR="007467F2" w:rsidRPr="00EE533D" w:rsidRDefault="007467F2" w:rsidP="00127A34">
      <w:pPr>
        <w:spacing w:after="0" w:line="360" w:lineRule="auto"/>
        <w:jc w:val="both"/>
        <w:rPr>
          <w:rFonts w:ascii="Times New Roman" w:hAnsi="Times New Roman" w:cs="Times New Roman"/>
          <w:iCs/>
          <w:sz w:val="24"/>
          <w:szCs w:val="24"/>
          <w:lang w:val="en-GB"/>
        </w:rPr>
      </w:pPr>
      <w:r w:rsidRPr="00EE533D">
        <w:rPr>
          <w:rFonts w:ascii="Times New Roman" w:hAnsi="Times New Roman" w:cs="Times New Roman"/>
          <w:iCs/>
          <w:sz w:val="24"/>
          <w:szCs w:val="24"/>
          <w:lang w:val="en-GB"/>
        </w:rPr>
        <w:lastRenderedPageBreak/>
        <w:tab/>
        <w:t>The financial control variables show a weak capacity to predict the firms’ engagement in recycling practices.</w:t>
      </w:r>
      <w:r w:rsidR="00AA4ABE" w:rsidRPr="00EE533D">
        <w:rPr>
          <w:rFonts w:ascii="Times New Roman" w:hAnsi="Times New Roman" w:cs="Times New Roman"/>
          <w:iCs/>
          <w:sz w:val="24"/>
          <w:szCs w:val="24"/>
          <w:lang w:val="en-GB"/>
        </w:rPr>
        <w:t xml:space="preserve"> In terms of governance, the only dimension with a significant and</w:t>
      </w:r>
      <w:r w:rsidR="00C53F69" w:rsidRPr="00EE533D">
        <w:rPr>
          <w:rFonts w:ascii="Times New Roman" w:hAnsi="Times New Roman" w:cs="Times New Roman"/>
          <w:iCs/>
          <w:sz w:val="24"/>
          <w:szCs w:val="24"/>
          <w:lang w:val="en-GB"/>
        </w:rPr>
        <w:t xml:space="preserve"> positive</w:t>
      </w:r>
      <w:r w:rsidR="00AA4ABE" w:rsidRPr="00EE533D">
        <w:rPr>
          <w:rFonts w:ascii="Times New Roman" w:hAnsi="Times New Roman" w:cs="Times New Roman"/>
          <w:iCs/>
          <w:sz w:val="24"/>
          <w:szCs w:val="24"/>
          <w:lang w:val="en-GB"/>
        </w:rPr>
        <w:t xml:space="preserve"> estimated coefficient is </w:t>
      </w:r>
      <w:r w:rsidR="00AA4ABE" w:rsidRPr="00EE533D">
        <w:rPr>
          <w:rFonts w:ascii="Times New Roman" w:hAnsi="Times New Roman" w:cs="Times New Roman"/>
          <w:i/>
          <w:sz w:val="24"/>
          <w:szCs w:val="24"/>
          <w:lang w:val="en-GB"/>
        </w:rPr>
        <w:t>Board Size</w:t>
      </w:r>
      <w:r w:rsidR="00AA4ABE" w:rsidRPr="00EE533D">
        <w:rPr>
          <w:rFonts w:ascii="Times New Roman" w:hAnsi="Times New Roman" w:cs="Times New Roman"/>
          <w:iCs/>
          <w:sz w:val="24"/>
          <w:szCs w:val="24"/>
          <w:lang w:val="en-GB"/>
        </w:rPr>
        <w:t xml:space="preserve"> in column (5)</w:t>
      </w:r>
      <w:r w:rsidR="00915287" w:rsidRPr="00EE533D">
        <w:rPr>
          <w:rFonts w:ascii="Times New Roman" w:hAnsi="Times New Roman" w:cs="Times New Roman"/>
          <w:iCs/>
          <w:sz w:val="24"/>
          <w:szCs w:val="24"/>
          <w:lang w:val="en-GB"/>
        </w:rPr>
        <w:t xml:space="preserve"> dealing with </w:t>
      </w:r>
      <w:r w:rsidR="00915287" w:rsidRPr="00EE533D">
        <w:rPr>
          <w:rFonts w:ascii="Times New Roman" w:hAnsi="Times New Roman" w:cs="Times New Roman"/>
          <w:i/>
          <w:sz w:val="24"/>
          <w:szCs w:val="24"/>
          <w:lang w:val="en-GB"/>
        </w:rPr>
        <w:t>Recycled Water</w:t>
      </w:r>
      <w:r w:rsidR="00AA4ABE" w:rsidRPr="00EE533D">
        <w:rPr>
          <w:rFonts w:ascii="Times New Roman" w:hAnsi="Times New Roman" w:cs="Times New Roman"/>
          <w:iCs/>
          <w:sz w:val="24"/>
          <w:szCs w:val="24"/>
          <w:lang w:val="en-GB"/>
        </w:rPr>
        <w:t>.</w:t>
      </w:r>
      <w:r w:rsidR="001B3800" w:rsidRPr="00EE533D">
        <w:rPr>
          <w:rFonts w:ascii="Times New Roman" w:hAnsi="Times New Roman" w:cs="Times New Roman"/>
          <w:iCs/>
          <w:sz w:val="24"/>
          <w:szCs w:val="24"/>
          <w:lang w:val="en-GB"/>
        </w:rPr>
        <w:t xml:space="preserve"> According to</w:t>
      </w:r>
      <w:r w:rsidR="006111A9" w:rsidRPr="00EE533D">
        <w:rPr>
          <w:rFonts w:ascii="Times New Roman" w:hAnsi="Times New Roman" w:cs="Times New Roman"/>
          <w:iCs/>
          <w:sz w:val="24"/>
          <w:szCs w:val="24"/>
          <w:lang w:val="en-GB"/>
        </w:rPr>
        <w:t xml:space="preserve"> </w:t>
      </w:r>
      <w:r w:rsidR="00127A34" w:rsidRPr="00EE533D">
        <w:rPr>
          <w:rFonts w:ascii="Times New Roman" w:hAnsi="Times New Roman" w:cs="Times New Roman"/>
          <w:iCs/>
          <w:sz w:val="24"/>
          <w:szCs w:val="24"/>
          <w:lang w:val="en-GB"/>
        </w:rPr>
        <w:fldChar w:fldCharType="begin"/>
      </w:r>
      <w:r w:rsidR="008D5E03" w:rsidRPr="00EE533D">
        <w:rPr>
          <w:rFonts w:ascii="Times New Roman" w:hAnsi="Times New Roman" w:cs="Times New Roman"/>
          <w:iCs/>
          <w:sz w:val="24"/>
          <w:szCs w:val="24"/>
          <w:lang w:val="en-GB"/>
        </w:rPr>
        <w:instrText xml:space="preserve"> ADDIN ZOTERO_ITEM CSL_CITATION {"citationID":"TdcVuEhk","properties":{"formattedCitation":"(Dalton and Dalton, 2005)","plainCitation":"(Dalton and Dalton, 2005)","dontUpdate":true,"noteIndex":0},"citationItems":[{"id":3728,"uris":["http://zotero.org/users/8125408/items/XFUCLG2S"],"itemData":{"id":3728,"type":"article-journal","container-title":"British Journal of management","ISSN":"1045-3172","journalAbbreviation":"British Journal of management","note":"publisher: Wiley Online Library","page":"S91-S97","title":"Boards of directors: Utilizing empirical evidence in developing practical prescriptions","volume":"16","author":[{"family":"Dalton","given":"Catherine M"},{"family":"Dalton","given":"Dan R"}],"issued":{"date-parts":[["2005"]]}}}],"schema":"https://github.com/citation-style-language/schema/raw/master/csl-citation.json"} </w:instrText>
      </w:r>
      <w:r w:rsidR="00127A34" w:rsidRPr="00EE533D">
        <w:rPr>
          <w:rFonts w:ascii="Times New Roman" w:hAnsi="Times New Roman" w:cs="Times New Roman"/>
          <w:iCs/>
          <w:sz w:val="24"/>
          <w:szCs w:val="24"/>
          <w:lang w:val="en-GB"/>
        </w:rPr>
        <w:fldChar w:fldCharType="separate"/>
      </w:r>
      <w:r w:rsidR="00127A34" w:rsidRPr="00EE533D">
        <w:rPr>
          <w:rFonts w:ascii="Times New Roman" w:hAnsi="Times New Roman" w:cs="Times New Roman"/>
          <w:sz w:val="24"/>
          <w:lang w:val="en-GB"/>
        </w:rPr>
        <w:t>Dalton and Dalton (2005)</w:t>
      </w:r>
      <w:r w:rsidR="00127A34" w:rsidRPr="00EE533D">
        <w:rPr>
          <w:rFonts w:ascii="Times New Roman" w:hAnsi="Times New Roman" w:cs="Times New Roman"/>
          <w:iCs/>
          <w:sz w:val="24"/>
          <w:szCs w:val="24"/>
          <w:lang w:val="en-GB"/>
        </w:rPr>
        <w:fldChar w:fldCharType="end"/>
      </w:r>
      <w:r w:rsidR="00127A34" w:rsidRPr="00EE533D">
        <w:rPr>
          <w:rFonts w:ascii="Times New Roman" w:hAnsi="Times New Roman" w:cs="Times New Roman"/>
          <w:iCs/>
          <w:sz w:val="24"/>
          <w:szCs w:val="24"/>
          <w:lang w:val="en-GB"/>
        </w:rPr>
        <w:t>, larger</w:t>
      </w:r>
      <w:r w:rsidR="00593A8C" w:rsidRPr="00EE533D">
        <w:rPr>
          <w:rFonts w:ascii="Times New Roman" w:hAnsi="Times New Roman" w:cs="Times New Roman"/>
          <w:iCs/>
          <w:sz w:val="24"/>
          <w:szCs w:val="24"/>
          <w:lang w:val="en-GB"/>
        </w:rPr>
        <w:t xml:space="preserve"> boards provide access </w:t>
      </w:r>
      <w:r w:rsidR="00C4372E" w:rsidRPr="00EE533D">
        <w:rPr>
          <w:rFonts w:ascii="Times New Roman" w:hAnsi="Times New Roman" w:cs="Times New Roman"/>
          <w:iCs/>
          <w:sz w:val="24"/>
          <w:szCs w:val="24"/>
          <w:lang w:val="en-GB"/>
        </w:rPr>
        <w:t xml:space="preserve">to </w:t>
      </w:r>
      <w:r w:rsidR="00593A8C" w:rsidRPr="00EE533D">
        <w:rPr>
          <w:rFonts w:ascii="Times New Roman" w:hAnsi="Times New Roman" w:cs="Times New Roman"/>
          <w:iCs/>
          <w:sz w:val="24"/>
          <w:szCs w:val="24"/>
          <w:lang w:val="en-GB"/>
        </w:rPr>
        <w:t>networking opportunities</w:t>
      </w:r>
      <w:r w:rsidR="00127A34" w:rsidRPr="00EE533D">
        <w:rPr>
          <w:rFonts w:ascii="Times New Roman" w:hAnsi="Times New Roman" w:cs="Times New Roman"/>
          <w:iCs/>
          <w:sz w:val="24"/>
          <w:szCs w:val="24"/>
          <w:lang w:val="en-GB"/>
        </w:rPr>
        <w:t>,</w:t>
      </w:r>
      <w:r w:rsidR="00C4372E" w:rsidRPr="00EE533D">
        <w:rPr>
          <w:rFonts w:ascii="Times New Roman" w:hAnsi="Times New Roman" w:cs="Times New Roman"/>
          <w:iCs/>
          <w:sz w:val="24"/>
          <w:szCs w:val="24"/>
          <w:lang w:val="en-GB"/>
        </w:rPr>
        <w:t xml:space="preserve"> and valuable human capital </w:t>
      </w:r>
      <w:r w:rsidR="00957316" w:rsidRPr="00EE533D">
        <w:rPr>
          <w:rFonts w:ascii="Times New Roman" w:hAnsi="Times New Roman" w:cs="Times New Roman"/>
          <w:iCs/>
          <w:sz w:val="24"/>
          <w:szCs w:val="24"/>
          <w:lang w:val="en-GB"/>
        </w:rPr>
        <w:t xml:space="preserve">captured by </w:t>
      </w:r>
      <w:r w:rsidR="00D11184" w:rsidRPr="00EE533D">
        <w:rPr>
          <w:rFonts w:ascii="Times New Roman" w:hAnsi="Times New Roman" w:cs="Times New Roman"/>
          <w:iCs/>
          <w:sz w:val="24"/>
          <w:szCs w:val="24"/>
          <w:lang w:val="en-GB"/>
        </w:rPr>
        <w:t xml:space="preserve">the capacity to provide advice, </w:t>
      </w:r>
      <w:r w:rsidR="00957316" w:rsidRPr="00EE533D">
        <w:rPr>
          <w:rFonts w:ascii="Times New Roman" w:hAnsi="Times New Roman" w:cs="Times New Roman"/>
          <w:iCs/>
          <w:sz w:val="24"/>
          <w:szCs w:val="24"/>
          <w:lang w:val="en-GB"/>
        </w:rPr>
        <w:t>the</w:t>
      </w:r>
      <w:r w:rsidR="00593A8C" w:rsidRPr="00EE533D">
        <w:rPr>
          <w:rFonts w:ascii="Times New Roman" w:hAnsi="Times New Roman" w:cs="Times New Roman"/>
          <w:iCs/>
          <w:sz w:val="24"/>
          <w:szCs w:val="24"/>
          <w:lang w:val="en-GB"/>
        </w:rPr>
        <w:t xml:space="preserve"> experiences</w:t>
      </w:r>
      <w:r w:rsidR="00D11184" w:rsidRPr="00EE533D">
        <w:rPr>
          <w:rFonts w:ascii="Times New Roman" w:hAnsi="Times New Roman" w:cs="Times New Roman"/>
          <w:iCs/>
          <w:sz w:val="24"/>
          <w:szCs w:val="24"/>
          <w:lang w:val="en-GB"/>
        </w:rPr>
        <w:t xml:space="preserve"> and</w:t>
      </w:r>
      <w:r w:rsidR="00B91847" w:rsidRPr="00EE533D">
        <w:rPr>
          <w:rFonts w:ascii="Times New Roman" w:hAnsi="Times New Roman" w:cs="Times New Roman"/>
          <w:iCs/>
          <w:sz w:val="24"/>
          <w:szCs w:val="24"/>
          <w:lang w:val="en-GB"/>
        </w:rPr>
        <w:t xml:space="preserve"> </w:t>
      </w:r>
      <w:r w:rsidR="00593A8C" w:rsidRPr="00EE533D">
        <w:rPr>
          <w:rFonts w:ascii="Times New Roman" w:hAnsi="Times New Roman" w:cs="Times New Roman"/>
          <w:iCs/>
          <w:sz w:val="24"/>
          <w:szCs w:val="24"/>
          <w:lang w:val="en-GB"/>
        </w:rPr>
        <w:t>skills</w:t>
      </w:r>
      <w:r w:rsidR="00B91847" w:rsidRPr="00EE533D">
        <w:rPr>
          <w:rFonts w:ascii="Times New Roman" w:hAnsi="Times New Roman" w:cs="Times New Roman"/>
          <w:iCs/>
          <w:sz w:val="24"/>
          <w:szCs w:val="24"/>
          <w:lang w:val="en-GB"/>
        </w:rPr>
        <w:t xml:space="preserve"> </w:t>
      </w:r>
      <w:r w:rsidR="00957316" w:rsidRPr="00EE533D">
        <w:rPr>
          <w:rFonts w:ascii="Times New Roman" w:hAnsi="Times New Roman" w:cs="Times New Roman"/>
          <w:iCs/>
          <w:sz w:val="24"/>
          <w:szCs w:val="24"/>
          <w:lang w:val="en-GB"/>
        </w:rPr>
        <w:t>of the board’s members.</w:t>
      </w:r>
      <w:r w:rsidR="00412D79" w:rsidRPr="00EE533D">
        <w:rPr>
          <w:rFonts w:ascii="Times New Roman" w:hAnsi="Times New Roman" w:cs="Times New Roman"/>
          <w:iCs/>
          <w:sz w:val="24"/>
          <w:szCs w:val="24"/>
          <w:lang w:val="en-GB"/>
        </w:rPr>
        <w:t xml:space="preserve"> </w:t>
      </w:r>
      <w:r w:rsidR="00F16666" w:rsidRPr="00EE533D">
        <w:rPr>
          <w:rFonts w:ascii="Times New Roman" w:hAnsi="Times New Roman" w:cs="Times New Roman"/>
          <w:iCs/>
          <w:sz w:val="24"/>
          <w:szCs w:val="24"/>
          <w:lang w:val="en-GB"/>
        </w:rPr>
        <w:t xml:space="preserve">Such </w:t>
      </w:r>
      <w:r w:rsidR="00915287" w:rsidRPr="00EE533D">
        <w:rPr>
          <w:rFonts w:ascii="Times New Roman" w:hAnsi="Times New Roman" w:cs="Times New Roman"/>
          <w:iCs/>
          <w:sz w:val="24"/>
          <w:szCs w:val="24"/>
          <w:lang w:val="en-GB"/>
        </w:rPr>
        <w:t>advantages</w:t>
      </w:r>
      <w:r w:rsidR="00A728A6" w:rsidRPr="00EE533D">
        <w:rPr>
          <w:rFonts w:ascii="Times New Roman" w:hAnsi="Times New Roman" w:cs="Times New Roman"/>
          <w:iCs/>
          <w:sz w:val="24"/>
          <w:szCs w:val="24"/>
          <w:lang w:val="en-GB"/>
        </w:rPr>
        <w:t xml:space="preserve"> of a larger </w:t>
      </w:r>
      <w:r w:rsidR="00A728A6" w:rsidRPr="00EE533D">
        <w:rPr>
          <w:rFonts w:ascii="Times New Roman" w:hAnsi="Times New Roman" w:cs="Times New Roman"/>
          <w:iCs/>
          <w:sz w:val="24"/>
          <w:szCs w:val="24"/>
          <w:lang w:val="en-GB"/>
        </w:rPr>
        <w:lastRenderedPageBreak/>
        <w:t xml:space="preserve">board can </w:t>
      </w:r>
      <w:r w:rsidR="00C70E0A" w:rsidRPr="00EE533D">
        <w:rPr>
          <w:rFonts w:ascii="Times New Roman" w:hAnsi="Times New Roman" w:cs="Times New Roman"/>
          <w:iCs/>
          <w:sz w:val="24"/>
          <w:szCs w:val="24"/>
          <w:lang w:val="en-GB"/>
        </w:rPr>
        <w:t xml:space="preserve">positively </w:t>
      </w:r>
      <w:r w:rsidR="00C57D66" w:rsidRPr="00EE533D">
        <w:rPr>
          <w:rFonts w:ascii="Times New Roman" w:hAnsi="Times New Roman" w:cs="Times New Roman"/>
          <w:iCs/>
          <w:sz w:val="24"/>
          <w:szCs w:val="24"/>
          <w:lang w:val="en-GB"/>
        </w:rPr>
        <w:t xml:space="preserve">influence </w:t>
      </w:r>
      <w:r w:rsidR="009A6DCA" w:rsidRPr="00EE533D">
        <w:rPr>
          <w:rFonts w:ascii="Times New Roman" w:hAnsi="Times New Roman" w:cs="Times New Roman"/>
          <w:iCs/>
          <w:sz w:val="24"/>
          <w:szCs w:val="24"/>
          <w:lang w:val="en-GB"/>
        </w:rPr>
        <w:t>the firm’s green strategy.</w:t>
      </w:r>
      <w:r w:rsidR="00915287" w:rsidRPr="00EE533D">
        <w:rPr>
          <w:rFonts w:ascii="Times New Roman" w:hAnsi="Times New Roman" w:cs="Times New Roman"/>
          <w:iCs/>
          <w:sz w:val="24"/>
          <w:szCs w:val="24"/>
          <w:lang w:val="en-GB"/>
        </w:rPr>
        <w:t xml:space="preserve"> </w:t>
      </w:r>
      <w:r w:rsidR="001647CA" w:rsidRPr="00EE533D">
        <w:rPr>
          <w:rFonts w:ascii="Times New Roman" w:hAnsi="Times New Roman" w:cs="Times New Roman"/>
          <w:iCs/>
          <w:sz w:val="24"/>
          <w:szCs w:val="24"/>
          <w:lang w:val="en-GB"/>
        </w:rPr>
        <w:t xml:space="preserve">However, our macroeconomic variables </w:t>
      </w:r>
      <w:r w:rsidR="00863809" w:rsidRPr="00EE533D">
        <w:rPr>
          <w:rFonts w:ascii="Times New Roman" w:hAnsi="Times New Roman" w:cs="Times New Roman"/>
          <w:iCs/>
          <w:sz w:val="24"/>
          <w:szCs w:val="24"/>
          <w:lang w:val="en-GB"/>
        </w:rPr>
        <w:t xml:space="preserve">are </w:t>
      </w:r>
      <w:r w:rsidR="001647CA" w:rsidRPr="00EE533D">
        <w:rPr>
          <w:rFonts w:ascii="Times New Roman" w:hAnsi="Times New Roman" w:cs="Times New Roman"/>
          <w:iCs/>
          <w:sz w:val="24"/>
          <w:szCs w:val="24"/>
          <w:lang w:val="en-GB"/>
        </w:rPr>
        <w:t>significantly relate</w:t>
      </w:r>
      <w:r w:rsidR="00863809" w:rsidRPr="00EE533D">
        <w:rPr>
          <w:rFonts w:ascii="Times New Roman" w:hAnsi="Times New Roman" w:cs="Times New Roman"/>
          <w:iCs/>
          <w:sz w:val="24"/>
          <w:szCs w:val="24"/>
          <w:lang w:val="en-GB"/>
        </w:rPr>
        <w:t>d</w:t>
      </w:r>
      <w:r w:rsidR="001647CA" w:rsidRPr="00EE533D">
        <w:rPr>
          <w:rFonts w:ascii="Times New Roman" w:hAnsi="Times New Roman" w:cs="Times New Roman"/>
          <w:iCs/>
          <w:sz w:val="24"/>
          <w:szCs w:val="24"/>
          <w:lang w:val="en-GB"/>
        </w:rPr>
        <w:t xml:space="preserve"> to </w:t>
      </w:r>
      <w:r w:rsidR="0051302E" w:rsidRPr="00EE533D">
        <w:rPr>
          <w:rFonts w:ascii="Times New Roman" w:hAnsi="Times New Roman" w:cs="Times New Roman"/>
          <w:iCs/>
          <w:sz w:val="24"/>
          <w:szCs w:val="24"/>
          <w:lang w:val="en-GB"/>
        </w:rPr>
        <w:t xml:space="preserve">our recycling proxies. </w:t>
      </w:r>
      <w:r w:rsidR="00346BCB" w:rsidRPr="00EE533D">
        <w:rPr>
          <w:rFonts w:ascii="Times New Roman" w:hAnsi="Times New Roman" w:cs="Times New Roman"/>
          <w:iCs/>
          <w:sz w:val="24"/>
          <w:szCs w:val="24"/>
          <w:lang w:val="en-GB"/>
        </w:rPr>
        <w:t>Interestingly, the economic growth</w:t>
      </w:r>
      <w:r w:rsidR="005A767E" w:rsidRPr="00EE533D">
        <w:rPr>
          <w:rFonts w:ascii="Times New Roman" w:hAnsi="Times New Roman" w:cs="Times New Roman"/>
          <w:iCs/>
          <w:sz w:val="24"/>
          <w:szCs w:val="24"/>
          <w:lang w:val="en-GB"/>
        </w:rPr>
        <w:t xml:space="preserve"> (</w:t>
      </w:r>
      <w:r w:rsidR="005A767E" w:rsidRPr="00EE533D">
        <w:rPr>
          <w:rFonts w:ascii="Times New Roman" w:hAnsi="Times New Roman" w:cs="Times New Roman"/>
          <w:i/>
          <w:sz w:val="24"/>
          <w:szCs w:val="24"/>
          <w:lang w:val="en-GB"/>
        </w:rPr>
        <w:t>GDPg</w:t>
      </w:r>
      <w:r w:rsidR="005A767E" w:rsidRPr="00EE533D">
        <w:rPr>
          <w:rFonts w:ascii="Times New Roman" w:hAnsi="Times New Roman" w:cs="Times New Roman"/>
          <w:iCs/>
          <w:sz w:val="24"/>
          <w:szCs w:val="24"/>
          <w:lang w:val="en-GB"/>
        </w:rPr>
        <w:t>)</w:t>
      </w:r>
      <w:r w:rsidR="00346BCB" w:rsidRPr="00EE533D">
        <w:rPr>
          <w:rFonts w:ascii="Times New Roman" w:hAnsi="Times New Roman" w:cs="Times New Roman"/>
          <w:iCs/>
          <w:sz w:val="24"/>
          <w:szCs w:val="24"/>
          <w:lang w:val="en-GB"/>
        </w:rPr>
        <w:t xml:space="preserve"> is associated with a lower level of recycled water probably </w:t>
      </w:r>
      <w:r w:rsidR="001F40A7" w:rsidRPr="00EE533D">
        <w:rPr>
          <w:rFonts w:ascii="Times New Roman" w:hAnsi="Times New Roman" w:cs="Times New Roman"/>
          <w:iCs/>
          <w:sz w:val="24"/>
          <w:szCs w:val="24"/>
          <w:lang w:val="en-GB"/>
        </w:rPr>
        <w:t>because of</w:t>
      </w:r>
      <w:r w:rsidR="00346BCB" w:rsidRPr="00EE533D">
        <w:rPr>
          <w:rFonts w:ascii="Times New Roman" w:hAnsi="Times New Roman" w:cs="Times New Roman"/>
          <w:iCs/>
          <w:sz w:val="24"/>
          <w:szCs w:val="24"/>
          <w:lang w:val="en-GB"/>
        </w:rPr>
        <w:t xml:space="preserve"> higher demand and thus a higher consumption of water</w:t>
      </w:r>
      <w:r w:rsidR="005A767E" w:rsidRPr="00EE533D">
        <w:rPr>
          <w:rFonts w:ascii="Times New Roman" w:hAnsi="Times New Roman" w:cs="Times New Roman"/>
          <w:iCs/>
          <w:sz w:val="24"/>
          <w:szCs w:val="24"/>
          <w:lang w:val="en-GB"/>
        </w:rPr>
        <w:t xml:space="preserve"> for operational activities</w:t>
      </w:r>
      <w:r w:rsidR="00B6158C" w:rsidRPr="00EE533D">
        <w:rPr>
          <w:rFonts w:ascii="Times New Roman" w:hAnsi="Times New Roman" w:cs="Times New Roman"/>
          <w:iCs/>
          <w:sz w:val="24"/>
          <w:szCs w:val="24"/>
          <w:lang w:val="en-GB"/>
        </w:rPr>
        <w:t xml:space="preserve"> (columns (2) and (5))</w:t>
      </w:r>
      <w:r w:rsidR="005A767E" w:rsidRPr="00EE533D">
        <w:rPr>
          <w:rFonts w:ascii="Times New Roman" w:hAnsi="Times New Roman" w:cs="Times New Roman"/>
          <w:iCs/>
          <w:sz w:val="24"/>
          <w:szCs w:val="24"/>
          <w:lang w:val="en-GB"/>
        </w:rPr>
        <w:t>.</w:t>
      </w:r>
      <w:r w:rsidR="00B6158C" w:rsidRPr="00EE533D">
        <w:rPr>
          <w:rFonts w:ascii="Times New Roman" w:hAnsi="Times New Roman" w:cs="Times New Roman"/>
          <w:iCs/>
          <w:sz w:val="24"/>
          <w:szCs w:val="24"/>
          <w:lang w:val="en-GB"/>
        </w:rPr>
        <w:t xml:space="preserve"> The recycled waste as a percentage of </w:t>
      </w:r>
      <w:r w:rsidR="00863809" w:rsidRPr="00EE533D">
        <w:rPr>
          <w:rFonts w:ascii="Times New Roman" w:hAnsi="Times New Roman" w:cs="Times New Roman"/>
          <w:iCs/>
          <w:sz w:val="24"/>
          <w:szCs w:val="24"/>
          <w:lang w:val="en-GB"/>
        </w:rPr>
        <w:t xml:space="preserve">a </w:t>
      </w:r>
      <w:r w:rsidR="00B6158C" w:rsidRPr="00EE533D">
        <w:rPr>
          <w:rFonts w:ascii="Times New Roman" w:hAnsi="Times New Roman" w:cs="Times New Roman"/>
          <w:iCs/>
          <w:sz w:val="24"/>
          <w:szCs w:val="24"/>
          <w:lang w:val="en-GB"/>
        </w:rPr>
        <w:t>firm’s total waste</w:t>
      </w:r>
      <w:r w:rsidR="00760AAD" w:rsidRPr="00EE533D">
        <w:rPr>
          <w:rFonts w:ascii="Times New Roman" w:hAnsi="Times New Roman" w:cs="Times New Roman"/>
          <w:iCs/>
          <w:sz w:val="24"/>
          <w:szCs w:val="24"/>
          <w:lang w:val="en-GB"/>
        </w:rPr>
        <w:t xml:space="preserve"> also suffers a contraction when the inflation rate tends to be higher (columns (1) and </w:t>
      </w:r>
      <w:r w:rsidR="00760AAD" w:rsidRPr="00EE533D">
        <w:rPr>
          <w:rFonts w:ascii="Times New Roman" w:hAnsi="Times New Roman" w:cs="Times New Roman"/>
          <w:iCs/>
          <w:sz w:val="24"/>
          <w:szCs w:val="24"/>
          <w:lang w:val="en-GB"/>
        </w:rPr>
        <w:lastRenderedPageBreak/>
        <w:t>(4)</w:t>
      </w:r>
      <w:r w:rsidR="000F0CCA" w:rsidRPr="00EE533D">
        <w:rPr>
          <w:rFonts w:ascii="Times New Roman" w:hAnsi="Times New Roman" w:cs="Times New Roman"/>
          <w:iCs/>
          <w:sz w:val="24"/>
          <w:szCs w:val="24"/>
          <w:lang w:val="en-GB"/>
        </w:rPr>
        <w:t>)</w:t>
      </w:r>
      <w:r w:rsidR="000F7326" w:rsidRPr="00EE533D">
        <w:rPr>
          <w:rFonts w:ascii="Times New Roman" w:hAnsi="Times New Roman" w:cs="Times New Roman"/>
          <w:iCs/>
          <w:sz w:val="24"/>
          <w:szCs w:val="24"/>
          <w:lang w:val="en-GB"/>
        </w:rPr>
        <w:t>.</w:t>
      </w:r>
      <w:r w:rsidR="000A581E" w:rsidRPr="00EE533D">
        <w:rPr>
          <w:rFonts w:ascii="Times New Roman" w:hAnsi="Times New Roman" w:cs="Times New Roman"/>
          <w:iCs/>
          <w:sz w:val="24"/>
          <w:szCs w:val="24"/>
          <w:lang w:val="en-GB"/>
        </w:rPr>
        <w:t xml:space="preserve"> </w:t>
      </w:r>
      <w:r w:rsidRPr="00EE533D">
        <w:rPr>
          <w:rFonts w:ascii="Times New Roman" w:hAnsi="Times New Roman" w:cs="Times New Roman"/>
          <w:iCs/>
          <w:sz w:val="24"/>
          <w:szCs w:val="24"/>
          <w:lang w:val="en-GB"/>
        </w:rPr>
        <w:t>To check the consistency of the previous results, we will address different robustness tests in the following subsections.</w:t>
      </w:r>
    </w:p>
    <w:p w14:paraId="5CA73C9D" w14:textId="77777777" w:rsidR="007467F2" w:rsidRPr="00EE533D" w:rsidRDefault="007467F2" w:rsidP="007467F2">
      <w:pPr>
        <w:jc w:val="center"/>
        <w:rPr>
          <w:rFonts w:ascii="Times New Roman" w:hAnsi="Times New Roman" w:cs="Times New Roman"/>
          <w:iCs/>
          <w:sz w:val="24"/>
          <w:szCs w:val="24"/>
          <w:lang w:val="en-GB"/>
        </w:rPr>
      </w:pPr>
    </w:p>
    <w:p w14:paraId="16CD442E" w14:textId="77777777" w:rsidR="007467F2" w:rsidRPr="00EE533D" w:rsidRDefault="007467F2" w:rsidP="007467F2">
      <w:pPr>
        <w:jc w:val="center"/>
        <w:rPr>
          <w:rFonts w:ascii="Times New Roman" w:hAnsi="Times New Roman" w:cs="Times New Roman"/>
          <w:b/>
          <w:bCs/>
          <w:sz w:val="24"/>
          <w:szCs w:val="24"/>
          <w:lang w:val="en-GB"/>
        </w:rPr>
      </w:pPr>
      <w:r w:rsidRPr="00EE533D">
        <w:rPr>
          <w:rFonts w:ascii="Times New Roman" w:hAnsi="Times New Roman" w:cs="Times New Roman"/>
          <w:iCs/>
          <w:sz w:val="24"/>
          <w:szCs w:val="24"/>
          <w:lang w:val="en-GB"/>
        </w:rPr>
        <w:t>{Table 5}</w:t>
      </w:r>
      <w:r w:rsidRPr="00EE533D">
        <w:rPr>
          <w:rFonts w:ascii="Times New Roman" w:hAnsi="Times New Roman" w:cs="Times New Roman"/>
          <w:b/>
          <w:bCs/>
          <w:sz w:val="24"/>
          <w:szCs w:val="24"/>
          <w:lang w:val="en-GB"/>
        </w:rPr>
        <w:tab/>
      </w:r>
    </w:p>
    <w:p w14:paraId="50095F83" w14:textId="77777777" w:rsidR="00127A34" w:rsidRPr="00EE533D" w:rsidRDefault="00127A34" w:rsidP="007467F2">
      <w:pPr>
        <w:jc w:val="center"/>
        <w:rPr>
          <w:rFonts w:ascii="Times New Roman" w:hAnsi="Times New Roman" w:cs="Times New Roman"/>
          <w:b/>
          <w:bCs/>
          <w:sz w:val="24"/>
          <w:szCs w:val="24"/>
          <w:lang w:val="en-GB"/>
        </w:rPr>
      </w:pPr>
    </w:p>
    <w:p w14:paraId="5BBD56D3" w14:textId="77777777" w:rsidR="007467F2" w:rsidRPr="00EE533D" w:rsidRDefault="007467F2" w:rsidP="007467F2">
      <w:pPr>
        <w:jc w:val="center"/>
        <w:rPr>
          <w:rFonts w:ascii="Times New Roman" w:hAnsi="Times New Roman" w:cs="Times New Roman"/>
          <w:b/>
          <w:bCs/>
          <w:sz w:val="24"/>
          <w:szCs w:val="24"/>
          <w:lang w:val="en-GB"/>
        </w:rPr>
      </w:pPr>
    </w:p>
    <w:p w14:paraId="09B8CCC0" w14:textId="77777777" w:rsidR="007467F2" w:rsidRPr="00EE533D" w:rsidRDefault="007467F2" w:rsidP="007467F2">
      <w:pPr>
        <w:ind w:firstLine="708"/>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4.2 Alternative financial variables</w:t>
      </w:r>
    </w:p>
    <w:p w14:paraId="11938B0A" w14:textId="6A4E0D88"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For our first robustness check, we will use an alternative set of financial features that will capture the level of debt (</w:t>
      </w:r>
      <w:r w:rsidRPr="00EE533D">
        <w:rPr>
          <w:rFonts w:ascii="Times New Roman" w:hAnsi="Times New Roman" w:cs="Times New Roman"/>
          <w:i/>
          <w:iCs/>
          <w:sz w:val="24"/>
          <w:szCs w:val="24"/>
          <w:lang w:val="en-GB"/>
        </w:rPr>
        <w:t>Debt/Assets</w:t>
      </w:r>
      <w:r w:rsidRPr="00EE533D">
        <w:rPr>
          <w:rFonts w:ascii="Times New Roman" w:hAnsi="Times New Roman" w:cs="Times New Roman"/>
          <w:sz w:val="24"/>
          <w:szCs w:val="24"/>
          <w:lang w:val="en-GB"/>
        </w:rPr>
        <w:t>), the operational performance (</w:t>
      </w:r>
      <w:r w:rsidRPr="00EE533D">
        <w:rPr>
          <w:rFonts w:ascii="Times New Roman" w:hAnsi="Times New Roman" w:cs="Times New Roman"/>
          <w:i/>
          <w:iCs/>
          <w:sz w:val="24"/>
          <w:szCs w:val="24"/>
          <w:lang w:val="en-GB"/>
        </w:rPr>
        <w:t>EBITDA/Revenue</w:t>
      </w:r>
      <w:r w:rsidRPr="00EE533D">
        <w:rPr>
          <w:rFonts w:ascii="Times New Roman" w:hAnsi="Times New Roman" w:cs="Times New Roman"/>
          <w:sz w:val="24"/>
          <w:szCs w:val="24"/>
          <w:lang w:val="en-GB"/>
        </w:rPr>
        <w:t xml:space="preserve">), the </w:t>
      </w:r>
      <w:r w:rsidRPr="00EE533D">
        <w:rPr>
          <w:rFonts w:ascii="Times New Roman" w:hAnsi="Times New Roman" w:cs="Times New Roman"/>
          <w:sz w:val="24"/>
          <w:szCs w:val="24"/>
          <w:lang w:val="en-GB"/>
        </w:rPr>
        <w:lastRenderedPageBreak/>
        <w:t>firm’s capacity to repay its short-term obligations (</w:t>
      </w:r>
      <w:r w:rsidRPr="00EE533D">
        <w:rPr>
          <w:rFonts w:ascii="Times New Roman" w:hAnsi="Times New Roman" w:cs="Times New Roman"/>
          <w:i/>
          <w:iCs/>
          <w:sz w:val="24"/>
          <w:szCs w:val="24"/>
          <w:lang w:val="en-GB"/>
        </w:rPr>
        <w:t>Quick Ratio</w:t>
      </w:r>
      <w:r w:rsidRPr="00EE533D">
        <w:rPr>
          <w:rFonts w:ascii="Times New Roman" w:hAnsi="Times New Roman" w:cs="Times New Roman"/>
          <w:sz w:val="24"/>
          <w:szCs w:val="24"/>
          <w:lang w:val="en-GB"/>
        </w:rPr>
        <w:t>)</w:t>
      </w:r>
      <w:r w:rsidR="00AF774F"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the financial market value (natural logarithm of </w:t>
      </w:r>
      <w:r w:rsidRPr="00EE533D">
        <w:rPr>
          <w:rFonts w:ascii="Times New Roman" w:hAnsi="Times New Roman" w:cs="Times New Roman"/>
          <w:i/>
          <w:iCs/>
          <w:sz w:val="24"/>
          <w:szCs w:val="24"/>
          <w:lang w:val="en-GB"/>
        </w:rPr>
        <w:t>Capitalization</w:t>
      </w:r>
      <w:r w:rsidRPr="00EE533D">
        <w:rPr>
          <w:rFonts w:ascii="Times New Roman" w:hAnsi="Times New Roman" w:cs="Times New Roman"/>
          <w:sz w:val="24"/>
          <w:szCs w:val="24"/>
          <w:lang w:val="en-GB"/>
        </w:rPr>
        <w:t>)</w:t>
      </w:r>
      <w:r w:rsidR="00AF774F" w:rsidRPr="00EE533D">
        <w:rPr>
          <w:rFonts w:ascii="Times New Roman" w:hAnsi="Times New Roman" w:cs="Times New Roman"/>
          <w:sz w:val="24"/>
          <w:szCs w:val="24"/>
          <w:lang w:val="en-GB"/>
        </w:rPr>
        <w:t xml:space="preserve"> </w:t>
      </w:r>
      <w:r w:rsidR="002C705A" w:rsidRPr="00EE533D">
        <w:rPr>
          <w:rFonts w:ascii="Times New Roman" w:hAnsi="Times New Roman" w:cs="Times New Roman"/>
          <w:sz w:val="24"/>
          <w:szCs w:val="24"/>
          <w:lang w:val="en-GB"/>
        </w:rPr>
        <w:t xml:space="preserve">and </w:t>
      </w:r>
      <w:r w:rsidR="00CE7015" w:rsidRPr="00EE533D">
        <w:rPr>
          <w:rFonts w:ascii="Times New Roman" w:hAnsi="Times New Roman" w:cs="Times New Roman"/>
          <w:sz w:val="24"/>
          <w:szCs w:val="24"/>
          <w:lang w:val="en-GB"/>
        </w:rPr>
        <w:t>corporate</w:t>
      </w:r>
      <w:r w:rsidR="003B45D8" w:rsidRPr="00EE533D">
        <w:rPr>
          <w:rFonts w:ascii="Times New Roman" w:hAnsi="Times New Roman" w:cs="Times New Roman"/>
          <w:sz w:val="24"/>
          <w:szCs w:val="24"/>
          <w:lang w:val="en-GB"/>
        </w:rPr>
        <w:t xml:space="preserve"> performance (</w:t>
      </w:r>
      <w:r w:rsidR="003B45D8" w:rsidRPr="00EE533D">
        <w:rPr>
          <w:rFonts w:ascii="Times New Roman" w:hAnsi="Times New Roman" w:cs="Times New Roman"/>
          <w:i/>
          <w:iCs/>
          <w:sz w:val="24"/>
          <w:szCs w:val="24"/>
          <w:lang w:val="en-GB"/>
        </w:rPr>
        <w:t>Tobin’s Q</w:t>
      </w:r>
      <w:r w:rsidR="003B45D8"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Estimates performed using a panel approach with time effects, firms’ fixed effects and clustered standard errors are presented in Table 6. As in Table 5, we notice that the financial dimensions have no repercussions on </w:t>
      </w:r>
      <w:r w:rsidR="00863809" w:rsidRPr="00EE533D">
        <w:rPr>
          <w:rFonts w:ascii="Times New Roman" w:hAnsi="Times New Roman" w:cs="Times New Roman"/>
          <w:sz w:val="24"/>
          <w:szCs w:val="24"/>
          <w:lang w:val="en-GB"/>
        </w:rPr>
        <w:t xml:space="preserve">the </w:t>
      </w:r>
      <w:r w:rsidRPr="00EE533D">
        <w:rPr>
          <w:rFonts w:ascii="Times New Roman" w:hAnsi="Times New Roman" w:cs="Times New Roman"/>
          <w:sz w:val="24"/>
          <w:szCs w:val="24"/>
          <w:lang w:val="en-GB"/>
        </w:rPr>
        <w:t>firm’s green activities</w:t>
      </w:r>
      <w:r w:rsidR="005B5378" w:rsidRPr="00EE533D">
        <w:rPr>
          <w:rFonts w:ascii="Times New Roman" w:hAnsi="Times New Roman" w:cs="Times New Roman"/>
          <w:sz w:val="24"/>
          <w:szCs w:val="24"/>
          <w:lang w:val="en-GB"/>
        </w:rPr>
        <w:t xml:space="preserve"> </w:t>
      </w:r>
      <w:r w:rsidR="004418D7" w:rsidRPr="00EE533D">
        <w:rPr>
          <w:rFonts w:ascii="Times New Roman" w:hAnsi="Times New Roman" w:cs="Times New Roman"/>
          <w:sz w:val="24"/>
          <w:szCs w:val="24"/>
          <w:lang w:val="en-GB"/>
        </w:rPr>
        <w:t>except for</w:t>
      </w:r>
      <w:r w:rsidR="00B50723" w:rsidRPr="00EE533D">
        <w:rPr>
          <w:rFonts w:ascii="Times New Roman" w:hAnsi="Times New Roman" w:cs="Times New Roman"/>
          <w:sz w:val="24"/>
          <w:szCs w:val="24"/>
          <w:lang w:val="en-GB"/>
        </w:rPr>
        <w:t xml:space="preserve"> </w:t>
      </w:r>
      <w:r w:rsidR="00B50723" w:rsidRPr="00EE533D">
        <w:rPr>
          <w:rFonts w:ascii="Times New Roman" w:hAnsi="Times New Roman" w:cs="Times New Roman"/>
          <w:i/>
          <w:iCs/>
          <w:sz w:val="24"/>
          <w:szCs w:val="24"/>
          <w:lang w:val="en-GB"/>
        </w:rPr>
        <w:t>EBITDA/Revenue</w:t>
      </w:r>
      <w:r w:rsidR="00B50723" w:rsidRPr="00EE533D">
        <w:rPr>
          <w:rFonts w:ascii="Times New Roman" w:hAnsi="Times New Roman" w:cs="Times New Roman"/>
          <w:sz w:val="24"/>
          <w:szCs w:val="24"/>
          <w:lang w:val="en-GB"/>
        </w:rPr>
        <w:t xml:space="preserve"> in columns (1) and (</w:t>
      </w:r>
      <w:r w:rsidR="006609AE" w:rsidRPr="00EE533D">
        <w:rPr>
          <w:rFonts w:ascii="Times New Roman" w:hAnsi="Times New Roman" w:cs="Times New Roman"/>
          <w:sz w:val="24"/>
          <w:szCs w:val="24"/>
          <w:lang w:val="en-GB"/>
        </w:rPr>
        <w:t>4</w:t>
      </w:r>
      <w:r w:rsidR="00B50723" w:rsidRPr="00EE533D">
        <w:rPr>
          <w:rFonts w:ascii="Times New Roman" w:hAnsi="Times New Roman" w:cs="Times New Roman"/>
          <w:sz w:val="24"/>
          <w:szCs w:val="24"/>
          <w:lang w:val="en-GB"/>
        </w:rPr>
        <w:t>)</w:t>
      </w:r>
      <w:r w:rsidR="00107917" w:rsidRPr="00EE533D">
        <w:rPr>
          <w:rFonts w:ascii="Times New Roman" w:hAnsi="Times New Roman" w:cs="Times New Roman"/>
          <w:sz w:val="24"/>
          <w:szCs w:val="24"/>
          <w:lang w:val="en-GB"/>
        </w:rPr>
        <w:t>. An improvement in operation</w:t>
      </w:r>
      <w:r w:rsidR="004418D7" w:rsidRPr="00EE533D">
        <w:rPr>
          <w:rFonts w:ascii="Times New Roman" w:hAnsi="Times New Roman" w:cs="Times New Roman"/>
          <w:sz w:val="24"/>
          <w:szCs w:val="24"/>
          <w:lang w:val="en-GB"/>
        </w:rPr>
        <w:t>al</w:t>
      </w:r>
      <w:r w:rsidR="00107917" w:rsidRPr="00EE533D">
        <w:rPr>
          <w:rFonts w:ascii="Times New Roman" w:hAnsi="Times New Roman" w:cs="Times New Roman"/>
          <w:sz w:val="24"/>
          <w:szCs w:val="24"/>
          <w:lang w:val="en-GB"/>
        </w:rPr>
        <w:t xml:space="preserve"> performance </w:t>
      </w:r>
      <w:r w:rsidR="0055654F" w:rsidRPr="00EE533D">
        <w:rPr>
          <w:rFonts w:ascii="Times New Roman" w:hAnsi="Times New Roman" w:cs="Times New Roman"/>
          <w:sz w:val="24"/>
          <w:szCs w:val="24"/>
          <w:lang w:val="en-GB"/>
        </w:rPr>
        <w:t>results</w:t>
      </w:r>
      <w:r w:rsidR="00107917" w:rsidRPr="00EE533D">
        <w:rPr>
          <w:rFonts w:ascii="Times New Roman" w:hAnsi="Times New Roman" w:cs="Times New Roman"/>
          <w:sz w:val="24"/>
          <w:szCs w:val="24"/>
          <w:lang w:val="en-GB"/>
        </w:rPr>
        <w:t xml:space="preserve"> </w:t>
      </w:r>
      <w:r w:rsidR="00107917" w:rsidRPr="00EE533D">
        <w:rPr>
          <w:rFonts w:ascii="Times New Roman" w:hAnsi="Times New Roman" w:cs="Times New Roman"/>
          <w:sz w:val="24"/>
          <w:szCs w:val="24"/>
          <w:lang w:val="en-GB"/>
        </w:rPr>
        <w:lastRenderedPageBreak/>
        <w:t>in a higher production of waste and thus a larger proportion of recycled waste</w:t>
      </w:r>
      <w:r w:rsidRPr="00EE533D">
        <w:rPr>
          <w:rFonts w:ascii="Times New Roman" w:hAnsi="Times New Roman" w:cs="Times New Roman"/>
          <w:sz w:val="24"/>
          <w:szCs w:val="24"/>
          <w:lang w:val="en-GB"/>
        </w:rPr>
        <w:t xml:space="preserve">. In terms of institutional framework, the estimated coefficients remain consistent with those reported above. However, the effect sizes are now larger for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in columns (4) and (6).</w:t>
      </w:r>
      <w:r w:rsidR="00F3398C"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Table 6 </w:t>
      </w:r>
      <w:r w:rsidR="00382C06" w:rsidRPr="00EE533D">
        <w:rPr>
          <w:rFonts w:ascii="Times New Roman" w:hAnsi="Times New Roman" w:cs="Times New Roman"/>
          <w:sz w:val="24"/>
          <w:szCs w:val="24"/>
          <w:lang w:val="en-GB"/>
        </w:rPr>
        <w:t xml:space="preserve">confirms </w:t>
      </w:r>
      <w:r w:rsidR="00F3398C" w:rsidRPr="00EE533D">
        <w:rPr>
          <w:rFonts w:ascii="Times New Roman" w:hAnsi="Times New Roman" w:cs="Times New Roman"/>
          <w:sz w:val="24"/>
          <w:szCs w:val="24"/>
          <w:lang w:val="en-GB"/>
        </w:rPr>
        <w:t>the persistent effect of</w:t>
      </w:r>
      <w:r w:rsidRPr="00EE533D">
        <w:rPr>
          <w:rFonts w:ascii="Times New Roman" w:hAnsi="Times New Roman" w:cs="Times New Roman"/>
          <w:sz w:val="24"/>
          <w:szCs w:val="24"/>
          <w:lang w:val="en-GB"/>
        </w:rPr>
        <w:t xml:space="preserve"> economic growth (</w:t>
      </w:r>
      <w:r w:rsidRPr="00EE533D">
        <w:rPr>
          <w:rFonts w:ascii="Times New Roman" w:hAnsi="Times New Roman" w:cs="Times New Roman"/>
          <w:i/>
          <w:iCs/>
          <w:sz w:val="24"/>
          <w:szCs w:val="24"/>
          <w:lang w:val="en-GB"/>
        </w:rPr>
        <w:t>GDPg</w:t>
      </w:r>
      <w:r w:rsidRPr="00EE533D">
        <w:rPr>
          <w:rFonts w:ascii="Times New Roman" w:hAnsi="Times New Roman" w:cs="Times New Roman"/>
          <w:sz w:val="24"/>
          <w:szCs w:val="24"/>
          <w:lang w:val="en-GB"/>
        </w:rPr>
        <w:t xml:space="preserve">) </w:t>
      </w:r>
      <w:r w:rsidR="0047596B" w:rsidRPr="00EE533D">
        <w:rPr>
          <w:rFonts w:ascii="Times New Roman" w:hAnsi="Times New Roman" w:cs="Times New Roman"/>
          <w:sz w:val="24"/>
          <w:szCs w:val="24"/>
          <w:lang w:val="en-GB"/>
        </w:rPr>
        <w:t>on</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Recycled Water</w:t>
      </w:r>
      <w:r w:rsidR="00A27FD3" w:rsidRPr="00EE533D">
        <w:rPr>
          <w:rFonts w:ascii="Times New Roman" w:hAnsi="Times New Roman" w:cs="Times New Roman"/>
          <w:sz w:val="24"/>
          <w:szCs w:val="24"/>
          <w:lang w:val="en-GB"/>
        </w:rPr>
        <w:t xml:space="preserve"> </w:t>
      </w:r>
      <w:r w:rsidR="00721A32" w:rsidRPr="00EE533D">
        <w:rPr>
          <w:rFonts w:ascii="Times New Roman" w:hAnsi="Times New Roman" w:cs="Times New Roman"/>
          <w:sz w:val="24"/>
          <w:szCs w:val="24"/>
          <w:lang w:val="en-GB"/>
        </w:rPr>
        <w:t>providing some support</w:t>
      </w:r>
      <w:r w:rsidR="00A27FD3"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that firms tend to increase their consumption of water to satisfy a growing de</w:t>
      </w:r>
      <w:r w:rsidRPr="00EE533D">
        <w:rPr>
          <w:rFonts w:ascii="Times New Roman" w:hAnsi="Times New Roman" w:cs="Times New Roman"/>
          <w:sz w:val="24"/>
          <w:szCs w:val="24"/>
          <w:lang w:val="en-GB"/>
        </w:rPr>
        <w:lastRenderedPageBreak/>
        <w:t xml:space="preserve">mand resulting from the national economic expansion. If their facilities to recycle water have limited production capacities, that index will tend to decrease. </w:t>
      </w:r>
    </w:p>
    <w:p w14:paraId="6449B554" w14:textId="77777777" w:rsidR="007467F2" w:rsidRPr="00EE533D" w:rsidRDefault="007467F2" w:rsidP="007467F2">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{Table 6}</w:t>
      </w:r>
    </w:p>
    <w:p w14:paraId="7ABE4848" w14:textId="77777777" w:rsidR="007467F2" w:rsidRPr="00EE533D" w:rsidRDefault="007467F2" w:rsidP="007467F2">
      <w:pPr>
        <w:ind w:firstLine="708"/>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4.3 Subsample analysis</w:t>
      </w:r>
    </w:p>
    <w:p w14:paraId="09A90EDF" w14:textId="4938D2A7" w:rsidR="007467F2" w:rsidRPr="00EE533D" w:rsidRDefault="007467F2" w:rsidP="00127A34">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In this subsection, we investigate the effects of institutional quality on corporate sustainability using subsample</w:t>
      </w:r>
      <w:r w:rsidR="006B424F" w:rsidRPr="00EE533D">
        <w:rPr>
          <w:rFonts w:ascii="Times New Roman" w:hAnsi="Times New Roman" w:cs="Times New Roman"/>
          <w:sz w:val="24"/>
          <w:szCs w:val="24"/>
          <w:lang w:val="en-GB"/>
        </w:rPr>
        <w:t xml:space="preserve"> analysis</w:t>
      </w:r>
      <w:r w:rsidRPr="00EE533D">
        <w:rPr>
          <w:rFonts w:ascii="Times New Roman" w:hAnsi="Times New Roman" w:cs="Times New Roman"/>
          <w:sz w:val="24"/>
          <w:szCs w:val="24"/>
          <w:lang w:val="en-GB"/>
        </w:rPr>
        <w:t xml:space="preserve">. First, the U.S. firms represent the largest subsample of our data set </w:t>
      </w:r>
      <w:r w:rsidR="00D01D18" w:rsidRPr="00EE533D">
        <w:rPr>
          <w:rFonts w:ascii="Times New Roman" w:hAnsi="Times New Roman" w:cs="Times New Roman"/>
          <w:sz w:val="24"/>
          <w:szCs w:val="24"/>
          <w:lang w:val="en-GB"/>
        </w:rPr>
        <w:t>while</w:t>
      </w:r>
      <w:r w:rsidR="00CB651E" w:rsidRPr="00EE533D">
        <w:rPr>
          <w:rFonts w:ascii="Times New Roman" w:hAnsi="Times New Roman" w:cs="Times New Roman"/>
          <w:sz w:val="24"/>
          <w:szCs w:val="24"/>
          <w:lang w:val="en-GB"/>
        </w:rPr>
        <w:t xml:space="preserve"> 12 countries of our sample</w:t>
      </w:r>
      <w:r w:rsidR="00A445C1" w:rsidRPr="00EE533D">
        <w:rPr>
          <w:rFonts w:ascii="Times New Roman" w:hAnsi="Times New Roman" w:cs="Times New Roman"/>
          <w:sz w:val="24"/>
          <w:szCs w:val="24"/>
          <w:lang w:val="en-GB"/>
        </w:rPr>
        <w:t xml:space="preserve"> include less </w:t>
      </w:r>
      <w:r w:rsidR="00A445C1" w:rsidRPr="00EE533D">
        <w:rPr>
          <w:rFonts w:ascii="Times New Roman" w:hAnsi="Times New Roman" w:cs="Times New Roman"/>
          <w:sz w:val="24"/>
          <w:szCs w:val="24"/>
          <w:lang w:val="en-GB"/>
        </w:rPr>
        <w:lastRenderedPageBreak/>
        <w:t>than 1</w:t>
      </w:r>
      <w:r w:rsidR="007E7AC3" w:rsidRPr="00EE533D">
        <w:rPr>
          <w:rFonts w:ascii="Times New Roman" w:hAnsi="Times New Roman" w:cs="Times New Roman"/>
          <w:sz w:val="24"/>
          <w:szCs w:val="24"/>
          <w:lang w:val="en-GB"/>
        </w:rPr>
        <w:t>0</w:t>
      </w:r>
      <w:r w:rsidR="00A445C1" w:rsidRPr="00EE533D">
        <w:rPr>
          <w:rFonts w:ascii="Times New Roman" w:hAnsi="Times New Roman" w:cs="Times New Roman"/>
          <w:sz w:val="24"/>
          <w:szCs w:val="24"/>
          <w:lang w:val="en-GB"/>
        </w:rPr>
        <w:t xml:space="preserve"> firms </w:t>
      </w:r>
      <w:r w:rsidRPr="00EE533D">
        <w:rPr>
          <w:rFonts w:ascii="Times New Roman" w:hAnsi="Times New Roman" w:cs="Times New Roman"/>
          <w:sz w:val="24"/>
          <w:szCs w:val="24"/>
          <w:lang w:val="en-GB"/>
        </w:rPr>
        <w:t>(see Table 2)</w:t>
      </w:r>
      <w:r w:rsidR="00A445C1" w:rsidRPr="00EE533D">
        <w:rPr>
          <w:rFonts w:ascii="Times New Roman" w:hAnsi="Times New Roman" w:cs="Times New Roman"/>
          <w:sz w:val="24"/>
          <w:szCs w:val="24"/>
          <w:lang w:val="en-GB"/>
        </w:rPr>
        <w:t>.</w:t>
      </w:r>
      <w:r w:rsidR="0074196D"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In Table 7, we re-estimate equation (1) using the subsample that excludes the listed firms from the U.S.</w:t>
      </w:r>
      <w:r w:rsidR="00E7295D" w:rsidRPr="00EE533D">
        <w:rPr>
          <w:rFonts w:ascii="Times New Roman" w:hAnsi="Times New Roman" w:cs="Times New Roman"/>
          <w:sz w:val="24"/>
          <w:szCs w:val="24"/>
          <w:lang w:val="en-GB"/>
        </w:rPr>
        <w:t xml:space="preserve"> (columns (1)-(3)) and the </w:t>
      </w:r>
      <w:r w:rsidR="007E7AC3" w:rsidRPr="00EE533D">
        <w:rPr>
          <w:rFonts w:ascii="Times New Roman" w:hAnsi="Times New Roman" w:cs="Times New Roman"/>
          <w:sz w:val="24"/>
          <w:szCs w:val="24"/>
          <w:lang w:val="en-GB"/>
        </w:rPr>
        <w:t>subsample based on countries with at least 10 firms (columns (</w:t>
      </w:r>
      <w:r w:rsidR="00DA7A93" w:rsidRPr="00EE533D">
        <w:rPr>
          <w:rFonts w:ascii="Times New Roman" w:hAnsi="Times New Roman" w:cs="Times New Roman"/>
          <w:sz w:val="24"/>
          <w:szCs w:val="24"/>
          <w:lang w:val="en-GB"/>
        </w:rPr>
        <w:t>4</w:t>
      </w:r>
      <w:r w:rsidR="007E7AC3" w:rsidRPr="00EE533D">
        <w:rPr>
          <w:rFonts w:ascii="Times New Roman" w:hAnsi="Times New Roman" w:cs="Times New Roman"/>
          <w:sz w:val="24"/>
          <w:szCs w:val="24"/>
          <w:lang w:val="en-GB"/>
        </w:rPr>
        <w:t>)-(</w:t>
      </w:r>
      <w:r w:rsidR="00DA7A93" w:rsidRPr="00EE533D">
        <w:rPr>
          <w:rFonts w:ascii="Times New Roman" w:hAnsi="Times New Roman" w:cs="Times New Roman"/>
          <w:sz w:val="24"/>
          <w:szCs w:val="24"/>
          <w:lang w:val="en-GB"/>
        </w:rPr>
        <w:t>6</w:t>
      </w:r>
      <w:r w:rsidR="007E7AC3" w:rsidRPr="00EE533D">
        <w:rPr>
          <w:rFonts w:ascii="Times New Roman" w:hAnsi="Times New Roman" w:cs="Times New Roman"/>
          <w:sz w:val="24"/>
          <w:szCs w:val="24"/>
          <w:lang w:val="en-GB"/>
        </w:rPr>
        <w:t>)).</w:t>
      </w:r>
      <w:r w:rsidRPr="00EE533D">
        <w:rPr>
          <w:rFonts w:ascii="Times New Roman" w:hAnsi="Times New Roman" w:cs="Times New Roman"/>
          <w:sz w:val="24"/>
          <w:szCs w:val="24"/>
          <w:lang w:val="en-GB"/>
        </w:rPr>
        <w:t xml:space="preserve"> Results are similar to the findings reported in Table 5, with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presenting positive</w:t>
      </w:r>
      <w:r w:rsidR="001F47B3" w:rsidRPr="00EE533D">
        <w:rPr>
          <w:rFonts w:ascii="Times New Roman" w:hAnsi="Times New Roman" w:cs="Times New Roman"/>
          <w:sz w:val="24"/>
          <w:szCs w:val="24"/>
          <w:lang w:val="en-GB"/>
        </w:rPr>
        <w:t xml:space="preserve"> and significant</w:t>
      </w:r>
      <w:r w:rsidRPr="00EE533D">
        <w:rPr>
          <w:rFonts w:ascii="Times New Roman" w:hAnsi="Times New Roman" w:cs="Times New Roman"/>
          <w:sz w:val="24"/>
          <w:szCs w:val="24"/>
          <w:lang w:val="en-GB"/>
        </w:rPr>
        <w:t xml:space="preserve"> effect sizes</w:t>
      </w:r>
      <w:r w:rsidR="001F47B3" w:rsidRPr="00EE533D">
        <w:rPr>
          <w:rFonts w:ascii="Times New Roman" w:hAnsi="Times New Roman" w:cs="Times New Roman"/>
          <w:sz w:val="24"/>
          <w:szCs w:val="24"/>
          <w:lang w:val="en-GB"/>
        </w:rPr>
        <w:t xml:space="preserve"> (columns (1) and (4))</w:t>
      </w:r>
      <w:r w:rsidRPr="00EE533D">
        <w:rPr>
          <w:rFonts w:ascii="Times New Roman" w:hAnsi="Times New Roman" w:cs="Times New Roman"/>
          <w:sz w:val="24"/>
          <w:szCs w:val="24"/>
          <w:lang w:val="en-GB"/>
        </w:rPr>
        <w:t>. The level of recycled waste generated by non-U.S. firms increases by 0.</w:t>
      </w:r>
      <w:r w:rsidR="008F0F6A" w:rsidRPr="00EE533D">
        <w:rPr>
          <w:rFonts w:ascii="Times New Roman" w:hAnsi="Times New Roman" w:cs="Times New Roman"/>
          <w:sz w:val="24"/>
          <w:szCs w:val="24"/>
          <w:lang w:val="en-GB"/>
        </w:rPr>
        <w:t>43</w:t>
      </w:r>
      <w:r w:rsidRPr="00EE533D">
        <w:rPr>
          <w:rFonts w:ascii="Times New Roman" w:hAnsi="Times New Roman" w:cs="Times New Roman"/>
          <w:sz w:val="24"/>
          <w:szCs w:val="24"/>
          <w:lang w:val="en-GB"/>
        </w:rPr>
        <w:t xml:space="preserve"> percentage points </w:t>
      </w:r>
      <w:r w:rsidRPr="00EE533D">
        <w:rPr>
          <w:rFonts w:ascii="Times New Roman" w:hAnsi="Times New Roman" w:cs="Times New Roman"/>
          <w:sz w:val="24"/>
          <w:szCs w:val="24"/>
          <w:lang w:val="en-GB"/>
        </w:rPr>
        <w:lastRenderedPageBreak/>
        <w:t xml:space="preserve">following a 0.1 improvement in political stability. </w:t>
      </w:r>
      <w:r w:rsidR="00136D91" w:rsidRPr="00EE533D">
        <w:rPr>
          <w:rFonts w:ascii="Times New Roman" w:hAnsi="Times New Roman" w:cs="Times New Roman"/>
          <w:sz w:val="24"/>
          <w:szCs w:val="24"/>
          <w:lang w:val="en-GB"/>
        </w:rPr>
        <w:t xml:space="preserve">However, </w:t>
      </w:r>
      <w:r w:rsidR="002805B0" w:rsidRPr="00EE533D">
        <w:rPr>
          <w:rFonts w:ascii="Times New Roman" w:hAnsi="Times New Roman" w:cs="Times New Roman"/>
          <w:sz w:val="24"/>
          <w:szCs w:val="24"/>
          <w:lang w:val="en-GB"/>
        </w:rPr>
        <w:t xml:space="preserve">anticorruption policies seem to inhibit the water recycling activities </w:t>
      </w:r>
      <w:r w:rsidR="00691CB2" w:rsidRPr="00EE533D">
        <w:rPr>
          <w:rFonts w:ascii="Times New Roman" w:hAnsi="Times New Roman" w:cs="Times New Roman"/>
          <w:sz w:val="24"/>
          <w:szCs w:val="24"/>
          <w:lang w:val="en-GB"/>
        </w:rPr>
        <w:t>(columns (2)-(4)). That result was also estimated in the previous tables.</w:t>
      </w:r>
      <w:r w:rsidR="0062162E"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Second, the pandemic period severely affected the listed firms, as the managers had difficulties in developing appropriate strategies to cope with the consequences of micro and macro uncertainty that emerged in 2020 and 2021 </w:t>
      </w:r>
      <w:r w:rsidRPr="00EE533D">
        <w:rPr>
          <w:rFonts w:ascii="Times New Roman" w:hAnsi="Times New Roman" w:cs="Times New Roman"/>
          <w:sz w:val="24"/>
          <w:szCs w:val="24"/>
          <w:lang w:val="en-GB"/>
        </w:rPr>
        <w:fldChar w:fldCharType="begin"/>
      </w:r>
      <w:r w:rsidR="00BE55BA" w:rsidRPr="00EE533D">
        <w:rPr>
          <w:rFonts w:ascii="Times New Roman" w:hAnsi="Times New Roman" w:cs="Times New Roman"/>
          <w:sz w:val="24"/>
          <w:szCs w:val="24"/>
          <w:lang w:val="en-GB"/>
        </w:rPr>
        <w:instrText xml:space="preserve"> ADDIN ZOTERO_ITEM CSL_CITATION {"citationID":"VytoIk2c","properties":{"formattedCitation":"(Sharma et al., 2020)","plainCitation":"(Sharma et al., 2020)","dontUpdate":true,"noteIndex":0},"citationItems":[{"id":1987,"uris":["http://zotero.org/users/8125408/items/PSNZGFK2"],"itemData":{"id":1987,"type":"article-journal","abstract":"Despite the perennial need to understand and manage uncertainty in international business, there is no comprehensive framework that incorporates different types of uncertainty, their antecedents and outcomes, and the different coping strategies used by managers and their outcomes. This makes it difficult for international business managers to understand the types of uncertainty in their businesses and develop appropriate strategies to deal with it effectively, especially during times such as the ongoing Covid-19 pandemic. This paper uses an extensive review of the international business literature to address the above research gap by identifying the different types of uncertainty, their antecedents and outcomes, the coping strategies used to mitigate their impact, and the consequences of these actions. The authors also use examples from the current Covid-19 crisis to assess the firms’ responses and their consequences. The paper concludes with some implications for international business managers and directions for future research.","container-title":"Journal of Business Research","DOI":"https://doi.org/10.1016/j.jbusres.2020.05.026","ISSN":"0148-2963","page":"188-192","title":"Managing uncertainty during a global pandemic: An international business perspective","volume":"116","author":[{"family":"Sharma","given":"Piyush"},{"family":"Leung","given":"T. Y."},{"family":"Kingshott","given":"Russel P. J."},{"family":"Davcik","given":"Nebojsa S."},{"family":"Cardinali","given":"Silvio"}],"issued":{"date-parts":[["2020"]]}}},{"id":1984,"uris":["http://zotero.org/users/8125408/items/DH6QN2CX"],"itemData":{"id":1984,"type":"article-journal","container-title":"Journal of Public Economics","ISSN":"0047-2727","journalAbbreviation":"Journal of Public Economics","note":"publisher: Elsevier","page":"104274","title":"Economic uncertainty before and during the COVID-19 pandemic","volume":"191","author":[{"family":"Altig","given":"Dave"},{"family":"Baker","given":"Scott"},{"family":"Barrero","given":"Jose Maria"},{"family":"Bloom","given":"Nicholas"},{"family":"Bunn","given":"Philip"},{"family":"Chen","given":"Scarlet"},{"family":"Davis","given":"Steven J"},{"family":"Leather","given":"Julia"},{"family":"Meyer","given":"Brent"},{"family":"Mihaylov","given":"Emil"}],"issued":{"date-parts":[["2020"]]}}}],"schema":"https://github.com/citation-style-language/schema/raw/master/csl-citation.json"}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 xml:space="preserve">Sharma </w:t>
      </w:r>
      <w:r w:rsidRPr="00EE533D">
        <w:rPr>
          <w:rFonts w:ascii="Times New Roman" w:hAnsi="Times New Roman" w:cs="Times New Roman"/>
          <w:i/>
          <w:iCs/>
          <w:sz w:val="24"/>
          <w:lang w:val="en-GB"/>
        </w:rPr>
        <w:t>et</w:t>
      </w:r>
      <w:r w:rsidRPr="00EE533D">
        <w:rPr>
          <w:rFonts w:ascii="Times New Roman" w:hAnsi="Times New Roman" w:cs="Times New Roman"/>
          <w:sz w:val="24"/>
          <w:lang w:val="en-GB"/>
        </w:rPr>
        <w:t xml:space="preserve"> </w:t>
      </w:r>
      <w:r w:rsidRPr="00EE533D">
        <w:rPr>
          <w:rFonts w:ascii="Times New Roman" w:hAnsi="Times New Roman" w:cs="Times New Roman"/>
          <w:i/>
          <w:iCs/>
          <w:sz w:val="24"/>
          <w:lang w:val="en-GB"/>
        </w:rPr>
        <w:t>al</w:t>
      </w:r>
      <w:r w:rsidRPr="00EE533D">
        <w:rPr>
          <w:rFonts w:ascii="Times New Roman" w:hAnsi="Times New Roman" w:cs="Times New Roman"/>
          <w:sz w:val="24"/>
          <w:lang w:val="en-GB"/>
        </w:rPr>
        <w:t>., 2020)</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Hence, estimates </w:t>
      </w:r>
      <w:r w:rsidRPr="00EE533D">
        <w:rPr>
          <w:rFonts w:ascii="Times New Roman" w:hAnsi="Times New Roman" w:cs="Times New Roman"/>
          <w:sz w:val="24"/>
          <w:szCs w:val="24"/>
          <w:lang w:val="en-GB"/>
        </w:rPr>
        <w:lastRenderedPageBreak/>
        <w:t>from columns (</w:t>
      </w:r>
      <w:r w:rsidR="0062162E" w:rsidRPr="00EE533D">
        <w:rPr>
          <w:rFonts w:ascii="Times New Roman" w:hAnsi="Times New Roman" w:cs="Times New Roman"/>
          <w:sz w:val="24"/>
          <w:szCs w:val="24"/>
          <w:lang w:val="en-GB"/>
        </w:rPr>
        <w:t>1</w:t>
      </w:r>
      <w:r w:rsidRPr="00EE533D">
        <w:rPr>
          <w:rFonts w:ascii="Times New Roman" w:hAnsi="Times New Roman" w:cs="Times New Roman"/>
          <w:sz w:val="24"/>
          <w:szCs w:val="24"/>
          <w:lang w:val="en-GB"/>
        </w:rPr>
        <w:t>)-(</w:t>
      </w:r>
      <w:r w:rsidR="0062162E" w:rsidRPr="00EE533D">
        <w:rPr>
          <w:rFonts w:ascii="Times New Roman" w:hAnsi="Times New Roman" w:cs="Times New Roman"/>
          <w:sz w:val="24"/>
          <w:szCs w:val="24"/>
          <w:lang w:val="en-GB"/>
        </w:rPr>
        <w:t>3</w:t>
      </w:r>
      <w:r w:rsidRPr="00EE533D">
        <w:rPr>
          <w:rFonts w:ascii="Times New Roman" w:hAnsi="Times New Roman" w:cs="Times New Roman"/>
          <w:sz w:val="24"/>
          <w:szCs w:val="24"/>
          <w:lang w:val="en-GB"/>
        </w:rPr>
        <w:t xml:space="preserve">) in Table </w:t>
      </w:r>
      <w:r w:rsidR="0062162E" w:rsidRPr="00EE533D">
        <w:rPr>
          <w:rFonts w:ascii="Times New Roman" w:hAnsi="Times New Roman" w:cs="Times New Roman"/>
          <w:sz w:val="24"/>
          <w:szCs w:val="24"/>
          <w:lang w:val="en-GB"/>
        </w:rPr>
        <w:t>8</w:t>
      </w:r>
      <w:r w:rsidRPr="00EE533D">
        <w:rPr>
          <w:rFonts w:ascii="Times New Roman" w:hAnsi="Times New Roman" w:cs="Times New Roman"/>
          <w:sz w:val="24"/>
          <w:szCs w:val="24"/>
          <w:lang w:val="en-GB"/>
        </w:rPr>
        <w:t xml:space="preserve"> use only the observations prior to the pandemic crisis</w:t>
      </w:r>
      <w:r w:rsidR="00181C1D" w:rsidRPr="00EE533D">
        <w:rPr>
          <w:rFonts w:ascii="Times New Roman" w:hAnsi="Times New Roman" w:cs="Times New Roman"/>
          <w:sz w:val="24"/>
          <w:szCs w:val="24"/>
          <w:lang w:val="en-GB"/>
        </w:rPr>
        <w:t xml:space="preserve"> (2012-2019) and those from columns (4)</w:t>
      </w:r>
      <w:r w:rsidR="00CB7799" w:rsidRPr="00EE533D">
        <w:rPr>
          <w:rFonts w:ascii="Times New Roman" w:hAnsi="Times New Roman" w:cs="Times New Roman"/>
          <w:sz w:val="24"/>
          <w:szCs w:val="24"/>
          <w:lang w:val="en-GB"/>
        </w:rPr>
        <w:t>-(6) the post-pandemic observation</w:t>
      </w:r>
      <w:r w:rsidR="00530F4E" w:rsidRPr="00EE533D">
        <w:rPr>
          <w:rFonts w:ascii="Times New Roman" w:hAnsi="Times New Roman" w:cs="Times New Roman"/>
          <w:sz w:val="24"/>
          <w:szCs w:val="24"/>
          <w:lang w:val="en-GB"/>
        </w:rPr>
        <w:t>s</w:t>
      </w:r>
      <w:r w:rsidR="00CB7799" w:rsidRPr="00EE533D">
        <w:rPr>
          <w:rFonts w:ascii="Times New Roman" w:hAnsi="Times New Roman" w:cs="Times New Roman"/>
          <w:sz w:val="24"/>
          <w:szCs w:val="24"/>
          <w:lang w:val="en-GB"/>
        </w:rPr>
        <w:t xml:space="preserve"> (2020-2024)</w:t>
      </w:r>
      <w:r w:rsidRPr="00EE533D">
        <w:rPr>
          <w:rFonts w:ascii="Times New Roman" w:hAnsi="Times New Roman" w:cs="Times New Roman"/>
          <w:sz w:val="24"/>
          <w:szCs w:val="24"/>
          <w:lang w:val="en-GB"/>
        </w:rPr>
        <w:t xml:space="preserve">. </w:t>
      </w:r>
      <w:r w:rsidR="00206054" w:rsidRPr="00EE533D">
        <w:rPr>
          <w:rFonts w:ascii="Times New Roman" w:hAnsi="Times New Roman" w:cs="Times New Roman"/>
          <w:sz w:val="24"/>
          <w:szCs w:val="24"/>
          <w:lang w:val="en-GB"/>
        </w:rPr>
        <w:t>M</w:t>
      </w:r>
      <w:r w:rsidRPr="00EE533D">
        <w:rPr>
          <w:rFonts w:ascii="Times New Roman" w:hAnsi="Times New Roman" w:cs="Times New Roman"/>
          <w:sz w:val="24"/>
          <w:szCs w:val="24"/>
          <w:lang w:val="en-GB"/>
        </w:rPr>
        <w:t xml:space="preserve">ore </w:t>
      </w:r>
      <w:r w:rsidR="00206054" w:rsidRPr="00EE533D">
        <w:rPr>
          <w:rFonts w:ascii="Times New Roman" w:hAnsi="Times New Roman" w:cs="Times New Roman"/>
          <w:sz w:val="24"/>
          <w:szCs w:val="24"/>
          <w:lang w:val="en-GB"/>
        </w:rPr>
        <w:t>water and paper</w:t>
      </w:r>
      <w:r w:rsidRPr="00EE533D">
        <w:rPr>
          <w:rFonts w:ascii="Times New Roman" w:hAnsi="Times New Roman" w:cs="Times New Roman"/>
          <w:sz w:val="24"/>
          <w:szCs w:val="24"/>
          <w:lang w:val="en-GB"/>
        </w:rPr>
        <w:t xml:space="preserve"> w</w:t>
      </w:r>
      <w:r w:rsidR="000B3C13" w:rsidRPr="00EE533D">
        <w:rPr>
          <w:rFonts w:ascii="Times New Roman" w:hAnsi="Times New Roman" w:cs="Times New Roman"/>
          <w:sz w:val="24"/>
          <w:szCs w:val="24"/>
          <w:lang w:val="en-GB"/>
        </w:rPr>
        <w:t>ere</w:t>
      </w:r>
      <w:r w:rsidRPr="00EE533D">
        <w:rPr>
          <w:rFonts w:ascii="Times New Roman" w:hAnsi="Times New Roman" w:cs="Times New Roman"/>
          <w:sz w:val="24"/>
          <w:szCs w:val="24"/>
          <w:lang w:val="en-GB"/>
        </w:rPr>
        <w:t xml:space="preserve"> recycled in countries </w:t>
      </w:r>
      <w:r w:rsidR="004E7286" w:rsidRPr="00EE533D">
        <w:rPr>
          <w:rFonts w:ascii="Times New Roman" w:hAnsi="Times New Roman" w:cs="Times New Roman"/>
          <w:sz w:val="24"/>
          <w:szCs w:val="24"/>
          <w:lang w:val="en-GB"/>
        </w:rPr>
        <w:t>with a more stable political environment</w:t>
      </w:r>
      <w:r w:rsidR="00FC31D5" w:rsidRPr="00EE533D">
        <w:rPr>
          <w:rFonts w:ascii="Times New Roman" w:hAnsi="Times New Roman" w:cs="Times New Roman"/>
          <w:sz w:val="24"/>
          <w:szCs w:val="24"/>
          <w:lang w:val="en-GB"/>
        </w:rPr>
        <w:t xml:space="preserve"> prior to the pandemic crisis.</w:t>
      </w:r>
      <w:r w:rsidR="007453B2" w:rsidRPr="00EE533D">
        <w:rPr>
          <w:rFonts w:ascii="Times New Roman" w:hAnsi="Times New Roman" w:cs="Times New Roman"/>
          <w:sz w:val="24"/>
          <w:szCs w:val="24"/>
          <w:lang w:val="en-GB"/>
        </w:rPr>
        <w:t xml:space="preserve"> Additionally, </w:t>
      </w:r>
      <w:r w:rsidR="00B573CB" w:rsidRPr="00EE533D">
        <w:rPr>
          <w:rFonts w:ascii="Times New Roman" w:hAnsi="Times New Roman" w:cs="Times New Roman"/>
          <w:sz w:val="24"/>
          <w:szCs w:val="24"/>
          <w:lang w:val="en-GB"/>
        </w:rPr>
        <w:t>strong enforcement of rules and laws</w:t>
      </w:r>
      <w:r w:rsidR="008E6A58" w:rsidRPr="00EE533D">
        <w:rPr>
          <w:rFonts w:ascii="Times New Roman" w:hAnsi="Times New Roman" w:cs="Times New Roman"/>
          <w:sz w:val="24"/>
          <w:szCs w:val="24"/>
          <w:lang w:val="en-GB"/>
        </w:rPr>
        <w:t xml:space="preserve"> (</w:t>
      </w:r>
      <w:r w:rsidR="008E6A58" w:rsidRPr="00EE533D">
        <w:rPr>
          <w:rFonts w:ascii="Times New Roman" w:hAnsi="Times New Roman" w:cs="Times New Roman"/>
          <w:i/>
          <w:iCs/>
          <w:sz w:val="24"/>
          <w:szCs w:val="24"/>
          <w:lang w:val="en-GB"/>
        </w:rPr>
        <w:t>Rule of Law</w:t>
      </w:r>
      <w:r w:rsidR="008E6A58" w:rsidRPr="00EE533D">
        <w:rPr>
          <w:rFonts w:ascii="Times New Roman" w:hAnsi="Times New Roman" w:cs="Times New Roman"/>
          <w:sz w:val="24"/>
          <w:szCs w:val="24"/>
          <w:lang w:val="en-GB"/>
        </w:rPr>
        <w:t>)</w:t>
      </w:r>
      <w:r w:rsidR="00B573CB" w:rsidRPr="00EE533D">
        <w:rPr>
          <w:rFonts w:ascii="Times New Roman" w:hAnsi="Times New Roman" w:cs="Times New Roman"/>
          <w:sz w:val="24"/>
          <w:szCs w:val="24"/>
          <w:lang w:val="en-GB"/>
        </w:rPr>
        <w:t xml:space="preserve"> contributed to a higher degree of waste recycled during the post-pandemic period (column (4)).</w:t>
      </w:r>
      <w:r w:rsidR="007453B2"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This finding is in line with</w:t>
      </w:r>
      <w:r w:rsidR="00127A34" w:rsidRPr="00EE533D">
        <w:rPr>
          <w:rFonts w:ascii="Times New Roman" w:hAnsi="Times New Roman" w:cs="Times New Roman"/>
          <w:sz w:val="24"/>
          <w:szCs w:val="24"/>
          <w:lang w:val="en-GB"/>
        </w:rPr>
        <w:t xml:space="preserve"> </w:t>
      </w:r>
      <w:r w:rsidR="00127A34" w:rsidRPr="00EE533D">
        <w:rPr>
          <w:rFonts w:ascii="Times New Roman" w:hAnsi="Times New Roman" w:cs="Times New Roman"/>
          <w:sz w:val="24"/>
          <w:szCs w:val="24"/>
          <w:lang w:val="en-GB"/>
        </w:rPr>
        <w:fldChar w:fldCharType="begin"/>
      </w:r>
      <w:r w:rsidR="008D5E03" w:rsidRPr="00EE533D">
        <w:rPr>
          <w:rFonts w:ascii="Times New Roman" w:hAnsi="Times New Roman" w:cs="Times New Roman"/>
          <w:sz w:val="24"/>
          <w:szCs w:val="24"/>
          <w:lang w:val="en-GB"/>
        </w:rPr>
        <w:instrText xml:space="preserve"> ADDIN ZOTERO_ITEM CSL_CITATION {"citationID":"SCu61uhi","properties":{"formattedCitation":"(Stef et al., 2023)","plainCitation":"(Stef et al., 2023)","dontUpdate":true,"noteIndex":0},"citationItems":[{"id":3729,"uris":["http://zotero.org/users/8125408/items/W4QUB5MU"],"itemData":{"id":3729,"type":"article-journal","container-title":"Energy Economics","ISSN":"0140-9883","journalAbbreviation":"Energy Economics","note":"publisher: Elsevier","page":"106822","title":"Does institutional quality affect CO2 emissions? Evidence from explainable artificial intelligence models","volume":"124","author":[{"family":"Stef","given":"Nicolae"},{"family":"Başağaoğlu","given":"Hakan"},{"family":"Chakraborty","given":"Debaditya"},{"family":"Jabeur","given":"Sami Ben"}],"issued":{"date-parts":[["2023"]]}}}],"schema":"https://github.com/citation-style-language/schema/raw/master/csl-citation.json"} </w:instrText>
      </w:r>
      <w:r w:rsidR="00127A34" w:rsidRPr="00EE533D">
        <w:rPr>
          <w:rFonts w:ascii="Times New Roman" w:hAnsi="Times New Roman" w:cs="Times New Roman"/>
          <w:sz w:val="24"/>
          <w:szCs w:val="24"/>
          <w:lang w:val="en-GB"/>
        </w:rPr>
        <w:fldChar w:fldCharType="separate"/>
      </w:r>
      <w:r w:rsidR="00127A34" w:rsidRPr="00EE533D">
        <w:rPr>
          <w:rFonts w:ascii="Times New Roman" w:hAnsi="Times New Roman" w:cs="Times New Roman"/>
          <w:sz w:val="24"/>
          <w:lang w:val="en-GB"/>
        </w:rPr>
        <w:t>Stef et al. (2023)</w:t>
      </w:r>
      <w:r w:rsidR="00127A34" w:rsidRPr="00EE533D">
        <w:rPr>
          <w:rFonts w:ascii="Times New Roman" w:hAnsi="Times New Roman" w:cs="Times New Roman"/>
          <w:sz w:val="24"/>
          <w:szCs w:val="24"/>
          <w:lang w:val="en-GB"/>
        </w:rPr>
        <w:fldChar w:fldCharType="end"/>
      </w:r>
      <w:r w:rsidR="00882EC9"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t xml:space="preserve">who </w:t>
      </w:r>
      <w:r w:rsidR="00530393" w:rsidRPr="00EE533D">
        <w:rPr>
          <w:rFonts w:ascii="Times New Roman" w:hAnsi="Times New Roman" w:cs="Times New Roman"/>
          <w:sz w:val="24"/>
          <w:szCs w:val="24"/>
          <w:lang w:val="en-GB"/>
        </w:rPr>
        <w:t xml:space="preserve">identified </w:t>
      </w:r>
      <w:r w:rsidR="00530393" w:rsidRPr="00EE533D">
        <w:rPr>
          <w:rFonts w:ascii="Times New Roman" w:hAnsi="Times New Roman" w:cs="Times New Roman"/>
          <w:sz w:val="24"/>
          <w:szCs w:val="24"/>
          <w:lang w:val="en-GB"/>
        </w:rPr>
        <w:lastRenderedPageBreak/>
        <w:t>the rule of law as the most important institutional dimension in limiting carbon emissions.</w:t>
      </w:r>
      <w:r w:rsidRPr="00EE533D">
        <w:rPr>
          <w:rFonts w:ascii="Times New Roman" w:hAnsi="Times New Roman" w:cs="Times New Roman"/>
          <w:sz w:val="24"/>
          <w:szCs w:val="24"/>
          <w:lang w:val="en-GB"/>
        </w:rPr>
        <w:t xml:space="preserve"> However, the endogeneity of the institutional proxies and a firm’s financial features is not controlled by the static panel regression. The following subsection will address the endogeneity issue of our econometric equation through a dynamic panel approach.</w:t>
      </w:r>
    </w:p>
    <w:p w14:paraId="35AC2880" w14:textId="77777777" w:rsidR="007467F2" w:rsidRPr="00EE533D" w:rsidRDefault="007467F2" w:rsidP="007467F2">
      <w:pPr>
        <w:spacing w:after="0" w:line="360" w:lineRule="auto"/>
        <w:jc w:val="both"/>
        <w:rPr>
          <w:rFonts w:ascii="Times New Roman" w:hAnsi="Times New Roman" w:cs="Times New Roman"/>
          <w:sz w:val="24"/>
          <w:szCs w:val="24"/>
          <w:lang w:val="en-GB"/>
        </w:rPr>
      </w:pPr>
    </w:p>
    <w:p w14:paraId="3770734B" w14:textId="77777777" w:rsidR="009F1857" w:rsidRPr="00EE533D" w:rsidRDefault="007467F2" w:rsidP="007467F2">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{Table 7}</w:t>
      </w:r>
    </w:p>
    <w:p w14:paraId="289A85C7" w14:textId="65CC4DEF" w:rsidR="007467F2" w:rsidRPr="00EE533D" w:rsidRDefault="009F1857" w:rsidP="009F1857">
      <w:pPr>
        <w:jc w:val="center"/>
        <w:rPr>
          <w:rFonts w:ascii="Times New Roman" w:hAnsi="Times New Roman" w:cs="Times New Roman"/>
          <w:b/>
          <w:bCs/>
          <w:sz w:val="24"/>
          <w:szCs w:val="24"/>
          <w:lang w:val="en-GB"/>
        </w:rPr>
      </w:pPr>
      <w:r w:rsidRPr="00EE533D">
        <w:rPr>
          <w:rFonts w:ascii="Times New Roman" w:hAnsi="Times New Roman" w:cs="Times New Roman"/>
          <w:iCs/>
          <w:sz w:val="24"/>
          <w:szCs w:val="24"/>
          <w:lang w:val="en-GB"/>
        </w:rPr>
        <w:t>{Table 8}</w:t>
      </w:r>
    </w:p>
    <w:p w14:paraId="4B0ADD83" w14:textId="77777777" w:rsidR="007467F2" w:rsidRPr="00EE533D" w:rsidRDefault="007467F2" w:rsidP="007467F2">
      <w:pPr>
        <w:ind w:firstLine="708"/>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lastRenderedPageBreak/>
        <w:t>4.4 Dynamic panel approach</w:t>
      </w:r>
    </w:p>
    <w:p w14:paraId="7AE0C998" w14:textId="6FECB6A6" w:rsidR="007467F2" w:rsidRPr="00EE533D" w:rsidRDefault="007467F2" w:rsidP="00EE2C3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 xml:space="preserve">Recycling operations require investment. Once such investments are made, a firm may pursue its ecological engagement over a certain period. Econometrically, this implies that our recycling proxies will be persistent over time, and the 1-year lag values can explain their variance. A static panel approach cannot properly estimate the impact of a lagged dependent variable as it would be strongly correlated with the error term of equation (1)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{"citationID":"D4nVTWMH","properties":{"formattedCitation":"(Nickell, 1981)","plainCitation":"(Nickell, 1981)","noteIndex":0},"citationItems":[{"id":1991,"uris":["http://zotero.org/users/8125408/items/IA298EMA"],"itemData":{"id":1991,"type":"article-journal","abstract":"[It is well known from the Monte-Carlo work of Nerlove that using the standard within-group estimator for dynamic models with fixed individual effects generates estimates which are inconsistent as the number of \"individuals\" tends to infinity if the number of time periods is kept fixed. In this paper we present analytical expressions for these inconsistencies for the first order autoregressive case.]","archive":"JSTOR","container-title":"Econometrica","DOI":"10.2307/1911408","ISSN":"00129682, 14680262","issue":"6","note":"publisher: [Wiley, Econometric Society]","page":"1417-1426","title":"Biases in Dynamic Models with Fixed Effects","volume":"49","author":[{"family":"Nickell","given":"Stephen"}],"issued":{"date-parts":[["1981"]]}}}],"schema":"https://github.com/citation-style-language/schema/raw/master/csl-citation.json"} </w:instrText>
      </w:r>
      <w:r w:rsidRPr="00EE533D">
        <w:rPr>
          <w:rFonts w:ascii="Times New Roman" w:hAnsi="Times New Roman" w:cs="Times New Roman"/>
          <w:sz w:val="24"/>
          <w:szCs w:val="24"/>
          <w:lang w:val="en-GB"/>
        </w:rPr>
        <w:fldChar w:fldCharType="separate"/>
      </w:r>
      <w:r w:rsidR="00EE2C32" w:rsidRPr="00EE533D">
        <w:rPr>
          <w:rFonts w:ascii="Times New Roman" w:hAnsi="Times New Roman" w:cs="Times New Roman"/>
          <w:sz w:val="24"/>
          <w:lang w:val="en-GB"/>
        </w:rPr>
        <w:t>(Nickell, 1981)</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The studies </w:t>
      </w:r>
      <w:r w:rsidRPr="00EE533D">
        <w:rPr>
          <w:rFonts w:ascii="Times New Roman" w:hAnsi="Times New Roman" w:cs="Times New Roman"/>
          <w:sz w:val="24"/>
          <w:szCs w:val="24"/>
          <w:lang w:val="en-GB"/>
        </w:rPr>
        <w:lastRenderedPageBreak/>
        <w:t xml:space="preserve">of </w:t>
      </w:r>
      <w:r w:rsidRPr="00EE533D">
        <w:rPr>
          <w:rFonts w:ascii="Times New Roman" w:hAnsi="Times New Roman" w:cs="Times New Roman"/>
          <w:sz w:val="24"/>
          <w:szCs w:val="24"/>
          <w:lang w:val="en-GB"/>
        </w:rPr>
        <w:fldChar w:fldCharType="begin"/>
      </w:r>
      <w:r w:rsidR="00EE2C32" w:rsidRPr="00EE533D">
        <w:rPr>
          <w:rFonts w:ascii="Times New Roman" w:hAnsi="Times New Roman" w:cs="Times New Roman"/>
          <w:sz w:val="24"/>
          <w:szCs w:val="24"/>
          <w:lang w:val="en-GB"/>
        </w:rPr>
        <w:instrText xml:space="preserve"> ADDIN ZOTERO_ITEM CSL_CITATION {"citationID":"M5vao3aM","properties":{"formattedCitation":"(Arellano and Bover, 1995)","plainCitation":"(Arellano and Bover, 1995)","noteIndex":0},"citationItems":[{"id":2759,"uris":["http://zotero.org/users/8125408/items/Y2WQZTCS"],"itemData":{"id":2759,"type":"article-journal","container-title":"Journal of econometrics","ISSN":"0304-4076","issue":"1","journalAbbreviation":"Journal of econometrics","note":"publisher: Elsevier","page":"29-51","title":"Another look at the instrumental variable estimation of error-components models","volume":"68","author":[{"family":"Arellano","given":"Manuel"},{"family":"Bover","given":"Olympia"}],"issued":{"date-parts":[["1995"]]}}}],"schema":"https://github.com/citation-style-language/schema/raw/master/csl-citation.json"} </w:instrText>
      </w:r>
      <w:r w:rsidRPr="00EE533D">
        <w:rPr>
          <w:rFonts w:ascii="Times New Roman" w:hAnsi="Times New Roman" w:cs="Times New Roman"/>
          <w:sz w:val="24"/>
          <w:szCs w:val="24"/>
          <w:lang w:val="en-GB"/>
        </w:rPr>
        <w:fldChar w:fldCharType="separate"/>
      </w:r>
      <w:r w:rsidR="00EE2C32" w:rsidRPr="00EE533D">
        <w:rPr>
          <w:rFonts w:ascii="Times New Roman" w:hAnsi="Times New Roman" w:cs="Times New Roman"/>
          <w:sz w:val="24"/>
          <w:lang w:val="en-GB"/>
        </w:rPr>
        <w:t>(Arellano and Bover, 1995)</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Blundell and Bond (1998) proposed the system Generalized Method of Moments (GMM) estimator to overcome such bias. The system GMM requires the construction of two equations, namely an equation in levels (equation (2)) and an equation in first-differences (equation (3)). </w:t>
      </w:r>
    </w:p>
    <w:p w14:paraId="1CA2D8B6" w14:textId="0D7D7B91" w:rsidR="007467F2" w:rsidRPr="00EE533D" w:rsidRDefault="007467F2" w:rsidP="007467F2">
      <w:pPr>
        <w:spacing w:after="0" w:line="360" w:lineRule="auto"/>
        <w:ind w:left="709" w:hanging="709"/>
        <w:jc w:val="both"/>
        <w:rPr>
          <w:rFonts w:ascii="Times New Roman" w:hAnsi="Times New Roman" w:cs="Times New Roman"/>
          <w:i/>
          <w:sz w:val="24"/>
          <w:szCs w:val="24"/>
        </w:rPr>
      </w:pPr>
      <w:r w:rsidRPr="00EE533D">
        <w:rPr>
          <w:rFonts w:ascii="Times New Roman" w:hAnsi="Times New Roman" w:cs="Times New Roman"/>
          <w:i/>
          <w:sz w:val="24"/>
          <w:szCs w:val="24"/>
        </w:rPr>
        <w:t>Recycle</w:t>
      </w:r>
      <w:r w:rsidRPr="00EE533D">
        <w:rPr>
          <w:rFonts w:ascii="Times New Roman" w:hAnsi="Times New Roman" w:cs="Times New Roman"/>
          <w:i/>
          <w:sz w:val="24"/>
          <w:szCs w:val="24"/>
          <w:vertAlign w:val="subscript"/>
        </w:rPr>
        <w:t>i,t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γ</w:t>
      </w:r>
      <w:r w:rsidRPr="00EE533D">
        <w:rPr>
          <w:rFonts w:ascii="Times New Roman" w:hAnsi="Times New Roman" w:cs="Times New Roman"/>
          <w:i/>
          <w:sz w:val="24"/>
          <w:szCs w:val="24"/>
        </w:rPr>
        <w:t>Recycle</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ψ</w:t>
      </w:r>
      <w:r w:rsidRPr="00EE533D">
        <w:rPr>
          <w:rFonts w:ascii="Times New Roman" w:hAnsi="Times New Roman" w:cs="Times New Roman"/>
          <w:i/>
          <w:sz w:val="24"/>
          <w:szCs w:val="24"/>
        </w:rPr>
        <w:t>(Institution</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Φ</w:t>
      </w:r>
      <w:r w:rsidRPr="00EE533D">
        <w:rPr>
          <w:rFonts w:ascii="Times New Roman" w:hAnsi="Times New Roman" w:cs="Times New Roman"/>
          <w:i/>
          <w:sz w:val="24"/>
          <w:szCs w:val="24"/>
        </w:rPr>
        <w:t>(Financial</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λ</w:t>
      </w:r>
      <w:r w:rsidRPr="00EE533D">
        <w:rPr>
          <w:rFonts w:ascii="Times New Roman" w:hAnsi="Times New Roman" w:cs="Times New Roman"/>
          <w:i/>
          <w:sz w:val="24"/>
          <w:szCs w:val="24"/>
        </w:rPr>
        <w:t>(</w:t>
      </w:r>
      <w:r w:rsidR="00144A4A" w:rsidRPr="00EE533D">
        <w:rPr>
          <w:rFonts w:ascii="Times New Roman" w:hAnsi="Times New Roman" w:cs="Times New Roman"/>
          <w:i/>
          <w:sz w:val="24"/>
          <w:szCs w:val="24"/>
        </w:rPr>
        <w:t>Governance</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τ</w:t>
      </w:r>
      <w:r w:rsidRPr="00EE533D">
        <w:rPr>
          <w:rFonts w:ascii="Times New Roman" w:hAnsi="Times New Roman" w:cs="Times New Roman"/>
          <w:i/>
          <w:sz w:val="24"/>
          <w:szCs w:val="24"/>
        </w:rPr>
        <w:t xml:space="preserve"> (Macro</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w:t>
      </w:r>
      <w:r w:rsidRPr="00EE533D">
        <w:rPr>
          <w:rFonts w:ascii="Times New Roman" w:hAnsi="Times New Roman" w:cs="Times New Roman"/>
          <w:sz w:val="24"/>
          <w:szCs w:val="24"/>
        </w:rPr>
        <w:t xml:space="preserve"> </w:t>
      </w:r>
      <w:r w:rsidRPr="00EE533D">
        <w:rPr>
          <w:rFonts w:ascii="Times New Roman" w:hAnsi="Times New Roman" w:cs="Times New Roman"/>
          <w:i/>
          <w:sz w:val="24"/>
          <w:szCs w:val="24"/>
          <w:lang w:val="en-GB"/>
        </w:rPr>
        <w:t>α</w:t>
      </w:r>
      <w:r w:rsidRPr="00EE533D">
        <w:rPr>
          <w:rFonts w:ascii="Times New Roman" w:hAnsi="Times New Roman" w:cs="Times New Roman"/>
          <w:i/>
          <w:sz w:val="24"/>
          <w:szCs w:val="24"/>
          <w:vertAlign w:val="subscript"/>
        </w:rPr>
        <w:t>i</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rPr>
        <w:t>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ξ</w:t>
      </w:r>
      <w:r w:rsidRPr="00EE533D">
        <w:rPr>
          <w:rFonts w:ascii="Times New Roman" w:hAnsi="Times New Roman" w:cs="Times New Roman"/>
          <w:i/>
          <w:sz w:val="24"/>
          <w:szCs w:val="24"/>
          <w:vertAlign w:val="subscript"/>
        </w:rPr>
        <w:t>i,t</w:t>
      </w:r>
      <w:r w:rsidRPr="00EE533D">
        <w:rPr>
          <w:rFonts w:ascii="Times New Roman" w:hAnsi="Times New Roman" w:cs="Times New Roman"/>
          <w:sz w:val="24"/>
          <w:szCs w:val="24"/>
        </w:rPr>
        <w:t xml:space="preserve">         </w:t>
      </w:r>
      <w:r w:rsidRPr="00EE533D">
        <w:rPr>
          <w:rFonts w:ascii="Times New Roman" w:hAnsi="Times New Roman" w:cs="Times New Roman"/>
          <w:sz w:val="24"/>
          <w:szCs w:val="24"/>
        </w:rPr>
        <w:tab/>
        <w:t xml:space="preserve">        </w:t>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00D94A09" w:rsidRPr="00EE533D">
        <w:rPr>
          <w:rFonts w:ascii="Times New Roman" w:hAnsi="Times New Roman" w:cs="Times New Roman"/>
          <w:sz w:val="24"/>
          <w:szCs w:val="24"/>
        </w:rPr>
        <w:tab/>
      </w:r>
      <w:r w:rsidR="00D94A09" w:rsidRPr="00EE533D">
        <w:rPr>
          <w:rFonts w:ascii="Times New Roman" w:hAnsi="Times New Roman" w:cs="Times New Roman"/>
          <w:sz w:val="24"/>
          <w:szCs w:val="24"/>
        </w:rPr>
        <w:tab/>
      </w:r>
      <w:r w:rsidRPr="00EE533D">
        <w:rPr>
          <w:rFonts w:ascii="Times New Roman" w:hAnsi="Times New Roman" w:cs="Times New Roman"/>
          <w:sz w:val="24"/>
          <w:szCs w:val="24"/>
        </w:rPr>
        <w:t>(2)</w:t>
      </w:r>
    </w:p>
    <w:p w14:paraId="2E6087C6" w14:textId="46F2F8A4" w:rsidR="007467F2" w:rsidRPr="00EE533D" w:rsidRDefault="007467F2" w:rsidP="007467F2">
      <w:pPr>
        <w:spacing w:after="0" w:line="360" w:lineRule="auto"/>
        <w:ind w:left="709" w:hanging="709"/>
        <w:jc w:val="both"/>
        <w:rPr>
          <w:rFonts w:ascii="Times New Roman" w:hAnsi="Times New Roman" w:cs="Times New Roman"/>
          <w:i/>
          <w:sz w:val="24"/>
          <w:szCs w:val="24"/>
        </w:rPr>
      </w:pPr>
      <w:r w:rsidRPr="00EE533D">
        <w:rPr>
          <w:rFonts w:ascii="Times New Roman" w:hAnsi="Times New Roman" w:cs="Times New Roman"/>
          <w:i/>
          <w:sz w:val="24"/>
          <w:szCs w:val="24"/>
        </w:rPr>
        <w:lastRenderedPageBreak/>
        <w:t>∆Recycle</w:t>
      </w:r>
      <w:r w:rsidRPr="00EE533D">
        <w:rPr>
          <w:rFonts w:ascii="Times New Roman" w:hAnsi="Times New Roman" w:cs="Times New Roman"/>
          <w:i/>
          <w:sz w:val="24"/>
          <w:szCs w:val="24"/>
          <w:vertAlign w:val="subscript"/>
        </w:rPr>
        <w:t>i,t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ν</w:t>
      </w:r>
      <w:r w:rsidRPr="00EE533D">
        <w:rPr>
          <w:rFonts w:ascii="Times New Roman" w:hAnsi="Times New Roman" w:cs="Times New Roman"/>
          <w:i/>
          <w:sz w:val="24"/>
          <w:szCs w:val="24"/>
        </w:rPr>
        <w:t>∆Recycle</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η</w:t>
      </w:r>
      <w:r w:rsidRPr="00EE533D">
        <w:rPr>
          <w:rFonts w:ascii="Times New Roman" w:hAnsi="Times New Roman" w:cs="Times New Roman"/>
          <w:i/>
          <w:sz w:val="24"/>
          <w:szCs w:val="24"/>
        </w:rPr>
        <w:t>(∆Institution</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δ</w:t>
      </w:r>
      <w:r w:rsidRPr="00EE533D">
        <w:rPr>
          <w:rFonts w:ascii="Times New Roman" w:hAnsi="Times New Roman" w:cs="Times New Roman"/>
          <w:i/>
          <w:sz w:val="24"/>
          <w:szCs w:val="24"/>
        </w:rPr>
        <w:t>(∆Financial</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φ</w:t>
      </w:r>
      <w:r w:rsidRPr="00EE533D">
        <w:rPr>
          <w:rFonts w:ascii="Times New Roman" w:hAnsi="Times New Roman" w:cs="Times New Roman"/>
          <w:i/>
          <w:sz w:val="24"/>
          <w:szCs w:val="24"/>
        </w:rPr>
        <w:t>(∆</w:t>
      </w:r>
      <w:r w:rsidR="00A619B2" w:rsidRPr="00EE533D">
        <w:rPr>
          <w:rFonts w:ascii="Times New Roman" w:hAnsi="Times New Roman" w:cs="Times New Roman"/>
          <w:i/>
          <w:sz w:val="24"/>
          <w:szCs w:val="24"/>
        </w:rPr>
        <w:t>Governance</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ν</w:t>
      </w:r>
      <w:r w:rsidRPr="00EE533D">
        <w:rPr>
          <w:rFonts w:ascii="Times New Roman" w:hAnsi="Times New Roman" w:cs="Times New Roman"/>
          <w:i/>
          <w:sz w:val="24"/>
          <w:szCs w:val="24"/>
        </w:rPr>
        <w:t xml:space="preserve"> (∆Macro</w:t>
      </w:r>
      <w:r w:rsidRPr="00EE533D">
        <w:rPr>
          <w:rFonts w:ascii="Times New Roman" w:hAnsi="Times New Roman" w:cs="Times New Roman"/>
          <w:i/>
          <w:sz w:val="24"/>
          <w:szCs w:val="24"/>
          <w:vertAlign w:val="subscript"/>
        </w:rPr>
        <w:t>i,t</w:t>
      </w:r>
      <w:r w:rsidR="00A619B2" w:rsidRPr="00EE533D">
        <w:rPr>
          <w:rFonts w:ascii="Times New Roman" w:hAnsi="Times New Roman" w:cs="Times New Roman"/>
          <w:i/>
          <w:sz w:val="24"/>
          <w:szCs w:val="24"/>
          <w:vertAlign w:val="subscript"/>
        </w:rPr>
        <w:t>-1</w:t>
      </w:r>
      <w:r w:rsidRPr="00EE533D">
        <w:rPr>
          <w:rFonts w:ascii="Times New Roman" w:hAnsi="Times New Roman" w:cs="Times New Roman"/>
          <w:i/>
          <w:sz w:val="24"/>
          <w:szCs w:val="24"/>
        </w:rPr>
        <w:t>)+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rPr>
        <w:t>t</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ξ</w:t>
      </w:r>
      <w:r w:rsidRPr="00EE533D">
        <w:rPr>
          <w:rFonts w:ascii="Times New Roman" w:hAnsi="Times New Roman" w:cs="Times New Roman"/>
          <w:i/>
          <w:sz w:val="24"/>
          <w:szCs w:val="24"/>
          <w:vertAlign w:val="subscript"/>
        </w:rPr>
        <w:t>i,t</w:t>
      </w:r>
      <w:r w:rsidRPr="00EE533D">
        <w:rPr>
          <w:rFonts w:ascii="Times New Roman" w:hAnsi="Times New Roman" w:cs="Times New Roman"/>
          <w:sz w:val="24"/>
          <w:szCs w:val="24"/>
        </w:rPr>
        <w:t xml:space="preserve">         </w:t>
      </w:r>
      <w:r w:rsidRPr="00EE533D">
        <w:rPr>
          <w:rFonts w:ascii="Times New Roman" w:hAnsi="Times New Roman" w:cs="Times New Roman"/>
          <w:sz w:val="24"/>
          <w:szCs w:val="24"/>
        </w:rPr>
        <w:tab/>
        <w:t xml:space="preserve">        </w:t>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t>(3)</w:t>
      </w:r>
    </w:p>
    <w:p w14:paraId="48457F9C" w14:textId="41126762"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rPr>
        <w:tab/>
      </w:r>
      <w:r w:rsidRPr="00EE533D">
        <w:rPr>
          <w:rFonts w:ascii="Times New Roman" w:hAnsi="Times New Roman" w:cs="Times New Roman"/>
          <w:sz w:val="24"/>
          <w:szCs w:val="24"/>
          <w:lang w:val="en-GB"/>
        </w:rPr>
        <w:t xml:space="preserve">The coefficients will be estimated using the lagged values of the first-differences as instruments for the endogenous variables, whereas the lagged values of the variables in levels as instruments will be used for the first-differenced variables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{"citationID":"rOKba8RW","properties":{"formattedCitation":"(Blundell &amp; Bond, 1998)","plainCitation":"(Blundell &amp; Bond, 1998)","dontUpdate":true,"noteIndex":0},"citationItems":[{"id":1992,"uris":["http://zotero.org/users/8125408/items/AGK955DR"],"itemData":{"id":1992,"type":"article-journal","abstract":"Estimation of the dynamic error components model is considered using two alternative linear estimators that are designed to improve the properties of the standard first-differenced GMM estimator. Both estimators require restrictions on the initial conditions process. Asymptotic efficiency comparisons and Monte Carlo simulations for the simple AR(1) model demonstrate the dramatic improvement in performance of the proposed estimators compared to the usual first-differenced GMM estimator, and compared to non-linear GMM. The importance of these results is illustrated in an application to the estimation of a labour demand model using company panel data.","container-title":"Journal of Econometrics","DOI":"https://doi.org/10.1016/S0304-4076(98)00009-8","ISSN":"0304-4076","issue":"1","page":"115-143","title":"Initial conditions and moment restrictions in dynamic panel data models","volume":"87","author":[{"family":"Blundell","given":"Richard"},{"family":"Bond","given":"Stephen"}],"issued":{"date-parts":[["1998"]]}}}],"schema":"https://github.com/citation-style-language/schema/raw/master/csl-citation.json"}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(Blundell and Bond, 1998)</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In this framework, we will treat our institutional variables</w:t>
      </w:r>
      <w:r w:rsidR="005653AB"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lastRenderedPageBreak/>
        <w:t>the financial features</w:t>
      </w:r>
      <w:r w:rsidR="00003E6F" w:rsidRPr="00EE533D">
        <w:rPr>
          <w:rFonts w:ascii="Times New Roman" w:hAnsi="Times New Roman" w:cs="Times New Roman"/>
          <w:sz w:val="24"/>
          <w:szCs w:val="24"/>
          <w:lang w:val="en-GB"/>
        </w:rPr>
        <w:t xml:space="preserve"> and corporate governance variables</w:t>
      </w:r>
      <w:r w:rsidRPr="00EE533D">
        <w:rPr>
          <w:rFonts w:ascii="Times New Roman" w:hAnsi="Times New Roman" w:cs="Times New Roman"/>
          <w:sz w:val="24"/>
          <w:szCs w:val="24"/>
          <w:lang w:val="en-GB"/>
        </w:rPr>
        <w:t xml:space="preserve"> as endogenous. On the one hand, changes in the efficiency of institutions can be determined by multiple legal reforms and the investments made by governments in the infrastructure and the training of public servants. On the other hand, fluctuations in the financial market can have direct consequences on the strategic behavio</w:t>
      </w:r>
      <w:r w:rsidR="00863809" w:rsidRPr="00EE533D">
        <w:rPr>
          <w:rFonts w:ascii="Times New Roman" w:hAnsi="Times New Roman" w:cs="Times New Roman"/>
          <w:sz w:val="24"/>
          <w:szCs w:val="24"/>
          <w:lang w:val="en-GB"/>
        </w:rPr>
        <w:t>u</w:t>
      </w:r>
      <w:r w:rsidRPr="00EE533D">
        <w:rPr>
          <w:rFonts w:ascii="Times New Roman" w:hAnsi="Times New Roman" w:cs="Times New Roman"/>
          <w:sz w:val="24"/>
          <w:szCs w:val="24"/>
          <w:lang w:val="en-GB"/>
        </w:rPr>
        <w:t>r of listed firms</w:t>
      </w:r>
      <w:r w:rsidR="009921A7" w:rsidRPr="00EE533D">
        <w:rPr>
          <w:rFonts w:ascii="Times New Roman" w:hAnsi="Times New Roman" w:cs="Times New Roman"/>
          <w:sz w:val="24"/>
          <w:szCs w:val="24"/>
          <w:lang w:val="en-GB"/>
        </w:rPr>
        <w:t xml:space="preserve"> that can adjust their governance </w:t>
      </w:r>
      <w:r w:rsidR="00966F49" w:rsidRPr="00EE533D">
        <w:rPr>
          <w:rFonts w:ascii="Times New Roman" w:hAnsi="Times New Roman" w:cs="Times New Roman"/>
          <w:sz w:val="24"/>
          <w:szCs w:val="24"/>
          <w:lang w:val="en-GB"/>
        </w:rPr>
        <w:t xml:space="preserve">and </w:t>
      </w:r>
      <w:r w:rsidR="00D24A9E" w:rsidRPr="00EE533D">
        <w:rPr>
          <w:rFonts w:ascii="Times New Roman" w:hAnsi="Times New Roman" w:cs="Times New Roman"/>
          <w:sz w:val="24"/>
          <w:szCs w:val="24"/>
          <w:lang w:val="en-GB"/>
        </w:rPr>
        <w:t>capital structure</w:t>
      </w:r>
      <w:r w:rsidRPr="00EE533D">
        <w:rPr>
          <w:rFonts w:ascii="Times New Roman" w:hAnsi="Times New Roman" w:cs="Times New Roman"/>
          <w:sz w:val="24"/>
          <w:szCs w:val="24"/>
          <w:lang w:val="en-GB"/>
        </w:rPr>
        <w:t>.</w:t>
      </w:r>
    </w:p>
    <w:p w14:paraId="2D3D64DB" w14:textId="0992ACD0"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ab/>
        <w:t xml:space="preserve">Following the recommendations of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{"citationID":"DfE8ABhs","properties":{"formattedCitation":"(Windmeijer, 2005)","plainCitation":"(Windmeijer, 2005)","dontUpdate":true,"noteIndex":0},"citationItems":[{"id":1993,"uris":["http://zotero.org/users/8125408/items/Q2I3DMEG"],"itemData":{"id":1993,"type":"article-journal","abstract":"Monte Carlo studies have shown that estimated asymptotic standard errors of the efficient two-step generalized method of moments (GMM) estimator can be severely downward biased in small samples. The weight matrix used in the calculation of the efficient two-step GMM estimator is based on initial consistent parameter estimates. In this paper it is shown that the extra variation due to the presence of these estimated parameters in the weight matrix accounts for much of the difference between the finite sample and the usual asymptotic variance of the two-step GMM estimator, when the moment conditions used are linear in the parameters. This difference can be estimated, resulting in a finite sample corrected estimate of the variance. In a Monte Carlo study of a panel data model it is shown that the corrected variance estimate approximates the finite sample variance well, leading to more accurate inference.","container-title":"Journal of Econometrics","DOI":"https://doi.org/10.1016/j.jeconom.2004.02.005","ISSN":"0304-4076","issue":"1","page":"25-51","title":"A finite sample correction for the variance of linear efficient two-step GMM estimators","volume":"126","author":[{"family":"Windmeijer","given":"Frank"}],"issued":{"date-parts":[["2005"]]}}}],"schema":"https://github.com/citation-style-language/schema/raw/master/csl-citation.json"}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Windmeijer (2005)</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and </w:t>
      </w:r>
      <w:r w:rsidRPr="00EE533D">
        <w:rPr>
          <w:rFonts w:ascii="Times New Roman" w:hAnsi="Times New Roman" w:cs="Times New Roman"/>
          <w:sz w:val="24"/>
          <w:szCs w:val="24"/>
          <w:lang w:val="en-GB"/>
        </w:rPr>
        <w:fldChar w:fldCharType="begin"/>
      </w:r>
      <w:r w:rsidRPr="00EE533D">
        <w:rPr>
          <w:rFonts w:ascii="Times New Roman" w:hAnsi="Times New Roman" w:cs="Times New Roman"/>
          <w:sz w:val="24"/>
          <w:szCs w:val="24"/>
          <w:lang w:val="en-GB"/>
        </w:rPr>
        <w:instrText xml:space="preserve"> ADDIN ZOTERO_ITEM CSL_CITATION {"citationID":"g0fOeNs9","properties":{"formattedCitation":"(Roodman, 2009)","plainCitation":"(Roodman, 2009)","dontUpdate":true,"noteIndex":0},"citationItems":[{"id":1994,"uris":["http://zotero.org/users/8125408/items/Q6SP6STN"],"itemData":{"id":1994,"type":"article-journal","abstract":"Abstract The difference and system generalized method of moments (GMM) estimators are growing in popularity. As implemented in popular software, the estimators easily generate instruments that are numerous and, in system GMM, potentially suspect. A large instrument collection overfits endogenous variables even as it weakens the Hansen test of the instruments’ joint validity. This paper reviews the evidence on the effects of instrument proliferation, and describes and simulates simple ways to control it. It illustrates the dangers by replicating Forbes [American Economic Review (2000) Vol. 90, pp. 869–887] on income inequality and Levine et al. [Journal of Monetary Economics] (2000) Vol. 46, pp. 31–77] on financial sector development. Results in both papers appear driven by previously undetected endogeneity.","container-title":"Oxford Bulletin of Economics and Statistics","DOI":"https://doi.org/10.1111/j.1468-0084.2008.00542.x","issue":"1","note":"_eprint: https://onlinelibrary.wiley.com/doi/pdf/10.1111/j.1468-0084.2008.00542.x","page":"135-158","title":"A Note on the Theme of Too Many Instruments*","volume":"71","author":[{"family":"Roodman","given":"David"}],"issued":{"date-parts":[["2009"]]}}}],"schema":"https://github.com/citation-style-language/schema/raw/master/csl-citation.json"} </w:instrText>
      </w:r>
      <w:r w:rsidRPr="00EE533D">
        <w:rPr>
          <w:rFonts w:ascii="Times New Roman" w:hAnsi="Times New Roman" w:cs="Times New Roman"/>
          <w:sz w:val="24"/>
          <w:szCs w:val="24"/>
          <w:lang w:val="en-GB"/>
        </w:rPr>
        <w:fldChar w:fldCharType="separate"/>
      </w:r>
      <w:r w:rsidRPr="00EE533D">
        <w:rPr>
          <w:rFonts w:ascii="Times New Roman" w:hAnsi="Times New Roman" w:cs="Times New Roman"/>
          <w:sz w:val="24"/>
          <w:lang w:val="en-GB"/>
        </w:rPr>
        <w:t>Roodman (2009)</w:t>
      </w:r>
      <w:r w:rsidRPr="00EE533D">
        <w:rPr>
          <w:rFonts w:ascii="Times New Roman" w:hAnsi="Times New Roman" w:cs="Times New Roman"/>
          <w:sz w:val="24"/>
          <w:szCs w:val="24"/>
          <w:lang w:val="en-GB"/>
        </w:rPr>
        <w:fldChar w:fldCharType="end"/>
      </w:r>
      <w:r w:rsidRPr="00EE533D">
        <w:rPr>
          <w:rFonts w:ascii="Times New Roman" w:hAnsi="Times New Roman" w:cs="Times New Roman"/>
          <w:sz w:val="24"/>
          <w:szCs w:val="24"/>
          <w:lang w:val="en-GB"/>
        </w:rPr>
        <w:t xml:space="preserve">, we will rely upon robust standard errors corrected for finite sample bias to address the downward bias of asymptotic standard errors and rely upon collapsed instruments to avoid the overfitting of the endogenous variables. Table </w:t>
      </w:r>
      <w:r w:rsidR="009F1857" w:rsidRPr="00EE533D">
        <w:rPr>
          <w:rFonts w:ascii="Times New Roman" w:hAnsi="Times New Roman" w:cs="Times New Roman"/>
          <w:sz w:val="24"/>
          <w:szCs w:val="24"/>
          <w:lang w:val="en-GB"/>
        </w:rPr>
        <w:t>9</w:t>
      </w:r>
      <w:r w:rsidRPr="00EE533D">
        <w:rPr>
          <w:rFonts w:ascii="Times New Roman" w:hAnsi="Times New Roman" w:cs="Times New Roman"/>
          <w:sz w:val="24"/>
          <w:szCs w:val="24"/>
          <w:lang w:val="en-GB"/>
        </w:rPr>
        <w:t xml:space="preserve"> presents the estimations of the system GMM with the initial set of financial control variables (columns (1)-(3)) and the alternative set of financial features (columns (4)-(6)). </w:t>
      </w:r>
    </w:p>
    <w:p w14:paraId="2752EF97" w14:textId="15B48B8A" w:rsidR="007467F2" w:rsidRPr="00EE533D" w:rsidRDefault="007467F2" w:rsidP="00C22B81">
      <w:pPr>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 xml:space="preserve">Our dynamic panel regressions confirm the path dependency of the recycling performance, as the first-order serial correlation is significant at the 1% level. The 1-year lagged values of the dependent variables have a positive contribution to the variance of our dependent variables. In this dynamic frame,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is the only institutional dimension with a robust effect (columns (1) and (4)), partially confirming our first hypothesis (</w:t>
      </w:r>
      <w:r w:rsidRPr="00EE533D">
        <w:rPr>
          <w:rFonts w:ascii="Times New Roman" w:hAnsi="Times New Roman" w:cs="Times New Roman"/>
          <w:i/>
          <w:iCs/>
          <w:sz w:val="24"/>
          <w:szCs w:val="24"/>
          <w:lang w:val="en-GB"/>
        </w:rPr>
        <w:t>H1</w:t>
      </w:r>
      <w:r w:rsidRPr="00EE533D">
        <w:rPr>
          <w:rFonts w:ascii="Times New Roman" w:hAnsi="Times New Roman" w:cs="Times New Roman"/>
          <w:sz w:val="24"/>
          <w:szCs w:val="24"/>
          <w:lang w:val="en-GB"/>
        </w:rPr>
        <w:t>), which assesses the rela</w:t>
      </w:r>
      <w:r w:rsidRPr="00EE533D">
        <w:rPr>
          <w:rFonts w:ascii="Times New Roman" w:hAnsi="Times New Roman" w:cs="Times New Roman"/>
          <w:sz w:val="24"/>
          <w:szCs w:val="24"/>
          <w:lang w:val="en-GB"/>
        </w:rPr>
        <w:lastRenderedPageBreak/>
        <w:t xml:space="preserve">tionship between institutional stability and corporate recycling performance, here specifically the practice of recycling waste. A 0.1-point improvement in this index leads to an increase in </w:t>
      </w:r>
      <w:r w:rsidRPr="00EE533D">
        <w:rPr>
          <w:rFonts w:ascii="Times New Roman" w:hAnsi="Times New Roman" w:cs="Times New Roman"/>
          <w:i/>
          <w:iCs/>
          <w:sz w:val="24"/>
          <w:szCs w:val="24"/>
          <w:lang w:val="en-GB"/>
        </w:rPr>
        <w:t>Recycled Waste</w:t>
      </w:r>
      <w:r w:rsidR="001F4F78" w:rsidRPr="00EE533D">
        <w:rPr>
          <w:rFonts w:ascii="Times New Roman" w:hAnsi="Times New Roman" w:cs="Times New Roman"/>
          <w:sz w:val="24"/>
          <w:szCs w:val="24"/>
          <w:lang w:val="en-GB"/>
        </w:rPr>
        <w:t xml:space="preserve"> </w:t>
      </w:r>
      <w:r w:rsidR="00863809" w:rsidRPr="00EE533D">
        <w:rPr>
          <w:rFonts w:ascii="Times New Roman" w:hAnsi="Times New Roman" w:cs="Times New Roman"/>
          <w:sz w:val="24"/>
          <w:szCs w:val="24"/>
          <w:lang w:val="en-GB"/>
        </w:rPr>
        <w:t>in</w:t>
      </w:r>
      <w:r w:rsidR="001F4F78" w:rsidRPr="00EE533D">
        <w:rPr>
          <w:rFonts w:ascii="Times New Roman" w:hAnsi="Times New Roman" w:cs="Times New Roman"/>
          <w:sz w:val="24"/>
          <w:szCs w:val="24"/>
          <w:lang w:val="en-GB"/>
        </w:rPr>
        <w:t xml:space="preserve"> the following year</w:t>
      </w:r>
      <w:r w:rsidRPr="00EE533D">
        <w:rPr>
          <w:rFonts w:ascii="Times New Roman" w:hAnsi="Times New Roman" w:cs="Times New Roman"/>
          <w:sz w:val="24"/>
          <w:szCs w:val="24"/>
          <w:lang w:val="en-GB"/>
        </w:rPr>
        <w:t xml:space="preserve"> ranging from 0.</w:t>
      </w:r>
      <w:r w:rsidR="007D32F1" w:rsidRPr="00EE533D">
        <w:rPr>
          <w:rFonts w:ascii="Times New Roman" w:hAnsi="Times New Roman" w:cs="Times New Roman"/>
          <w:sz w:val="24"/>
          <w:szCs w:val="24"/>
          <w:lang w:val="en-GB"/>
        </w:rPr>
        <w:t>77</w:t>
      </w:r>
      <w:r w:rsidRPr="00EE533D">
        <w:rPr>
          <w:rFonts w:ascii="Times New Roman" w:hAnsi="Times New Roman" w:cs="Times New Roman"/>
          <w:sz w:val="24"/>
          <w:szCs w:val="24"/>
          <w:lang w:val="en-GB"/>
        </w:rPr>
        <w:t xml:space="preserve"> (column (1)) to 0.</w:t>
      </w:r>
      <w:r w:rsidR="0009582F" w:rsidRPr="00EE533D">
        <w:rPr>
          <w:rFonts w:ascii="Times New Roman" w:hAnsi="Times New Roman" w:cs="Times New Roman"/>
          <w:sz w:val="24"/>
          <w:szCs w:val="24"/>
          <w:lang w:val="en-GB"/>
        </w:rPr>
        <w:t>95</w:t>
      </w:r>
      <w:r w:rsidRPr="00EE533D">
        <w:rPr>
          <w:rFonts w:ascii="Times New Roman" w:hAnsi="Times New Roman" w:cs="Times New Roman"/>
          <w:sz w:val="24"/>
          <w:szCs w:val="24"/>
          <w:lang w:val="en-GB"/>
        </w:rPr>
        <w:t xml:space="preserve"> (column (4)).</w:t>
      </w:r>
      <w:r w:rsidR="00880DA2" w:rsidRPr="00EE533D">
        <w:rPr>
          <w:rFonts w:ascii="Times New Roman" w:hAnsi="Times New Roman" w:cs="Times New Roman"/>
          <w:sz w:val="24"/>
          <w:szCs w:val="24"/>
          <w:lang w:val="en-GB"/>
        </w:rPr>
        <w:t xml:space="preserve"> Additionally, </w:t>
      </w:r>
      <w:r w:rsidR="00B81693" w:rsidRPr="00EE533D">
        <w:rPr>
          <w:rFonts w:ascii="Times New Roman" w:hAnsi="Times New Roman" w:cs="Times New Roman"/>
          <w:sz w:val="24"/>
          <w:szCs w:val="24"/>
          <w:lang w:val="en-GB"/>
        </w:rPr>
        <w:t xml:space="preserve">waste recycling activities also benefit from </w:t>
      </w:r>
      <w:r w:rsidR="00972440" w:rsidRPr="00EE533D">
        <w:rPr>
          <w:rFonts w:ascii="Times New Roman" w:hAnsi="Times New Roman" w:cs="Times New Roman"/>
          <w:sz w:val="24"/>
          <w:szCs w:val="24"/>
          <w:lang w:val="en-GB"/>
        </w:rPr>
        <w:t>a high degree of government effectiveness</w:t>
      </w:r>
      <w:r w:rsidR="00891B48" w:rsidRPr="00EE533D">
        <w:rPr>
          <w:rFonts w:ascii="Times New Roman" w:hAnsi="Times New Roman" w:cs="Times New Roman"/>
          <w:sz w:val="24"/>
          <w:szCs w:val="24"/>
          <w:lang w:val="en-GB"/>
        </w:rPr>
        <w:t xml:space="preserve"> suggesting that the quality of public</w:t>
      </w:r>
      <w:r w:rsidR="00665215" w:rsidRPr="00EE533D">
        <w:rPr>
          <w:rFonts w:ascii="Times New Roman" w:hAnsi="Times New Roman" w:cs="Times New Roman"/>
          <w:sz w:val="24"/>
          <w:szCs w:val="24"/>
          <w:lang w:val="en-GB"/>
        </w:rPr>
        <w:t xml:space="preserve"> policies</w:t>
      </w:r>
      <w:r w:rsidR="00891B48" w:rsidRPr="00EE533D">
        <w:rPr>
          <w:rFonts w:ascii="Times New Roman" w:hAnsi="Times New Roman" w:cs="Times New Roman"/>
          <w:sz w:val="24"/>
          <w:szCs w:val="24"/>
          <w:lang w:val="en-GB"/>
        </w:rPr>
        <w:t xml:space="preserve"> and the government</w:t>
      </w:r>
      <w:r w:rsidR="00863809" w:rsidRPr="00EE533D">
        <w:rPr>
          <w:rFonts w:ascii="Times New Roman" w:hAnsi="Times New Roman" w:cs="Times New Roman"/>
          <w:sz w:val="24"/>
          <w:szCs w:val="24"/>
          <w:lang w:val="en-GB"/>
        </w:rPr>
        <w:t>'s</w:t>
      </w:r>
      <w:r w:rsidR="00891B48" w:rsidRPr="00EE533D">
        <w:rPr>
          <w:rFonts w:ascii="Times New Roman" w:hAnsi="Times New Roman" w:cs="Times New Roman"/>
          <w:sz w:val="24"/>
          <w:szCs w:val="24"/>
          <w:lang w:val="en-GB"/>
        </w:rPr>
        <w:t xml:space="preserve"> commitment to its </w:t>
      </w:r>
      <w:r w:rsidR="00891B48" w:rsidRPr="00EE533D">
        <w:rPr>
          <w:rFonts w:ascii="Times New Roman" w:hAnsi="Times New Roman" w:cs="Times New Roman"/>
          <w:sz w:val="24"/>
          <w:szCs w:val="24"/>
          <w:lang w:val="en-GB"/>
        </w:rPr>
        <w:lastRenderedPageBreak/>
        <w:t xml:space="preserve">policies can encourage firms to </w:t>
      </w:r>
      <w:r w:rsidR="00C22B81" w:rsidRPr="00EE533D">
        <w:rPr>
          <w:rFonts w:ascii="Times New Roman" w:hAnsi="Times New Roman" w:cs="Times New Roman"/>
          <w:sz w:val="24"/>
          <w:szCs w:val="24"/>
          <w:lang w:val="en-GB"/>
        </w:rPr>
        <w:t>develop such activities. Furthermore</w:t>
      </w:r>
      <w:r w:rsidRPr="00EE533D">
        <w:rPr>
          <w:rFonts w:ascii="Times New Roman" w:hAnsi="Times New Roman" w:cs="Times New Roman"/>
          <w:sz w:val="24"/>
          <w:szCs w:val="24"/>
          <w:lang w:val="en-GB"/>
        </w:rPr>
        <w:t>, alternative institutional variables will be employed in the following subsection</w:t>
      </w:r>
      <w:r w:rsidR="00C22B81" w:rsidRPr="00EE533D">
        <w:rPr>
          <w:rFonts w:ascii="Times New Roman" w:hAnsi="Times New Roman" w:cs="Times New Roman"/>
          <w:sz w:val="24"/>
          <w:szCs w:val="24"/>
          <w:lang w:val="en-GB"/>
        </w:rPr>
        <w:t xml:space="preserve"> to understand the mechanism that drives this robust finding</w:t>
      </w:r>
      <w:r w:rsidRPr="00EE533D">
        <w:rPr>
          <w:rFonts w:ascii="Times New Roman" w:hAnsi="Times New Roman" w:cs="Times New Roman"/>
          <w:sz w:val="24"/>
          <w:szCs w:val="24"/>
          <w:lang w:val="en-GB"/>
        </w:rPr>
        <w:t>.</w:t>
      </w:r>
    </w:p>
    <w:p w14:paraId="67861B9F" w14:textId="77777777" w:rsidR="00323D69" w:rsidRPr="00EE533D" w:rsidRDefault="007467F2" w:rsidP="007467F2">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 xml:space="preserve">{Table </w:t>
      </w:r>
      <w:r w:rsidR="009F1857" w:rsidRPr="00EE533D">
        <w:rPr>
          <w:rFonts w:ascii="Times New Roman" w:hAnsi="Times New Roman" w:cs="Times New Roman"/>
          <w:iCs/>
          <w:sz w:val="24"/>
          <w:szCs w:val="24"/>
          <w:lang w:val="en-GB"/>
        </w:rPr>
        <w:t>9</w:t>
      </w:r>
      <w:r w:rsidRPr="00EE533D">
        <w:rPr>
          <w:rFonts w:ascii="Times New Roman" w:hAnsi="Times New Roman" w:cs="Times New Roman"/>
          <w:iCs/>
          <w:sz w:val="24"/>
          <w:szCs w:val="24"/>
          <w:lang w:val="en-GB"/>
        </w:rPr>
        <w:t>}</w:t>
      </w:r>
    </w:p>
    <w:p w14:paraId="33BE3904" w14:textId="23FE22B4" w:rsidR="007467F2" w:rsidRPr="00EE533D" w:rsidRDefault="007467F2" w:rsidP="007467F2">
      <w:pPr>
        <w:jc w:val="center"/>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ab/>
      </w:r>
    </w:p>
    <w:p w14:paraId="239E1B08" w14:textId="77777777" w:rsidR="007467F2" w:rsidRPr="00EE533D" w:rsidRDefault="007467F2" w:rsidP="007467F2">
      <w:pPr>
        <w:ind w:firstLine="708"/>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4.5 Alternative institutional variables</w:t>
      </w:r>
    </w:p>
    <w:p w14:paraId="037FCDD0" w14:textId="5C179B10"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ab/>
        <w:t xml:space="preserve">The indexes constructed by the </w:t>
      </w:r>
      <w:r w:rsidRPr="00EE533D">
        <w:rPr>
          <w:rFonts w:ascii="Times New Roman" w:hAnsi="Times New Roman" w:cs="Times New Roman"/>
          <w:i/>
          <w:iCs/>
          <w:sz w:val="24"/>
          <w:szCs w:val="24"/>
          <w:lang w:val="en-GB"/>
        </w:rPr>
        <w:t>World Bank</w:t>
      </w:r>
      <w:r w:rsidRPr="00EE533D">
        <w:rPr>
          <w:rFonts w:ascii="Times New Roman" w:hAnsi="Times New Roman" w:cs="Times New Roman"/>
          <w:sz w:val="24"/>
          <w:szCs w:val="24"/>
          <w:lang w:val="en-GB"/>
        </w:rPr>
        <w:t xml:space="preserve"> are not the only time-variant measures that can assess the functioning of institutions at the national level. In this regard, the </w:t>
      </w:r>
      <w:r w:rsidRPr="00EE533D">
        <w:rPr>
          <w:rFonts w:ascii="Times New Roman" w:hAnsi="Times New Roman" w:cs="Times New Roman"/>
          <w:i/>
          <w:iCs/>
          <w:sz w:val="24"/>
          <w:szCs w:val="24"/>
          <w:lang w:val="en-GB"/>
        </w:rPr>
        <w:t>Legatum Institute</w:t>
      </w:r>
      <w:r w:rsidRPr="00EE533D">
        <w:rPr>
          <w:rFonts w:ascii="Times New Roman" w:hAnsi="Times New Roman" w:cs="Times New Roman"/>
          <w:sz w:val="24"/>
          <w:szCs w:val="24"/>
          <w:lang w:val="en-GB"/>
        </w:rPr>
        <w:t xml:space="preserve"> </w:t>
      </w:r>
      <w:r w:rsidRPr="00EE533D">
        <w:rPr>
          <w:rFonts w:ascii="Times New Roman" w:hAnsi="Times New Roman" w:cs="Times New Roman"/>
          <w:sz w:val="24"/>
          <w:szCs w:val="24"/>
          <w:lang w:val="en-GB"/>
        </w:rPr>
        <w:lastRenderedPageBreak/>
        <w:t>relied on the expertise of more than 100 academics and experts to develop a variety of indicators that can identify solutions to raise the level of prosperity. Among those measures, six time-variant variables can be used within the framework of institutional theory to explain a firm’s incentives to recycle, namely the constraints imposed on the government executive (</w:t>
      </w:r>
      <w:r w:rsidRPr="00EE533D">
        <w:rPr>
          <w:rFonts w:ascii="Times New Roman" w:hAnsi="Times New Roman" w:cs="Times New Roman"/>
          <w:i/>
          <w:iCs/>
          <w:sz w:val="24"/>
          <w:szCs w:val="24"/>
          <w:lang w:val="en-GB"/>
        </w:rPr>
        <w:t>Executive Constraints</w:t>
      </w:r>
      <w:r w:rsidRPr="00EE533D">
        <w:rPr>
          <w:rFonts w:ascii="Times New Roman" w:hAnsi="Times New Roman" w:cs="Times New Roman"/>
          <w:sz w:val="24"/>
          <w:szCs w:val="24"/>
          <w:lang w:val="en-GB"/>
        </w:rPr>
        <w:t>), the degree to which institutions are held accountable for their actions (</w:t>
      </w:r>
      <w:r w:rsidRPr="00EE533D">
        <w:rPr>
          <w:rFonts w:ascii="Times New Roman" w:hAnsi="Times New Roman" w:cs="Times New Roman"/>
          <w:i/>
          <w:iCs/>
          <w:sz w:val="24"/>
          <w:szCs w:val="24"/>
          <w:lang w:val="en-GB"/>
        </w:rPr>
        <w:t>Political Accountability</w:t>
      </w:r>
      <w:r w:rsidRPr="00EE533D">
        <w:rPr>
          <w:rFonts w:ascii="Times New Roman" w:hAnsi="Times New Roman" w:cs="Times New Roman"/>
          <w:sz w:val="24"/>
          <w:szCs w:val="24"/>
          <w:lang w:val="en-GB"/>
        </w:rPr>
        <w:t xml:space="preserve">), the effectiveness of the judicial </w:t>
      </w:r>
      <w:r w:rsidRPr="00EE533D">
        <w:rPr>
          <w:rFonts w:ascii="Times New Roman" w:hAnsi="Times New Roman" w:cs="Times New Roman"/>
          <w:sz w:val="24"/>
          <w:szCs w:val="24"/>
          <w:lang w:val="en-GB"/>
        </w:rPr>
        <w:lastRenderedPageBreak/>
        <w:t>system in applying the law (</w:t>
      </w:r>
      <w:r w:rsidRPr="00EE533D">
        <w:rPr>
          <w:rFonts w:ascii="Times New Roman" w:hAnsi="Times New Roman" w:cs="Times New Roman"/>
          <w:i/>
          <w:iCs/>
          <w:sz w:val="24"/>
          <w:szCs w:val="24"/>
          <w:lang w:val="en-GB"/>
        </w:rPr>
        <w:t>Rule of Law (Legatum)</w:t>
      </w:r>
      <w:r w:rsidRPr="00EE533D">
        <w:rPr>
          <w:rFonts w:ascii="Times New Roman" w:hAnsi="Times New Roman" w:cs="Times New Roman"/>
          <w:sz w:val="24"/>
          <w:szCs w:val="24"/>
          <w:lang w:val="en-GB"/>
        </w:rPr>
        <w:t>), the integrity of the national government (</w:t>
      </w:r>
      <w:r w:rsidRPr="00EE533D">
        <w:rPr>
          <w:rFonts w:ascii="Times New Roman" w:hAnsi="Times New Roman" w:cs="Times New Roman"/>
          <w:i/>
          <w:iCs/>
          <w:sz w:val="24"/>
          <w:szCs w:val="24"/>
          <w:lang w:val="en-GB"/>
        </w:rPr>
        <w:t>Government Integrity</w:t>
      </w:r>
      <w:r w:rsidRPr="00EE533D">
        <w:rPr>
          <w:rFonts w:ascii="Times New Roman" w:hAnsi="Times New Roman" w:cs="Times New Roman"/>
          <w:sz w:val="24"/>
          <w:szCs w:val="24"/>
          <w:lang w:val="en-GB"/>
        </w:rPr>
        <w:t>), the quality of the services provided by the government (</w:t>
      </w:r>
      <w:r w:rsidRPr="00EE533D">
        <w:rPr>
          <w:rFonts w:ascii="Times New Roman" w:hAnsi="Times New Roman" w:cs="Times New Roman"/>
          <w:i/>
          <w:iCs/>
          <w:sz w:val="24"/>
          <w:szCs w:val="24"/>
          <w:lang w:val="en-GB"/>
        </w:rPr>
        <w:t>Government Effectiveness (Legatum)</w:t>
      </w:r>
      <w:r w:rsidRPr="00EE533D">
        <w:rPr>
          <w:rFonts w:ascii="Times New Roman" w:hAnsi="Times New Roman" w:cs="Times New Roman"/>
          <w:sz w:val="24"/>
          <w:szCs w:val="24"/>
          <w:lang w:val="en-GB"/>
        </w:rPr>
        <w:t>) and the performance of the regulatory institutions (</w:t>
      </w:r>
      <w:r w:rsidRPr="00EE533D">
        <w:rPr>
          <w:rFonts w:ascii="Times New Roman" w:hAnsi="Times New Roman" w:cs="Times New Roman"/>
          <w:i/>
          <w:iCs/>
          <w:sz w:val="24"/>
          <w:szCs w:val="24"/>
          <w:lang w:val="en-GB"/>
        </w:rPr>
        <w:t>Regulatory Quality</w:t>
      </w:r>
      <w:r w:rsidRPr="00EE533D">
        <w:rPr>
          <w:rFonts w:ascii="Times New Roman" w:hAnsi="Times New Roman" w:cs="Times New Roman"/>
          <w:sz w:val="24"/>
          <w:szCs w:val="24"/>
          <w:lang w:val="en-GB"/>
        </w:rPr>
        <w:t xml:space="preserve"> </w:t>
      </w:r>
      <w:r w:rsidRPr="00EE533D">
        <w:rPr>
          <w:rFonts w:ascii="Times New Roman" w:hAnsi="Times New Roman" w:cs="Times New Roman"/>
          <w:i/>
          <w:iCs/>
          <w:sz w:val="24"/>
          <w:szCs w:val="24"/>
          <w:lang w:val="en-GB"/>
        </w:rPr>
        <w:t>(Legatum)</w:t>
      </w:r>
      <w:r w:rsidRPr="00EE533D">
        <w:rPr>
          <w:rFonts w:ascii="Times New Roman" w:hAnsi="Times New Roman" w:cs="Times New Roman"/>
          <w:sz w:val="24"/>
          <w:szCs w:val="24"/>
          <w:lang w:val="en-GB"/>
        </w:rPr>
        <w:t xml:space="preserve">). As in Table </w:t>
      </w:r>
      <w:r w:rsidR="00574D16" w:rsidRPr="00EE533D">
        <w:rPr>
          <w:rFonts w:ascii="Times New Roman" w:hAnsi="Times New Roman" w:cs="Times New Roman"/>
          <w:sz w:val="24"/>
          <w:szCs w:val="24"/>
          <w:lang w:val="en-GB"/>
        </w:rPr>
        <w:t>9</w:t>
      </w:r>
      <w:r w:rsidRPr="00EE533D">
        <w:rPr>
          <w:rFonts w:ascii="Times New Roman" w:hAnsi="Times New Roman" w:cs="Times New Roman"/>
          <w:sz w:val="24"/>
          <w:szCs w:val="24"/>
          <w:lang w:val="en-GB"/>
        </w:rPr>
        <w:t>, the relevance of these indicators will be addressed using a dynamic panel approach with time effects, collapsed instruments and corrected standard errors.</w:t>
      </w:r>
    </w:p>
    <w:p w14:paraId="5907581D" w14:textId="12073BC5" w:rsidR="007467F2" w:rsidRPr="00EE533D" w:rsidRDefault="007467F2" w:rsidP="007467F2">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ab/>
        <w:t xml:space="preserve">Table 9 highlights the estimates of the system GMM. Columns (1) and (4) show that higher percentages of </w:t>
      </w:r>
      <w:r w:rsidRPr="00EE533D">
        <w:rPr>
          <w:rFonts w:ascii="Times New Roman" w:hAnsi="Times New Roman" w:cs="Times New Roman"/>
          <w:i/>
          <w:iCs/>
          <w:sz w:val="24"/>
          <w:szCs w:val="24"/>
          <w:lang w:val="en-GB"/>
        </w:rPr>
        <w:t>Recycled Waste</w:t>
      </w:r>
      <w:r w:rsidRPr="00EE533D">
        <w:rPr>
          <w:rFonts w:ascii="Times New Roman" w:hAnsi="Times New Roman" w:cs="Times New Roman"/>
          <w:sz w:val="24"/>
          <w:szCs w:val="24"/>
          <w:lang w:val="en-GB"/>
        </w:rPr>
        <w:t xml:space="preserve"> are reported in countries where the institutions can more easily be held accountable by the public for their policies and decisions (</w:t>
      </w:r>
      <w:r w:rsidRPr="00EE533D">
        <w:rPr>
          <w:rFonts w:ascii="Times New Roman" w:hAnsi="Times New Roman" w:cs="Times New Roman"/>
          <w:i/>
          <w:iCs/>
          <w:sz w:val="24"/>
          <w:szCs w:val="24"/>
          <w:lang w:val="en-GB"/>
        </w:rPr>
        <w:t>Political Accountability</w:t>
      </w:r>
      <w:r w:rsidRPr="00EE533D">
        <w:rPr>
          <w:rFonts w:ascii="Times New Roman" w:hAnsi="Times New Roman" w:cs="Times New Roman"/>
          <w:sz w:val="24"/>
          <w:szCs w:val="24"/>
          <w:lang w:val="en-GB"/>
        </w:rPr>
        <w:t>). An increase of 0.4</w:t>
      </w:r>
      <w:r w:rsidR="00D32AA7" w:rsidRPr="00EE533D">
        <w:rPr>
          <w:rFonts w:ascii="Times New Roman" w:hAnsi="Times New Roman" w:cs="Times New Roman"/>
          <w:sz w:val="24"/>
          <w:szCs w:val="24"/>
          <w:lang w:val="en-GB"/>
        </w:rPr>
        <w:t>4</w:t>
      </w:r>
      <w:r w:rsidRPr="00EE533D">
        <w:rPr>
          <w:rFonts w:ascii="Times New Roman" w:hAnsi="Times New Roman" w:cs="Times New Roman"/>
          <w:sz w:val="24"/>
          <w:szCs w:val="24"/>
          <w:lang w:val="en-GB"/>
        </w:rPr>
        <w:t xml:space="preserve"> percentage points in the level of recycled waste can be expected following an improvement of 1 point in the indicator of political accountability (column </w:t>
      </w:r>
      <w:r w:rsidRPr="00EE533D">
        <w:rPr>
          <w:rFonts w:ascii="Times New Roman" w:hAnsi="Times New Roman" w:cs="Times New Roman"/>
          <w:sz w:val="24"/>
          <w:szCs w:val="24"/>
          <w:lang w:val="en-GB"/>
        </w:rPr>
        <w:lastRenderedPageBreak/>
        <w:t xml:space="preserve">(1)). The previous tables also showed that </w:t>
      </w:r>
      <w:r w:rsidRPr="00EE533D">
        <w:rPr>
          <w:rFonts w:ascii="Times New Roman" w:hAnsi="Times New Roman" w:cs="Times New Roman"/>
          <w:i/>
          <w:iCs/>
          <w:sz w:val="24"/>
          <w:szCs w:val="24"/>
          <w:lang w:val="en-GB"/>
        </w:rPr>
        <w:t>Recycled Waste</w:t>
      </w:r>
      <w:r w:rsidRPr="00EE533D">
        <w:rPr>
          <w:rFonts w:ascii="Times New Roman" w:hAnsi="Times New Roman" w:cs="Times New Roman"/>
          <w:sz w:val="24"/>
          <w:szCs w:val="24"/>
          <w:lang w:val="en-GB"/>
        </w:rPr>
        <w:t xml:space="preserve"> tends to be higher in countries that are more politically stable (</w:t>
      </w:r>
      <w:r w:rsidRPr="00EE533D">
        <w:rPr>
          <w:rFonts w:ascii="Times New Roman" w:hAnsi="Times New Roman" w:cs="Times New Roman"/>
          <w:i/>
          <w:iCs/>
          <w:sz w:val="24"/>
          <w:szCs w:val="24"/>
          <w:lang w:val="en-GB"/>
        </w:rPr>
        <w:t>Political Stability</w:t>
      </w:r>
      <w:r w:rsidRPr="00EE533D">
        <w:rPr>
          <w:rFonts w:ascii="Times New Roman" w:hAnsi="Times New Roman" w:cs="Times New Roman"/>
          <w:sz w:val="24"/>
          <w:szCs w:val="24"/>
          <w:lang w:val="en-GB"/>
        </w:rPr>
        <w:t xml:space="preserve">). In an environment that is not subject to severe political fluctuations, citizens can more effectively use their vote to sanction political actors aiming for reelection who are responsible for not establishing stringent control of waste management on the part of large listed firms. Voters may thus incentivize local authorities to better monitor firms. This follows the research line of </w:t>
      </w:r>
      <w:r w:rsidRPr="00EE533D">
        <w:rPr>
          <w:rFonts w:ascii="Times New Roman" w:hAnsi="Times New Roman" w:cs="Times New Roman"/>
          <w:sz w:val="24"/>
          <w:szCs w:val="24"/>
          <w:lang w:val="en-GB"/>
        </w:rPr>
        <w:lastRenderedPageBreak/>
        <w:t>Stef and Ben Jabeur (2023), who provided evidence of the voters’ capacity to persuade incumbent politicians to adopt a greener agenda prior to elections. Additionally,</w:t>
      </w:r>
      <w:r w:rsidR="004F5E1F" w:rsidRPr="00EE533D">
        <w:rPr>
          <w:rFonts w:ascii="Times New Roman" w:hAnsi="Times New Roman" w:cs="Times New Roman"/>
          <w:sz w:val="24"/>
          <w:szCs w:val="24"/>
          <w:lang w:val="en-GB"/>
        </w:rPr>
        <w:t xml:space="preserve"> more efficient judicial systems</w:t>
      </w:r>
      <w:r w:rsidRPr="00EE533D">
        <w:rPr>
          <w:rFonts w:ascii="Times New Roman" w:hAnsi="Times New Roman" w:cs="Times New Roman"/>
          <w:sz w:val="24"/>
          <w:szCs w:val="24"/>
          <w:lang w:val="en-GB"/>
        </w:rPr>
        <w:t xml:space="preserve"> (</w:t>
      </w:r>
      <w:r w:rsidR="004F5E1F" w:rsidRPr="00EE533D">
        <w:rPr>
          <w:rFonts w:ascii="Times New Roman" w:hAnsi="Times New Roman" w:cs="Times New Roman"/>
          <w:i/>
          <w:iCs/>
          <w:sz w:val="24"/>
          <w:szCs w:val="24"/>
          <w:lang w:val="en-GB"/>
        </w:rPr>
        <w:t>Rule of Law (Legatum)</w:t>
      </w:r>
      <w:r w:rsidRPr="00EE533D">
        <w:rPr>
          <w:rFonts w:ascii="Times New Roman" w:hAnsi="Times New Roman" w:cs="Times New Roman"/>
          <w:sz w:val="24"/>
          <w:szCs w:val="24"/>
          <w:lang w:val="en-GB"/>
        </w:rPr>
        <w:t xml:space="preserve">) encourage firms to recycle more </w:t>
      </w:r>
      <w:r w:rsidR="007E728A" w:rsidRPr="00EE533D">
        <w:rPr>
          <w:rFonts w:ascii="Times New Roman" w:hAnsi="Times New Roman" w:cs="Times New Roman"/>
          <w:sz w:val="24"/>
          <w:szCs w:val="24"/>
          <w:lang w:val="en-GB"/>
        </w:rPr>
        <w:t>waste</w:t>
      </w:r>
      <w:r w:rsidRPr="00EE533D">
        <w:rPr>
          <w:rFonts w:ascii="Times New Roman" w:hAnsi="Times New Roman" w:cs="Times New Roman"/>
          <w:sz w:val="24"/>
          <w:szCs w:val="24"/>
          <w:lang w:val="en-GB"/>
        </w:rPr>
        <w:t>, whereas more limitation on executive power (</w:t>
      </w:r>
      <w:r w:rsidRPr="00EE533D">
        <w:rPr>
          <w:rFonts w:ascii="Times New Roman" w:hAnsi="Times New Roman" w:cs="Times New Roman"/>
          <w:i/>
          <w:iCs/>
          <w:sz w:val="24"/>
          <w:szCs w:val="24"/>
          <w:lang w:val="en-GB"/>
        </w:rPr>
        <w:t>Executive Constraints</w:t>
      </w:r>
      <w:r w:rsidRPr="00EE533D">
        <w:rPr>
          <w:rFonts w:ascii="Times New Roman" w:hAnsi="Times New Roman" w:cs="Times New Roman"/>
          <w:sz w:val="24"/>
          <w:szCs w:val="24"/>
          <w:lang w:val="en-GB"/>
        </w:rPr>
        <w:t xml:space="preserve">) is negatively associated with </w:t>
      </w:r>
      <w:r w:rsidRPr="00EE533D">
        <w:rPr>
          <w:rFonts w:ascii="Times New Roman" w:hAnsi="Times New Roman" w:cs="Times New Roman"/>
          <w:i/>
          <w:iCs/>
          <w:sz w:val="24"/>
          <w:szCs w:val="24"/>
          <w:lang w:val="en-GB"/>
        </w:rPr>
        <w:t>Recycled Wa</w:t>
      </w:r>
      <w:r w:rsidR="007E728A" w:rsidRPr="00EE533D">
        <w:rPr>
          <w:rFonts w:ascii="Times New Roman" w:hAnsi="Times New Roman" w:cs="Times New Roman"/>
          <w:i/>
          <w:iCs/>
          <w:sz w:val="24"/>
          <w:szCs w:val="24"/>
          <w:lang w:val="en-GB"/>
        </w:rPr>
        <w:t>ste</w:t>
      </w:r>
      <w:r w:rsidRPr="00EE533D">
        <w:rPr>
          <w:rFonts w:ascii="Times New Roman" w:hAnsi="Times New Roman" w:cs="Times New Roman"/>
          <w:sz w:val="24"/>
          <w:szCs w:val="24"/>
          <w:lang w:val="en-GB"/>
        </w:rPr>
        <w:t xml:space="preserve">. As opposed to </w:t>
      </w:r>
      <w:r w:rsidR="00775877" w:rsidRPr="00EE533D">
        <w:rPr>
          <w:rFonts w:ascii="Times New Roman" w:hAnsi="Times New Roman" w:cs="Times New Roman"/>
          <w:sz w:val="24"/>
          <w:szCs w:val="24"/>
          <w:lang w:val="en-GB"/>
        </w:rPr>
        <w:t xml:space="preserve">the </w:t>
      </w:r>
      <w:r w:rsidR="00E407C5" w:rsidRPr="00EE533D">
        <w:rPr>
          <w:rFonts w:ascii="Times New Roman" w:hAnsi="Times New Roman" w:cs="Times New Roman"/>
          <w:i/>
          <w:iCs/>
          <w:sz w:val="24"/>
          <w:szCs w:val="24"/>
          <w:lang w:val="en-GB"/>
        </w:rPr>
        <w:t>Rule of Law (Legatum)</w:t>
      </w:r>
      <w:r w:rsidRPr="00EE533D">
        <w:rPr>
          <w:rFonts w:ascii="Times New Roman" w:hAnsi="Times New Roman" w:cs="Times New Roman"/>
          <w:sz w:val="24"/>
          <w:szCs w:val="24"/>
          <w:lang w:val="en-GB"/>
        </w:rPr>
        <w:t xml:space="preserve">, which captures </w:t>
      </w:r>
      <w:r w:rsidR="000964DA" w:rsidRPr="00EE533D">
        <w:rPr>
          <w:rFonts w:ascii="Times New Roman" w:hAnsi="Times New Roman" w:cs="Times New Roman"/>
          <w:sz w:val="24"/>
          <w:szCs w:val="24"/>
          <w:lang w:val="en-GB"/>
        </w:rPr>
        <w:t>the fairness, independence, and effectiveness of the judiciary</w:t>
      </w:r>
      <w:r w:rsidRPr="00EE533D">
        <w:rPr>
          <w:rFonts w:ascii="Times New Roman" w:hAnsi="Times New Roman" w:cs="Times New Roman"/>
          <w:sz w:val="24"/>
          <w:szCs w:val="24"/>
          <w:lang w:val="en-GB"/>
        </w:rPr>
        <w:t xml:space="preserve">, a high value </w:t>
      </w:r>
      <w:r w:rsidRPr="00EE533D">
        <w:rPr>
          <w:rFonts w:ascii="Times New Roman" w:hAnsi="Times New Roman" w:cs="Times New Roman"/>
          <w:sz w:val="24"/>
          <w:szCs w:val="24"/>
          <w:lang w:val="en-GB"/>
        </w:rPr>
        <w:lastRenderedPageBreak/>
        <w:t xml:space="preserve">of </w:t>
      </w:r>
      <w:r w:rsidRPr="00EE533D">
        <w:rPr>
          <w:rFonts w:ascii="Times New Roman" w:hAnsi="Times New Roman" w:cs="Times New Roman"/>
          <w:i/>
          <w:iCs/>
          <w:sz w:val="24"/>
          <w:szCs w:val="24"/>
          <w:lang w:val="en-GB"/>
        </w:rPr>
        <w:t>Executive Constraints</w:t>
      </w:r>
      <w:r w:rsidRPr="00EE533D">
        <w:rPr>
          <w:rFonts w:ascii="Times New Roman" w:hAnsi="Times New Roman" w:cs="Times New Roman"/>
          <w:sz w:val="24"/>
          <w:szCs w:val="24"/>
          <w:lang w:val="en-GB"/>
        </w:rPr>
        <w:t xml:space="preserve"> may suggest the executive has less control over firms, which in turn could lead </w:t>
      </w:r>
      <w:r w:rsidR="00643943" w:rsidRPr="00EE533D">
        <w:rPr>
          <w:rFonts w:ascii="Times New Roman" w:hAnsi="Times New Roman" w:cs="Times New Roman"/>
          <w:sz w:val="24"/>
          <w:szCs w:val="24"/>
          <w:lang w:val="en-GB"/>
        </w:rPr>
        <w:t xml:space="preserve">them to </w:t>
      </w:r>
      <w:r w:rsidRPr="00EE533D">
        <w:rPr>
          <w:rFonts w:ascii="Times New Roman" w:hAnsi="Times New Roman" w:cs="Times New Roman"/>
          <w:sz w:val="24"/>
          <w:szCs w:val="24"/>
          <w:lang w:val="en-GB"/>
        </w:rPr>
        <w:t>recycl</w:t>
      </w:r>
      <w:r w:rsidR="00643943" w:rsidRPr="00EE533D">
        <w:rPr>
          <w:rFonts w:ascii="Times New Roman" w:hAnsi="Times New Roman" w:cs="Times New Roman"/>
          <w:sz w:val="24"/>
          <w:szCs w:val="24"/>
          <w:lang w:val="en-GB"/>
        </w:rPr>
        <w:t>e</w:t>
      </w:r>
      <w:r w:rsidRPr="00EE533D">
        <w:rPr>
          <w:rFonts w:ascii="Times New Roman" w:hAnsi="Times New Roman" w:cs="Times New Roman"/>
          <w:sz w:val="24"/>
          <w:szCs w:val="24"/>
          <w:lang w:val="en-GB"/>
        </w:rPr>
        <w:t xml:space="preserve"> less </w:t>
      </w:r>
      <w:r w:rsidR="005A7F64" w:rsidRPr="00EE533D">
        <w:rPr>
          <w:rFonts w:ascii="Times New Roman" w:hAnsi="Times New Roman" w:cs="Times New Roman"/>
          <w:sz w:val="24"/>
          <w:szCs w:val="24"/>
          <w:lang w:val="en-GB"/>
        </w:rPr>
        <w:t>waste</w:t>
      </w:r>
      <w:r w:rsidRPr="00EE533D">
        <w:rPr>
          <w:rFonts w:ascii="Times New Roman" w:hAnsi="Times New Roman" w:cs="Times New Roman"/>
          <w:sz w:val="24"/>
          <w:szCs w:val="24"/>
          <w:lang w:val="en-GB"/>
        </w:rPr>
        <w:t xml:space="preserve">. </w:t>
      </w:r>
    </w:p>
    <w:p w14:paraId="09CC292E" w14:textId="77777777" w:rsidR="007467F2" w:rsidRPr="00EE533D" w:rsidRDefault="007467F2" w:rsidP="007467F2">
      <w:pPr>
        <w:jc w:val="center"/>
        <w:rPr>
          <w:rFonts w:ascii="Times New Roman" w:hAnsi="Times New Roman" w:cs="Times New Roman"/>
          <w:sz w:val="24"/>
          <w:szCs w:val="24"/>
          <w:lang w:val="en-GB"/>
        </w:rPr>
      </w:pPr>
    </w:p>
    <w:p w14:paraId="7854789D" w14:textId="2C179256" w:rsidR="007467F2" w:rsidRPr="00EE533D" w:rsidRDefault="007467F2" w:rsidP="007467F2">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 xml:space="preserve">{Table </w:t>
      </w:r>
      <w:r w:rsidR="00D139D6" w:rsidRPr="00EE533D">
        <w:rPr>
          <w:rFonts w:ascii="Times New Roman" w:hAnsi="Times New Roman" w:cs="Times New Roman"/>
          <w:iCs/>
          <w:sz w:val="24"/>
          <w:szCs w:val="24"/>
          <w:lang w:val="en-GB"/>
        </w:rPr>
        <w:t>10</w:t>
      </w:r>
      <w:r w:rsidRPr="00EE533D">
        <w:rPr>
          <w:rFonts w:ascii="Times New Roman" w:hAnsi="Times New Roman" w:cs="Times New Roman"/>
          <w:iCs/>
          <w:sz w:val="24"/>
          <w:szCs w:val="24"/>
          <w:lang w:val="en-GB"/>
        </w:rPr>
        <w:t>}</w:t>
      </w:r>
    </w:p>
    <w:p w14:paraId="18079E7F" w14:textId="623F56B8" w:rsidR="00F31F4D" w:rsidRPr="00EE533D" w:rsidRDefault="00F31F4D" w:rsidP="00F31F4D">
      <w:pPr>
        <w:ind w:firstLine="708"/>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4.6 Heckman selection model</w:t>
      </w:r>
    </w:p>
    <w:p w14:paraId="29603CB6" w14:textId="39994320" w:rsidR="00CA3E0E" w:rsidRPr="00EE533D" w:rsidRDefault="00EA044C" w:rsidP="00E1274B">
      <w:pPr>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t xml:space="preserve">One may speculate that the source of endogeneity </w:t>
      </w:r>
      <w:r w:rsidR="006145D8" w:rsidRPr="00EE533D">
        <w:rPr>
          <w:rFonts w:ascii="Times New Roman" w:hAnsi="Times New Roman" w:cs="Times New Roman"/>
          <w:sz w:val="24"/>
          <w:szCs w:val="24"/>
          <w:lang w:val="en-GB"/>
        </w:rPr>
        <w:t xml:space="preserve">stems from </w:t>
      </w:r>
      <w:r w:rsidR="00F35D3E" w:rsidRPr="00EE533D">
        <w:rPr>
          <w:rFonts w:ascii="Times New Roman" w:hAnsi="Times New Roman" w:cs="Times New Roman"/>
          <w:sz w:val="24"/>
          <w:szCs w:val="24"/>
          <w:lang w:val="en-GB"/>
        </w:rPr>
        <w:t>the willingness and the operational capacity of firms to generate data on their recycling performance.</w:t>
      </w:r>
      <w:r w:rsidR="00337393" w:rsidRPr="00EE533D">
        <w:rPr>
          <w:rFonts w:ascii="Times New Roman" w:hAnsi="Times New Roman" w:cs="Times New Roman"/>
          <w:sz w:val="24"/>
          <w:szCs w:val="24"/>
          <w:lang w:val="en-GB"/>
        </w:rPr>
        <w:t xml:space="preserve"> This may lead to a sample selection bias</w:t>
      </w:r>
      <w:r w:rsidR="00950E18" w:rsidRPr="00EE533D">
        <w:rPr>
          <w:rFonts w:ascii="Times New Roman" w:hAnsi="Times New Roman" w:cs="Times New Roman"/>
          <w:sz w:val="24"/>
          <w:szCs w:val="24"/>
          <w:lang w:val="en-GB"/>
        </w:rPr>
        <w:t xml:space="preserve"> affecting the accuracy of </w:t>
      </w:r>
      <w:r w:rsidR="00950E18" w:rsidRPr="00EE533D">
        <w:rPr>
          <w:rFonts w:ascii="Times New Roman" w:hAnsi="Times New Roman" w:cs="Times New Roman"/>
          <w:sz w:val="24"/>
          <w:szCs w:val="24"/>
          <w:lang w:val="en-GB"/>
        </w:rPr>
        <w:lastRenderedPageBreak/>
        <w:t>the estimated coefficient</w:t>
      </w:r>
      <w:r w:rsidR="00CD454E" w:rsidRPr="00EE533D">
        <w:rPr>
          <w:rFonts w:ascii="Times New Roman" w:hAnsi="Times New Roman" w:cs="Times New Roman"/>
          <w:sz w:val="24"/>
          <w:szCs w:val="24"/>
          <w:lang w:val="en-GB"/>
        </w:rPr>
        <w:t>s</w:t>
      </w:r>
      <w:r w:rsidR="00950E18" w:rsidRPr="00EE533D">
        <w:rPr>
          <w:rFonts w:ascii="Times New Roman" w:hAnsi="Times New Roman" w:cs="Times New Roman"/>
          <w:sz w:val="24"/>
          <w:szCs w:val="24"/>
          <w:lang w:val="en-GB"/>
        </w:rPr>
        <w:t>.</w:t>
      </w:r>
      <w:r w:rsidR="00A12642" w:rsidRPr="00EE533D">
        <w:rPr>
          <w:rStyle w:val="FootnoteReference"/>
          <w:lang w:val="en-GB"/>
        </w:rPr>
        <w:footnoteReference w:id="2"/>
      </w:r>
      <w:r w:rsidR="00F44781" w:rsidRPr="00EE533D">
        <w:rPr>
          <w:rFonts w:ascii="Times New Roman" w:hAnsi="Times New Roman" w:cs="Times New Roman"/>
          <w:sz w:val="24"/>
          <w:szCs w:val="24"/>
          <w:lang w:val="en-GB"/>
        </w:rPr>
        <w:t xml:space="preserve"> Such bias can be addressed using </w:t>
      </w:r>
      <w:r w:rsidR="00A7457E" w:rsidRPr="00EE533D">
        <w:rPr>
          <w:rFonts w:ascii="Times New Roman" w:hAnsi="Times New Roman" w:cs="Times New Roman"/>
          <w:sz w:val="24"/>
          <w:szCs w:val="24"/>
          <w:lang w:val="en-GB"/>
        </w:rPr>
        <w:t>the</w:t>
      </w:r>
      <w:r w:rsidR="00A020F2" w:rsidRPr="00EE533D">
        <w:rPr>
          <w:rFonts w:ascii="Times New Roman" w:hAnsi="Times New Roman" w:cs="Times New Roman"/>
          <w:sz w:val="24"/>
          <w:szCs w:val="24"/>
          <w:lang w:val="en-GB"/>
        </w:rPr>
        <w:t xml:space="preserve"> </w:t>
      </w:r>
      <w:r w:rsidR="00A7457E" w:rsidRPr="00EE533D">
        <w:rPr>
          <w:rFonts w:ascii="Times New Roman" w:hAnsi="Times New Roman" w:cs="Times New Roman"/>
          <w:sz w:val="24"/>
          <w:szCs w:val="24"/>
          <w:lang w:val="en-GB"/>
        </w:rPr>
        <w:t xml:space="preserve">selection model </w:t>
      </w:r>
      <w:r w:rsidR="00A020F2" w:rsidRPr="00EE533D">
        <w:rPr>
          <w:rFonts w:ascii="Times New Roman" w:hAnsi="Times New Roman" w:cs="Times New Roman"/>
          <w:sz w:val="24"/>
          <w:szCs w:val="24"/>
          <w:lang w:val="en-GB"/>
        </w:rPr>
        <w:t>of</w:t>
      </w:r>
      <w:r w:rsidR="00E1274B" w:rsidRPr="00EE533D">
        <w:rPr>
          <w:rFonts w:ascii="Times New Roman" w:hAnsi="Times New Roman" w:cs="Times New Roman"/>
          <w:sz w:val="24"/>
          <w:szCs w:val="24"/>
          <w:lang w:val="en-GB"/>
        </w:rPr>
        <w:t xml:space="preserve"> </w:t>
      </w:r>
      <w:r w:rsidR="00E1274B" w:rsidRPr="00EE533D">
        <w:rPr>
          <w:rFonts w:ascii="Times New Roman" w:hAnsi="Times New Roman" w:cs="Times New Roman"/>
          <w:sz w:val="24"/>
          <w:szCs w:val="24"/>
          <w:lang w:val="en-GB"/>
        </w:rPr>
        <w:fldChar w:fldCharType="begin"/>
      </w:r>
      <w:r w:rsidR="008D5E03" w:rsidRPr="00EE533D">
        <w:rPr>
          <w:rFonts w:ascii="Times New Roman" w:hAnsi="Times New Roman" w:cs="Times New Roman"/>
          <w:sz w:val="24"/>
          <w:szCs w:val="24"/>
          <w:lang w:val="en-GB"/>
        </w:rPr>
        <w:instrText xml:space="preserve"> ADDIN ZOTERO_ITEM CSL_CITATION {"citationID":"MzjoCRgR","properties":{"formattedCitation":"(Heckman, 1979)","plainCitation":"(Heckman, 1979)","dontUpdate":true,"noteIndex":0},"citationItems":[{"id":3730,"uris":["http://zotero.org/users/8125408/items/U3PX3PIH"],"itemData":{"id":3730,"type":"article-journal","container-title":"Econometrica: Journal of the econometric society","ISSN":"0012-9682","journalAbbreviation":"Econometrica: Journal of the econometric society","note":"publisher: JSTOR","page":"153-161","title":"Sample selection bias as a specification error","author":[{"family":"Heckman","given":"James J"}],"issued":{"date-parts":[["1979"]]}}}],"schema":"https://github.com/citation-style-language/schema/raw/master/csl-citation.json"} </w:instrText>
      </w:r>
      <w:r w:rsidR="00E1274B" w:rsidRPr="00EE533D">
        <w:rPr>
          <w:rFonts w:ascii="Times New Roman" w:hAnsi="Times New Roman" w:cs="Times New Roman"/>
          <w:sz w:val="24"/>
          <w:szCs w:val="24"/>
          <w:lang w:val="en-GB"/>
        </w:rPr>
        <w:fldChar w:fldCharType="separate"/>
      </w:r>
      <w:r w:rsidR="00E1274B" w:rsidRPr="00EE533D">
        <w:rPr>
          <w:rFonts w:ascii="Times New Roman" w:hAnsi="Times New Roman" w:cs="Times New Roman"/>
          <w:sz w:val="24"/>
          <w:lang w:val="en-GB"/>
        </w:rPr>
        <w:t>Heckman (1979)</w:t>
      </w:r>
      <w:r w:rsidR="00E1274B" w:rsidRPr="00EE533D">
        <w:rPr>
          <w:rFonts w:ascii="Times New Roman" w:hAnsi="Times New Roman" w:cs="Times New Roman"/>
          <w:sz w:val="24"/>
          <w:szCs w:val="24"/>
          <w:lang w:val="en-GB"/>
        </w:rPr>
        <w:fldChar w:fldCharType="end"/>
      </w:r>
      <w:r w:rsidR="00A020F2" w:rsidRPr="00EE533D">
        <w:rPr>
          <w:rFonts w:ascii="Times New Roman" w:hAnsi="Times New Roman" w:cs="Times New Roman"/>
          <w:sz w:val="24"/>
          <w:szCs w:val="24"/>
          <w:lang w:val="en-GB"/>
        </w:rPr>
        <w:t xml:space="preserve"> </w:t>
      </w:r>
      <w:r w:rsidR="00775877" w:rsidRPr="00EE533D">
        <w:rPr>
          <w:rFonts w:ascii="Times New Roman" w:hAnsi="Times New Roman" w:cs="Times New Roman"/>
          <w:sz w:val="24"/>
          <w:szCs w:val="24"/>
          <w:lang w:val="en-GB"/>
        </w:rPr>
        <w:t>which</w:t>
      </w:r>
      <w:r w:rsidR="009155FA" w:rsidRPr="00EE533D">
        <w:rPr>
          <w:rFonts w:ascii="Times New Roman" w:hAnsi="Times New Roman" w:cs="Times New Roman"/>
          <w:sz w:val="24"/>
          <w:szCs w:val="24"/>
          <w:lang w:val="en-GB"/>
        </w:rPr>
        <w:t xml:space="preserve"> is composed of two equations, namely</w:t>
      </w:r>
      <w:r w:rsidR="00CA0F05" w:rsidRPr="00EE533D">
        <w:rPr>
          <w:rFonts w:ascii="Times New Roman" w:hAnsi="Times New Roman" w:cs="Times New Roman"/>
          <w:sz w:val="24"/>
          <w:szCs w:val="24"/>
          <w:lang w:val="en-GB"/>
        </w:rPr>
        <w:t xml:space="preserve"> the outcome regression</w:t>
      </w:r>
      <w:r w:rsidR="003F4D4E" w:rsidRPr="00EE533D">
        <w:rPr>
          <w:rFonts w:ascii="Times New Roman" w:hAnsi="Times New Roman" w:cs="Times New Roman"/>
          <w:sz w:val="24"/>
          <w:szCs w:val="24"/>
          <w:lang w:val="en-GB"/>
        </w:rPr>
        <w:t>:</w:t>
      </w:r>
    </w:p>
    <w:p w14:paraId="76B59D34" w14:textId="451A68AC" w:rsidR="00B63F13" w:rsidRPr="00EE533D" w:rsidRDefault="00B63F13" w:rsidP="00A52FAD">
      <w:pPr>
        <w:spacing w:after="0" w:line="360" w:lineRule="auto"/>
        <w:ind w:left="709" w:hanging="709"/>
        <w:jc w:val="both"/>
        <w:rPr>
          <w:rFonts w:ascii="Times New Roman" w:hAnsi="Times New Roman" w:cs="Times New Roman"/>
          <w:sz w:val="24"/>
          <w:szCs w:val="24"/>
        </w:rPr>
      </w:pPr>
      <w:r w:rsidRPr="00EE533D">
        <w:rPr>
          <w:rFonts w:ascii="Times New Roman" w:hAnsi="Times New Roman" w:cs="Times New Roman"/>
          <w:i/>
          <w:sz w:val="24"/>
          <w:szCs w:val="24"/>
        </w:rPr>
        <w:t>Recycle</w:t>
      </w:r>
      <w:r w:rsidRPr="00EE533D">
        <w:rPr>
          <w:rFonts w:ascii="Times New Roman" w:hAnsi="Times New Roman" w:cs="Times New Roman"/>
          <w:i/>
          <w:sz w:val="24"/>
          <w:szCs w:val="24"/>
          <w:vertAlign w:val="subscript"/>
        </w:rPr>
        <w:t>i,t</w:t>
      </w:r>
      <w:r w:rsidRPr="00EE533D">
        <w:rPr>
          <w:rFonts w:ascii="Times New Roman" w:hAnsi="Times New Roman" w:cs="Times New Roman"/>
          <w:i/>
          <w:sz w:val="24"/>
          <w:szCs w:val="24"/>
        </w:rPr>
        <w:t xml:space="preserve"> =</w:t>
      </w:r>
      <w:r w:rsidR="003B51E4" w:rsidRPr="00EE533D">
        <w:rPr>
          <w:rFonts w:ascii="Times New Roman" w:hAnsi="Times New Roman" w:cs="Times New Roman"/>
          <w:i/>
          <w:sz w:val="24"/>
          <w:szCs w:val="24"/>
        </w:rPr>
        <w:t xml:space="preserve"> </w:t>
      </w:r>
      <w:r w:rsidR="003B51E4" w:rsidRPr="00EE533D">
        <w:rPr>
          <w:rFonts w:ascii="Times New Roman" w:hAnsi="Times New Roman" w:cs="Times New Roman"/>
          <w:i/>
          <w:sz w:val="24"/>
          <w:szCs w:val="24"/>
          <w:lang w:val="en-GB"/>
        </w:rPr>
        <w:t>α</w:t>
      </w:r>
      <w:r w:rsidR="003B51E4" w:rsidRPr="00EE533D">
        <w:rPr>
          <w:rFonts w:ascii="Times New Roman" w:hAnsi="Times New Roman" w:cs="Times New Roman"/>
          <w:i/>
          <w:sz w:val="24"/>
          <w:szCs w:val="24"/>
          <w:vertAlign w:val="subscript"/>
        </w:rPr>
        <w:t>0</w:t>
      </w:r>
      <w:r w:rsidRPr="00EE533D">
        <w:rPr>
          <w:rFonts w:ascii="Times New Roman" w:hAnsi="Times New Roman" w:cs="Times New Roman"/>
          <w:i/>
          <w:sz w:val="24"/>
          <w:szCs w:val="24"/>
        </w:rPr>
        <w:t xml:space="preserve"> </w:t>
      </w:r>
      <w:r w:rsidR="003B51E4" w:rsidRPr="00EE533D">
        <w:rPr>
          <w:rFonts w:ascii="Times New Roman" w:hAnsi="Times New Roman" w:cs="Times New Roman"/>
          <w:i/>
          <w:sz w:val="24"/>
          <w:szCs w:val="24"/>
        </w:rPr>
        <w:t xml:space="preserve">+ </w:t>
      </w:r>
      <w:r w:rsidR="00987810" w:rsidRPr="00EE533D">
        <w:rPr>
          <w:rFonts w:ascii="Times New Roman" w:hAnsi="Times New Roman" w:cs="Times New Roman"/>
          <w:i/>
          <w:sz w:val="24"/>
          <w:szCs w:val="24"/>
          <w:lang w:val="en-GB"/>
        </w:rPr>
        <w:t>α</w:t>
      </w:r>
      <w:r w:rsidR="00987810" w:rsidRPr="00EE533D">
        <w:rPr>
          <w:rFonts w:ascii="Times New Roman" w:hAnsi="Times New Roman" w:cs="Times New Roman"/>
          <w:i/>
          <w:sz w:val="24"/>
          <w:szCs w:val="24"/>
          <w:vertAlign w:val="subscript"/>
        </w:rPr>
        <w:t>1</w:t>
      </w:r>
      <w:r w:rsidR="00987810" w:rsidRPr="00EE533D">
        <w:rPr>
          <w:rFonts w:ascii="Times New Roman" w:hAnsi="Times New Roman" w:cs="Times New Roman"/>
          <w:i/>
          <w:sz w:val="24"/>
          <w:szCs w:val="24"/>
        </w:rPr>
        <w:t xml:space="preserve"> </w:t>
      </w:r>
      <w:r w:rsidRPr="00EE533D">
        <w:rPr>
          <w:rFonts w:ascii="Times New Roman" w:hAnsi="Times New Roman" w:cs="Times New Roman"/>
          <w:i/>
          <w:sz w:val="24"/>
          <w:szCs w:val="24"/>
        </w:rPr>
        <w:t>(Institution</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w:t>
      </w:r>
      <w:r w:rsidR="00987810" w:rsidRPr="00EE533D">
        <w:rPr>
          <w:rFonts w:ascii="Times New Roman" w:hAnsi="Times New Roman" w:cs="Times New Roman"/>
          <w:i/>
          <w:sz w:val="24"/>
          <w:szCs w:val="24"/>
          <w:lang w:val="en-GB"/>
        </w:rPr>
        <w:t>α</w:t>
      </w:r>
      <w:r w:rsidR="00987810" w:rsidRPr="00EE533D">
        <w:rPr>
          <w:rFonts w:ascii="Times New Roman" w:hAnsi="Times New Roman" w:cs="Times New Roman"/>
          <w:i/>
          <w:sz w:val="24"/>
          <w:szCs w:val="24"/>
          <w:vertAlign w:val="subscript"/>
        </w:rPr>
        <w:t>2</w:t>
      </w:r>
      <w:r w:rsidR="00987810" w:rsidRPr="00EE533D">
        <w:rPr>
          <w:rFonts w:ascii="Times New Roman" w:hAnsi="Times New Roman" w:cs="Times New Roman"/>
          <w:i/>
          <w:sz w:val="24"/>
          <w:szCs w:val="24"/>
        </w:rPr>
        <w:t xml:space="preserve"> </w:t>
      </w:r>
      <w:r w:rsidRPr="00EE533D">
        <w:rPr>
          <w:rFonts w:ascii="Times New Roman" w:hAnsi="Times New Roman" w:cs="Times New Roman"/>
          <w:i/>
          <w:sz w:val="24"/>
          <w:szCs w:val="24"/>
        </w:rPr>
        <w:t>(Financial</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00987810" w:rsidRPr="00EE533D">
        <w:rPr>
          <w:rFonts w:ascii="Times New Roman" w:hAnsi="Times New Roman" w:cs="Times New Roman"/>
          <w:i/>
          <w:sz w:val="24"/>
          <w:szCs w:val="24"/>
          <w:lang w:val="en-GB"/>
        </w:rPr>
        <w:t>α</w:t>
      </w:r>
      <w:r w:rsidR="00987810" w:rsidRPr="00EE533D">
        <w:rPr>
          <w:rFonts w:ascii="Times New Roman" w:hAnsi="Times New Roman" w:cs="Times New Roman"/>
          <w:i/>
          <w:sz w:val="24"/>
          <w:szCs w:val="24"/>
          <w:vertAlign w:val="subscript"/>
        </w:rPr>
        <w:t>3</w:t>
      </w:r>
      <w:r w:rsidR="00987810" w:rsidRPr="00EE533D">
        <w:rPr>
          <w:rFonts w:ascii="Times New Roman" w:hAnsi="Times New Roman" w:cs="Times New Roman"/>
          <w:i/>
          <w:sz w:val="24"/>
          <w:szCs w:val="24"/>
        </w:rPr>
        <w:t xml:space="preserve"> </w:t>
      </w:r>
      <w:r w:rsidRPr="00EE533D">
        <w:rPr>
          <w:rFonts w:ascii="Times New Roman" w:hAnsi="Times New Roman" w:cs="Times New Roman"/>
          <w:i/>
          <w:sz w:val="24"/>
          <w:szCs w:val="24"/>
        </w:rPr>
        <w:t>(Governance</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00987810" w:rsidRPr="00EE533D">
        <w:rPr>
          <w:rFonts w:ascii="Times New Roman" w:hAnsi="Times New Roman" w:cs="Times New Roman"/>
          <w:i/>
          <w:sz w:val="24"/>
          <w:szCs w:val="24"/>
          <w:lang w:val="en-GB"/>
        </w:rPr>
        <w:t>α</w:t>
      </w:r>
      <w:r w:rsidR="00987810" w:rsidRPr="00EE533D">
        <w:rPr>
          <w:rFonts w:ascii="Times New Roman" w:hAnsi="Times New Roman" w:cs="Times New Roman"/>
          <w:i/>
          <w:sz w:val="24"/>
          <w:szCs w:val="24"/>
          <w:vertAlign w:val="subscript"/>
        </w:rPr>
        <w:t>4</w:t>
      </w:r>
      <w:r w:rsidRPr="00EE533D">
        <w:rPr>
          <w:rFonts w:ascii="Times New Roman" w:hAnsi="Times New Roman" w:cs="Times New Roman"/>
          <w:i/>
          <w:sz w:val="24"/>
          <w:szCs w:val="24"/>
        </w:rPr>
        <w:t xml:space="preserve"> (Macro</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w:t>
      </w:r>
      <w:r w:rsidRPr="00EE533D">
        <w:rPr>
          <w:rFonts w:ascii="Times New Roman" w:hAnsi="Times New Roman" w:cs="Times New Roman"/>
          <w:sz w:val="24"/>
          <w:szCs w:val="24"/>
        </w:rPr>
        <w:t xml:space="preserve"> </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rPr>
        <w:t>t</w:t>
      </w:r>
      <w:r w:rsidRPr="00EE533D">
        <w:rPr>
          <w:rFonts w:ascii="Times New Roman" w:hAnsi="Times New Roman" w:cs="Times New Roman"/>
          <w:i/>
          <w:sz w:val="24"/>
          <w:szCs w:val="24"/>
        </w:rPr>
        <w:t xml:space="preserve"> + </w:t>
      </w:r>
      <w:r w:rsidR="003D3028" w:rsidRPr="00EE533D">
        <w:rPr>
          <w:rFonts w:ascii="Times New Roman" w:hAnsi="Times New Roman" w:cs="Times New Roman"/>
          <w:i/>
          <w:sz w:val="24"/>
          <w:szCs w:val="24"/>
        </w:rPr>
        <w:t>µ</w:t>
      </w:r>
      <w:r w:rsidRPr="00EE533D">
        <w:rPr>
          <w:rFonts w:ascii="Times New Roman" w:hAnsi="Times New Roman" w:cs="Times New Roman"/>
          <w:i/>
          <w:sz w:val="24"/>
          <w:szCs w:val="24"/>
          <w:vertAlign w:val="subscript"/>
        </w:rPr>
        <w:t>i</w:t>
      </w:r>
      <w:r w:rsidRPr="00EE533D">
        <w:rPr>
          <w:rFonts w:ascii="Times New Roman" w:hAnsi="Times New Roman" w:cs="Times New Roman"/>
          <w:sz w:val="24"/>
          <w:szCs w:val="24"/>
        </w:rPr>
        <w:t xml:space="preserve">         </w:t>
      </w:r>
      <w:r w:rsidRPr="00EE533D">
        <w:rPr>
          <w:rFonts w:ascii="Times New Roman" w:hAnsi="Times New Roman" w:cs="Times New Roman"/>
          <w:sz w:val="24"/>
          <w:szCs w:val="24"/>
        </w:rPr>
        <w:tab/>
        <w:t xml:space="preserve">        </w:t>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r>
      <w:r w:rsidRPr="00EE533D">
        <w:rPr>
          <w:rFonts w:ascii="Times New Roman" w:hAnsi="Times New Roman" w:cs="Times New Roman"/>
          <w:sz w:val="24"/>
          <w:szCs w:val="24"/>
        </w:rPr>
        <w:tab/>
        <w:t>(</w:t>
      </w:r>
      <w:r w:rsidR="008E4AA7" w:rsidRPr="00EE533D">
        <w:rPr>
          <w:rFonts w:ascii="Times New Roman" w:hAnsi="Times New Roman" w:cs="Times New Roman"/>
          <w:sz w:val="24"/>
          <w:szCs w:val="24"/>
        </w:rPr>
        <w:t>4</w:t>
      </w:r>
      <w:r w:rsidRPr="00EE533D">
        <w:rPr>
          <w:rFonts w:ascii="Times New Roman" w:hAnsi="Times New Roman" w:cs="Times New Roman"/>
          <w:sz w:val="24"/>
          <w:szCs w:val="24"/>
        </w:rPr>
        <w:t>)</w:t>
      </w:r>
    </w:p>
    <w:p w14:paraId="22F4A5FF" w14:textId="589CBA79" w:rsidR="00C20342" w:rsidRPr="00EE533D" w:rsidRDefault="00195495" w:rsidP="00A52FAD">
      <w:pPr>
        <w:spacing w:after="0" w:line="360" w:lineRule="auto"/>
        <w:ind w:left="709" w:hanging="709"/>
        <w:jc w:val="both"/>
        <w:rPr>
          <w:rFonts w:ascii="Times New Roman" w:hAnsi="Times New Roman" w:cs="Times New Roman"/>
          <w:iCs/>
          <w:sz w:val="24"/>
          <w:szCs w:val="24"/>
          <w:lang w:val="en-GB"/>
        </w:rPr>
      </w:pPr>
      <w:r w:rsidRPr="00EE533D">
        <w:rPr>
          <w:rFonts w:ascii="Times New Roman" w:hAnsi="Times New Roman" w:cs="Times New Roman"/>
          <w:iCs/>
          <w:sz w:val="24"/>
          <w:szCs w:val="24"/>
          <w:lang w:val="en-GB"/>
        </w:rPr>
        <w:lastRenderedPageBreak/>
        <w:t>a</w:t>
      </w:r>
      <w:r w:rsidR="003F4D4E" w:rsidRPr="00EE533D">
        <w:rPr>
          <w:rFonts w:ascii="Times New Roman" w:hAnsi="Times New Roman" w:cs="Times New Roman"/>
          <w:iCs/>
          <w:sz w:val="24"/>
          <w:szCs w:val="24"/>
          <w:lang w:val="en-GB"/>
        </w:rPr>
        <w:t>nd the selection equation capturing the condition</w:t>
      </w:r>
      <w:r w:rsidR="0043060F" w:rsidRPr="00EE533D">
        <w:rPr>
          <w:rFonts w:ascii="Times New Roman" w:hAnsi="Times New Roman" w:cs="Times New Roman"/>
          <w:iCs/>
          <w:sz w:val="24"/>
          <w:szCs w:val="24"/>
          <w:lang w:val="en-GB"/>
        </w:rPr>
        <w:t xml:space="preserve"> when the recycling performance is observed</w:t>
      </w:r>
      <w:r w:rsidRPr="00EE533D">
        <w:rPr>
          <w:rFonts w:ascii="Times New Roman" w:hAnsi="Times New Roman" w:cs="Times New Roman"/>
          <w:iCs/>
          <w:sz w:val="24"/>
          <w:szCs w:val="24"/>
          <w:lang w:val="en-GB"/>
        </w:rPr>
        <w:t>:</w:t>
      </w:r>
    </w:p>
    <w:p w14:paraId="629944ED" w14:textId="3325B1F6" w:rsidR="009155FA" w:rsidRPr="00EE533D" w:rsidRDefault="00E93080" w:rsidP="00A52FAD">
      <w:pPr>
        <w:spacing w:after="0" w:line="360" w:lineRule="auto"/>
        <w:ind w:firstLine="708"/>
        <w:jc w:val="both"/>
        <w:rPr>
          <w:rFonts w:ascii="Times New Roman" w:hAnsi="Times New Roman" w:cs="Times New Roman"/>
          <w:iCs/>
          <w:sz w:val="24"/>
          <w:szCs w:val="24"/>
        </w:rPr>
      </w:pPr>
      <w:r w:rsidRPr="00EE533D">
        <w:rPr>
          <w:rFonts w:ascii="Times New Roman" w:hAnsi="Times New Roman" w:cs="Times New Roman"/>
          <w:i/>
          <w:sz w:val="24"/>
          <w:szCs w:val="24"/>
          <w:lang w:val="en-GB"/>
        </w:rPr>
        <w:t>λ</w:t>
      </w:r>
      <w:r w:rsidRPr="00EE533D">
        <w:rPr>
          <w:rFonts w:ascii="Times New Roman" w:hAnsi="Times New Roman" w:cs="Times New Roman"/>
          <w:i/>
          <w:sz w:val="24"/>
          <w:szCs w:val="24"/>
          <w:vertAlign w:val="subscript"/>
        </w:rPr>
        <w:t>0</w:t>
      </w:r>
      <w:r w:rsidRPr="00EE533D">
        <w:rPr>
          <w:rFonts w:ascii="Times New Roman" w:hAnsi="Times New Roman" w:cs="Times New Roman"/>
          <w:i/>
          <w:sz w:val="24"/>
          <w:szCs w:val="24"/>
        </w:rPr>
        <w:t xml:space="preserve"> + </w:t>
      </w:r>
      <w:r w:rsidR="00321E05" w:rsidRPr="00EE533D">
        <w:rPr>
          <w:rFonts w:ascii="Times New Roman" w:hAnsi="Times New Roman" w:cs="Times New Roman"/>
          <w:i/>
          <w:sz w:val="24"/>
          <w:szCs w:val="24"/>
          <w:lang w:val="en-GB"/>
        </w:rPr>
        <w:t>λ</w:t>
      </w:r>
      <w:r w:rsidR="00321E05" w:rsidRPr="00EE533D">
        <w:rPr>
          <w:rFonts w:ascii="Times New Roman" w:hAnsi="Times New Roman" w:cs="Times New Roman"/>
          <w:i/>
          <w:sz w:val="24"/>
          <w:szCs w:val="24"/>
          <w:vertAlign w:val="subscript"/>
        </w:rPr>
        <w:t>1</w:t>
      </w:r>
      <w:r w:rsidR="00321E05" w:rsidRPr="00EE533D">
        <w:rPr>
          <w:rFonts w:ascii="Times New Roman" w:hAnsi="Times New Roman" w:cs="Times New Roman"/>
          <w:i/>
          <w:sz w:val="24"/>
          <w:szCs w:val="24"/>
        </w:rPr>
        <w:t xml:space="preserve"> (Sector</w:t>
      </w:r>
      <w:r w:rsidR="00321E05" w:rsidRPr="00EE533D">
        <w:rPr>
          <w:rFonts w:ascii="Times New Roman" w:hAnsi="Times New Roman" w:cs="Times New Roman"/>
          <w:i/>
          <w:sz w:val="24"/>
          <w:szCs w:val="24"/>
          <w:vertAlign w:val="subscript"/>
        </w:rPr>
        <w:t>i</w:t>
      </w:r>
      <w:r w:rsidR="00321E05"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λ</w:t>
      </w:r>
      <w:r w:rsidR="00321E05" w:rsidRPr="00EE533D">
        <w:rPr>
          <w:rFonts w:ascii="Times New Roman" w:hAnsi="Times New Roman" w:cs="Times New Roman"/>
          <w:i/>
          <w:sz w:val="24"/>
          <w:szCs w:val="24"/>
          <w:vertAlign w:val="subscript"/>
        </w:rPr>
        <w:t>2</w:t>
      </w:r>
      <w:r w:rsidRPr="00EE533D">
        <w:rPr>
          <w:rFonts w:ascii="Times New Roman" w:hAnsi="Times New Roman" w:cs="Times New Roman"/>
          <w:i/>
          <w:sz w:val="24"/>
          <w:szCs w:val="24"/>
        </w:rPr>
        <w:t xml:space="preserve"> (Institution</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w:t>
      </w:r>
      <w:r w:rsidRPr="00EE533D">
        <w:rPr>
          <w:rFonts w:ascii="Times New Roman" w:hAnsi="Times New Roman" w:cs="Times New Roman"/>
          <w:i/>
          <w:sz w:val="24"/>
          <w:szCs w:val="24"/>
          <w:lang w:val="en-GB"/>
        </w:rPr>
        <w:t>λ</w:t>
      </w:r>
      <w:r w:rsidR="00321E05" w:rsidRPr="00EE533D">
        <w:rPr>
          <w:rFonts w:ascii="Times New Roman" w:hAnsi="Times New Roman" w:cs="Times New Roman"/>
          <w:i/>
          <w:sz w:val="24"/>
          <w:szCs w:val="24"/>
          <w:vertAlign w:val="subscript"/>
        </w:rPr>
        <w:t>3</w:t>
      </w:r>
      <w:r w:rsidRPr="00EE533D">
        <w:rPr>
          <w:rFonts w:ascii="Times New Roman" w:hAnsi="Times New Roman" w:cs="Times New Roman"/>
          <w:i/>
          <w:sz w:val="24"/>
          <w:szCs w:val="24"/>
        </w:rPr>
        <w:t xml:space="preserve"> (Financial</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λ</w:t>
      </w:r>
      <w:r w:rsidR="00321E05" w:rsidRPr="00EE533D">
        <w:rPr>
          <w:rFonts w:ascii="Times New Roman" w:hAnsi="Times New Roman" w:cs="Times New Roman"/>
          <w:i/>
          <w:sz w:val="24"/>
          <w:szCs w:val="24"/>
          <w:vertAlign w:val="subscript"/>
        </w:rPr>
        <w:t>4</w:t>
      </w:r>
      <w:r w:rsidRPr="00EE533D">
        <w:rPr>
          <w:rFonts w:ascii="Times New Roman" w:hAnsi="Times New Roman" w:cs="Times New Roman"/>
          <w:i/>
          <w:sz w:val="24"/>
          <w:szCs w:val="24"/>
        </w:rPr>
        <w:t xml:space="preserve"> (Governance</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 xml:space="preserve">) + </w:t>
      </w:r>
      <w:r w:rsidRPr="00EE533D">
        <w:rPr>
          <w:rFonts w:ascii="Times New Roman" w:hAnsi="Times New Roman" w:cs="Times New Roman"/>
          <w:i/>
          <w:sz w:val="24"/>
          <w:szCs w:val="24"/>
          <w:lang w:val="en-GB"/>
        </w:rPr>
        <w:t>λ</w:t>
      </w:r>
      <w:r w:rsidR="00321E05" w:rsidRPr="00EE533D">
        <w:rPr>
          <w:rFonts w:ascii="Times New Roman" w:hAnsi="Times New Roman" w:cs="Times New Roman"/>
          <w:i/>
          <w:sz w:val="24"/>
          <w:szCs w:val="24"/>
          <w:vertAlign w:val="subscript"/>
        </w:rPr>
        <w:t>5</w:t>
      </w:r>
      <w:r w:rsidRPr="00EE533D">
        <w:rPr>
          <w:rFonts w:ascii="Times New Roman" w:hAnsi="Times New Roman" w:cs="Times New Roman"/>
          <w:i/>
          <w:sz w:val="24"/>
          <w:szCs w:val="24"/>
        </w:rPr>
        <w:t xml:space="preserve"> (Macro</w:t>
      </w:r>
      <w:r w:rsidRPr="00EE533D">
        <w:rPr>
          <w:rFonts w:ascii="Times New Roman" w:hAnsi="Times New Roman" w:cs="Times New Roman"/>
          <w:i/>
          <w:sz w:val="24"/>
          <w:szCs w:val="24"/>
          <w:vertAlign w:val="subscript"/>
        </w:rPr>
        <w:t>i,t-1</w:t>
      </w:r>
      <w:r w:rsidRPr="00EE533D">
        <w:rPr>
          <w:rFonts w:ascii="Times New Roman" w:hAnsi="Times New Roman" w:cs="Times New Roman"/>
          <w:i/>
          <w:sz w:val="24"/>
          <w:szCs w:val="24"/>
        </w:rPr>
        <w:t>)+</w:t>
      </w:r>
      <w:r w:rsidRPr="00EE533D">
        <w:rPr>
          <w:rFonts w:ascii="Times New Roman" w:hAnsi="Times New Roman" w:cs="Times New Roman"/>
          <w:sz w:val="24"/>
          <w:szCs w:val="24"/>
        </w:rPr>
        <w:t xml:space="preserve"> </w:t>
      </w:r>
      <w:r w:rsidRPr="00EE533D">
        <w:rPr>
          <w:rFonts w:ascii="Times New Roman" w:hAnsi="Times New Roman" w:cs="Times New Roman"/>
          <w:i/>
          <w:sz w:val="24"/>
          <w:szCs w:val="24"/>
          <w:lang w:val="en-GB"/>
        </w:rPr>
        <w:t>β</w:t>
      </w:r>
      <w:r w:rsidRPr="00EE533D">
        <w:rPr>
          <w:rFonts w:ascii="Times New Roman" w:hAnsi="Times New Roman" w:cs="Times New Roman"/>
          <w:i/>
          <w:sz w:val="24"/>
          <w:szCs w:val="24"/>
          <w:vertAlign w:val="subscript"/>
        </w:rPr>
        <w:t>t</w:t>
      </w:r>
      <w:r w:rsidRPr="00EE533D">
        <w:rPr>
          <w:rFonts w:ascii="Times New Roman" w:hAnsi="Times New Roman" w:cs="Times New Roman"/>
          <w:i/>
          <w:sz w:val="24"/>
          <w:szCs w:val="24"/>
        </w:rPr>
        <w:t xml:space="preserve"> + </w:t>
      </w:r>
      <w:r w:rsidR="001B45AE" w:rsidRPr="00EE533D">
        <w:rPr>
          <w:rFonts w:ascii="Times New Roman" w:hAnsi="Times New Roman" w:cs="Times New Roman"/>
          <w:i/>
          <w:sz w:val="24"/>
          <w:szCs w:val="24"/>
          <w:lang w:val="en-GB"/>
        </w:rPr>
        <w:t>Ω</w:t>
      </w:r>
      <w:r w:rsidRPr="00EE533D">
        <w:rPr>
          <w:rFonts w:ascii="Times New Roman" w:hAnsi="Times New Roman" w:cs="Times New Roman"/>
          <w:i/>
          <w:sz w:val="24"/>
          <w:szCs w:val="24"/>
          <w:vertAlign w:val="subscript"/>
        </w:rPr>
        <w:t>i</w:t>
      </w:r>
      <w:r w:rsidR="009C7561" w:rsidRPr="00EE533D">
        <w:rPr>
          <w:rFonts w:ascii="Times New Roman" w:hAnsi="Times New Roman" w:cs="Times New Roman"/>
          <w:i/>
          <w:sz w:val="24"/>
          <w:szCs w:val="24"/>
        </w:rPr>
        <w:t xml:space="preserve"> &gt; 0</w:t>
      </w:r>
      <w:r w:rsidR="009C7561" w:rsidRPr="00EE533D">
        <w:rPr>
          <w:rFonts w:ascii="Times New Roman" w:hAnsi="Times New Roman" w:cs="Times New Roman"/>
          <w:iCs/>
          <w:sz w:val="24"/>
          <w:szCs w:val="24"/>
        </w:rPr>
        <w:t xml:space="preserve"> </w:t>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r>
      <w:r w:rsidR="009C7561" w:rsidRPr="00EE533D">
        <w:rPr>
          <w:rFonts w:ascii="Times New Roman" w:hAnsi="Times New Roman" w:cs="Times New Roman"/>
          <w:iCs/>
          <w:sz w:val="24"/>
          <w:szCs w:val="24"/>
        </w:rPr>
        <w:tab/>
        <w:t>(5)</w:t>
      </w:r>
    </w:p>
    <w:p w14:paraId="3658FDB2" w14:textId="53C9E07D" w:rsidR="00D8043F" w:rsidRPr="00EE533D" w:rsidRDefault="00AC0C3E" w:rsidP="00E1274B">
      <w:pPr>
        <w:spacing w:after="0" w:line="360" w:lineRule="auto"/>
        <w:jc w:val="both"/>
        <w:rPr>
          <w:rFonts w:ascii="Times New Roman" w:hAnsi="Times New Roman" w:cs="Times New Roman"/>
          <w:sz w:val="24"/>
          <w:szCs w:val="24"/>
          <w:lang w:val="en-GB"/>
        </w:rPr>
      </w:pPr>
      <w:r w:rsidRPr="00EE533D">
        <w:rPr>
          <w:rFonts w:ascii="Times New Roman" w:hAnsi="Times New Roman" w:cs="Times New Roman"/>
          <w:iCs/>
          <w:sz w:val="24"/>
          <w:szCs w:val="24"/>
          <w:lang w:val="en-GB"/>
        </w:rPr>
        <w:t>where</w:t>
      </w:r>
      <w:r w:rsidR="00EF2193" w:rsidRPr="00EE533D">
        <w:rPr>
          <w:rFonts w:ascii="Times New Roman" w:hAnsi="Times New Roman" w:cs="Times New Roman"/>
          <w:iCs/>
          <w:sz w:val="24"/>
          <w:szCs w:val="24"/>
          <w:lang w:val="en-GB"/>
        </w:rPr>
        <w:t xml:space="preserve"> </w:t>
      </w:r>
      <w:r w:rsidR="00EF2193" w:rsidRPr="00EE533D">
        <w:rPr>
          <w:rFonts w:ascii="Times New Roman" w:hAnsi="Times New Roman" w:cs="Times New Roman"/>
          <w:i/>
          <w:sz w:val="24"/>
          <w:szCs w:val="24"/>
          <w:lang w:val="en-GB"/>
        </w:rPr>
        <w:t>µ</w:t>
      </w:r>
      <w:r w:rsidR="00EF2193" w:rsidRPr="00EE533D">
        <w:rPr>
          <w:rFonts w:ascii="Times New Roman" w:hAnsi="Times New Roman" w:cs="Times New Roman"/>
          <w:i/>
          <w:sz w:val="24"/>
          <w:szCs w:val="24"/>
          <w:vertAlign w:val="subscript"/>
          <w:lang w:val="en-GB"/>
        </w:rPr>
        <w:t>i</w:t>
      </w:r>
      <w:r w:rsidR="00EF2193" w:rsidRPr="00EE533D">
        <w:rPr>
          <w:lang w:val="en-GB"/>
        </w:rPr>
        <w:t xml:space="preserve"> </w:t>
      </w:r>
      <w:r w:rsidR="00EF2193" w:rsidRPr="00EE533D">
        <w:rPr>
          <w:rFonts w:ascii="Times New Roman" w:hAnsi="Times New Roman" w:cs="Times New Roman"/>
          <w:sz w:val="24"/>
          <w:szCs w:val="24"/>
          <w:lang w:val="en-GB"/>
        </w:rPr>
        <w:t xml:space="preserve">and </w:t>
      </w:r>
      <w:r w:rsidR="00EF2193" w:rsidRPr="00EE533D">
        <w:rPr>
          <w:rFonts w:ascii="Times New Roman" w:hAnsi="Times New Roman" w:cs="Times New Roman"/>
          <w:i/>
          <w:sz w:val="24"/>
          <w:szCs w:val="24"/>
          <w:lang w:val="en-GB"/>
        </w:rPr>
        <w:t>Ω</w:t>
      </w:r>
      <w:r w:rsidR="00EF2193" w:rsidRPr="00EE533D">
        <w:rPr>
          <w:rFonts w:ascii="Times New Roman" w:hAnsi="Times New Roman" w:cs="Times New Roman"/>
          <w:i/>
          <w:sz w:val="24"/>
          <w:szCs w:val="24"/>
          <w:vertAlign w:val="subscript"/>
          <w:lang w:val="en-GB"/>
        </w:rPr>
        <w:t>i</w:t>
      </w:r>
      <w:r w:rsidR="00EF2193" w:rsidRPr="00EE533D">
        <w:rPr>
          <w:rFonts w:ascii="Times New Roman" w:hAnsi="Times New Roman" w:cs="Times New Roman"/>
          <w:sz w:val="24"/>
          <w:szCs w:val="24"/>
          <w:lang w:val="en-GB"/>
        </w:rPr>
        <w:t xml:space="preserve"> are the error terms</w:t>
      </w:r>
      <w:r w:rsidR="00694769" w:rsidRPr="00EE533D">
        <w:rPr>
          <w:rFonts w:ascii="Times New Roman" w:hAnsi="Times New Roman" w:cs="Times New Roman"/>
          <w:sz w:val="24"/>
          <w:szCs w:val="24"/>
          <w:lang w:val="en-GB"/>
        </w:rPr>
        <w:t xml:space="preserve">, </w:t>
      </w:r>
      <w:r w:rsidR="00694769" w:rsidRPr="00EE533D">
        <w:rPr>
          <w:rFonts w:ascii="Times New Roman" w:hAnsi="Times New Roman" w:cs="Times New Roman"/>
          <w:i/>
          <w:sz w:val="24"/>
          <w:szCs w:val="24"/>
          <w:lang w:val="en-GB"/>
        </w:rPr>
        <w:t>α</w:t>
      </w:r>
      <w:r w:rsidR="00694769" w:rsidRPr="00EE533D">
        <w:rPr>
          <w:rFonts w:ascii="Times New Roman" w:hAnsi="Times New Roman" w:cs="Times New Roman"/>
          <w:i/>
          <w:sz w:val="24"/>
          <w:szCs w:val="24"/>
          <w:vertAlign w:val="subscript"/>
          <w:lang w:val="en-GB"/>
        </w:rPr>
        <w:t xml:space="preserve">0 </w:t>
      </w:r>
      <w:r w:rsidR="00694769" w:rsidRPr="00EE533D">
        <w:rPr>
          <w:rFonts w:ascii="Times New Roman" w:hAnsi="Times New Roman" w:cs="Times New Roman"/>
          <w:sz w:val="24"/>
          <w:szCs w:val="24"/>
          <w:lang w:val="en-GB"/>
        </w:rPr>
        <w:t xml:space="preserve">and </w:t>
      </w:r>
      <w:r w:rsidR="00694769" w:rsidRPr="00EE533D">
        <w:rPr>
          <w:rFonts w:ascii="Times New Roman" w:hAnsi="Times New Roman" w:cs="Times New Roman"/>
          <w:i/>
          <w:sz w:val="24"/>
          <w:szCs w:val="24"/>
          <w:lang w:val="en-GB"/>
        </w:rPr>
        <w:t>λ</w:t>
      </w:r>
      <w:r w:rsidR="00694769" w:rsidRPr="00EE533D">
        <w:rPr>
          <w:rFonts w:ascii="Times New Roman" w:hAnsi="Times New Roman" w:cs="Times New Roman"/>
          <w:i/>
          <w:sz w:val="24"/>
          <w:szCs w:val="24"/>
          <w:vertAlign w:val="subscript"/>
          <w:lang w:val="en-GB"/>
        </w:rPr>
        <w:t>0</w:t>
      </w:r>
      <w:r w:rsidR="00694769" w:rsidRPr="00EE533D">
        <w:rPr>
          <w:rFonts w:ascii="Times New Roman" w:hAnsi="Times New Roman" w:cs="Times New Roman"/>
          <w:sz w:val="24"/>
          <w:szCs w:val="24"/>
          <w:lang w:val="en-GB"/>
        </w:rPr>
        <w:t xml:space="preserve"> the intercepts</w:t>
      </w:r>
      <w:r w:rsidR="005A21C2" w:rsidRPr="00EE533D">
        <w:rPr>
          <w:rFonts w:ascii="Times New Roman" w:hAnsi="Times New Roman" w:cs="Times New Roman"/>
          <w:sz w:val="24"/>
          <w:szCs w:val="24"/>
          <w:lang w:val="en-GB"/>
        </w:rPr>
        <w:t>.</w:t>
      </w:r>
      <w:r w:rsidR="005C54D3" w:rsidRPr="00EE533D">
        <w:rPr>
          <w:rFonts w:ascii="Times New Roman" w:hAnsi="Times New Roman" w:cs="Times New Roman"/>
          <w:sz w:val="24"/>
          <w:szCs w:val="24"/>
          <w:lang w:val="en-GB"/>
        </w:rPr>
        <w:t xml:space="preserve"> </w:t>
      </w:r>
      <w:r w:rsidR="00215224" w:rsidRPr="00EE533D">
        <w:rPr>
          <w:rFonts w:ascii="Times New Roman" w:hAnsi="Times New Roman" w:cs="Times New Roman"/>
          <w:sz w:val="24"/>
          <w:szCs w:val="24"/>
          <w:lang w:val="en-GB"/>
        </w:rPr>
        <w:t xml:space="preserve">To strengthen the identification of the </w:t>
      </w:r>
      <w:r w:rsidR="00F406BD" w:rsidRPr="00EE533D">
        <w:rPr>
          <w:rFonts w:ascii="Times New Roman" w:hAnsi="Times New Roman" w:cs="Times New Roman"/>
          <w:sz w:val="24"/>
          <w:szCs w:val="24"/>
          <w:lang w:val="en-GB"/>
        </w:rPr>
        <w:t>equations systems, we will follow the recommendation of</w:t>
      </w:r>
      <w:r w:rsidR="00E1274B" w:rsidRPr="00EE533D">
        <w:rPr>
          <w:rFonts w:ascii="Times New Roman" w:hAnsi="Times New Roman" w:cs="Times New Roman"/>
          <w:sz w:val="24"/>
          <w:szCs w:val="24"/>
          <w:lang w:val="en-GB"/>
        </w:rPr>
        <w:t xml:space="preserve"> </w:t>
      </w:r>
      <w:r w:rsidR="00E1274B" w:rsidRPr="00EE533D">
        <w:rPr>
          <w:rFonts w:ascii="Times New Roman" w:hAnsi="Times New Roman" w:cs="Times New Roman"/>
          <w:sz w:val="24"/>
          <w:szCs w:val="24"/>
          <w:lang w:val="en-GB"/>
        </w:rPr>
        <w:fldChar w:fldCharType="begin"/>
      </w:r>
      <w:r w:rsidR="008D5E03" w:rsidRPr="00EE533D">
        <w:rPr>
          <w:rFonts w:ascii="Times New Roman" w:hAnsi="Times New Roman" w:cs="Times New Roman"/>
          <w:sz w:val="24"/>
          <w:szCs w:val="24"/>
          <w:lang w:val="en-GB"/>
        </w:rPr>
        <w:instrText xml:space="preserve"> ADDIN ZOTERO_ITEM CSL_CITATION {"citationID":"ahYZiF5q","properties":{"formattedCitation":"(Breen, 1996)","plainCitation":"(Breen, 1996)","dontUpdate":true,"noteIndex":0},"citationItems":[{"id":3731,"uris":["http://zotero.org/users/8125408/items/V845TXZJ"],"itemData":{"id":3731,"type":"book","ISBN":"0-8039-5710-6","note":"issue: 111","publisher":"Sage","title":"Regression models: Censored, sample selected, or truncated data","author":[{"family":"Breen","given":"Richard"}],"issued":{"date-parts":[["1996"]]}}}],"schema":"https://github.com/citation-style-language/schema/raw/master/csl-citation.json"} </w:instrText>
      </w:r>
      <w:r w:rsidR="00E1274B" w:rsidRPr="00EE533D">
        <w:rPr>
          <w:rFonts w:ascii="Times New Roman" w:hAnsi="Times New Roman" w:cs="Times New Roman"/>
          <w:sz w:val="24"/>
          <w:szCs w:val="24"/>
          <w:lang w:val="en-GB"/>
        </w:rPr>
        <w:fldChar w:fldCharType="separate"/>
      </w:r>
      <w:r w:rsidR="00E1274B" w:rsidRPr="00EE533D">
        <w:rPr>
          <w:rFonts w:ascii="Times New Roman" w:hAnsi="Times New Roman" w:cs="Times New Roman"/>
          <w:sz w:val="24"/>
          <w:lang w:val="en-GB"/>
        </w:rPr>
        <w:t>Breen (1996)</w:t>
      </w:r>
      <w:r w:rsidR="00E1274B" w:rsidRPr="00EE533D">
        <w:rPr>
          <w:rFonts w:ascii="Times New Roman" w:hAnsi="Times New Roman" w:cs="Times New Roman"/>
          <w:sz w:val="24"/>
          <w:szCs w:val="24"/>
          <w:lang w:val="en-GB"/>
        </w:rPr>
        <w:fldChar w:fldCharType="end"/>
      </w:r>
      <w:r w:rsidR="00F406BD" w:rsidRPr="00EE533D">
        <w:rPr>
          <w:rFonts w:ascii="Times New Roman" w:hAnsi="Times New Roman" w:cs="Times New Roman"/>
          <w:sz w:val="24"/>
          <w:szCs w:val="24"/>
          <w:lang w:val="en-GB"/>
        </w:rPr>
        <w:t xml:space="preserve"> </w:t>
      </w:r>
      <w:r w:rsidR="002C2FCA" w:rsidRPr="00EE533D">
        <w:rPr>
          <w:rFonts w:ascii="Times New Roman" w:hAnsi="Times New Roman" w:cs="Times New Roman"/>
          <w:sz w:val="24"/>
          <w:szCs w:val="24"/>
          <w:lang w:val="en-GB"/>
        </w:rPr>
        <w:t xml:space="preserve">to use </w:t>
      </w:r>
      <w:r w:rsidR="00522EA1" w:rsidRPr="00EE533D">
        <w:rPr>
          <w:rFonts w:ascii="Times New Roman" w:hAnsi="Times New Roman" w:cs="Times New Roman"/>
          <w:sz w:val="24"/>
          <w:szCs w:val="24"/>
          <w:lang w:val="en-GB"/>
        </w:rPr>
        <w:t xml:space="preserve">a different set </w:t>
      </w:r>
      <w:r w:rsidR="00522EA1" w:rsidRPr="00EE533D">
        <w:rPr>
          <w:rFonts w:ascii="Times New Roman" w:hAnsi="Times New Roman" w:cs="Times New Roman"/>
          <w:sz w:val="24"/>
          <w:szCs w:val="24"/>
          <w:lang w:val="en-GB"/>
        </w:rPr>
        <w:lastRenderedPageBreak/>
        <w:t>of variables in the selection equation. In this regard,</w:t>
      </w:r>
      <w:r w:rsidR="00F66670" w:rsidRPr="00EE533D">
        <w:rPr>
          <w:rFonts w:ascii="Times New Roman" w:hAnsi="Times New Roman" w:cs="Times New Roman"/>
          <w:sz w:val="24"/>
          <w:szCs w:val="24"/>
          <w:lang w:val="en-GB"/>
        </w:rPr>
        <w:t xml:space="preserve"> </w:t>
      </w:r>
      <w:r w:rsidR="00484468" w:rsidRPr="00EE533D">
        <w:rPr>
          <w:rFonts w:ascii="Times New Roman" w:hAnsi="Times New Roman" w:cs="Times New Roman"/>
          <w:sz w:val="24"/>
          <w:szCs w:val="24"/>
          <w:lang w:val="en-GB"/>
        </w:rPr>
        <w:t xml:space="preserve">we expect that the activity sector determines </w:t>
      </w:r>
      <w:r w:rsidR="004E6A91" w:rsidRPr="00EE533D">
        <w:rPr>
          <w:rFonts w:ascii="Times New Roman" w:hAnsi="Times New Roman" w:cs="Times New Roman"/>
          <w:sz w:val="24"/>
          <w:szCs w:val="24"/>
          <w:lang w:val="en-GB"/>
        </w:rPr>
        <w:t>the possibility that a recycling performance is observed</w:t>
      </w:r>
      <w:r w:rsidR="008124DC" w:rsidRPr="00EE533D">
        <w:rPr>
          <w:rFonts w:ascii="Times New Roman" w:hAnsi="Times New Roman" w:cs="Times New Roman"/>
          <w:sz w:val="24"/>
          <w:szCs w:val="24"/>
          <w:lang w:val="en-GB"/>
        </w:rPr>
        <w:t>.</w:t>
      </w:r>
      <w:r w:rsidR="00D656A8" w:rsidRPr="00EE533D">
        <w:rPr>
          <w:rFonts w:ascii="Times New Roman" w:hAnsi="Times New Roman" w:cs="Times New Roman"/>
          <w:sz w:val="24"/>
          <w:szCs w:val="24"/>
          <w:lang w:val="en-GB"/>
        </w:rPr>
        <w:t xml:space="preserve"> </w:t>
      </w:r>
      <w:r w:rsidR="00D656A8" w:rsidRPr="00EE533D">
        <w:rPr>
          <w:rFonts w:ascii="Times New Roman" w:hAnsi="Times New Roman" w:cs="Times New Roman"/>
          <w:i/>
          <w:iCs/>
          <w:sz w:val="24"/>
          <w:szCs w:val="24"/>
          <w:lang w:val="en-GB"/>
        </w:rPr>
        <w:t>Sector</w:t>
      </w:r>
      <w:r w:rsidR="00D656A8" w:rsidRPr="00EE533D">
        <w:rPr>
          <w:rFonts w:ascii="Times New Roman" w:hAnsi="Times New Roman" w:cs="Times New Roman"/>
          <w:sz w:val="24"/>
          <w:szCs w:val="24"/>
          <w:lang w:val="en-GB"/>
        </w:rPr>
        <w:t xml:space="preserve"> is a vector that identifies </w:t>
      </w:r>
      <w:r w:rsidR="00ED4A55" w:rsidRPr="00EE533D">
        <w:rPr>
          <w:rFonts w:ascii="Times New Roman" w:hAnsi="Times New Roman" w:cs="Times New Roman"/>
          <w:sz w:val="24"/>
          <w:szCs w:val="24"/>
          <w:lang w:val="en-GB"/>
        </w:rPr>
        <w:t>firms operating in the sectors of consumer staples</w:t>
      </w:r>
      <w:r w:rsidR="005B25E9" w:rsidRPr="00EE533D">
        <w:rPr>
          <w:rFonts w:ascii="Times New Roman" w:hAnsi="Times New Roman" w:cs="Times New Roman"/>
          <w:sz w:val="24"/>
          <w:szCs w:val="24"/>
          <w:lang w:val="en-GB"/>
        </w:rPr>
        <w:t xml:space="preserve"> (a)</w:t>
      </w:r>
      <w:r w:rsidR="00ED4A55" w:rsidRPr="00EE533D">
        <w:rPr>
          <w:rFonts w:ascii="Times New Roman" w:hAnsi="Times New Roman" w:cs="Times New Roman"/>
          <w:sz w:val="24"/>
          <w:szCs w:val="24"/>
          <w:lang w:val="en-GB"/>
        </w:rPr>
        <w:t>, materials</w:t>
      </w:r>
      <w:r w:rsidR="005B25E9" w:rsidRPr="00EE533D">
        <w:rPr>
          <w:rFonts w:ascii="Times New Roman" w:hAnsi="Times New Roman" w:cs="Times New Roman"/>
          <w:sz w:val="24"/>
          <w:szCs w:val="24"/>
          <w:lang w:val="en-GB"/>
        </w:rPr>
        <w:t xml:space="preserve"> (b)</w:t>
      </w:r>
      <w:r w:rsidR="00ED4A55" w:rsidRPr="00EE533D">
        <w:rPr>
          <w:rFonts w:ascii="Times New Roman" w:hAnsi="Times New Roman" w:cs="Times New Roman"/>
          <w:sz w:val="24"/>
          <w:szCs w:val="24"/>
          <w:lang w:val="en-GB"/>
        </w:rPr>
        <w:t>, communication</w:t>
      </w:r>
      <w:r w:rsidR="005B25E9" w:rsidRPr="00EE533D">
        <w:rPr>
          <w:rFonts w:ascii="Times New Roman" w:hAnsi="Times New Roman" w:cs="Times New Roman"/>
          <w:sz w:val="24"/>
          <w:szCs w:val="24"/>
          <w:lang w:val="en-GB"/>
        </w:rPr>
        <w:t xml:space="preserve"> (c)</w:t>
      </w:r>
      <w:r w:rsidR="00ED4A55" w:rsidRPr="00EE533D">
        <w:rPr>
          <w:rFonts w:ascii="Times New Roman" w:hAnsi="Times New Roman" w:cs="Times New Roman"/>
          <w:sz w:val="24"/>
          <w:szCs w:val="24"/>
          <w:lang w:val="en-GB"/>
        </w:rPr>
        <w:t>, information technology</w:t>
      </w:r>
      <w:r w:rsidR="005B25E9" w:rsidRPr="00EE533D">
        <w:rPr>
          <w:rFonts w:ascii="Times New Roman" w:hAnsi="Times New Roman" w:cs="Times New Roman"/>
          <w:sz w:val="24"/>
          <w:szCs w:val="24"/>
          <w:lang w:val="en-GB"/>
        </w:rPr>
        <w:t xml:space="preserve"> (d)</w:t>
      </w:r>
      <w:r w:rsidR="00ED4A55" w:rsidRPr="00EE533D">
        <w:rPr>
          <w:rFonts w:ascii="Times New Roman" w:hAnsi="Times New Roman" w:cs="Times New Roman"/>
          <w:sz w:val="24"/>
          <w:szCs w:val="24"/>
          <w:lang w:val="en-GB"/>
        </w:rPr>
        <w:t>, consumer discretionary</w:t>
      </w:r>
      <w:r w:rsidR="005B25E9" w:rsidRPr="00EE533D">
        <w:rPr>
          <w:rFonts w:ascii="Times New Roman" w:hAnsi="Times New Roman" w:cs="Times New Roman"/>
          <w:sz w:val="24"/>
          <w:szCs w:val="24"/>
          <w:lang w:val="en-GB"/>
        </w:rPr>
        <w:t xml:space="preserve"> (e)</w:t>
      </w:r>
      <w:r w:rsidR="00ED4A55" w:rsidRPr="00EE533D">
        <w:rPr>
          <w:rFonts w:ascii="Times New Roman" w:hAnsi="Times New Roman" w:cs="Times New Roman"/>
          <w:sz w:val="24"/>
          <w:szCs w:val="24"/>
          <w:lang w:val="en-GB"/>
        </w:rPr>
        <w:t>, industry</w:t>
      </w:r>
      <w:r w:rsidR="005B25E9" w:rsidRPr="00EE533D">
        <w:rPr>
          <w:rFonts w:ascii="Times New Roman" w:hAnsi="Times New Roman" w:cs="Times New Roman"/>
          <w:sz w:val="24"/>
          <w:szCs w:val="24"/>
          <w:lang w:val="en-GB"/>
        </w:rPr>
        <w:t xml:space="preserve"> (f)</w:t>
      </w:r>
      <w:r w:rsidR="00ED4A55" w:rsidRPr="00EE533D">
        <w:rPr>
          <w:rFonts w:ascii="Times New Roman" w:hAnsi="Times New Roman" w:cs="Times New Roman"/>
          <w:sz w:val="24"/>
          <w:szCs w:val="24"/>
          <w:lang w:val="en-GB"/>
        </w:rPr>
        <w:t>, energy</w:t>
      </w:r>
      <w:r w:rsidR="005B25E9" w:rsidRPr="00EE533D">
        <w:rPr>
          <w:rFonts w:ascii="Times New Roman" w:hAnsi="Times New Roman" w:cs="Times New Roman"/>
          <w:sz w:val="24"/>
          <w:szCs w:val="24"/>
          <w:lang w:val="en-GB"/>
        </w:rPr>
        <w:t xml:space="preserve"> (g)</w:t>
      </w:r>
      <w:r w:rsidR="00ED4A55" w:rsidRPr="00EE533D">
        <w:rPr>
          <w:rFonts w:ascii="Times New Roman" w:hAnsi="Times New Roman" w:cs="Times New Roman"/>
          <w:sz w:val="24"/>
          <w:szCs w:val="24"/>
          <w:lang w:val="en-GB"/>
        </w:rPr>
        <w:t>, utilities</w:t>
      </w:r>
      <w:r w:rsidR="005B25E9" w:rsidRPr="00EE533D">
        <w:rPr>
          <w:rFonts w:ascii="Times New Roman" w:hAnsi="Times New Roman" w:cs="Times New Roman"/>
          <w:sz w:val="24"/>
          <w:szCs w:val="24"/>
          <w:lang w:val="en-GB"/>
        </w:rPr>
        <w:t xml:space="preserve"> (h)</w:t>
      </w:r>
      <w:r w:rsidR="00ED4A55" w:rsidRPr="00EE533D">
        <w:rPr>
          <w:rFonts w:ascii="Times New Roman" w:hAnsi="Times New Roman" w:cs="Times New Roman"/>
          <w:sz w:val="24"/>
          <w:szCs w:val="24"/>
          <w:lang w:val="en-GB"/>
        </w:rPr>
        <w:t xml:space="preserve"> and health care </w:t>
      </w:r>
      <w:r w:rsidR="005B25E9" w:rsidRPr="00EE533D">
        <w:rPr>
          <w:rFonts w:ascii="Times New Roman" w:hAnsi="Times New Roman" w:cs="Times New Roman"/>
          <w:sz w:val="24"/>
          <w:szCs w:val="24"/>
          <w:lang w:val="en-GB"/>
        </w:rPr>
        <w:t>(i).</w:t>
      </w:r>
      <w:r w:rsidR="002D505C" w:rsidRPr="00EE533D">
        <w:rPr>
          <w:rFonts w:ascii="Times New Roman" w:hAnsi="Times New Roman" w:cs="Times New Roman"/>
          <w:sz w:val="24"/>
          <w:szCs w:val="24"/>
          <w:lang w:val="en-GB"/>
        </w:rPr>
        <w:t xml:space="preserve"> Table 11</w:t>
      </w:r>
      <w:r w:rsidR="008B58DD" w:rsidRPr="00EE533D">
        <w:rPr>
          <w:rFonts w:ascii="Times New Roman" w:hAnsi="Times New Roman" w:cs="Times New Roman"/>
          <w:sz w:val="24"/>
          <w:szCs w:val="24"/>
          <w:lang w:val="en-GB"/>
        </w:rPr>
        <w:t xml:space="preserve"> shows the results based on Heckman’s two-step consistent estimator.</w:t>
      </w:r>
      <w:r w:rsidR="00985A5A" w:rsidRPr="00EE533D">
        <w:rPr>
          <w:rFonts w:ascii="Times New Roman" w:hAnsi="Times New Roman" w:cs="Times New Roman"/>
          <w:sz w:val="24"/>
          <w:szCs w:val="24"/>
          <w:lang w:val="en-GB"/>
        </w:rPr>
        <w:t xml:space="preserve"> </w:t>
      </w:r>
      <w:r w:rsidR="005704FE" w:rsidRPr="00EE533D">
        <w:rPr>
          <w:rFonts w:ascii="Times New Roman" w:hAnsi="Times New Roman" w:cs="Times New Roman"/>
          <w:sz w:val="24"/>
          <w:szCs w:val="24"/>
          <w:lang w:val="en-GB"/>
        </w:rPr>
        <w:t xml:space="preserve">A </w:t>
      </w:r>
      <w:r w:rsidR="005704FE" w:rsidRPr="00EE533D">
        <w:rPr>
          <w:rFonts w:ascii="Times New Roman" w:hAnsi="Times New Roman" w:cs="Times New Roman"/>
          <w:sz w:val="24"/>
          <w:szCs w:val="24"/>
          <w:lang w:val="en-GB"/>
        </w:rPr>
        <w:lastRenderedPageBreak/>
        <w:t xml:space="preserve">selection effect is confirmed in the case of </w:t>
      </w:r>
      <w:r w:rsidR="005704FE" w:rsidRPr="00EE533D">
        <w:rPr>
          <w:rFonts w:ascii="Times New Roman" w:hAnsi="Times New Roman" w:cs="Times New Roman"/>
          <w:i/>
          <w:iCs/>
          <w:sz w:val="24"/>
          <w:szCs w:val="24"/>
          <w:lang w:val="en-GB"/>
        </w:rPr>
        <w:t>Recycled Water</w:t>
      </w:r>
      <w:r w:rsidR="005704FE" w:rsidRPr="00EE533D">
        <w:rPr>
          <w:rFonts w:ascii="Times New Roman" w:hAnsi="Times New Roman" w:cs="Times New Roman"/>
          <w:sz w:val="24"/>
          <w:szCs w:val="24"/>
          <w:lang w:val="en-GB"/>
        </w:rPr>
        <w:t xml:space="preserve"> and </w:t>
      </w:r>
      <w:r w:rsidR="005704FE" w:rsidRPr="00EE533D">
        <w:rPr>
          <w:rFonts w:ascii="Times New Roman" w:hAnsi="Times New Roman" w:cs="Times New Roman"/>
          <w:i/>
          <w:iCs/>
          <w:sz w:val="24"/>
          <w:szCs w:val="24"/>
          <w:lang w:val="en-GB"/>
        </w:rPr>
        <w:t>Recycled</w:t>
      </w:r>
      <w:r w:rsidR="00E504F0" w:rsidRPr="00EE533D">
        <w:rPr>
          <w:rFonts w:ascii="Times New Roman" w:hAnsi="Times New Roman" w:cs="Times New Roman"/>
          <w:i/>
          <w:iCs/>
          <w:sz w:val="24"/>
          <w:szCs w:val="24"/>
          <w:lang w:val="en-GB"/>
        </w:rPr>
        <w:t xml:space="preserve"> Paper</w:t>
      </w:r>
      <w:r w:rsidR="005704FE" w:rsidRPr="00EE533D">
        <w:rPr>
          <w:rFonts w:ascii="Times New Roman" w:hAnsi="Times New Roman" w:cs="Times New Roman"/>
          <w:sz w:val="24"/>
          <w:szCs w:val="24"/>
          <w:lang w:val="en-GB"/>
        </w:rPr>
        <w:t xml:space="preserve"> for which the inverse of Mill’s ratio is statistically significant.</w:t>
      </w:r>
      <w:r w:rsidR="00BA091D" w:rsidRPr="00EE533D">
        <w:rPr>
          <w:rFonts w:ascii="Times New Roman" w:hAnsi="Times New Roman" w:cs="Times New Roman"/>
          <w:sz w:val="24"/>
          <w:szCs w:val="24"/>
          <w:lang w:val="en-GB"/>
        </w:rPr>
        <w:t xml:space="preserve"> In column (3), all the sectorial dummy variables </w:t>
      </w:r>
      <w:r w:rsidR="00F53344" w:rsidRPr="00EE533D">
        <w:rPr>
          <w:rFonts w:ascii="Times New Roman" w:hAnsi="Times New Roman" w:cs="Times New Roman"/>
          <w:sz w:val="24"/>
          <w:szCs w:val="24"/>
          <w:lang w:val="en-GB"/>
        </w:rPr>
        <w:t>have</w:t>
      </w:r>
      <w:r w:rsidR="00BA091D" w:rsidRPr="00EE533D">
        <w:rPr>
          <w:rFonts w:ascii="Times New Roman" w:hAnsi="Times New Roman" w:cs="Times New Roman"/>
          <w:sz w:val="24"/>
          <w:szCs w:val="24"/>
          <w:lang w:val="en-GB"/>
        </w:rPr>
        <w:t xml:space="preserve"> a significant</w:t>
      </w:r>
      <w:r w:rsidR="006E192F" w:rsidRPr="00EE533D">
        <w:rPr>
          <w:rFonts w:ascii="Times New Roman" w:hAnsi="Times New Roman" w:cs="Times New Roman"/>
          <w:sz w:val="24"/>
          <w:szCs w:val="24"/>
          <w:lang w:val="en-GB"/>
        </w:rPr>
        <w:t xml:space="preserve"> estimated</w:t>
      </w:r>
      <w:r w:rsidR="00BA091D" w:rsidRPr="00EE533D">
        <w:rPr>
          <w:rFonts w:ascii="Times New Roman" w:hAnsi="Times New Roman" w:cs="Times New Roman"/>
          <w:sz w:val="24"/>
          <w:szCs w:val="24"/>
          <w:lang w:val="en-GB"/>
        </w:rPr>
        <w:t xml:space="preserve"> coefficient.</w:t>
      </w:r>
      <w:r w:rsidR="000144A6" w:rsidRPr="00EE533D">
        <w:rPr>
          <w:rFonts w:ascii="Times New Roman" w:hAnsi="Times New Roman" w:cs="Times New Roman"/>
          <w:sz w:val="24"/>
          <w:szCs w:val="24"/>
          <w:lang w:val="en-GB"/>
        </w:rPr>
        <w:t xml:space="preserve"> </w:t>
      </w:r>
      <w:r w:rsidR="00F53344" w:rsidRPr="00EE533D">
        <w:rPr>
          <w:rFonts w:ascii="Times New Roman" w:hAnsi="Times New Roman" w:cs="Times New Roman"/>
          <w:sz w:val="24"/>
          <w:szCs w:val="24"/>
          <w:lang w:val="en-GB"/>
        </w:rPr>
        <w:t>T</w:t>
      </w:r>
      <w:r w:rsidR="000144A6" w:rsidRPr="00EE533D">
        <w:rPr>
          <w:rFonts w:ascii="Times New Roman" w:hAnsi="Times New Roman" w:cs="Times New Roman"/>
          <w:sz w:val="24"/>
          <w:szCs w:val="24"/>
          <w:lang w:val="en-GB"/>
        </w:rPr>
        <w:t>he</w:t>
      </w:r>
      <w:r w:rsidR="00A44647" w:rsidRPr="00EE533D">
        <w:rPr>
          <w:rFonts w:ascii="Times New Roman" w:hAnsi="Times New Roman" w:cs="Times New Roman"/>
          <w:sz w:val="24"/>
          <w:szCs w:val="24"/>
          <w:lang w:val="en-GB"/>
        </w:rPr>
        <w:t xml:space="preserve"> sectors of consumer staples, communications and industry</w:t>
      </w:r>
      <w:r w:rsidR="00F53344" w:rsidRPr="00EE533D">
        <w:rPr>
          <w:rFonts w:ascii="Times New Roman" w:hAnsi="Times New Roman" w:cs="Times New Roman"/>
          <w:sz w:val="24"/>
          <w:szCs w:val="24"/>
          <w:lang w:val="en-GB"/>
        </w:rPr>
        <w:t xml:space="preserve"> tend to report more information on </w:t>
      </w:r>
      <w:r w:rsidR="00572625" w:rsidRPr="00EE533D">
        <w:rPr>
          <w:rFonts w:ascii="Times New Roman" w:hAnsi="Times New Roman" w:cs="Times New Roman"/>
          <w:sz w:val="24"/>
          <w:szCs w:val="24"/>
          <w:lang w:val="en-GB"/>
        </w:rPr>
        <w:t xml:space="preserve">recycled water </w:t>
      </w:r>
      <w:r w:rsidR="00C6326E" w:rsidRPr="00EE533D">
        <w:rPr>
          <w:rFonts w:ascii="Times New Roman" w:hAnsi="Times New Roman" w:cs="Times New Roman"/>
          <w:sz w:val="24"/>
          <w:szCs w:val="24"/>
          <w:lang w:val="en-GB"/>
        </w:rPr>
        <w:t xml:space="preserve">than </w:t>
      </w:r>
      <w:r w:rsidR="00572625" w:rsidRPr="00EE533D">
        <w:rPr>
          <w:rFonts w:ascii="Times New Roman" w:hAnsi="Times New Roman" w:cs="Times New Roman"/>
          <w:sz w:val="24"/>
          <w:szCs w:val="24"/>
          <w:lang w:val="en-GB"/>
        </w:rPr>
        <w:t xml:space="preserve">the other sectors. Additionally, </w:t>
      </w:r>
      <w:r w:rsidR="00DD716D" w:rsidRPr="00EE533D">
        <w:rPr>
          <w:rFonts w:ascii="Times New Roman" w:hAnsi="Times New Roman" w:cs="Times New Roman"/>
          <w:sz w:val="24"/>
          <w:szCs w:val="24"/>
          <w:lang w:val="en-GB"/>
        </w:rPr>
        <w:t xml:space="preserve">less observations on the amount of recycled paper are </w:t>
      </w:r>
      <w:r w:rsidR="00F16C1E" w:rsidRPr="00EE533D">
        <w:rPr>
          <w:rFonts w:ascii="Times New Roman" w:hAnsi="Times New Roman" w:cs="Times New Roman"/>
          <w:sz w:val="24"/>
          <w:szCs w:val="24"/>
          <w:lang w:val="en-GB"/>
        </w:rPr>
        <w:t xml:space="preserve">associated with the sectors of consumer staples, </w:t>
      </w:r>
      <w:r w:rsidR="00D56C5F" w:rsidRPr="00EE533D">
        <w:rPr>
          <w:rFonts w:ascii="Times New Roman" w:hAnsi="Times New Roman" w:cs="Times New Roman"/>
          <w:sz w:val="24"/>
          <w:szCs w:val="24"/>
          <w:lang w:val="en-GB"/>
        </w:rPr>
        <w:t>industry and energy.</w:t>
      </w:r>
      <w:r w:rsidR="00AB4B9D" w:rsidRPr="00EE533D">
        <w:rPr>
          <w:rFonts w:ascii="Times New Roman" w:hAnsi="Times New Roman" w:cs="Times New Roman"/>
          <w:sz w:val="24"/>
          <w:szCs w:val="24"/>
          <w:lang w:val="en-GB"/>
        </w:rPr>
        <w:t xml:space="preserve"> </w:t>
      </w:r>
    </w:p>
    <w:p w14:paraId="67DE1F12" w14:textId="543C29D2" w:rsidR="009C7561" w:rsidRPr="00EE533D" w:rsidRDefault="00AB4B9D" w:rsidP="00A52FAD">
      <w:pPr>
        <w:spacing w:after="0" w:line="360" w:lineRule="auto"/>
        <w:ind w:firstLine="708"/>
        <w:jc w:val="both"/>
        <w:rPr>
          <w:rFonts w:ascii="Times New Roman" w:hAnsi="Times New Roman" w:cs="Times New Roman"/>
          <w:sz w:val="24"/>
          <w:szCs w:val="24"/>
          <w:lang w:val="en-GB"/>
        </w:rPr>
      </w:pPr>
      <w:r w:rsidRPr="00EE533D">
        <w:rPr>
          <w:rFonts w:ascii="Times New Roman" w:hAnsi="Times New Roman" w:cs="Times New Roman"/>
          <w:sz w:val="24"/>
          <w:szCs w:val="24"/>
          <w:lang w:val="en-GB"/>
        </w:rPr>
        <w:lastRenderedPageBreak/>
        <w:t>The outcome equation</w:t>
      </w:r>
      <w:r w:rsidR="00B87CC8" w:rsidRPr="00EE533D">
        <w:rPr>
          <w:rFonts w:ascii="Times New Roman" w:hAnsi="Times New Roman" w:cs="Times New Roman"/>
          <w:sz w:val="24"/>
          <w:szCs w:val="24"/>
          <w:lang w:val="en-GB"/>
        </w:rPr>
        <w:t xml:space="preserve"> of </w:t>
      </w:r>
      <w:r w:rsidR="00076CD3" w:rsidRPr="00EE533D">
        <w:rPr>
          <w:rFonts w:ascii="Times New Roman" w:hAnsi="Times New Roman" w:cs="Times New Roman"/>
          <w:sz w:val="24"/>
          <w:szCs w:val="24"/>
          <w:lang w:val="en-GB"/>
        </w:rPr>
        <w:t xml:space="preserve">column (2) </w:t>
      </w:r>
      <w:r w:rsidR="00242EBF" w:rsidRPr="00EE533D">
        <w:rPr>
          <w:rFonts w:ascii="Times New Roman" w:hAnsi="Times New Roman" w:cs="Times New Roman"/>
          <w:sz w:val="24"/>
          <w:szCs w:val="24"/>
          <w:lang w:val="en-GB"/>
        </w:rPr>
        <w:t xml:space="preserve">reconfirms the </w:t>
      </w:r>
      <w:r w:rsidR="0036528F" w:rsidRPr="00EE533D">
        <w:rPr>
          <w:rFonts w:ascii="Times New Roman" w:hAnsi="Times New Roman" w:cs="Times New Roman"/>
          <w:sz w:val="24"/>
          <w:szCs w:val="24"/>
          <w:lang w:val="en-GB"/>
        </w:rPr>
        <w:t xml:space="preserve">system GMM </w:t>
      </w:r>
      <w:r w:rsidR="00242EBF" w:rsidRPr="00EE533D">
        <w:rPr>
          <w:rFonts w:ascii="Times New Roman" w:hAnsi="Times New Roman" w:cs="Times New Roman"/>
          <w:sz w:val="24"/>
          <w:szCs w:val="24"/>
          <w:lang w:val="en-GB"/>
        </w:rPr>
        <w:t>findings</w:t>
      </w:r>
      <w:r w:rsidR="004D3BC2" w:rsidRPr="00EE533D">
        <w:rPr>
          <w:rFonts w:ascii="Times New Roman" w:hAnsi="Times New Roman" w:cs="Times New Roman"/>
          <w:sz w:val="24"/>
          <w:szCs w:val="24"/>
          <w:lang w:val="en-GB"/>
        </w:rPr>
        <w:t xml:space="preserve"> presented in Table </w:t>
      </w:r>
      <w:r w:rsidR="00076CD3" w:rsidRPr="00EE533D">
        <w:rPr>
          <w:rFonts w:ascii="Times New Roman" w:hAnsi="Times New Roman" w:cs="Times New Roman"/>
          <w:sz w:val="24"/>
          <w:szCs w:val="24"/>
          <w:lang w:val="en-GB"/>
        </w:rPr>
        <w:t>9</w:t>
      </w:r>
      <w:r w:rsidR="00DA6B22" w:rsidRPr="00EE533D">
        <w:rPr>
          <w:rFonts w:ascii="Times New Roman" w:hAnsi="Times New Roman" w:cs="Times New Roman"/>
          <w:sz w:val="24"/>
          <w:szCs w:val="24"/>
          <w:lang w:val="en-GB"/>
        </w:rPr>
        <w:t xml:space="preserve"> dealing with </w:t>
      </w:r>
      <w:r w:rsidR="00863809" w:rsidRPr="00EE533D">
        <w:rPr>
          <w:rFonts w:ascii="Times New Roman" w:hAnsi="Times New Roman" w:cs="Times New Roman"/>
          <w:sz w:val="24"/>
          <w:szCs w:val="24"/>
          <w:lang w:val="en-GB"/>
        </w:rPr>
        <w:t>the</w:t>
      </w:r>
      <w:r w:rsidR="00DA6B22" w:rsidRPr="00EE533D">
        <w:rPr>
          <w:rFonts w:ascii="Times New Roman" w:hAnsi="Times New Roman" w:cs="Times New Roman"/>
          <w:sz w:val="24"/>
          <w:szCs w:val="24"/>
          <w:lang w:val="en-GB"/>
        </w:rPr>
        <w:t xml:space="preserve"> positive </w:t>
      </w:r>
      <w:r w:rsidR="007C6D56" w:rsidRPr="00EE533D">
        <w:rPr>
          <w:rFonts w:ascii="Times New Roman" w:hAnsi="Times New Roman" w:cs="Times New Roman"/>
          <w:sz w:val="24"/>
          <w:szCs w:val="24"/>
          <w:lang w:val="en-GB"/>
        </w:rPr>
        <w:t>effect</w:t>
      </w:r>
      <w:r w:rsidR="00DA6B22" w:rsidRPr="00EE533D">
        <w:rPr>
          <w:rFonts w:ascii="Times New Roman" w:hAnsi="Times New Roman" w:cs="Times New Roman"/>
          <w:sz w:val="24"/>
          <w:szCs w:val="24"/>
          <w:lang w:val="en-GB"/>
        </w:rPr>
        <w:t xml:space="preserve"> </w:t>
      </w:r>
      <w:r w:rsidR="007C6D56" w:rsidRPr="00EE533D">
        <w:rPr>
          <w:rFonts w:ascii="Times New Roman" w:hAnsi="Times New Roman" w:cs="Times New Roman"/>
          <w:sz w:val="24"/>
          <w:szCs w:val="24"/>
          <w:lang w:val="en-GB"/>
        </w:rPr>
        <w:t>of</w:t>
      </w:r>
      <w:r w:rsidR="0036528F" w:rsidRPr="00EE533D">
        <w:rPr>
          <w:rFonts w:ascii="Times New Roman" w:hAnsi="Times New Roman" w:cs="Times New Roman"/>
          <w:sz w:val="24"/>
          <w:szCs w:val="24"/>
          <w:lang w:val="en-GB"/>
        </w:rPr>
        <w:t xml:space="preserve"> </w:t>
      </w:r>
      <w:r w:rsidR="0006666B" w:rsidRPr="00EE533D">
        <w:rPr>
          <w:rFonts w:ascii="Times New Roman" w:hAnsi="Times New Roman" w:cs="Times New Roman"/>
          <w:i/>
          <w:iCs/>
          <w:sz w:val="24"/>
          <w:szCs w:val="24"/>
          <w:lang w:val="en-GB"/>
        </w:rPr>
        <w:t>Government Effectiveness</w:t>
      </w:r>
      <w:r w:rsidR="0006666B" w:rsidRPr="00EE533D">
        <w:rPr>
          <w:rFonts w:ascii="Times New Roman" w:hAnsi="Times New Roman" w:cs="Times New Roman"/>
          <w:sz w:val="24"/>
          <w:szCs w:val="24"/>
          <w:lang w:val="en-GB"/>
        </w:rPr>
        <w:t xml:space="preserve"> and </w:t>
      </w:r>
      <w:r w:rsidR="0006666B" w:rsidRPr="00EE533D">
        <w:rPr>
          <w:rFonts w:ascii="Times New Roman" w:hAnsi="Times New Roman" w:cs="Times New Roman"/>
          <w:i/>
          <w:iCs/>
          <w:sz w:val="24"/>
          <w:szCs w:val="24"/>
          <w:lang w:val="en-GB"/>
        </w:rPr>
        <w:t>Political Stability</w:t>
      </w:r>
      <w:r w:rsidR="007C6D56" w:rsidRPr="00EE533D">
        <w:rPr>
          <w:rFonts w:ascii="Times New Roman" w:hAnsi="Times New Roman" w:cs="Times New Roman"/>
          <w:sz w:val="24"/>
          <w:szCs w:val="24"/>
          <w:lang w:val="en-GB"/>
        </w:rPr>
        <w:t xml:space="preserve"> on </w:t>
      </w:r>
      <w:r w:rsidR="007C6D56" w:rsidRPr="00EE533D">
        <w:rPr>
          <w:rFonts w:ascii="Times New Roman" w:hAnsi="Times New Roman" w:cs="Times New Roman"/>
          <w:i/>
          <w:iCs/>
          <w:sz w:val="24"/>
          <w:szCs w:val="24"/>
          <w:lang w:val="en-GB"/>
        </w:rPr>
        <w:t>Recycled Waste</w:t>
      </w:r>
      <w:r w:rsidR="007C6D56" w:rsidRPr="00EE533D">
        <w:rPr>
          <w:rFonts w:ascii="Times New Roman" w:hAnsi="Times New Roman" w:cs="Times New Roman"/>
          <w:sz w:val="24"/>
          <w:szCs w:val="24"/>
          <w:lang w:val="en-GB"/>
        </w:rPr>
        <w:t>.</w:t>
      </w:r>
      <w:r w:rsidR="00C6326E" w:rsidRPr="00EE533D">
        <w:rPr>
          <w:rFonts w:ascii="Times New Roman" w:hAnsi="Times New Roman" w:cs="Times New Roman"/>
          <w:sz w:val="24"/>
          <w:szCs w:val="24"/>
          <w:lang w:val="en-GB"/>
        </w:rPr>
        <w:t xml:space="preserve"> Compared to </w:t>
      </w:r>
      <w:r w:rsidR="00C933CB" w:rsidRPr="00EE533D">
        <w:rPr>
          <w:rFonts w:ascii="Times New Roman" w:hAnsi="Times New Roman" w:cs="Times New Roman"/>
          <w:sz w:val="24"/>
          <w:szCs w:val="24"/>
          <w:lang w:val="en-GB"/>
        </w:rPr>
        <w:t xml:space="preserve">the static panel approach of Table 5, the Heckman selection model </w:t>
      </w:r>
      <w:r w:rsidR="005556DB" w:rsidRPr="00EE533D">
        <w:rPr>
          <w:rFonts w:ascii="Times New Roman" w:hAnsi="Times New Roman" w:cs="Times New Roman"/>
          <w:sz w:val="24"/>
          <w:szCs w:val="24"/>
          <w:lang w:val="en-GB"/>
        </w:rPr>
        <w:t>points out that more</w:t>
      </w:r>
      <w:r w:rsidR="00064DFF" w:rsidRPr="00EE533D">
        <w:rPr>
          <w:rFonts w:ascii="Times New Roman" w:hAnsi="Times New Roman" w:cs="Times New Roman"/>
          <w:sz w:val="24"/>
          <w:szCs w:val="24"/>
          <w:lang w:val="en-GB"/>
        </w:rPr>
        <w:t xml:space="preserve"> water is</w:t>
      </w:r>
      <w:r w:rsidR="005556DB" w:rsidRPr="00EE533D">
        <w:rPr>
          <w:rFonts w:ascii="Times New Roman" w:hAnsi="Times New Roman" w:cs="Times New Roman"/>
          <w:sz w:val="24"/>
          <w:szCs w:val="24"/>
          <w:lang w:val="en-GB"/>
        </w:rPr>
        <w:t xml:space="preserve"> recycled in countries that better control local corruption</w:t>
      </w:r>
      <w:r w:rsidR="007819D9" w:rsidRPr="00EE533D">
        <w:rPr>
          <w:rFonts w:ascii="Times New Roman" w:hAnsi="Times New Roman" w:cs="Times New Roman"/>
          <w:sz w:val="24"/>
          <w:szCs w:val="24"/>
          <w:lang w:val="en-GB"/>
        </w:rPr>
        <w:t xml:space="preserve"> (</w:t>
      </w:r>
      <w:r w:rsidR="007819D9" w:rsidRPr="00EE533D">
        <w:rPr>
          <w:rFonts w:ascii="Times New Roman" w:hAnsi="Times New Roman" w:cs="Times New Roman"/>
          <w:i/>
          <w:iCs/>
          <w:sz w:val="24"/>
          <w:szCs w:val="24"/>
          <w:lang w:val="en-GB"/>
        </w:rPr>
        <w:t>Control of Corruption</w:t>
      </w:r>
      <w:r w:rsidR="007819D9" w:rsidRPr="00EE533D">
        <w:rPr>
          <w:rFonts w:ascii="Times New Roman" w:hAnsi="Times New Roman" w:cs="Times New Roman"/>
          <w:sz w:val="24"/>
          <w:szCs w:val="24"/>
          <w:lang w:val="en-GB"/>
        </w:rPr>
        <w:t>)</w:t>
      </w:r>
      <w:r w:rsidR="005556DB" w:rsidRPr="00EE533D">
        <w:rPr>
          <w:rFonts w:ascii="Times New Roman" w:hAnsi="Times New Roman" w:cs="Times New Roman"/>
          <w:sz w:val="24"/>
          <w:szCs w:val="24"/>
          <w:lang w:val="en-GB"/>
        </w:rPr>
        <w:t xml:space="preserve">. </w:t>
      </w:r>
      <w:r w:rsidR="0004239A" w:rsidRPr="00EE533D">
        <w:rPr>
          <w:rFonts w:ascii="Times New Roman" w:hAnsi="Times New Roman" w:cs="Times New Roman"/>
          <w:sz w:val="24"/>
          <w:szCs w:val="24"/>
          <w:lang w:val="en-GB"/>
        </w:rPr>
        <w:t>W</w:t>
      </w:r>
      <w:r w:rsidR="005556DB" w:rsidRPr="00EE533D">
        <w:rPr>
          <w:rFonts w:ascii="Times New Roman" w:hAnsi="Times New Roman" w:cs="Times New Roman"/>
          <w:sz w:val="24"/>
          <w:szCs w:val="24"/>
          <w:lang w:val="en-GB"/>
        </w:rPr>
        <w:t>hen authorities monitor illegal activities</w:t>
      </w:r>
      <w:r w:rsidR="0004239A" w:rsidRPr="00EE533D">
        <w:rPr>
          <w:rFonts w:ascii="Times New Roman" w:hAnsi="Times New Roman" w:cs="Times New Roman"/>
          <w:sz w:val="24"/>
          <w:szCs w:val="24"/>
          <w:lang w:val="en-GB"/>
        </w:rPr>
        <w:t xml:space="preserve"> more efficiently</w:t>
      </w:r>
      <w:r w:rsidR="005556DB" w:rsidRPr="00EE533D">
        <w:rPr>
          <w:rFonts w:ascii="Times New Roman" w:hAnsi="Times New Roman" w:cs="Times New Roman"/>
          <w:sz w:val="24"/>
          <w:szCs w:val="24"/>
          <w:lang w:val="en-GB"/>
        </w:rPr>
        <w:t xml:space="preserve">, firms </w:t>
      </w:r>
      <w:r w:rsidR="00290CC4" w:rsidRPr="00EE533D">
        <w:rPr>
          <w:rFonts w:ascii="Times New Roman" w:hAnsi="Times New Roman" w:cs="Times New Roman"/>
          <w:sz w:val="24"/>
          <w:szCs w:val="24"/>
          <w:lang w:val="en-GB"/>
        </w:rPr>
        <w:t xml:space="preserve">can </w:t>
      </w:r>
      <w:r w:rsidR="005556DB" w:rsidRPr="00EE533D">
        <w:rPr>
          <w:rFonts w:ascii="Times New Roman" w:hAnsi="Times New Roman" w:cs="Times New Roman"/>
          <w:sz w:val="24"/>
          <w:szCs w:val="24"/>
          <w:lang w:val="en-GB"/>
        </w:rPr>
        <w:t>have stronger incentives to recycle more of the</w:t>
      </w:r>
      <w:r w:rsidR="00290CC4" w:rsidRPr="00EE533D">
        <w:rPr>
          <w:rFonts w:ascii="Times New Roman" w:hAnsi="Times New Roman" w:cs="Times New Roman"/>
          <w:sz w:val="24"/>
          <w:szCs w:val="24"/>
          <w:lang w:val="en-GB"/>
        </w:rPr>
        <w:t xml:space="preserve"> </w:t>
      </w:r>
      <w:r w:rsidR="00290CC4" w:rsidRPr="00EE533D">
        <w:rPr>
          <w:rFonts w:ascii="Times New Roman" w:hAnsi="Times New Roman" w:cs="Times New Roman"/>
          <w:sz w:val="24"/>
          <w:szCs w:val="24"/>
          <w:lang w:val="en-GB"/>
        </w:rPr>
        <w:lastRenderedPageBreak/>
        <w:t>used</w:t>
      </w:r>
      <w:r w:rsidR="00C906FA" w:rsidRPr="00EE533D">
        <w:rPr>
          <w:rFonts w:ascii="Times New Roman" w:hAnsi="Times New Roman" w:cs="Times New Roman"/>
          <w:sz w:val="24"/>
          <w:szCs w:val="24"/>
          <w:lang w:val="en-GB"/>
        </w:rPr>
        <w:t xml:space="preserve"> water</w:t>
      </w:r>
      <w:r w:rsidR="005556DB" w:rsidRPr="00EE533D">
        <w:rPr>
          <w:rFonts w:ascii="Times New Roman" w:hAnsi="Times New Roman" w:cs="Times New Roman"/>
          <w:sz w:val="24"/>
          <w:szCs w:val="24"/>
          <w:lang w:val="en-GB"/>
        </w:rPr>
        <w:t>.</w:t>
      </w:r>
      <w:r w:rsidR="003E6381" w:rsidRPr="00EE533D">
        <w:rPr>
          <w:rFonts w:ascii="Times New Roman" w:hAnsi="Times New Roman" w:cs="Times New Roman"/>
          <w:sz w:val="24"/>
          <w:szCs w:val="24"/>
          <w:lang w:val="en-GB"/>
        </w:rPr>
        <w:t xml:space="preserve"> In </w:t>
      </w:r>
      <w:r w:rsidR="00863809" w:rsidRPr="00EE533D">
        <w:rPr>
          <w:rFonts w:ascii="Times New Roman" w:hAnsi="Times New Roman" w:cs="Times New Roman"/>
          <w:sz w:val="24"/>
          <w:szCs w:val="24"/>
          <w:lang w:val="en-GB"/>
        </w:rPr>
        <w:t>T</w:t>
      </w:r>
      <w:r w:rsidR="003E6381" w:rsidRPr="00EE533D">
        <w:rPr>
          <w:rFonts w:ascii="Times New Roman" w:hAnsi="Times New Roman" w:cs="Times New Roman"/>
          <w:sz w:val="24"/>
          <w:szCs w:val="24"/>
          <w:lang w:val="en-GB"/>
        </w:rPr>
        <w:t xml:space="preserve">able </w:t>
      </w:r>
      <w:r w:rsidR="00E807D2" w:rsidRPr="00EE533D">
        <w:rPr>
          <w:rFonts w:ascii="Times New Roman" w:hAnsi="Times New Roman" w:cs="Times New Roman"/>
          <w:sz w:val="24"/>
          <w:szCs w:val="24"/>
          <w:lang w:val="en-GB"/>
        </w:rPr>
        <w:t>1</w:t>
      </w:r>
      <w:r w:rsidR="003E6381" w:rsidRPr="00EE533D">
        <w:rPr>
          <w:rFonts w:ascii="Times New Roman" w:hAnsi="Times New Roman" w:cs="Times New Roman"/>
          <w:sz w:val="24"/>
          <w:szCs w:val="24"/>
          <w:lang w:val="en-GB"/>
        </w:rPr>
        <w:t xml:space="preserve">2, </w:t>
      </w:r>
      <w:r w:rsidR="00E807D2" w:rsidRPr="00EE533D">
        <w:rPr>
          <w:rFonts w:ascii="Times New Roman" w:hAnsi="Times New Roman" w:cs="Times New Roman"/>
          <w:sz w:val="24"/>
          <w:szCs w:val="24"/>
          <w:lang w:val="en-GB"/>
        </w:rPr>
        <w:t>the Heckman two-step selection approach</w:t>
      </w:r>
      <w:r w:rsidR="00E01CED" w:rsidRPr="00EE533D">
        <w:rPr>
          <w:rFonts w:ascii="Times New Roman" w:hAnsi="Times New Roman" w:cs="Times New Roman"/>
          <w:sz w:val="24"/>
          <w:szCs w:val="24"/>
          <w:lang w:val="en-GB"/>
        </w:rPr>
        <w:t xml:space="preserve"> was applied for the alternative set of institutional variables.</w:t>
      </w:r>
      <w:r w:rsidR="005638C6" w:rsidRPr="00EE533D">
        <w:rPr>
          <w:rFonts w:ascii="Times New Roman" w:hAnsi="Times New Roman" w:cs="Times New Roman"/>
          <w:sz w:val="24"/>
          <w:szCs w:val="24"/>
          <w:lang w:val="en-GB"/>
        </w:rPr>
        <w:t xml:space="preserve"> As in </w:t>
      </w:r>
      <w:r w:rsidR="00863809" w:rsidRPr="00EE533D">
        <w:rPr>
          <w:rFonts w:ascii="Times New Roman" w:hAnsi="Times New Roman" w:cs="Times New Roman"/>
          <w:sz w:val="24"/>
          <w:szCs w:val="24"/>
          <w:lang w:val="en-GB"/>
        </w:rPr>
        <w:t>T</w:t>
      </w:r>
      <w:r w:rsidR="005638C6" w:rsidRPr="00EE533D">
        <w:rPr>
          <w:rFonts w:ascii="Times New Roman" w:hAnsi="Times New Roman" w:cs="Times New Roman"/>
          <w:sz w:val="24"/>
          <w:szCs w:val="24"/>
          <w:lang w:val="en-GB"/>
        </w:rPr>
        <w:t>able 10, the effectiveness of the judiciary (</w:t>
      </w:r>
      <w:r w:rsidR="005638C6" w:rsidRPr="00EE533D">
        <w:rPr>
          <w:rFonts w:ascii="Times New Roman" w:hAnsi="Times New Roman" w:cs="Times New Roman"/>
          <w:i/>
          <w:iCs/>
          <w:sz w:val="24"/>
          <w:szCs w:val="24"/>
          <w:lang w:val="en-GB"/>
        </w:rPr>
        <w:t>Rule of Law (Legatum)</w:t>
      </w:r>
      <w:r w:rsidR="00810C30" w:rsidRPr="00EE533D">
        <w:rPr>
          <w:rFonts w:ascii="Times New Roman" w:hAnsi="Times New Roman" w:cs="Times New Roman"/>
          <w:sz w:val="24"/>
          <w:szCs w:val="24"/>
          <w:lang w:val="en-GB"/>
        </w:rPr>
        <w:t>) and the degree of political accountability (</w:t>
      </w:r>
      <w:r w:rsidR="00810C30" w:rsidRPr="00EE533D">
        <w:rPr>
          <w:rFonts w:ascii="Times New Roman" w:hAnsi="Times New Roman" w:cs="Times New Roman"/>
          <w:i/>
          <w:iCs/>
          <w:sz w:val="24"/>
          <w:szCs w:val="24"/>
          <w:lang w:val="en-GB"/>
        </w:rPr>
        <w:t xml:space="preserve">Political </w:t>
      </w:r>
      <w:r w:rsidR="00F977FE" w:rsidRPr="00EE533D">
        <w:rPr>
          <w:rFonts w:ascii="Times New Roman" w:hAnsi="Times New Roman" w:cs="Times New Roman"/>
          <w:i/>
          <w:iCs/>
          <w:sz w:val="24"/>
          <w:szCs w:val="24"/>
          <w:lang w:val="en-GB"/>
        </w:rPr>
        <w:t>A</w:t>
      </w:r>
      <w:r w:rsidR="00810C30" w:rsidRPr="00EE533D">
        <w:rPr>
          <w:rFonts w:ascii="Times New Roman" w:hAnsi="Times New Roman" w:cs="Times New Roman"/>
          <w:i/>
          <w:iCs/>
          <w:sz w:val="24"/>
          <w:szCs w:val="24"/>
          <w:lang w:val="en-GB"/>
        </w:rPr>
        <w:t>ccountability</w:t>
      </w:r>
      <w:r w:rsidR="00810C30" w:rsidRPr="00EE533D">
        <w:rPr>
          <w:rFonts w:ascii="Times New Roman" w:hAnsi="Times New Roman" w:cs="Times New Roman"/>
          <w:sz w:val="24"/>
          <w:szCs w:val="24"/>
          <w:lang w:val="en-GB"/>
        </w:rPr>
        <w:t>)</w:t>
      </w:r>
      <w:r w:rsidR="00D460CC" w:rsidRPr="00EE533D">
        <w:rPr>
          <w:rFonts w:ascii="Times New Roman" w:hAnsi="Times New Roman" w:cs="Times New Roman"/>
          <w:sz w:val="24"/>
          <w:szCs w:val="24"/>
          <w:lang w:val="en-GB"/>
        </w:rPr>
        <w:t xml:space="preserve"> are two significant institutional dimensions that favo</w:t>
      </w:r>
      <w:r w:rsidR="00863809" w:rsidRPr="00EE533D">
        <w:rPr>
          <w:rFonts w:ascii="Times New Roman" w:hAnsi="Times New Roman" w:cs="Times New Roman"/>
          <w:sz w:val="24"/>
          <w:szCs w:val="24"/>
          <w:lang w:val="en-GB"/>
        </w:rPr>
        <w:t>u</w:t>
      </w:r>
      <w:r w:rsidR="00D460CC" w:rsidRPr="00EE533D">
        <w:rPr>
          <w:rFonts w:ascii="Times New Roman" w:hAnsi="Times New Roman" w:cs="Times New Roman"/>
          <w:sz w:val="24"/>
          <w:szCs w:val="24"/>
          <w:lang w:val="en-GB"/>
        </w:rPr>
        <w:t>r the recycling of waste (column (2)).</w:t>
      </w:r>
      <w:r w:rsidR="00D664ED" w:rsidRPr="00EE533D">
        <w:rPr>
          <w:rFonts w:ascii="Times New Roman" w:hAnsi="Times New Roman" w:cs="Times New Roman"/>
          <w:sz w:val="24"/>
          <w:szCs w:val="24"/>
          <w:lang w:val="en-GB"/>
        </w:rPr>
        <w:t xml:space="preserve"> Interestingly, </w:t>
      </w:r>
      <w:r w:rsidR="00EE1A10" w:rsidRPr="00EE533D">
        <w:rPr>
          <w:rFonts w:ascii="Times New Roman" w:hAnsi="Times New Roman" w:cs="Times New Roman"/>
          <w:sz w:val="24"/>
          <w:szCs w:val="24"/>
          <w:lang w:val="en-GB"/>
        </w:rPr>
        <w:t xml:space="preserve">high levels of recycled water and paper are expected in countries with </w:t>
      </w:r>
      <w:r w:rsidR="00297097" w:rsidRPr="00EE533D">
        <w:rPr>
          <w:rFonts w:ascii="Times New Roman" w:hAnsi="Times New Roman" w:cs="Times New Roman"/>
          <w:sz w:val="24"/>
          <w:szCs w:val="24"/>
          <w:lang w:val="en-GB"/>
        </w:rPr>
        <w:t xml:space="preserve">honest and effective </w:t>
      </w:r>
      <w:r w:rsidR="00B47325" w:rsidRPr="00EE533D">
        <w:rPr>
          <w:rFonts w:ascii="Times New Roman" w:hAnsi="Times New Roman" w:cs="Times New Roman"/>
          <w:sz w:val="24"/>
          <w:szCs w:val="24"/>
          <w:lang w:val="en-GB"/>
        </w:rPr>
        <w:lastRenderedPageBreak/>
        <w:t>governments</w:t>
      </w:r>
      <w:r w:rsidR="00211AF0" w:rsidRPr="00EE533D">
        <w:rPr>
          <w:rFonts w:ascii="Times New Roman" w:hAnsi="Times New Roman" w:cs="Times New Roman"/>
          <w:sz w:val="24"/>
          <w:szCs w:val="24"/>
          <w:lang w:val="en-GB"/>
        </w:rPr>
        <w:t xml:space="preserve"> (</w:t>
      </w:r>
      <w:r w:rsidR="003C3E5C" w:rsidRPr="00EE533D">
        <w:rPr>
          <w:rFonts w:ascii="Times New Roman" w:hAnsi="Times New Roman" w:cs="Times New Roman"/>
          <w:i/>
          <w:iCs/>
          <w:sz w:val="24"/>
          <w:szCs w:val="24"/>
          <w:lang w:val="en-GB"/>
        </w:rPr>
        <w:t>Government Integrity</w:t>
      </w:r>
      <w:r w:rsidR="003C3E5C" w:rsidRPr="00EE533D">
        <w:rPr>
          <w:rFonts w:ascii="Times New Roman" w:hAnsi="Times New Roman" w:cs="Times New Roman"/>
          <w:sz w:val="24"/>
          <w:szCs w:val="24"/>
          <w:lang w:val="en-GB"/>
        </w:rPr>
        <w:t xml:space="preserve">; </w:t>
      </w:r>
      <w:r w:rsidR="00211AF0" w:rsidRPr="00EE533D">
        <w:rPr>
          <w:rFonts w:ascii="Times New Roman" w:hAnsi="Times New Roman" w:cs="Times New Roman"/>
          <w:i/>
          <w:iCs/>
          <w:sz w:val="24"/>
          <w:szCs w:val="24"/>
          <w:lang w:val="en-GB"/>
        </w:rPr>
        <w:t>Government Effective</w:t>
      </w:r>
      <w:r w:rsidR="003C3E5C" w:rsidRPr="00EE533D">
        <w:rPr>
          <w:rFonts w:ascii="Times New Roman" w:hAnsi="Times New Roman" w:cs="Times New Roman"/>
          <w:i/>
          <w:iCs/>
          <w:sz w:val="24"/>
          <w:szCs w:val="24"/>
          <w:lang w:val="en-GB"/>
        </w:rPr>
        <w:t>ness</w:t>
      </w:r>
      <w:r w:rsidR="00211AF0" w:rsidRPr="00EE533D">
        <w:rPr>
          <w:rFonts w:ascii="Times New Roman" w:hAnsi="Times New Roman" w:cs="Times New Roman"/>
          <w:i/>
          <w:iCs/>
          <w:sz w:val="24"/>
          <w:szCs w:val="24"/>
          <w:lang w:val="en-GB"/>
        </w:rPr>
        <w:t xml:space="preserve"> (Legatum)</w:t>
      </w:r>
      <w:r w:rsidR="00211AF0" w:rsidRPr="00EE533D">
        <w:rPr>
          <w:rFonts w:ascii="Times New Roman" w:hAnsi="Times New Roman" w:cs="Times New Roman"/>
          <w:sz w:val="24"/>
          <w:szCs w:val="24"/>
          <w:lang w:val="en-GB"/>
        </w:rPr>
        <w:t>)</w:t>
      </w:r>
      <w:r w:rsidR="00B47325" w:rsidRPr="00EE533D">
        <w:rPr>
          <w:rFonts w:ascii="Times New Roman" w:hAnsi="Times New Roman" w:cs="Times New Roman"/>
          <w:sz w:val="24"/>
          <w:szCs w:val="24"/>
          <w:lang w:val="en-GB"/>
        </w:rPr>
        <w:t xml:space="preserve"> that facilitate the private sector development (</w:t>
      </w:r>
      <w:r w:rsidR="00211AF0" w:rsidRPr="00EE533D">
        <w:rPr>
          <w:rFonts w:ascii="Times New Roman" w:hAnsi="Times New Roman" w:cs="Times New Roman"/>
          <w:i/>
          <w:iCs/>
          <w:sz w:val="24"/>
          <w:szCs w:val="24"/>
          <w:lang w:val="en-GB"/>
        </w:rPr>
        <w:t>Regulatory Quality (Legatum)</w:t>
      </w:r>
      <w:r w:rsidR="00211AF0" w:rsidRPr="00EE533D">
        <w:rPr>
          <w:rFonts w:ascii="Times New Roman" w:hAnsi="Times New Roman" w:cs="Times New Roman"/>
          <w:sz w:val="24"/>
          <w:szCs w:val="24"/>
          <w:lang w:val="en-GB"/>
        </w:rPr>
        <w:t>)</w:t>
      </w:r>
      <w:r w:rsidR="00B47325" w:rsidRPr="00EE533D">
        <w:rPr>
          <w:rFonts w:ascii="Times New Roman" w:hAnsi="Times New Roman" w:cs="Times New Roman"/>
          <w:sz w:val="24"/>
          <w:szCs w:val="24"/>
          <w:lang w:val="en-GB"/>
        </w:rPr>
        <w:t>.</w:t>
      </w:r>
      <w:r w:rsidR="00E807D2" w:rsidRPr="00EE533D">
        <w:rPr>
          <w:rFonts w:ascii="Times New Roman" w:hAnsi="Times New Roman" w:cs="Times New Roman"/>
          <w:sz w:val="24"/>
          <w:szCs w:val="24"/>
          <w:lang w:val="en-GB"/>
        </w:rPr>
        <w:t xml:space="preserve"> </w:t>
      </w:r>
    </w:p>
    <w:p w14:paraId="0CC2C2F6" w14:textId="683C55D7" w:rsidR="00F31F4D" w:rsidRPr="00EE533D" w:rsidRDefault="00F31F4D" w:rsidP="00F31F4D">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{Table 11}</w:t>
      </w:r>
    </w:p>
    <w:p w14:paraId="62E6BB52" w14:textId="12C2204B" w:rsidR="00F31F4D" w:rsidRPr="00EE533D" w:rsidRDefault="00F31F4D" w:rsidP="00F31F4D">
      <w:pPr>
        <w:jc w:val="center"/>
        <w:rPr>
          <w:rFonts w:ascii="Times New Roman" w:hAnsi="Times New Roman" w:cs="Times New Roman"/>
          <w:iCs/>
          <w:sz w:val="24"/>
          <w:szCs w:val="24"/>
          <w:lang w:val="en-GB"/>
        </w:rPr>
      </w:pPr>
      <w:r w:rsidRPr="00EE533D">
        <w:rPr>
          <w:rFonts w:ascii="Times New Roman" w:hAnsi="Times New Roman" w:cs="Times New Roman"/>
          <w:iCs/>
          <w:sz w:val="24"/>
          <w:szCs w:val="24"/>
          <w:lang w:val="en-GB"/>
        </w:rPr>
        <w:t>{Table 12}</w:t>
      </w:r>
    </w:p>
    <w:p w14:paraId="4BD030A2" w14:textId="77777777" w:rsidR="007F17C7" w:rsidRPr="00EE533D" w:rsidRDefault="007F17C7" w:rsidP="0097003E">
      <w:pPr>
        <w:rPr>
          <w:rFonts w:ascii="Times New Roman" w:hAnsi="Times New Roman" w:cs="Times New Roman"/>
          <w:iCs/>
          <w:sz w:val="24"/>
          <w:szCs w:val="24"/>
          <w:lang w:val="en-GB"/>
        </w:rPr>
      </w:pPr>
    </w:p>
    <w:p w14:paraId="5BA413FF" w14:textId="57FA63EE" w:rsidR="007467F2" w:rsidRPr="00EE533D" w:rsidRDefault="00721168" w:rsidP="007467F2">
      <w:pPr>
        <w:rPr>
          <w:rFonts w:ascii="Times New Roman" w:hAnsi="Times New Roman" w:cs="Times New Roman"/>
          <w:b/>
          <w:bCs/>
          <w:sz w:val="24"/>
          <w:szCs w:val="24"/>
          <w:lang w:val="en-GB"/>
        </w:rPr>
      </w:pPr>
      <w:r w:rsidRPr="00EE533D">
        <w:rPr>
          <w:rFonts w:ascii="Times New Roman" w:hAnsi="Times New Roman" w:cs="Times New Roman"/>
          <w:b/>
          <w:bCs/>
          <w:sz w:val="24"/>
          <w:szCs w:val="24"/>
          <w:lang w:val="en-GB"/>
        </w:rPr>
        <w:t>5. Conclusion</w:t>
      </w:r>
    </w:p>
    <w:p w14:paraId="65D416D1" w14:textId="5E5A4B4E" w:rsidR="00F4319C" w:rsidRPr="00EE533D" w:rsidRDefault="00A00B42" w:rsidP="007467F2">
      <w:pPr>
        <w:spacing w:after="0" w:line="360" w:lineRule="auto"/>
        <w:jc w:val="both"/>
        <w:rPr>
          <w:rFonts w:asciiTheme="majorBidi" w:hAnsiTheme="majorBidi" w:cstheme="majorBidi"/>
          <w:sz w:val="24"/>
          <w:szCs w:val="24"/>
          <w:lang w:val="en-GB"/>
        </w:rPr>
      </w:pPr>
      <w:r w:rsidRPr="00EE533D">
        <w:rPr>
          <w:rFonts w:asciiTheme="majorBidi" w:hAnsiTheme="majorBidi" w:cstheme="majorBidi"/>
          <w:sz w:val="24"/>
          <w:szCs w:val="24"/>
          <w:lang w:val="en-GB"/>
        </w:rPr>
        <w:t>A</w:t>
      </w:r>
      <w:r w:rsidR="007467F2" w:rsidRPr="00EE533D">
        <w:rPr>
          <w:rFonts w:asciiTheme="majorBidi" w:hAnsiTheme="majorBidi" w:cstheme="majorBidi"/>
          <w:sz w:val="24"/>
          <w:szCs w:val="24"/>
          <w:lang w:val="en-GB"/>
        </w:rPr>
        <w:t xml:space="preserve"> firm’s recycling performance</w:t>
      </w:r>
      <w:r w:rsidRPr="00EE533D">
        <w:rPr>
          <w:rFonts w:asciiTheme="majorBidi" w:hAnsiTheme="majorBidi" w:cstheme="majorBidi"/>
          <w:sz w:val="24"/>
          <w:szCs w:val="24"/>
          <w:lang w:val="en-GB"/>
        </w:rPr>
        <w:t xml:space="preserve"> can be significantly influenced and improved by </w:t>
      </w:r>
      <w:r w:rsidR="00863809" w:rsidRPr="00EE533D">
        <w:rPr>
          <w:rFonts w:asciiTheme="majorBidi" w:hAnsiTheme="majorBidi" w:cstheme="majorBidi"/>
          <w:sz w:val="24"/>
          <w:szCs w:val="24"/>
          <w:lang w:val="en-GB"/>
        </w:rPr>
        <w:t xml:space="preserve">an </w:t>
      </w:r>
      <w:r w:rsidRPr="00EE533D">
        <w:rPr>
          <w:rFonts w:asciiTheme="majorBidi" w:hAnsiTheme="majorBidi" w:cstheme="majorBidi"/>
          <w:sz w:val="24"/>
          <w:szCs w:val="24"/>
          <w:lang w:val="en-GB"/>
        </w:rPr>
        <w:t xml:space="preserve">adequate institutional environment. </w:t>
      </w:r>
      <w:r w:rsidR="00F4319C" w:rsidRPr="00EE533D">
        <w:rPr>
          <w:rFonts w:asciiTheme="majorBidi" w:hAnsiTheme="majorBidi" w:cstheme="majorBidi"/>
          <w:sz w:val="24"/>
          <w:szCs w:val="24"/>
          <w:lang w:val="en-GB"/>
        </w:rPr>
        <w:t xml:space="preserve">In this context, </w:t>
      </w:r>
      <w:r w:rsidR="000E0B9A" w:rsidRPr="00EE533D">
        <w:rPr>
          <w:rFonts w:asciiTheme="majorBidi" w:hAnsiTheme="majorBidi" w:cstheme="majorBidi"/>
          <w:sz w:val="24"/>
          <w:szCs w:val="24"/>
          <w:lang w:val="en-GB"/>
        </w:rPr>
        <w:t>analysing</w:t>
      </w:r>
      <w:r w:rsidR="00F4319C" w:rsidRPr="00EE533D">
        <w:rPr>
          <w:rFonts w:asciiTheme="majorBidi" w:hAnsiTheme="majorBidi" w:cstheme="majorBidi"/>
          <w:sz w:val="24"/>
          <w:szCs w:val="24"/>
          <w:lang w:val="en-GB"/>
        </w:rPr>
        <w:t xml:space="preserve"> </w:t>
      </w:r>
      <w:r w:rsidR="007467F2" w:rsidRPr="00EE533D">
        <w:rPr>
          <w:rFonts w:ascii="Times New Roman" w:hAnsi="Times New Roman" w:cs="Times New Roman"/>
          <w:sz w:val="24"/>
          <w:szCs w:val="24"/>
          <w:lang w:val="en-GB"/>
        </w:rPr>
        <w:t xml:space="preserve">the consequences of institutional quality </w:t>
      </w:r>
      <w:r w:rsidR="007467F2" w:rsidRPr="00EE533D">
        <w:rPr>
          <w:rFonts w:ascii="Times New Roman" w:hAnsi="Times New Roman" w:cs="Times New Roman"/>
          <w:sz w:val="24"/>
          <w:szCs w:val="24"/>
          <w:lang w:val="en-GB"/>
        </w:rPr>
        <w:lastRenderedPageBreak/>
        <w:t>on three recycling dimensions</w:t>
      </w:r>
      <w:r w:rsidR="00F4319C" w:rsidRPr="00EE533D">
        <w:rPr>
          <w:rFonts w:ascii="Times New Roman" w:hAnsi="Times New Roman" w:cs="Times New Roman"/>
          <w:sz w:val="24"/>
          <w:szCs w:val="24"/>
          <w:lang w:val="en-GB"/>
        </w:rPr>
        <w:t xml:space="preserve"> i.e., waste, water and paper, our robust empirical results lead us to conclude that </w:t>
      </w:r>
      <w:r w:rsidR="007467F2" w:rsidRPr="00EE533D">
        <w:rPr>
          <w:rFonts w:asciiTheme="majorBidi" w:hAnsiTheme="majorBidi" w:cstheme="majorBidi"/>
          <w:sz w:val="24"/>
          <w:szCs w:val="24"/>
          <w:lang w:val="en-GB"/>
        </w:rPr>
        <w:t xml:space="preserve">the recycling performance of listed firms tends to be higher in countries with a high level of political accountability that are more politically stable. In such countries, the </w:t>
      </w:r>
      <w:r w:rsidR="00F4319C" w:rsidRPr="00EE533D">
        <w:rPr>
          <w:rFonts w:asciiTheme="majorBidi" w:hAnsiTheme="majorBidi" w:cstheme="majorBidi"/>
          <w:sz w:val="24"/>
          <w:szCs w:val="24"/>
          <w:lang w:val="en-GB"/>
        </w:rPr>
        <w:t xml:space="preserve">electorate </w:t>
      </w:r>
      <w:r w:rsidR="007467F2" w:rsidRPr="00EE533D">
        <w:rPr>
          <w:rFonts w:asciiTheme="majorBidi" w:hAnsiTheme="majorBidi" w:cstheme="majorBidi"/>
          <w:sz w:val="24"/>
          <w:szCs w:val="24"/>
          <w:lang w:val="en-GB"/>
        </w:rPr>
        <w:t>can</w:t>
      </w:r>
      <w:r w:rsidR="00F4319C" w:rsidRPr="00EE533D">
        <w:rPr>
          <w:rFonts w:asciiTheme="majorBidi" w:hAnsiTheme="majorBidi" w:cstheme="majorBidi"/>
          <w:sz w:val="24"/>
          <w:szCs w:val="24"/>
          <w:lang w:val="en-GB"/>
        </w:rPr>
        <w:t xml:space="preserve"> persuade authorities </w:t>
      </w:r>
      <w:r w:rsidR="007467F2" w:rsidRPr="00EE533D">
        <w:rPr>
          <w:rFonts w:asciiTheme="majorBidi" w:hAnsiTheme="majorBidi" w:cstheme="majorBidi"/>
          <w:sz w:val="24"/>
          <w:szCs w:val="24"/>
          <w:lang w:val="en-GB"/>
        </w:rPr>
        <w:t xml:space="preserve">to more effectively </w:t>
      </w:r>
      <w:r w:rsidR="00F4319C" w:rsidRPr="00EE533D">
        <w:rPr>
          <w:rFonts w:asciiTheme="majorBidi" w:hAnsiTheme="majorBidi" w:cstheme="majorBidi"/>
          <w:sz w:val="24"/>
          <w:szCs w:val="24"/>
          <w:lang w:val="en-GB"/>
        </w:rPr>
        <w:t xml:space="preserve">monitor </w:t>
      </w:r>
      <w:r w:rsidR="007467F2" w:rsidRPr="00EE533D">
        <w:rPr>
          <w:rFonts w:asciiTheme="majorBidi" w:hAnsiTheme="majorBidi" w:cstheme="majorBidi"/>
          <w:sz w:val="24"/>
          <w:szCs w:val="24"/>
          <w:lang w:val="en-GB"/>
        </w:rPr>
        <w:t xml:space="preserve">the waste management of large listed firms. This may lead to a significantly higher level of waste being recycled by those firms. </w:t>
      </w:r>
      <w:r w:rsidR="00721168" w:rsidRPr="00EE533D">
        <w:rPr>
          <w:rFonts w:asciiTheme="majorBidi" w:hAnsiTheme="majorBidi" w:cstheme="majorBidi"/>
          <w:sz w:val="24"/>
          <w:szCs w:val="24"/>
          <w:lang w:val="en-GB"/>
        </w:rPr>
        <w:t>Hence, it is fair to infer that</w:t>
      </w:r>
      <w:r w:rsidR="007467F2" w:rsidRPr="00EE533D">
        <w:rPr>
          <w:rFonts w:ascii="Times New Roman" w:hAnsi="Times New Roman" w:cs="Times New Roman"/>
          <w:sz w:val="24"/>
          <w:szCs w:val="24"/>
          <w:lang w:val="en-GB"/>
        </w:rPr>
        <w:t xml:space="preserve"> voters </w:t>
      </w:r>
      <w:r w:rsidR="007467F2" w:rsidRPr="00EE533D">
        <w:rPr>
          <w:rFonts w:ascii="Times New Roman" w:hAnsi="Times New Roman" w:cs="Times New Roman"/>
          <w:sz w:val="24"/>
          <w:szCs w:val="24"/>
          <w:lang w:val="en-GB"/>
        </w:rPr>
        <w:lastRenderedPageBreak/>
        <w:t xml:space="preserve">can persuade politicians to adopt pro-environmental initiatives. </w:t>
      </w:r>
    </w:p>
    <w:p w14:paraId="5704F10A" w14:textId="65904D0C" w:rsidR="007467F2" w:rsidRPr="00EE533D" w:rsidRDefault="007467F2" w:rsidP="001A50EF">
      <w:pPr>
        <w:spacing w:line="360" w:lineRule="auto"/>
        <w:jc w:val="both"/>
        <w:rPr>
          <w:rFonts w:asciiTheme="majorBidi" w:hAnsiTheme="majorBidi" w:cstheme="majorBidi"/>
          <w:sz w:val="24"/>
          <w:szCs w:val="24"/>
          <w:lang w:val="en-GB"/>
        </w:rPr>
      </w:pPr>
      <w:bookmarkStart w:id="15" w:name="_Hlk154477799"/>
      <w:r w:rsidRPr="00EE533D">
        <w:rPr>
          <w:rFonts w:asciiTheme="majorBidi" w:hAnsiTheme="majorBidi" w:cstheme="majorBidi"/>
          <w:sz w:val="24"/>
          <w:szCs w:val="24"/>
          <w:lang w:val="en-GB"/>
        </w:rPr>
        <w:t>T</w:t>
      </w:r>
      <w:r w:rsidRPr="00EE533D">
        <w:rPr>
          <w:rFonts w:ascii="Times New Roman" w:hAnsi="Times New Roman" w:cs="Times New Roman"/>
          <w:sz w:val="24"/>
          <w:szCs w:val="24"/>
          <w:lang w:val="en-GB"/>
        </w:rPr>
        <w:t xml:space="preserve">his research provides a range of practical implications for policymakers and managers. First, </w:t>
      </w:r>
      <w:bookmarkEnd w:id="15"/>
      <w:r w:rsidRPr="00EE533D">
        <w:rPr>
          <w:rFonts w:ascii="Times New Roman" w:hAnsi="Times New Roman" w:cs="Times New Roman"/>
          <w:sz w:val="24"/>
          <w:szCs w:val="24"/>
          <w:lang w:val="en-GB"/>
        </w:rPr>
        <w:t xml:space="preserve">the successful integration of sustainable practices within organizations emerges as a consequence of good institutional quality. The transition from a linear economy to a circular economy requires a fundamental shift in how firms operate and has profound implications for the capabilities they need. </w:t>
      </w:r>
      <w:r w:rsidR="00721168" w:rsidRPr="00EE533D">
        <w:rPr>
          <w:rFonts w:ascii="Times New Roman" w:hAnsi="Times New Roman" w:cs="Times New Roman"/>
          <w:sz w:val="24"/>
          <w:szCs w:val="24"/>
          <w:lang w:val="en-GB"/>
        </w:rPr>
        <w:t xml:space="preserve"> I</w:t>
      </w:r>
      <w:r w:rsidRPr="00EE533D">
        <w:rPr>
          <w:rFonts w:ascii="Times New Roman" w:hAnsi="Times New Roman" w:cs="Times New Roman"/>
          <w:sz w:val="24"/>
          <w:szCs w:val="24"/>
          <w:lang w:val="en-GB"/>
        </w:rPr>
        <w:t xml:space="preserve">nstitutions and public </w:t>
      </w:r>
      <w:r w:rsidRPr="00EE533D">
        <w:rPr>
          <w:rFonts w:ascii="Times New Roman" w:hAnsi="Times New Roman" w:cs="Times New Roman"/>
          <w:sz w:val="24"/>
          <w:szCs w:val="24"/>
          <w:lang w:val="en-GB"/>
        </w:rPr>
        <w:lastRenderedPageBreak/>
        <w:t xml:space="preserve">administrations exert substantial influence in facilitating the adoption of green practices by firms. </w:t>
      </w:r>
      <w:r w:rsidR="00721168" w:rsidRPr="00EE533D">
        <w:rPr>
          <w:rFonts w:ascii="Times New Roman" w:hAnsi="Times New Roman" w:cs="Times New Roman"/>
          <w:sz w:val="24"/>
          <w:szCs w:val="24"/>
          <w:lang w:val="en-GB"/>
        </w:rPr>
        <w:t xml:space="preserve">Given </w:t>
      </w:r>
      <w:r w:rsidRPr="00EE533D">
        <w:rPr>
          <w:rFonts w:ascii="Times New Roman" w:hAnsi="Times New Roman" w:cs="Times New Roman"/>
          <w:sz w:val="24"/>
          <w:szCs w:val="24"/>
          <w:lang w:val="en-GB"/>
        </w:rPr>
        <w:t>that</w:t>
      </w:r>
      <w:r w:rsidR="00721168" w:rsidRPr="00EE533D">
        <w:rPr>
          <w:rFonts w:ascii="Times New Roman" w:hAnsi="Times New Roman" w:cs="Times New Roman"/>
          <w:sz w:val="24"/>
          <w:szCs w:val="24"/>
          <w:lang w:val="en-GB"/>
        </w:rPr>
        <w:t xml:space="preserve"> the</w:t>
      </w:r>
      <w:r w:rsidRPr="00EE533D">
        <w:rPr>
          <w:rFonts w:ascii="Times New Roman" w:hAnsi="Times New Roman" w:cs="Times New Roman"/>
          <w:sz w:val="24"/>
          <w:szCs w:val="24"/>
          <w:lang w:val="en-GB"/>
        </w:rPr>
        <w:t xml:space="preserve"> political actors can have a major role in increasing a firm’s level of recycled waste</w:t>
      </w:r>
      <w:r w:rsidR="00721168" w:rsidRPr="00EE533D">
        <w:rPr>
          <w:rFonts w:ascii="Times New Roman" w:hAnsi="Times New Roman" w:cs="Times New Roman"/>
          <w:sz w:val="24"/>
          <w:szCs w:val="24"/>
          <w:lang w:val="en-GB"/>
        </w:rPr>
        <w:t xml:space="preserve">, </w:t>
      </w:r>
      <w:r w:rsidR="00D174BC" w:rsidRPr="00EE533D">
        <w:rPr>
          <w:rFonts w:ascii="Times New Roman" w:hAnsi="Times New Roman" w:cs="Times New Roman"/>
          <w:sz w:val="24"/>
          <w:szCs w:val="24"/>
          <w:lang w:val="en-GB"/>
        </w:rPr>
        <w:t xml:space="preserve">public </w:t>
      </w:r>
      <w:r w:rsidR="00721168" w:rsidRPr="00EE533D">
        <w:rPr>
          <w:rFonts w:ascii="Times New Roman" w:hAnsi="Times New Roman" w:cs="Times New Roman"/>
          <w:sz w:val="24"/>
          <w:szCs w:val="24"/>
          <w:lang w:val="en-GB"/>
        </w:rPr>
        <w:t xml:space="preserve">policy shall focus on </w:t>
      </w:r>
      <w:r w:rsidRPr="00EE533D">
        <w:rPr>
          <w:rFonts w:ascii="Times New Roman" w:hAnsi="Times New Roman" w:cs="Times New Roman"/>
          <w:sz w:val="24"/>
          <w:szCs w:val="24"/>
          <w:lang w:val="en-GB"/>
        </w:rPr>
        <w:t xml:space="preserve">providing a more predictable agenda and monitoring more effectively the ecological impact of firms. Second, firms must acquire the necessary knowledge and skills to create goods that have a longer duration of use, efficiently use resources, and include sustainable methods across their </w:t>
      </w:r>
      <w:r w:rsidRPr="00EE533D">
        <w:rPr>
          <w:rFonts w:ascii="Times New Roman" w:hAnsi="Times New Roman" w:cs="Times New Roman"/>
          <w:sz w:val="24"/>
          <w:szCs w:val="24"/>
          <w:lang w:val="en-GB"/>
        </w:rPr>
        <w:lastRenderedPageBreak/>
        <w:t>whole supply chains.</w:t>
      </w:r>
      <w:r w:rsidR="00D174BC" w:rsidRPr="00EE533D">
        <w:rPr>
          <w:rFonts w:ascii="Times New Roman" w:hAnsi="Times New Roman" w:cs="Times New Roman"/>
          <w:sz w:val="24"/>
          <w:szCs w:val="24"/>
          <w:lang w:val="en-GB"/>
        </w:rPr>
        <w:t xml:space="preserve"> In this </w:t>
      </w:r>
      <w:r w:rsidRPr="00EE533D">
        <w:rPr>
          <w:rFonts w:ascii="Times New Roman" w:hAnsi="Times New Roman" w:cs="Times New Roman"/>
          <w:sz w:val="24"/>
          <w:szCs w:val="24"/>
          <w:lang w:val="en-GB"/>
        </w:rPr>
        <w:t xml:space="preserve">frame, incumbent </w:t>
      </w:r>
      <w:r w:rsidR="00D174BC" w:rsidRPr="00EE533D">
        <w:rPr>
          <w:rFonts w:ascii="Times New Roman" w:hAnsi="Times New Roman" w:cs="Times New Roman"/>
          <w:sz w:val="24"/>
          <w:szCs w:val="24"/>
          <w:lang w:val="en-GB"/>
        </w:rPr>
        <w:t xml:space="preserve">public policymakers </w:t>
      </w:r>
      <w:r w:rsidRPr="00EE533D">
        <w:rPr>
          <w:rFonts w:ascii="Times New Roman" w:hAnsi="Times New Roman" w:cs="Times New Roman"/>
          <w:sz w:val="24"/>
          <w:szCs w:val="24"/>
          <w:lang w:val="en-GB"/>
        </w:rPr>
        <w:t>should support those firms by providing more predictable financial and nonfinancial policies, allowing managers to maintain or improve the cost efficiency of their busines</w:t>
      </w:r>
      <w:r w:rsidR="00863809" w:rsidRPr="00EE533D">
        <w:rPr>
          <w:rFonts w:ascii="Times New Roman" w:hAnsi="Times New Roman" w:cs="Times New Roman"/>
          <w:sz w:val="24"/>
          <w:szCs w:val="24"/>
          <w:lang w:val="en-GB"/>
        </w:rPr>
        <w:t>se</w:t>
      </w:r>
      <w:r w:rsidRPr="00EE533D">
        <w:rPr>
          <w:rFonts w:ascii="Times New Roman" w:hAnsi="Times New Roman" w:cs="Times New Roman"/>
          <w:sz w:val="24"/>
          <w:szCs w:val="24"/>
          <w:lang w:val="en-GB"/>
        </w:rPr>
        <w:t xml:space="preserve">s. Furthermore, firms must traverse complex regulatory landscapes and successfully include other stakeholders that may provide valuable information on how to minimize the production of waste. This study emphasizes the need for companies to allocate resources to the </w:t>
      </w:r>
      <w:r w:rsidRPr="00EE533D">
        <w:rPr>
          <w:rFonts w:ascii="Times New Roman" w:hAnsi="Times New Roman" w:cs="Times New Roman"/>
          <w:sz w:val="24"/>
          <w:szCs w:val="24"/>
          <w:lang w:val="en-GB"/>
        </w:rPr>
        <w:lastRenderedPageBreak/>
        <w:t>adoption of these novel practices to prosper and provide enduring value for themselves and society.</w:t>
      </w:r>
      <w:r w:rsidR="003551D5" w:rsidRPr="00EE533D">
        <w:rPr>
          <w:rFonts w:ascii="Times New Roman" w:hAnsi="Times New Roman" w:cs="Times New Roman"/>
          <w:sz w:val="24"/>
          <w:szCs w:val="24"/>
          <w:lang w:val="en-GB"/>
        </w:rPr>
        <w:t xml:space="preserve"> Furthermore,</w:t>
      </w:r>
      <w:r w:rsidR="001A50EF" w:rsidRPr="00EE533D">
        <w:rPr>
          <w:rFonts w:ascii="Times New Roman" w:hAnsi="Times New Roman" w:cs="Times New Roman"/>
          <w:sz w:val="24"/>
          <w:szCs w:val="24"/>
          <w:lang w:val="en-GB"/>
        </w:rPr>
        <w:t xml:space="preserve"> it is vital to account for the size of firms and industry. F</w:t>
      </w:r>
      <w:r w:rsidR="003551D5" w:rsidRPr="00EE533D">
        <w:rPr>
          <w:rFonts w:ascii="Times New Roman" w:hAnsi="Times New Roman" w:cs="Times New Roman"/>
          <w:sz w:val="24"/>
          <w:szCs w:val="24"/>
          <w:lang w:val="en-GB"/>
        </w:rPr>
        <w:t>or</w:t>
      </w:r>
      <w:r w:rsidR="003551D5" w:rsidRPr="00EE533D">
        <w:rPr>
          <w:rFonts w:asciiTheme="majorBidi" w:hAnsiTheme="majorBidi" w:cstheme="majorBidi"/>
          <w:sz w:val="24"/>
          <w:szCs w:val="24"/>
          <w:lang w:val="en-GB"/>
        </w:rPr>
        <w:t xml:space="preserve"> large enterprises, it is also recommended that firms invest more in recycling technology, which enables the reuse of waste with the long-term objective of reducing costs without compromising product quality. Policymakers and supply chain managers should promote collaboration among small and medium-sized enterprises (SMEs) and provide </w:t>
      </w:r>
      <w:r w:rsidR="003551D5" w:rsidRPr="00EE533D">
        <w:rPr>
          <w:rFonts w:asciiTheme="majorBidi" w:hAnsiTheme="majorBidi" w:cstheme="majorBidi"/>
          <w:sz w:val="24"/>
          <w:szCs w:val="24"/>
          <w:lang w:val="en-GB"/>
        </w:rPr>
        <w:lastRenderedPageBreak/>
        <w:t xml:space="preserve">technical, financial, and policy support to advance circular economy practices such as resource efficiency, waste reduction, and product life-cycle extension. Moreover, firms need to use more advanced technologies associated with environmentally friendly processes or products, such as waste recycling, pollution prevention, energy conservation, green product design, or corporate environmental management, which likely contribute to this outcome, although firms </w:t>
      </w:r>
      <w:r w:rsidR="003551D5" w:rsidRPr="00EE533D">
        <w:rPr>
          <w:rFonts w:asciiTheme="majorBidi" w:hAnsiTheme="majorBidi" w:cstheme="majorBidi"/>
          <w:sz w:val="24"/>
          <w:szCs w:val="24"/>
          <w:lang w:val="en-GB"/>
        </w:rPr>
        <w:lastRenderedPageBreak/>
        <w:t>may be motivated by considerations beyond environmental sustainability</w:t>
      </w:r>
      <w:r w:rsidR="001A50EF" w:rsidRPr="00EE533D">
        <w:rPr>
          <w:rFonts w:asciiTheme="majorBidi" w:hAnsiTheme="majorBidi" w:cstheme="majorBidi"/>
          <w:sz w:val="24"/>
          <w:szCs w:val="24"/>
          <w:lang w:val="en-GB"/>
        </w:rPr>
        <w:t xml:space="preserve">. </w:t>
      </w:r>
    </w:p>
    <w:p w14:paraId="739FEB44" w14:textId="2A871F8F" w:rsidR="007467F2" w:rsidRPr="00EE533D" w:rsidRDefault="007467F2" w:rsidP="003551D5">
      <w:pPr>
        <w:spacing w:after="0" w:line="360" w:lineRule="auto"/>
        <w:ind w:firstLine="708"/>
        <w:jc w:val="both"/>
        <w:rPr>
          <w:rFonts w:ascii="Times New Roman" w:hAnsi="Times New Roman" w:cs="Times New Roman"/>
          <w:sz w:val="24"/>
          <w:szCs w:val="24"/>
          <w:lang w:val="en-GB"/>
        </w:rPr>
      </w:pPr>
      <w:r w:rsidRPr="00EE533D">
        <w:rPr>
          <w:rFonts w:asciiTheme="majorBidi" w:hAnsiTheme="majorBidi" w:cstheme="majorBidi"/>
          <w:sz w:val="24"/>
          <w:szCs w:val="24"/>
          <w:lang w:val="en-GB"/>
        </w:rPr>
        <w:t>In terms of caveats, we should highlight that even if waste management represents an important dimension of the CE, CE is a complex and holistic system that encompasses several other dimensions as well</w:t>
      </w:r>
      <w:r w:rsidRPr="00EE533D">
        <w:rPr>
          <w:rFonts w:ascii="Times New Roman" w:hAnsi="Times New Roman" w:cs="Times New Roman"/>
          <w:sz w:val="24"/>
          <w:szCs w:val="24"/>
          <w:lang w:val="en-GB"/>
        </w:rPr>
        <w:t xml:space="preserve">. Therefore, even if there is a paucity </w:t>
      </w:r>
      <w:r w:rsidR="00863809" w:rsidRPr="00EE533D">
        <w:rPr>
          <w:rFonts w:ascii="Times New Roman" w:hAnsi="Times New Roman" w:cs="Times New Roman"/>
          <w:sz w:val="24"/>
          <w:szCs w:val="24"/>
          <w:lang w:val="en-GB"/>
        </w:rPr>
        <w:t xml:space="preserve">of </w:t>
      </w:r>
      <w:r w:rsidRPr="00EE533D">
        <w:rPr>
          <w:rFonts w:ascii="Times New Roman" w:hAnsi="Times New Roman" w:cs="Times New Roman"/>
          <w:sz w:val="24"/>
          <w:szCs w:val="24"/>
          <w:lang w:val="en-GB"/>
        </w:rPr>
        <w:t xml:space="preserve">microeconomic data concerning the other aspects of the 3Rs, namely repair and reuse, future research should also analyze the influence of institutional quality on </w:t>
      </w:r>
      <w:r w:rsidRPr="00EE533D">
        <w:rPr>
          <w:rFonts w:ascii="Times New Roman" w:hAnsi="Times New Roman" w:cs="Times New Roman"/>
          <w:sz w:val="24"/>
          <w:szCs w:val="24"/>
          <w:lang w:val="en-GB"/>
        </w:rPr>
        <w:lastRenderedPageBreak/>
        <w:t xml:space="preserve">these other pillars. Additionally, we performed our empirical analysis on a sample of listed firms. Our research should be expanded to include </w:t>
      </w:r>
      <w:r w:rsidR="001A50EF" w:rsidRPr="00EE533D">
        <w:rPr>
          <w:rFonts w:ascii="Times New Roman" w:hAnsi="Times New Roman" w:cs="Times New Roman"/>
          <w:sz w:val="24"/>
          <w:szCs w:val="24"/>
          <w:lang w:val="en-GB"/>
        </w:rPr>
        <w:t xml:space="preserve">more </w:t>
      </w:r>
      <w:r w:rsidRPr="00EE533D">
        <w:rPr>
          <w:rFonts w:ascii="Times New Roman" w:hAnsi="Times New Roman" w:cs="Times New Roman"/>
          <w:sz w:val="24"/>
          <w:szCs w:val="24"/>
          <w:lang w:val="en-GB"/>
        </w:rPr>
        <w:t>small and medium-sized firms, which are likely to have more limited financial resources to develop their eco-friendly practices.</w:t>
      </w:r>
    </w:p>
    <w:p w14:paraId="5911795A" w14:textId="77777777" w:rsidR="007467F2" w:rsidRPr="00EE533D" w:rsidRDefault="007467F2" w:rsidP="003551D5">
      <w:pPr>
        <w:spacing w:line="360" w:lineRule="auto"/>
        <w:rPr>
          <w:rFonts w:asciiTheme="majorBidi" w:hAnsiTheme="majorBidi" w:cstheme="majorBidi"/>
          <w:sz w:val="24"/>
          <w:szCs w:val="24"/>
          <w:lang w:val="en-GB"/>
        </w:rPr>
      </w:pPr>
    </w:p>
    <w:p w14:paraId="0E695009" w14:textId="77777777" w:rsidR="007467F2" w:rsidRPr="00EE533D" w:rsidRDefault="007467F2" w:rsidP="003551D5">
      <w:pPr>
        <w:spacing w:line="360" w:lineRule="auto"/>
        <w:jc w:val="both"/>
        <w:rPr>
          <w:rFonts w:asciiTheme="majorBidi" w:hAnsiTheme="majorBidi" w:cstheme="majorBidi"/>
          <w:b/>
          <w:bCs/>
          <w:sz w:val="24"/>
          <w:szCs w:val="24"/>
          <w:lang w:val="en-GB"/>
        </w:rPr>
      </w:pPr>
    </w:p>
    <w:p w14:paraId="793010AE" w14:textId="77777777" w:rsidR="007467F2" w:rsidRPr="00EE533D" w:rsidRDefault="007467F2" w:rsidP="007467F2">
      <w:pPr>
        <w:spacing w:line="259" w:lineRule="auto"/>
        <w:rPr>
          <w:rFonts w:asciiTheme="majorBidi" w:hAnsiTheme="majorBidi" w:cstheme="majorBidi"/>
          <w:b/>
          <w:bCs/>
          <w:sz w:val="24"/>
          <w:szCs w:val="24"/>
          <w:lang w:val="en-GB"/>
        </w:rPr>
      </w:pPr>
      <w:r w:rsidRPr="00EE533D">
        <w:rPr>
          <w:rFonts w:asciiTheme="majorBidi" w:hAnsiTheme="majorBidi" w:cstheme="majorBidi"/>
          <w:b/>
          <w:bCs/>
          <w:sz w:val="24"/>
          <w:szCs w:val="24"/>
          <w:lang w:val="en-GB"/>
        </w:rPr>
        <w:br w:type="page"/>
      </w:r>
    </w:p>
    <w:p w14:paraId="43FCD1E1" w14:textId="77777777" w:rsidR="007467F2" w:rsidRPr="00EE533D" w:rsidRDefault="007467F2" w:rsidP="007467F2">
      <w:pPr>
        <w:spacing w:line="240" w:lineRule="auto"/>
        <w:jc w:val="both"/>
        <w:rPr>
          <w:rFonts w:asciiTheme="majorBidi" w:hAnsiTheme="majorBidi" w:cstheme="majorBidi"/>
          <w:b/>
          <w:bCs/>
          <w:sz w:val="24"/>
          <w:szCs w:val="24"/>
          <w:lang w:val="en-GB"/>
        </w:rPr>
      </w:pPr>
      <w:r w:rsidRPr="00EE533D">
        <w:rPr>
          <w:rFonts w:asciiTheme="majorBidi" w:hAnsiTheme="majorBidi" w:cstheme="majorBidi"/>
          <w:b/>
          <w:bCs/>
          <w:sz w:val="24"/>
          <w:szCs w:val="24"/>
          <w:lang w:val="en-GB"/>
        </w:rPr>
        <w:lastRenderedPageBreak/>
        <w:t>References</w:t>
      </w:r>
    </w:p>
    <w:p w14:paraId="11B4F0A4" w14:textId="77777777" w:rsidR="003551D5" w:rsidRPr="00EE533D" w:rsidRDefault="007467F2"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fldChar w:fldCharType="begin"/>
      </w:r>
      <w:r w:rsidR="003551D5" w:rsidRPr="00EE533D">
        <w:rPr>
          <w:rFonts w:asciiTheme="majorBidi" w:hAnsiTheme="majorBidi" w:cstheme="majorBidi"/>
          <w:sz w:val="24"/>
          <w:szCs w:val="24"/>
          <w:lang w:val="en-GB"/>
        </w:rPr>
        <w:instrText xml:space="preserve"> ADDIN ZOTERO_BIBL {"uncited":[],"omitted":[],"custom":[]} CSL_BIBLIOGRAPHY </w:instrText>
      </w:r>
      <w:r w:rsidRPr="00EE533D">
        <w:rPr>
          <w:rFonts w:asciiTheme="majorBidi" w:hAnsiTheme="majorBidi" w:cstheme="majorBidi"/>
          <w:sz w:val="24"/>
          <w:szCs w:val="24"/>
          <w:lang w:val="en-GB"/>
        </w:rPr>
        <w:fldChar w:fldCharType="separate"/>
      </w:r>
      <w:r w:rsidR="003551D5" w:rsidRPr="00EE533D">
        <w:rPr>
          <w:rFonts w:asciiTheme="majorBidi" w:hAnsiTheme="majorBidi" w:cstheme="majorBidi"/>
          <w:sz w:val="24"/>
          <w:szCs w:val="24"/>
          <w:lang w:val="en-GB"/>
        </w:rPr>
        <w:t>Agrawal, V., Atasu, A., Ülkü, S., 2021. Leasing, Modularity, and the Circular Economy. Management Science 67, 6782–6802. https://doi.org/10.1287/mnsc.2020.3829</w:t>
      </w:r>
    </w:p>
    <w:p w14:paraId="658080FB"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Alnaim, M., Metwally, A.B.M., 2024. Institutional Pressures and Environmental Management Accounting Adoption: Do Environmental Strategy Matter? Sustainability 16, 3020.</w:t>
      </w:r>
    </w:p>
    <w:p w14:paraId="0DE104A0"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Altig, D., Baker, S., Barrero, J.M., Bloom, N., Bunn, P., Chen, S., Davis, S.J., Leather, J., Meyer, B., Mihaylov, E., 2020. Economic uncertainty before and during the COVID-19 pandemic. Journal of Public Economics 191, 104274.</w:t>
      </w:r>
    </w:p>
    <w:p w14:paraId="0C7B2B6B"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Antonioli, D., Ghisetti, C., Mazzanti, M., Nicolli, F., 2022. Sustainable production: The economic returns of circular economy practices. Business Strategy and the Environment 31, 2603–2617.</w:t>
      </w:r>
    </w:p>
    <w:p w14:paraId="6C3D71AC"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Arellano, M., Bover, O., 1995. Another look at the instrumental variable estimation of error-components models. Journal of econometrics 68, 29–51.</w:t>
      </w:r>
    </w:p>
    <w:p w14:paraId="0C3ED07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Arranz, C.F., Sena, V., Kwong, C., 2022. Institutional pressures as drivers of circular economy in firms: A machine learning approach. Journal of Cleaner Production 355, 131738.</w:t>
      </w:r>
    </w:p>
    <w:p w14:paraId="2FEDE8C4" w14:textId="7CFDC2AE"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Arranz, C.F.A., Sena, V., Kwong, C., 2022. Institutional pressures as drivers of circular </w:t>
      </w:r>
      <w:r w:rsidRPr="00EE533D">
        <w:rPr>
          <w:rFonts w:asciiTheme="majorBidi" w:hAnsiTheme="majorBidi" w:cstheme="majorBidi"/>
          <w:sz w:val="24"/>
          <w:szCs w:val="24"/>
          <w:lang w:val="en-GB"/>
        </w:rPr>
        <w:lastRenderedPageBreak/>
        <w:t>economy in firms: A machine learning approach. Journal of Cleaner Production 355, 131738. https://doi.org/10.1016/j.jclepro.2022.131738</w:t>
      </w:r>
    </w:p>
    <w:p w14:paraId="55076551"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Berrone, P., Fosfuri, A., Gelabert, L., Gomez‐Mejia, L.R., 2013. Necessity as the mother of ‘green’inventions: Institutional pressures and environmental innovations. Strategic management journal 34, 891–909.</w:t>
      </w:r>
    </w:p>
    <w:p w14:paraId="17C6C485"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Blomsma, F., Brennan, G., 2017. The emergence of circular economy: a new framing around prolonging resource productivity. Journal of industrial ecology 21, 603–614.</w:t>
      </w:r>
    </w:p>
    <w:p w14:paraId="3F6DF1F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Blundell, R., Bond, S., 1998. Initial conditions and moment restrictions in dynamic panel data models. Journal of Econometrics 87, </w:t>
      </w:r>
      <w:r w:rsidRPr="00EE533D">
        <w:rPr>
          <w:rFonts w:asciiTheme="majorBidi" w:hAnsiTheme="majorBidi" w:cstheme="majorBidi"/>
          <w:sz w:val="24"/>
          <w:szCs w:val="24"/>
          <w:lang w:val="en-GB"/>
        </w:rPr>
        <w:lastRenderedPageBreak/>
        <w:t>115–143. https://doi.org/10.1016/S0304-4076(98)00009-8</w:t>
      </w:r>
    </w:p>
    <w:p w14:paraId="77E86DCA"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Boldrini, J.-C., Antheaume, N., 2021. Designing and testing a new sustainable business model tool for multi-actor, multi-level, circular, and collaborative contexts. Journal of Cleaner Production 309, 127209.</w:t>
      </w:r>
    </w:p>
    <w:p w14:paraId="2AC8CF2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Boschma, R., Capone, G., 2015. Institutions and diversification: Related versus unrelated diversification in a varieties of capitalism framework. Research Policy 44, 1902–1914. https://doi.org/10.1016/j.respol.2015.06.013</w:t>
      </w:r>
    </w:p>
    <w:p w14:paraId="74BFCCE1"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Breen, R., 1996. Regression models: Censored, sample selected, or truncated data. Sage.</w:t>
      </w:r>
    </w:p>
    <w:p w14:paraId="7D23B90A"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Calzolari, T., Bimpizas-Pinis, M., Genovese, A., Brint, A., 2023. Understanding the relationship between institutional pressures, supply chain integration and the adoption of circular economy practices. Journal of Cleaner Production 432, 139686.</w:t>
      </w:r>
    </w:p>
    <w:p w14:paraId="5E7EA4A6"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Campiglio, E., Daumas, L., Monnin, P., Von Jagow, A., 2023. Climate‐related risks in financial assets. Journal of Economic Surveys 37, 950–992. https://doi.org/10.1111/joes.12525</w:t>
      </w:r>
    </w:p>
    <w:p w14:paraId="3B7F636D"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Chan, C.M., Isobe, T., Makino, S., 2008. Which country matters? Institutional development and foreign affiliate performance. Strategic Management Journal 29, 1179–1205. https://doi.org/10.1002/smj.705</w:t>
      </w:r>
    </w:p>
    <w:p w14:paraId="21160E63"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Coenen, L., López, F.J.D., 2010. Comparing systems approaches to innovation and technological change for sustainable and competitive economies: an explorative study into conceptual commonalities, differences and complementarities. Journal of cleaner production 18, 1149–1160.</w:t>
      </w:r>
    </w:p>
    <w:p w14:paraId="6632B1DF"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Daddi, T., Testa, F., Frey, M., Iraldo, F., 2016. Exploring the link between institutional pressures and environmental management systems effectiveness: An empirical study. Journal of environmental management 183, 647–656.</w:t>
      </w:r>
    </w:p>
    <w:p w14:paraId="41DEA3E9"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Dai, Y., Gordon, M., Ye, J., Xu, D., Lin, Z., Robinson, N., Woodard, R., Harder, M., 2015. Why doorstepping can increase </w:t>
      </w:r>
      <w:r w:rsidRPr="00EE533D">
        <w:rPr>
          <w:rFonts w:asciiTheme="majorBidi" w:hAnsiTheme="majorBidi" w:cstheme="majorBidi"/>
          <w:sz w:val="24"/>
          <w:szCs w:val="24"/>
          <w:lang w:val="en-GB"/>
        </w:rPr>
        <w:lastRenderedPageBreak/>
        <w:t>household waste recycling. Resources, Conservation and Recycling 102, 9–19.</w:t>
      </w:r>
    </w:p>
    <w:p w14:paraId="1542EAB4"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Dalton, C.M., Dalton, D.R., 2005. Boards of directors: Utilizing empirical evidence in developing practical prescriptions. British Journal of management 16, S91–S97.</w:t>
      </w:r>
    </w:p>
    <w:p w14:paraId="4332B2B0" w14:textId="77777777" w:rsidR="003551D5" w:rsidRPr="00EE533D" w:rsidRDefault="003551D5" w:rsidP="003551D5">
      <w:pPr>
        <w:pStyle w:val="Bibliography"/>
        <w:jc w:val="both"/>
        <w:rPr>
          <w:rFonts w:asciiTheme="majorBidi" w:hAnsiTheme="majorBidi" w:cstheme="majorBidi"/>
          <w:sz w:val="24"/>
          <w:szCs w:val="24"/>
        </w:rPr>
      </w:pPr>
      <w:r w:rsidRPr="00EE533D">
        <w:rPr>
          <w:rFonts w:asciiTheme="majorBidi" w:hAnsiTheme="majorBidi" w:cstheme="majorBidi"/>
          <w:sz w:val="24"/>
          <w:szCs w:val="24"/>
          <w:lang w:val="en-GB"/>
        </w:rPr>
        <w:t xml:space="preserve">de Abreu, M.C.S., Ceglia, D., 2018. On the implementation of a circular economy: The role of institutional capacity-building through industrial symbiosis. </w:t>
      </w:r>
      <w:r w:rsidRPr="00EE533D">
        <w:rPr>
          <w:rFonts w:asciiTheme="majorBidi" w:hAnsiTheme="majorBidi" w:cstheme="majorBidi"/>
          <w:sz w:val="24"/>
          <w:szCs w:val="24"/>
        </w:rPr>
        <w:t>Resources, conservation and recycling 138, 99–109.</w:t>
      </w:r>
    </w:p>
    <w:p w14:paraId="0AFDE5BA"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rPr>
        <w:t xml:space="preserve">De Jesus, A., Antunes, P., Santos, R., Mendonça, S., 2018. </w:t>
      </w:r>
      <w:r w:rsidRPr="00EE533D">
        <w:rPr>
          <w:rFonts w:asciiTheme="majorBidi" w:hAnsiTheme="majorBidi" w:cstheme="majorBidi"/>
          <w:sz w:val="24"/>
          <w:szCs w:val="24"/>
          <w:lang w:val="en-GB"/>
        </w:rPr>
        <w:t>Eco-innovation in the transition to a circular economy: An analytical literature review. Journal of cleaner Production 172, 2999–3018.</w:t>
      </w:r>
    </w:p>
    <w:p w14:paraId="4962D79A"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De Jesus, A., Mendonça, S., 2018. Lost in transition? Drivers and barriers in the eco-innovation road to the circular economy. Ecological economics 145, 75–89.</w:t>
      </w:r>
    </w:p>
    <w:p w14:paraId="6FF61046"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Delmas, M.A., Montes‐Sancho, M.J., 2010. Voluntary agreements to improve environmental quality: Symbolic and substantive cooperation. Strategic Management Journal 31, 575–601.</w:t>
      </w:r>
    </w:p>
    <w:p w14:paraId="4DDB4BC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DiMaggio, P.J., Powell, W.W., 1983. The iron cage revisited: Institutional isomorphism and collective rationality in organizational fields. American sociological review 48, 147–160.</w:t>
      </w:r>
    </w:p>
    <w:p w14:paraId="70F634E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Dubey, R., Gunasekaran, A., Childe, S.J., Papadopoulos, T., Wamba, S.F., Song, M., 2016. </w:t>
      </w:r>
      <w:r w:rsidRPr="00EE533D">
        <w:rPr>
          <w:rFonts w:asciiTheme="majorBidi" w:hAnsiTheme="majorBidi" w:cstheme="majorBidi"/>
          <w:sz w:val="24"/>
          <w:szCs w:val="24"/>
          <w:lang w:val="en-GB"/>
        </w:rPr>
        <w:lastRenderedPageBreak/>
        <w:t>Towards a theory of sustainable consumption and production: Constructs and measurement. Resources, Conservation and Recycling 106, 78–89.</w:t>
      </w:r>
    </w:p>
    <w:p w14:paraId="060FAE75" w14:textId="2396E539"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EEA (2023). Accelerating the Circular Economy in Europe: State and Outlook 2024. Retrieved from https://wedocs.unep.org/bitstream/handle/20.500.11822/36830/RBMLCE.pdf?sequence=3</w:t>
      </w:r>
    </w:p>
    <w:p w14:paraId="3058838C"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rPr>
        <w:t xml:space="preserve">Fei, F., Qu, L., Wen, Z., Xue, Y., Zhang, H., 2016. </w:t>
      </w:r>
      <w:r w:rsidRPr="00EE533D">
        <w:rPr>
          <w:rFonts w:asciiTheme="majorBidi" w:hAnsiTheme="majorBidi" w:cstheme="majorBidi"/>
          <w:sz w:val="24"/>
          <w:szCs w:val="24"/>
          <w:lang w:val="en-GB"/>
        </w:rPr>
        <w:t>How to integrate the informal recycling system into municipal solid waste management in developing countries: Based on a China’s case in Suzhou urban area. Resources, conservation and recycling 110, 74–86.</w:t>
      </w:r>
    </w:p>
    <w:p w14:paraId="4EBB4EA0"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Flynn, A., Hacking, N., 2019. Setting standards for a circular economy: A challenge too far for neoliberal environmental governance? Journal of Cleaner Production 212, 1256–1267. https://doi.org/10.1016/j.jclepro.2018.11.257</w:t>
      </w:r>
    </w:p>
    <w:p w14:paraId="02C435E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Geissdoerfer, M., Savaget, P., Bocken, N.M., Hultink, E.J., 2017. The Circular Economy–A new sustainability paradigm? Journal of cleaner production 143, 757–768.</w:t>
      </w:r>
    </w:p>
    <w:p w14:paraId="3C53C5D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rPr>
        <w:t xml:space="preserve">Ghisellini, P., Cialani, C., Ulgiati, S., 2016. </w:t>
      </w:r>
      <w:r w:rsidRPr="00EE533D">
        <w:rPr>
          <w:rFonts w:asciiTheme="majorBidi" w:hAnsiTheme="majorBidi" w:cstheme="majorBidi"/>
          <w:sz w:val="24"/>
          <w:szCs w:val="24"/>
          <w:lang w:val="en-GB"/>
        </w:rPr>
        <w:t>A review on circular economy: the expected transition to a balanced interplay of environmental and economic systems. Journal of Cleaner production 114, 11–32.</w:t>
      </w:r>
    </w:p>
    <w:p w14:paraId="74D99F6C"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Gill, J., 1999. The insignificance of null hypothesis significance testing. Political research quarterly 52, 647–674.</w:t>
      </w:r>
    </w:p>
    <w:p w14:paraId="5BC5ECAA"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Goworek, H., Land, C., Burt, G., Zundel, M., Saren, M., Parker, M., Lambe, B., 2018. Scaling Sustainability: Regulation and Resilience in Managerial Responses to Climate Change. British Journal of Management 29, 209–219. https://doi.org/10.1111/1467-8551.12295</w:t>
      </w:r>
    </w:p>
    <w:p w14:paraId="53152E7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Gupta, S., Chen, H., Hazen, B.T., Kaur, S., Gonzalez, E.D.S., 2019. Circular economy and big data analytics: A stakeholder perspective. Technological Forecasting and Social Change 144, 466–474.</w:t>
      </w:r>
    </w:p>
    <w:p w14:paraId="6EA47CF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Hahn, R., Reimsbach, D., Schiemann, F., 2015. Organizations, climate change, and transparency: Reviewing the literature on carbon disclosure. Organization &amp; environment 28, 80–102.</w:t>
      </w:r>
    </w:p>
    <w:p w14:paraId="375B2BF5"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Heckman, J.J., 1979. Sample selection bias as a specification error. Econometrica: Journal of the econometric society 153–161.</w:t>
      </w:r>
    </w:p>
    <w:p w14:paraId="3FB22534"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Hermelo, F.D., Vassolo, R., 2010. Institutional development and hypercompetition in emerging economies. Strategic Management Journal 31, 1457–1473.</w:t>
      </w:r>
    </w:p>
    <w:p w14:paraId="2527D8FF"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Hoskisson, R.E., Wright, M., Filatotchev, I., Peng, M.W., 2013. Emerging Multinationals from Mid-Range Economies: The Influence of Institutions and Factor Markets. Journal of Management Studies 50, 1295–</w:t>
      </w:r>
      <w:r w:rsidRPr="00EE533D">
        <w:rPr>
          <w:rFonts w:asciiTheme="majorBidi" w:hAnsiTheme="majorBidi" w:cstheme="majorBidi"/>
          <w:sz w:val="24"/>
          <w:szCs w:val="24"/>
          <w:lang w:val="en-GB"/>
        </w:rPr>
        <w:lastRenderedPageBreak/>
        <w:t>1321. https://doi.org/10.1111/j.1467-6486.2012.01085.x</w:t>
      </w:r>
    </w:p>
    <w:p w14:paraId="04BC6E0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Hussain, N., Rigoni, U., Orij, R.P., 2018. Corporate governance and sustainability performance: Analysis of triple bottom line performance. Journal of business ethics 149, 411–432.</w:t>
      </w:r>
    </w:p>
    <w:p w14:paraId="4BD5CFA5"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Jaffe, A.B., Newell, R.G., Stavins, R.N., 2005. A tale of two market failures: Technology and environmental policy. Ecological economics 54, 164–174.</w:t>
      </w:r>
    </w:p>
    <w:p w14:paraId="648BC34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Katz-Gerro, T., López Sintas, J., 2019. Mapping circular economy activities in the European Union: Patterns of implementation and their correlates in small and medium-sized enter</w:t>
      </w:r>
      <w:r w:rsidRPr="00EE533D">
        <w:rPr>
          <w:rFonts w:asciiTheme="majorBidi" w:hAnsiTheme="majorBidi" w:cstheme="majorBidi"/>
          <w:sz w:val="24"/>
          <w:szCs w:val="24"/>
          <w:lang w:val="en-GB"/>
        </w:rPr>
        <w:lastRenderedPageBreak/>
        <w:t>prises. Business Strategy and the Environment 28, 485–496. https://doi.org/10.1002/bse.2259</w:t>
      </w:r>
    </w:p>
    <w:p w14:paraId="60CE9E6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Kirchherr, J., Reike, D., Hekkert, M., 2017. Conceptualizing the circular economy: An analysis of 114 definitions. Resources, conservation and recycling 127, 221–232.</w:t>
      </w:r>
    </w:p>
    <w:p w14:paraId="719FD70B"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Köhler, J., Sönnichsen, S.D., Beske‐Jansen, P., 2022. Towards a collaboration framework for circular economy: The role of dynamic capabilities and open innovation. Business Strategy and the Environment 31, 2700–2713.</w:t>
      </w:r>
    </w:p>
    <w:p w14:paraId="38E485B6"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Korhonen, J., Nuur, C., Feldmann, A., Birkie, S.E., 2018. Circular economy as an essentially contested concept. Journal of cleaner production 175, 544–552.</w:t>
      </w:r>
    </w:p>
    <w:p w14:paraId="31EA736E"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Levänen, J., 2015. Ending waste by law: institutions and collective learning in the development of industrial recycling in Finland. Journal of cleaner production 87, 542–549.</w:t>
      </w:r>
    </w:p>
    <w:p w14:paraId="0A5B1469"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Lüdeke‐Freund, F., Gold, S., Bocken, N.M., 2019. A review and typology of circular economy business model patterns. Journal of industrial ecology 23, 36–61.</w:t>
      </w:r>
    </w:p>
    <w:p w14:paraId="632AC4A1"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March, J.G., Olsen, J.P., 1996. </w:t>
      </w:r>
      <w:r w:rsidRPr="00EE533D">
        <w:rPr>
          <w:rFonts w:asciiTheme="majorBidi" w:hAnsiTheme="majorBidi" w:cstheme="majorBidi"/>
          <w:sz w:val="24"/>
          <w:szCs w:val="24"/>
        </w:rPr>
        <w:t xml:space="preserve">Institutional perspectives on political institutions. </w:t>
      </w:r>
      <w:r w:rsidRPr="00EE533D">
        <w:rPr>
          <w:rFonts w:asciiTheme="majorBidi" w:hAnsiTheme="majorBidi" w:cstheme="majorBidi"/>
          <w:sz w:val="24"/>
          <w:szCs w:val="24"/>
          <w:lang w:val="en-GB"/>
        </w:rPr>
        <w:t>Governance 9, 247–264.</w:t>
      </w:r>
    </w:p>
    <w:p w14:paraId="7AC62F13"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Metcalfe, J.S., 2001. Institutions and progress. Industrial and corporate change 10, 561–586.</w:t>
      </w:r>
    </w:p>
    <w:p w14:paraId="2008DCE5"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Meyer, J.W., Rowan, B., 1977. Institutionalized organizations: Formal structure as myth and </w:t>
      </w:r>
      <w:r w:rsidRPr="00EE533D">
        <w:rPr>
          <w:rFonts w:asciiTheme="majorBidi" w:hAnsiTheme="majorBidi" w:cstheme="majorBidi"/>
          <w:sz w:val="24"/>
          <w:szCs w:val="24"/>
          <w:lang w:val="en-GB"/>
        </w:rPr>
        <w:lastRenderedPageBreak/>
        <w:t>ceremony. American journal of sociology 83, 340–363.</w:t>
      </w:r>
    </w:p>
    <w:p w14:paraId="0F0F13BD"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Millar, N., McLaughlin, E., Börger, T., 2019. The Circular Economy: Swings and Roundabouts? Ecological Economics 158, 11–19. https://doi.org/10.1016/j.ecolecon.2018.12.012</w:t>
      </w:r>
    </w:p>
    <w:p w14:paraId="5074E545"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Miranda, S.M., Kim, Y.-M., 2006. Professional versus political contexts: institutional mitigation and the transaction cost heuristic in information systems outsourcing. Mis Quarterly 725–753.</w:t>
      </w:r>
    </w:p>
    <w:p w14:paraId="2F8C56F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Murray, A., Skene, K., Haynes, K., 2017. The circular economy: an interdisciplinary exploration of the concept and application in a global context. Journal of business ethics 140, 369–380.</w:t>
      </w:r>
    </w:p>
    <w:p w14:paraId="35F125D6"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Nickell, S., 1981. Biases in Dynamic Models with Fixed Effects. Econometrica 49, 1417–1426. https://doi.org/10.2307/1911408</w:t>
      </w:r>
    </w:p>
    <w:p w14:paraId="7F454FFD"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North, D.C., 1991. Towards a theory of institutional change. Quarterly Review of Economics and Business 31, 3–12.</w:t>
      </w:r>
    </w:p>
    <w:p w14:paraId="211AA78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North, D.C., 1990. Institutions, institutional change and economic performance. Cambridge university press.</w:t>
      </w:r>
    </w:p>
    <w:p w14:paraId="1699C16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Pajunen, N., Watkins, G., Husgafvel, R., Heiskanen, K., Dahl, O., 2013. The challenge to overcome institutional barriers in the development of industrial residue based novel symbiosis products–Experiences from Finnish process industry. Minerals Engineering 46, 144–156.</w:t>
      </w:r>
    </w:p>
    <w:p w14:paraId="239C9030"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Phan, T.N., Baird, K., 2015. The comprehensiveness of environmental management systems: The influence of institutional pressures and the impact on environmental performance. Journal of environmental management 160, 45–56.</w:t>
      </w:r>
    </w:p>
    <w:p w14:paraId="4854552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Pigou, A.C., 1951. Some aspects of welfare economics. The American Economic Review 41, 287–302.</w:t>
      </w:r>
    </w:p>
    <w:p w14:paraId="6652CF11"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Randall, A., Hoehn, J.P., Brookshire, D.S., 1983. Contingent valuation surveys for evaluating environmental assets. Natural Resources Journal 23, 635–648.</w:t>
      </w:r>
    </w:p>
    <w:p w14:paraId="11DEB797"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Ranta, V., Aarikka-Stenroos, L., Ritala, P., Mäkinen, S.J., 2018. Exploring institutional drivers and barriers of the circular economy: A cross-regional comparison of China, the </w:t>
      </w:r>
      <w:r w:rsidRPr="00EE533D">
        <w:rPr>
          <w:rFonts w:asciiTheme="majorBidi" w:hAnsiTheme="majorBidi" w:cstheme="majorBidi"/>
          <w:sz w:val="24"/>
          <w:szCs w:val="24"/>
          <w:lang w:val="en-GB"/>
        </w:rPr>
        <w:lastRenderedPageBreak/>
        <w:t>US, and Europe. Resources, Conservation and Recycling 135, 70–82.</w:t>
      </w:r>
    </w:p>
    <w:p w14:paraId="2835CB5D"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Roodman, D., 2009. A Note on the Theme of Too Many Instruments*. Oxford Bulletin of Economics and Statistics 71, 135–158. https://doi.org/10.1111/j.1468-0084.2008.00542.x</w:t>
      </w:r>
    </w:p>
    <w:p w14:paraId="32C7686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Sarja, M., Onkila, T., Mäkelä, M., 2021. A systematic literature review of the transition to the circular economy in business organizations: Obstacles, catalysts and ambivalences. Journal of Cleaner Production 286, 125492.</w:t>
      </w:r>
    </w:p>
    <w:p w14:paraId="26FD2B69"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Schwab, A., Abrahamson, E., Starbuck, W.H., Fidler, F., 2011. Perspective—researchers should make thoughtful assessments instead </w:t>
      </w:r>
      <w:r w:rsidRPr="00EE533D">
        <w:rPr>
          <w:rFonts w:asciiTheme="majorBidi" w:hAnsiTheme="majorBidi" w:cstheme="majorBidi"/>
          <w:sz w:val="24"/>
          <w:szCs w:val="24"/>
          <w:lang w:val="en-GB"/>
        </w:rPr>
        <w:lastRenderedPageBreak/>
        <w:t>of null-hypothesis significance tests. Organization Science 22, 1105–1120.</w:t>
      </w:r>
    </w:p>
    <w:p w14:paraId="59771583"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Scott, W.R., 2008. Approaching adulthood: the maturing of institutional theory. Theory and society 37, 427–442.</w:t>
      </w:r>
    </w:p>
    <w:p w14:paraId="48812F89"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Shah, A., 2021. ASDOC: Stata module to create high-quality tables in MS Word from Stata output.</w:t>
      </w:r>
    </w:p>
    <w:p w14:paraId="1F0978A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Sharma, P., Leung, T.Y., Kingshott, R.P.J., Davcik, N.S., Cardinali, S., 2020. Managing uncertainty during a global pandemic: An international business perspective. Journal of Business Research 116, 188–192. https://doi.org/10.1016/j.jbusres.2020.05.026</w:t>
      </w:r>
    </w:p>
    <w:p w14:paraId="49668F5C"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Shinkle, G.A., Spencer, J.W., 2012. The social construction of global corporate citizenship: </w:t>
      </w:r>
      <w:r w:rsidRPr="00EE533D">
        <w:rPr>
          <w:rFonts w:asciiTheme="majorBidi" w:hAnsiTheme="majorBidi" w:cstheme="majorBidi"/>
          <w:sz w:val="24"/>
          <w:szCs w:val="24"/>
          <w:lang w:val="en-GB"/>
        </w:rPr>
        <w:lastRenderedPageBreak/>
        <w:t>Sustainability reports of automotive corporations. Journal of World Business 47, 123–133.</w:t>
      </w:r>
    </w:p>
    <w:p w14:paraId="7E969D73"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Sivak, R., Caplanova, A., Hudson, J., 2011. The impact of governance and infrastructure on innovation. Post-Communist Economies 23, 203–217.</w:t>
      </w:r>
    </w:p>
    <w:p w14:paraId="73234D98"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Stef, N., Başağaoğlu, H., Chakraborty, D., Jabeur, S.B., 2023. Does institutional quality affect CO2 emissions? Evidence from explainable artificial intelligence models. Energy Economics 124, 106822.</w:t>
      </w:r>
    </w:p>
    <w:p w14:paraId="2C64B422"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Stef, N., Ben Jabeur, S., 2023. Elections and Environmental Quality. Environmental and Resource Economics 84, 593–625. https://doi.org/10.1007/s10640-022-00739-1</w:t>
      </w:r>
    </w:p>
    <w:p w14:paraId="475B7D48" w14:textId="08D3FC9D"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Teece, D.J., 2007. Explicating dynamic capabilities: the nature and microfoundations of (sustainable) enterprise performance. Strategic Management Journal 28, 1319–1350. https://doi.org/10.1002/smj.640</w:t>
      </w:r>
    </w:p>
    <w:p w14:paraId="4B5B55D3" w14:textId="36DAF453"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UNEP FI. (2023). Guidance on Resource Efficiency and Circular Economy Target Setting. Version 2. Retrieved from https://www.unepfi.org/industries/banking/guidance-on-resource-efficiency-and-circular-economy-target-setting-version-2/</w:t>
      </w:r>
    </w:p>
    <w:p w14:paraId="64E06658" w14:textId="1BE21564"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rPr>
        <w:t xml:space="preserve">Vernier, M.-F., Arfaoui, N., Challita, S., Lanoie, P., Plouffe, S., 2022a. </w:t>
      </w:r>
      <w:r w:rsidRPr="00EE533D">
        <w:rPr>
          <w:rFonts w:asciiTheme="majorBidi" w:hAnsiTheme="majorBidi" w:cstheme="majorBidi"/>
          <w:sz w:val="24"/>
          <w:szCs w:val="24"/>
          <w:lang w:val="en-GB"/>
        </w:rPr>
        <w:t>Factors Influencing Profitability in Eco-design: Lessons from European and Canadian Firms 1. Journal of Innovation Economics &amp; Management In-32.</w:t>
      </w:r>
    </w:p>
    <w:p w14:paraId="0FC3328F"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lastRenderedPageBreak/>
        <w:t>Vernier, M.-F., Arfaoui, N., Challita, S., Lanoie, P., Plouffe, S., 2022b. Factors Influencing Profitability in Eco-design: Lessons from European and Canadian Firms. Journal of Innovation Economics &amp; Management 39, 141–172.</w:t>
      </w:r>
    </w:p>
    <w:p w14:paraId="4E7763B3"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Wang, S., Wang, H., Wang, J., 2019. Exploring the effects of institutional pressures on the implementation of environmental management accounting: Do top management support and perceived benefit work? Business Strategy and the Environment 28, 233–243.</w:t>
      </w:r>
    </w:p>
    <w:p w14:paraId="5538BC5E"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Windmeijer, F., 2005. A finite sample correction for the variance of linear efficient two-step GMM estimators. Journal of Econometrics 126, 25–51. </w:t>
      </w:r>
      <w:r w:rsidRPr="00EE533D">
        <w:rPr>
          <w:rFonts w:asciiTheme="majorBidi" w:hAnsiTheme="majorBidi" w:cstheme="majorBidi"/>
          <w:sz w:val="24"/>
          <w:szCs w:val="24"/>
          <w:lang w:val="en-GB"/>
        </w:rPr>
        <w:lastRenderedPageBreak/>
        <w:t>https://doi.org/10.1016/j.jeconom.2004.02.005</w:t>
      </w:r>
    </w:p>
    <w:p w14:paraId="2BBB3ABF" w14:textId="740BFF14"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World Economic Forum. (2025). Circular Transformation of Industries: Unlocking Economic Value. In collaboration with Bain &amp; Company and the University of Cambridge. Retrieved from https://reports.weforum.org/docs/WEF_Circular_Transformation_of_Industries_2025.pdf</w:t>
      </w:r>
    </w:p>
    <w:p w14:paraId="5B960027" w14:textId="03AD47E4" w:rsidR="00ED7FCB" w:rsidRPr="00EE533D" w:rsidRDefault="00ED7FCB" w:rsidP="00ED7FCB">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World Bank Group. (2022). Squaring the Circle: Policies from Europe's Circular Economy Transition. Retrived from: https://documents1.worldbank.org/curated/en/099425006222229520/pdf/P174596025fa8105a091c50fb22f0596fd1.pdf</w:t>
      </w:r>
    </w:p>
    <w:p w14:paraId="04DB5E6E"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 xml:space="preserve">Ziegler, R., 2015. Justice and innovation–towards principles for creating a fair space for </w:t>
      </w:r>
      <w:r w:rsidRPr="00EE533D">
        <w:rPr>
          <w:rFonts w:asciiTheme="majorBidi" w:hAnsiTheme="majorBidi" w:cstheme="majorBidi"/>
          <w:sz w:val="24"/>
          <w:szCs w:val="24"/>
          <w:lang w:val="en-GB"/>
        </w:rPr>
        <w:lastRenderedPageBreak/>
        <w:t>innovation. Journal of Responsible Innovation 2, 184–200.</w:t>
      </w:r>
    </w:p>
    <w:p w14:paraId="6EC2513D" w14:textId="77777777" w:rsidR="003551D5" w:rsidRPr="00EE533D" w:rsidRDefault="003551D5" w:rsidP="003551D5">
      <w:pPr>
        <w:pStyle w:val="Bibliography"/>
        <w:jc w:val="both"/>
        <w:rPr>
          <w:rFonts w:asciiTheme="majorBidi" w:hAnsiTheme="majorBidi" w:cstheme="majorBidi"/>
          <w:sz w:val="24"/>
          <w:szCs w:val="24"/>
          <w:lang w:val="en-GB"/>
        </w:rPr>
      </w:pPr>
      <w:r w:rsidRPr="00EE533D">
        <w:rPr>
          <w:rFonts w:asciiTheme="majorBidi" w:hAnsiTheme="majorBidi" w:cstheme="majorBidi"/>
          <w:sz w:val="24"/>
          <w:szCs w:val="24"/>
          <w:lang w:val="en-GB"/>
        </w:rPr>
        <w:t>Zucker, L.G., 1987. Institutional theories of organization. Annual review of sociology 13, 443–464.</w:t>
      </w:r>
    </w:p>
    <w:p w14:paraId="6B509672" w14:textId="14A62816" w:rsidR="007467F2" w:rsidRPr="00EE533D" w:rsidRDefault="007467F2" w:rsidP="003551D5">
      <w:pPr>
        <w:spacing w:line="240" w:lineRule="auto"/>
        <w:jc w:val="both"/>
        <w:rPr>
          <w:rFonts w:asciiTheme="majorBidi" w:hAnsiTheme="majorBidi" w:cstheme="majorBidi"/>
          <w:sz w:val="24"/>
          <w:szCs w:val="24"/>
          <w:lang w:val="en-GB"/>
        </w:rPr>
      </w:pPr>
      <w:r w:rsidRPr="00EE533D">
        <w:rPr>
          <w:rFonts w:asciiTheme="majorBidi" w:hAnsiTheme="majorBidi" w:cstheme="majorBidi"/>
          <w:sz w:val="24"/>
          <w:szCs w:val="24"/>
          <w:lang w:val="en-GB"/>
        </w:rPr>
        <w:fldChar w:fldCharType="end"/>
      </w:r>
    </w:p>
    <w:p w14:paraId="0DA870C7" w14:textId="77777777" w:rsidR="007467F2" w:rsidRPr="00EE533D" w:rsidRDefault="007467F2" w:rsidP="003551D5">
      <w:pPr>
        <w:spacing w:line="259" w:lineRule="auto"/>
        <w:jc w:val="both"/>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text" w:horzAnchor="margin" w:tblpY="-126"/>
        <w:tblW w:w="9067" w:type="dxa"/>
        <w:tblLook w:val="0000" w:firstRow="0" w:lastRow="0" w:firstColumn="0" w:lastColumn="0" w:noHBand="0" w:noVBand="0"/>
      </w:tblPr>
      <w:tblGrid>
        <w:gridCol w:w="2552"/>
        <w:gridCol w:w="6515"/>
      </w:tblGrid>
      <w:tr w:rsidR="00EE533D" w:rsidRPr="00EE533D" w14:paraId="6F2D8282" w14:textId="77777777" w:rsidTr="007467F2">
        <w:trPr>
          <w:trHeight w:val="19"/>
        </w:trPr>
        <w:tc>
          <w:tcPr>
            <w:tcW w:w="9067" w:type="dxa"/>
            <w:gridSpan w:val="2"/>
          </w:tcPr>
          <w:p w14:paraId="11FB425C" w14:textId="77777777" w:rsidR="007467F2" w:rsidRPr="00EE533D" w:rsidRDefault="007467F2" w:rsidP="007467F2">
            <w:pPr>
              <w:pStyle w:val="NoSpacing"/>
              <w:rPr>
                <w:rFonts w:ascii="Times New Roman" w:eastAsia="Calibri" w:hAnsi="Times New Roman" w:cs="Times New Roman"/>
                <w:b/>
                <w:sz w:val="24"/>
                <w:szCs w:val="24"/>
                <w:lang w:val="en-GB"/>
              </w:rPr>
            </w:pPr>
            <w:r w:rsidRPr="00EE533D">
              <w:rPr>
                <w:rFonts w:ascii="Times New Roman" w:eastAsia="Calibri" w:hAnsi="Times New Roman" w:cs="Times New Roman"/>
                <w:b/>
                <w:sz w:val="24"/>
                <w:szCs w:val="24"/>
                <w:lang w:val="en-GB"/>
              </w:rPr>
              <w:lastRenderedPageBreak/>
              <w:t>Table 1. Description of variables</w:t>
            </w:r>
          </w:p>
        </w:tc>
      </w:tr>
      <w:tr w:rsidR="00EE533D" w:rsidRPr="00EE533D" w14:paraId="4DBDAD64" w14:textId="77777777" w:rsidTr="007467F2">
        <w:trPr>
          <w:trHeight w:val="19"/>
        </w:trPr>
        <w:tc>
          <w:tcPr>
            <w:tcW w:w="2552" w:type="dxa"/>
            <w:tcBorders>
              <w:bottom w:val="single" w:sz="12" w:space="0" w:color="auto"/>
            </w:tcBorders>
          </w:tcPr>
          <w:p w14:paraId="3FF4B32E" w14:textId="77777777" w:rsidR="007467F2" w:rsidRPr="00EE533D" w:rsidRDefault="007467F2" w:rsidP="007467F2">
            <w:pPr>
              <w:pStyle w:val="NoSpacing"/>
              <w:rPr>
                <w:rFonts w:ascii="Times New Roman" w:eastAsia="Calibri" w:hAnsi="Times New Roman" w:cs="Times New Roman"/>
                <w:b/>
                <w:sz w:val="24"/>
                <w:szCs w:val="24"/>
                <w:lang w:val="en-GB"/>
              </w:rPr>
            </w:pPr>
            <w:r w:rsidRPr="00EE533D">
              <w:rPr>
                <w:rFonts w:ascii="Times New Roman" w:eastAsia="Calibri" w:hAnsi="Times New Roman" w:cs="Times New Roman"/>
                <w:b/>
                <w:sz w:val="24"/>
                <w:szCs w:val="24"/>
                <w:lang w:val="en-GB"/>
              </w:rPr>
              <w:t>Variable</w:t>
            </w:r>
          </w:p>
        </w:tc>
        <w:tc>
          <w:tcPr>
            <w:tcW w:w="6515" w:type="dxa"/>
            <w:tcBorders>
              <w:bottom w:val="single" w:sz="12" w:space="0" w:color="auto"/>
            </w:tcBorders>
          </w:tcPr>
          <w:p w14:paraId="298AD297" w14:textId="77777777" w:rsidR="007467F2" w:rsidRPr="00EE533D" w:rsidRDefault="007467F2" w:rsidP="007467F2">
            <w:pPr>
              <w:pStyle w:val="NoSpacing"/>
              <w:rPr>
                <w:rFonts w:ascii="Times New Roman" w:eastAsia="Calibri" w:hAnsi="Times New Roman" w:cs="Times New Roman"/>
                <w:b/>
                <w:sz w:val="24"/>
                <w:szCs w:val="24"/>
                <w:lang w:val="en-GB"/>
              </w:rPr>
            </w:pPr>
            <w:r w:rsidRPr="00EE533D">
              <w:rPr>
                <w:rFonts w:ascii="Times New Roman" w:eastAsia="Calibri" w:hAnsi="Times New Roman" w:cs="Times New Roman"/>
                <w:b/>
                <w:sz w:val="24"/>
                <w:szCs w:val="24"/>
                <w:lang w:val="en-GB"/>
              </w:rPr>
              <w:t>Definition</w:t>
            </w:r>
          </w:p>
        </w:tc>
      </w:tr>
      <w:tr w:rsidR="00EE533D" w:rsidRPr="00EE533D" w14:paraId="3D4EC2A3" w14:textId="77777777" w:rsidTr="007467F2">
        <w:trPr>
          <w:trHeight w:val="19"/>
        </w:trPr>
        <w:tc>
          <w:tcPr>
            <w:tcW w:w="9067" w:type="dxa"/>
            <w:gridSpan w:val="2"/>
            <w:tcBorders>
              <w:top w:val="single" w:sz="12" w:space="0" w:color="auto"/>
            </w:tcBorders>
          </w:tcPr>
          <w:p w14:paraId="00B1BA8F" w14:textId="77777777" w:rsidR="007467F2" w:rsidRPr="00EE533D" w:rsidRDefault="007467F2" w:rsidP="007467F2">
            <w:pPr>
              <w:pStyle w:val="NoSpacing"/>
              <w:jc w:val="both"/>
              <w:rPr>
                <w:rFonts w:ascii="Times New Roman" w:eastAsia="Calibri" w:hAnsi="Times New Roman" w:cs="Times New Roman"/>
                <w:b/>
                <w:bCs/>
                <w:lang w:val="en-GB"/>
              </w:rPr>
            </w:pPr>
            <w:r w:rsidRPr="00EE533D">
              <w:rPr>
                <w:rFonts w:ascii="Times New Roman" w:hAnsi="Times New Roman" w:cs="Times New Roman"/>
                <w:b/>
                <w:bCs/>
                <w:lang w:val="en-GB"/>
              </w:rPr>
              <w:t>A. Recycling variables</w:t>
            </w:r>
          </w:p>
        </w:tc>
      </w:tr>
      <w:tr w:rsidR="00EE533D" w:rsidRPr="00EE533D" w14:paraId="22F64A1B" w14:textId="77777777" w:rsidTr="007467F2">
        <w:trPr>
          <w:trHeight w:val="19"/>
        </w:trPr>
        <w:tc>
          <w:tcPr>
            <w:tcW w:w="2552" w:type="dxa"/>
          </w:tcPr>
          <w:p w14:paraId="118DB405"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Recycled Waste</w:t>
            </w:r>
          </w:p>
        </w:tc>
        <w:tc>
          <w:tcPr>
            <w:tcW w:w="6515" w:type="dxa"/>
            <w:vAlign w:val="bottom"/>
          </w:tcPr>
          <w:p w14:paraId="043FE9BA" w14:textId="70018AA4"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Ratio between waste that is recycled, and the total waste</w:t>
            </w:r>
            <w:r w:rsidR="005173B2" w:rsidRPr="00EE533D">
              <w:rPr>
                <w:rFonts w:ascii="Times New Roman" w:eastAsia="Calibri" w:hAnsi="Times New Roman" w:cs="Times New Roman"/>
                <w:lang w:val="en-GB"/>
              </w:rPr>
              <w:t>,</w:t>
            </w:r>
            <w:r w:rsidR="00B0499F" w:rsidRPr="00EE533D">
              <w:rPr>
                <w:rFonts w:ascii="Times New Roman" w:eastAsia="Calibri" w:hAnsi="Times New Roman" w:cs="Times New Roman"/>
                <w:lang w:val="en-GB"/>
              </w:rPr>
              <w:t xml:space="preserve"> both hazardous and non-hazardous</w:t>
            </w:r>
            <w:r w:rsidR="005173B2" w:rsidRPr="00EE533D">
              <w:rPr>
                <w:rFonts w:ascii="Times New Roman" w:eastAsia="Calibri" w:hAnsi="Times New Roman" w:cs="Times New Roman"/>
                <w:lang w:val="en-GB"/>
              </w:rPr>
              <w:t>,</w:t>
            </w:r>
            <w:r w:rsidRPr="00EE533D">
              <w:rPr>
                <w:rFonts w:ascii="Times New Roman" w:eastAsia="Calibri" w:hAnsi="Times New Roman" w:cs="Times New Roman"/>
                <w:lang w:val="en-GB"/>
              </w:rPr>
              <w:t xml:space="preserve"> generated by the firm. Source: Bloomberg Terminal.</w:t>
            </w:r>
          </w:p>
        </w:tc>
      </w:tr>
      <w:tr w:rsidR="00EE533D" w:rsidRPr="00EE533D" w14:paraId="3D8134B4" w14:textId="77777777" w:rsidTr="007467F2">
        <w:trPr>
          <w:trHeight w:val="19"/>
        </w:trPr>
        <w:tc>
          <w:tcPr>
            <w:tcW w:w="2552" w:type="dxa"/>
          </w:tcPr>
          <w:p w14:paraId="5D85B6DD"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Recycled Water</w:t>
            </w:r>
          </w:p>
        </w:tc>
        <w:tc>
          <w:tcPr>
            <w:tcW w:w="6515" w:type="dxa"/>
            <w:vAlign w:val="bottom"/>
          </w:tcPr>
          <w:p w14:paraId="6DC519F1"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The percentage of the total water used to support its operational processes that the firm recycles. This data is collected by Bloomberg as reported by the firm. Source: Bloomberg Terminal.</w:t>
            </w:r>
          </w:p>
        </w:tc>
      </w:tr>
      <w:tr w:rsidR="00EE533D" w:rsidRPr="00EE533D" w14:paraId="527C950F" w14:textId="77777777" w:rsidTr="007467F2">
        <w:trPr>
          <w:trHeight w:val="19"/>
        </w:trPr>
        <w:tc>
          <w:tcPr>
            <w:tcW w:w="2552" w:type="dxa"/>
          </w:tcPr>
          <w:p w14:paraId="20CFA480"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Recycled Paper</w:t>
            </w:r>
          </w:p>
        </w:tc>
        <w:tc>
          <w:tcPr>
            <w:tcW w:w="6515" w:type="dxa"/>
            <w:vAlign w:val="bottom"/>
          </w:tcPr>
          <w:p w14:paraId="58E68470"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 xml:space="preserve">Natural logarithm of the </w:t>
            </w:r>
            <w:r w:rsidRPr="00EE533D">
              <w:rPr>
                <w:rFonts w:ascii="Times New Roman" w:hAnsi="Times New Roman" w:cs="Times New Roman"/>
                <w:lang w:val="en-GB"/>
              </w:rPr>
              <w:t>t</w:t>
            </w:r>
            <w:r w:rsidRPr="00EE533D">
              <w:rPr>
                <w:rFonts w:ascii="Times New Roman" w:eastAsia="Calibri" w:hAnsi="Times New Roman" w:cs="Times New Roman"/>
                <w:lang w:val="en-GB"/>
              </w:rPr>
              <w:t>otal amount of paper a firm sends for recycling, in thousands of metric tonnes. Source: Bloomberg Terminal.</w:t>
            </w:r>
          </w:p>
          <w:p w14:paraId="1E739089" w14:textId="77777777" w:rsidR="007467F2" w:rsidRPr="00EE533D" w:rsidRDefault="007467F2" w:rsidP="007467F2">
            <w:pPr>
              <w:pStyle w:val="NoSpacing"/>
              <w:jc w:val="both"/>
              <w:rPr>
                <w:rFonts w:ascii="Times New Roman" w:eastAsia="Calibri" w:hAnsi="Times New Roman" w:cs="Times New Roman"/>
                <w:lang w:val="en-GB"/>
              </w:rPr>
            </w:pPr>
          </w:p>
        </w:tc>
      </w:tr>
      <w:tr w:rsidR="00EE533D" w:rsidRPr="00EE533D" w14:paraId="19749405" w14:textId="77777777" w:rsidTr="007467F2">
        <w:trPr>
          <w:trHeight w:val="19"/>
        </w:trPr>
        <w:tc>
          <w:tcPr>
            <w:tcW w:w="9067" w:type="dxa"/>
            <w:gridSpan w:val="2"/>
            <w:vAlign w:val="bottom"/>
          </w:tcPr>
          <w:p w14:paraId="106F509F" w14:textId="77777777" w:rsidR="007467F2" w:rsidRPr="00EE533D" w:rsidRDefault="007467F2" w:rsidP="007467F2">
            <w:pPr>
              <w:pStyle w:val="NoSpacing"/>
              <w:rPr>
                <w:rFonts w:ascii="Times New Roman" w:eastAsia="Calibri" w:hAnsi="Times New Roman" w:cs="Times New Roman"/>
                <w:b/>
                <w:bCs/>
                <w:lang w:val="en-GB"/>
              </w:rPr>
            </w:pPr>
            <w:r w:rsidRPr="00EE533D">
              <w:rPr>
                <w:rFonts w:ascii="Times New Roman" w:eastAsia="Calibri" w:hAnsi="Times New Roman" w:cs="Times New Roman"/>
                <w:b/>
                <w:bCs/>
                <w:lang w:val="en-GB"/>
              </w:rPr>
              <w:t>B. Institutional variables</w:t>
            </w:r>
          </w:p>
        </w:tc>
      </w:tr>
      <w:tr w:rsidR="00EE533D" w:rsidRPr="00EE533D" w14:paraId="61115F12" w14:textId="77777777" w:rsidTr="007467F2">
        <w:trPr>
          <w:trHeight w:val="19"/>
        </w:trPr>
        <w:tc>
          <w:tcPr>
            <w:tcW w:w="2552" w:type="dxa"/>
          </w:tcPr>
          <w:p w14:paraId="285F3665"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Control of Corruption</w:t>
            </w:r>
          </w:p>
        </w:tc>
        <w:tc>
          <w:tcPr>
            <w:tcW w:w="6515" w:type="dxa"/>
          </w:tcPr>
          <w:p w14:paraId="67B68B78"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w:t>
            </w:r>
            <w:r w:rsidRPr="00EE533D">
              <w:rPr>
                <w:lang w:val="en-GB"/>
              </w:rPr>
              <w:t xml:space="preserve"> </w:t>
            </w:r>
            <w:r w:rsidRPr="00EE533D">
              <w:rPr>
                <w:rFonts w:ascii="Times New Roman" w:eastAsia="Calibri" w:hAnsi="Times New Roman" w:cs="Times New Roman"/>
                <w:lang w:val="en-GB"/>
              </w:rPr>
              <w:t>captures perceptions of the extent to which public power is exercised for private gain, as well as "capture" of the state by elites and private interests. Source: Worldwide Governance Indicators (World Bank).</w:t>
            </w:r>
          </w:p>
        </w:tc>
      </w:tr>
      <w:tr w:rsidR="00EE533D" w:rsidRPr="00EE533D" w14:paraId="654C16A2" w14:textId="77777777" w:rsidTr="007467F2">
        <w:trPr>
          <w:trHeight w:val="19"/>
        </w:trPr>
        <w:tc>
          <w:tcPr>
            <w:tcW w:w="2552" w:type="dxa"/>
          </w:tcPr>
          <w:p w14:paraId="727925A1"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Government Effectiveness</w:t>
            </w:r>
          </w:p>
        </w:tc>
        <w:tc>
          <w:tcPr>
            <w:tcW w:w="6515" w:type="dxa"/>
          </w:tcPr>
          <w:p w14:paraId="2CA58780"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 captures perceptions of the quality of public and civil services, and the degree of their independence from political pressures, the quality of public policy, and the credibility of the government's commitment to such policies. Source: Worldwide Governance Indicators (World Bank).</w:t>
            </w:r>
          </w:p>
        </w:tc>
      </w:tr>
      <w:tr w:rsidR="00EE533D" w:rsidRPr="00EE533D" w14:paraId="55985D38" w14:textId="77777777" w:rsidTr="007467F2">
        <w:trPr>
          <w:trHeight w:val="19"/>
        </w:trPr>
        <w:tc>
          <w:tcPr>
            <w:tcW w:w="2552" w:type="dxa"/>
          </w:tcPr>
          <w:p w14:paraId="330D3C97" w14:textId="77777777" w:rsidR="007467F2" w:rsidRPr="00EE533D" w:rsidRDefault="007467F2" w:rsidP="007467F2">
            <w:pPr>
              <w:spacing w:after="0"/>
              <w:rPr>
                <w:rFonts w:ascii="Times New Roman" w:hAnsi="Times New Roman" w:cs="Times New Roman"/>
                <w:lang w:val="en-GB"/>
              </w:rPr>
            </w:pPr>
            <w:r w:rsidRPr="00EE533D">
              <w:rPr>
                <w:rFonts w:ascii="Times New Roman" w:eastAsia="Times New Roman" w:hAnsi="Times New Roman" w:cs="Times New Roman"/>
                <w:lang w:val="en-GB"/>
              </w:rPr>
              <w:t>Political Stability</w:t>
            </w:r>
          </w:p>
        </w:tc>
        <w:tc>
          <w:tcPr>
            <w:tcW w:w="6515" w:type="dxa"/>
          </w:tcPr>
          <w:p w14:paraId="1DDA2A60"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 captures the perceptions of the likelihood of political instability and/or politically motivated violence, including terrorism. Source: Worldwide Governance Indicators (World Bank).</w:t>
            </w:r>
          </w:p>
        </w:tc>
      </w:tr>
      <w:tr w:rsidR="00EE533D" w:rsidRPr="00EE533D" w14:paraId="67BBA289" w14:textId="77777777" w:rsidTr="007467F2">
        <w:trPr>
          <w:trHeight w:val="19"/>
        </w:trPr>
        <w:tc>
          <w:tcPr>
            <w:tcW w:w="2552" w:type="dxa"/>
          </w:tcPr>
          <w:p w14:paraId="513D1DF6"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Regulatory Quality</w:t>
            </w:r>
          </w:p>
        </w:tc>
        <w:tc>
          <w:tcPr>
            <w:tcW w:w="6515" w:type="dxa"/>
          </w:tcPr>
          <w:p w14:paraId="30B3406F" w14:textId="5FB66C34"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 captures perceptions of the ability of the government to formulate and implement sound policies and regulations that favo</w:t>
            </w:r>
            <w:r w:rsidR="00416249" w:rsidRPr="00EE533D">
              <w:rPr>
                <w:rFonts w:ascii="Times New Roman" w:eastAsia="Calibri" w:hAnsi="Times New Roman" w:cs="Times New Roman"/>
                <w:lang w:val="en-GB"/>
              </w:rPr>
              <w:t>u</w:t>
            </w:r>
            <w:r w:rsidRPr="00EE533D">
              <w:rPr>
                <w:rFonts w:ascii="Times New Roman" w:eastAsia="Calibri" w:hAnsi="Times New Roman" w:cs="Times New Roman"/>
                <w:lang w:val="en-GB"/>
              </w:rPr>
              <w:t>r private sector development. Source: Worldwide Governance Indicators (World Bank).</w:t>
            </w:r>
          </w:p>
        </w:tc>
      </w:tr>
      <w:tr w:rsidR="00EE533D" w:rsidRPr="00EE533D" w14:paraId="2E839313" w14:textId="77777777" w:rsidTr="007467F2">
        <w:trPr>
          <w:trHeight w:val="19"/>
        </w:trPr>
        <w:tc>
          <w:tcPr>
            <w:tcW w:w="2552" w:type="dxa"/>
          </w:tcPr>
          <w:p w14:paraId="24575529" w14:textId="77777777" w:rsidR="007467F2" w:rsidRPr="00EE533D" w:rsidRDefault="007467F2" w:rsidP="007467F2">
            <w:pPr>
              <w:spacing w:after="0"/>
              <w:rPr>
                <w:rFonts w:ascii="Times New Roman" w:hAnsi="Times New Roman" w:cs="Times New Roman"/>
                <w:lang w:val="en-GB"/>
              </w:rPr>
            </w:pPr>
            <w:r w:rsidRPr="00EE533D">
              <w:rPr>
                <w:rFonts w:ascii="Times New Roman" w:hAnsi="Times New Roman" w:cs="Times New Roman"/>
                <w:lang w:val="en-GB"/>
              </w:rPr>
              <w:t>Rule of Law</w:t>
            </w:r>
          </w:p>
        </w:tc>
        <w:tc>
          <w:tcPr>
            <w:tcW w:w="6515" w:type="dxa"/>
          </w:tcPr>
          <w:p w14:paraId="456AD53E"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 captures perceptions of the extent to which agents have confidence in and abide by legal rules, and in particular the quality of contract enforcement, property rights, the police, and the courts, as well as the likelihood of crime and violence. Source: Worldwide Governance Indicators (World Bank).</w:t>
            </w:r>
          </w:p>
        </w:tc>
      </w:tr>
      <w:tr w:rsidR="00EE533D" w:rsidRPr="00EE533D" w14:paraId="2223D386" w14:textId="77777777" w:rsidTr="007467F2">
        <w:trPr>
          <w:trHeight w:val="19"/>
        </w:trPr>
        <w:tc>
          <w:tcPr>
            <w:tcW w:w="2552" w:type="dxa"/>
          </w:tcPr>
          <w:p w14:paraId="08AE1ACB"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Voice</w:t>
            </w:r>
          </w:p>
        </w:tc>
        <w:tc>
          <w:tcPr>
            <w:tcW w:w="6515" w:type="dxa"/>
          </w:tcPr>
          <w:p w14:paraId="1A469DE3" w14:textId="2EA991D8" w:rsidR="007467F2" w:rsidRPr="00EE533D" w:rsidRDefault="007467F2" w:rsidP="00416249">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Variable that captures perceptions of the extent to which citizens can participate in selecting their government, as well as freedom of expression, freedom of association, and free media. Source: Worldwide Governance Indicators (World Bank).</w:t>
            </w:r>
          </w:p>
        </w:tc>
      </w:tr>
      <w:tr w:rsidR="00EE533D" w:rsidRPr="00EE533D" w14:paraId="742CFA97" w14:textId="77777777" w:rsidTr="007467F2">
        <w:trPr>
          <w:trHeight w:val="19"/>
        </w:trPr>
        <w:tc>
          <w:tcPr>
            <w:tcW w:w="2552" w:type="dxa"/>
          </w:tcPr>
          <w:p w14:paraId="53768F26"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t>Executive Constraints</w:t>
            </w:r>
          </w:p>
        </w:tc>
        <w:tc>
          <w:tcPr>
            <w:tcW w:w="6515" w:type="dxa"/>
            <w:vAlign w:val="bottom"/>
          </w:tcPr>
          <w:p w14:paraId="065E8BFC" w14:textId="77777777" w:rsidR="007467F2" w:rsidRPr="00EE533D" w:rsidRDefault="007467F2" w:rsidP="007467F2">
            <w:pPr>
              <w:pStyle w:val="NoSpacing"/>
              <w:jc w:val="both"/>
              <w:rPr>
                <w:rFonts w:ascii="Times New Roman" w:hAnsi="Times New Roman" w:cs="Times New Roman"/>
                <w:lang w:val="en-GB"/>
              </w:rPr>
            </w:pPr>
            <w:r w:rsidRPr="00EE533D">
              <w:rPr>
                <w:rFonts w:ascii="Times New Roman" w:hAnsi="Times New Roman" w:cs="Times New Roman"/>
                <w:lang w:val="en-GB"/>
              </w:rPr>
              <w:t>Variable that assesses the level of checks and balances, and separation of powers — especially with respect to the executive. Source: Legatum Institute (Fifteenth Edition, The Legatum Prosperity Index 2021).</w:t>
            </w:r>
          </w:p>
        </w:tc>
      </w:tr>
      <w:tr w:rsidR="00EE533D" w:rsidRPr="00EE533D" w14:paraId="1366B609" w14:textId="77777777" w:rsidTr="007467F2">
        <w:trPr>
          <w:trHeight w:val="19"/>
        </w:trPr>
        <w:tc>
          <w:tcPr>
            <w:tcW w:w="2552" w:type="dxa"/>
          </w:tcPr>
          <w:p w14:paraId="7C966DF6"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t>Political Accountability</w:t>
            </w:r>
          </w:p>
        </w:tc>
        <w:tc>
          <w:tcPr>
            <w:tcW w:w="6515" w:type="dxa"/>
            <w:vAlign w:val="bottom"/>
          </w:tcPr>
          <w:p w14:paraId="320560FE"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hAnsi="Times New Roman" w:cs="Times New Roman"/>
                <w:lang w:val="en-GB"/>
              </w:rPr>
              <w:t>Variable that measures the degree to which the public can hold public institutions accountable, capturing the degree of political pluralism, and other mechanisms of accountability. Source: Legatum Institute (Fifteenth Edition, The Legatum Prosperity Index 2021).</w:t>
            </w:r>
          </w:p>
        </w:tc>
      </w:tr>
      <w:tr w:rsidR="00EE533D" w:rsidRPr="00EE533D" w14:paraId="0318DFD4" w14:textId="77777777" w:rsidTr="007467F2">
        <w:trPr>
          <w:trHeight w:val="19"/>
        </w:trPr>
        <w:tc>
          <w:tcPr>
            <w:tcW w:w="2552" w:type="dxa"/>
          </w:tcPr>
          <w:p w14:paraId="66622EDD"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t xml:space="preserve">Rule of Law (Legatum) </w:t>
            </w:r>
          </w:p>
        </w:tc>
        <w:tc>
          <w:tcPr>
            <w:tcW w:w="6515" w:type="dxa"/>
            <w:vAlign w:val="bottom"/>
          </w:tcPr>
          <w:p w14:paraId="5FACCBF2"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hAnsi="Times New Roman" w:cs="Times New Roman"/>
                <w:lang w:val="en-GB"/>
              </w:rPr>
              <w:t xml:space="preserve">Variable that captures the fairness, independence, and effectiveness of the judiciary (in applying both civil and criminal law), along with the accountability of the public to the law. Source: Legatum Institute (Fifteenth Edition, The Legatum Prosperity Index 2021). </w:t>
            </w:r>
          </w:p>
        </w:tc>
      </w:tr>
      <w:tr w:rsidR="00EE533D" w:rsidRPr="00EE533D" w14:paraId="586C42C3" w14:textId="77777777" w:rsidTr="007467F2">
        <w:trPr>
          <w:trHeight w:val="19"/>
        </w:trPr>
        <w:tc>
          <w:tcPr>
            <w:tcW w:w="2552" w:type="dxa"/>
          </w:tcPr>
          <w:p w14:paraId="6C4F847B"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t>Government Integrity</w:t>
            </w:r>
          </w:p>
        </w:tc>
        <w:tc>
          <w:tcPr>
            <w:tcW w:w="6515" w:type="dxa"/>
            <w:vAlign w:val="bottom"/>
          </w:tcPr>
          <w:p w14:paraId="419A52EE" w14:textId="6BC214BB" w:rsidR="007467F2" w:rsidRPr="00EE533D" w:rsidRDefault="007467F2" w:rsidP="00416249">
            <w:pPr>
              <w:pStyle w:val="NoSpacing"/>
              <w:jc w:val="both"/>
              <w:rPr>
                <w:rFonts w:ascii="Times New Roman" w:eastAsia="Calibri" w:hAnsi="Times New Roman" w:cs="Times New Roman"/>
                <w:lang w:val="en-GB"/>
              </w:rPr>
            </w:pPr>
            <w:r w:rsidRPr="00EE533D">
              <w:rPr>
                <w:rFonts w:ascii="Times New Roman" w:hAnsi="Times New Roman" w:cs="Times New Roman"/>
                <w:lang w:val="en-GB"/>
              </w:rPr>
              <w:t>Variable that assesses the integrity of a government, encompassing both the absence of corruption and the degree to which government fosters citizen participation and engagement, through open information and transparent practices. Source: Legatum Institute (Fifteenth Edition, The Legatum Prosperity Index 2021).</w:t>
            </w:r>
          </w:p>
        </w:tc>
      </w:tr>
      <w:tr w:rsidR="00EE533D" w:rsidRPr="00EE533D" w14:paraId="5705ABE0" w14:textId="77777777" w:rsidTr="007467F2">
        <w:trPr>
          <w:trHeight w:val="19"/>
        </w:trPr>
        <w:tc>
          <w:tcPr>
            <w:tcW w:w="2552" w:type="dxa"/>
          </w:tcPr>
          <w:p w14:paraId="4C4A058F"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lastRenderedPageBreak/>
              <w:t>Government Effectiveness (Legatum)</w:t>
            </w:r>
          </w:p>
        </w:tc>
        <w:tc>
          <w:tcPr>
            <w:tcW w:w="6515" w:type="dxa"/>
            <w:vAlign w:val="bottom"/>
          </w:tcPr>
          <w:p w14:paraId="4EC42D2B" w14:textId="77777777"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hAnsi="Times New Roman" w:cs="Times New Roman"/>
                <w:lang w:val="en-GB"/>
              </w:rPr>
              <w:t>Variable that represents a combination of the quality of public service provision, the quality of the bureaucracy and the competence of officials. Source: Legatum Institute (Fifteenth Edition, The Legatum Prosperity Index 2021).</w:t>
            </w:r>
          </w:p>
        </w:tc>
      </w:tr>
      <w:tr w:rsidR="00EE533D" w:rsidRPr="00EE533D" w14:paraId="5B0E56A3" w14:textId="77777777" w:rsidTr="007467F2">
        <w:trPr>
          <w:trHeight w:val="19"/>
        </w:trPr>
        <w:tc>
          <w:tcPr>
            <w:tcW w:w="2552" w:type="dxa"/>
          </w:tcPr>
          <w:p w14:paraId="0F9FA7BD"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hAnsi="Times New Roman" w:cs="Times New Roman"/>
                <w:lang w:val="en-GB"/>
              </w:rPr>
              <w:t>Regulatory Quality (Legatum)</w:t>
            </w:r>
          </w:p>
        </w:tc>
        <w:tc>
          <w:tcPr>
            <w:tcW w:w="6515" w:type="dxa"/>
            <w:vAlign w:val="bottom"/>
          </w:tcPr>
          <w:p w14:paraId="7AF2BEB2" w14:textId="77777777" w:rsidR="007467F2" w:rsidRPr="00EE533D" w:rsidRDefault="007467F2" w:rsidP="007467F2">
            <w:pPr>
              <w:pStyle w:val="NoSpacing"/>
              <w:jc w:val="both"/>
              <w:rPr>
                <w:rFonts w:ascii="Times New Roman" w:hAnsi="Times New Roman" w:cs="Times New Roman"/>
                <w:lang w:val="en-GB"/>
              </w:rPr>
            </w:pPr>
            <w:r w:rsidRPr="00EE533D">
              <w:rPr>
                <w:rFonts w:ascii="Times New Roman" w:hAnsi="Times New Roman" w:cs="Times New Roman"/>
                <w:lang w:val="en-GB"/>
              </w:rPr>
              <w:t>Variable that encompasses all aspects of the running of the regulatory state — whether it is burdensome and impedes private sector development, and whether it is smoothly and efficiently run. Source: Legatum Institute (Fifteenth Edition, The Legatum Prosperity Index 2021).</w:t>
            </w:r>
          </w:p>
          <w:p w14:paraId="4D8AA5FA" w14:textId="77777777" w:rsidR="007467F2" w:rsidRPr="00EE533D" w:rsidRDefault="007467F2" w:rsidP="007467F2">
            <w:pPr>
              <w:pStyle w:val="NoSpacing"/>
              <w:jc w:val="both"/>
              <w:rPr>
                <w:rFonts w:ascii="Times New Roman" w:eastAsia="Calibri" w:hAnsi="Times New Roman" w:cs="Times New Roman"/>
                <w:lang w:val="en-GB"/>
              </w:rPr>
            </w:pPr>
          </w:p>
        </w:tc>
      </w:tr>
      <w:tr w:rsidR="00EE533D" w:rsidRPr="00EE533D" w14:paraId="419AB0F3" w14:textId="77777777" w:rsidTr="007467F2">
        <w:trPr>
          <w:trHeight w:val="19"/>
        </w:trPr>
        <w:tc>
          <w:tcPr>
            <w:tcW w:w="9067" w:type="dxa"/>
            <w:gridSpan w:val="2"/>
          </w:tcPr>
          <w:p w14:paraId="501E9DDB" w14:textId="790384FC" w:rsidR="007467F2" w:rsidRPr="00EE533D" w:rsidRDefault="007467F2" w:rsidP="007467F2">
            <w:pPr>
              <w:pStyle w:val="NoSpacing"/>
              <w:jc w:val="both"/>
              <w:rPr>
                <w:rFonts w:ascii="Times New Roman" w:eastAsia="Calibri" w:hAnsi="Times New Roman" w:cs="Times New Roman"/>
                <w:b/>
                <w:bCs/>
                <w:lang w:val="en-GB"/>
              </w:rPr>
            </w:pPr>
            <w:r w:rsidRPr="00EE533D">
              <w:rPr>
                <w:rFonts w:ascii="Times New Roman" w:eastAsia="Calibri" w:hAnsi="Times New Roman" w:cs="Times New Roman"/>
                <w:b/>
                <w:bCs/>
                <w:lang w:val="en-GB"/>
              </w:rPr>
              <w:t>C. Financial variables</w:t>
            </w:r>
            <w:r w:rsidR="0022290F" w:rsidRPr="00EE533D">
              <w:rPr>
                <w:rFonts w:ascii="Times New Roman" w:eastAsia="Calibri" w:hAnsi="Times New Roman" w:cs="Times New Roman"/>
                <w:b/>
                <w:bCs/>
                <w:lang w:val="en-GB"/>
              </w:rPr>
              <w:t xml:space="preserve"> </w:t>
            </w:r>
            <w:r w:rsidR="0022290F" w:rsidRPr="00EE533D">
              <w:rPr>
                <w:rFonts w:ascii="Times New Roman" w:eastAsia="Calibri" w:hAnsi="Times New Roman" w:cs="Times New Roman"/>
                <w:lang w:val="en-GB"/>
              </w:rPr>
              <w:t xml:space="preserve"> (Source: Bloomberg Terminal)</w:t>
            </w:r>
          </w:p>
        </w:tc>
      </w:tr>
      <w:tr w:rsidR="00EE533D" w:rsidRPr="00EE533D" w14:paraId="5B7E0844" w14:textId="77777777" w:rsidTr="007467F2">
        <w:trPr>
          <w:trHeight w:val="19"/>
        </w:trPr>
        <w:tc>
          <w:tcPr>
            <w:tcW w:w="2552" w:type="dxa"/>
          </w:tcPr>
          <w:p w14:paraId="668344AC"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Debt/Equity</w:t>
            </w:r>
          </w:p>
        </w:tc>
        <w:tc>
          <w:tcPr>
            <w:tcW w:w="6515" w:type="dxa"/>
          </w:tcPr>
          <w:p w14:paraId="54EE77FD" w14:textId="1256AA23"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Total debt as a percentage of the total shareholders' equity.</w:t>
            </w:r>
          </w:p>
        </w:tc>
      </w:tr>
      <w:tr w:rsidR="00EE533D" w:rsidRPr="00EE533D" w14:paraId="29C4FF1A" w14:textId="77777777" w:rsidTr="007467F2">
        <w:trPr>
          <w:trHeight w:val="19"/>
        </w:trPr>
        <w:tc>
          <w:tcPr>
            <w:tcW w:w="2552" w:type="dxa"/>
          </w:tcPr>
          <w:p w14:paraId="0D0FED00"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Debt/Assets</w:t>
            </w:r>
          </w:p>
        </w:tc>
        <w:tc>
          <w:tcPr>
            <w:tcW w:w="6515" w:type="dxa"/>
          </w:tcPr>
          <w:p w14:paraId="3703D9BD" w14:textId="74C931F2"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Total debt as a percentage of a firm’s total asset value.</w:t>
            </w:r>
          </w:p>
        </w:tc>
      </w:tr>
      <w:tr w:rsidR="00EE533D" w:rsidRPr="00EE533D" w14:paraId="63283C9C" w14:textId="77777777" w:rsidTr="007467F2">
        <w:trPr>
          <w:trHeight w:val="19"/>
        </w:trPr>
        <w:tc>
          <w:tcPr>
            <w:tcW w:w="2552" w:type="dxa"/>
          </w:tcPr>
          <w:p w14:paraId="057B6150"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Sales Growth</w:t>
            </w:r>
          </w:p>
        </w:tc>
        <w:tc>
          <w:tcPr>
            <w:tcW w:w="6515" w:type="dxa"/>
          </w:tcPr>
          <w:p w14:paraId="6950FDDF" w14:textId="313E19B0"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Annual growth of sales revenue.</w:t>
            </w:r>
          </w:p>
        </w:tc>
      </w:tr>
      <w:tr w:rsidR="00EE533D" w:rsidRPr="00EE533D" w14:paraId="363028CE" w14:textId="77777777" w:rsidTr="007467F2">
        <w:trPr>
          <w:trHeight w:val="19"/>
        </w:trPr>
        <w:tc>
          <w:tcPr>
            <w:tcW w:w="2552" w:type="dxa"/>
          </w:tcPr>
          <w:p w14:paraId="19AA1C65"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EBITDA/Revenue</w:t>
            </w:r>
          </w:p>
        </w:tc>
        <w:tc>
          <w:tcPr>
            <w:tcW w:w="6515" w:type="dxa"/>
          </w:tcPr>
          <w:p w14:paraId="2E0FFB80" w14:textId="2C363789"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Earnings Before Interest, Taxes, Depreciation and Amortization as a percentage of total revenue.</w:t>
            </w:r>
          </w:p>
        </w:tc>
      </w:tr>
      <w:tr w:rsidR="00EE533D" w:rsidRPr="00EE533D" w14:paraId="413A810A" w14:textId="77777777" w:rsidTr="007467F2">
        <w:trPr>
          <w:trHeight w:val="19"/>
        </w:trPr>
        <w:tc>
          <w:tcPr>
            <w:tcW w:w="2552" w:type="dxa"/>
          </w:tcPr>
          <w:p w14:paraId="709A2F5D"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Cash Ratio</w:t>
            </w:r>
          </w:p>
        </w:tc>
        <w:tc>
          <w:tcPr>
            <w:tcW w:w="6515" w:type="dxa"/>
          </w:tcPr>
          <w:p w14:paraId="6617FC64" w14:textId="0FDAB3DA"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 xml:space="preserve">Firm’s total cash as a percentage of current liabilities. </w:t>
            </w:r>
          </w:p>
        </w:tc>
      </w:tr>
      <w:tr w:rsidR="00EE533D" w:rsidRPr="00EE533D" w14:paraId="7544D20D" w14:textId="77777777" w:rsidTr="007467F2">
        <w:trPr>
          <w:trHeight w:val="19"/>
        </w:trPr>
        <w:tc>
          <w:tcPr>
            <w:tcW w:w="2552" w:type="dxa"/>
          </w:tcPr>
          <w:p w14:paraId="7C752802"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Quick Ratio</w:t>
            </w:r>
          </w:p>
        </w:tc>
        <w:tc>
          <w:tcPr>
            <w:tcW w:w="6515" w:type="dxa"/>
          </w:tcPr>
          <w:p w14:paraId="358CCA97" w14:textId="2B8A73A2"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Ratio between a firm’s current assets and current liabilities.</w:t>
            </w:r>
          </w:p>
        </w:tc>
      </w:tr>
      <w:tr w:rsidR="00EE533D" w:rsidRPr="00EE533D" w14:paraId="57521E5C" w14:textId="77777777" w:rsidTr="007467F2">
        <w:trPr>
          <w:trHeight w:val="19"/>
        </w:trPr>
        <w:tc>
          <w:tcPr>
            <w:tcW w:w="2552" w:type="dxa"/>
          </w:tcPr>
          <w:p w14:paraId="6C3B3CB3"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Assets</w:t>
            </w:r>
          </w:p>
        </w:tc>
        <w:tc>
          <w:tcPr>
            <w:tcW w:w="6515" w:type="dxa"/>
          </w:tcPr>
          <w:p w14:paraId="37948229" w14:textId="188DB80E"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Total value of all short- and long-term assets.</w:t>
            </w:r>
          </w:p>
        </w:tc>
      </w:tr>
      <w:tr w:rsidR="00EE533D" w:rsidRPr="00EE533D" w14:paraId="77A0224B" w14:textId="77777777" w:rsidTr="007467F2">
        <w:trPr>
          <w:trHeight w:val="19"/>
        </w:trPr>
        <w:tc>
          <w:tcPr>
            <w:tcW w:w="2552" w:type="dxa"/>
          </w:tcPr>
          <w:p w14:paraId="0463837F" w14:textId="77777777" w:rsidR="007467F2" w:rsidRPr="00EE533D" w:rsidRDefault="007467F2"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Capitalization</w:t>
            </w:r>
          </w:p>
        </w:tc>
        <w:tc>
          <w:tcPr>
            <w:tcW w:w="6515" w:type="dxa"/>
          </w:tcPr>
          <w:p w14:paraId="5120EFE6" w14:textId="4E804513" w:rsidR="007467F2" w:rsidRPr="00EE533D" w:rsidRDefault="007467F2"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Firm’s market capitalization.</w:t>
            </w:r>
          </w:p>
        </w:tc>
      </w:tr>
      <w:tr w:rsidR="00EE533D" w:rsidRPr="00EE533D" w14:paraId="51352902" w14:textId="77777777" w:rsidTr="007467F2">
        <w:trPr>
          <w:trHeight w:val="19"/>
        </w:trPr>
        <w:tc>
          <w:tcPr>
            <w:tcW w:w="2552" w:type="dxa"/>
          </w:tcPr>
          <w:p w14:paraId="01A8BBA1" w14:textId="7F26FB7F" w:rsidR="00585203" w:rsidRPr="00EE533D" w:rsidRDefault="004E0E3D"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ROA</w:t>
            </w:r>
          </w:p>
        </w:tc>
        <w:tc>
          <w:tcPr>
            <w:tcW w:w="6515" w:type="dxa"/>
          </w:tcPr>
          <w:p w14:paraId="4132B421" w14:textId="22A5A96A" w:rsidR="00585203" w:rsidRPr="00EE533D" w:rsidRDefault="00F326B9"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Ratio between net income and a firm’s total asset value.</w:t>
            </w:r>
          </w:p>
        </w:tc>
      </w:tr>
      <w:tr w:rsidR="00EE533D" w:rsidRPr="00EE533D" w14:paraId="114591A3" w14:textId="77777777" w:rsidTr="007467F2">
        <w:trPr>
          <w:trHeight w:val="19"/>
        </w:trPr>
        <w:tc>
          <w:tcPr>
            <w:tcW w:w="2552" w:type="dxa"/>
          </w:tcPr>
          <w:p w14:paraId="7F7320EB" w14:textId="11ED1F0C" w:rsidR="00585203" w:rsidRPr="00EE533D" w:rsidRDefault="004E0E3D"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Tobin’s Q</w:t>
            </w:r>
          </w:p>
        </w:tc>
        <w:tc>
          <w:tcPr>
            <w:tcW w:w="6515" w:type="dxa"/>
          </w:tcPr>
          <w:p w14:paraId="7EC2C67C" w14:textId="3438365A" w:rsidR="00585203" w:rsidRPr="00EE533D" w:rsidRDefault="00D706F1"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Sum of the market capitalization, total liabilities, preferred equity and minority interest</w:t>
            </w:r>
            <w:r w:rsidR="00627665" w:rsidRPr="00EE533D">
              <w:rPr>
                <w:rFonts w:ascii="Times New Roman" w:eastAsia="Calibri" w:hAnsi="Times New Roman" w:cs="Times New Roman"/>
                <w:lang w:val="en-GB"/>
              </w:rPr>
              <w:t xml:space="preserve"> as a percentage of total assets. </w:t>
            </w:r>
          </w:p>
        </w:tc>
      </w:tr>
      <w:tr w:rsidR="00EE533D" w:rsidRPr="00EE533D" w14:paraId="0E171C64" w14:textId="77777777" w:rsidTr="007467F2">
        <w:trPr>
          <w:trHeight w:val="19"/>
        </w:trPr>
        <w:tc>
          <w:tcPr>
            <w:tcW w:w="9067" w:type="dxa"/>
            <w:gridSpan w:val="2"/>
          </w:tcPr>
          <w:p w14:paraId="55508BFC" w14:textId="12A738BC" w:rsidR="007467F2" w:rsidRPr="00EE533D" w:rsidRDefault="007467F2" w:rsidP="007467F2">
            <w:pPr>
              <w:pStyle w:val="NoSpacing"/>
              <w:jc w:val="both"/>
              <w:rPr>
                <w:rFonts w:ascii="Times New Roman" w:eastAsia="Calibri" w:hAnsi="Times New Roman" w:cs="Times New Roman"/>
                <w:b/>
                <w:bCs/>
                <w:lang w:val="en-GB"/>
              </w:rPr>
            </w:pPr>
            <w:r w:rsidRPr="00EE533D">
              <w:rPr>
                <w:rFonts w:ascii="Times New Roman" w:eastAsia="Calibri" w:hAnsi="Times New Roman" w:cs="Times New Roman"/>
                <w:b/>
                <w:bCs/>
                <w:lang w:val="en-GB"/>
              </w:rPr>
              <w:t xml:space="preserve">D. </w:t>
            </w:r>
            <w:r w:rsidR="00585203" w:rsidRPr="00EE533D">
              <w:rPr>
                <w:rFonts w:ascii="Times New Roman" w:eastAsia="Calibri" w:hAnsi="Times New Roman" w:cs="Times New Roman"/>
                <w:b/>
                <w:bCs/>
                <w:lang w:val="en-GB"/>
              </w:rPr>
              <w:t>Corporate governance</w:t>
            </w:r>
            <w:r w:rsidRPr="00EE533D">
              <w:rPr>
                <w:rFonts w:ascii="Times New Roman" w:eastAsia="Calibri" w:hAnsi="Times New Roman" w:cs="Times New Roman"/>
                <w:b/>
                <w:bCs/>
                <w:lang w:val="en-GB"/>
              </w:rPr>
              <w:t xml:space="preserve"> variables</w:t>
            </w:r>
            <w:r w:rsidR="0022290F" w:rsidRPr="00EE533D">
              <w:rPr>
                <w:rFonts w:ascii="Times New Roman" w:eastAsia="Calibri" w:hAnsi="Times New Roman" w:cs="Times New Roman"/>
                <w:b/>
                <w:bCs/>
                <w:lang w:val="en-GB"/>
              </w:rPr>
              <w:t xml:space="preserve"> </w:t>
            </w:r>
            <w:r w:rsidR="0022290F" w:rsidRPr="00EE533D">
              <w:rPr>
                <w:rFonts w:ascii="Times New Roman" w:eastAsia="Calibri" w:hAnsi="Times New Roman" w:cs="Times New Roman"/>
                <w:lang w:val="en-GB"/>
              </w:rPr>
              <w:t>(Source: Bloomberg Terminal)</w:t>
            </w:r>
          </w:p>
        </w:tc>
      </w:tr>
      <w:tr w:rsidR="00EE533D" w:rsidRPr="00EE533D" w14:paraId="34672189" w14:textId="77777777" w:rsidTr="007467F2">
        <w:trPr>
          <w:trHeight w:val="19"/>
        </w:trPr>
        <w:tc>
          <w:tcPr>
            <w:tcW w:w="2552" w:type="dxa"/>
          </w:tcPr>
          <w:p w14:paraId="27A8D3A3" w14:textId="2F960D0E" w:rsidR="007467F2" w:rsidRPr="00EE533D" w:rsidRDefault="00217EDB"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CEO</w:t>
            </w:r>
            <w:r w:rsidR="0094177B" w:rsidRPr="00EE533D">
              <w:rPr>
                <w:rFonts w:ascii="Times New Roman" w:eastAsia="Times New Roman" w:hAnsi="Times New Roman" w:cs="Times New Roman"/>
                <w:lang w:val="en-GB"/>
              </w:rPr>
              <w:t xml:space="preserve"> Duality</w:t>
            </w:r>
          </w:p>
        </w:tc>
        <w:tc>
          <w:tcPr>
            <w:tcW w:w="6515" w:type="dxa"/>
            <w:vAlign w:val="bottom"/>
          </w:tcPr>
          <w:p w14:paraId="12CBED9B" w14:textId="3C6CB39D" w:rsidR="007467F2" w:rsidRPr="00EE533D" w:rsidRDefault="0022290F" w:rsidP="007467F2">
            <w:pPr>
              <w:pStyle w:val="NoSpacing"/>
              <w:jc w:val="both"/>
              <w:rPr>
                <w:rFonts w:ascii="Times New Roman" w:hAnsi="Times New Roman" w:cs="Times New Roman"/>
                <w:lang w:val="en-GB"/>
              </w:rPr>
            </w:pPr>
            <w:r w:rsidRPr="00EE533D">
              <w:rPr>
                <w:rFonts w:ascii="Times New Roman" w:hAnsi="Times New Roman" w:cs="Times New Roman"/>
                <w:lang w:val="en-GB"/>
              </w:rPr>
              <w:t>Dummy variable that identifies if the firm's Chief Executive Officer (CEO), or equivalent, also serves as the Chair of the board.</w:t>
            </w:r>
          </w:p>
        </w:tc>
      </w:tr>
      <w:tr w:rsidR="00EE533D" w:rsidRPr="00EE533D" w14:paraId="76943E0F" w14:textId="77777777" w:rsidTr="007467F2">
        <w:trPr>
          <w:trHeight w:val="19"/>
        </w:trPr>
        <w:tc>
          <w:tcPr>
            <w:tcW w:w="2552" w:type="dxa"/>
          </w:tcPr>
          <w:p w14:paraId="737E5085" w14:textId="19455882" w:rsidR="007467F2" w:rsidRPr="00EE533D" w:rsidRDefault="0094177B"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Board Size</w:t>
            </w:r>
          </w:p>
        </w:tc>
        <w:tc>
          <w:tcPr>
            <w:tcW w:w="6515" w:type="dxa"/>
            <w:vAlign w:val="bottom"/>
          </w:tcPr>
          <w:p w14:paraId="4FE3F0A8" w14:textId="676535A5" w:rsidR="007467F2" w:rsidRPr="00EE533D" w:rsidRDefault="0081386E"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 xml:space="preserve">Number of individuals who serve on the firm’s board that </w:t>
            </w:r>
            <w:r w:rsidR="007E072D" w:rsidRPr="00EE533D">
              <w:rPr>
                <w:rFonts w:ascii="Times New Roman" w:eastAsia="Calibri" w:hAnsi="Times New Roman" w:cs="Times New Roman"/>
                <w:lang w:val="en-GB"/>
              </w:rPr>
              <w:t>monitor</w:t>
            </w:r>
            <w:r w:rsidRPr="00EE533D">
              <w:rPr>
                <w:rFonts w:ascii="Times New Roman" w:eastAsia="Calibri" w:hAnsi="Times New Roman" w:cs="Times New Roman"/>
                <w:lang w:val="en-GB"/>
              </w:rPr>
              <w:t xml:space="preserve"> the </w:t>
            </w:r>
            <w:r w:rsidR="007E072D" w:rsidRPr="00EE533D">
              <w:rPr>
                <w:rFonts w:ascii="Times New Roman" w:eastAsia="Calibri" w:hAnsi="Times New Roman" w:cs="Times New Roman"/>
                <w:lang w:val="en-GB"/>
              </w:rPr>
              <w:t>operations</w:t>
            </w:r>
            <w:r w:rsidRPr="00EE533D">
              <w:rPr>
                <w:rFonts w:ascii="Times New Roman" w:eastAsia="Calibri" w:hAnsi="Times New Roman" w:cs="Times New Roman"/>
                <w:lang w:val="en-GB"/>
              </w:rPr>
              <w:t xml:space="preserve"> and management</w:t>
            </w:r>
            <w:r w:rsidR="007E072D" w:rsidRPr="00EE533D">
              <w:rPr>
                <w:rFonts w:ascii="Times New Roman" w:eastAsia="Calibri" w:hAnsi="Times New Roman" w:cs="Times New Roman"/>
                <w:lang w:val="en-GB"/>
              </w:rPr>
              <w:t>.</w:t>
            </w:r>
          </w:p>
        </w:tc>
      </w:tr>
      <w:tr w:rsidR="00EE533D" w:rsidRPr="00EE533D" w14:paraId="5249B9E8" w14:textId="77777777" w:rsidTr="007467F2">
        <w:trPr>
          <w:trHeight w:val="19"/>
        </w:trPr>
        <w:tc>
          <w:tcPr>
            <w:tcW w:w="2552" w:type="dxa"/>
          </w:tcPr>
          <w:p w14:paraId="0BA750B8" w14:textId="3C622B86" w:rsidR="0094177B" w:rsidRPr="00EE533D" w:rsidRDefault="0094177B"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Independent</w:t>
            </w:r>
          </w:p>
        </w:tc>
        <w:tc>
          <w:tcPr>
            <w:tcW w:w="6515" w:type="dxa"/>
            <w:vAlign w:val="bottom"/>
          </w:tcPr>
          <w:p w14:paraId="2CD0689A" w14:textId="7FF33DBF" w:rsidR="0094177B" w:rsidRPr="00EE533D" w:rsidRDefault="007E072D"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 xml:space="preserve">Number of independent directors as a percentage </w:t>
            </w:r>
            <w:r w:rsidR="005F7034" w:rsidRPr="00EE533D">
              <w:rPr>
                <w:rFonts w:ascii="Times New Roman" w:eastAsia="Calibri" w:hAnsi="Times New Roman" w:cs="Times New Roman"/>
                <w:lang w:val="en-GB"/>
              </w:rPr>
              <w:t>of firm’s board size.</w:t>
            </w:r>
          </w:p>
        </w:tc>
      </w:tr>
      <w:tr w:rsidR="00EE533D" w:rsidRPr="00EE533D" w14:paraId="1DA66AF7" w14:textId="77777777" w:rsidTr="007467F2">
        <w:trPr>
          <w:trHeight w:val="19"/>
        </w:trPr>
        <w:tc>
          <w:tcPr>
            <w:tcW w:w="2552" w:type="dxa"/>
          </w:tcPr>
          <w:p w14:paraId="301DCE45" w14:textId="46CC2695" w:rsidR="007467F2" w:rsidRPr="00EE533D" w:rsidRDefault="007E072D" w:rsidP="007467F2">
            <w:pPr>
              <w:spacing w:after="0"/>
              <w:rPr>
                <w:rFonts w:ascii="Times New Roman" w:eastAsia="Times New Roman" w:hAnsi="Times New Roman" w:cs="Times New Roman"/>
                <w:lang w:val="en-GB"/>
              </w:rPr>
            </w:pPr>
            <w:r w:rsidRPr="00EE533D">
              <w:rPr>
                <w:rFonts w:ascii="Times New Roman" w:eastAsia="Times New Roman" w:hAnsi="Times New Roman" w:cs="Times New Roman"/>
                <w:lang w:val="en-GB"/>
              </w:rPr>
              <w:t>CSR Committee</w:t>
            </w:r>
          </w:p>
        </w:tc>
        <w:tc>
          <w:tcPr>
            <w:tcW w:w="6515" w:type="dxa"/>
            <w:vAlign w:val="bottom"/>
          </w:tcPr>
          <w:p w14:paraId="5C615929" w14:textId="1E50DFF8" w:rsidR="007467F2" w:rsidRPr="00EE533D" w:rsidRDefault="005F7034" w:rsidP="007467F2">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Dummy variable equal to 1 if the firm has a corporate social responsibility (CSR) committee</w:t>
            </w:r>
            <w:r w:rsidR="00F32EAC" w:rsidRPr="00EE533D">
              <w:rPr>
                <w:rFonts w:ascii="Times New Roman" w:eastAsia="Calibri" w:hAnsi="Times New Roman" w:cs="Times New Roman"/>
                <w:lang w:val="en-GB"/>
              </w:rPr>
              <w:t>, 0 otherwise.</w:t>
            </w:r>
          </w:p>
        </w:tc>
      </w:tr>
      <w:tr w:rsidR="00EE533D" w:rsidRPr="00EE533D" w14:paraId="1B38C9E3" w14:textId="77777777" w:rsidTr="007467F2">
        <w:trPr>
          <w:trHeight w:val="19"/>
        </w:trPr>
        <w:tc>
          <w:tcPr>
            <w:tcW w:w="9067" w:type="dxa"/>
            <w:gridSpan w:val="2"/>
          </w:tcPr>
          <w:p w14:paraId="146253E2" w14:textId="47C805A9" w:rsidR="007467F2" w:rsidRPr="00EE533D" w:rsidRDefault="007467F2" w:rsidP="007467F2">
            <w:pPr>
              <w:pStyle w:val="NoSpacing"/>
              <w:jc w:val="both"/>
              <w:rPr>
                <w:rFonts w:ascii="Times New Roman" w:eastAsia="Calibri" w:hAnsi="Times New Roman" w:cs="Times New Roman"/>
                <w:b/>
                <w:bCs/>
                <w:lang w:val="en-GB"/>
              </w:rPr>
            </w:pPr>
            <w:r w:rsidRPr="00EE533D">
              <w:rPr>
                <w:rFonts w:ascii="Times New Roman" w:eastAsia="Calibri" w:hAnsi="Times New Roman" w:cs="Times New Roman"/>
                <w:b/>
                <w:bCs/>
                <w:lang w:val="en-GB"/>
              </w:rPr>
              <w:t>E. Macro</w:t>
            </w:r>
            <w:r w:rsidR="003C2439" w:rsidRPr="00EE533D">
              <w:rPr>
                <w:rFonts w:ascii="Times New Roman" w:eastAsia="Calibri" w:hAnsi="Times New Roman" w:cs="Times New Roman"/>
                <w:b/>
                <w:bCs/>
                <w:lang w:val="en-GB"/>
              </w:rPr>
              <w:t>(</w:t>
            </w:r>
            <w:r w:rsidRPr="00EE533D">
              <w:rPr>
                <w:rFonts w:ascii="Times New Roman" w:eastAsia="Calibri" w:hAnsi="Times New Roman" w:cs="Times New Roman"/>
                <w:b/>
                <w:bCs/>
                <w:lang w:val="en-GB"/>
              </w:rPr>
              <w:t>economic</w:t>
            </w:r>
            <w:r w:rsidR="003C2439" w:rsidRPr="00EE533D">
              <w:rPr>
                <w:rFonts w:ascii="Times New Roman" w:eastAsia="Calibri" w:hAnsi="Times New Roman" w:cs="Times New Roman"/>
                <w:b/>
                <w:bCs/>
                <w:lang w:val="en-GB"/>
              </w:rPr>
              <w:t>)</w:t>
            </w:r>
            <w:r w:rsidRPr="00EE533D">
              <w:rPr>
                <w:rFonts w:ascii="Times New Roman" w:eastAsia="Calibri" w:hAnsi="Times New Roman" w:cs="Times New Roman"/>
                <w:b/>
                <w:bCs/>
                <w:lang w:val="en-GB"/>
              </w:rPr>
              <w:t xml:space="preserve"> variables</w:t>
            </w:r>
          </w:p>
        </w:tc>
      </w:tr>
      <w:tr w:rsidR="00EE533D" w:rsidRPr="00EE533D" w14:paraId="4AEC987C" w14:textId="77777777" w:rsidTr="00F4319C">
        <w:trPr>
          <w:trHeight w:val="19"/>
        </w:trPr>
        <w:tc>
          <w:tcPr>
            <w:tcW w:w="2552" w:type="dxa"/>
          </w:tcPr>
          <w:p w14:paraId="03AF714E" w14:textId="491353C0" w:rsidR="003C2439" w:rsidRPr="00EE533D" w:rsidRDefault="003C2439" w:rsidP="003C2439">
            <w:pPr>
              <w:pStyle w:val="NoSpacing"/>
              <w:rPr>
                <w:rFonts w:ascii="Times New Roman" w:eastAsia="Times New Roman" w:hAnsi="Times New Roman" w:cs="Times New Roman"/>
                <w:lang w:val="en-GB"/>
              </w:rPr>
            </w:pPr>
            <w:r w:rsidRPr="00EE533D">
              <w:rPr>
                <w:rFonts w:ascii="Times New Roman" w:hAnsi="Times New Roman" w:cs="Times New Roman"/>
                <w:lang w:val="en-GB"/>
              </w:rPr>
              <w:t>Temp</w:t>
            </w:r>
          </w:p>
        </w:tc>
        <w:tc>
          <w:tcPr>
            <w:tcW w:w="6515" w:type="dxa"/>
            <w:vAlign w:val="bottom"/>
          </w:tcPr>
          <w:p w14:paraId="7C9A6A4A" w14:textId="77AE0493" w:rsidR="003C2439" w:rsidRPr="00EE533D" w:rsidRDefault="003C2439" w:rsidP="003C2439">
            <w:pPr>
              <w:pStyle w:val="NoSpacing"/>
              <w:jc w:val="both"/>
              <w:rPr>
                <w:rFonts w:ascii="Times New Roman" w:hAnsi="Times New Roman" w:cs="Times New Roman"/>
                <w:lang w:val="en-GB"/>
              </w:rPr>
            </w:pPr>
            <w:r w:rsidRPr="00EE533D">
              <w:rPr>
                <w:rFonts w:ascii="Times New Roman" w:hAnsi="Times New Roman" w:cs="Times New Roman"/>
                <w:lang w:val="en-GB"/>
              </w:rPr>
              <w:t>Temperature change in degrees Celsius with respect to a baseline climatology, corresponding to the period 1951-1980. Source: Food and Agriculture Organization of the United Nations (FAO). 2022. FAOSTAT Climate Change, Climate Indicators, Temperature change.</w:t>
            </w:r>
          </w:p>
        </w:tc>
      </w:tr>
      <w:tr w:rsidR="00EE533D" w:rsidRPr="00EE533D" w14:paraId="3A54D555" w14:textId="77777777" w:rsidTr="007467F2">
        <w:trPr>
          <w:trHeight w:val="19"/>
        </w:trPr>
        <w:tc>
          <w:tcPr>
            <w:tcW w:w="2552" w:type="dxa"/>
          </w:tcPr>
          <w:p w14:paraId="6CA5D990" w14:textId="77777777" w:rsidR="003C2439" w:rsidRPr="00EE533D" w:rsidRDefault="003C2439" w:rsidP="003C2439">
            <w:pPr>
              <w:pStyle w:val="NoSpacing"/>
              <w:rPr>
                <w:rFonts w:ascii="Times New Roman" w:eastAsia="Times New Roman" w:hAnsi="Times New Roman" w:cs="Times New Roman"/>
                <w:lang w:val="en-GB"/>
              </w:rPr>
            </w:pPr>
            <w:r w:rsidRPr="00EE533D">
              <w:rPr>
                <w:rFonts w:ascii="Times New Roman" w:eastAsia="Times New Roman" w:hAnsi="Times New Roman" w:cs="Times New Roman"/>
                <w:lang w:val="en-GB"/>
              </w:rPr>
              <w:t>GDPc</w:t>
            </w:r>
          </w:p>
        </w:tc>
        <w:tc>
          <w:tcPr>
            <w:tcW w:w="6515" w:type="dxa"/>
          </w:tcPr>
          <w:p w14:paraId="319849D2" w14:textId="77777777" w:rsidR="003C2439" w:rsidRPr="00EE533D" w:rsidRDefault="003C2439" w:rsidP="003C2439">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Gross domestic product (GDP) per capita in constant 2015 U.S. $. Source: World Development Indicators (World Bank).</w:t>
            </w:r>
          </w:p>
        </w:tc>
      </w:tr>
      <w:tr w:rsidR="00EE533D" w:rsidRPr="00EE533D" w14:paraId="4EF2B261" w14:textId="77777777" w:rsidTr="007467F2">
        <w:trPr>
          <w:trHeight w:val="19"/>
        </w:trPr>
        <w:tc>
          <w:tcPr>
            <w:tcW w:w="2552" w:type="dxa"/>
          </w:tcPr>
          <w:p w14:paraId="6388E1C3" w14:textId="77777777" w:rsidR="003C2439" w:rsidRPr="00EE533D" w:rsidRDefault="003C2439" w:rsidP="003C2439">
            <w:pPr>
              <w:pStyle w:val="NoSpacing"/>
              <w:rPr>
                <w:rFonts w:ascii="Times New Roman" w:eastAsia="Times New Roman" w:hAnsi="Times New Roman" w:cs="Times New Roman"/>
                <w:lang w:val="en-GB"/>
              </w:rPr>
            </w:pPr>
            <w:r w:rsidRPr="00EE533D">
              <w:rPr>
                <w:rFonts w:ascii="Times New Roman" w:eastAsia="Times New Roman" w:hAnsi="Times New Roman" w:cs="Times New Roman"/>
                <w:lang w:val="en-GB"/>
              </w:rPr>
              <w:t>GDPg</w:t>
            </w:r>
          </w:p>
        </w:tc>
        <w:tc>
          <w:tcPr>
            <w:tcW w:w="6515" w:type="dxa"/>
          </w:tcPr>
          <w:p w14:paraId="1549E569" w14:textId="77777777" w:rsidR="003C2439" w:rsidRPr="00EE533D" w:rsidRDefault="003C2439" w:rsidP="003C2439">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Annual percentage growth rate of GDP. Source: World Development Indicators (World Bank).</w:t>
            </w:r>
          </w:p>
        </w:tc>
      </w:tr>
      <w:tr w:rsidR="00EE533D" w:rsidRPr="00EE533D" w14:paraId="5319D6C3" w14:textId="77777777" w:rsidTr="007467F2">
        <w:trPr>
          <w:trHeight w:val="19"/>
        </w:trPr>
        <w:tc>
          <w:tcPr>
            <w:tcW w:w="2552" w:type="dxa"/>
            <w:tcBorders>
              <w:bottom w:val="single" w:sz="12" w:space="0" w:color="auto"/>
            </w:tcBorders>
          </w:tcPr>
          <w:p w14:paraId="4FB206C8" w14:textId="77777777" w:rsidR="003C2439" w:rsidRPr="00EE533D" w:rsidRDefault="003C2439" w:rsidP="003C2439">
            <w:pPr>
              <w:pStyle w:val="NoSpacing"/>
              <w:rPr>
                <w:rFonts w:ascii="Times New Roman" w:eastAsia="Times New Roman" w:hAnsi="Times New Roman" w:cs="Times New Roman"/>
                <w:lang w:val="en-GB"/>
              </w:rPr>
            </w:pPr>
            <w:r w:rsidRPr="00EE533D">
              <w:rPr>
                <w:rFonts w:ascii="Times New Roman" w:eastAsia="Times New Roman" w:hAnsi="Times New Roman" w:cs="Times New Roman"/>
                <w:lang w:val="en-GB"/>
              </w:rPr>
              <w:t>Inflation</w:t>
            </w:r>
          </w:p>
        </w:tc>
        <w:tc>
          <w:tcPr>
            <w:tcW w:w="6515" w:type="dxa"/>
            <w:tcBorders>
              <w:bottom w:val="single" w:sz="12" w:space="0" w:color="auto"/>
            </w:tcBorders>
          </w:tcPr>
          <w:p w14:paraId="7BBB14CC" w14:textId="77777777" w:rsidR="003C2439" w:rsidRPr="00EE533D" w:rsidRDefault="003C2439" w:rsidP="003C2439">
            <w:pPr>
              <w:pStyle w:val="NoSpacing"/>
              <w:jc w:val="both"/>
              <w:rPr>
                <w:rFonts w:ascii="Times New Roman" w:eastAsia="Calibri" w:hAnsi="Times New Roman" w:cs="Times New Roman"/>
                <w:lang w:val="en-GB"/>
              </w:rPr>
            </w:pPr>
            <w:r w:rsidRPr="00EE533D">
              <w:rPr>
                <w:rFonts w:ascii="Times New Roman" w:eastAsia="Calibri" w:hAnsi="Times New Roman" w:cs="Times New Roman"/>
                <w:lang w:val="en-GB"/>
              </w:rPr>
              <w:t>Inflation rate. Source: World Development Indicators (World Bank).</w:t>
            </w:r>
          </w:p>
        </w:tc>
      </w:tr>
      <w:tr w:rsidR="00EE533D" w:rsidRPr="00EE533D" w14:paraId="33B03CE7" w14:textId="77777777" w:rsidTr="007467F2">
        <w:trPr>
          <w:trHeight w:val="19"/>
        </w:trPr>
        <w:tc>
          <w:tcPr>
            <w:tcW w:w="9067" w:type="dxa"/>
            <w:gridSpan w:val="2"/>
            <w:tcBorders>
              <w:top w:val="single" w:sz="12" w:space="0" w:color="auto"/>
            </w:tcBorders>
          </w:tcPr>
          <w:p w14:paraId="2150CC09" w14:textId="399AA373" w:rsidR="003C2439" w:rsidRPr="00EE533D" w:rsidRDefault="003C2439" w:rsidP="003C2439">
            <w:pPr>
              <w:pStyle w:val="NoSpacing"/>
              <w:jc w:val="both"/>
              <w:rPr>
                <w:rFonts w:ascii="Times New Roman" w:eastAsia="Calibri" w:hAnsi="Times New Roman" w:cs="Times New Roman"/>
                <w:lang w:val="en-GB"/>
              </w:rPr>
            </w:pPr>
            <w:r w:rsidRPr="00EE533D">
              <w:rPr>
                <w:rFonts w:ascii="Times New Roman" w:eastAsia="Calibri" w:hAnsi="Times New Roman" w:cs="Times New Roman"/>
                <w:b/>
                <w:bCs/>
                <w:lang w:val="en-GB"/>
              </w:rPr>
              <w:t>Notes:</w:t>
            </w:r>
            <w:r w:rsidRPr="00EE533D">
              <w:rPr>
                <w:rFonts w:ascii="Times New Roman" w:eastAsia="Calibri" w:hAnsi="Times New Roman" w:cs="Times New Roman"/>
                <w:lang w:val="en-GB"/>
              </w:rPr>
              <w:t xml:space="preserve"> Data were collected in October 2023</w:t>
            </w:r>
            <w:r w:rsidR="00F32EAC" w:rsidRPr="00EE533D">
              <w:rPr>
                <w:rFonts w:ascii="Times New Roman" w:eastAsia="Calibri" w:hAnsi="Times New Roman" w:cs="Times New Roman"/>
                <w:lang w:val="en-GB"/>
              </w:rPr>
              <w:t xml:space="preserve"> while the database was updated</w:t>
            </w:r>
            <w:r w:rsidR="008F35BA" w:rsidRPr="00EE533D">
              <w:rPr>
                <w:rFonts w:ascii="Times New Roman" w:eastAsia="Calibri" w:hAnsi="Times New Roman" w:cs="Times New Roman"/>
                <w:lang w:val="en-GB"/>
              </w:rPr>
              <w:t xml:space="preserve"> in April 2025 to include the 2022-202</w:t>
            </w:r>
            <w:r w:rsidR="00B00AF8" w:rsidRPr="00EE533D">
              <w:rPr>
                <w:rFonts w:ascii="Times New Roman" w:eastAsia="Calibri" w:hAnsi="Times New Roman" w:cs="Times New Roman"/>
                <w:lang w:val="en-GB"/>
              </w:rPr>
              <w:t>4</w:t>
            </w:r>
            <w:r w:rsidR="008F35BA" w:rsidRPr="00EE533D">
              <w:rPr>
                <w:rFonts w:ascii="Times New Roman" w:eastAsia="Calibri" w:hAnsi="Times New Roman" w:cs="Times New Roman"/>
                <w:lang w:val="en-GB"/>
              </w:rPr>
              <w:t xml:space="preserve"> period.</w:t>
            </w:r>
          </w:p>
        </w:tc>
      </w:tr>
    </w:tbl>
    <w:p w14:paraId="0B1D3646" w14:textId="77777777" w:rsidR="007467F2" w:rsidRPr="00EE533D" w:rsidRDefault="007467F2" w:rsidP="007467F2">
      <w:pPr>
        <w:spacing w:line="240" w:lineRule="auto"/>
        <w:jc w:val="both"/>
        <w:rPr>
          <w:rFonts w:asciiTheme="majorBidi" w:hAnsiTheme="majorBidi" w:cstheme="majorBidi"/>
          <w:sz w:val="24"/>
          <w:szCs w:val="24"/>
          <w:lang w:val="en-GB"/>
        </w:rPr>
      </w:pPr>
    </w:p>
    <w:p w14:paraId="7AB7D26C" w14:textId="77777777" w:rsidR="007467F2" w:rsidRPr="00EE533D" w:rsidRDefault="007467F2" w:rsidP="007467F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text" w:tblpXSpec="center" w:tblpY="5"/>
        <w:tblW w:w="8827" w:type="dxa"/>
        <w:tblCellMar>
          <w:left w:w="70" w:type="dxa"/>
          <w:right w:w="70" w:type="dxa"/>
        </w:tblCellMar>
        <w:tblLook w:val="04A0" w:firstRow="1" w:lastRow="0" w:firstColumn="1" w:lastColumn="0" w:noHBand="0" w:noVBand="1"/>
      </w:tblPr>
      <w:tblGrid>
        <w:gridCol w:w="2268"/>
        <w:gridCol w:w="1312"/>
        <w:gridCol w:w="1314"/>
        <w:gridCol w:w="743"/>
        <w:gridCol w:w="571"/>
        <w:gridCol w:w="1202"/>
        <w:gridCol w:w="1417"/>
      </w:tblGrid>
      <w:tr w:rsidR="00EE533D" w:rsidRPr="00EE533D" w14:paraId="09ECB9F8" w14:textId="77777777" w:rsidTr="00F4319C">
        <w:trPr>
          <w:gridAfter w:val="3"/>
          <w:wAfter w:w="3190" w:type="dxa"/>
          <w:trHeight w:val="288"/>
        </w:trPr>
        <w:tc>
          <w:tcPr>
            <w:tcW w:w="5637" w:type="dxa"/>
            <w:gridSpan w:val="4"/>
            <w:tcBorders>
              <w:top w:val="nil"/>
              <w:left w:val="nil"/>
              <w:bottom w:val="single" w:sz="4" w:space="0" w:color="auto"/>
            </w:tcBorders>
          </w:tcPr>
          <w:p w14:paraId="791085DF" w14:textId="522BAD52" w:rsidR="007956D2" w:rsidRPr="00EE533D" w:rsidRDefault="007956D2" w:rsidP="007467F2">
            <w:pPr>
              <w:spacing w:after="0" w:line="240" w:lineRule="auto"/>
              <w:rPr>
                <w:rFonts w:ascii="Calibri" w:eastAsia="Times New Roman" w:hAnsi="Calibri" w:cs="Times New Roman"/>
                <w:b/>
                <w:bCs/>
                <w:lang w:val="en-GB" w:eastAsia="fr-FR"/>
              </w:rPr>
            </w:pPr>
            <w:r w:rsidRPr="00EE533D">
              <w:rPr>
                <w:rFonts w:ascii="Times New Roman" w:eastAsia="Times New Roman" w:hAnsi="Times New Roman" w:cs="Times New Roman"/>
                <w:b/>
                <w:bCs/>
                <w:sz w:val="24"/>
                <w:szCs w:val="24"/>
                <w:lang w:val="en-GB" w:eastAsia="fr-FR"/>
              </w:rPr>
              <w:lastRenderedPageBreak/>
              <w:t>Table 2. Descriptive statistics by country</w:t>
            </w:r>
          </w:p>
        </w:tc>
      </w:tr>
      <w:tr w:rsidR="00EE533D" w:rsidRPr="00EE533D" w14:paraId="63AF41C8" w14:textId="77777777" w:rsidTr="00A02C5A">
        <w:trPr>
          <w:trHeight w:val="288"/>
        </w:trPr>
        <w:tc>
          <w:tcPr>
            <w:tcW w:w="2268" w:type="dxa"/>
            <w:tcBorders>
              <w:top w:val="single" w:sz="4" w:space="0" w:color="auto"/>
              <w:left w:val="nil"/>
              <w:bottom w:val="single" w:sz="12" w:space="0" w:color="auto"/>
              <w:right w:val="nil"/>
            </w:tcBorders>
            <w:shd w:val="clear" w:color="auto" w:fill="auto"/>
            <w:noWrap/>
            <w:vAlign w:val="bottom"/>
            <w:hideMark/>
          </w:tcPr>
          <w:p w14:paraId="59A71F9B" w14:textId="77777777" w:rsidR="00A02C5A" w:rsidRPr="00EE533D" w:rsidRDefault="00A02C5A" w:rsidP="007467F2">
            <w:pPr>
              <w:spacing w:after="0" w:line="240" w:lineRule="auto"/>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Country</w:t>
            </w:r>
          </w:p>
        </w:tc>
        <w:tc>
          <w:tcPr>
            <w:tcW w:w="1312" w:type="dxa"/>
            <w:tcBorders>
              <w:top w:val="single" w:sz="4" w:space="0" w:color="auto"/>
              <w:left w:val="nil"/>
              <w:bottom w:val="single" w:sz="12" w:space="0" w:color="auto"/>
              <w:right w:val="nil"/>
            </w:tcBorders>
            <w:shd w:val="clear" w:color="auto" w:fill="auto"/>
            <w:noWrap/>
            <w:vAlign w:val="bottom"/>
            <w:hideMark/>
          </w:tcPr>
          <w:p w14:paraId="7B746634" w14:textId="77777777" w:rsidR="00A02C5A" w:rsidRPr="00EE533D" w:rsidRDefault="00A02C5A" w:rsidP="007467F2">
            <w:pPr>
              <w:spacing w:after="0" w:line="240" w:lineRule="auto"/>
              <w:jc w:val="center"/>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Firms</w:t>
            </w:r>
          </w:p>
        </w:tc>
        <w:tc>
          <w:tcPr>
            <w:tcW w:w="1314" w:type="dxa"/>
            <w:tcBorders>
              <w:top w:val="single" w:sz="4" w:space="0" w:color="auto"/>
              <w:left w:val="nil"/>
              <w:bottom w:val="single" w:sz="12" w:space="0" w:color="auto"/>
              <w:right w:val="nil"/>
            </w:tcBorders>
          </w:tcPr>
          <w:p w14:paraId="41580902" w14:textId="011B28AE" w:rsidR="00A02C5A" w:rsidRPr="00EE533D" w:rsidRDefault="005F5ECB" w:rsidP="007467F2">
            <w:pPr>
              <w:spacing w:after="0" w:line="240" w:lineRule="auto"/>
              <w:jc w:val="center"/>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Firm-year</w:t>
            </w:r>
            <w:r w:rsidR="00CC017C" w:rsidRPr="00EE533D">
              <w:rPr>
                <w:rFonts w:ascii="Times New Roman" w:eastAsia="Times New Roman" w:hAnsi="Times New Roman" w:cs="Times New Roman"/>
                <w:b/>
                <w:bCs/>
                <w:sz w:val="20"/>
                <w:szCs w:val="20"/>
                <w:lang w:val="en-GB" w:eastAsia="fr-FR"/>
              </w:rPr>
              <w:t xml:space="preserve"> Observations</w:t>
            </w:r>
          </w:p>
        </w:tc>
        <w:tc>
          <w:tcPr>
            <w:tcW w:w="1314" w:type="dxa"/>
            <w:gridSpan w:val="2"/>
            <w:tcBorders>
              <w:top w:val="single" w:sz="4" w:space="0" w:color="auto"/>
              <w:left w:val="nil"/>
              <w:bottom w:val="single" w:sz="12" w:space="0" w:color="auto"/>
              <w:right w:val="nil"/>
            </w:tcBorders>
            <w:shd w:val="clear" w:color="auto" w:fill="auto"/>
            <w:noWrap/>
            <w:vAlign w:val="bottom"/>
            <w:hideMark/>
          </w:tcPr>
          <w:p w14:paraId="3B81E47C" w14:textId="28CC514F" w:rsidR="00A02C5A" w:rsidRPr="00EE533D" w:rsidRDefault="00A02C5A" w:rsidP="007467F2">
            <w:pPr>
              <w:spacing w:after="0" w:line="240" w:lineRule="auto"/>
              <w:jc w:val="center"/>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Recycled Waste</w:t>
            </w:r>
          </w:p>
        </w:tc>
        <w:tc>
          <w:tcPr>
            <w:tcW w:w="1202" w:type="dxa"/>
            <w:tcBorders>
              <w:top w:val="single" w:sz="4" w:space="0" w:color="auto"/>
              <w:left w:val="nil"/>
              <w:bottom w:val="single" w:sz="12" w:space="0" w:color="auto"/>
              <w:right w:val="nil"/>
            </w:tcBorders>
            <w:shd w:val="clear" w:color="auto" w:fill="auto"/>
            <w:noWrap/>
            <w:vAlign w:val="bottom"/>
            <w:hideMark/>
          </w:tcPr>
          <w:p w14:paraId="01272BD0" w14:textId="77777777" w:rsidR="00A02C5A" w:rsidRPr="00EE533D" w:rsidRDefault="00A02C5A" w:rsidP="007467F2">
            <w:pPr>
              <w:spacing w:after="0" w:line="240" w:lineRule="auto"/>
              <w:jc w:val="center"/>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Recycled Water</w:t>
            </w:r>
          </w:p>
        </w:tc>
        <w:tc>
          <w:tcPr>
            <w:tcW w:w="1417" w:type="dxa"/>
            <w:tcBorders>
              <w:top w:val="single" w:sz="4" w:space="0" w:color="auto"/>
              <w:left w:val="nil"/>
              <w:bottom w:val="single" w:sz="12" w:space="0" w:color="auto"/>
              <w:right w:val="nil"/>
            </w:tcBorders>
            <w:shd w:val="clear" w:color="auto" w:fill="auto"/>
            <w:noWrap/>
            <w:vAlign w:val="bottom"/>
          </w:tcPr>
          <w:p w14:paraId="56C877F8" w14:textId="77777777" w:rsidR="00A02C5A" w:rsidRPr="00EE533D" w:rsidRDefault="00A02C5A" w:rsidP="007467F2">
            <w:pPr>
              <w:spacing w:after="0" w:line="240" w:lineRule="auto"/>
              <w:jc w:val="center"/>
              <w:rPr>
                <w:rFonts w:ascii="Times New Roman" w:eastAsia="Times New Roman" w:hAnsi="Times New Roman" w:cs="Times New Roman"/>
                <w:b/>
                <w:bCs/>
                <w:sz w:val="20"/>
                <w:szCs w:val="20"/>
                <w:lang w:val="en-GB" w:eastAsia="fr-FR"/>
              </w:rPr>
            </w:pPr>
            <w:r w:rsidRPr="00EE533D">
              <w:rPr>
                <w:rFonts w:ascii="Times New Roman" w:eastAsia="Times New Roman" w:hAnsi="Times New Roman" w:cs="Times New Roman"/>
                <w:b/>
                <w:bCs/>
                <w:sz w:val="20"/>
                <w:szCs w:val="20"/>
                <w:lang w:val="en-GB" w:eastAsia="fr-FR"/>
              </w:rPr>
              <w:t>Recycled Paper</w:t>
            </w:r>
          </w:p>
        </w:tc>
      </w:tr>
      <w:tr w:rsidR="00EE533D" w:rsidRPr="00EE533D" w14:paraId="69B64A07" w14:textId="77777777" w:rsidTr="00F4319C">
        <w:trPr>
          <w:trHeight w:val="288"/>
        </w:trPr>
        <w:tc>
          <w:tcPr>
            <w:tcW w:w="2268" w:type="dxa"/>
            <w:tcBorders>
              <w:top w:val="single" w:sz="12" w:space="0" w:color="auto"/>
              <w:left w:val="nil"/>
              <w:bottom w:val="nil"/>
              <w:right w:val="nil"/>
            </w:tcBorders>
            <w:shd w:val="clear" w:color="auto" w:fill="auto"/>
            <w:noWrap/>
            <w:vAlign w:val="bottom"/>
          </w:tcPr>
          <w:p w14:paraId="557B6F0B"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Argentina</w:t>
            </w:r>
          </w:p>
        </w:tc>
        <w:tc>
          <w:tcPr>
            <w:tcW w:w="1312" w:type="dxa"/>
            <w:tcBorders>
              <w:top w:val="single" w:sz="12" w:space="0" w:color="auto"/>
              <w:left w:val="nil"/>
              <w:bottom w:val="nil"/>
              <w:right w:val="nil"/>
            </w:tcBorders>
            <w:shd w:val="clear" w:color="auto" w:fill="auto"/>
            <w:noWrap/>
            <w:vAlign w:val="bottom"/>
          </w:tcPr>
          <w:p w14:paraId="7B5FED95" w14:textId="06B84213"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w:t>
            </w:r>
          </w:p>
        </w:tc>
        <w:tc>
          <w:tcPr>
            <w:tcW w:w="1314" w:type="dxa"/>
            <w:tcBorders>
              <w:top w:val="single" w:sz="12" w:space="0" w:color="auto"/>
              <w:left w:val="nil"/>
              <w:bottom w:val="nil"/>
              <w:right w:val="nil"/>
            </w:tcBorders>
            <w:vAlign w:val="bottom"/>
          </w:tcPr>
          <w:p w14:paraId="3B406F42" w14:textId="727E2F82"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33</w:t>
            </w:r>
          </w:p>
        </w:tc>
        <w:tc>
          <w:tcPr>
            <w:tcW w:w="1314" w:type="dxa"/>
            <w:gridSpan w:val="2"/>
            <w:tcBorders>
              <w:top w:val="single" w:sz="12" w:space="0" w:color="auto"/>
              <w:left w:val="nil"/>
              <w:bottom w:val="nil"/>
              <w:right w:val="nil"/>
            </w:tcBorders>
            <w:shd w:val="clear" w:color="auto" w:fill="auto"/>
            <w:noWrap/>
            <w:vAlign w:val="bottom"/>
          </w:tcPr>
          <w:p w14:paraId="2A2A5F3F" w14:textId="3D09C7BD"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20.87</w:t>
            </w:r>
          </w:p>
        </w:tc>
        <w:tc>
          <w:tcPr>
            <w:tcW w:w="1202" w:type="dxa"/>
            <w:tcBorders>
              <w:top w:val="single" w:sz="12" w:space="0" w:color="auto"/>
              <w:left w:val="nil"/>
              <w:bottom w:val="nil"/>
              <w:right w:val="nil"/>
            </w:tcBorders>
            <w:shd w:val="clear" w:color="auto" w:fill="auto"/>
            <w:noWrap/>
            <w:vAlign w:val="bottom"/>
          </w:tcPr>
          <w:p w14:paraId="3694BFF1" w14:textId="73C90212"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single" w:sz="12" w:space="0" w:color="auto"/>
              <w:left w:val="nil"/>
              <w:bottom w:val="nil"/>
              <w:right w:val="nil"/>
            </w:tcBorders>
            <w:shd w:val="clear" w:color="auto" w:fill="auto"/>
            <w:noWrap/>
            <w:vAlign w:val="bottom"/>
          </w:tcPr>
          <w:p w14:paraId="0394420B" w14:textId="0D347936"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0.10</w:t>
            </w:r>
          </w:p>
        </w:tc>
      </w:tr>
      <w:tr w:rsidR="00EE533D" w:rsidRPr="00EE533D" w14:paraId="5819EB99" w14:textId="77777777" w:rsidTr="00F4319C">
        <w:trPr>
          <w:trHeight w:val="288"/>
        </w:trPr>
        <w:tc>
          <w:tcPr>
            <w:tcW w:w="2268" w:type="dxa"/>
            <w:tcBorders>
              <w:top w:val="nil"/>
              <w:left w:val="nil"/>
              <w:bottom w:val="nil"/>
              <w:right w:val="nil"/>
            </w:tcBorders>
            <w:shd w:val="clear" w:color="auto" w:fill="auto"/>
            <w:noWrap/>
            <w:vAlign w:val="bottom"/>
          </w:tcPr>
          <w:p w14:paraId="1142EAED"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Australia</w:t>
            </w:r>
          </w:p>
        </w:tc>
        <w:tc>
          <w:tcPr>
            <w:tcW w:w="1312" w:type="dxa"/>
            <w:tcBorders>
              <w:top w:val="nil"/>
              <w:left w:val="nil"/>
              <w:bottom w:val="nil"/>
              <w:right w:val="nil"/>
            </w:tcBorders>
            <w:shd w:val="clear" w:color="auto" w:fill="auto"/>
            <w:noWrap/>
            <w:vAlign w:val="bottom"/>
          </w:tcPr>
          <w:p w14:paraId="4F3B4DA7" w14:textId="4A511B88"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w:t>
            </w:r>
          </w:p>
        </w:tc>
        <w:tc>
          <w:tcPr>
            <w:tcW w:w="1314" w:type="dxa"/>
            <w:tcBorders>
              <w:top w:val="nil"/>
              <w:left w:val="nil"/>
              <w:bottom w:val="nil"/>
              <w:right w:val="nil"/>
            </w:tcBorders>
            <w:vAlign w:val="bottom"/>
          </w:tcPr>
          <w:p w14:paraId="46EDD39C" w14:textId="6DF19013"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44</w:t>
            </w:r>
          </w:p>
        </w:tc>
        <w:tc>
          <w:tcPr>
            <w:tcW w:w="1314" w:type="dxa"/>
            <w:gridSpan w:val="2"/>
            <w:tcBorders>
              <w:top w:val="nil"/>
              <w:left w:val="nil"/>
              <w:bottom w:val="nil"/>
              <w:right w:val="nil"/>
            </w:tcBorders>
            <w:shd w:val="clear" w:color="auto" w:fill="auto"/>
            <w:noWrap/>
            <w:vAlign w:val="bottom"/>
          </w:tcPr>
          <w:p w14:paraId="311EEB6B" w14:textId="6F811ACB"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20.22</w:t>
            </w:r>
          </w:p>
        </w:tc>
        <w:tc>
          <w:tcPr>
            <w:tcW w:w="1202" w:type="dxa"/>
            <w:tcBorders>
              <w:top w:val="nil"/>
              <w:left w:val="nil"/>
              <w:bottom w:val="nil"/>
              <w:right w:val="nil"/>
            </w:tcBorders>
            <w:shd w:val="clear" w:color="auto" w:fill="auto"/>
            <w:noWrap/>
            <w:vAlign w:val="bottom"/>
          </w:tcPr>
          <w:p w14:paraId="0A3A22FE" w14:textId="319C90F1"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30.39</w:t>
            </w:r>
          </w:p>
        </w:tc>
        <w:tc>
          <w:tcPr>
            <w:tcW w:w="1417" w:type="dxa"/>
            <w:tcBorders>
              <w:top w:val="nil"/>
              <w:left w:val="nil"/>
              <w:bottom w:val="nil"/>
              <w:right w:val="nil"/>
            </w:tcBorders>
            <w:shd w:val="clear" w:color="auto" w:fill="auto"/>
            <w:noWrap/>
            <w:vAlign w:val="bottom"/>
          </w:tcPr>
          <w:p w14:paraId="735D29CF" w14:textId="37FDF955"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1EE5CBDA" w14:textId="77777777" w:rsidTr="00F4319C">
        <w:trPr>
          <w:trHeight w:val="288"/>
        </w:trPr>
        <w:tc>
          <w:tcPr>
            <w:tcW w:w="2268" w:type="dxa"/>
            <w:tcBorders>
              <w:top w:val="nil"/>
              <w:left w:val="nil"/>
              <w:bottom w:val="nil"/>
              <w:right w:val="nil"/>
            </w:tcBorders>
            <w:shd w:val="clear" w:color="auto" w:fill="auto"/>
            <w:noWrap/>
            <w:vAlign w:val="bottom"/>
          </w:tcPr>
          <w:p w14:paraId="75704118"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Austria</w:t>
            </w:r>
          </w:p>
        </w:tc>
        <w:tc>
          <w:tcPr>
            <w:tcW w:w="1312" w:type="dxa"/>
            <w:tcBorders>
              <w:top w:val="nil"/>
              <w:left w:val="nil"/>
              <w:bottom w:val="nil"/>
              <w:right w:val="nil"/>
            </w:tcBorders>
            <w:shd w:val="clear" w:color="auto" w:fill="auto"/>
            <w:noWrap/>
            <w:vAlign w:val="bottom"/>
          </w:tcPr>
          <w:p w14:paraId="6E7E20DD" w14:textId="4728864C"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10</w:t>
            </w:r>
          </w:p>
        </w:tc>
        <w:tc>
          <w:tcPr>
            <w:tcW w:w="1314" w:type="dxa"/>
            <w:tcBorders>
              <w:top w:val="nil"/>
              <w:left w:val="nil"/>
              <w:bottom w:val="nil"/>
              <w:right w:val="nil"/>
            </w:tcBorders>
            <w:vAlign w:val="bottom"/>
          </w:tcPr>
          <w:p w14:paraId="2D4B7E5E" w14:textId="673120DC"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73</w:t>
            </w:r>
          </w:p>
        </w:tc>
        <w:tc>
          <w:tcPr>
            <w:tcW w:w="1314" w:type="dxa"/>
            <w:gridSpan w:val="2"/>
            <w:tcBorders>
              <w:top w:val="nil"/>
              <w:left w:val="nil"/>
              <w:bottom w:val="nil"/>
              <w:right w:val="nil"/>
            </w:tcBorders>
            <w:shd w:val="clear" w:color="auto" w:fill="auto"/>
            <w:noWrap/>
            <w:vAlign w:val="bottom"/>
          </w:tcPr>
          <w:p w14:paraId="77BFB4E5" w14:textId="08A49742"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57.16</w:t>
            </w:r>
          </w:p>
        </w:tc>
        <w:tc>
          <w:tcPr>
            <w:tcW w:w="1202" w:type="dxa"/>
            <w:tcBorders>
              <w:top w:val="nil"/>
              <w:left w:val="nil"/>
              <w:bottom w:val="nil"/>
              <w:right w:val="nil"/>
            </w:tcBorders>
            <w:shd w:val="clear" w:color="auto" w:fill="auto"/>
            <w:noWrap/>
            <w:vAlign w:val="bottom"/>
          </w:tcPr>
          <w:p w14:paraId="108BA3B7" w14:textId="32C3260C"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581453F5" w14:textId="653A6FB9"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0.72</w:t>
            </w:r>
          </w:p>
        </w:tc>
      </w:tr>
      <w:tr w:rsidR="00EE533D" w:rsidRPr="00EE533D" w14:paraId="5783A552" w14:textId="77777777" w:rsidTr="00F4319C">
        <w:trPr>
          <w:trHeight w:val="288"/>
        </w:trPr>
        <w:tc>
          <w:tcPr>
            <w:tcW w:w="2268" w:type="dxa"/>
            <w:tcBorders>
              <w:top w:val="nil"/>
              <w:left w:val="nil"/>
              <w:bottom w:val="nil"/>
              <w:right w:val="nil"/>
            </w:tcBorders>
            <w:shd w:val="clear" w:color="auto" w:fill="auto"/>
            <w:noWrap/>
            <w:vAlign w:val="bottom"/>
          </w:tcPr>
          <w:p w14:paraId="70CA289C"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Belgium</w:t>
            </w:r>
          </w:p>
        </w:tc>
        <w:tc>
          <w:tcPr>
            <w:tcW w:w="1312" w:type="dxa"/>
            <w:tcBorders>
              <w:top w:val="nil"/>
              <w:left w:val="nil"/>
              <w:bottom w:val="nil"/>
              <w:right w:val="nil"/>
            </w:tcBorders>
            <w:shd w:val="clear" w:color="auto" w:fill="auto"/>
            <w:noWrap/>
            <w:vAlign w:val="bottom"/>
          </w:tcPr>
          <w:p w14:paraId="1684CE47" w14:textId="4EDEF647"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10</w:t>
            </w:r>
          </w:p>
        </w:tc>
        <w:tc>
          <w:tcPr>
            <w:tcW w:w="1314" w:type="dxa"/>
            <w:tcBorders>
              <w:top w:val="nil"/>
              <w:left w:val="nil"/>
              <w:bottom w:val="nil"/>
              <w:right w:val="nil"/>
            </w:tcBorders>
            <w:vAlign w:val="bottom"/>
          </w:tcPr>
          <w:p w14:paraId="7C5F2F11" w14:textId="62C690C8"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81</w:t>
            </w:r>
          </w:p>
        </w:tc>
        <w:tc>
          <w:tcPr>
            <w:tcW w:w="1314" w:type="dxa"/>
            <w:gridSpan w:val="2"/>
            <w:tcBorders>
              <w:top w:val="nil"/>
              <w:left w:val="nil"/>
              <w:bottom w:val="nil"/>
              <w:right w:val="nil"/>
            </w:tcBorders>
            <w:shd w:val="clear" w:color="auto" w:fill="auto"/>
            <w:noWrap/>
            <w:vAlign w:val="bottom"/>
          </w:tcPr>
          <w:p w14:paraId="7FEA38F4" w14:textId="7C12E81A"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69.53</w:t>
            </w:r>
          </w:p>
        </w:tc>
        <w:tc>
          <w:tcPr>
            <w:tcW w:w="1202" w:type="dxa"/>
            <w:tcBorders>
              <w:top w:val="nil"/>
              <w:left w:val="nil"/>
              <w:bottom w:val="nil"/>
              <w:right w:val="nil"/>
            </w:tcBorders>
            <w:shd w:val="clear" w:color="auto" w:fill="auto"/>
            <w:noWrap/>
            <w:vAlign w:val="bottom"/>
          </w:tcPr>
          <w:p w14:paraId="5797ED90" w14:textId="3FED27A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15.27</w:t>
            </w:r>
          </w:p>
        </w:tc>
        <w:tc>
          <w:tcPr>
            <w:tcW w:w="1417" w:type="dxa"/>
            <w:tcBorders>
              <w:top w:val="nil"/>
              <w:left w:val="nil"/>
              <w:bottom w:val="nil"/>
              <w:right w:val="nil"/>
            </w:tcBorders>
            <w:shd w:val="clear" w:color="auto" w:fill="auto"/>
            <w:noWrap/>
            <w:vAlign w:val="bottom"/>
          </w:tcPr>
          <w:p w14:paraId="7A819024" w14:textId="66B1093B"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1.01</w:t>
            </w:r>
          </w:p>
        </w:tc>
      </w:tr>
      <w:tr w:rsidR="00EE533D" w:rsidRPr="00EE533D" w14:paraId="78838198" w14:textId="77777777" w:rsidTr="00F4319C">
        <w:trPr>
          <w:trHeight w:val="288"/>
        </w:trPr>
        <w:tc>
          <w:tcPr>
            <w:tcW w:w="2268" w:type="dxa"/>
            <w:tcBorders>
              <w:top w:val="nil"/>
              <w:left w:val="nil"/>
              <w:bottom w:val="nil"/>
              <w:right w:val="nil"/>
            </w:tcBorders>
            <w:shd w:val="clear" w:color="auto" w:fill="auto"/>
            <w:noWrap/>
            <w:vAlign w:val="bottom"/>
          </w:tcPr>
          <w:p w14:paraId="706A1886"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Brazil</w:t>
            </w:r>
          </w:p>
        </w:tc>
        <w:tc>
          <w:tcPr>
            <w:tcW w:w="1312" w:type="dxa"/>
            <w:tcBorders>
              <w:top w:val="nil"/>
              <w:left w:val="nil"/>
              <w:bottom w:val="nil"/>
              <w:right w:val="nil"/>
            </w:tcBorders>
            <w:shd w:val="clear" w:color="auto" w:fill="auto"/>
            <w:noWrap/>
            <w:vAlign w:val="bottom"/>
          </w:tcPr>
          <w:p w14:paraId="313BAF70" w14:textId="02CE9D2E"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59</w:t>
            </w:r>
          </w:p>
        </w:tc>
        <w:tc>
          <w:tcPr>
            <w:tcW w:w="1314" w:type="dxa"/>
            <w:tcBorders>
              <w:top w:val="nil"/>
              <w:left w:val="nil"/>
              <w:bottom w:val="nil"/>
              <w:right w:val="nil"/>
            </w:tcBorders>
            <w:vAlign w:val="bottom"/>
          </w:tcPr>
          <w:p w14:paraId="7FF56386" w14:textId="76AD21F8"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430</w:t>
            </w:r>
          </w:p>
        </w:tc>
        <w:tc>
          <w:tcPr>
            <w:tcW w:w="1314" w:type="dxa"/>
            <w:gridSpan w:val="2"/>
            <w:tcBorders>
              <w:top w:val="nil"/>
              <w:left w:val="nil"/>
              <w:bottom w:val="nil"/>
              <w:right w:val="nil"/>
            </w:tcBorders>
            <w:shd w:val="clear" w:color="auto" w:fill="auto"/>
            <w:noWrap/>
            <w:vAlign w:val="bottom"/>
          </w:tcPr>
          <w:p w14:paraId="59C61EBF" w14:textId="22BE7759"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47.43</w:t>
            </w:r>
          </w:p>
        </w:tc>
        <w:tc>
          <w:tcPr>
            <w:tcW w:w="1202" w:type="dxa"/>
            <w:tcBorders>
              <w:top w:val="nil"/>
              <w:left w:val="nil"/>
              <w:bottom w:val="nil"/>
              <w:right w:val="nil"/>
            </w:tcBorders>
            <w:shd w:val="clear" w:color="auto" w:fill="auto"/>
            <w:noWrap/>
            <w:vAlign w:val="bottom"/>
          </w:tcPr>
          <w:p w14:paraId="20967508" w14:textId="12B2755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29.89</w:t>
            </w:r>
          </w:p>
        </w:tc>
        <w:tc>
          <w:tcPr>
            <w:tcW w:w="1417" w:type="dxa"/>
            <w:tcBorders>
              <w:top w:val="nil"/>
              <w:left w:val="nil"/>
              <w:bottom w:val="nil"/>
              <w:right w:val="nil"/>
            </w:tcBorders>
            <w:shd w:val="clear" w:color="auto" w:fill="auto"/>
            <w:noWrap/>
            <w:vAlign w:val="bottom"/>
          </w:tcPr>
          <w:p w14:paraId="4714801C" w14:textId="71C21563"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1.09</w:t>
            </w:r>
          </w:p>
        </w:tc>
      </w:tr>
      <w:tr w:rsidR="00EE533D" w:rsidRPr="00EE533D" w14:paraId="2659A671" w14:textId="77777777" w:rsidTr="00F4319C">
        <w:trPr>
          <w:trHeight w:val="288"/>
        </w:trPr>
        <w:tc>
          <w:tcPr>
            <w:tcW w:w="2268" w:type="dxa"/>
            <w:tcBorders>
              <w:top w:val="nil"/>
              <w:left w:val="nil"/>
              <w:bottom w:val="nil"/>
              <w:right w:val="nil"/>
            </w:tcBorders>
            <w:shd w:val="clear" w:color="auto" w:fill="auto"/>
            <w:noWrap/>
            <w:vAlign w:val="bottom"/>
          </w:tcPr>
          <w:p w14:paraId="680F92BC"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Canada</w:t>
            </w:r>
          </w:p>
        </w:tc>
        <w:tc>
          <w:tcPr>
            <w:tcW w:w="1312" w:type="dxa"/>
            <w:tcBorders>
              <w:top w:val="nil"/>
              <w:left w:val="nil"/>
              <w:bottom w:val="nil"/>
              <w:right w:val="nil"/>
            </w:tcBorders>
            <w:shd w:val="clear" w:color="auto" w:fill="auto"/>
            <w:noWrap/>
            <w:vAlign w:val="bottom"/>
          </w:tcPr>
          <w:p w14:paraId="387D3381" w14:textId="3D2925FD"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44</w:t>
            </w:r>
          </w:p>
        </w:tc>
        <w:tc>
          <w:tcPr>
            <w:tcW w:w="1314" w:type="dxa"/>
            <w:tcBorders>
              <w:top w:val="nil"/>
              <w:left w:val="nil"/>
              <w:bottom w:val="nil"/>
              <w:right w:val="nil"/>
            </w:tcBorders>
            <w:vAlign w:val="bottom"/>
          </w:tcPr>
          <w:p w14:paraId="4D39B1FB" w14:textId="6AFD14B6"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329</w:t>
            </w:r>
          </w:p>
        </w:tc>
        <w:tc>
          <w:tcPr>
            <w:tcW w:w="1314" w:type="dxa"/>
            <w:gridSpan w:val="2"/>
            <w:tcBorders>
              <w:top w:val="nil"/>
              <w:left w:val="nil"/>
              <w:bottom w:val="nil"/>
              <w:right w:val="nil"/>
            </w:tcBorders>
            <w:shd w:val="clear" w:color="auto" w:fill="auto"/>
            <w:noWrap/>
            <w:vAlign w:val="bottom"/>
          </w:tcPr>
          <w:p w14:paraId="362DA359" w14:textId="268EBEC7"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25.96</w:t>
            </w:r>
          </w:p>
        </w:tc>
        <w:tc>
          <w:tcPr>
            <w:tcW w:w="1202" w:type="dxa"/>
            <w:tcBorders>
              <w:top w:val="nil"/>
              <w:left w:val="nil"/>
              <w:bottom w:val="nil"/>
              <w:right w:val="nil"/>
            </w:tcBorders>
            <w:shd w:val="clear" w:color="auto" w:fill="auto"/>
            <w:noWrap/>
            <w:vAlign w:val="bottom"/>
          </w:tcPr>
          <w:p w14:paraId="0FE04BC0" w14:textId="2851EA5D"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56.12</w:t>
            </w:r>
          </w:p>
        </w:tc>
        <w:tc>
          <w:tcPr>
            <w:tcW w:w="1417" w:type="dxa"/>
            <w:tcBorders>
              <w:top w:val="nil"/>
              <w:left w:val="nil"/>
              <w:bottom w:val="nil"/>
              <w:right w:val="nil"/>
            </w:tcBorders>
            <w:shd w:val="clear" w:color="auto" w:fill="auto"/>
            <w:noWrap/>
            <w:vAlign w:val="bottom"/>
          </w:tcPr>
          <w:p w14:paraId="2AC6C3FE" w14:textId="247839EE"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1.44</w:t>
            </w:r>
          </w:p>
        </w:tc>
      </w:tr>
      <w:tr w:rsidR="00EE533D" w:rsidRPr="00EE533D" w14:paraId="206D7934" w14:textId="77777777" w:rsidTr="00F4319C">
        <w:trPr>
          <w:trHeight w:val="288"/>
        </w:trPr>
        <w:tc>
          <w:tcPr>
            <w:tcW w:w="2268" w:type="dxa"/>
            <w:tcBorders>
              <w:top w:val="nil"/>
              <w:left w:val="nil"/>
              <w:bottom w:val="nil"/>
              <w:right w:val="nil"/>
            </w:tcBorders>
            <w:shd w:val="clear" w:color="auto" w:fill="auto"/>
            <w:noWrap/>
            <w:vAlign w:val="bottom"/>
          </w:tcPr>
          <w:p w14:paraId="5852F53F"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Chile</w:t>
            </w:r>
          </w:p>
        </w:tc>
        <w:tc>
          <w:tcPr>
            <w:tcW w:w="1312" w:type="dxa"/>
            <w:tcBorders>
              <w:top w:val="nil"/>
              <w:left w:val="nil"/>
              <w:bottom w:val="nil"/>
              <w:right w:val="nil"/>
            </w:tcBorders>
            <w:shd w:val="clear" w:color="auto" w:fill="auto"/>
            <w:noWrap/>
            <w:vAlign w:val="bottom"/>
          </w:tcPr>
          <w:p w14:paraId="01975492" w14:textId="0587A2CC"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14</w:t>
            </w:r>
          </w:p>
        </w:tc>
        <w:tc>
          <w:tcPr>
            <w:tcW w:w="1314" w:type="dxa"/>
            <w:tcBorders>
              <w:top w:val="nil"/>
              <w:left w:val="nil"/>
              <w:bottom w:val="nil"/>
              <w:right w:val="nil"/>
            </w:tcBorders>
            <w:vAlign w:val="bottom"/>
          </w:tcPr>
          <w:p w14:paraId="5B18BBB7" w14:textId="0A10806F"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122</w:t>
            </w:r>
          </w:p>
        </w:tc>
        <w:tc>
          <w:tcPr>
            <w:tcW w:w="1314" w:type="dxa"/>
            <w:gridSpan w:val="2"/>
            <w:tcBorders>
              <w:top w:val="nil"/>
              <w:left w:val="nil"/>
              <w:bottom w:val="nil"/>
              <w:right w:val="nil"/>
            </w:tcBorders>
            <w:shd w:val="clear" w:color="auto" w:fill="auto"/>
            <w:noWrap/>
            <w:vAlign w:val="bottom"/>
          </w:tcPr>
          <w:p w14:paraId="259420FC" w14:textId="4EE5A5DC"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27.78</w:t>
            </w:r>
          </w:p>
        </w:tc>
        <w:tc>
          <w:tcPr>
            <w:tcW w:w="1202" w:type="dxa"/>
            <w:tcBorders>
              <w:top w:val="nil"/>
              <w:left w:val="nil"/>
              <w:bottom w:val="nil"/>
              <w:right w:val="nil"/>
            </w:tcBorders>
            <w:shd w:val="clear" w:color="auto" w:fill="auto"/>
            <w:noWrap/>
            <w:vAlign w:val="bottom"/>
          </w:tcPr>
          <w:p w14:paraId="3EC22303" w14:textId="455D6413"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28.53</w:t>
            </w:r>
          </w:p>
        </w:tc>
        <w:tc>
          <w:tcPr>
            <w:tcW w:w="1417" w:type="dxa"/>
            <w:tcBorders>
              <w:top w:val="nil"/>
              <w:left w:val="nil"/>
              <w:bottom w:val="nil"/>
              <w:right w:val="nil"/>
            </w:tcBorders>
            <w:shd w:val="clear" w:color="auto" w:fill="auto"/>
            <w:noWrap/>
            <w:vAlign w:val="bottom"/>
          </w:tcPr>
          <w:p w14:paraId="38C609A9" w14:textId="4C253987"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3.74</w:t>
            </w:r>
          </w:p>
        </w:tc>
      </w:tr>
      <w:tr w:rsidR="00EE533D" w:rsidRPr="00EE533D" w14:paraId="2309BE79" w14:textId="77777777" w:rsidTr="00F4319C">
        <w:trPr>
          <w:trHeight w:val="288"/>
        </w:trPr>
        <w:tc>
          <w:tcPr>
            <w:tcW w:w="2268" w:type="dxa"/>
            <w:tcBorders>
              <w:top w:val="nil"/>
              <w:left w:val="nil"/>
              <w:bottom w:val="nil"/>
              <w:right w:val="nil"/>
            </w:tcBorders>
            <w:shd w:val="clear" w:color="auto" w:fill="auto"/>
            <w:noWrap/>
            <w:vAlign w:val="bottom"/>
          </w:tcPr>
          <w:p w14:paraId="22CF8D72"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China</w:t>
            </w:r>
          </w:p>
        </w:tc>
        <w:tc>
          <w:tcPr>
            <w:tcW w:w="1312" w:type="dxa"/>
            <w:tcBorders>
              <w:top w:val="nil"/>
              <w:left w:val="nil"/>
              <w:bottom w:val="nil"/>
              <w:right w:val="nil"/>
            </w:tcBorders>
            <w:shd w:val="clear" w:color="auto" w:fill="auto"/>
            <w:noWrap/>
            <w:vAlign w:val="bottom"/>
          </w:tcPr>
          <w:p w14:paraId="0F7201D1" w14:textId="3ED847AA"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59</w:t>
            </w:r>
          </w:p>
        </w:tc>
        <w:tc>
          <w:tcPr>
            <w:tcW w:w="1314" w:type="dxa"/>
            <w:tcBorders>
              <w:top w:val="nil"/>
              <w:left w:val="nil"/>
              <w:bottom w:val="nil"/>
              <w:right w:val="nil"/>
            </w:tcBorders>
            <w:vAlign w:val="bottom"/>
          </w:tcPr>
          <w:p w14:paraId="08B8B037" w14:textId="361BCE9C"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324</w:t>
            </w:r>
          </w:p>
        </w:tc>
        <w:tc>
          <w:tcPr>
            <w:tcW w:w="1314" w:type="dxa"/>
            <w:gridSpan w:val="2"/>
            <w:tcBorders>
              <w:top w:val="nil"/>
              <w:left w:val="nil"/>
              <w:bottom w:val="nil"/>
              <w:right w:val="nil"/>
            </w:tcBorders>
            <w:shd w:val="clear" w:color="auto" w:fill="auto"/>
            <w:noWrap/>
            <w:vAlign w:val="bottom"/>
          </w:tcPr>
          <w:p w14:paraId="23BC79A2" w14:textId="6A84EE59"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53.44</w:t>
            </w:r>
          </w:p>
        </w:tc>
        <w:tc>
          <w:tcPr>
            <w:tcW w:w="1202" w:type="dxa"/>
            <w:tcBorders>
              <w:top w:val="nil"/>
              <w:left w:val="nil"/>
              <w:bottom w:val="nil"/>
              <w:right w:val="nil"/>
            </w:tcBorders>
            <w:shd w:val="clear" w:color="auto" w:fill="auto"/>
            <w:noWrap/>
            <w:vAlign w:val="bottom"/>
          </w:tcPr>
          <w:p w14:paraId="1092F301" w14:textId="70EFB75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65.47</w:t>
            </w:r>
          </w:p>
        </w:tc>
        <w:tc>
          <w:tcPr>
            <w:tcW w:w="1417" w:type="dxa"/>
            <w:tcBorders>
              <w:top w:val="nil"/>
              <w:left w:val="nil"/>
              <w:bottom w:val="nil"/>
              <w:right w:val="nil"/>
            </w:tcBorders>
            <w:shd w:val="clear" w:color="auto" w:fill="auto"/>
            <w:noWrap/>
            <w:vAlign w:val="bottom"/>
          </w:tcPr>
          <w:p w14:paraId="708114D9" w14:textId="1140279D"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2.35</w:t>
            </w:r>
          </w:p>
        </w:tc>
      </w:tr>
      <w:tr w:rsidR="00EE533D" w:rsidRPr="00EE533D" w14:paraId="5D71140C" w14:textId="77777777" w:rsidTr="00F4319C">
        <w:trPr>
          <w:trHeight w:val="288"/>
        </w:trPr>
        <w:tc>
          <w:tcPr>
            <w:tcW w:w="2268" w:type="dxa"/>
            <w:tcBorders>
              <w:top w:val="nil"/>
              <w:left w:val="nil"/>
              <w:bottom w:val="nil"/>
              <w:right w:val="nil"/>
            </w:tcBorders>
            <w:shd w:val="clear" w:color="auto" w:fill="auto"/>
            <w:noWrap/>
            <w:vAlign w:val="bottom"/>
          </w:tcPr>
          <w:p w14:paraId="47DCE253"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Colombia</w:t>
            </w:r>
          </w:p>
        </w:tc>
        <w:tc>
          <w:tcPr>
            <w:tcW w:w="1312" w:type="dxa"/>
            <w:tcBorders>
              <w:top w:val="nil"/>
              <w:left w:val="nil"/>
              <w:bottom w:val="nil"/>
              <w:right w:val="nil"/>
            </w:tcBorders>
            <w:shd w:val="clear" w:color="auto" w:fill="auto"/>
            <w:noWrap/>
            <w:vAlign w:val="bottom"/>
          </w:tcPr>
          <w:p w14:paraId="7FE37718" w14:textId="2438354B"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w:t>
            </w:r>
          </w:p>
        </w:tc>
        <w:tc>
          <w:tcPr>
            <w:tcW w:w="1314" w:type="dxa"/>
            <w:tcBorders>
              <w:top w:val="nil"/>
              <w:left w:val="nil"/>
              <w:bottom w:val="nil"/>
              <w:right w:val="nil"/>
            </w:tcBorders>
            <w:vAlign w:val="bottom"/>
          </w:tcPr>
          <w:p w14:paraId="7DA06810" w14:textId="63D1F78F"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43</w:t>
            </w:r>
          </w:p>
        </w:tc>
        <w:tc>
          <w:tcPr>
            <w:tcW w:w="1314" w:type="dxa"/>
            <w:gridSpan w:val="2"/>
            <w:tcBorders>
              <w:top w:val="nil"/>
              <w:left w:val="nil"/>
              <w:bottom w:val="nil"/>
              <w:right w:val="nil"/>
            </w:tcBorders>
            <w:shd w:val="clear" w:color="auto" w:fill="auto"/>
            <w:noWrap/>
            <w:vAlign w:val="bottom"/>
          </w:tcPr>
          <w:p w14:paraId="545CD7F7" w14:textId="03D0D5A2"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28.05</w:t>
            </w:r>
          </w:p>
        </w:tc>
        <w:tc>
          <w:tcPr>
            <w:tcW w:w="1202" w:type="dxa"/>
            <w:tcBorders>
              <w:top w:val="nil"/>
              <w:left w:val="nil"/>
              <w:bottom w:val="nil"/>
              <w:right w:val="nil"/>
            </w:tcBorders>
            <w:shd w:val="clear" w:color="auto" w:fill="auto"/>
            <w:noWrap/>
            <w:vAlign w:val="bottom"/>
          </w:tcPr>
          <w:p w14:paraId="08D60F80" w14:textId="0D4C830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46.45</w:t>
            </w:r>
          </w:p>
        </w:tc>
        <w:tc>
          <w:tcPr>
            <w:tcW w:w="1417" w:type="dxa"/>
            <w:tcBorders>
              <w:top w:val="nil"/>
              <w:left w:val="nil"/>
              <w:bottom w:val="nil"/>
              <w:right w:val="nil"/>
            </w:tcBorders>
            <w:shd w:val="clear" w:color="auto" w:fill="auto"/>
            <w:noWrap/>
            <w:vAlign w:val="bottom"/>
          </w:tcPr>
          <w:p w14:paraId="171D6324" w14:textId="12731A82"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1.36</w:t>
            </w:r>
          </w:p>
        </w:tc>
      </w:tr>
      <w:tr w:rsidR="00EE533D" w:rsidRPr="00EE533D" w14:paraId="3E23F688" w14:textId="77777777" w:rsidTr="00F4319C">
        <w:trPr>
          <w:trHeight w:val="288"/>
        </w:trPr>
        <w:tc>
          <w:tcPr>
            <w:tcW w:w="2268" w:type="dxa"/>
            <w:tcBorders>
              <w:top w:val="nil"/>
              <w:left w:val="nil"/>
              <w:bottom w:val="nil"/>
              <w:right w:val="nil"/>
            </w:tcBorders>
            <w:shd w:val="clear" w:color="auto" w:fill="auto"/>
            <w:noWrap/>
            <w:vAlign w:val="bottom"/>
          </w:tcPr>
          <w:p w14:paraId="561B047F"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Croatia</w:t>
            </w:r>
          </w:p>
        </w:tc>
        <w:tc>
          <w:tcPr>
            <w:tcW w:w="1312" w:type="dxa"/>
            <w:tcBorders>
              <w:top w:val="nil"/>
              <w:left w:val="nil"/>
              <w:bottom w:val="nil"/>
              <w:right w:val="nil"/>
            </w:tcBorders>
            <w:shd w:val="clear" w:color="auto" w:fill="auto"/>
            <w:noWrap/>
            <w:vAlign w:val="bottom"/>
          </w:tcPr>
          <w:p w14:paraId="65886ACE" w14:textId="7C838371"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w:t>
            </w:r>
          </w:p>
        </w:tc>
        <w:tc>
          <w:tcPr>
            <w:tcW w:w="1314" w:type="dxa"/>
            <w:tcBorders>
              <w:top w:val="nil"/>
              <w:left w:val="nil"/>
              <w:bottom w:val="nil"/>
              <w:right w:val="nil"/>
            </w:tcBorders>
            <w:vAlign w:val="bottom"/>
          </w:tcPr>
          <w:p w14:paraId="104CAF02" w14:textId="09130E55"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22</w:t>
            </w:r>
          </w:p>
        </w:tc>
        <w:tc>
          <w:tcPr>
            <w:tcW w:w="1314" w:type="dxa"/>
            <w:gridSpan w:val="2"/>
            <w:tcBorders>
              <w:top w:val="nil"/>
              <w:left w:val="nil"/>
              <w:bottom w:val="nil"/>
              <w:right w:val="nil"/>
            </w:tcBorders>
            <w:shd w:val="clear" w:color="auto" w:fill="auto"/>
            <w:noWrap/>
            <w:vAlign w:val="bottom"/>
          </w:tcPr>
          <w:p w14:paraId="3D76458A" w14:textId="7891E6B5"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43.78</w:t>
            </w:r>
          </w:p>
        </w:tc>
        <w:tc>
          <w:tcPr>
            <w:tcW w:w="1202" w:type="dxa"/>
            <w:tcBorders>
              <w:top w:val="nil"/>
              <w:left w:val="nil"/>
              <w:bottom w:val="nil"/>
              <w:right w:val="nil"/>
            </w:tcBorders>
            <w:shd w:val="clear" w:color="auto" w:fill="auto"/>
            <w:noWrap/>
            <w:vAlign w:val="bottom"/>
          </w:tcPr>
          <w:p w14:paraId="7D569DC4" w14:textId="4C12DAAC"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9.66</w:t>
            </w:r>
          </w:p>
        </w:tc>
        <w:tc>
          <w:tcPr>
            <w:tcW w:w="1417" w:type="dxa"/>
            <w:tcBorders>
              <w:top w:val="nil"/>
              <w:left w:val="nil"/>
              <w:bottom w:val="nil"/>
              <w:right w:val="nil"/>
            </w:tcBorders>
            <w:shd w:val="clear" w:color="auto" w:fill="auto"/>
            <w:noWrap/>
            <w:vAlign w:val="bottom"/>
          </w:tcPr>
          <w:p w14:paraId="7EEF51D9" w14:textId="01EDD151"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0.44</w:t>
            </w:r>
          </w:p>
        </w:tc>
      </w:tr>
      <w:tr w:rsidR="00EE533D" w:rsidRPr="00EE533D" w14:paraId="7DED474C" w14:textId="77777777" w:rsidTr="00F4319C">
        <w:trPr>
          <w:trHeight w:val="288"/>
        </w:trPr>
        <w:tc>
          <w:tcPr>
            <w:tcW w:w="2268" w:type="dxa"/>
            <w:tcBorders>
              <w:top w:val="nil"/>
              <w:left w:val="nil"/>
              <w:bottom w:val="nil"/>
              <w:right w:val="nil"/>
            </w:tcBorders>
            <w:shd w:val="clear" w:color="auto" w:fill="auto"/>
            <w:noWrap/>
            <w:vAlign w:val="bottom"/>
          </w:tcPr>
          <w:p w14:paraId="04B58D43"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Denmark</w:t>
            </w:r>
          </w:p>
        </w:tc>
        <w:tc>
          <w:tcPr>
            <w:tcW w:w="1312" w:type="dxa"/>
            <w:tcBorders>
              <w:top w:val="nil"/>
              <w:left w:val="nil"/>
              <w:bottom w:val="nil"/>
              <w:right w:val="nil"/>
            </w:tcBorders>
            <w:shd w:val="clear" w:color="auto" w:fill="auto"/>
            <w:noWrap/>
            <w:vAlign w:val="bottom"/>
          </w:tcPr>
          <w:p w14:paraId="43F8EC40" w14:textId="7E803C52"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14</w:t>
            </w:r>
          </w:p>
        </w:tc>
        <w:tc>
          <w:tcPr>
            <w:tcW w:w="1314" w:type="dxa"/>
            <w:tcBorders>
              <w:top w:val="nil"/>
              <w:left w:val="nil"/>
              <w:bottom w:val="nil"/>
              <w:right w:val="nil"/>
            </w:tcBorders>
            <w:vAlign w:val="bottom"/>
          </w:tcPr>
          <w:p w14:paraId="5A23FE16" w14:textId="3B197D24"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135</w:t>
            </w:r>
          </w:p>
        </w:tc>
        <w:tc>
          <w:tcPr>
            <w:tcW w:w="1314" w:type="dxa"/>
            <w:gridSpan w:val="2"/>
            <w:tcBorders>
              <w:top w:val="nil"/>
              <w:left w:val="nil"/>
              <w:bottom w:val="nil"/>
              <w:right w:val="nil"/>
            </w:tcBorders>
            <w:shd w:val="clear" w:color="auto" w:fill="auto"/>
            <w:noWrap/>
            <w:vAlign w:val="bottom"/>
          </w:tcPr>
          <w:p w14:paraId="3F8C33D5" w14:textId="08F5D61E"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52.47</w:t>
            </w:r>
          </w:p>
        </w:tc>
        <w:tc>
          <w:tcPr>
            <w:tcW w:w="1202" w:type="dxa"/>
            <w:tcBorders>
              <w:top w:val="nil"/>
              <w:left w:val="nil"/>
              <w:bottom w:val="nil"/>
              <w:right w:val="nil"/>
            </w:tcBorders>
            <w:shd w:val="clear" w:color="auto" w:fill="auto"/>
            <w:noWrap/>
            <w:vAlign w:val="bottom"/>
          </w:tcPr>
          <w:p w14:paraId="00AD5164" w14:textId="6792ABF6"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10.95</w:t>
            </w:r>
          </w:p>
        </w:tc>
        <w:tc>
          <w:tcPr>
            <w:tcW w:w="1417" w:type="dxa"/>
            <w:tcBorders>
              <w:top w:val="nil"/>
              <w:left w:val="nil"/>
              <w:bottom w:val="nil"/>
              <w:right w:val="nil"/>
            </w:tcBorders>
            <w:shd w:val="clear" w:color="auto" w:fill="auto"/>
            <w:noWrap/>
            <w:vAlign w:val="bottom"/>
          </w:tcPr>
          <w:p w14:paraId="14182918" w14:textId="0DF1B2B4"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5F1B44E2" w14:textId="77777777" w:rsidTr="00F4319C">
        <w:trPr>
          <w:trHeight w:val="288"/>
        </w:trPr>
        <w:tc>
          <w:tcPr>
            <w:tcW w:w="2268" w:type="dxa"/>
            <w:tcBorders>
              <w:top w:val="nil"/>
              <w:left w:val="nil"/>
              <w:bottom w:val="nil"/>
              <w:right w:val="nil"/>
            </w:tcBorders>
            <w:shd w:val="clear" w:color="auto" w:fill="auto"/>
            <w:noWrap/>
            <w:vAlign w:val="bottom"/>
          </w:tcPr>
          <w:p w14:paraId="12D52230"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Finland</w:t>
            </w:r>
          </w:p>
        </w:tc>
        <w:tc>
          <w:tcPr>
            <w:tcW w:w="1312" w:type="dxa"/>
            <w:tcBorders>
              <w:top w:val="nil"/>
              <w:left w:val="nil"/>
              <w:bottom w:val="nil"/>
              <w:right w:val="nil"/>
            </w:tcBorders>
            <w:shd w:val="clear" w:color="auto" w:fill="auto"/>
            <w:noWrap/>
            <w:vAlign w:val="bottom"/>
          </w:tcPr>
          <w:p w14:paraId="158D5924" w14:textId="78FC8E87"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30</w:t>
            </w:r>
          </w:p>
        </w:tc>
        <w:tc>
          <w:tcPr>
            <w:tcW w:w="1314" w:type="dxa"/>
            <w:tcBorders>
              <w:top w:val="nil"/>
              <w:left w:val="nil"/>
              <w:bottom w:val="nil"/>
              <w:right w:val="nil"/>
            </w:tcBorders>
            <w:vAlign w:val="bottom"/>
          </w:tcPr>
          <w:p w14:paraId="265C219A" w14:textId="5BE292A3"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258</w:t>
            </w:r>
          </w:p>
        </w:tc>
        <w:tc>
          <w:tcPr>
            <w:tcW w:w="1314" w:type="dxa"/>
            <w:gridSpan w:val="2"/>
            <w:tcBorders>
              <w:top w:val="nil"/>
              <w:left w:val="nil"/>
              <w:bottom w:val="nil"/>
              <w:right w:val="nil"/>
            </w:tcBorders>
            <w:shd w:val="clear" w:color="auto" w:fill="auto"/>
            <w:noWrap/>
            <w:vAlign w:val="bottom"/>
          </w:tcPr>
          <w:p w14:paraId="6AA17B6A" w14:textId="27594295"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63.89</w:t>
            </w:r>
          </w:p>
        </w:tc>
        <w:tc>
          <w:tcPr>
            <w:tcW w:w="1202" w:type="dxa"/>
            <w:tcBorders>
              <w:top w:val="nil"/>
              <w:left w:val="nil"/>
              <w:bottom w:val="nil"/>
              <w:right w:val="nil"/>
            </w:tcBorders>
            <w:shd w:val="clear" w:color="auto" w:fill="auto"/>
            <w:noWrap/>
            <w:vAlign w:val="bottom"/>
          </w:tcPr>
          <w:p w14:paraId="50087A55" w14:textId="625F6DFF"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8.59</w:t>
            </w:r>
          </w:p>
        </w:tc>
        <w:tc>
          <w:tcPr>
            <w:tcW w:w="1417" w:type="dxa"/>
            <w:tcBorders>
              <w:top w:val="nil"/>
              <w:left w:val="nil"/>
              <w:bottom w:val="nil"/>
              <w:right w:val="nil"/>
            </w:tcBorders>
            <w:shd w:val="clear" w:color="auto" w:fill="auto"/>
            <w:noWrap/>
            <w:vAlign w:val="bottom"/>
          </w:tcPr>
          <w:p w14:paraId="7049ED23" w14:textId="14C1FB60"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0.13</w:t>
            </w:r>
          </w:p>
        </w:tc>
      </w:tr>
      <w:tr w:rsidR="00EE533D" w:rsidRPr="00EE533D" w14:paraId="361A93C3" w14:textId="77777777" w:rsidTr="00F4319C">
        <w:trPr>
          <w:trHeight w:val="288"/>
        </w:trPr>
        <w:tc>
          <w:tcPr>
            <w:tcW w:w="2268" w:type="dxa"/>
            <w:tcBorders>
              <w:top w:val="nil"/>
              <w:left w:val="nil"/>
              <w:bottom w:val="nil"/>
              <w:right w:val="nil"/>
            </w:tcBorders>
            <w:shd w:val="clear" w:color="auto" w:fill="auto"/>
            <w:noWrap/>
            <w:vAlign w:val="bottom"/>
          </w:tcPr>
          <w:p w14:paraId="342E84F8"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France</w:t>
            </w:r>
          </w:p>
        </w:tc>
        <w:tc>
          <w:tcPr>
            <w:tcW w:w="1312" w:type="dxa"/>
            <w:tcBorders>
              <w:top w:val="nil"/>
              <w:left w:val="nil"/>
              <w:bottom w:val="nil"/>
              <w:right w:val="nil"/>
            </w:tcBorders>
            <w:shd w:val="clear" w:color="auto" w:fill="auto"/>
            <w:noWrap/>
            <w:vAlign w:val="bottom"/>
          </w:tcPr>
          <w:p w14:paraId="77AFE306" w14:textId="4B9BBDBB"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47</w:t>
            </w:r>
          </w:p>
        </w:tc>
        <w:tc>
          <w:tcPr>
            <w:tcW w:w="1314" w:type="dxa"/>
            <w:tcBorders>
              <w:top w:val="nil"/>
              <w:left w:val="nil"/>
              <w:bottom w:val="nil"/>
              <w:right w:val="nil"/>
            </w:tcBorders>
            <w:vAlign w:val="bottom"/>
          </w:tcPr>
          <w:p w14:paraId="0D3E35CE" w14:textId="1E2058C6"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424</w:t>
            </w:r>
          </w:p>
        </w:tc>
        <w:tc>
          <w:tcPr>
            <w:tcW w:w="1314" w:type="dxa"/>
            <w:gridSpan w:val="2"/>
            <w:tcBorders>
              <w:top w:val="nil"/>
              <w:left w:val="nil"/>
              <w:bottom w:val="nil"/>
              <w:right w:val="nil"/>
            </w:tcBorders>
            <w:shd w:val="clear" w:color="auto" w:fill="auto"/>
            <w:noWrap/>
            <w:vAlign w:val="bottom"/>
          </w:tcPr>
          <w:p w14:paraId="31A56194" w14:textId="0E452236"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58.36</w:t>
            </w:r>
          </w:p>
        </w:tc>
        <w:tc>
          <w:tcPr>
            <w:tcW w:w="1202" w:type="dxa"/>
            <w:tcBorders>
              <w:top w:val="nil"/>
              <w:left w:val="nil"/>
              <w:bottom w:val="nil"/>
              <w:right w:val="nil"/>
            </w:tcBorders>
            <w:shd w:val="clear" w:color="auto" w:fill="auto"/>
            <w:noWrap/>
            <w:vAlign w:val="bottom"/>
          </w:tcPr>
          <w:p w14:paraId="309D431B" w14:textId="272CA0A3"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54.66</w:t>
            </w:r>
          </w:p>
        </w:tc>
        <w:tc>
          <w:tcPr>
            <w:tcW w:w="1417" w:type="dxa"/>
            <w:tcBorders>
              <w:top w:val="nil"/>
              <w:left w:val="nil"/>
              <w:bottom w:val="nil"/>
              <w:right w:val="nil"/>
            </w:tcBorders>
            <w:shd w:val="clear" w:color="auto" w:fill="auto"/>
            <w:noWrap/>
            <w:vAlign w:val="bottom"/>
          </w:tcPr>
          <w:p w14:paraId="1C244292" w14:textId="11173AC0"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0.90</w:t>
            </w:r>
          </w:p>
        </w:tc>
      </w:tr>
      <w:tr w:rsidR="00EE533D" w:rsidRPr="00EE533D" w14:paraId="470391BB" w14:textId="77777777" w:rsidTr="00F4319C">
        <w:trPr>
          <w:trHeight w:val="288"/>
        </w:trPr>
        <w:tc>
          <w:tcPr>
            <w:tcW w:w="2268" w:type="dxa"/>
            <w:tcBorders>
              <w:top w:val="nil"/>
              <w:left w:val="nil"/>
              <w:bottom w:val="nil"/>
              <w:right w:val="nil"/>
            </w:tcBorders>
            <w:shd w:val="clear" w:color="auto" w:fill="auto"/>
            <w:noWrap/>
            <w:vAlign w:val="bottom"/>
          </w:tcPr>
          <w:p w14:paraId="34A36693"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Germany</w:t>
            </w:r>
          </w:p>
        </w:tc>
        <w:tc>
          <w:tcPr>
            <w:tcW w:w="1312" w:type="dxa"/>
            <w:tcBorders>
              <w:top w:val="nil"/>
              <w:left w:val="nil"/>
              <w:bottom w:val="nil"/>
              <w:right w:val="nil"/>
            </w:tcBorders>
            <w:shd w:val="clear" w:color="auto" w:fill="auto"/>
            <w:noWrap/>
            <w:vAlign w:val="bottom"/>
          </w:tcPr>
          <w:p w14:paraId="7BA2DADC" w14:textId="6757E9CB"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39</w:t>
            </w:r>
          </w:p>
        </w:tc>
        <w:tc>
          <w:tcPr>
            <w:tcW w:w="1314" w:type="dxa"/>
            <w:tcBorders>
              <w:top w:val="nil"/>
              <w:left w:val="nil"/>
              <w:bottom w:val="nil"/>
              <w:right w:val="nil"/>
            </w:tcBorders>
            <w:vAlign w:val="bottom"/>
          </w:tcPr>
          <w:p w14:paraId="2618DA94" w14:textId="59FA6A70"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336</w:t>
            </w:r>
          </w:p>
        </w:tc>
        <w:tc>
          <w:tcPr>
            <w:tcW w:w="1314" w:type="dxa"/>
            <w:gridSpan w:val="2"/>
            <w:tcBorders>
              <w:top w:val="nil"/>
              <w:left w:val="nil"/>
              <w:bottom w:val="nil"/>
              <w:right w:val="nil"/>
            </w:tcBorders>
            <w:shd w:val="clear" w:color="auto" w:fill="auto"/>
            <w:noWrap/>
            <w:vAlign w:val="bottom"/>
          </w:tcPr>
          <w:p w14:paraId="31B31260" w14:textId="37A09249"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63.56</w:t>
            </w:r>
          </w:p>
        </w:tc>
        <w:tc>
          <w:tcPr>
            <w:tcW w:w="1202" w:type="dxa"/>
            <w:tcBorders>
              <w:top w:val="nil"/>
              <w:left w:val="nil"/>
              <w:bottom w:val="nil"/>
              <w:right w:val="nil"/>
            </w:tcBorders>
            <w:shd w:val="clear" w:color="auto" w:fill="auto"/>
            <w:noWrap/>
            <w:vAlign w:val="bottom"/>
          </w:tcPr>
          <w:p w14:paraId="3DD4A872" w14:textId="0BADE5CD"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31.66</w:t>
            </w:r>
          </w:p>
        </w:tc>
        <w:tc>
          <w:tcPr>
            <w:tcW w:w="1417" w:type="dxa"/>
            <w:tcBorders>
              <w:top w:val="nil"/>
              <w:left w:val="nil"/>
              <w:bottom w:val="nil"/>
              <w:right w:val="nil"/>
            </w:tcBorders>
            <w:shd w:val="clear" w:color="auto" w:fill="auto"/>
            <w:noWrap/>
            <w:vAlign w:val="bottom"/>
          </w:tcPr>
          <w:p w14:paraId="224EE067" w14:textId="56C02D70"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1.08</w:t>
            </w:r>
          </w:p>
        </w:tc>
      </w:tr>
      <w:tr w:rsidR="00EE533D" w:rsidRPr="00EE533D" w14:paraId="27D6CF79" w14:textId="77777777" w:rsidTr="00F4319C">
        <w:trPr>
          <w:trHeight w:val="288"/>
        </w:trPr>
        <w:tc>
          <w:tcPr>
            <w:tcW w:w="2268" w:type="dxa"/>
            <w:tcBorders>
              <w:top w:val="nil"/>
              <w:left w:val="nil"/>
              <w:bottom w:val="nil"/>
              <w:right w:val="nil"/>
            </w:tcBorders>
            <w:shd w:val="clear" w:color="auto" w:fill="auto"/>
            <w:noWrap/>
            <w:vAlign w:val="bottom"/>
          </w:tcPr>
          <w:p w14:paraId="6EFA8341"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Greece</w:t>
            </w:r>
          </w:p>
        </w:tc>
        <w:tc>
          <w:tcPr>
            <w:tcW w:w="1312" w:type="dxa"/>
            <w:tcBorders>
              <w:top w:val="nil"/>
              <w:left w:val="nil"/>
              <w:bottom w:val="nil"/>
              <w:right w:val="nil"/>
            </w:tcBorders>
            <w:shd w:val="clear" w:color="auto" w:fill="auto"/>
            <w:noWrap/>
            <w:vAlign w:val="bottom"/>
          </w:tcPr>
          <w:p w14:paraId="1B8A4A07" w14:textId="4D45F310"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13</w:t>
            </w:r>
          </w:p>
        </w:tc>
        <w:tc>
          <w:tcPr>
            <w:tcW w:w="1314" w:type="dxa"/>
            <w:tcBorders>
              <w:top w:val="nil"/>
              <w:left w:val="nil"/>
              <w:bottom w:val="nil"/>
              <w:right w:val="nil"/>
            </w:tcBorders>
            <w:vAlign w:val="bottom"/>
          </w:tcPr>
          <w:p w14:paraId="37B0856F" w14:textId="76D2219A"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74</w:t>
            </w:r>
          </w:p>
        </w:tc>
        <w:tc>
          <w:tcPr>
            <w:tcW w:w="1314" w:type="dxa"/>
            <w:gridSpan w:val="2"/>
            <w:tcBorders>
              <w:top w:val="nil"/>
              <w:left w:val="nil"/>
              <w:bottom w:val="nil"/>
              <w:right w:val="nil"/>
            </w:tcBorders>
            <w:shd w:val="clear" w:color="auto" w:fill="auto"/>
            <w:noWrap/>
            <w:vAlign w:val="bottom"/>
          </w:tcPr>
          <w:p w14:paraId="2346BA4C" w14:textId="6423423A"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56.30</w:t>
            </w:r>
          </w:p>
        </w:tc>
        <w:tc>
          <w:tcPr>
            <w:tcW w:w="1202" w:type="dxa"/>
            <w:tcBorders>
              <w:top w:val="nil"/>
              <w:left w:val="nil"/>
              <w:bottom w:val="nil"/>
              <w:right w:val="nil"/>
            </w:tcBorders>
            <w:shd w:val="clear" w:color="auto" w:fill="auto"/>
            <w:noWrap/>
            <w:vAlign w:val="bottom"/>
          </w:tcPr>
          <w:p w14:paraId="6B65C196" w14:textId="5AEE49C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19.57</w:t>
            </w:r>
          </w:p>
        </w:tc>
        <w:tc>
          <w:tcPr>
            <w:tcW w:w="1417" w:type="dxa"/>
            <w:tcBorders>
              <w:top w:val="nil"/>
              <w:left w:val="nil"/>
              <w:bottom w:val="nil"/>
              <w:right w:val="nil"/>
            </w:tcBorders>
            <w:shd w:val="clear" w:color="auto" w:fill="auto"/>
            <w:noWrap/>
            <w:vAlign w:val="bottom"/>
          </w:tcPr>
          <w:p w14:paraId="39C07860" w14:textId="29729137"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0.15</w:t>
            </w:r>
          </w:p>
        </w:tc>
      </w:tr>
      <w:tr w:rsidR="00EE533D" w:rsidRPr="00EE533D" w14:paraId="4F5B0340" w14:textId="77777777" w:rsidTr="00F4319C">
        <w:trPr>
          <w:trHeight w:val="288"/>
        </w:trPr>
        <w:tc>
          <w:tcPr>
            <w:tcW w:w="2268" w:type="dxa"/>
            <w:tcBorders>
              <w:top w:val="nil"/>
              <w:left w:val="nil"/>
              <w:bottom w:val="nil"/>
              <w:right w:val="nil"/>
            </w:tcBorders>
            <w:shd w:val="clear" w:color="auto" w:fill="auto"/>
            <w:noWrap/>
            <w:vAlign w:val="bottom"/>
          </w:tcPr>
          <w:p w14:paraId="76E20B34"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Indonesia</w:t>
            </w:r>
          </w:p>
        </w:tc>
        <w:tc>
          <w:tcPr>
            <w:tcW w:w="1312" w:type="dxa"/>
            <w:tcBorders>
              <w:top w:val="nil"/>
              <w:left w:val="nil"/>
              <w:bottom w:val="nil"/>
              <w:right w:val="nil"/>
            </w:tcBorders>
            <w:shd w:val="clear" w:color="auto" w:fill="auto"/>
            <w:noWrap/>
            <w:vAlign w:val="bottom"/>
          </w:tcPr>
          <w:p w14:paraId="58D4B736" w14:textId="4FC42D32"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13</w:t>
            </w:r>
          </w:p>
        </w:tc>
        <w:tc>
          <w:tcPr>
            <w:tcW w:w="1314" w:type="dxa"/>
            <w:tcBorders>
              <w:top w:val="nil"/>
              <w:left w:val="nil"/>
              <w:bottom w:val="nil"/>
              <w:right w:val="nil"/>
            </w:tcBorders>
            <w:vAlign w:val="bottom"/>
          </w:tcPr>
          <w:p w14:paraId="34F07381" w14:textId="766005C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76</w:t>
            </w:r>
          </w:p>
        </w:tc>
        <w:tc>
          <w:tcPr>
            <w:tcW w:w="1314" w:type="dxa"/>
            <w:gridSpan w:val="2"/>
            <w:tcBorders>
              <w:top w:val="nil"/>
              <w:left w:val="nil"/>
              <w:bottom w:val="nil"/>
              <w:right w:val="nil"/>
            </w:tcBorders>
            <w:shd w:val="clear" w:color="auto" w:fill="auto"/>
            <w:noWrap/>
            <w:vAlign w:val="bottom"/>
          </w:tcPr>
          <w:p w14:paraId="73856D0E" w14:textId="63970D92"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52.31</w:t>
            </w:r>
          </w:p>
        </w:tc>
        <w:tc>
          <w:tcPr>
            <w:tcW w:w="1202" w:type="dxa"/>
            <w:tcBorders>
              <w:top w:val="nil"/>
              <w:left w:val="nil"/>
              <w:bottom w:val="nil"/>
              <w:right w:val="nil"/>
            </w:tcBorders>
            <w:shd w:val="clear" w:color="auto" w:fill="auto"/>
            <w:noWrap/>
            <w:vAlign w:val="bottom"/>
          </w:tcPr>
          <w:p w14:paraId="60B59524" w14:textId="3EDED31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2.39</w:t>
            </w:r>
          </w:p>
        </w:tc>
        <w:tc>
          <w:tcPr>
            <w:tcW w:w="1417" w:type="dxa"/>
            <w:tcBorders>
              <w:top w:val="nil"/>
              <w:left w:val="nil"/>
              <w:bottom w:val="nil"/>
              <w:right w:val="nil"/>
            </w:tcBorders>
            <w:shd w:val="clear" w:color="auto" w:fill="auto"/>
            <w:noWrap/>
            <w:vAlign w:val="bottom"/>
          </w:tcPr>
          <w:p w14:paraId="31276503" w14:textId="39C2FEDD"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14E0F7C1" w14:textId="77777777" w:rsidTr="00F4319C">
        <w:trPr>
          <w:trHeight w:val="288"/>
        </w:trPr>
        <w:tc>
          <w:tcPr>
            <w:tcW w:w="2268" w:type="dxa"/>
            <w:tcBorders>
              <w:top w:val="nil"/>
              <w:left w:val="nil"/>
              <w:bottom w:val="nil"/>
              <w:right w:val="nil"/>
            </w:tcBorders>
            <w:shd w:val="clear" w:color="auto" w:fill="auto"/>
            <w:noWrap/>
            <w:vAlign w:val="bottom"/>
          </w:tcPr>
          <w:p w14:paraId="71987BF3"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Ireland</w:t>
            </w:r>
          </w:p>
        </w:tc>
        <w:tc>
          <w:tcPr>
            <w:tcW w:w="1312" w:type="dxa"/>
            <w:tcBorders>
              <w:top w:val="nil"/>
              <w:left w:val="nil"/>
              <w:bottom w:val="nil"/>
              <w:right w:val="nil"/>
            </w:tcBorders>
            <w:shd w:val="clear" w:color="auto" w:fill="auto"/>
            <w:noWrap/>
            <w:vAlign w:val="bottom"/>
          </w:tcPr>
          <w:p w14:paraId="01D800FB" w14:textId="7DECBA1D"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7</w:t>
            </w:r>
          </w:p>
        </w:tc>
        <w:tc>
          <w:tcPr>
            <w:tcW w:w="1314" w:type="dxa"/>
            <w:tcBorders>
              <w:top w:val="nil"/>
              <w:left w:val="nil"/>
              <w:bottom w:val="nil"/>
              <w:right w:val="nil"/>
            </w:tcBorders>
            <w:vAlign w:val="bottom"/>
          </w:tcPr>
          <w:p w14:paraId="7ABE3B8A" w14:textId="5CC9C435"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46</w:t>
            </w:r>
          </w:p>
        </w:tc>
        <w:tc>
          <w:tcPr>
            <w:tcW w:w="1314" w:type="dxa"/>
            <w:gridSpan w:val="2"/>
            <w:tcBorders>
              <w:top w:val="nil"/>
              <w:left w:val="nil"/>
              <w:bottom w:val="nil"/>
              <w:right w:val="nil"/>
            </w:tcBorders>
            <w:shd w:val="clear" w:color="auto" w:fill="auto"/>
            <w:noWrap/>
            <w:vAlign w:val="bottom"/>
          </w:tcPr>
          <w:p w14:paraId="56AA5FA5" w14:textId="375CB5FB"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69.36</w:t>
            </w:r>
          </w:p>
        </w:tc>
        <w:tc>
          <w:tcPr>
            <w:tcW w:w="1202" w:type="dxa"/>
            <w:tcBorders>
              <w:top w:val="nil"/>
              <w:left w:val="nil"/>
              <w:bottom w:val="nil"/>
              <w:right w:val="nil"/>
            </w:tcBorders>
            <w:shd w:val="clear" w:color="auto" w:fill="auto"/>
            <w:noWrap/>
            <w:vAlign w:val="bottom"/>
          </w:tcPr>
          <w:p w14:paraId="61241B34" w14:textId="78AE480C"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68.24</w:t>
            </w:r>
          </w:p>
        </w:tc>
        <w:tc>
          <w:tcPr>
            <w:tcW w:w="1417" w:type="dxa"/>
            <w:tcBorders>
              <w:top w:val="nil"/>
              <w:left w:val="nil"/>
              <w:bottom w:val="nil"/>
              <w:right w:val="nil"/>
            </w:tcBorders>
            <w:shd w:val="clear" w:color="auto" w:fill="auto"/>
            <w:noWrap/>
            <w:vAlign w:val="bottom"/>
          </w:tcPr>
          <w:p w14:paraId="413477B3" w14:textId="44369C2A"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3DB32DAC" w14:textId="77777777" w:rsidTr="00F4319C">
        <w:trPr>
          <w:trHeight w:val="288"/>
        </w:trPr>
        <w:tc>
          <w:tcPr>
            <w:tcW w:w="2268" w:type="dxa"/>
            <w:tcBorders>
              <w:top w:val="nil"/>
              <w:left w:val="nil"/>
              <w:bottom w:val="nil"/>
              <w:right w:val="nil"/>
            </w:tcBorders>
            <w:shd w:val="clear" w:color="auto" w:fill="auto"/>
            <w:noWrap/>
            <w:vAlign w:val="bottom"/>
          </w:tcPr>
          <w:p w14:paraId="158D65E8"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Italy</w:t>
            </w:r>
          </w:p>
        </w:tc>
        <w:tc>
          <w:tcPr>
            <w:tcW w:w="1312" w:type="dxa"/>
            <w:tcBorders>
              <w:top w:val="nil"/>
              <w:left w:val="nil"/>
              <w:bottom w:val="nil"/>
              <w:right w:val="nil"/>
            </w:tcBorders>
            <w:shd w:val="clear" w:color="auto" w:fill="auto"/>
            <w:noWrap/>
            <w:vAlign w:val="bottom"/>
          </w:tcPr>
          <w:p w14:paraId="6C8B30FF" w14:textId="6AD367B7"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47</w:t>
            </w:r>
          </w:p>
        </w:tc>
        <w:tc>
          <w:tcPr>
            <w:tcW w:w="1314" w:type="dxa"/>
            <w:tcBorders>
              <w:top w:val="nil"/>
              <w:left w:val="nil"/>
              <w:bottom w:val="nil"/>
              <w:right w:val="nil"/>
            </w:tcBorders>
            <w:vAlign w:val="bottom"/>
          </w:tcPr>
          <w:p w14:paraId="17BB49B4" w14:textId="43791246"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334</w:t>
            </w:r>
          </w:p>
        </w:tc>
        <w:tc>
          <w:tcPr>
            <w:tcW w:w="1314" w:type="dxa"/>
            <w:gridSpan w:val="2"/>
            <w:tcBorders>
              <w:top w:val="nil"/>
              <w:left w:val="nil"/>
              <w:bottom w:val="nil"/>
              <w:right w:val="nil"/>
            </w:tcBorders>
            <w:shd w:val="clear" w:color="auto" w:fill="auto"/>
            <w:noWrap/>
            <w:vAlign w:val="bottom"/>
          </w:tcPr>
          <w:p w14:paraId="32E39DEC" w14:textId="67A09D31"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48.52</w:t>
            </w:r>
          </w:p>
        </w:tc>
        <w:tc>
          <w:tcPr>
            <w:tcW w:w="1202" w:type="dxa"/>
            <w:tcBorders>
              <w:top w:val="nil"/>
              <w:left w:val="nil"/>
              <w:bottom w:val="nil"/>
              <w:right w:val="nil"/>
            </w:tcBorders>
            <w:shd w:val="clear" w:color="auto" w:fill="auto"/>
            <w:noWrap/>
            <w:vAlign w:val="bottom"/>
          </w:tcPr>
          <w:p w14:paraId="612E472A" w14:textId="1C653EA8"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17.02</w:t>
            </w:r>
          </w:p>
        </w:tc>
        <w:tc>
          <w:tcPr>
            <w:tcW w:w="1417" w:type="dxa"/>
            <w:tcBorders>
              <w:top w:val="nil"/>
              <w:left w:val="nil"/>
              <w:bottom w:val="nil"/>
              <w:right w:val="nil"/>
            </w:tcBorders>
            <w:shd w:val="clear" w:color="auto" w:fill="auto"/>
            <w:noWrap/>
            <w:vAlign w:val="bottom"/>
          </w:tcPr>
          <w:p w14:paraId="476D0DB2" w14:textId="67712C57"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0.61</w:t>
            </w:r>
          </w:p>
        </w:tc>
      </w:tr>
      <w:tr w:rsidR="00EE533D" w:rsidRPr="00EE533D" w14:paraId="0F343ADE" w14:textId="77777777" w:rsidTr="00F4319C">
        <w:trPr>
          <w:trHeight w:val="288"/>
        </w:trPr>
        <w:tc>
          <w:tcPr>
            <w:tcW w:w="2268" w:type="dxa"/>
            <w:tcBorders>
              <w:top w:val="nil"/>
              <w:left w:val="nil"/>
              <w:bottom w:val="nil"/>
              <w:right w:val="nil"/>
            </w:tcBorders>
            <w:shd w:val="clear" w:color="auto" w:fill="auto"/>
            <w:noWrap/>
            <w:vAlign w:val="bottom"/>
          </w:tcPr>
          <w:p w14:paraId="1DEBE851"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Japan</w:t>
            </w:r>
          </w:p>
        </w:tc>
        <w:tc>
          <w:tcPr>
            <w:tcW w:w="1312" w:type="dxa"/>
            <w:tcBorders>
              <w:top w:val="nil"/>
              <w:left w:val="nil"/>
              <w:bottom w:val="nil"/>
              <w:right w:val="nil"/>
            </w:tcBorders>
            <w:shd w:val="clear" w:color="auto" w:fill="auto"/>
            <w:noWrap/>
            <w:vAlign w:val="bottom"/>
          </w:tcPr>
          <w:p w14:paraId="7E3C342D" w14:textId="44ABA8E8"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46</w:t>
            </w:r>
          </w:p>
        </w:tc>
        <w:tc>
          <w:tcPr>
            <w:tcW w:w="1314" w:type="dxa"/>
            <w:tcBorders>
              <w:top w:val="nil"/>
              <w:left w:val="nil"/>
              <w:bottom w:val="nil"/>
              <w:right w:val="nil"/>
            </w:tcBorders>
            <w:vAlign w:val="bottom"/>
          </w:tcPr>
          <w:p w14:paraId="0F9043C3" w14:textId="16BEEC49"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344</w:t>
            </w:r>
          </w:p>
        </w:tc>
        <w:tc>
          <w:tcPr>
            <w:tcW w:w="1314" w:type="dxa"/>
            <w:gridSpan w:val="2"/>
            <w:tcBorders>
              <w:top w:val="nil"/>
              <w:left w:val="nil"/>
              <w:bottom w:val="nil"/>
              <w:right w:val="nil"/>
            </w:tcBorders>
            <w:shd w:val="clear" w:color="auto" w:fill="auto"/>
            <w:noWrap/>
            <w:vAlign w:val="bottom"/>
          </w:tcPr>
          <w:p w14:paraId="66AAB0DC" w14:textId="2EBC7990"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80.83</w:t>
            </w:r>
          </w:p>
        </w:tc>
        <w:tc>
          <w:tcPr>
            <w:tcW w:w="1202" w:type="dxa"/>
            <w:tcBorders>
              <w:top w:val="nil"/>
              <w:left w:val="nil"/>
              <w:bottom w:val="nil"/>
              <w:right w:val="nil"/>
            </w:tcBorders>
            <w:shd w:val="clear" w:color="auto" w:fill="auto"/>
            <w:noWrap/>
            <w:vAlign w:val="bottom"/>
          </w:tcPr>
          <w:p w14:paraId="3D4FD458" w14:textId="7F57C9D1"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35.09</w:t>
            </w:r>
          </w:p>
        </w:tc>
        <w:tc>
          <w:tcPr>
            <w:tcW w:w="1417" w:type="dxa"/>
            <w:tcBorders>
              <w:top w:val="nil"/>
              <w:left w:val="nil"/>
              <w:bottom w:val="nil"/>
              <w:right w:val="nil"/>
            </w:tcBorders>
            <w:shd w:val="clear" w:color="auto" w:fill="auto"/>
            <w:noWrap/>
            <w:vAlign w:val="bottom"/>
          </w:tcPr>
          <w:p w14:paraId="3A920771" w14:textId="52C5C66C"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0.77</w:t>
            </w:r>
          </w:p>
        </w:tc>
      </w:tr>
      <w:tr w:rsidR="00EE533D" w:rsidRPr="00EE533D" w14:paraId="5C79C5EC" w14:textId="77777777" w:rsidTr="00F4319C">
        <w:trPr>
          <w:trHeight w:val="288"/>
        </w:trPr>
        <w:tc>
          <w:tcPr>
            <w:tcW w:w="2268" w:type="dxa"/>
            <w:tcBorders>
              <w:top w:val="nil"/>
              <w:left w:val="nil"/>
              <w:bottom w:val="nil"/>
              <w:right w:val="nil"/>
            </w:tcBorders>
            <w:shd w:val="clear" w:color="auto" w:fill="auto"/>
            <w:noWrap/>
            <w:vAlign w:val="bottom"/>
          </w:tcPr>
          <w:p w14:paraId="61C30EB1"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Luxembourg</w:t>
            </w:r>
          </w:p>
        </w:tc>
        <w:tc>
          <w:tcPr>
            <w:tcW w:w="1312" w:type="dxa"/>
            <w:tcBorders>
              <w:top w:val="nil"/>
              <w:left w:val="nil"/>
              <w:bottom w:val="nil"/>
              <w:right w:val="nil"/>
            </w:tcBorders>
            <w:shd w:val="clear" w:color="auto" w:fill="auto"/>
            <w:noWrap/>
            <w:vAlign w:val="bottom"/>
          </w:tcPr>
          <w:p w14:paraId="13179769" w14:textId="0C754FDB"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129</w:t>
            </w:r>
          </w:p>
        </w:tc>
        <w:tc>
          <w:tcPr>
            <w:tcW w:w="1314" w:type="dxa"/>
            <w:tcBorders>
              <w:top w:val="nil"/>
              <w:left w:val="nil"/>
              <w:bottom w:val="nil"/>
              <w:right w:val="nil"/>
            </w:tcBorders>
            <w:vAlign w:val="bottom"/>
          </w:tcPr>
          <w:p w14:paraId="343972EE" w14:textId="357B72BA"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868</w:t>
            </w:r>
          </w:p>
        </w:tc>
        <w:tc>
          <w:tcPr>
            <w:tcW w:w="1314" w:type="dxa"/>
            <w:gridSpan w:val="2"/>
            <w:tcBorders>
              <w:top w:val="nil"/>
              <w:left w:val="nil"/>
              <w:bottom w:val="nil"/>
              <w:right w:val="nil"/>
            </w:tcBorders>
            <w:shd w:val="clear" w:color="auto" w:fill="auto"/>
            <w:noWrap/>
            <w:vAlign w:val="bottom"/>
          </w:tcPr>
          <w:p w14:paraId="0B185B55" w14:textId="18B35E68"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70.72</w:t>
            </w:r>
          </w:p>
        </w:tc>
        <w:tc>
          <w:tcPr>
            <w:tcW w:w="1202" w:type="dxa"/>
            <w:tcBorders>
              <w:top w:val="nil"/>
              <w:left w:val="nil"/>
              <w:bottom w:val="nil"/>
              <w:right w:val="nil"/>
            </w:tcBorders>
            <w:shd w:val="clear" w:color="auto" w:fill="auto"/>
            <w:noWrap/>
            <w:vAlign w:val="bottom"/>
          </w:tcPr>
          <w:p w14:paraId="40748A98" w14:textId="26BED456"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16.84</w:t>
            </w:r>
          </w:p>
        </w:tc>
        <w:tc>
          <w:tcPr>
            <w:tcW w:w="1417" w:type="dxa"/>
            <w:tcBorders>
              <w:top w:val="nil"/>
              <w:left w:val="nil"/>
              <w:bottom w:val="nil"/>
              <w:right w:val="nil"/>
            </w:tcBorders>
            <w:shd w:val="clear" w:color="auto" w:fill="auto"/>
            <w:noWrap/>
            <w:vAlign w:val="bottom"/>
          </w:tcPr>
          <w:p w14:paraId="51F5C455" w14:textId="3ED31FAF"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2.43</w:t>
            </w:r>
          </w:p>
        </w:tc>
      </w:tr>
      <w:tr w:rsidR="00EE533D" w:rsidRPr="00EE533D" w14:paraId="54D54A7A" w14:textId="77777777" w:rsidTr="00F4319C">
        <w:trPr>
          <w:trHeight w:val="288"/>
        </w:trPr>
        <w:tc>
          <w:tcPr>
            <w:tcW w:w="2268" w:type="dxa"/>
            <w:tcBorders>
              <w:top w:val="nil"/>
              <w:left w:val="nil"/>
              <w:bottom w:val="nil"/>
              <w:right w:val="nil"/>
            </w:tcBorders>
            <w:shd w:val="clear" w:color="auto" w:fill="auto"/>
            <w:noWrap/>
            <w:vAlign w:val="bottom"/>
          </w:tcPr>
          <w:p w14:paraId="46AACECB"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Malaysia</w:t>
            </w:r>
          </w:p>
        </w:tc>
        <w:tc>
          <w:tcPr>
            <w:tcW w:w="1312" w:type="dxa"/>
            <w:tcBorders>
              <w:top w:val="nil"/>
              <w:left w:val="nil"/>
              <w:bottom w:val="nil"/>
              <w:right w:val="nil"/>
            </w:tcBorders>
            <w:shd w:val="clear" w:color="auto" w:fill="auto"/>
            <w:noWrap/>
            <w:vAlign w:val="bottom"/>
          </w:tcPr>
          <w:p w14:paraId="21CC1658" w14:textId="1383C342"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w:t>
            </w:r>
          </w:p>
        </w:tc>
        <w:tc>
          <w:tcPr>
            <w:tcW w:w="1314" w:type="dxa"/>
            <w:tcBorders>
              <w:top w:val="nil"/>
              <w:left w:val="nil"/>
              <w:bottom w:val="nil"/>
              <w:right w:val="nil"/>
            </w:tcBorders>
            <w:vAlign w:val="bottom"/>
          </w:tcPr>
          <w:p w14:paraId="5D04EAA9" w14:textId="5BED2AFA"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26</w:t>
            </w:r>
          </w:p>
        </w:tc>
        <w:tc>
          <w:tcPr>
            <w:tcW w:w="1314" w:type="dxa"/>
            <w:gridSpan w:val="2"/>
            <w:tcBorders>
              <w:top w:val="nil"/>
              <w:left w:val="nil"/>
              <w:bottom w:val="nil"/>
              <w:right w:val="nil"/>
            </w:tcBorders>
            <w:shd w:val="clear" w:color="auto" w:fill="auto"/>
            <w:noWrap/>
            <w:vAlign w:val="bottom"/>
          </w:tcPr>
          <w:p w14:paraId="2D81E438" w14:textId="273951D4"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57.19</w:t>
            </w:r>
          </w:p>
        </w:tc>
        <w:tc>
          <w:tcPr>
            <w:tcW w:w="1202" w:type="dxa"/>
            <w:tcBorders>
              <w:top w:val="nil"/>
              <w:left w:val="nil"/>
              <w:bottom w:val="nil"/>
              <w:right w:val="nil"/>
            </w:tcBorders>
            <w:shd w:val="clear" w:color="auto" w:fill="auto"/>
            <w:noWrap/>
            <w:vAlign w:val="bottom"/>
          </w:tcPr>
          <w:p w14:paraId="6B1CFF4C" w14:textId="087E1E1E"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527B0756" w14:textId="2648542E"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0.39</w:t>
            </w:r>
          </w:p>
        </w:tc>
      </w:tr>
      <w:tr w:rsidR="00EE533D" w:rsidRPr="00EE533D" w14:paraId="50BC071C" w14:textId="77777777" w:rsidTr="00F4319C">
        <w:trPr>
          <w:trHeight w:val="288"/>
        </w:trPr>
        <w:tc>
          <w:tcPr>
            <w:tcW w:w="2268" w:type="dxa"/>
            <w:tcBorders>
              <w:top w:val="nil"/>
              <w:left w:val="nil"/>
              <w:bottom w:val="nil"/>
              <w:right w:val="nil"/>
            </w:tcBorders>
            <w:shd w:val="clear" w:color="auto" w:fill="auto"/>
            <w:noWrap/>
            <w:vAlign w:val="bottom"/>
          </w:tcPr>
          <w:p w14:paraId="15971B2A"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Mexico</w:t>
            </w:r>
          </w:p>
        </w:tc>
        <w:tc>
          <w:tcPr>
            <w:tcW w:w="1312" w:type="dxa"/>
            <w:tcBorders>
              <w:top w:val="nil"/>
              <w:left w:val="nil"/>
              <w:bottom w:val="nil"/>
              <w:right w:val="nil"/>
            </w:tcBorders>
            <w:shd w:val="clear" w:color="auto" w:fill="auto"/>
            <w:noWrap/>
            <w:vAlign w:val="bottom"/>
          </w:tcPr>
          <w:p w14:paraId="60F9E2DD" w14:textId="67021D74"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19</w:t>
            </w:r>
          </w:p>
        </w:tc>
        <w:tc>
          <w:tcPr>
            <w:tcW w:w="1314" w:type="dxa"/>
            <w:tcBorders>
              <w:top w:val="nil"/>
              <w:left w:val="nil"/>
              <w:bottom w:val="nil"/>
              <w:right w:val="nil"/>
            </w:tcBorders>
            <w:vAlign w:val="bottom"/>
          </w:tcPr>
          <w:p w14:paraId="16DECF89" w14:textId="349697C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119</w:t>
            </w:r>
          </w:p>
        </w:tc>
        <w:tc>
          <w:tcPr>
            <w:tcW w:w="1314" w:type="dxa"/>
            <w:gridSpan w:val="2"/>
            <w:tcBorders>
              <w:top w:val="nil"/>
              <w:left w:val="nil"/>
              <w:bottom w:val="nil"/>
              <w:right w:val="nil"/>
            </w:tcBorders>
            <w:shd w:val="clear" w:color="auto" w:fill="auto"/>
            <w:noWrap/>
            <w:vAlign w:val="bottom"/>
          </w:tcPr>
          <w:p w14:paraId="6D81127F" w14:textId="4DD24646"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39.99</w:t>
            </w:r>
          </w:p>
        </w:tc>
        <w:tc>
          <w:tcPr>
            <w:tcW w:w="1202" w:type="dxa"/>
            <w:tcBorders>
              <w:top w:val="nil"/>
              <w:left w:val="nil"/>
              <w:bottom w:val="nil"/>
              <w:right w:val="nil"/>
            </w:tcBorders>
            <w:shd w:val="clear" w:color="auto" w:fill="auto"/>
            <w:noWrap/>
            <w:vAlign w:val="bottom"/>
          </w:tcPr>
          <w:p w14:paraId="0BAF86A7" w14:textId="5DA59A66"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13.17</w:t>
            </w:r>
          </w:p>
        </w:tc>
        <w:tc>
          <w:tcPr>
            <w:tcW w:w="1417" w:type="dxa"/>
            <w:tcBorders>
              <w:top w:val="nil"/>
              <w:left w:val="nil"/>
              <w:bottom w:val="nil"/>
              <w:right w:val="nil"/>
            </w:tcBorders>
            <w:shd w:val="clear" w:color="auto" w:fill="auto"/>
            <w:noWrap/>
            <w:vAlign w:val="bottom"/>
          </w:tcPr>
          <w:p w14:paraId="67CD7986" w14:textId="52EBD2B0"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0.35</w:t>
            </w:r>
          </w:p>
        </w:tc>
      </w:tr>
      <w:tr w:rsidR="00EE533D" w:rsidRPr="00EE533D" w14:paraId="46A1D99A" w14:textId="77777777" w:rsidTr="00F4319C">
        <w:trPr>
          <w:trHeight w:val="288"/>
        </w:trPr>
        <w:tc>
          <w:tcPr>
            <w:tcW w:w="2268" w:type="dxa"/>
            <w:tcBorders>
              <w:top w:val="nil"/>
              <w:left w:val="nil"/>
              <w:bottom w:val="nil"/>
              <w:right w:val="nil"/>
            </w:tcBorders>
            <w:shd w:val="clear" w:color="auto" w:fill="auto"/>
            <w:noWrap/>
            <w:vAlign w:val="bottom"/>
          </w:tcPr>
          <w:p w14:paraId="5869998F"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Netherlands</w:t>
            </w:r>
          </w:p>
        </w:tc>
        <w:tc>
          <w:tcPr>
            <w:tcW w:w="1312" w:type="dxa"/>
            <w:tcBorders>
              <w:top w:val="nil"/>
              <w:left w:val="nil"/>
              <w:bottom w:val="nil"/>
              <w:right w:val="nil"/>
            </w:tcBorders>
            <w:shd w:val="clear" w:color="auto" w:fill="auto"/>
            <w:noWrap/>
            <w:vAlign w:val="bottom"/>
          </w:tcPr>
          <w:p w14:paraId="6634DB5D" w14:textId="05D3796B"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16</w:t>
            </w:r>
          </w:p>
        </w:tc>
        <w:tc>
          <w:tcPr>
            <w:tcW w:w="1314" w:type="dxa"/>
            <w:tcBorders>
              <w:top w:val="nil"/>
              <w:left w:val="nil"/>
              <w:bottom w:val="nil"/>
              <w:right w:val="nil"/>
            </w:tcBorders>
            <w:vAlign w:val="bottom"/>
          </w:tcPr>
          <w:p w14:paraId="3CCB2053" w14:textId="1048A647"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133</w:t>
            </w:r>
          </w:p>
        </w:tc>
        <w:tc>
          <w:tcPr>
            <w:tcW w:w="1314" w:type="dxa"/>
            <w:gridSpan w:val="2"/>
            <w:tcBorders>
              <w:top w:val="nil"/>
              <w:left w:val="nil"/>
              <w:bottom w:val="nil"/>
              <w:right w:val="nil"/>
            </w:tcBorders>
            <w:shd w:val="clear" w:color="auto" w:fill="auto"/>
            <w:noWrap/>
            <w:vAlign w:val="bottom"/>
          </w:tcPr>
          <w:p w14:paraId="14D06584" w14:textId="6A5AE9E0"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59.15</w:t>
            </w:r>
          </w:p>
        </w:tc>
        <w:tc>
          <w:tcPr>
            <w:tcW w:w="1202" w:type="dxa"/>
            <w:tcBorders>
              <w:top w:val="nil"/>
              <w:left w:val="nil"/>
              <w:bottom w:val="nil"/>
              <w:right w:val="nil"/>
            </w:tcBorders>
            <w:shd w:val="clear" w:color="auto" w:fill="auto"/>
            <w:noWrap/>
            <w:vAlign w:val="bottom"/>
          </w:tcPr>
          <w:p w14:paraId="19D32D8E" w14:textId="4F4B3E6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32.05</w:t>
            </w:r>
          </w:p>
        </w:tc>
        <w:tc>
          <w:tcPr>
            <w:tcW w:w="1417" w:type="dxa"/>
            <w:tcBorders>
              <w:top w:val="nil"/>
              <w:left w:val="nil"/>
              <w:bottom w:val="nil"/>
              <w:right w:val="nil"/>
            </w:tcBorders>
            <w:shd w:val="clear" w:color="auto" w:fill="auto"/>
            <w:noWrap/>
            <w:vAlign w:val="bottom"/>
          </w:tcPr>
          <w:p w14:paraId="558767B1" w14:textId="4826EF32"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2.35</w:t>
            </w:r>
          </w:p>
        </w:tc>
      </w:tr>
      <w:tr w:rsidR="00EE533D" w:rsidRPr="00EE533D" w14:paraId="0B05FC93" w14:textId="77777777" w:rsidTr="00F4319C">
        <w:trPr>
          <w:trHeight w:val="288"/>
        </w:trPr>
        <w:tc>
          <w:tcPr>
            <w:tcW w:w="2268" w:type="dxa"/>
            <w:tcBorders>
              <w:top w:val="nil"/>
              <w:left w:val="nil"/>
              <w:bottom w:val="nil"/>
              <w:right w:val="nil"/>
            </w:tcBorders>
            <w:shd w:val="clear" w:color="auto" w:fill="auto"/>
            <w:noWrap/>
            <w:vAlign w:val="bottom"/>
          </w:tcPr>
          <w:p w14:paraId="4A25BCCA"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Norway</w:t>
            </w:r>
          </w:p>
        </w:tc>
        <w:tc>
          <w:tcPr>
            <w:tcW w:w="1312" w:type="dxa"/>
            <w:tcBorders>
              <w:top w:val="nil"/>
              <w:left w:val="nil"/>
              <w:bottom w:val="nil"/>
              <w:right w:val="nil"/>
            </w:tcBorders>
            <w:shd w:val="clear" w:color="auto" w:fill="auto"/>
            <w:noWrap/>
            <w:vAlign w:val="bottom"/>
          </w:tcPr>
          <w:p w14:paraId="24C8750A" w14:textId="33A90B4E"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16</w:t>
            </w:r>
          </w:p>
        </w:tc>
        <w:tc>
          <w:tcPr>
            <w:tcW w:w="1314" w:type="dxa"/>
            <w:tcBorders>
              <w:top w:val="nil"/>
              <w:left w:val="nil"/>
              <w:bottom w:val="nil"/>
              <w:right w:val="nil"/>
            </w:tcBorders>
            <w:vAlign w:val="bottom"/>
          </w:tcPr>
          <w:p w14:paraId="51178CEF" w14:textId="4E1F992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150</w:t>
            </w:r>
          </w:p>
        </w:tc>
        <w:tc>
          <w:tcPr>
            <w:tcW w:w="1314" w:type="dxa"/>
            <w:gridSpan w:val="2"/>
            <w:tcBorders>
              <w:top w:val="nil"/>
              <w:left w:val="nil"/>
              <w:bottom w:val="nil"/>
              <w:right w:val="nil"/>
            </w:tcBorders>
            <w:shd w:val="clear" w:color="auto" w:fill="auto"/>
            <w:noWrap/>
            <w:vAlign w:val="bottom"/>
          </w:tcPr>
          <w:p w14:paraId="393ECA70" w14:textId="613BE044"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73.30</w:t>
            </w:r>
          </w:p>
        </w:tc>
        <w:tc>
          <w:tcPr>
            <w:tcW w:w="1202" w:type="dxa"/>
            <w:tcBorders>
              <w:top w:val="nil"/>
              <w:left w:val="nil"/>
              <w:bottom w:val="nil"/>
              <w:right w:val="nil"/>
            </w:tcBorders>
            <w:shd w:val="clear" w:color="auto" w:fill="auto"/>
            <w:noWrap/>
            <w:vAlign w:val="bottom"/>
          </w:tcPr>
          <w:p w14:paraId="38E9014E" w14:textId="6CC014F1"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55.53</w:t>
            </w:r>
          </w:p>
        </w:tc>
        <w:tc>
          <w:tcPr>
            <w:tcW w:w="1417" w:type="dxa"/>
            <w:tcBorders>
              <w:top w:val="nil"/>
              <w:left w:val="nil"/>
              <w:bottom w:val="nil"/>
              <w:right w:val="nil"/>
            </w:tcBorders>
            <w:shd w:val="clear" w:color="auto" w:fill="auto"/>
            <w:noWrap/>
            <w:vAlign w:val="bottom"/>
          </w:tcPr>
          <w:p w14:paraId="5DE3E646" w14:textId="5F4E2FA0"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2.89</w:t>
            </w:r>
          </w:p>
        </w:tc>
      </w:tr>
      <w:tr w:rsidR="00EE533D" w:rsidRPr="00EE533D" w14:paraId="28BCEC06" w14:textId="77777777" w:rsidTr="00F4319C">
        <w:trPr>
          <w:trHeight w:val="288"/>
        </w:trPr>
        <w:tc>
          <w:tcPr>
            <w:tcW w:w="2268" w:type="dxa"/>
            <w:tcBorders>
              <w:top w:val="nil"/>
              <w:left w:val="nil"/>
              <w:bottom w:val="nil"/>
              <w:right w:val="nil"/>
            </w:tcBorders>
            <w:shd w:val="clear" w:color="auto" w:fill="auto"/>
            <w:noWrap/>
            <w:vAlign w:val="bottom"/>
          </w:tcPr>
          <w:p w14:paraId="7FB75184"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Peru</w:t>
            </w:r>
          </w:p>
        </w:tc>
        <w:tc>
          <w:tcPr>
            <w:tcW w:w="1312" w:type="dxa"/>
            <w:tcBorders>
              <w:top w:val="nil"/>
              <w:left w:val="nil"/>
              <w:bottom w:val="nil"/>
              <w:right w:val="nil"/>
            </w:tcBorders>
            <w:shd w:val="clear" w:color="auto" w:fill="auto"/>
            <w:noWrap/>
            <w:vAlign w:val="bottom"/>
          </w:tcPr>
          <w:p w14:paraId="36BF250C" w14:textId="28EDB98C"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16</w:t>
            </w:r>
          </w:p>
        </w:tc>
        <w:tc>
          <w:tcPr>
            <w:tcW w:w="1314" w:type="dxa"/>
            <w:tcBorders>
              <w:top w:val="nil"/>
              <w:left w:val="nil"/>
              <w:bottom w:val="nil"/>
              <w:right w:val="nil"/>
            </w:tcBorders>
            <w:vAlign w:val="bottom"/>
          </w:tcPr>
          <w:p w14:paraId="41925D8C" w14:textId="2D426EB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114</w:t>
            </w:r>
          </w:p>
        </w:tc>
        <w:tc>
          <w:tcPr>
            <w:tcW w:w="1314" w:type="dxa"/>
            <w:gridSpan w:val="2"/>
            <w:tcBorders>
              <w:top w:val="nil"/>
              <w:left w:val="nil"/>
              <w:bottom w:val="nil"/>
              <w:right w:val="nil"/>
            </w:tcBorders>
            <w:shd w:val="clear" w:color="auto" w:fill="auto"/>
            <w:noWrap/>
            <w:vAlign w:val="bottom"/>
          </w:tcPr>
          <w:p w14:paraId="5DFD0D02" w14:textId="7543B562"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48.27</w:t>
            </w:r>
          </w:p>
        </w:tc>
        <w:tc>
          <w:tcPr>
            <w:tcW w:w="1202" w:type="dxa"/>
            <w:tcBorders>
              <w:top w:val="nil"/>
              <w:left w:val="nil"/>
              <w:bottom w:val="nil"/>
              <w:right w:val="nil"/>
            </w:tcBorders>
            <w:shd w:val="clear" w:color="auto" w:fill="auto"/>
            <w:noWrap/>
            <w:vAlign w:val="bottom"/>
          </w:tcPr>
          <w:p w14:paraId="4FE8E2C9" w14:textId="0C84663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345129CA" w14:textId="4A6BE8C4"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1.06</w:t>
            </w:r>
          </w:p>
        </w:tc>
      </w:tr>
      <w:tr w:rsidR="00EE533D" w:rsidRPr="00EE533D" w14:paraId="01045A39" w14:textId="77777777" w:rsidTr="00F4319C">
        <w:trPr>
          <w:trHeight w:val="288"/>
        </w:trPr>
        <w:tc>
          <w:tcPr>
            <w:tcW w:w="2268" w:type="dxa"/>
            <w:tcBorders>
              <w:top w:val="nil"/>
              <w:left w:val="nil"/>
              <w:bottom w:val="nil"/>
              <w:right w:val="nil"/>
            </w:tcBorders>
            <w:shd w:val="clear" w:color="auto" w:fill="auto"/>
            <w:noWrap/>
            <w:vAlign w:val="bottom"/>
          </w:tcPr>
          <w:p w14:paraId="72B75A26"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Philippines</w:t>
            </w:r>
          </w:p>
        </w:tc>
        <w:tc>
          <w:tcPr>
            <w:tcW w:w="1312" w:type="dxa"/>
            <w:tcBorders>
              <w:top w:val="nil"/>
              <w:left w:val="nil"/>
              <w:bottom w:val="nil"/>
              <w:right w:val="nil"/>
            </w:tcBorders>
            <w:shd w:val="clear" w:color="auto" w:fill="auto"/>
            <w:noWrap/>
            <w:vAlign w:val="bottom"/>
          </w:tcPr>
          <w:p w14:paraId="7F0A57F1" w14:textId="25B4FA41"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6</w:t>
            </w:r>
          </w:p>
        </w:tc>
        <w:tc>
          <w:tcPr>
            <w:tcW w:w="1314" w:type="dxa"/>
            <w:tcBorders>
              <w:top w:val="nil"/>
              <w:left w:val="nil"/>
              <w:bottom w:val="nil"/>
              <w:right w:val="nil"/>
            </w:tcBorders>
            <w:vAlign w:val="bottom"/>
          </w:tcPr>
          <w:p w14:paraId="4425B374" w14:textId="689D3EC3"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44</w:t>
            </w:r>
          </w:p>
        </w:tc>
        <w:tc>
          <w:tcPr>
            <w:tcW w:w="1314" w:type="dxa"/>
            <w:gridSpan w:val="2"/>
            <w:tcBorders>
              <w:top w:val="nil"/>
              <w:left w:val="nil"/>
              <w:bottom w:val="nil"/>
              <w:right w:val="nil"/>
            </w:tcBorders>
            <w:shd w:val="clear" w:color="auto" w:fill="auto"/>
            <w:noWrap/>
            <w:vAlign w:val="bottom"/>
          </w:tcPr>
          <w:p w14:paraId="4ADCA75F" w14:textId="34E4AF4C"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36.89</w:t>
            </w:r>
          </w:p>
        </w:tc>
        <w:tc>
          <w:tcPr>
            <w:tcW w:w="1202" w:type="dxa"/>
            <w:tcBorders>
              <w:top w:val="nil"/>
              <w:left w:val="nil"/>
              <w:bottom w:val="nil"/>
              <w:right w:val="nil"/>
            </w:tcBorders>
            <w:shd w:val="clear" w:color="auto" w:fill="auto"/>
            <w:noWrap/>
            <w:vAlign w:val="bottom"/>
          </w:tcPr>
          <w:p w14:paraId="0E0DB3DE" w14:textId="72A3F6F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64.33</w:t>
            </w:r>
          </w:p>
        </w:tc>
        <w:tc>
          <w:tcPr>
            <w:tcW w:w="1417" w:type="dxa"/>
            <w:tcBorders>
              <w:top w:val="nil"/>
              <w:left w:val="nil"/>
              <w:bottom w:val="nil"/>
              <w:right w:val="nil"/>
            </w:tcBorders>
            <w:shd w:val="clear" w:color="auto" w:fill="auto"/>
            <w:noWrap/>
            <w:vAlign w:val="bottom"/>
          </w:tcPr>
          <w:p w14:paraId="3EBA02A5" w14:textId="6EF75CA9"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5FEC9C98" w14:textId="77777777" w:rsidTr="00F4319C">
        <w:trPr>
          <w:trHeight w:val="288"/>
        </w:trPr>
        <w:tc>
          <w:tcPr>
            <w:tcW w:w="2268" w:type="dxa"/>
            <w:tcBorders>
              <w:top w:val="nil"/>
              <w:left w:val="nil"/>
              <w:bottom w:val="nil"/>
              <w:right w:val="nil"/>
            </w:tcBorders>
            <w:shd w:val="clear" w:color="auto" w:fill="auto"/>
            <w:noWrap/>
            <w:vAlign w:val="bottom"/>
          </w:tcPr>
          <w:p w14:paraId="1F05EDDD"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Poland</w:t>
            </w:r>
          </w:p>
        </w:tc>
        <w:tc>
          <w:tcPr>
            <w:tcW w:w="1312" w:type="dxa"/>
            <w:tcBorders>
              <w:top w:val="nil"/>
              <w:left w:val="nil"/>
              <w:bottom w:val="nil"/>
              <w:right w:val="nil"/>
            </w:tcBorders>
            <w:shd w:val="clear" w:color="auto" w:fill="auto"/>
            <w:noWrap/>
            <w:vAlign w:val="bottom"/>
          </w:tcPr>
          <w:p w14:paraId="4182F0C2" w14:textId="08E62A25"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14</w:t>
            </w:r>
          </w:p>
        </w:tc>
        <w:tc>
          <w:tcPr>
            <w:tcW w:w="1314" w:type="dxa"/>
            <w:tcBorders>
              <w:top w:val="nil"/>
              <w:left w:val="nil"/>
              <w:bottom w:val="nil"/>
              <w:right w:val="nil"/>
            </w:tcBorders>
            <w:vAlign w:val="bottom"/>
          </w:tcPr>
          <w:p w14:paraId="04D1ED87" w14:textId="737D9D19"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82</w:t>
            </w:r>
          </w:p>
        </w:tc>
        <w:tc>
          <w:tcPr>
            <w:tcW w:w="1314" w:type="dxa"/>
            <w:gridSpan w:val="2"/>
            <w:tcBorders>
              <w:top w:val="nil"/>
              <w:left w:val="nil"/>
              <w:bottom w:val="nil"/>
              <w:right w:val="nil"/>
            </w:tcBorders>
            <w:shd w:val="clear" w:color="auto" w:fill="auto"/>
            <w:noWrap/>
            <w:vAlign w:val="bottom"/>
          </w:tcPr>
          <w:p w14:paraId="575B0DAA" w14:textId="6C2FE786"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44.09</w:t>
            </w:r>
          </w:p>
        </w:tc>
        <w:tc>
          <w:tcPr>
            <w:tcW w:w="1202" w:type="dxa"/>
            <w:tcBorders>
              <w:top w:val="nil"/>
              <w:left w:val="nil"/>
              <w:bottom w:val="nil"/>
              <w:right w:val="nil"/>
            </w:tcBorders>
            <w:shd w:val="clear" w:color="auto" w:fill="auto"/>
            <w:noWrap/>
            <w:vAlign w:val="bottom"/>
          </w:tcPr>
          <w:p w14:paraId="5B282A58" w14:textId="7003FEAD"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17.13</w:t>
            </w:r>
          </w:p>
        </w:tc>
        <w:tc>
          <w:tcPr>
            <w:tcW w:w="1417" w:type="dxa"/>
            <w:tcBorders>
              <w:top w:val="nil"/>
              <w:left w:val="nil"/>
              <w:bottom w:val="nil"/>
              <w:right w:val="nil"/>
            </w:tcBorders>
            <w:shd w:val="clear" w:color="auto" w:fill="auto"/>
            <w:noWrap/>
            <w:vAlign w:val="bottom"/>
          </w:tcPr>
          <w:p w14:paraId="2EED47EA" w14:textId="2534C07A"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0.04</w:t>
            </w:r>
          </w:p>
        </w:tc>
      </w:tr>
      <w:tr w:rsidR="00EE533D" w:rsidRPr="00EE533D" w14:paraId="3D1D2676" w14:textId="77777777" w:rsidTr="00F4319C">
        <w:trPr>
          <w:trHeight w:val="288"/>
        </w:trPr>
        <w:tc>
          <w:tcPr>
            <w:tcW w:w="2268" w:type="dxa"/>
            <w:tcBorders>
              <w:top w:val="nil"/>
              <w:left w:val="nil"/>
              <w:bottom w:val="nil"/>
              <w:right w:val="nil"/>
            </w:tcBorders>
            <w:shd w:val="clear" w:color="auto" w:fill="auto"/>
            <w:noWrap/>
            <w:vAlign w:val="bottom"/>
          </w:tcPr>
          <w:p w14:paraId="13406317"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Portugal</w:t>
            </w:r>
          </w:p>
        </w:tc>
        <w:tc>
          <w:tcPr>
            <w:tcW w:w="1312" w:type="dxa"/>
            <w:tcBorders>
              <w:top w:val="nil"/>
              <w:left w:val="nil"/>
              <w:bottom w:val="nil"/>
              <w:right w:val="nil"/>
            </w:tcBorders>
            <w:shd w:val="clear" w:color="auto" w:fill="auto"/>
            <w:noWrap/>
            <w:vAlign w:val="bottom"/>
          </w:tcPr>
          <w:p w14:paraId="2826241A" w14:textId="67F0EFB1"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11</w:t>
            </w:r>
          </w:p>
        </w:tc>
        <w:tc>
          <w:tcPr>
            <w:tcW w:w="1314" w:type="dxa"/>
            <w:tcBorders>
              <w:top w:val="nil"/>
              <w:left w:val="nil"/>
              <w:bottom w:val="nil"/>
              <w:right w:val="nil"/>
            </w:tcBorders>
            <w:vAlign w:val="bottom"/>
          </w:tcPr>
          <w:p w14:paraId="59A4A748" w14:textId="3500B54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77</w:t>
            </w:r>
          </w:p>
        </w:tc>
        <w:tc>
          <w:tcPr>
            <w:tcW w:w="1314" w:type="dxa"/>
            <w:gridSpan w:val="2"/>
            <w:tcBorders>
              <w:top w:val="nil"/>
              <w:left w:val="nil"/>
              <w:bottom w:val="nil"/>
              <w:right w:val="nil"/>
            </w:tcBorders>
            <w:shd w:val="clear" w:color="auto" w:fill="auto"/>
            <w:noWrap/>
            <w:vAlign w:val="bottom"/>
          </w:tcPr>
          <w:p w14:paraId="5A43BC81" w14:textId="31F9DD1E"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44.36</w:t>
            </w:r>
          </w:p>
        </w:tc>
        <w:tc>
          <w:tcPr>
            <w:tcW w:w="1202" w:type="dxa"/>
            <w:tcBorders>
              <w:top w:val="nil"/>
              <w:left w:val="nil"/>
              <w:bottom w:val="nil"/>
              <w:right w:val="nil"/>
            </w:tcBorders>
            <w:shd w:val="clear" w:color="auto" w:fill="auto"/>
            <w:noWrap/>
            <w:vAlign w:val="bottom"/>
          </w:tcPr>
          <w:p w14:paraId="73A39081" w14:textId="0DFB0A3D"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64EB976D" w14:textId="78330019"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2.02</w:t>
            </w:r>
          </w:p>
        </w:tc>
      </w:tr>
      <w:tr w:rsidR="00EE533D" w:rsidRPr="00EE533D" w14:paraId="38A4C6F3" w14:textId="77777777" w:rsidTr="00F4319C">
        <w:trPr>
          <w:trHeight w:val="288"/>
        </w:trPr>
        <w:tc>
          <w:tcPr>
            <w:tcW w:w="2268" w:type="dxa"/>
            <w:tcBorders>
              <w:top w:val="nil"/>
              <w:left w:val="nil"/>
              <w:bottom w:val="nil"/>
              <w:right w:val="nil"/>
            </w:tcBorders>
            <w:shd w:val="clear" w:color="auto" w:fill="auto"/>
            <w:noWrap/>
            <w:vAlign w:val="bottom"/>
          </w:tcPr>
          <w:p w14:paraId="22594BFE"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Romania</w:t>
            </w:r>
          </w:p>
        </w:tc>
        <w:tc>
          <w:tcPr>
            <w:tcW w:w="1312" w:type="dxa"/>
            <w:tcBorders>
              <w:top w:val="nil"/>
              <w:left w:val="nil"/>
              <w:bottom w:val="nil"/>
              <w:right w:val="nil"/>
            </w:tcBorders>
            <w:shd w:val="clear" w:color="auto" w:fill="auto"/>
            <w:noWrap/>
            <w:vAlign w:val="bottom"/>
          </w:tcPr>
          <w:p w14:paraId="56C521EB" w14:textId="239CCB66"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6</w:t>
            </w:r>
          </w:p>
        </w:tc>
        <w:tc>
          <w:tcPr>
            <w:tcW w:w="1314" w:type="dxa"/>
            <w:tcBorders>
              <w:top w:val="nil"/>
              <w:left w:val="nil"/>
              <w:bottom w:val="nil"/>
              <w:right w:val="nil"/>
            </w:tcBorders>
            <w:vAlign w:val="bottom"/>
          </w:tcPr>
          <w:p w14:paraId="456DA64E" w14:textId="77364B1D"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44</w:t>
            </w:r>
          </w:p>
        </w:tc>
        <w:tc>
          <w:tcPr>
            <w:tcW w:w="1314" w:type="dxa"/>
            <w:gridSpan w:val="2"/>
            <w:tcBorders>
              <w:top w:val="nil"/>
              <w:left w:val="nil"/>
              <w:bottom w:val="nil"/>
              <w:right w:val="nil"/>
            </w:tcBorders>
            <w:shd w:val="clear" w:color="auto" w:fill="auto"/>
            <w:noWrap/>
            <w:vAlign w:val="bottom"/>
          </w:tcPr>
          <w:p w14:paraId="63B31B9F" w14:textId="53963B4C"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70.91</w:t>
            </w:r>
          </w:p>
        </w:tc>
        <w:tc>
          <w:tcPr>
            <w:tcW w:w="1202" w:type="dxa"/>
            <w:tcBorders>
              <w:top w:val="nil"/>
              <w:left w:val="nil"/>
              <w:bottom w:val="nil"/>
              <w:right w:val="nil"/>
            </w:tcBorders>
            <w:shd w:val="clear" w:color="auto" w:fill="auto"/>
            <w:noWrap/>
            <w:vAlign w:val="bottom"/>
          </w:tcPr>
          <w:p w14:paraId="69378823" w14:textId="2D0EFBD6" w:rsidR="00CC017C" w:rsidRPr="00EE533D" w:rsidRDefault="00CC017C" w:rsidP="0084786C">
            <w:pPr>
              <w:pStyle w:val="NoSpacing"/>
              <w:tabs>
                <w:tab w:val="decimal" w:pos="523"/>
              </w:tabs>
              <w:rPr>
                <w:rFonts w:ascii="Times New Roman" w:hAnsi="Times New Roman" w:cs="Times New Roman"/>
                <w:lang w:val="en-GB"/>
              </w:rPr>
            </w:pPr>
            <w:r w:rsidRPr="00EE533D">
              <w:rPr>
                <w:rFonts w:ascii="Times New Roman" w:hAnsi="Times New Roman" w:cs="Times New Roman"/>
                <w:lang w:val="en-GB"/>
              </w:rPr>
              <w:t>1.89</w:t>
            </w:r>
          </w:p>
        </w:tc>
        <w:tc>
          <w:tcPr>
            <w:tcW w:w="1417" w:type="dxa"/>
            <w:tcBorders>
              <w:top w:val="nil"/>
              <w:left w:val="nil"/>
              <w:bottom w:val="nil"/>
              <w:right w:val="nil"/>
            </w:tcBorders>
            <w:shd w:val="clear" w:color="auto" w:fill="auto"/>
            <w:noWrap/>
            <w:vAlign w:val="bottom"/>
          </w:tcPr>
          <w:p w14:paraId="126E9DB4" w14:textId="5A09BC11"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0.62</w:t>
            </w:r>
          </w:p>
        </w:tc>
      </w:tr>
      <w:tr w:rsidR="00EE533D" w:rsidRPr="00EE533D" w14:paraId="0A7E4E25" w14:textId="77777777" w:rsidTr="00F4319C">
        <w:trPr>
          <w:trHeight w:val="288"/>
        </w:trPr>
        <w:tc>
          <w:tcPr>
            <w:tcW w:w="2268" w:type="dxa"/>
            <w:tcBorders>
              <w:top w:val="nil"/>
              <w:left w:val="nil"/>
              <w:bottom w:val="nil"/>
              <w:right w:val="nil"/>
            </w:tcBorders>
            <w:shd w:val="clear" w:color="auto" w:fill="auto"/>
            <w:noWrap/>
            <w:vAlign w:val="bottom"/>
          </w:tcPr>
          <w:p w14:paraId="247139D6"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Saudi Arabia</w:t>
            </w:r>
          </w:p>
        </w:tc>
        <w:tc>
          <w:tcPr>
            <w:tcW w:w="1312" w:type="dxa"/>
            <w:tcBorders>
              <w:top w:val="nil"/>
              <w:left w:val="nil"/>
              <w:bottom w:val="nil"/>
              <w:right w:val="nil"/>
            </w:tcBorders>
            <w:shd w:val="clear" w:color="auto" w:fill="auto"/>
            <w:noWrap/>
            <w:vAlign w:val="bottom"/>
          </w:tcPr>
          <w:p w14:paraId="26C48D40" w14:textId="4B29657F"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7</w:t>
            </w:r>
          </w:p>
        </w:tc>
        <w:tc>
          <w:tcPr>
            <w:tcW w:w="1314" w:type="dxa"/>
            <w:tcBorders>
              <w:top w:val="nil"/>
              <w:left w:val="nil"/>
              <w:bottom w:val="nil"/>
              <w:right w:val="nil"/>
            </w:tcBorders>
            <w:vAlign w:val="bottom"/>
          </w:tcPr>
          <w:p w14:paraId="58375059" w14:textId="78EC82D4"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49</w:t>
            </w:r>
          </w:p>
        </w:tc>
        <w:tc>
          <w:tcPr>
            <w:tcW w:w="1314" w:type="dxa"/>
            <w:gridSpan w:val="2"/>
            <w:tcBorders>
              <w:top w:val="nil"/>
              <w:left w:val="nil"/>
              <w:bottom w:val="nil"/>
              <w:right w:val="nil"/>
            </w:tcBorders>
            <w:shd w:val="clear" w:color="auto" w:fill="auto"/>
            <w:noWrap/>
            <w:vAlign w:val="bottom"/>
          </w:tcPr>
          <w:p w14:paraId="5D6BA72A" w14:textId="40780A7E"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41.87</w:t>
            </w:r>
          </w:p>
        </w:tc>
        <w:tc>
          <w:tcPr>
            <w:tcW w:w="1202" w:type="dxa"/>
            <w:tcBorders>
              <w:top w:val="nil"/>
              <w:left w:val="nil"/>
              <w:bottom w:val="nil"/>
              <w:right w:val="nil"/>
            </w:tcBorders>
            <w:shd w:val="clear" w:color="auto" w:fill="auto"/>
            <w:noWrap/>
            <w:vAlign w:val="bottom"/>
          </w:tcPr>
          <w:p w14:paraId="05F8EB13" w14:textId="1B715D09"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395EF233" w14:textId="29010C2B"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0.34</w:t>
            </w:r>
          </w:p>
        </w:tc>
      </w:tr>
      <w:tr w:rsidR="00EE533D" w:rsidRPr="00EE533D" w14:paraId="416EE35E" w14:textId="77777777" w:rsidTr="00F4319C">
        <w:trPr>
          <w:trHeight w:val="288"/>
        </w:trPr>
        <w:tc>
          <w:tcPr>
            <w:tcW w:w="2268" w:type="dxa"/>
            <w:tcBorders>
              <w:top w:val="nil"/>
              <w:left w:val="nil"/>
              <w:bottom w:val="nil"/>
              <w:right w:val="nil"/>
            </w:tcBorders>
            <w:shd w:val="clear" w:color="auto" w:fill="auto"/>
            <w:noWrap/>
            <w:vAlign w:val="bottom"/>
          </w:tcPr>
          <w:p w14:paraId="2A889D16"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Singapore</w:t>
            </w:r>
          </w:p>
        </w:tc>
        <w:tc>
          <w:tcPr>
            <w:tcW w:w="1312" w:type="dxa"/>
            <w:tcBorders>
              <w:top w:val="nil"/>
              <w:left w:val="nil"/>
              <w:bottom w:val="nil"/>
              <w:right w:val="nil"/>
            </w:tcBorders>
            <w:shd w:val="clear" w:color="auto" w:fill="auto"/>
            <w:noWrap/>
            <w:vAlign w:val="bottom"/>
          </w:tcPr>
          <w:p w14:paraId="55FF1EF2" w14:textId="20AB6212"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4</w:t>
            </w:r>
          </w:p>
        </w:tc>
        <w:tc>
          <w:tcPr>
            <w:tcW w:w="1314" w:type="dxa"/>
            <w:tcBorders>
              <w:top w:val="nil"/>
              <w:left w:val="nil"/>
              <w:bottom w:val="nil"/>
              <w:right w:val="nil"/>
            </w:tcBorders>
            <w:vAlign w:val="bottom"/>
          </w:tcPr>
          <w:p w14:paraId="111CFE91" w14:textId="2464036A"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23</w:t>
            </w:r>
          </w:p>
        </w:tc>
        <w:tc>
          <w:tcPr>
            <w:tcW w:w="1314" w:type="dxa"/>
            <w:gridSpan w:val="2"/>
            <w:tcBorders>
              <w:top w:val="nil"/>
              <w:left w:val="nil"/>
              <w:bottom w:val="nil"/>
              <w:right w:val="nil"/>
            </w:tcBorders>
            <w:shd w:val="clear" w:color="auto" w:fill="auto"/>
            <w:noWrap/>
            <w:vAlign w:val="bottom"/>
          </w:tcPr>
          <w:p w14:paraId="37530E78" w14:textId="0D0843C8"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31.11</w:t>
            </w:r>
          </w:p>
        </w:tc>
        <w:tc>
          <w:tcPr>
            <w:tcW w:w="1202" w:type="dxa"/>
            <w:tcBorders>
              <w:top w:val="nil"/>
              <w:left w:val="nil"/>
              <w:bottom w:val="nil"/>
              <w:right w:val="nil"/>
            </w:tcBorders>
            <w:shd w:val="clear" w:color="auto" w:fill="auto"/>
            <w:noWrap/>
            <w:vAlign w:val="bottom"/>
          </w:tcPr>
          <w:p w14:paraId="085EE24C" w14:textId="5B38AE6A"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48.86</w:t>
            </w:r>
          </w:p>
        </w:tc>
        <w:tc>
          <w:tcPr>
            <w:tcW w:w="1417" w:type="dxa"/>
            <w:tcBorders>
              <w:top w:val="nil"/>
              <w:left w:val="nil"/>
              <w:bottom w:val="nil"/>
              <w:right w:val="nil"/>
            </w:tcBorders>
            <w:shd w:val="clear" w:color="auto" w:fill="auto"/>
            <w:noWrap/>
            <w:vAlign w:val="bottom"/>
          </w:tcPr>
          <w:p w14:paraId="3B1C22C6" w14:textId="053A918C"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76B3F9E5" w14:textId="77777777" w:rsidTr="00F4319C">
        <w:trPr>
          <w:trHeight w:val="288"/>
        </w:trPr>
        <w:tc>
          <w:tcPr>
            <w:tcW w:w="2268" w:type="dxa"/>
            <w:tcBorders>
              <w:top w:val="nil"/>
              <w:left w:val="nil"/>
              <w:bottom w:val="nil"/>
              <w:right w:val="nil"/>
            </w:tcBorders>
            <w:shd w:val="clear" w:color="auto" w:fill="auto"/>
            <w:noWrap/>
            <w:vAlign w:val="bottom"/>
          </w:tcPr>
          <w:p w14:paraId="56155408"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South Africa</w:t>
            </w:r>
          </w:p>
        </w:tc>
        <w:tc>
          <w:tcPr>
            <w:tcW w:w="1312" w:type="dxa"/>
            <w:tcBorders>
              <w:top w:val="nil"/>
              <w:left w:val="nil"/>
              <w:bottom w:val="nil"/>
              <w:right w:val="nil"/>
            </w:tcBorders>
            <w:shd w:val="clear" w:color="auto" w:fill="auto"/>
            <w:noWrap/>
            <w:vAlign w:val="bottom"/>
          </w:tcPr>
          <w:p w14:paraId="0B458A4E" w14:textId="06B0343D"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12</w:t>
            </w:r>
          </w:p>
        </w:tc>
        <w:tc>
          <w:tcPr>
            <w:tcW w:w="1314" w:type="dxa"/>
            <w:tcBorders>
              <w:top w:val="nil"/>
              <w:left w:val="nil"/>
              <w:bottom w:val="nil"/>
              <w:right w:val="nil"/>
            </w:tcBorders>
            <w:vAlign w:val="bottom"/>
          </w:tcPr>
          <w:p w14:paraId="563339F2" w14:textId="2BE3D1DA"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86</w:t>
            </w:r>
          </w:p>
        </w:tc>
        <w:tc>
          <w:tcPr>
            <w:tcW w:w="1314" w:type="dxa"/>
            <w:gridSpan w:val="2"/>
            <w:tcBorders>
              <w:top w:val="nil"/>
              <w:left w:val="nil"/>
              <w:bottom w:val="nil"/>
              <w:right w:val="nil"/>
            </w:tcBorders>
            <w:shd w:val="clear" w:color="auto" w:fill="auto"/>
            <w:noWrap/>
            <w:vAlign w:val="bottom"/>
          </w:tcPr>
          <w:p w14:paraId="05D78C2F" w14:textId="3A07BEE5"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62.02</w:t>
            </w:r>
          </w:p>
        </w:tc>
        <w:tc>
          <w:tcPr>
            <w:tcW w:w="1202" w:type="dxa"/>
            <w:tcBorders>
              <w:top w:val="nil"/>
              <w:left w:val="nil"/>
              <w:bottom w:val="nil"/>
              <w:right w:val="nil"/>
            </w:tcBorders>
            <w:shd w:val="clear" w:color="auto" w:fill="auto"/>
            <w:noWrap/>
            <w:vAlign w:val="bottom"/>
          </w:tcPr>
          <w:p w14:paraId="3929A33E" w14:textId="06F24712"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4.23</w:t>
            </w:r>
          </w:p>
        </w:tc>
        <w:tc>
          <w:tcPr>
            <w:tcW w:w="1417" w:type="dxa"/>
            <w:tcBorders>
              <w:top w:val="nil"/>
              <w:left w:val="nil"/>
              <w:bottom w:val="nil"/>
              <w:right w:val="nil"/>
            </w:tcBorders>
            <w:shd w:val="clear" w:color="auto" w:fill="auto"/>
            <w:noWrap/>
            <w:vAlign w:val="bottom"/>
          </w:tcPr>
          <w:p w14:paraId="0D6855E5" w14:textId="034BE531"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0.09</w:t>
            </w:r>
          </w:p>
        </w:tc>
      </w:tr>
      <w:tr w:rsidR="00EE533D" w:rsidRPr="00EE533D" w14:paraId="570B1FAB" w14:textId="77777777" w:rsidTr="00F4319C">
        <w:trPr>
          <w:trHeight w:val="288"/>
        </w:trPr>
        <w:tc>
          <w:tcPr>
            <w:tcW w:w="2268" w:type="dxa"/>
            <w:tcBorders>
              <w:top w:val="nil"/>
              <w:left w:val="nil"/>
              <w:bottom w:val="nil"/>
              <w:right w:val="nil"/>
            </w:tcBorders>
            <w:shd w:val="clear" w:color="auto" w:fill="auto"/>
            <w:noWrap/>
            <w:vAlign w:val="bottom"/>
          </w:tcPr>
          <w:p w14:paraId="7186BFDF"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South Korea</w:t>
            </w:r>
          </w:p>
        </w:tc>
        <w:tc>
          <w:tcPr>
            <w:tcW w:w="1312" w:type="dxa"/>
            <w:tcBorders>
              <w:top w:val="nil"/>
              <w:left w:val="nil"/>
              <w:bottom w:val="nil"/>
              <w:right w:val="nil"/>
            </w:tcBorders>
            <w:shd w:val="clear" w:color="auto" w:fill="auto"/>
            <w:noWrap/>
            <w:vAlign w:val="bottom"/>
          </w:tcPr>
          <w:p w14:paraId="597BCD9D" w14:textId="5295CF91"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6</w:t>
            </w:r>
          </w:p>
        </w:tc>
        <w:tc>
          <w:tcPr>
            <w:tcW w:w="1314" w:type="dxa"/>
            <w:tcBorders>
              <w:top w:val="nil"/>
              <w:left w:val="nil"/>
              <w:bottom w:val="nil"/>
              <w:right w:val="nil"/>
            </w:tcBorders>
            <w:vAlign w:val="bottom"/>
          </w:tcPr>
          <w:p w14:paraId="129DAB25" w14:textId="5DF65197"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49</w:t>
            </w:r>
          </w:p>
        </w:tc>
        <w:tc>
          <w:tcPr>
            <w:tcW w:w="1314" w:type="dxa"/>
            <w:gridSpan w:val="2"/>
            <w:tcBorders>
              <w:top w:val="nil"/>
              <w:left w:val="nil"/>
              <w:bottom w:val="nil"/>
              <w:right w:val="nil"/>
            </w:tcBorders>
            <w:shd w:val="clear" w:color="auto" w:fill="auto"/>
            <w:noWrap/>
            <w:vAlign w:val="bottom"/>
          </w:tcPr>
          <w:p w14:paraId="7D8BE6C2" w14:textId="558CB8E2"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18.12</w:t>
            </w:r>
          </w:p>
        </w:tc>
        <w:tc>
          <w:tcPr>
            <w:tcW w:w="1202" w:type="dxa"/>
            <w:tcBorders>
              <w:top w:val="nil"/>
              <w:left w:val="nil"/>
              <w:bottom w:val="nil"/>
              <w:right w:val="nil"/>
            </w:tcBorders>
            <w:shd w:val="clear" w:color="auto" w:fill="auto"/>
            <w:noWrap/>
            <w:vAlign w:val="bottom"/>
          </w:tcPr>
          <w:p w14:paraId="7B20A1CD" w14:textId="71B3587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52.57</w:t>
            </w:r>
          </w:p>
        </w:tc>
        <w:tc>
          <w:tcPr>
            <w:tcW w:w="1417" w:type="dxa"/>
            <w:tcBorders>
              <w:top w:val="nil"/>
              <w:left w:val="nil"/>
              <w:bottom w:val="nil"/>
              <w:right w:val="nil"/>
            </w:tcBorders>
            <w:shd w:val="clear" w:color="auto" w:fill="auto"/>
            <w:noWrap/>
            <w:vAlign w:val="bottom"/>
          </w:tcPr>
          <w:p w14:paraId="2DEC2318" w14:textId="494A63D3"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w:t>
            </w:r>
          </w:p>
        </w:tc>
      </w:tr>
      <w:tr w:rsidR="00EE533D" w:rsidRPr="00EE533D" w14:paraId="524632D2" w14:textId="77777777" w:rsidTr="00F4319C">
        <w:trPr>
          <w:trHeight w:val="288"/>
        </w:trPr>
        <w:tc>
          <w:tcPr>
            <w:tcW w:w="2268" w:type="dxa"/>
            <w:tcBorders>
              <w:top w:val="nil"/>
              <w:left w:val="nil"/>
              <w:bottom w:val="nil"/>
              <w:right w:val="nil"/>
            </w:tcBorders>
            <w:shd w:val="clear" w:color="auto" w:fill="auto"/>
            <w:noWrap/>
            <w:vAlign w:val="bottom"/>
          </w:tcPr>
          <w:p w14:paraId="60CAB5B1"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Spain</w:t>
            </w:r>
          </w:p>
        </w:tc>
        <w:tc>
          <w:tcPr>
            <w:tcW w:w="1312" w:type="dxa"/>
            <w:tcBorders>
              <w:top w:val="nil"/>
              <w:left w:val="nil"/>
              <w:bottom w:val="nil"/>
              <w:right w:val="nil"/>
            </w:tcBorders>
            <w:shd w:val="clear" w:color="auto" w:fill="auto"/>
            <w:noWrap/>
            <w:vAlign w:val="bottom"/>
          </w:tcPr>
          <w:p w14:paraId="5BA92795" w14:textId="7D512B25"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30</w:t>
            </w:r>
          </w:p>
        </w:tc>
        <w:tc>
          <w:tcPr>
            <w:tcW w:w="1314" w:type="dxa"/>
            <w:tcBorders>
              <w:top w:val="nil"/>
              <w:left w:val="nil"/>
              <w:bottom w:val="nil"/>
              <w:right w:val="nil"/>
            </w:tcBorders>
            <w:vAlign w:val="bottom"/>
          </w:tcPr>
          <w:p w14:paraId="2C922C66" w14:textId="4DA4ECF0"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217</w:t>
            </w:r>
          </w:p>
        </w:tc>
        <w:tc>
          <w:tcPr>
            <w:tcW w:w="1314" w:type="dxa"/>
            <w:gridSpan w:val="2"/>
            <w:tcBorders>
              <w:top w:val="nil"/>
              <w:left w:val="nil"/>
              <w:bottom w:val="nil"/>
              <w:right w:val="nil"/>
            </w:tcBorders>
            <w:shd w:val="clear" w:color="auto" w:fill="auto"/>
            <w:noWrap/>
            <w:vAlign w:val="bottom"/>
          </w:tcPr>
          <w:p w14:paraId="036068A2" w14:textId="688E0CE9"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58.90</w:t>
            </w:r>
          </w:p>
        </w:tc>
        <w:tc>
          <w:tcPr>
            <w:tcW w:w="1202" w:type="dxa"/>
            <w:tcBorders>
              <w:top w:val="nil"/>
              <w:left w:val="nil"/>
              <w:bottom w:val="nil"/>
              <w:right w:val="nil"/>
            </w:tcBorders>
            <w:shd w:val="clear" w:color="auto" w:fill="auto"/>
            <w:noWrap/>
            <w:vAlign w:val="bottom"/>
          </w:tcPr>
          <w:p w14:paraId="249AB8BD" w14:textId="5490D6A5"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8.31</w:t>
            </w:r>
          </w:p>
        </w:tc>
        <w:tc>
          <w:tcPr>
            <w:tcW w:w="1417" w:type="dxa"/>
            <w:tcBorders>
              <w:top w:val="nil"/>
              <w:left w:val="nil"/>
              <w:bottom w:val="nil"/>
              <w:right w:val="nil"/>
            </w:tcBorders>
            <w:shd w:val="clear" w:color="auto" w:fill="auto"/>
            <w:noWrap/>
            <w:vAlign w:val="bottom"/>
          </w:tcPr>
          <w:p w14:paraId="5EADF2BD" w14:textId="0C1F3763"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1.58</w:t>
            </w:r>
          </w:p>
        </w:tc>
      </w:tr>
      <w:tr w:rsidR="00EE533D" w:rsidRPr="00EE533D" w14:paraId="1416F522" w14:textId="77777777" w:rsidTr="00F4319C">
        <w:trPr>
          <w:trHeight w:val="288"/>
        </w:trPr>
        <w:tc>
          <w:tcPr>
            <w:tcW w:w="2268" w:type="dxa"/>
            <w:tcBorders>
              <w:top w:val="nil"/>
              <w:left w:val="nil"/>
              <w:bottom w:val="nil"/>
              <w:right w:val="nil"/>
            </w:tcBorders>
            <w:shd w:val="clear" w:color="auto" w:fill="auto"/>
            <w:noWrap/>
            <w:vAlign w:val="bottom"/>
          </w:tcPr>
          <w:p w14:paraId="6A188D49"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Sweden</w:t>
            </w:r>
          </w:p>
        </w:tc>
        <w:tc>
          <w:tcPr>
            <w:tcW w:w="1312" w:type="dxa"/>
            <w:tcBorders>
              <w:top w:val="nil"/>
              <w:left w:val="nil"/>
              <w:bottom w:val="nil"/>
              <w:right w:val="nil"/>
            </w:tcBorders>
            <w:shd w:val="clear" w:color="auto" w:fill="auto"/>
            <w:noWrap/>
            <w:vAlign w:val="bottom"/>
          </w:tcPr>
          <w:p w14:paraId="4AF1120B" w14:textId="16FDF947"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35</w:t>
            </w:r>
          </w:p>
        </w:tc>
        <w:tc>
          <w:tcPr>
            <w:tcW w:w="1314" w:type="dxa"/>
            <w:tcBorders>
              <w:top w:val="nil"/>
              <w:left w:val="nil"/>
              <w:bottom w:val="nil"/>
              <w:right w:val="nil"/>
            </w:tcBorders>
            <w:vAlign w:val="bottom"/>
          </w:tcPr>
          <w:p w14:paraId="5A187B9A" w14:textId="4B22A048"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279</w:t>
            </w:r>
          </w:p>
        </w:tc>
        <w:tc>
          <w:tcPr>
            <w:tcW w:w="1314" w:type="dxa"/>
            <w:gridSpan w:val="2"/>
            <w:tcBorders>
              <w:top w:val="nil"/>
              <w:left w:val="nil"/>
              <w:bottom w:val="nil"/>
              <w:right w:val="nil"/>
            </w:tcBorders>
            <w:shd w:val="clear" w:color="auto" w:fill="auto"/>
            <w:noWrap/>
            <w:vAlign w:val="bottom"/>
          </w:tcPr>
          <w:p w14:paraId="1D4E18C0" w14:textId="01028E44"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65.78</w:t>
            </w:r>
          </w:p>
        </w:tc>
        <w:tc>
          <w:tcPr>
            <w:tcW w:w="1202" w:type="dxa"/>
            <w:tcBorders>
              <w:top w:val="nil"/>
              <w:left w:val="nil"/>
              <w:bottom w:val="nil"/>
              <w:right w:val="nil"/>
            </w:tcBorders>
            <w:shd w:val="clear" w:color="auto" w:fill="auto"/>
            <w:noWrap/>
            <w:vAlign w:val="bottom"/>
          </w:tcPr>
          <w:p w14:paraId="58182EAD" w14:textId="4A4C190D"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58.75</w:t>
            </w:r>
          </w:p>
        </w:tc>
        <w:tc>
          <w:tcPr>
            <w:tcW w:w="1417" w:type="dxa"/>
            <w:tcBorders>
              <w:top w:val="nil"/>
              <w:left w:val="nil"/>
              <w:bottom w:val="nil"/>
              <w:right w:val="nil"/>
            </w:tcBorders>
            <w:shd w:val="clear" w:color="auto" w:fill="auto"/>
            <w:noWrap/>
            <w:vAlign w:val="bottom"/>
          </w:tcPr>
          <w:p w14:paraId="32C39424" w14:textId="4E6672D1"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1.36</w:t>
            </w:r>
          </w:p>
        </w:tc>
      </w:tr>
      <w:tr w:rsidR="00EE533D" w:rsidRPr="00EE533D" w14:paraId="259E24C7" w14:textId="77777777" w:rsidTr="00F4319C">
        <w:trPr>
          <w:trHeight w:val="288"/>
        </w:trPr>
        <w:tc>
          <w:tcPr>
            <w:tcW w:w="2268" w:type="dxa"/>
            <w:tcBorders>
              <w:top w:val="nil"/>
              <w:left w:val="nil"/>
              <w:bottom w:val="nil"/>
              <w:right w:val="nil"/>
            </w:tcBorders>
            <w:shd w:val="clear" w:color="auto" w:fill="auto"/>
            <w:noWrap/>
            <w:vAlign w:val="bottom"/>
          </w:tcPr>
          <w:p w14:paraId="4FC6DAD7"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Switzerland</w:t>
            </w:r>
          </w:p>
        </w:tc>
        <w:tc>
          <w:tcPr>
            <w:tcW w:w="1312" w:type="dxa"/>
            <w:tcBorders>
              <w:top w:val="nil"/>
              <w:left w:val="nil"/>
              <w:bottom w:val="nil"/>
              <w:right w:val="nil"/>
            </w:tcBorders>
            <w:shd w:val="clear" w:color="auto" w:fill="auto"/>
            <w:noWrap/>
            <w:vAlign w:val="bottom"/>
          </w:tcPr>
          <w:p w14:paraId="1AC63A82" w14:textId="3E37EA8F"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32</w:t>
            </w:r>
          </w:p>
        </w:tc>
        <w:tc>
          <w:tcPr>
            <w:tcW w:w="1314" w:type="dxa"/>
            <w:tcBorders>
              <w:top w:val="nil"/>
              <w:left w:val="nil"/>
              <w:bottom w:val="nil"/>
              <w:right w:val="nil"/>
            </w:tcBorders>
            <w:vAlign w:val="bottom"/>
          </w:tcPr>
          <w:p w14:paraId="1A40B568" w14:textId="0A6BD5FB"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276</w:t>
            </w:r>
          </w:p>
        </w:tc>
        <w:tc>
          <w:tcPr>
            <w:tcW w:w="1314" w:type="dxa"/>
            <w:gridSpan w:val="2"/>
            <w:tcBorders>
              <w:top w:val="nil"/>
              <w:left w:val="nil"/>
              <w:bottom w:val="nil"/>
              <w:right w:val="nil"/>
            </w:tcBorders>
            <w:shd w:val="clear" w:color="auto" w:fill="auto"/>
            <w:noWrap/>
            <w:vAlign w:val="bottom"/>
          </w:tcPr>
          <w:p w14:paraId="41BF3CE2" w14:textId="54674EA3"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56.49</w:t>
            </w:r>
          </w:p>
        </w:tc>
        <w:tc>
          <w:tcPr>
            <w:tcW w:w="1202" w:type="dxa"/>
            <w:tcBorders>
              <w:top w:val="nil"/>
              <w:left w:val="nil"/>
              <w:bottom w:val="nil"/>
              <w:right w:val="nil"/>
            </w:tcBorders>
            <w:shd w:val="clear" w:color="auto" w:fill="auto"/>
            <w:noWrap/>
            <w:vAlign w:val="bottom"/>
          </w:tcPr>
          <w:p w14:paraId="608F71A8" w14:textId="4ED6329F"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35.15</w:t>
            </w:r>
          </w:p>
        </w:tc>
        <w:tc>
          <w:tcPr>
            <w:tcW w:w="1417" w:type="dxa"/>
            <w:tcBorders>
              <w:top w:val="nil"/>
              <w:left w:val="nil"/>
              <w:bottom w:val="nil"/>
              <w:right w:val="nil"/>
            </w:tcBorders>
            <w:shd w:val="clear" w:color="auto" w:fill="auto"/>
            <w:noWrap/>
            <w:vAlign w:val="bottom"/>
          </w:tcPr>
          <w:p w14:paraId="7A0825C6" w14:textId="41E56D7A"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0.51</w:t>
            </w:r>
          </w:p>
        </w:tc>
      </w:tr>
      <w:tr w:rsidR="00EE533D" w:rsidRPr="00EE533D" w14:paraId="4B8D9CFD" w14:textId="77777777" w:rsidTr="00F4319C">
        <w:trPr>
          <w:trHeight w:val="288"/>
        </w:trPr>
        <w:tc>
          <w:tcPr>
            <w:tcW w:w="2268" w:type="dxa"/>
            <w:tcBorders>
              <w:top w:val="nil"/>
              <w:left w:val="nil"/>
              <w:bottom w:val="nil"/>
              <w:right w:val="nil"/>
            </w:tcBorders>
            <w:shd w:val="clear" w:color="auto" w:fill="auto"/>
            <w:noWrap/>
            <w:vAlign w:val="bottom"/>
          </w:tcPr>
          <w:p w14:paraId="3EF5A5E8"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Thailand</w:t>
            </w:r>
          </w:p>
        </w:tc>
        <w:tc>
          <w:tcPr>
            <w:tcW w:w="1312" w:type="dxa"/>
            <w:tcBorders>
              <w:top w:val="nil"/>
              <w:left w:val="nil"/>
              <w:bottom w:val="nil"/>
              <w:right w:val="nil"/>
            </w:tcBorders>
            <w:shd w:val="clear" w:color="auto" w:fill="auto"/>
            <w:noWrap/>
            <w:vAlign w:val="bottom"/>
          </w:tcPr>
          <w:p w14:paraId="70EA9749" w14:textId="43CC07D3"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37</w:t>
            </w:r>
          </w:p>
        </w:tc>
        <w:tc>
          <w:tcPr>
            <w:tcW w:w="1314" w:type="dxa"/>
            <w:tcBorders>
              <w:top w:val="nil"/>
              <w:left w:val="nil"/>
              <w:bottom w:val="nil"/>
              <w:right w:val="nil"/>
            </w:tcBorders>
            <w:vAlign w:val="bottom"/>
          </w:tcPr>
          <w:p w14:paraId="7136940C" w14:textId="65FCC045"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267</w:t>
            </w:r>
          </w:p>
        </w:tc>
        <w:tc>
          <w:tcPr>
            <w:tcW w:w="1314" w:type="dxa"/>
            <w:gridSpan w:val="2"/>
            <w:tcBorders>
              <w:top w:val="nil"/>
              <w:left w:val="nil"/>
              <w:bottom w:val="nil"/>
              <w:right w:val="nil"/>
            </w:tcBorders>
            <w:shd w:val="clear" w:color="auto" w:fill="auto"/>
            <w:noWrap/>
            <w:vAlign w:val="bottom"/>
          </w:tcPr>
          <w:p w14:paraId="72BABBD6" w14:textId="1E8F0EC6"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46.77</w:t>
            </w:r>
          </w:p>
        </w:tc>
        <w:tc>
          <w:tcPr>
            <w:tcW w:w="1202" w:type="dxa"/>
            <w:tcBorders>
              <w:top w:val="nil"/>
              <w:left w:val="nil"/>
              <w:bottom w:val="nil"/>
              <w:right w:val="nil"/>
            </w:tcBorders>
            <w:shd w:val="clear" w:color="auto" w:fill="auto"/>
            <w:noWrap/>
            <w:vAlign w:val="bottom"/>
          </w:tcPr>
          <w:p w14:paraId="00C4E560" w14:textId="172354BB"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15.49</w:t>
            </w:r>
          </w:p>
        </w:tc>
        <w:tc>
          <w:tcPr>
            <w:tcW w:w="1417" w:type="dxa"/>
            <w:tcBorders>
              <w:top w:val="nil"/>
              <w:left w:val="nil"/>
              <w:bottom w:val="nil"/>
              <w:right w:val="nil"/>
            </w:tcBorders>
            <w:shd w:val="clear" w:color="auto" w:fill="auto"/>
            <w:noWrap/>
            <w:vAlign w:val="bottom"/>
          </w:tcPr>
          <w:p w14:paraId="1CA04541" w14:textId="727A5BA8"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1.17</w:t>
            </w:r>
          </w:p>
        </w:tc>
      </w:tr>
      <w:tr w:rsidR="00EE533D" w:rsidRPr="00EE533D" w14:paraId="77056DD6" w14:textId="77777777" w:rsidTr="00F4319C">
        <w:trPr>
          <w:trHeight w:val="288"/>
        </w:trPr>
        <w:tc>
          <w:tcPr>
            <w:tcW w:w="2268" w:type="dxa"/>
            <w:tcBorders>
              <w:top w:val="nil"/>
              <w:left w:val="nil"/>
              <w:bottom w:val="nil"/>
              <w:right w:val="nil"/>
            </w:tcBorders>
            <w:shd w:val="clear" w:color="auto" w:fill="auto"/>
            <w:noWrap/>
            <w:vAlign w:val="bottom"/>
          </w:tcPr>
          <w:p w14:paraId="12CC7B1B"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United Arab Emirates</w:t>
            </w:r>
          </w:p>
        </w:tc>
        <w:tc>
          <w:tcPr>
            <w:tcW w:w="1312" w:type="dxa"/>
            <w:tcBorders>
              <w:top w:val="nil"/>
              <w:left w:val="nil"/>
              <w:bottom w:val="nil"/>
              <w:right w:val="nil"/>
            </w:tcBorders>
            <w:shd w:val="clear" w:color="auto" w:fill="auto"/>
            <w:noWrap/>
            <w:vAlign w:val="bottom"/>
          </w:tcPr>
          <w:p w14:paraId="499B66DE" w14:textId="28181119"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w:t>
            </w:r>
          </w:p>
        </w:tc>
        <w:tc>
          <w:tcPr>
            <w:tcW w:w="1314" w:type="dxa"/>
            <w:tcBorders>
              <w:top w:val="nil"/>
              <w:left w:val="nil"/>
              <w:bottom w:val="nil"/>
              <w:right w:val="nil"/>
            </w:tcBorders>
            <w:vAlign w:val="bottom"/>
          </w:tcPr>
          <w:p w14:paraId="1D45806B" w14:textId="2C68F8D9"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26</w:t>
            </w:r>
          </w:p>
        </w:tc>
        <w:tc>
          <w:tcPr>
            <w:tcW w:w="1314" w:type="dxa"/>
            <w:gridSpan w:val="2"/>
            <w:tcBorders>
              <w:top w:val="nil"/>
              <w:left w:val="nil"/>
              <w:bottom w:val="nil"/>
              <w:right w:val="nil"/>
            </w:tcBorders>
            <w:shd w:val="clear" w:color="auto" w:fill="auto"/>
            <w:noWrap/>
            <w:vAlign w:val="bottom"/>
          </w:tcPr>
          <w:p w14:paraId="69C624FE" w14:textId="019DC970"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57.13</w:t>
            </w:r>
          </w:p>
        </w:tc>
        <w:tc>
          <w:tcPr>
            <w:tcW w:w="1202" w:type="dxa"/>
            <w:tcBorders>
              <w:top w:val="nil"/>
              <w:left w:val="nil"/>
              <w:bottom w:val="nil"/>
              <w:right w:val="nil"/>
            </w:tcBorders>
            <w:shd w:val="clear" w:color="auto" w:fill="auto"/>
            <w:noWrap/>
            <w:vAlign w:val="bottom"/>
          </w:tcPr>
          <w:p w14:paraId="71861603" w14:textId="05733775"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w:t>
            </w:r>
          </w:p>
        </w:tc>
        <w:tc>
          <w:tcPr>
            <w:tcW w:w="1417" w:type="dxa"/>
            <w:tcBorders>
              <w:top w:val="nil"/>
              <w:left w:val="nil"/>
              <w:bottom w:val="nil"/>
              <w:right w:val="nil"/>
            </w:tcBorders>
            <w:shd w:val="clear" w:color="auto" w:fill="auto"/>
            <w:noWrap/>
            <w:vAlign w:val="bottom"/>
          </w:tcPr>
          <w:p w14:paraId="400766F4" w14:textId="54934F3D"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0.03</w:t>
            </w:r>
          </w:p>
        </w:tc>
      </w:tr>
      <w:tr w:rsidR="00EE533D" w:rsidRPr="00EE533D" w14:paraId="7030FA1A" w14:textId="77777777" w:rsidTr="00F4319C">
        <w:trPr>
          <w:trHeight w:val="288"/>
        </w:trPr>
        <w:tc>
          <w:tcPr>
            <w:tcW w:w="2268" w:type="dxa"/>
            <w:tcBorders>
              <w:top w:val="nil"/>
              <w:left w:val="nil"/>
              <w:bottom w:val="nil"/>
              <w:right w:val="nil"/>
            </w:tcBorders>
            <w:shd w:val="clear" w:color="auto" w:fill="auto"/>
            <w:noWrap/>
            <w:vAlign w:val="bottom"/>
          </w:tcPr>
          <w:p w14:paraId="2653AAB9" w14:textId="77777777" w:rsidR="00CC017C" w:rsidRPr="00EE533D" w:rsidRDefault="00CC017C" w:rsidP="00CC017C">
            <w:pPr>
              <w:spacing w:after="0" w:line="240" w:lineRule="auto"/>
              <w:rPr>
                <w:rFonts w:ascii="Times New Roman" w:hAnsi="Times New Roman" w:cs="Times New Roman"/>
                <w:lang w:val="en-GB"/>
              </w:rPr>
            </w:pPr>
            <w:r w:rsidRPr="00EE533D">
              <w:rPr>
                <w:rFonts w:ascii="Times New Roman" w:hAnsi="Times New Roman" w:cs="Times New Roman"/>
                <w:lang w:val="en-GB"/>
              </w:rPr>
              <w:t>United Kingdom</w:t>
            </w:r>
          </w:p>
        </w:tc>
        <w:tc>
          <w:tcPr>
            <w:tcW w:w="1312" w:type="dxa"/>
            <w:tcBorders>
              <w:top w:val="nil"/>
              <w:left w:val="nil"/>
              <w:bottom w:val="nil"/>
              <w:right w:val="nil"/>
            </w:tcBorders>
            <w:shd w:val="clear" w:color="auto" w:fill="auto"/>
            <w:noWrap/>
            <w:vAlign w:val="bottom"/>
          </w:tcPr>
          <w:p w14:paraId="72C937F9" w14:textId="53C9D0F6"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51</w:t>
            </w:r>
          </w:p>
        </w:tc>
        <w:tc>
          <w:tcPr>
            <w:tcW w:w="1314" w:type="dxa"/>
            <w:tcBorders>
              <w:top w:val="nil"/>
              <w:left w:val="nil"/>
              <w:bottom w:val="nil"/>
              <w:right w:val="nil"/>
            </w:tcBorders>
            <w:vAlign w:val="bottom"/>
          </w:tcPr>
          <w:p w14:paraId="043ABC85" w14:textId="521F783E"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387</w:t>
            </w:r>
          </w:p>
        </w:tc>
        <w:tc>
          <w:tcPr>
            <w:tcW w:w="1314" w:type="dxa"/>
            <w:gridSpan w:val="2"/>
            <w:tcBorders>
              <w:top w:val="nil"/>
              <w:left w:val="nil"/>
              <w:bottom w:val="nil"/>
              <w:right w:val="nil"/>
            </w:tcBorders>
            <w:shd w:val="clear" w:color="auto" w:fill="auto"/>
            <w:noWrap/>
            <w:vAlign w:val="bottom"/>
          </w:tcPr>
          <w:p w14:paraId="2C753136" w14:textId="03CDAB8C"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55.12</w:t>
            </w:r>
          </w:p>
        </w:tc>
        <w:tc>
          <w:tcPr>
            <w:tcW w:w="1202" w:type="dxa"/>
            <w:tcBorders>
              <w:top w:val="nil"/>
              <w:left w:val="nil"/>
              <w:bottom w:val="nil"/>
              <w:right w:val="nil"/>
            </w:tcBorders>
            <w:shd w:val="clear" w:color="auto" w:fill="auto"/>
            <w:noWrap/>
            <w:vAlign w:val="bottom"/>
          </w:tcPr>
          <w:p w14:paraId="26EDB1DF" w14:textId="276A08F4"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30.53</w:t>
            </w:r>
          </w:p>
        </w:tc>
        <w:tc>
          <w:tcPr>
            <w:tcW w:w="1417" w:type="dxa"/>
            <w:tcBorders>
              <w:top w:val="nil"/>
              <w:left w:val="nil"/>
              <w:bottom w:val="nil"/>
              <w:right w:val="nil"/>
            </w:tcBorders>
            <w:shd w:val="clear" w:color="auto" w:fill="auto"/>
            <w:noWrap/>
            <w:vAlign w:val="bottom"/>
          </w:tcPr>
          <w:p w14:paraId="07CD75E8" w14:textId="0053B443"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3.83</w:t>
            </w:r>
          </w:p>
        </w:tc>
      </w:tr>
      <w:tr w:rsidR="00EE533D" w:rsidRPr="00EE533D" w14:paraId="66F875F8" w14:textId="77777777" w:rsidTr="00F4319C">
        <w:trPr>
          <w:trHeight w:val="288"/>
        </w:trPr>
        <w:tc>
          <w:tcPr>
            <w:tcW w:w="2268" w:type="dxa"/>
            <w:tcBorders>
              <w:top w:val="nil"/>
              <w:left w:val="nil"/>
              <w:bottom w:val="nil"/>
              <w:right w:val="nil"/>
            </w:tcBorders>
            <w:shd w:val="clear" w:color="auto" w:fill="auto"/>
            <w:noWrap/>
            <w:vAlign w:val="bottom"/>
          </w:tcPr>
          <w:p w14:paraId="21F7B9D3" w14:textId="77777777" w:rsidR="00CC017C" w:rsidRPr="00EE533D" w:rsidRDefault="00CC017C" w:rsidP="00CC017C">
            <w:pPr>
              <w:spacing w:after="0" w:line="240" w:lineRule="auto"/>
              <w:rPr>
                <w:rFonts w:ascii="Times New Roman" w:eastAsia="Times New Roman" w:hAnsi="Times New Roman" w:cs="Times New Roman"/>
                <w:lang w:val="en-GB" w:eastAsia="fr-FR"/>
              </w:rPr>
            </w:pPr>
            <w:r w:rsidRPr="00EE533D">
              <w:rPr>
                <w:rFonts w:ascii="Times New Roman" w:hAnsi="Times New Roman" w:cs="Times New Roman"/>
                <w:lang w:val="en-GB"/>
              </w:rPr>
              <w:t>United States</w:t>
            </w:r>
          </w:p>
        </w:tc>
        <w:tc>
          <w:tcPr>
            <w:tcW w:w="1312" w:type="dxa"/>
            <w:tcBorders>
              <w:top w:val="nil"/>
              <w:left w:val="nil"/>
              <w:bottom w:val="nil"/>
              <w:right w:val="nil"/>
            </w:tcBorders>
            <w:shd w:val="clear" w:color="auto" w:fill="auto"/>
            <w:noWrap/>
            <w:vAlign w:val="bottom"/>
          </w:tcPr>
          <w:p w14:paraId="37A0893A" w14:textId="53D15F41" w:rsidR="00CC017C" w:rsidRPr="00EE533D" w:rsidRDefault="00CC017C" w:rsidP="00CC017C">
            <w:pPr>
              <w:pStyle w:val="NoSpacing"/>
              <w:jc w:val="center"/>
              <w:rPr>
                <w:rFonts w:ascii="Times New Roman" w:hAnsi="Times New Roman" w:cs="Times New Roman"/>
                <w:lang w:val="en-GB"/>
              </w:rPr>
            </w:pPr>
            <w:r w:rsidRPr="00EE533D">
              <w:rPr>
                <w:rFonts w:ascii="Times New Roman" w:hAnsi="Times New Roman" w:cs="Times New Roman"/>
                <w:lang w:val="en-GB"/>
              </w:rPr>
              <w:t>169</w:t>
            </w:r>
          </w:p>
        </w:tc>
        <w:tc>
          <w:tcPr>
            <w:tcW w:w="1314" w:type="dxa"/>
            <w:tcBorders>
              <w:top w:val="nil"/>
              <w:left w:val="nil"/>
              <w:bottom w:val="nil"/>
              <w:right w:val="nil"/>
            </w:tcBorders>
            <w:vAlign w:val="bottom"/>
          </w:tcPr>
          <w:p w14:paraId="52A81D81" w14:textId="1C54D371" w:rsidR="00CC017C" w:rsidRPr="00EE533D" w:rsidRDefault="00CC017C" w:rsidP="00CC017C">
            <w:pPr>
              <w:pStyle w:val="NoSpacing"/>
              <w:tabs>
                <w:tab w:val="decimal" w:pos="551"/>
              </w:tabs>
              <w:jc w:val="center"/>
              <w:rPr>
                <w:rFonts w:ascii="Times New Roman" w:hAnsi="Times New Roman" w:cs="Times New Roman"/>
                <w:lang w:val="en-GB"/>
              </w:rPr>
            </w:pPr>
            <w:r w:rsidRPr="00EE533D">
              <w:rPr>
                <w:rFonts w:ascii="Times New Roman" w:hAnsi="Times New Roman" w:cs="Times New Roman"/>
                <w:lang w:val="en-GB"/>
              </w:rPr>
              <w:t>1221</w:t>
            </w:r>
          </w:p>
        </w:tc>
        <w:tc>
          <w:tcPr>
            <w:tcW w:w="1314" w:type="dxa"/>
            <w:gridSpan w:val="2"/>
            <w:tcBorders>
              <w:top w:val="nil"/>
              <w:left w:val="nil"/>
              <w:bottom w:val="nil"/>
              <w:right w:val="nil"/>
            </w:tcBorders>
            <w:shd w:val="clear" w:color="auto" w:fill="auto"/>
            <w:noWrap/>
            <w:vAlign w:val="bottom"/>
          </w:tcPr>
          <w:p w14:paraId="24BD4B0A" w14:textId="7D3418CB" w:rsidR="00CC017C" w:rsidRPr="00EE533D" w:rsidRDefault="00CC017C" w:rsidP="00CC017C">
            <w:pPr>
              <w:pStyle w:val="NoSpacing"/>
              <w:tabs>
                <w:tab w:val="decimal" w:pos="551"/>
              </w:tabs>
              <w:rPr>
                <w:rFonts w:ascii="Times New Roman" w:hAnsi="Times New Roman" w:cs="Times New Roman"/>
                <w:lang w:val="en-GB"/>
              </w:rPr>
            </w:pPr>
            <w:r w:rsidRPr="00EE533D">
              <w:rPr>
                <w:rFonts w:ascii="Times New Roman" w:hAnsi="Times New Roman" w:cs="Times New Roman"/>
                <w:lang w:val="en-GB"/>
              </w:rPr>
              <w:t>45.88</w:t>
            </w:r>
          </w:p>
        </w:tc>
        <w:tc>
          <w:tcPr>
            <w:tcW w:w="1202" w:type="dxa"/>
            <w:tcBorders>
              <w:top w:val="nil"/>
              <w:left w:val="nil"/>
              <w:bottom w:val="nil"/>
              <w:right w:val="nil"/>
            </w:tcBorders>
            <w:shd w:val="clear" w:color="auto" w:fill="auto"/>
            <w:noWrap/>
            <w:vAlign w:val="bottom"/>
          </w:tcPr>
          <w:p w14:paraId="0CF497BA" w14:textId="777DDE5B" w:rsidR="00CC017C" w:rsidRPr="00EE533D" w:rsidRDefault="00CC017C" w:rsidP="00CC017C">
            <w:pPr>
              <w:pStyle w:val="NoSpacing"/>
              <w:tabs>
                <w:tab w:val="decimal" w:pos="570"/>
              </w:tabs>
              <w:rPr>
                <w:rFonts w:ascii="Times New Roman" w:hAnsi="Times New Roman" w:cs="Times New Roman"/>
                <w:lang w:val="en-GB"/>
              </w:rPr>
            </w:pPr>
            <w:r w:rsidRPr="00EE533D">
              <w:rPr>
                <w:rFonts w:ascii="Times New Roman" w:hAnsi="Times New Roman" w:cs="Times New Roman"/>
                <w:lang w:val="en-GB"/>
              </w:rPr>
              <w:t>34.35</w:t>
            </w:r>
          </w:p>
        </w:tc>
        <w:tc>
          <w:tcPr>
            <w:tcW w:w="1417" w:type="dxa"/>
            <w:tcBorders>
              <w:top w:val="nil"/>
              <w:left w:val="nil"/>
              <w:bottom w:val="nil"/>
              <w:right w:val="nil"/>
            </w:tcBorders>
            <w:shd w:val="clear" w:color="auto" w:fill="auto"/>
            <w:noWrap/>
            <w:vAlign w:val="bottom"/>
          </w:tcPr>
          <w:p w14:paraId="1E6D6CED" w14:textId="472E326B" w:rsidR="00CC017C" w:rsidRPr="00EE533D" w:rsidRDefault="00CC017C" w:rsidP="00CC017C">
            <w:pPr>
              <w:pStyle w:val="NoSpacing"/>
              <w:tabs>
                <w:tab w:val="decimal" w:pos="563"/>
              </w:tabs>
              <w:rPr>
                <w:rFonts w:ascii="Times New Roman" w:hAnsi="Times New Roman" w:cs="Times New Roman"/>
                <w:lang w:val="en-GB"/>
              </w:rPr>
            </w:pPr>
            <w:r w:rsidRPr="00EE533D">
              <w:rPr>
                <w:rFonts w:ascii="Times New Roman" w:hAnsi="Times New Roman" w:cs="Times New Roman"/>
                <w:lang w:val="en-GB"/>
              </w:rPr>
              <w:t>2.01</w:t>
            </w:r>
          </w:p>
        </w:tc>
      </w:tr>
      <w:tr w:rsidR="00EE533D" w:rsidRPr="00EE533D" w14:paraId="29F4DDA0" w14:textId="77777777" w:rsidTr="00CC017C">
        <w:trPr>
          <w:trHeight w:val="288"/>
        </w:trPr>
        <w:tc>
          <w:tcPr>
            <w:tcW w:w="2268" w:type="dxa"/>
            <w:tcBorders>
              <w:top w:val="single" w:sz="12" w:space="0" w:color="auto"/>
              <w:left w:val="nil"/>
              <w:bottom w:val="single" w:sz="12" w:space="0" w:color="auto"/>
              <w:right w:val="nil"/>
            </w:tcBorders>
            <w:shd w:val="clear" w:color="auto" w:fill="auto"/>
            <w:noWrap/>
            <w:vAlign w:val="bottom"/>
          </w:tcPr>
          <w:p w14:paraId="64D29BEF" w14:textId="00A84649" w:rsidR="00A02C5A" w:rsidRPr="00EE533D" w:rsidRDefault="00220E26" w:rsidP="007467F2">
            <w:pPr>
              <w:spacing w:after="0" w:line="240" w:lineRule="auto"/>
              <w:rPr>
                <w:rFonts w:ascii="Times New Roman" w:eastAsia="Times New Roman" w:hAnsi="Times New Roman" w:cs="Times New Roman"/>
                <w:b/>
                <w:bCs/>
                <w:lang w:val="en-GB" w:eastAsia="fr-FR"/>
              </w:rPr>
            </w:pPr>
            <w:r w:rsidRPr="00EE533D">
              <w:rPr>
                <w:rFonts w:ascii="Times New Roman" w:eastAsia="Times New Roman" w:hAnsi="Times New Roman" w:cs="Times New Roman"/>
                <w:b/>
                <w:bCs/>
                <w:lang w:val="en-GB" w:eastAsia="fr-FR"/>
              </w:rPr>
              <w:lastRenderedPageBreak/>
              <w:t>Mean</w:t>
            </w:r>
          </w:p>
        </w:tc>
        <w:tc>
          <w:tcPr>
            <w:tcW w:w="1312" w:type="dxa"/>
            <w:tcBorders>
              <w:top w:val="single" w:sz="12" w:space="0" w:color="auto"/>
              <w:left w:val="nil"/>
              <w:bottom w:val="single" w:sz="12" w:space="0" w:color="auto"/>
              <w:right w:val="nil"/>
            </w:tcBorders>
            <w:shd w:val="clear" w:color="auto" w:fill="auto"/>
            <w:noWrap/>
            <w:vAlign w:val="bottom"/>
          </w:tcPr>
          <w:p w14:paraId="7EB50ECA" w14:textId="77777777" w:rsidR="00A02C5A" w:rsidRPr="00EE533D" w:rsidRDefault="00A02C5A" w:rsidP="007467F2">
            <w:pPr>
              <w:pStyle w:val="NoSpacing"/>
              <w:jc w:val="center"/>
              <w:rPr>
                <w:rFonts w:ascii="Times New Roman" w:hAnsi="Times New Roman" w:cs="Times New Roman"/>
                <w:lang w:val="en-GB"/>
              </w:rPr>
            </w:pPr>
          </w:p>
        </w:tc>
        <w:tc>
          <w:tcPr>
            <w:tcW w:w="1314" w:type="dxa"/>
            <w:tcBorders>
              <w:top w:val="single" w:sz="12" w:space="0" w:color="auto"/>
              <w:left w:val="nil"/>
              <w:bottom w:val="single" w:sz="12" w:space="0" w:color="auto"/>
              <w:right w:val="nil"/>
            </w:tcBorders>
          </w:tcPr>
          <w:p w14:paraId="4B34638E" w14:textId="77777777" w:rsidR="00A02C5A" w:rsidRPr="00EE533D" w:rsidRDefault="00A02C5A" w:rsidP="007467F2">
            <w:pPr>
              <w:pStyle w:val="NoSpacing"/>
              <w:tabs>
                <w:tab w:val="decimal" w:pos="551"/>
              </w:tabs>
              <w:rPr>
                <w:rFonts w:ascii="Times New Roman" w:hAnsi="Times New Roman" w:cs="Times New Roman"/>
                <w:b/>
                <w:bCs/>
                <w:lang w:val="en-GB"/>
              </w:rPr>
            </w:pPr>
          </w:p>
        </w:tc>
        <w:tc>
          <w:tcPr>
            <w:tcW w:w="1314" w:type="dxa"/>
            <w:gridSpan w:val="2"/>
            <w:tcBorders>
              <w:top w:val="single" w:sz="12" w:space="0" w:color="auto"/>
              <w:left w:val="nil"/>
              <w:bottom w:val="single" w:sz="12" w:space="0" w:color="auto"/>
              <w:right w:val="nil"/>
            </w:tcBorders>
            <w:shd w:val="clear" w:color="auto" w:fill="auto"/>
            <w:noWrap/>
            <w:vAlign w:val="bottom"/>
          </w:tcPr>
          <w:p w14:paraId="03055BF7" w14:textId="546F7182" w:rsidR="00A02C5A" w:rsidRPr="00EE533D" w:rsidRDefault="00A02C5A" w:rsidP="007467F2">
            <w:pPr>
              <w:pStyle w:val="NoSpacing"/>
              <w:tabs>
                <w:tab w:val="decimal" w:pos="551"/>
              </w:tabs>
              <w:rPr>
                <w:rFonts w:ascii="Times New Roman" w:hAnsi="Times New Roman" w:cs="Times New Roman"/>
                <w:lang w:val="en-GB"/>
              </w:rPr>
            </w:pPr>
            <w:r w:rsidRPr="00EE533D">
              <w:rPr>
                <w:rFonts w:ascii="Times New Roman" w:hAnsi="Times New Roman" w:cs="Times New Roman"/>
                <w:b/>
                <w:bCs/>
                <w:lang w:val="en-GB"/>
              </w:rPr>
              <w:t>54.</w:t>
            </w:r>
            <w:r w:rsidR="00A50812" w:rsidRPr="00EE533D">
              <w:rPr>
                <w:rFonts w:ascii="Times New Roman" w:hAnsi="Times New Roman" w:cs="Times New Roman"/>
                <w:b/>
                <w:bCs/>
                <w:lang w:val="en-GB"/>
              </w:rPr>
              <w:t>446</w:t>
            </w:r>
          </w:p>
        </w:tc>
        <w:tc>
          <w:tcPr>
            <w:tcW w:w="1202" w:type="dxa"/>
            <w:tcBorders>
              <w:top w:val="single" w:sz="12" w:space="0" w:color="auto"/>
              <w:left w:val="nil"/>
              <w:bottom w:val="single" w:sz="12" w:space="0" w:color="auto"/>
              <w:right w:val="nil"/>
            </w:tcBorders>
            <w:shd w:val="clear" w:color="auto" w:fill="auto"/>
            <w:noWrap/>
            <w:vAlign w:val="bottom"/>
          </w:tcPr>
          <w:p w14:paraId="7FA5BA84" w14:textId="788DB153" w:rsidR="00A02C5A" w:rsidRPr="00EE533D" w:rsidRDefault="00A50812" w:rsidP="007467F2">
            <w:pPr>
              <w:pStyle w:val="NoSpacing"/>
              <w:tabs>
                <w:tab w:val="decimal" w:pos="570"/>
              </w:tabs>
              <w:rPr>
                <w:rFonts w:ascii="Times New Roman" w:hAnsi="Times New Roman" w:cs="Times New Roman"/>
                <w:b/>
                <w:bCs/>
                <w:lang w:val="en-GB"/>
              </w:rPr>
            </w:pPr>
            <w:r w:rsidRPr="00EE533D">
              <w:rPr>
                <w:rFonts w:ascii="Times New Roman" w:hAnsi="Times New Roman" w:cs="Times New Roman"/>
                <w:b/>
                <w:bCs/>
                <w:lang w:val="en-GB"/>
              </w:rPr>
              <w:t>31</w:t>
            </w:r>
            <w:r w:rsidR="00A02C5A" w:rsidRPr="00EE533D">
              <w:rPr>
                <w:rFonts w:ascii="Times New Roman" w:hAnsi="Times New Roman" w:cs="Times New Roman"/>
                <w:b/>
                <w:bCs/>
                <w:lang w:val="en-GB"/>
              </w:rPr>
              <w:t>.</w:t>
            </w:r>
            <w:r w:rsidR="00220E26" w:rsidRPr="00EE533D">
              <w:rPr>
                <w:rFonts w:ascii="Times New Roman" w:hAnsi="Times New Roman" w:cs="Times New Roman"/>
                <w:b/>
                <w:bCs/>
                <w:lang w:val="en-GB"/>
              </w:rPr>
              <w:t>626</w:t>
            </w:r>
          </w:p>
        </w:tc>
        <w:tc>
          <w:tcPr>
            <w:tcW w:w="1417" w:type="dxa"/>
            <w:tcBorders>
              <w:top w:val="single" w:sz="12" w:space="0" w:color="auto"/>
              <w:left w:val="nil"/>
              <w:bottom w:val="single" w:sz="12" w:space="0" w:color="auto"/>
              <w:right w:val="nil"/>
            </w:tcBorders>
            <w:shd w:val="clear" w:color="auto" w:fill="auto"/>
            <w:noWrap/>
            <w:vAlign w:val="bottom"/>
          </w:tcPr>
          <w:p w14:paraId="13F1451B" w14:textId="36510C02" w:rsidR="00A02C5A" w:rsidRPr="00EE533D" w:rsidRDefault="00A02C5A" w:rsidP="007467F2">
            <w:pPr>
              <w:pStyle w:val="NoSpacing"/>
              <w:tabs>
                <w:tab w:val="decimal" w:pos="563"/>
              </w:tabs>
              <w:rPr>
                <w:rFonts w:ascii="Times New Roman" w:hAnsi="Times New Roman" w:cs="Times New Roman"/>
                <w:lang w:val="en-GB"/>
              </w:rPr>
            </w:pPr>
            <w:r w:rsidRPr="00EE533D">
              <w:rPr>
                <w:rFonts w:ascii="Times New Roman" w:hAnsi="Times New Roman" w:cs="Times New Roman"/>
                <w:b/>
                <w:bCs/>
                <w:lang w:val="en-GB"/>
              </w:rPr>
              <w:t>1.</w:t>
            </w:r>
            <w:r w:rsidR="00220E26" w:rsidRPr="00EE533D">
              <w:rPr>
                <w:rFonts w:ascii="Times New Roman" w:hAnsi="Times New Roman" w:cs="Times New Roman"/>
                <w:b/>
                <w:bCs/>
                <w:lang w:val="en-GB"/>
              </w:rPr>
              <w:t>433</w:t>
            </w:r>
          </w:p>
        </w:tc>
      </w:tr>
      <w:tr w:rsidR="00EE533D" w:rsidRPr="00EE533D" w14:paraId="696D333A" w14:textId="77777777" w:rsidTr="00F4319C">
        <w:trPr>
          <w:trHeight w:val="288"/>
        </w:trPr>
        <w:tc>
          <w:tcPr>
            <w:tcW w:w="8827" w:type="dxa"/>
            <w:gridSpan w:val="7"/>
            <w:tcBorders>
              <w:top w:val="single" w:sz="12" w:space="0" w:color="auto"/>
              <w:left w:val="nil"/>
              <w:right w:val="nil"/>
            </w:tcBorders>
            <w:shd w:val="clear" w:color="auto" w:fill="auto"/>
            <w:noWrap/>
            <w:vAlign w:val="bottom"/>
          </w:tcPr>
          <w:p w14:paraId="430D1F0E" w14:textId="1DC937A0" w:rsidR="00CC017C" w:rsidRPr="00EE533D" w:rsidRDefault="00CC017C" w:rsidP="00735214">
            <w:pPr>
              <w:pStyle w:val="NoSpacing"/>
              <w:tabs>
                <w:tab w:val="decimal" w:pos="0"/>
              </w:tabs>
              <w:jc w:val="both"/>
              <w:rPr>
                <w:rFonts w:ascii="Times New Roman" w:hAnsi="Times New Roman" w:cs="Times New Roman"/>
                <w:lang w:val="en-GB"/>
              </w:rPr>
            </w:pPr>
            <w:r w:rsidRPr="00EE533D">
              <w:rPr>
                <w:rFonts w:ascii="Times New Roman" w:hAnsi="Times New Roman" w:cs="Times New Roman"/>
                <w:b/>
                <w:bCs/>
                <w:lang w:val="en-GB"/>
              </w:rPr>
              <w:t xml:space="preserve">Notes: </w:t>
            </w:r>
            <w:r w:rsidRPr="00EE533D">
              <w:rPr>
                <w:rFonts w:ascii="Times New Roman" w:hAnsi="Times New Roman" w:cs="Times New Roman"/>
                <w:lang w:val="en-GB"/>
              </w:rPr>
              <w:t xml:space="preserve">The column of firm-year observations reports the </w:t>
            </w:r>
            <w:r w:rsidR="0059253C" w:rsidRPr="00EE533D">
              <w:rPr>
                <w:rFonts w:ascii="Times New Roman" w:hAnsi="Times New Roman" w:cs="Times New Roman"/>
                <w:lang w:val="en-GB"/>
              </w:rPr>
              <w:t xml:space="preserve">maximum number of observations per firm that was used for </w:t>
            </w:r>
            <w:r w:rsidR="00735214" w:rsidRPr="00EE533D">
              <w:rPr>
                <w:rFonts w:ascii="Times New Roman" w:hAnsi="Times New Roman" w:cs="Times New Roman"/>
                <w:lang w:val="en-GB"/>
              </w:rPr>
              <w:t xml:space="preserve">the basic econometric model aiming to explain </w:t>
            </w:r>
            <w:r w:rsidR="00735214" w:rsidRPr="00EE533D">
              <w:rPr>
                <w:rFonts w:ascii="Times New Roman" w:hAnsi="Times New Roman" w:cs="Times New Roman"/>
                <w:i/>
                <w:iCs/>
                <w:lang w:val="en-GB"/>
              </w:rPr>
              <w:t>Recycled Waste</w:t>
            </w:r>
            <w:r w:rsidR="00735214" w:rsidRPr="00EE533D">
              <w:rPr>
                <w:rFonts w:ascii="Times New Roman" w:hAnsi="Times New Roman" w:cs="Times New Roman"/>
                <w:lang w:val="en-GB"/>
              </w:rPr>
              <w:t>.</w:t>
            </w:r>
            <w:r w:rsidRPr="00EE533D">
              <w:rPr>
                <w:rFonts w:ascii="Times New Roman" w:hAnsi="Times New Roman" w:cs="Times New Roman"/>
                <w:b/>
                <w:bCs/>
                <w:lang w:val="en-GB"/>
              </w:rPr>
              <w:t xml:space="preserve"> </w:t>
            </w:r>
          </w:p>
        </w:tc>
      </w:tr>
    </w:tbl>
    <w:p w14:paraId="31E6FB2C" w14:textId="77777777" w:rsidR="007467F2" w:rsidRPr="00EE533D" w:rsidRDefault="007467F2" w:rsidP="007467F2">
      <w:pPr>
        <w:spacing w:line="240" w:lineRule="auto"/>
        <w:jc w:val="both"/>
        <w:rPr>
          <w:rFonts w:asciiTheme="majorBidi" w:hAnsiTheme="majorBidi" w:cstheme="majorBidi"/>
          <w:sz w:val="24"/>
          <w:szCs w:val="24"/>
          <w:lang w:val="en-GB"/>
        </w:rPr>
      </w:pPr>
    </w:p>
    <w:p w14:paraId="053E9BBB" w14:textId="77777777" w:rsidR="007467F2" w:rsidRPr="00EE533D" w:rsidRDefault="007467F2" w:rsidP="007467F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p w14:paraId="433E777E" w14:textId="77777777" w:rsidR="00D7136F" w:rsidRPr="00EE533D" w:rsidRDefault="00D7136F" w:rsidP="007467F2">
      <w:pPr>
        <w:spacing w:line="259" w:lineRule="auto"/>
        <w:rPr>
          <w:rFonts w:asciiTheme="majorBidi" w:hAnsiTheme="majorBidi" w:cstheme="majorBidi"/>
          <w:sz w:val="24"/>
          <w:szCs w:val="24"/>
          <w:lang w:val="en-GB"/>
        </w:rPr>
        <w:sectPr w:rsidR="00D7136F" w:rsidRPr="00EE533D" w:rsidSect="007467F2">
          <w:footerReference w:type="default" r:id="rId14"/>
          <w:pgSz w:w="11906" w:h="16838" w:code="9"/>
          <w:pgMar w:top="1411" w:right="1411" w:bottom="1411" w:left="1411" w:header="706" w:footer="706" w:gutter="0"/>
          <w:cols w:space="708"/>
          <w:docGrid w:linePitch="360"/>
        </w:sectPr>
      </w:pPr>
    </w:p>
    <w:tbl>
      <w:tblPr>
        <w:tblpPr w:leftFromText="141" w:rightFromText="141" w:vertAnchor="page" w:horzAnchor="margin" w:tblpY="931"/>
        <w:tblW w:w="4855" w:type="pct"/>
        <w:tblLayout w:type="fixed"/>
        <w:tblCellMar>
          <w:left w:w="70" w:type="dxa"/>
          <w:right w:w="70" w:type="dxa"/>
        </w:tblCellMar>
        <w:tblLook w:val="04A0" w:firstRow="1" w:lastRow="0" w:firstColumn="1" w:lastColumn="0" w:noHBand="0" w:noVBand="1"/>
      </w:tblPr>
      <w:tblGrid>
        <w:gridCol w:w="3448"/>
        <w:gridCol w:w="1312"/>
        <w:gridCol w:w="1157"/>
        <w:gridCol w:w="1080"/>
        <w:gridCol w:w="1075"/>
        <w:gridCol w:w="1075"/>
        <w:gridCol w:w="1075"/>
        <w:gridCol w:w="1075"/>
        <w:gridCol w:w="1075"/>
        <w:gridCol w:w="1236"/>
      </w:tblGrid>
      <w:tr w:rsidR="00EE533D" w:rsidRPr="00EE533D" w14:paraId="3AC728C8" w14:textId="77777777" w:rsidTr="00121171">
        <w:trPr>
          <w:trHeight w:val="9"/>
        </w:trPr>
        <w:tc>
          <w:tcPr>
            <w:tcW w:w="2571" w:type="pct"/>
            <w:gridSpan w:val="4"/>
            <w:shd w:val="clear" w:color="auto" w:fill="auto"/>
            <w:noWrap/>
          </w:tcPr>
          <w:p w14:paraId="7444075A" w14:textId="77777777" w:rsidR="00E609DB" w:rsidRPr="00EE533D" w:rsidRDefault="00E609DB" w:rsidP="00121171">
            <w:pPr>
              <w:spacing w:after="0"/>
              <w:rPr>
                <w:rFonts w:ascii="Times New Roman" w:hAnsi="Times New Roman" w:cs="Times New Roman"/>
                <w:b/>
                <w:sz w:val="16"/>
                <w:szCs w:val="16"/>
                <w:lang w:val="en-GB"/>
              </w:rPr>
            </w:pPr>
            <w:r w:rsidRPr="00EE533D">
              <w:rPr>
                <w:rFonts w:ascii="Times New Roman" w:eastAsia="Times New Roman" w:hAnsi="Times New Roman" w:cs="Times New Roman"/>
                <w:b/>
                <w:bCs/>
                <w:sz w:val="16"/>
                <w:szCs w:val="16"/>
                <w:lang w:val="en-GB" w:eastAsia="fr-FR"/>
              </w:rPr>
              <w:t>Table 3. Summary statistics</w:t>
            </w:r>
          </w:p>
        </w:tc>
        <w:tc>
          <w:tcPr>
            <w:tcW w:w="395" w:type="pct"/>
          </w:tcPr>
          <w:p w14:paraId="70DAF8C2"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c>
          <w:tcPr>
            <w:tcW w:w="395" w:type="pct"/>
          </w:tcPr>
          <w:p w14:paraId="1B862E6E"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c>
          <w:tcPr>
            <w:tcW w:w="395" w:type="pct"/>
          </w:tcPr>
          <w:p w14:paraId="05AFE07F"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c>
          <w:tcPr>
            <w:tcW w:w="395" w:type="pct"/>
          </w:tcPr>
          <w:p w14:paraId="474413E5"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c>
          <w:tcPr>
            <w:tcW w:w="395" w:type="pct"/>
          </w:tcPr>
          <w:p w14:paraId="19BC1508"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c>
          <w:tcPr>
            <w:tcW w:w="452" w:type="pct"/>
          </w:tcPr>
          <w:p w14:paraId="5F7F8967" w14:textId="77777777" w:rsidR="00E609DB" w:rsidRPr="00EE533D" w:rsidRDefault="00E609DB" w:rsidP="00121171">
            <w:pPr>
              <w:spacing w:after="0"/>
              <w:rPr>
                <w:rFonts w:ascii="Times New Roman" w:eastAsia="Times New Roman" w:hAnsi="Times New Roman" w:cs="Times New Roman"/>
                <w:b/>
                <w:bCs/>
                <w:sz w:val="16"/>
                <w:szCs w:val="16"/>
                <w:lang w:val="en-GB" w:eastAsia="fr-FR"/>
              </w:rPr>
            </w:pPr>
          </w:p>
        </w:tc>
      </w:tr>
      <w:tr w:rsidR="00EE533D" w:rsidRPr="00EE533D" w14:paraId="7D92FBA3" w14:textId="77777777" w:rsidTr="00121171">
        <w:trPr>
          <w:trHeight w:val="9"/>
        </w:trPr>
        <w:tc>
          <w:tcPr>
            <w:tcW w:w="1267" w:type="pct"/>
            <w:tcBorders>
              <w:right w:val="nil"/>
            </w:tcBorders>
            <w:shd w:val="clear" w:color="auto" w:fill="auto"/>
            <w:noWrap/>
          </w:tcPr>
          <w:p w14:paraId="3AC2A75F" w14:textId="77777777" w:rsidR="000665BC" w:rsidRPr="00EE533D" w:rsidRDefault="000665BC" w:rsidP="00121171">
            <w:pPr>
              <w:spacing w:after="0"/>
              <w:rPr>
                <w:rFonts w:ascii="Times New Roman" w:hAnsi="Times New Roman" w:cs="Times New Roman"/>
                <w:b/>
                <w:sz w:val="16"/>
                <w:szCs w:val="16"/>
                <w:lang w:val="en-GB"/>
              </w:rPr>
            </w:pPr>
          </w:p>
        </w:tc>
        <w:tc>
          <w:tcPr>
            <w:tcW w:w="482" w:type="pct"/>
            <w:tcBorders>
              <w:left w:val="nil"/>
              <w:right w:val="nil"/>
            </w:tcBorders>
            <w:vAlign w:val="bottom"/>
          </w:tcPr>
          <w:p w14:paraId="589BC578" w14:textId="77777777" w:rsidR="000665BC" w:rsidRPr="00EE533D" w:rsidRDefault="000665BC" w:rsidP="00121171">
            <w:pPr>
              <w:spacing w:after="0"/>
              <w:jc w:val="center"/>
              <w:rPr>
                <w:rFonts w:ascii="Times New Roman" w:hAnsi="Times New Roman" w:cs="Times New Roman"/>
                <w:b/>
                <w:sz w:val="16"/>
                <w:szCs w:val="16"/>
                <w:lang w:val="en-GB"/>
              </w:rPr>
            </w:pPr>
          </w:p>
        </w:tc>
        <w:tc>
          <w:tcPr>
            <w:tcW w:w="425" w:type="pct"/>
            <w:tcBorders>
              <w:left w:val="nil"/>
              <w:right w:val="nil"/>
            </w:tcBorders>
            <w:shd w:val="clear" w:color="auto" w:fill="auto"/>
            <w:noWrap/>
            <w:vAlign w:val="bottom"/>
          </w:tcPr>
          <w:p w14:paraId="6AF38440" w14:textId="77777777" w:rsidR="000665BC" w:rsidRPr="00EE533D" w:rsidRDefault="000665BC" w:rsidP="00121171">
            <w:pPr>
              <w:spacing w:after="0"/>
              <w:jc w:val="center"/>
              <w:rPr>
                <w:rFonts w:ascii="Times New Roman" w:hAnsi="Times New Roman" w:cs="Times New Roman"/>
                <w:b/>
                <w:sz w:val="16"/>
                <w:szCs w:val="16"/>
                <w:lang w:val="en-GB"/>
              </w:rPr>
            </w:pPr>
          </w:p>
        </w:tc>
        <w:tc>
          <w:tcPr>
            <w:tcW w:w="396" w:type="pct"/>
            <w:tcBorders>
              <w:left w:val="nil"/>
            </w:tcBorders>
            <w:vAlign w:val="bottom"/>
          </w:tcPr>
          <w:p w14:paraId="1B258E87" w14:textId="77777777" w:rsidR="000665BC" w:rsidRPr="00EE533D" w:rsidRDefault="000665BC" w:rsidP="00121171">
            <w:pPr>
              <w:spacing w:after="0"/>
              <w:jc w:val="center"/>
              <w:rPr>
                <w:rFonts w:ascii="Times New Roman" w:hAnsi="Times New Roman" w:cs="Times New Roman"/>
                <w:b/>
                <w:sz w:val="16"/>
                <w:szCs w:val="16"/>
                <w:lang w:val="en-GB"/>
              </w:rPr>
            </w:pPr>
          </w:p>
        </w:tc>
        <w:tc>
          <w:tcPr>
            <w:tcW w:w="2429" w:type="pct"/>
            <w:gridSpan w:val="6"/>
            <w:tcBorders>
              <w:left w:val="nil"/>
              <w:bottom w:val="single" w:sz="12" w:space="0" w:color="auto"/>
            </w:tcBorders>
            <w:vAlign w:val="bottom"/>
          </w:tcPr>
          <w:p w14:paraId="6D62ACFB" w14:textId="7C0376A9" w:rsidR="000665BC" w:rsidRPr="00EE533D" w:rsidRDefault="004A5878" w:rsidP="00121171">
            <w:pPr>
              <w:spacing w:after="0"/>
              <w:jc w:val="center"/>
              <w:rPr>
                <w:rFonts w:ascii="Times New Roman" w:eastAsia="Times New Roman" w:hAnsi="Times New Roman" w:cs="Times New Roman"/>
                <w:b/>
                <w:bCs/>
                <w:sz w:val="16"/>
                <w:szCs w:val="16"/>
                <w:lang w:val="en-GB"/>
              </w:rPr>
            </w:pPr>
            <w:r w:rsidRPr="00EE533D">
              <w:rPr>
                <w:rFonts w:ascii="Times New Roman" w:eastAsia="Times New Roman" w:hAnsi="Times New Roman" w:cs="Times New Roman"/>
                <w:b/>
                <w:bCs/>
                <w:i/>
                <w:iCs/>
                <w:sz w:val="16"/>
                <w:szCs w:val="16"/>
                <w:lang w:val="en-GB"/>
              </w:rPr>
              <w:t>t</w:t>
            </w:r>
            <w:r w:rsidRPr="00EE533D">
              <w:rPr>
                <w:rFonts w:ascii="Times New Roman" w:eastAsia="Times New Roman" w:hAnsi="Times New Roman" w:cs="Times New Roman"/>
                <w:b/>
                <w:bCs/>
                <w:sz w:val="16"/>
                <w:szCs w:val="16"/>
                <w:lang w:val="en-GB"/>
              </w:rPr>
              <w:t>-test</w:t>
            </w:r>
            <w:r w:rsidR="00BF2423" w:rsidRPr="00EE533D">
              <w:rPr>
                <w:rFonts w:ascii="Times New Roman" w:eastAsia="Times New Roman" w:hAnsi="Times New Roman" w:cs="Times New Roman"/>
                <w:b/>
                <w:bCs/>
                <w:sz w:val="16"/>
                <w:szCs w:val="16"/>
                <w:lang w:val="en-GB"/>
              </w:rPr>
              <w:t xml:space="preserve"> (difference in me</w:t>
            </w:r>
            <w:r w:rsidR="00876572" w:rsidRPr="00EE533D">
              <w:rPr>
                <w:rFonts w:ascii="Times New Roman" w:eastAsia="Times New Roman" w:hAnsi="Times New Roman" w:cs="Times New Roman"/>
                <w:b/>
                <w:bCs/>
                <w:sz w:val="16"/>
                <w:szCs w:val="16"/>
                <w:lang w:val="en-GB"/>
              </w:rPr>
              <w:t>ans)</w:t>
            </w:r>
          </w:p>
        </w:tc>
      </w:tr>
      <w:tr w:rsidR="00EE533D" w:rsidRPr="00EE533D" w14:paraId="1B25B5E1" w14:textId="77777777" w:rsidTr="00121171">
        <w:trPr>
          <w:trHeight w:val="9"/>
        </w:trPr>
        <w:tc>
          <w:tcPr>
            <w:tcW w:w="1267" w:type="pct"/>
            <w:tcBorders>
              <w:bottom w:val="single" w:sz="12" w:space="0" w:color="auto"/>
              <w:right w:val="nil"/>
            </w:tcBorders>
            <w:shd w:val="clear" w:color="auto" w:fill="auto"/>
            <w:noWrap/>
          </w:tcPr>
          <w:p w14:paraId="05745DDF" w14:textId="77777777" w:rsidR="00E609DB" w:rsidRPr="00EE533D" w:rsidRDefault="00E609DB" w:rsidP="00121171">
            <w:pPr>
              <w:spacing w:after="0"/>
              <w:rPr>
                <w:rFonts w:ascii="Times New Roman" w:hAnsi="Times New Roman" w:cs="Times New Roman"/>
                <w:b/>
                <w:sz w:val="16"/>
                <w:szCs w:val="16"/>
                <w:lang w:val="en-GB"/>
              </w:rPr>
            </w:pPr>
          </w:p>
          <w:p w14:paraId="5C41E5FD" w14:textId="77777777" w:rsidR="00E609DB" w:rsidRPr="00EE533D" w:rsidRDefault="00E609DB" w:rsidP="00121171">
            <w:pPr>
              <w:spacing w:after="0"/>
              <w:rPr>
                <w:rFonts w:ascii="Times New Roman" w:hAnsi="Times New Roman" w:cs="Times New Roman"/>
                <w:b/>
                <w:sz w:val="16"/>
                <w:szCs w:val="16"/>
                <w:lang w:val="en-GB"/>
              </w:rPr>
            </w:pPr>
            <w:r w:rsidRPr="00EE533D">
              <w:rPr>
                <w:rFonts w:ascii="Times New Roman" w:hAnsi="Times New Roman" w:cs="Times New Roman"/>
                <w:b/>
                <w:sz w:val="16"/>
                <w:szCs w:val="16"/>
                <w:lang w:val="en-GB"/>
              </w:rPr>
              <w:t>Variable</w:t>
            </w:r>
          </w:p>
        </w:tc>
        <w:tc>
          <w:tcPr>
            <w:tcW w:w="482" w:type="pct"/>
            <w:tcBorders>
              <w:left w:val="nil"/>
              <w:bottom w:val="single" w:sz="12" w:space="0" w:color="auto"/>
              <w:right w:val="nil"/>
            </w:tcBorders>
            <w:vAlign w:val="bottom"/>
          </w:tcPr>
          <w:p w14:paraId="6720FAAB" w14:textId="77777777" w:rsidR="00E609DB" w:rsidRPr="00EE533D" w:rsidRDefault="00E609DB" w:rsidP="00121171">
            <w:pPr>
              <w:spacing w:after="0"/>
              <w:jc w:val="center"/>
              <w:rPr>
                <w:rFonts w:ascii="Times New Roman" w:hAnsi="Times New Roman" w:cs="Times New Roman"/>
                <w:b/>
                <w:sz w:val="16"/>
                <w:szCs w:val="16"/>
                <w:lang w:val="en-GB"/>
              </w:rPr>
            </w:pPr>
          </w:p>
          <w:p w14:paraId="773D5134" w14:textId="3D2D988B" w:rsidR="00E609DB" w:rsidRPr="00EE533D" w:rsidRDefault="00E609DB" w:rsidP="00121171">
            <w:pPr>
              <w:spacing w:after="0"/>
              <w:jc w:val="center"/>
              <w:rPr>
                <w:rFonts w:ascii="Times New Roman" w:hAnsi="Times New Roman" w:cs="Times New Roman"/>
                <w:b/>
                <w:sz w:val="16"/>
                <w:szCs w:val="16"/>
                <w:lang w:val="en-GB"/>
              </w:rPr>
            </w:pPr>
            <w:r w:rsidRPr="00EE533D">
              <w:rPr>
                <w:rFonts w:ascii="Times New Roman" w:hAnsi="Times New Roman" w:cs="Times New Roman"/>
                <w:b/>
                <w:sz w:val="16"/>
                <w:szCs w:val="16"/>
                <w:lang w:val="en-GB"/>
              </w:rPr>
              <w:t>Mean</w:t>
            </w:r>
          </w:p>
        </w:tc>
        <w:tc>
          <w:tcPr>
            <w:tcW w:w="425" w:type="pct"/>
            <w:tcBorders>
              <w:left w:val="nil"/>
              <w:bottom w:val="single" w:sz="12" w:space="0" w:color="auto"/>
              <w:right w:val="nil"/>
            </w:tcBorders>
            <w:shd w:val="clear" w:color="auto" w:fill="auto"/>
            <w:noWrap/>
            <w:vAlign w:val="bottom"/>
          </w:tcPr>
          <w:p w14:paraId="066124FD" w14:textId="77777777" w:rsidR="00E609DB" w:rsidRPr="00EE533D" w:rsidRDefault="00E609DB" w:rsidP="00121171">
            <w:pPr>
              <w:spacing w:after="0"/>
              <w:jc w:val="center"/>
              <w:rPr>
                <w:rFonts w:ascii="Times New Roman" w:hAnsi="Times New Roman" w:cs="Times New Roman"/>
                <w:b/>
                <w:sz w:val="16"/>
                <w:szCs w:val="16"/>
                <w:lang w:val="en-GB"/>
              </w:rPr>
            </w:pPr>
            <w:r w:rsidRPr="00EE533D">
              <w:rPr>
                <w:rFonts w:ascii="Times New Roman" w:hAnsi="Times New Roman" w:cs="Times New Roman"/>
                <w:b/>
                <w:sz w:val="16"/>
                <w:szCs w:val="16"/>
                <w:lang w:val="en-GB"/>
              </w:rPr>
              <w:t>Standard Deviation</w:t>
            </w:r>
          </w:p>
        </w:tc>
        <w:tc>
          <w:tcPr>
            <w:tcW w:w="396" w:type="pct"/>
            <w:tcBorders>
              <w:left w:val="nil"/>
              <w:bottom w:val="single" w:sz="12" w:space="0" w:color="auto"/>
            </w:tcBorders>
            <w:vAlign w:val="bottom"/>
          </w:tcPr>
          <w:p w14:paraId="57D4C35E" w14:textId="77777777" w:rsidR="00E609DB" w:rsidRPr="00EE533D" w:rsidRDefault="00E609DB" w:rsidP="00121171">
            <w:pPr>
              <w:spacing w:after="0"/>
              <w:jc w:val="center"/>
              <w:rPr>
                <w:rFonts w:ascii="Times New Roman" w:hAnsi="Times New Roman" w:cs="Times New Roman"/>
                <w:b/>
                <w:sz w:val="16"/>
                <w:szCs w:val="16"/>
                <w:lang w:val="en-GB"/>
              </w:rPr>
            </w:pPr>
          </w:p>
          <w:p w14:paraId="1857D59A" w14:textId="77777777" w:rsidR="00E609DB" w:rsidRPr="00EE533D" w:rsidRDefault="00E609DB" w:rsidP="00121171">
            <w:pPr>
              <w:spacing w:after="0"/>
              <w:jc w:val="center"/>
              <w:rPr>
                <w:rFonts w:ascii="Times New Roman" w:hAnsi="Times New Roman" w:cs="Times New Roman"/>
                <w:b/>
                <w:sz w:val="16"/>
                <w:szCs w:val="16"/>
                <w:lang w:val="en-GB"/>
              </w:rPr>
            </w:pPr>
            <w:r w:rsidRPr="00EE533D">
              <w:rPr>
                <w:rFonts w:ascii="Times New Roman" w:hAnsi="Times New Roman" w:cs="Times New Roman"/>
                <w:b/>
                <w:sz w:val="16"/>
                <w:szCs w:val="16"/>
                <w:lang w:val="en-GB"/>
              </w:rPr>
              <w:t>Median</w:t>
            </w:r>
          </w:p>
        </w:tc>
        <w:tc>
          <w:tcPr>
            <w:tcW w:w="395" w:type="pct"/>
            <w:tcBorders>
              <w:left w:val="nil"/>
              <w:bottom w:val="single" w:sz="12" w:space="0" w:color="auto"/>
            </w:tcBorders>
            <w:vAlign w:val="bottom"/>
          </w:tcPr>
          <w:p w14:paraId="280E3B33" w14:textId="3044B4AB" w:rsidR="00E609DB" w:rsidRPr="00EE533D" w:rsidRDefault="00E609DB" w:rsidP="00121171">
            <w:pPr>
              <w:spacing w:after="0"/>
              <w:rPr>
                <w:rFonts w:ascii="Times New Roman" w:hAnsi="Times New Roman" w:cs="Times New Roman"/>
                <w:b/>
                <w:bCs/>
                <w:sz w:val="16"/>
                <w:szCs w:val="16"/>
                <w:lang w:val="en-GB"/>
              </w:rPr>
            </w:pPr>
            <w:r w:rsidRPr="00EE533D">
              <w:rPr>
                <w:rFonts w:ascii="Times New Roman" w:hAnsi="Times New Roman" w:cs="Times New Roman"/>
                <w:b/>
                <w:bCs/>
                <w:sz w:val="16"/>
                <w:szCs w:val="16"/>
                <w:lang w:val="en-GB"/>
              </w:rPr>
              <w:t>Control of  Corruption</w:t>
            </w:r>
          </w:p>
        </w:tc>
        <w:tc>
          <w:tcPr>
            <w:tcW w:w="395" w:type="pct"/>
            <w:tcBorders>
              <w:left w:val="nil"/>
              <w:bottom w:val="single" w:sz="12" w:space="0" w:color="auto"/>
            </w:tcBorders>
            <w:vAlign w:val="bottom"/>
          </w:tcPr>
          <w:p w14:paraId="4501DE15" w14:textId="77777777" w:rsidR="00E609DB" w:rsidRPr="00EE533D" w:rsidRDefault="00E609DB" w:rsidP="00121171">
            <w:pPr>
              <w:spacing w:after="0"/>
              <w:jc w:val="center"/>
              <w:rPr>
                <w:rFonts w:ascii="Times New Roman" w:hAnsi="Times New Roman" w:cs="Times New Roman"/>
                <w:b/>
                <w:bCs/>
                <w:sz w:val="16"/>
                <w:szCs w:val="16"/>
                <w:lang w:val="en-GB"/>
              </w:rPr>
            </w:pPr>
            <w:r w:rsidRPr="00EE533D">
              <w:rPr>
                <w:rFonts w:ascii="Times New Roman" w:hAnsi="Times New Roman" w:cs="Times New Roman"/>
                <w:b/>
                <w:bCs/>
                <w:sz w:val="16"/>
                <w:szCs w:val="16"/>
                <w:lang w:val="en-GB"/>
              </w:rPr>
              <w:t>Government Effectiveness</w:t>
            </w:r>
          </w:p>
        </w:tc>
        <w:tc>
          <w:tcPr>
            <w:tcW w:w="395" w:type="pct"/>
            <w:tcBorders>
              <w:left w:val="nil"/>
              <w:bottom w:val="single" w:sz="12" w:space="0" w:color="auto"/>
            </w:tcBorders>
            <w:vAlign w:val="bottom"/>
          </w:tcPr>
          <w:p w14:paraId="73B19B33" w14:textId="77777777" w:rsidR="00E609DB" w:rsidRPr="00EE533D" w:rsidRDefault="00E609DB" w:rsidP="00121171">
            <w:pPr>
              <w:spacing w:after="0"/>
              <w:jc w:val="center"/>
              <w:rPr>
                <w:rFonts w:ascii="Times New Roman" w:hAnsi="Times New Roman" w:cs="Times New Roman"/>
                <w:b/>
                <w:bCs/>
                <w:sz w:val="16"/>
                <w:szCs w:val="16"/>
                <w:lang w:val="en-GB"/>
              </w:rPr>
            </w:pPr>
            <w:r w:rsidRPr="00EE533D">
              <w:rPr>
                <w:rFonts w:ascii="Times New Roman" w:eastAsia="Times New Roman" w:hAnsi="Times New Roman" w:cs="Times New Roman"/>
                <w:b/>
                <w:bCs/>
                <w:sz w:val="16"/>
                <w:szCs w:val="16"/>
                <w:lang w:val="en-GB"/>
              </w:rPr>
              <w:t>Political Stability</w:t>
            </w:r>
          </w:p>
        </w:tc>
        <w:tc>
          <w:tcPr>
            <w:tcW w:w="395" w:type="pct"/>
            <w:tcBorders>
              <w:left w:val="nil"/>
              <w:bottom w:val="single" w:sz="12" w:space="0" w:color="auto"/>
            </w:tcBorders>
            <w:vAlign w:val="bottom"/>
          </w:tcPr>
          <w:p w14:paraId="7F9BEFFB" w14:textId="77777777" w:rsidR="00E609DB" w:rsidRPr="00EE533D" w:rsidRDefault="00E609DB" w:rsidP="00121171">
            <w:pPr>
              <w:spacing w:after="0"/>
              <w:jc w:val="center"/>
              <w:rPr>
                <w:rFonts w:ascii="Times New Roman" w:hAnsi="Times New Roman" w:cs="Times New Roman"/>
                <w:b/>
                <w:bCs/>
                <w:sz w:val="16"/>
                <w:szCs w:val="16"/>
                <w:lang w:val="en-GB"/>
              </w:rPr>
            </w:pPr>
            <w:r w:rsidRPr="00EE533D">
              <w:rPr>
                <w:rFonts w:ascii="Times New Roman" w:hAnsi="Times New Roman" w:cs="Times New Roman"/>
                <w:b/>
                <w:bCs/>
                <w:sz w:val="16"/>
                <w:szCs w:val="16"/>
                <w:lang w:val="en-GB"/>
              </w:rPr>
              <w:t>Regulatory Quality</w:t>
            </w:r>
          </w:p>
        </w:tc>
        <w:tc>
          <w:tcPr>
            <w:tcW w:w="395" w:type="pct"/>
            <w:tcBorders>
              <w:left w:val="nil"/>
              <w:bottom w:val="single" w:sz="12" w:space="0" w:color="auto"/>
            </w:tcBorders>
            <w:vAlign w:val="bottom"/>
          </w:tcPr>
          <w:p w14:paraId="1C526526" w14:textId="77777777" w:rsidR="00E609DB" w:rsidRPr="00EE533D" w:rsidRDefault="00E609DB" w:rsidP="00121171">
            <w:pPr>
              <w:spacing w:after="0"/>
              <w:jc w:val="center"/>
              <w:rPr>
                <w:rFonts w:ascii="Times New Roman" w:hAnsi="Times New Roman" w:cs="Times New Roman"/>
                <w:b/>
                <w:bCs/>
                <w:sz w:val="16"/>
                <w:szCs w:val="16"/>
                <w:lang w:val="en-GB"/>
              </w:rPr>
            </w:pPr>
            <w:r w:rsidRPr="00EE533D">
              <w:rPr>
                <w:rFonts w:ascii="Times New Roman" w:hAnsi="Times New Roman" w:cs="Times New Roman"/>
                <w:b/>
                <w:bCs/>
                <w:sz w:val="16"/>
                <w:szCs w:val="16"/>
                <w:lang w:val="en-GB"/>
              </w:rPr>
              <w:t>Rule of Law</w:t>
            </w:r>
          </w:p>
        </w:tc>
        <w:tc>
          <w:tcPr>
            <w:tcW w:w="452" w:type="pct"/>
            <w:tcBorders>
              <w:left w:val="nil"/>
              <w:bottom w:val="single" w:sz="12" w:space="0" w:color="auto"/>
            </w:tcBorders>
            <w:vAlign w:val="bottom"/>
          </w:tcPr>
          <w:p w14:paraId="1FFF2B1D" w14:textId="77777777" w:rsidR="00E609DB" w:rsidRPr="00EE533D" w:rsidRDefault="00E609DB" w:rsidP="00121171">
            <w:pPr>
              <w:spacing w:after="0"/>
              <w:jc w:val="center"/>
              <w:rPr>
                <w:rFonts w:ascii="Times New Roman" w:hAnsi="Times New Roman" w:cs="Times New Roman"/>
                <w:b/>
                <w:bCs/>
                <w:sz w:val="16"/>
                <w:szCs w:val="16"/>
                <w:lang w:val="en-GB"/>
              </w:rPr>
            </w:pPr>
            <w:r w:rsidRPr="00EE533D">
              <w:rPr>
                <w:rFonts w:ascii="Times New Roman" w:eastAsia="Times New Roman" w:hAnsi="Times New Roman" w:cs="Times New Roman"/>
                <w:b/>
                <w:bCs/>
                <w:sz w:val="16"/>
                <w:szCs w:val="16"/>
                <w:lang w:val="en-GB"/>
              </w:rPr>
              <w:t>Voice</w:t>
            </w:r>
          </w:p>
        </w:tc>
      </w:tr>
      <w:tr w:rsidR="00EE533D" w:rsidRPr="00EE533D" w14:paraId="1082E2CB" w14:textId="77777777" w:rsidTr="00121171">
        <w:trPr>
          <w:trHeight w:val="203"/>
        </w:trPr>
        <w:tc>
          <w:tcPr>
            <w:tcW w:w="1267" w:type="pct"/>
            <w:tcBorders>
              <w:bottom w:val="single" w:sz="12" w:space="0" w:color="auto"/>
              <w:right w:val="nil"/>
            </w:tcBorders>
            <w:shd w:val="clear" w:color="auto" w:fill="auto"/>
            <w:noWrap/>
          </w:tcPr>
          <w:p w14:paraId="10BF3103" w14:textId="77777777" w:rsidR="00E609DB" w:rsidRPr="00EE533D" w:rsidRDefault="00E609DB" w:rsidP="00121171">
            <w:pPr>
              <w:pStyle w:val="NoSpacing"/>
              <w:rPr>
                <w:rFonts w:ascii="Times New Roman" w:eastAsia="Calibri" w:hAnsi="Times New Roman" w:cs="Times New Roman"/>
                <w:b/>
                <w:sz w:val="16"/>
                <w:szCs w:val="16"/>
                <w:lang w:val="en-GB"/>
              </w:rPr>
            </w:pPr>
            <w:r w:rsidRPr="00EE533D">
              <w:rPr>
                <w:rFonts w:ascii="Times New Roman" w:hAnsi="Times New Roman" w:cs="Times New Roman"/>
                <w:b/>
                <w:bCs/>
                <w:sz w:val="16"/>
                <w:szCs w:val="16"/>
                <w:lang w:val="en-GB"/>
              </w:rPr>
              <w:t>A. Recycling variables</w:t>
            </w:r>
          </w:p>
        </w:tc>
        <w:tc>
          <w:tcPr>
            <w:tcW w:w="482" w:type="pct"/>
            <w:tcBorders>
              <w:left w:val="nil"/>
              <w:bottom w:val="nil"/>
              <w:right w:val="nil"/>
            </w:tcBorders>
            <w:vAlign w:val="bottom"/>
          </w:tcPr>
          <w:p w14:paraId="11C80361" w14:textId="77777777" w:rsidR="00E609DB" w:rsidRPr="00EE533D" w:rsidRDefault="00E609DB" w:rsidP="00121171">
            <w:pPr>
              <w:spacing w:after="0"/>
              <w:rPr>
                <w:rFonts w:ascii="Times New Roman" w:hAnsi="Times New Roman" w:cs="Times New Roman"/>
                <w:sz w:val="16"/>
                <w:szCs w:val="16"/>
                <w:lang w:val="en-GB"/>
              </w:rPr>
            </w:pPr>
          </w:p>
        </w:tc>
        <w:tc>
          <w:tcPr>
            <w:tcW w:w="425" w:type="pct"/>
            <w:tcBorders>
              <w:left w:val="nil"/>
              <w:bottom w:val="nil"/>
              <w:right w:val="nil"/>
            </w:tcBorders>
            <w:shd w:val="clear" w:color="auto" w:fill="auto"/>
            <w:noWrap/>
            <w:vAlign w:val="bottom"/>
          </w:tcPr>
          <w:p w14:paraId="4136580F" w14:textId="77777777" w:rsidR="00E609DB" w:rsidRPr="00EE533D" w:rsidRDefault="00E609DB" w:rsidP="00121171">
            <w:pPr>
              <w:spacing w:after="0"/>
              <w:rPr>
                <w:rFonts w:ascii="Times New Roman" w:hAnsi="Times New Roman" w:cs="Times New Roman"/>
                <w:sz w:val="16"/>
                <w:szCs w:val="16"/>
                <w:lang w:val="en-GB"/>
              </w:rPr>
            </w:pPr>
          </w:p>
        </w:tc>
        <w:tc>
          <w:tcPr>
            <w:tcW w:w="396" w:type="pct"/>
            <w:tcBorders>
              <w:left w:val="nil"/>
              <w:bottom w:val="nil"/>
            </w:tcBorders>
            <w:vAlign w:val="bottom"/>
          </w:tcPr>
          <w:p w14:paraId="5CDD1DA6" w14:textId="77777777" w:rsidR="00E609DB" w:rsidRPr="00EE533D" w:rsidRDefault="00E609DB" w:rsidP="00121171">
            <w:pPr>
              <w:spacing w:after="0"/>
              <w:rPr>
                <w:rFonts w:ascii="Times New Roman" w:hAnsi="Times New Roman" w:cs="Times New Roman"/>
                <w:sz w:val="16"/>
                <w:szCs w:val="16"/>
                <w:lang w:val="en-GB"/>
              </w:rPr>
            </w:pPr>
          </w:p>
        </w:tc>
        <w:tc>
          <w:tcPr>
            <w:tcW w:w="395" w:type="pct"/>
            <w:tcBorders>
              <w:left w:val="nil"/>
              <w:bottom w:val="nil"/>
            </w:tcBorders>
          </w:tcPr>
          <w:p w14:paraId="29C76038" w14:textId="77777777" w:rsidR="00E609DB" w:rsidRPr="00EE533D" w:rsidRDefault="00E609DB" w:rsidP="00121171">
            <w:pPr>
              <w:spacing w:after="0"/>
              <w:rPr>
                <w:rFonts w:ascii="Times New Roman" w:hAnsi="Times New Roman" w:cs="Times New Roman"/>
                <w:sz w:val="16"/>
                <w:szCs w:val="16"/>
                <w:lang w:val="en-GB"/>
              </w:rPr>
            </w:pPr>
          </w:p>
        </w:tc>
        <w:tc>
          <w:tcPr>
            <w:tcW w:w="395" w:type="pct"/>
            <w:tcBorders>
              <w:left w:val="nil"/>
              <w:bottom w:val="nil"/>
            </w:tcBorders>
          </w:tcPr>
          <w:p w14:paraId="60C301EF" w14:textId="77777777" w:rsidR="00E609DB" w:rsidRPr="00EE533D" w:rsidRDefault="00E609DB" w:rsidP="00121171">
            <w:pPr>
              <w:spacing w:after="0"/>
              <w:rPr>
                <w:rFonts w:ascii="Times New Roman" w:hAnsi="Times New Roman" w:cs="Times New Roman"/>
                <w:sz w:val="16"/>
                <w:szCs w:val="16"/>
                <w:lang w:val="en-GB"/>
              </w:rPr>
            </w:pPr>
          </w:p>
        </w:tc>
        <w:tc>
          <w:tcPr>
            <w:tcW w:w="395" w:type="pct"/>
            <w:tcBorders>
              <w:left w:val="nil"/>
              <w:bottom w:val="nil"/>
            </w:tcBorders>
          </w:tcPr>
          <w:p w14:paraId="342E1381" w14:textId="77777777" w:rsidR="00E609DB" w:rsidRPr="00EE533D" w:rsidRDefault="00E609DB" w:rsidP="00121171">
            <w:pPr>
              <w:spacing w:after="0"/>
              <w:rPr>
                <w:rFonts w:ascii="Times New Roman" w:hAnsi="Times New Roman" w:cs="Times New Roman"/>
                <w:sz w:val="16"/>
                <w:szCs w:val="16"/>
                <w:lang w:val="en-GB"/>
              </w:rPr>
            </w:pPr>
          </w:p>
        </w:tc>
        <w:tc>
          <w:tcPr>
            <w:tcW w:w="395" w:type="pct"/>
            <w:tcBorders>
              <w:left w:val="nil"/>
              <w:bottom w:val="nil"/>
            </w:tcBorders>
          </w:tcPr>
          <w:p w14:paraId="66AF01FE" w14:textId="77777777" w:rsidR="00E609DB" w:rsidRPr="00EE533D" w:rsidRDefault="00E609DB" w:rsidP="00121171">
            <w:pPr>
              <w:spacing w:after="0"/>
              <w:rPr>
                <w:rFonts w:ascii="Times New Roman" w:hAnsi="Times New Roman" w:cs="Times New Roman"/>
                <w:sz w:val="16"/>
                <w:szCs w:val="16"/>
                <w:lang w:val="en-GB"/>
              </w:rPr>
            </w:pPr>
          </w:p>
        </w:tc>
        <w:tc>
          <w:tcPr>
            <w:tcW w:w="395" w:type="pct"/>
            <w:tcBorders>
              <w:left w:val="nil"/>
              <w:bottom w:val="nil"/>
            </w:tcBorders>
          </w:tcPr>
          <w:p w14:paraId="62EC6E13" w14:textId="77777777" w:rsidR="00E609DB" w:rsidRPr="00EE533D" w:rsidRDefault="00E609DB" w:rsidP="00121171">
            <w:pPr>
              <w:spacing w:after="0"/>
              <w:rPr>
                <w:rFonts w:ascii="Times New Roman" w:hAnsi="Times New Roman" w:cs="Times New Roman"/>
                <w:sz w:val="16"/>
                <w:szCs w:val="16"/>
                <w:lang w:val="en-GB"/>
              </w:rPr>
            </w:pPr>
          </w:p>
        </w:tc>
        <w:tc>
          <w:tcPr>
            <w:tcW w:w="452" w:type="pct"/>
            <w:tcBorders>
              <w:left w:val="nil"/>
              <w:bottom w:val="nil"/>
            </w:tcBorders>
          </w:tcPr>
          <w:p w14:paraId="2347B1F6" w14:textId="77777777" w:rsidR="00E609DB" w:rsidRPr="00EE533D" w:rsidRDefault="00E609DB" w:rsidP="00121171">
            <w:pPr>
              <w:spacing w:after="0"/>
              <w:rPr>
                <w:rFonts w:ascii="Times New Roman" w:hAnsi="Times New Roman" w:cs="Times New Roman"/>
                <w:sz w:val="16"/>
                <w:szCs w:val="16"/>
                <w:lang w:val="en-GB"/>
              </w:rPr>
            </w:pPr>
          </w:p>
        </w:tc>
      </w:tr>
      <w:tr w:rsidR="00EE533D" w:rsidRPr="00EE533D" w14:paraId="1A944C67" w14:textId="77777777" w:rsidTr="00121171">
        <w:trPr>
          <w:trHeight w:val="203"/>
        </w:trPr>
        <w:tc>
          <w:tcPr>
            <w:tcW w:w="1267" w:type="pct"/>
            <w:tcBorders>
              <w:top w:val="single" w:sz="12" w:space="0" w:color="auto"/>
              <w:right w:val="nil"/>
            </w:tcBorders>
            <w:shd w:val="clear" w:color="auto" w:fill="auto"/>
            <w:noWrap/>
          </w:tcPr>
          <w:p w14:paraId="0843309C" w14:textId="77777777" w:rsidR="009A4618" w:rsidRPr="00EE533D" w:rsidRDefault="009A4618" w:rsidP="00121171">
            <w:pPr>
              <w:pStyle w:val="NoSpacing"/>
              <w:rPr>
                <w:rFonts w:ascii="Times New Roman" w:hAnsi="Times New Roman" w:cs="Times New Roman"/>
                <w:b/>
                <w:bCs/>
                <w:sz w:val="16"/>
                <w:szCs w:val="16"/>
                <w:lang w:val="en-GB"/>
              </w:rPr>
            </w:pPr>
            <w:r w:rsidRPr="00EE533D">
              <w:rPr>
                <w:rFonts w:ascii="Times New Roman" w:hAnsi="Times New Roman" w:cs="Times New Roman"/>
                <w:sz w:val="16"/>
                <w:szCs w:val="16"/>
                <w:lang w:val="en-GB"/>
              </w:rPr>
              <w:t>Recycled Waste</w:t>
            </w:r>
          </w:p>
        </w:tc>
        <w:tc>
          <w:tcPr>
            <w:tcW w:w="482" w:type="pct"/>
            <w:tcBorders>
              <w:left w:val="nil"/>
              <w:bottom w:val="nil"/>
              <w:right w:val="nil"/>
            </w:tcBorders>
            <w:vAlign w:val="bottom"/>
          </w:tcPr>
          <w:p w14:paraId="14AC8041"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54.446</w:t>
            </w:r>
          </w:p>
        </w:tc>
        <w:tc>
          <w:tcPr>
            <w:tcW w:w="425" w:type="pct"/>
            <w:tcBorders>
              <w:left w:val="nil"/>
              <w:bottom w:val="nil"/>
              <w:right w:val="nil"/>
            </w:tcBorders>
            <w:shd w:val="clear" w:color="auto" w:fill="auto"/>
            <w:noWrap/>
            <w:vAlign w:val="bottom"/>
          </w:tcPr>
          <w:p w14:paraId="38C0FE34"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31.725</w:t>
            </w:r>
          </w:p>
        </w:tc>
        <w:tc>
          <w:tcPr>
            <w:tcW w:w="396" w:type="pct"/>
            <w:tcBorders>
              <w:left w:val="nil"/>
              <w:bottom w:val="nil"/>
            </w:tcBorders>
            <w:vAlign w:val="bottom"/>
          </w:tcPr>
          <w:p w14:paraId="5EE4DA65"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58.683</w:t>
            </w:r>
          </w:p>
        </w:tc>
        <w:tc>
          <w:tcPr>
            <w:tcW w:w="395" w:type="pct"/>
            <w:tcBorders>
              <w:left w:val="nil"/>
              <w:bottom w:val="nil"/>
            </w:tcBorders>
          </w:tcPr>
          <w:p w14:paraId="0C9B35CD" w14:textId="2EB7B04E"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left w:val="nil"/>
              <w:bottom w:val="nil"/>
            </w:tcBorders>
          </w:tcPr>
          <w:p w14:paraId="396BBC89" w14:textId="6BE5E3FB"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left w:val="nil"/>
              <w:bottom w:val="nil"/>
            </w:tcBorders>
          </w:tcPr>
          <w:p w14:paraId="752C9D0C" w14:textId="1420D130"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left w:val="nil"/>
              <w:bottom w:val="nil"/>
            </w:tcBorders>
          </w:tcPr>
          <w:p w14:paraId="4B91C7ED" w14:textId="2BE4D22A"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0.476</w:t>
            </w:r>
          </w:p>
        </w:tc>
        <w:tc>
          <w:tcPr>
            <w:tcW w:w="395" w:type="pct"/>
            <w:tcBorders>
              <w:left w:val="nil"/>
              <w:bottom w:val="nil"/>
            </w:tcBorders>
          </w:tcPr>
          <w:p w14:paraId="32AF9E99" w14:textId="62246C49"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0.045**</w:t>
            </w:r>
          </w:p>
        </w:tc>
        <w:tc>
          <w:tcPr>
            <w:tcW w:w="452" w:type="pct"/>
            <w:tcBorders>
              <w:left w:val="nil"/>
              <w:bottom w:val="nil"/>
            </w:tcBorders>
          </w:tcPr>
          <w:p w14:paraId="166422B6" w14:textId="1A702E5A"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w:t>
            </w:r>
            <w:r w:rsidR="00AF6F53" w:rsidRPr="00EE533D">
              <w:rPr>
                <w:rFonts w:ascii="Times New Roman" w:hAnsi="Times New Roman" w:cs="Times New Roman"/>
                <w:sz w:val="16"/>
                <w:szCs w:val="16"/>
                <w:lang w:val="en-GB"/>
              </w:rPr>
              <w:t>07</w:t>
            </w:r>
            <w:r w:rsidRPr="00EE533D">
              <w:rPr>
                <w:rFonts w:ascii="Times New Roman" w:hAnsi="Times New Roman" w:cs="Times New Roman"/>
                <w:sz w:val="16"/>
                <w:szCs w:val="16"/>
                <w:lang w:val="en-GB"/>
              </w:rPr>
              <w:t>*</w:t>
            </w:r>
            <w:r w:rsidR="00AF6F53" w:rsidRPr="00EE533D">
              <w:rPr>
                <w:rFonts w:ascii="Times New Roman" w:hAnsi="Times New Roman" w:cs="Times New Roman"/>
                <w:sz w:val="16"/>
                <w:szCs w:val="16"/>
                <w:lang w:val="en-GB"/>
              </w:rPr>
              <w:t>*</w:t>
            </w:r>
            <w:r w:rsidRPr="00EE533D">
              <w:rPr>
                <w:rFonts w:ascii="Times New Roman" w:hAnsi="Times New Roman" w:cs="Times New Roman"/>
                <w:sz w:val="16"/>
                <w:szCs w:val="16"/>
                <w:lang w:val="en-GB"/>
              </w:rPr>
              <w:t>*</w:t>
            </w:r>
          </w:p>
        </w:tc>
      </w:tr>
      <w:tr w:rsidR="00EE533D" w:rsidRPr="00EE533D" w14:paraId="707F31DC" w14:textId="77777777" w:rsidTr="00121171">
        <w:trPr>
          <w:trHeight w:val="203"/>
        </w:trPr>
        <w:tc>
          <w:tcPr>
            <w:tcW w:w="1267" w:type="pct"/>
            <w:tcBorders>
              <w:right w:val="nil"/>
            </w:tcBorders>
            <w:shd w:val="clear" w:color="auto" w:fill="auto"/>
            <w:noWrap/>
          </w:tcPr>
          <w:p w14:paraId="4643CC4E" w14:textId="77777777" w:rsidR="009A4618" w:rsidRPr="00EE533D" w:rsidRDefault="009A4618" w:rsidP="00121171">
            <w:pPr>
              <w:pStyle w:val="NoSpacing"/>
              <w:rPr>
                <w:rFonts w:ascii="Times New Roman" w:hAnsi="Times New Roman" w:cs="Times New Roman"/>
                <w:b/>
                <w:bCs/>
                <w:sz w:val="16"/>
                <w:szCs w:val="16"/>
                <w:lang w:val="en-GB"/>
              </w:rPr>
            </w:pPr>
            <w:r w:rsidRPr="00EE533D">
              <w:rPr>
                <w:rFonts w:ascii="Times New Roman" w:hAnsi="Times New Roman" w:cs="Times New Roman"/>
                <w:sz w:val="16"/>
                <w:szCs w:val="16"/>
                <w:lang w:val="en-GB"/>
              </w:rPr>
              <w:t>Recycled Water</w:t>
            </w:r>
          </w:p>
        </w:tc>
        <w:tc>
          <w:tcPr>
            <w:tcW w:w="482" w:type="pct"/>
            <w:tcBorders>
              <w:left w:val="nil"/>
              <w:bottom w:val="nil"/>
              <w:right w:val="nil"/>
            </w:tcBorders>
            <w:vAlign w:val="bottom"/>
          </w:tcPr>
          <w:p w14:paraId="3201B1B7"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31.626</w:t>
            </w:r>
          </w:p>
        </w:tc>
        <w:tc>
          <w:tcPr>
            <w:tcW w:w="425" w:type="pct"/>
            <w:tcBorders>
              <w:left w:val="nil"/>
              <w:bottom w:val="nil"/>
              <w:right w:val="nil"/>
            </w:tcBorders>
            <w:shd w:val="clear" w:color="auto" w:fill="auto"/>
            <w:noWrap/>
            <w:vAlign w:val="bottom"/>
          </w:tcPr>
          <w:p w14:paraId="060B8A1B"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31.979</w:t>
            </w:r>
          </w:p>
        </w:tc>
        <w:tc>
          <w:tcPr>
            <w:tcW w:w="396" w:type="pct"/>
            <w:tcBorders>
              <w:left w:val="nil"/>
              <w:bottom w:val="nil"/>
            </w:tcBorders>
            <w:vAlign w:val="bottom"/>
          </w:tcPr>
          <w:p w14:paraId="03BDF25F"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18.000</w:t>
            </w:r>
          </w:p>
        </w:tc>
        <w:tc>
          <w:tcPr>
            <w:tcW w:w="395" w:type="pct"/>
            <w:tcBorders>
              <w:left w:val="nil"/>
              <w:bottom w:val="nil"/>
            </w:tcBorders>
          </w:tcPr>
          <w:p w14:paraId="2907E1B5" w14:textId="02158B3A"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left w:val="nil"/>
              <w:bottom w:val="nil"/>
            </w:tcBorders>
          </w:tcPr>
          <w:p w14:paraId="2E6AA343" w14:textId="254D2981"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0.659</w:t>
            </w:r>
          </w:p>
        </w:tc>
        <w:tc>
          <w:tcPr>
            <w:tcW w:w="395" w:type="pct"/>
            <w:tcBorders>
              <w:left w:val="nil"/>
              <w:bottom w:val="nil"/>
            </w:tcBorders>
          </w:tcPr>
          <w:p w14:paraId="4C061842" w14:textId="3AB939DE"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0.002***</w:t>
            </w:r>
          </w:p>
        </w:tc>
        <w:tc>
          <w:tcPr>
            <w:tcW w:w="395" w:type="pct"/>
            <w:tcBorders>
              <w:left w:val="nil"/>
              <w:bottom w:val="nil"/>
            </w:tcBorders>
          </w:tcPr>
          <w:p w14:paraId="20DD6A6E" w14:textId="33B93275"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left w:val="nil"/>
              <w:bottom w:val="nil"/>
            </w:tcBorders>
          </w:tcPr>
          <w:p w14:paraId="6948B841" w14:textId="7353766F"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left w:val="nil"/>
              <w:bottom w:val="nil"/>
            </w:tcBorders>
          </w:tcPr>
          <w:p w14:paraId="25D17B98" w14:textId="1CE3EBD1"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52645C4A" w14:textId="77777777" w:rsidTr="00121171">
        <w:trPr>
          <w:trHeight w:val="203"/>
        </w:trPr>
        <w:tc>
          <w:tcPr>
            <w:tcW w:w="1267" w:type="pct"/>
            <w:tcBorders>
              <w:right w:val="nil"/>
            </w:tcBorders>
            <w:shd w:val="clear" w:color="auto" w:fill="auto"/>
            <w:noWrap/>
          </w:tcPr>
          <w:p w14:paraId="5AA8B53D" w14:textId="77777777" w:rsidR="009A4618" w:rsidRPr="00EE533D" w:rsidRDefault="009A4618" w:rsidP="00121171">
            <w:pPr>
              <w:pStyle w:val="NoSpacing"/>
              <w:rPr>
                <w:rFonts w:ascii="Times New Roman" w:hAnsi="Times New Roman" w:cs="Times New Roman"/>
                <w:b/>
                <w:bCs/>
                <w:sz w:val="16"/>
                <w:szCs w:val="16"/>
                <w:lang w:val="en-GB"/>
              </w:rPr>
            </w:pPr>
            <w:r w:rsidRPr="00EE533D">
              <w:rPr>
                <w:rFonts w:ascii="Times New Roman" w:hAnsi="Times New Roman" w:cs="Times New Roman"/>
                <w:sz w:val="16"/>
                <w:szCs w:val="16"/>
                <w:lang w:val="en-GB"/>
              </w:rPr>
              <w:t>Recycled Paper (natural logarithm)</w:t>
            </w:r>
          </w:p>
        </w:tc>
        <w:tc>
          <w:tcPr>
            <w:tcW w:w="482" w:type="pct"/>
            <w:tcBorders>
              <w:left w:val="nil"/>
              <w:bottom w:val="nil"/>
              <w:right w:val="nil"/>
            </w:tcBorders>
            <w:vAlign w:val="bottom"/>
          </w:tcPr>
          <w:p w14:paraId="153DC9CB"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1.433</w:t>
            </w:r>
          </w:p>
        </w:tc>
        <w:tc>
          <w:tcPr>
            <w:tcW w:w="425" w:type="pct"/>
            <w:tcBorders>
              <w:left w:val="nil"/>
              <w:bottom w:val="nil"/>
              <w:right w:val="nil"/>
            </w:tcBorders>
            <w:shd w:val="clear" w:color="auto" w:fill="auto"/>
            <w:noWrap/>
            <w:vAlign w:val="bottom"/>
          </w:tcPr>
          <w:p w14:paraId="7E73220C"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2.091</w:t>
            </w:r>
          </w:p>
        </w:tc>
        <w:tc>
          <w:tcPr>
            <w:tcW w:w="396" w:type="pct"/>
            <w:tcBorders>
              <w:left w:val="nil"/>
              <w:bottom w:val="nil"/>
            </w:tcBorders>
            <w:vAlign w:val="bottom"/>
          </w:tcPr>
          <w:p w14:paraId="21EE1422"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0.558</w:t>
            </w:r>
          </w:p>
        </w:tc>
        <w:tc>
          <w:tcPr>
            <w:tcW w:w="395" w:type="pct"/>
            <w:tcBorders>
              <w:left w:val="nil"/>
              <w:bottom w:val="nil"/>
            </w:tcBorders>
          </w:tcPr>
          <w:p w14:paraId="458713E0" w14:textId="58DA795C"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0.505</w:t>
            </w:r>
          </w:p>
        </w:tc>
        <w:tc>
          <w:tcPr>
            <w:tcW w:w="395" w:type="pct"/>
            <w:tcBorders>
              <w:left w:val="nil"/>
              <w:bottom w:val="nil"/>
            </w:tcBorders>
          </w:tcPr>
          <w:p w14:paraId="6A1242B4" w14:textId="036F5808"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0.278</w:t>
            </w:r>
          </w:p>
        </w:tc>
        <w:tc>
          <w:tcPr>
            <w:tcW w:w="395" w:type="pct"/>
            <w:tcBorders>
              <w:left w:val="nil"/>
              <w:bottom w:val="nil"/>
            </w:tcBorders>
          </w:tcPr>
          <w:p w14:paraId="5995D46C" w14:textId="6A20867F"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0.186</w:t>
            </w:r>
          </w:p>
        </w:tc>
        <w:tc>
          <w:tcPr>
            <w:tcW w:w="395" w:type="pct"/>
            <w:tcBorders>
              <w:left w:val="nil"/>
              <w:bottom w:val="nil"/>
            </w:tcBorders>
          </w:tcPr>
          <w:p w14:paraId="640315B0" w14:textId="5388E411"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0.002***</w:t>
            </w:r>
          </w:p>
        </w:tc>
        <w:tc>
          <w:tcPr>
            <w:tcW w:w="395" w:type="pct"/>
            <w:tcBorders>
              <w:left w:val="nil"/>
              <w:bottom w:val="nil"/>
            </w:tcBorders>
          </w:tcPr>
          <w:p w14:paraId="6563F4B3" w14:textId="566CE939"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0.112</w:t>
            </w:r>
          </w:p>
        </w:tc>
        <w:tc>
          <w:tcPr>
            <w:tcW w:w="452" w:type="pct"/>
            <w:tcBorders>
              <w:left w:val="nil"/>
              <w:bottom w:val="nil"/>
            </w:tcBorders>
          </w:tcPr>
          <w:p w14:paraId="46AF6938" w14:textId="73D0A7DD"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393BC0" w:rsidRPr="00EE533D">
              <w:rPr>
                <w:rFonts w:ascii="Times New Roman" w:hAnsi="Times New Roman" w:cs="Times New Roman"/>
                <w:sz w:val="16"/>
                <w:szCs w:val="16"/>
                <w:lang w:val="en-GB"/>
              </w:rPr>
              <w:t>087*</w:t>
            </w:r>
          </w:p>
        </w:tc>
      </w:tr>
      <w:tr w:rsidR="00EE533D" w:rsidRPr="00EE533D" w14:paraId="5039B015" w14:textId="77777777" w:rsidTr="00121171">
        <w:trPr>
          <w:trHeight w:val="9"/>
        </w:trPr>
        <w:tc>
          <w:tcPr>
            <w:tcW w:w="1267" w:type="pct"/>
            <w:tcBorders>
              <w:bottom w:val="single" w:sz="12" w:space="0" w:color="auto"/>
              <w:right w:val="nil"/>
            </w:tcBorders>
            <w:shd w:val="clear" w:color="auto" w:fill="auto"/>
            <w:noWrap/>
            <w:vAlign w:val="bottom"/>
          </w:tcPr>
          <w:p w14:paraId="6F355FA4" w14:textId="77777777" w:rsidR="009A4618" w:rsidRPr="00EE533D" w:rsidRDefault="009A4618" w:rsidP="00121171">
            <w:pPr>
              <w:pStyle w:val="NoSpacing"/>
              <w:rPr>
                <w:rFonts w:ascii="Times New Roman" w:hAnsi="Times New Roman" w:cs="Times New Roman"/>
                <w:b/>
                <w:sz w:val="16"/>
                <w:szCs w:val="16"/>
                <w:lang w:val="en-GB"/>
              </w:rPr>
            </w:pPr>
            <w:r w:rsidRPr="00EE533D">
              <w:rPr>
                <w:rFonts w:ascii="Times New Roman" w:eastAsia="Calibri" w:hAnsi="Times New Roman" w:cs="Times New Roman"/>
                <w:b/>
                <w:bCs/>
                <w:sz w:val="16"/>
                <w:szCs w:val="16"/>
                <w:lang w:val="en-GB"/>
              </w:rPr>
              <w:t>B. Institutional variables</w:t>
            </w:r>
          </w:p>
        </w:tc>
        <w:tc>
          <w:tcPr>
            <w:tcW w:w="482" w:type="pct"/>
            <w:tcBorders>
              <w:top w:val="nil"/>
              <w:left w:val="nil"/>
              <w:bottom w:val="nil"/>
              <w:right w:val="nil"/>
            </w:tcBorders>
            <w:vAlign w:val="bottom"/>
          </w:tcPr>
          <w:p w14:paraId="6DA311D5" w14:textId="77777777" w:rsidR="009A4618" w:rsidRPr="00EE533D" w:rsidRDefault="009A4618" w:rsidP="00121171">
            <w:pPr>
              <w:pStyle w:val="NoSpacing"/>
              <w:tabs>
                <w:tab w:val="decimal" w:pos="613"/>
              </w:tabs>
              <w:rPr>
                <w:rFonts w:ascii="Times New Roman" w:hAnsi="Times New Roman" w:cs="Times New Roman"/>
                <w:sz w:val="16"/>
                <w:szCs w:val="16"/>
                <w:lang w:val="en-GB"/>
              </w:rPr>
            </w:pPr>
          </w:p>
        </w:tc>
        <w:tc>
          <w:tcPr>
            <w:tcW w:w="425" w:type="pct"/>
            <w:tcBorders>
              <w:top w:val="nil"/>
              <w:left w:val="nil"/>
              <w:bottom w:val="nil"/>
              <w:right w:val="nil"/>
            </w:tcBorders>
            <w:shd w:val="clear" w:color="auto" w:fill="auto"/>
            <w:noWrap/>
            <w:vAlign w:val="bottom"/>
          </w:tcPr>
          <w:p w14:paraId="23F010F1" w14:textId="77777777" w:rsidR="009A4618" w:rsidRPr="00EE533D" w:rsidRDefault="009A4618" w:rsidP="00121171">
            <w:pPr>
              <w:pStyle w:val="NoSpacing"/>
              <w:tabs>
                <w:tab w:val="decimal" w:pos="563"/>
              </w:tabs>
              <w:rPr>
                <w:rFonts w:ascii="Times New Roman" w:hAnsi="Times New Roman" w:cs="Times New Roman"/>
                <w:sz w:val="16"/>
                <w:szCs w:val="16"/>
                <w:lang w:val="en-GB"/>
              </w:rPr>
            </w:pPr>
          </w:p>
        </w:tc>
        <w:tc>
          <w:tcPr>
            <w:tcW w:w="396" w:type="pct"/>
            <w:tcBorders>
              <w:top w:val="nil"/>
              <w:left w:val="nil"/>
              <w:bottom w:val="nil"/>
            </w:tcBorders>
          </w:tcPr>
          <w:p w14:paraId="4BC6AB11" w14:textId="77777777" w:rsidR="009A4618" w:rsidRPr="00EE533D" w:rsidRDefault="009A4618" w:rsidP="00121171">
            <w:pPr>
              <w:pStyle w:val="NoSpacing"/>
              <w:tabs>
                <w:tab w:val="decimal" w:pos="539"/>
              </w:tabs>
              <w:rPr>
                <w:rFonts w:ascii="Times New Roman" w:hAnsi="Times New Roman" w:cs="Times New Roman"/>
                <w:sz w:val="16"/>
                <w:szCs w:val="16"/>
                <w:lang w:val="en-GB"/>
              </w:rPr>
            </w:pPr>
          </w:p>
        </w:tc>
        <w:tc>
          <w:tcPr>
            <w:tcW w:w="395" w:type="pct"/>
            <w:tcBorders>
              <w:top w:val="nil"/>
              <w:left w:val="nil"/>
              <w:bottom w:val="nil"/>
            </w:tcBorders>
          </w:tcPr>
          <w:p w14:paraId="1F9D89E3" w14:textId="77777777" w:rsidR="009A4618" w:rsidRPr="00EE533D" w:rsidRDefault="009A4618" w:rsidP="00121171">
            <w:pPr>
              <w:pStyle w:val="NoSpacing"/>
              <w:tabs>
                <w:tab w:val="decimal" w:pos="299"/>
              </w:tabs>
              <w:rPr>
                <w:rFonts w:ascii="Times New Roman" w:hAnsi="Times New Roman" w:cs="Times New Roman"/>
                <w:sz w:val="16"/>
                <w:szCs w:val="16"/>
                <w:lang w:val="en-GB"/>
              </w:rPr>
            </w:pPr>
          </w:p>
        </w:tc>
        <w:tc>
          <w:tcPr>
            <w:tcW w:w="395" w:type="pct"/>
            <w:tcBorders>
              <w:top w:val="nil"/>
              <w:left w:val="nil"/>
              <w:bottom w:val="nil"/>
            </w:tcBorders>
          </w:tcPr>
          <w:p w14:paraId="79BF93B7" w14:textId="77777777" w:rsidR="009A4618" w:rsidRPr="00EE533D" w:rsidRDefault="009A4618" w:rsidP="00121171">
            <w:pPr>
              <w:pStyle w:val="NoSpacing"/>
              <w:tabs>
                <w:tab w:val="decimal" w:pos="364"/>
              </w:tabs>
              <w:rPr>
                <w:rFonts w:ascii="Times New Roman" w:hAnsi="Times New Roman" w:cs="Times New Roman"/>
                <w:sz w:val="16"/>
                <w:szCs w:val="16"/>
                <w:lang w:val="en-GB"/>
              </w:rPr>
            </w:pPr>
          </w:p>
        </w:tc>
        <w:tc>
          <w:tcPr>
            <w:tcW w:w="395" w:type="pct"/>
            <w:tcBorders>
              <w:top w:val="nil"/>
              <w:left w:val="nil"/>
              <w:bottom w:val="nil"/>
            </w:tcBorders>
          </w:tcPr>
          <w:p w14:paraId="4592D3E8" w14:textId="77777777" w:rsidR="009A4618" w:rsidRPr="00EE533D" w:rsidRDefault="009A4618" w:rsidP="00121171">
            <w:pPr>
              <w:pStyle w:val="NoSpacing"/>
              <w:tabs>
                <w:tab w:val="decimal" w:pos="421"/>
              </w:tabs>
              <w:rPr>
                <w:rFonts w:ascii="Times New Roman" w:hAnsi="Times New Roman" w:cs="Times New Roman"/>
                <w:sz w:val="16"/>
                <w:szCs w:val="16"/>
                <w:lang w:val="en-GB"/>
              </w:rPr>
            </w:pPr>
          </w:p>
        </w:tc>
        <w:tc>
          <w:tcPr>
            <w:tcW w:w="395" w:type="pct"/>
            <w:tcBorders>
              <w:top w:val="nil"/>
              <w:left w:val="nil"/>
              <w:bottom w:val="nil"/>
            </w:tcBorders>
          </w:tcPr>
          <w:p w14:paraId="2CD85202" w14:textId="77777777" w:rsidR="009A4618" w:rsidRPr="00EE533D" w:rsidRDefault="009A4618" w:rsidP="00121171">
            <w:pPr>
              <w:pStyle w:val="NoSpacing"/>
              <w:tabs>
                <w:tab w:val="decimal" w:pos="336"/>
              </w:tabs>
              <w:rPr>
                <w:rFonts w:ascii="Times New Roman" w:hAnsi="Times New Roman" w:cs="Times New Roman"/>
                <w:sz w:val="16"/>
                <w:szCs w:val="16"/>
                <w:lang w:val="en-GB"/>
              </w:rPr>
            </w:pPr>
          </w:p>
        </w:tc>
        <w:tc>
          <w:tcPr>
            <w:tcW w:w="395" w:type="pct"/>
            <w:tcBorders>
              <w:top w:val="nil"/>
              <w:left w:val="nil"/>
              <w:bottom w:val="nil"/>
            </w:tcBorders>
          </w:tcPr>
          <w:p w14:paraId="01CEF1B2" w14:textId="77777777" w:rsidR="009A4618" w:rsidRPr="00EE533D" w:rsidRDefault="009A4618" w:rsidP="00121171">
            <w:pPr>
              <w:pStyle w:val="NoSpacing"/>
              <w:tabs>
                <w:tab w:val="decimal" w:pos="393"/>
              </w:tabs>
              <w:rPr>
                <w:rFonts w:ascii="Times New Roman" w:hAnsi="Times New Roman" w:cs="Times New Roman"/>
                <w:sz w:val="16"/>
                <w:szCs w:val="16"/>
                <w:lang w:val="en-GB"/>
              </w:rPr>
            </w:pPr>
          </w:p>
        </w:tc>
        <w:tc>
          <w:tcPr>
            <w:tcW w:w="452" w:type="pct"/>
            <w:tcBorders>
              <w:top w:val="nil"/>
              <w:left w:val="nil"/>
              <w:bottom w:val="nil"/>
            </w:tcBorders>
          </w:tcPr>
          <w:p w14:paraId="7B1ADA68" w14:textId="77777777" w:rsidR="009A4618" w:rsidRPr="00EE533D" w:rsidRDefault="009A4618" w:rsidP="00121171">
            <w:pPr>
              <w:pStyle w:val="NoSpacing"/>
              <w:tabs>
                <w:tab w:val="decimal" w:pos="307"/>
              </w:tabs>
              <w:rPr>
                <w:rFonts w:ascii="Times New Roman" w:hAnsi="Times New Roman" w:cs="Times New Roman"/>
                <w:sz w:val="16"/>
                <w:szCs w:val="16"/>
                <w:lang w:val="en-GB"/>
              </w:rPr>
            </w:pPr>
          </w:p>
        </w:tc>
      </w:tr>
      <w:tr w:rsidR="00EE533D" w:rsidRPr="00EE533D" w14:paraId="2C13B09B" w14:textId="77777777" w:rsidTr="00121171">
        <w:trPr>
          <w:trHeight w:val="9"/>
        </w:trPr>
        <w:tc>
          <w:tcPr>
            <w:tcW w:w="1267" w:type="pct"/>
            <w:tcBorders>
              <w:top w:val="single" w:sz="12" w:space="0" w:color="auto"/>
              <w:bottom w:val="nil"/>
              <w:right w:val="nil"/>
            </w:tcBorders>
            <w:shd w:val="clear" w:color="auto" w:fill="auto"/>
            <w:noWrap/>
          </w:tcPr>
          <w:p w14:paraId="5025008D" w14:textId="77777777" w:rsidR="009A4618" w:rsidRPr="00EE533D" w:rsidRDefault="009A4618" w:rsidP="00121171">
            <w:pPr>
              <w:pStyle w:val="NoSpacing"/>
              <w:rPr>
                <w:rFonts w:ascii="Times New Roman" w:eastAsia="Calibri" w:hAnsi="Times New Roman" w:cs="Times New Roman"/>
                <w:sz w:val="16"/>
                <w:szCs w:val="16"/>
                <w:lang w:val="en-GB"/>
              </w:rPr>
            </w:pPr>
            <w:r w:rsidRPr="00EE533D">
              <w:rPr>
                <w:rFonts w:ascii="Times New Roman" w:hAnsi="Times New Roman" w:cs="Times New Roman"/>
                <w:sz w:val="16"/>
                <w:szCs w:val="16"/>
                <w:lang w:val="en-GB"/>
              </w:rPr>
              <w:t>Control of Corruption</w:t>
            </w:r>
          </w:p>
        </w:tc>
        <w:tc>
          <w:tcPr>
            <w:tcW w:w="482" w:type="pct"/>
            <w:tcBorders>
              <w:top w:val="nil"/>
              <w:left w:val="nil"/>
              <w:bottom w:val="nil"/>
              <w:right w:val="nil"/>
            </w:tcBorders>
            <w:vAlign w:val="bottom"/>
          </w:tcPr>
          <w:p w14:paraId="369302C8"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0.930</w:t>
            </w:r>
          </w:p>
        </w:tc>
        <w:tc>
          <w:tcPr>
            <w:tcW w:w="425" w:type="pct"/>
            <w:tcBorders>
              <w:top w:val="nil"/>
              <w:left w:val="nil"/>
              <w:bottom w:val="nil"/>
              <w:right w:val="nil"/>
            </w:tcBorders>
            <w:shd w:val="clear" w:color="auto" w:fill="auto"/>
            <w:noWrap/>
            <w:vAlign w:val="bottom"/>
          </w:tcPr>
          <w:p w14:paraId="40DE792A"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0.883</w:t>
            </w:r>
          </w:p>
        </w:tc>
        <w:tc>
          <w:tcPr>
            <w:tcW w:w="396" w:type="pct"/>
            <w:tcBorders>
              <w:top w:val="nil"/>
              <w:left w:val="nil"/>
              <w:bottom w:val="nil"/>
            </w:tcBorders>
            <w:vAlign w:val="bottom"/>
          </w:tcPr>
          <w:p w14:paraId="31DB172D"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1.123</w:t>
            </w:r>
          </w:p>
        </w:tc>
        <w:tc>
          <w:tcPr>
            <w:tcW w:w="395" w:type="pct"/>
            <w:tcBorders>
              <w:top w:val="nil"/>
              <w:left w:val="nil"/>
              <w:bottom w:val="nil"/>
            </w:tcBorders>
          </w:tcPr>
          <w:p w14:paraId="3D14E7CC" w14:textId="02C7A7D4"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60D5DC4" w14:textId="2EB8D705"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9D30E2F" w14:textId="2A5B19B2"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0D3DCB8" w14:textId="23267546"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7AC748CB" w14:textId="0ECA75E6"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4A409EAA" w14:textId="4A871DE2"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140D1323" w14:textId="77777777" w:rsidTr="00121171">
        <w:trPr>
          <w:trHeight w:val="9"/>
        </w:trPr>
        <w:tc>
          <w:tcPr>
            <w:tcW w:w="1267" w:type="pct"/>
            <w:tcBorders>
              <w:top w:val="nil"/>
              <w:bottom w:val="nil"/>
              <w:right w:val="nil"/>
            </w:tcBorders>
            <w:shd w:val="clear" w:color="auto" w:fill="auto"/>
            <w:noWrap/>
          </w:tcPr>
          <w:p w14:paraId="0A6B03C7"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Government Effectiveness</w:t>
            </w:r>
          </w:p>
        </w:tc>
        <w:tc>
          <w:tcPr>
            <w:tcW w:w="482" w:type="pct"/>
            <w:tcBorders>
              <w:top w:val="nil"/>
              <w:left w:val="nil"/>
              <w:bottom w:val="nil"/>
              <w:right w:val="nil"/>
            </w:tcBorders>
            <w:vAlign w:val="bottom"/>
          </w:tcPr>
          <w:p w14:paraId="467C9820"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1.092</w:t>
            </w:r>
          </w:p>
        </w:tc>
        <w:tc>
          <w:tcPr>
            <w:tcW w:w="425" w:type="pct"/>
            <w:tcBorders>
              <w:top w:val="nil"/>
              <w:left w:val="nil"/>
              <w:bottom w:val="nil"/>
              <w:right w:val="nil"/>
            </w:tcBorders>
            <w:shd w:val="clear" w:color="auto" w:fill="auto"/>
            <w:noWrap/>
            <w:vAlign w:val="bottom"/>
          </w:tcPr>
          <w:p w14:paraId="34E4CB42"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0.668</w:t>
            </w:r>
          </w:p>
        </w:tc>
        <w:tc>
          <w:tcPr>
            <w:tcW w:w="396" w:type="pct"/>
            <w:tcBorders>
              <w:top w:val="nil"/>
              <w:left w:val="nil"/>
              <w:bottom w:val="nil"/>
            </w:tcBorders>
            <w:vAlign w:val="bottom"/>
          </w:tcPr>
          <w:p w14:paraId="48566F54"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1.298</w:t>
            </w:r>
          </w:p>
        </w:tc>
        <w:tc>
          <w:tcPr>
            <w:tcW w:w="395" w:type="pct"/>
            <w:tcBorders>
              <w:top w:val="nil"/>
              <w:left w:val="nil"/>
              <w:bottom w:val="nil"/>
            </w:tcBorders>
          </w:tcPr>
          <w:p w14:paraId="36F9C6E1" w14:textId="407E2DD5"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74F65A7" w14:textId="041D9929"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BFB8F30" w14:textId="03F57F2F"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CB0DDE8" w14:textId="156DBBF3"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83DF355" w14:textId="0819C3A3"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5BACED00" w14:textId="3C924C55"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68BAF91C" w14:textId="77777777" w:rsidTr="00121171">
        <w:trPr>
          <w:trHeight w:val="9"/>
        </w:trPr>
        <w:tc>
          <w:tcPr>
            <w:tcW w:w="1267" w:type="pct"/>
            <w:tcBorders>
              <w:top w:val="nil"/>
              <w:bottom w:val="nil"/>
              <w:right w:val="nil"/>
            </w:tcBorders>
            <w:shd w:val="clear" w:color="auto" w:fill="auto"/>
            <w:noWrap/>
          </w:tcPr>
          <w:p w14:paraId="54A3DC09"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Political Stability</w:t>
            </w:r>
          </w:p>
        </w:tc>
        <w:tc>
          <w:tcPr>
            <w:tcW w:w="482" w:type="pct"/>
            <w:tcBorders>
              <w:top w:val="nil"/>
              <w:left w:val="nil"/>
              <w:bottom w:val="nil"/>
              <w:right w:val="nil"/>
            </w:tcBorders>
            <w:vAlign w:val="bottom"/>
          </w:tcPr>
          <w:p w14:paraId="2D3D398F"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0.362</w:t>
            </w:r>
          </w:p>
        </w:tc>
        <w:tc>
          <w:tcPr>
            <w:tcW w:w="425" w:type="pct"/>
            <w:tcBorders>
              <w:top w:val="nil"/>
              <w:left w:val="nil"/>
              <w:bottom w:val="nil"/>
              <w:right w:val="nil"/>
            </w:tcBorders>
            <w:shd w:val="clear" w:color="auto" w:fill="auto"/>
            <w:noWrap/>
            <w:vAlign w:val="bottom"/>
          </w:tcPr>
          <w:p w14:paraId="20D5F932"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0.586</w:t>
            </w:r>
          </w:p>
        </w:tc>
        <w:tc>
          <w:tcPr>
            <w:tcW w:w="396" w:type="pct"/>
            <w:tcBorders>
              <w:top w:val="nil"/>
              <w:left w:val="nil"/>
              <w:bottom w:val="nil"/>
            </w:tcBorders>
            <w:vAlign w:val="bottom"/>
          </w:tcPr>
          <w:p w14:paraId="4BC5A943"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0.402</w:t>
            </w:r>
          </w:p>
        </w:tc>
        <w:tc>
          <w:tcPr>
            <w:tcW w:w="395" w:type="pct"/>
            <w:tcBorders>
              <w:top w:val="nil"/>
              <w:left w:val="nil"/>
              <w:bottom w:val="nil"/>
            </w:tcBorders>
          </w:tcPr>
          <w:p w14:paraId="78FB4EB8" w14:textId="43B1189A"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C07F1D0" w14:textId="7E89722A"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37D493E7" w14:textId="7C1CE66B"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713AC880" w14:textId="2DD028A1"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772AD08E" w14:textId="5F72F7D7"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408FD3BE" w14:textId="53871B90"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03097A87" w14:textId="77777777" w:rsidTr="00121171">
        <w:trPr>
          <w:trHeight w:val="9"/>
        </w:trPr>
        <w:tc>
          <w:tcPr>
            <w:tcW w:w="1267" w:type="pct"/>
            <w:tcBorders>
              <w:top w:val="nil"/>
              <w:bottom w:val="nil"/>
              <w:right w:val="nil"/>
            </w:tcBorders>
            <w:shd w:val="clear" w:color="auto" w:fill="auto"/>
            <w:noWrap/>
          </w:tcPr>
          <w:p w14:paraId="67F3A640"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Regulatory Quality</w:t>
            </w:r>
          </w:p>
        </w:tc>
        <w:tc>
          <w:tcPr>
            <w:tcW w:w="482" w:type="pct"/>
            <w:tcBorders>
              <w:top w:val="nil"/>
              <w:left w:val="nil"/>
              <w:bottom w:val="nil"/>
              <w:right w:val="nil"/>
            </w:tcBorders>
            <w:vAlign w:val="bottom"/>
          </w:tcPr>
          <w:p w14:paraId="093DC17E"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1.046</w:t>
            </w:r>
          </w:p>
        </w:tc>
        <w:tc>
          <w:tcPr>
            <w:tcW w:w="425" w:type="pct"/>
            <w:tcBorders>
              <w:top w:val="nil"/>
              <w:left w:val="nil"/>
              <w:bottom w:val="nil"/>
              <w:right w:val="nil"/>
            </w:tcBorders>
            <w:shd w:val="clear" w:color="auto" w:fill="auto"/>
            <w:noWrap/>
            <w:vAlign w:val="bottom"/>
          </w:tcPr>
          <w:p w14:paraId="2134A2E4"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0.674</w:t>
            </w:r>
          </w:p>
        </w:tc>
        <w:tc>
          <w:tcPr>
            <w:tcW w:w="396" w:type="pct"/>
            <w:tcBorders>
              <w:top w:val="nil"/>
              <w:left w:val="nil"/>
              <w:bottom w:val="nil"/>
            </w:tcBorders>
            <w:vAlign w:val="bottom"/>
          </w:tcPr>
          <w:p w14:paraId="7B59CD6E"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1.189</w:t>
            </w:r>
          </w:p>
        </w:tc>
        <w:tc>
          <w:tcPr>
            <w:tcW w:w="395" w:type="pct"/>
            <w:tcBorders>
              <w:top w:val="nil"/>
              <w:left w:val="nil"/>
              <w:bottom w:val="nil"/>
            </w:tcBorders>
          </w:tcPr>
          <w:p w14:paraId="3F2AF58A" w14:textId="7C099CB7"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E1A7D48" w14:textId="79ED9EE7"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9451E4F" w14:textId="7BC0877C"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3BA86696" w14:textId="25B369AE"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46745093" w14:textId="589AD2B6"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7743E733" w14:textId="0139567B"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4338A4CB" w14:textId="77777777" w:rsidTr="00121171">
        <w:trPr>
          <w:trHeight w:val="9"/>
        </w:trPr>
        <w:tc>
          <w:tcPr>
            <w:tcW w:w="1267" w:type="pct"/>
            <w:tcBorders>
              <w:top w:val="nil"/>
              <w:bottom w:val="nil"/>
              <w:right w:val="nil"/>
            </w:tcBorders>
            <w:shd w:val="clear" w:color="auto" w:fill="auto"/>
            <w:noWrap/>
          </w:tcPr>
          <w:p w14:paraId="1DAE4F35"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Rule of Law</w:t>
            </w:r>
          </w:p>
        </w:tc>
        <w:tc>
          <w:tcPr>
            <w:tcW w:w="482" w:type="pct"/>
            <w:tcBorders>
              <w:top w:val="nil"/>
              <w:left w:val="nil"/>
              <w:bottom w:val="nil"/>
              <w:right w:val="nil"/>
            </w:tcBorders>
            <w:vAlign w:val="bottom"/>
          </w:tcPr>
          <w:p w14:paraId="432166A5"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1.028</w:t>
            </w:r>
          </w:p>
        </w:tc>
        <w:tc>
          <w:tcPr>
            <w:tcW w:w="425" w:type="pct"/>
            <w:tcBorders>
              <w:top w:val="nil"/>
              <w:left w:val="nil"/>
              <w:bottom w:val="nil"/>
              <w:right w:val="nil"/>
            </w:tcBorders>
            <w:shd w:val="clear" w:color="auto" w:fill="auto"/>
            <w:noWrap/>
            <w:vAlign w:val="bottom"/>
          </w:tcPr>
          <w:p w14:paraId="736B8FDF"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0.776</w:t>
            </w:r>
          </w:p>
        </w:tc>
        <w:tc>
          <w:tcPr>
            <w:tcW w:w="396" w:type="pct"/>
            <w:tcBorders>
              <w:top w:val="nil"/>
              <w:left w:val="nil"/>
              <w:bottom w:val="nil"/>
            </w:tcBorders>
            <w:vAlign w:val="bottom"/>
          </w:tcPr>
          <w:p w14:paraId="007B463E"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1.336</w:t>
            </w:r>
          </w:p>
        </w:tc>
        <w:tc>
          <w:tcPr>
            <w:tcW w:w="395" w:type="pct"/>
            <w:tcBorders>
              <w:top w:val="nil"/>
              <w:left w:val="nil"/>
              <w:bottom w:val="nil"/>
            </w:tcBorders>
          </w:tcPr>
          <w:p w14:paraId="14425F1D" w14:textId="17CE1158"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147A3EB" w14:textId="2BF6089E"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44683F2E" w14:textId="241AA08D"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E4CB0E8" w14:textId="6EE9ECBC"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F2BB563" w14:textId="469287A1"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1ADA493F" w14:textId="0FB76722"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1085C471" w14:textId="77777777" w:rsidTr="00121171">
        <w:trPr>
          <w:trHeight w:val="9"/>
        </w:trPr>
        <w:tc>
          <w:tcPr>
            <w:tcW w:w="1267" w:type="pct"/>
            <w:tcBorders>
              <w:top w:val="nil"/>
              <w:bottom w:val="nil"/>
              <w:right w:val="nil"/>
            </w:tcBorders>
            <w:shd w:val="clear" w:color="auto" w:fill="auto"/>
            <w:noWrap/>
          </w:tcPr>
          <w:p w14:paraId="6F16CE58"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Voice</w:t>
            </w:r>
          </w:p>
        </w:tc>
        <w:tc>
          <w:tcPr>
            <w:tcW w:w="482" w:type="pct"/>
            <w:tcBorders>
              <w:top w:val="nil"/>
              <w:left w:val="nil"/>
              <w:bottom w:val="nil"/>
              <w:right w:val="nil"/>
            </w:tcBorders>
            <w:vAlign w:val="bottom"/>
          </w:tcPr>
          <w:p w14:paraId="58F6F490"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0.774</w:t>
            </w:r>
          </w:p>
        </w:tc>
        <w:tc>
          <w:tcPr>
            <w:tcW w:w="425" w:type="pct"/>
            <w:tcBorders>
              <w:top w:val="nil"/>
              <w:left w:val="nil"/>
              <w:bottom w:val="nil"/>
              <w:right w:val="nil"/>
            </w:tcBorders>
            <w:shd w:val="clear" w:color="auto" w:fill="auto"/>
            <w:noWrap/>
            <w:vAlign w:val="bottom"/>
          </w:tcPr>
          <w:p w14:paraId="1511160D"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0.810</w:t>
            </w:r>
          </w:p>
        </w:tc>
        <w:tc>
          <w:tcPr>
            <w:tcW w:w="396" w:type="pct"/>
            <w:tcBorders>
              <w:top w:val="nil"/>
              <w:left w:val="nil"/>
              <w:bottom w:val="nil"/>
            </w:tcBorders>
            <w:vAlign w:val="bottom"/>
          </w:tcPr>
          <w:p w14:paraId="4B87AD1D"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0.995</w:t>
            </w:r>
          </w:p>
        </w:tc>
        <w:tc>
          <w:tcPr>
            <w:tcW w:w="395" w:type="pct"/>
            <w:tcBorders>
              <w:top w:val="nil"/>
              <w:left w:val="nil"/>
              <w:bottom w:val="nil"/>
            </w:tcBorders>
          </w:tcPr>
          <w:p w14:paraId="2F091AD0" w14:textId="577C0FFE"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B5658E9" w14:textId="18B56340"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A9D90BB" w14:textId="2C8E087B"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9C5FE3E" w14:textId="1F2BCECD"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BB78617" w14:textId="7E69FA76"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6A9FD39B" w14:textId="09FC2A8B"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4C1B9AFB" w14:textId="77777777" w:rsidTr="00121171">
        <w:trPr>
          <w:trHeight w:val="9"/>
        </w:trPr>
        <w:tc>
          <w:tcPr>
            <w:tcW w:w="1267" w:type="pct"/>
            <w:tcBorders>
              <w:top w:val="nil"/>
              <w:right w:val="nil"/>
            </w:tcBorders>
            <w:shd w:val="clear" w:color="auto" w:fill="auto"/>
            <w:noWrap/>
          </w:tcPr>
          <w:p w14:paraId="76CDE270"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Executive Constraints</w:t>
            </w:r>
          </w:p>
        </w:tc>
        <w:tc>
          <w:tcPr>
            <w:tcW w:w="482" w:type="pct"/>
            <w:tcBorders>
              <w:top w:val="nil"/>
              <w:left w:val="nil"/>
              <w:bottom w:val="nil"/>
              <w:right w:val="nil"/>
            </w:tcBorders>
            <w:vAlign w:val="bottom"/>
          </w:tcPr>
          <w:p w14:paraId="5374D627"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69.105</w:t>
            </w:r>
          </w:p>
        </w:tc>
        <w:tc>
          <w:tcPr>
            <w:tcW w:w="425" w:type="pct"/>
            <w:tcBorders>
              <w:top w:val="nil"/>
              <w:left w:val="nil"/>
              <w:bottom w:val="nil"/>
              <w:right w:val="nil"/>
            </w:tcBorders>
            <w:shd w:val="clear" w:color="auto" w:fill="auto"/>
            <w:noWrap/>
            <w:vAlign w:val="bottom"/>
          </w:tcPr>
          <w:p w14:paraId="44486C8F"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15.110</w:t>
            </w:r>
          </w:p>
        </w:tc>
        <w:tc>
          <w:tcPr>
            <w:tcW w:w="396" w:type="pct"/>
            <w:tcBorders>
              <w:top w:val="nil"/>
              <w:left w:val="nil"/>
              <w:bottom w:val="nil"/>
            </w:tcBorders>
            <w:vAlign w:val="bottom"/>
          </w:tcPr>
          <w:p w14:paraId="29799459"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72.763</w:t>
            </w:r>
          </w:p>
        </w:tc>
        <w:tc>
          <w:tcPr>
            <w:tcW w:w="395" w:type="pct"/>
            <w:tcBorders>
              <w:top w:val="nil"/>
              <w:left w:val="nil"/>
              <w:bottom w:val="nil"/>
            </w:tcBorders>
          </w:tcPr>
          <w:p w14:paraId="383CF179" w14:textId="4D7E77DD"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5089251" w14:textId="01AD5D87"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4E1DB5C" w14:textId="5FE8268E"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7A91928" w14:textId="6EA95487"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D371156" w14:textId="42BA6BF1"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24A0E91C" w14:textId="29F8D566"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6075F865" w14:textId="77777777" w:rsidTr="00121171">
        <w:trPr>
          <w:trHeight w:val="9"/>
        </w:trPr>
        <w:tc>
          <w:tcPr>
            <w:tcW w:w="1267" w:type="pct"/>
            <w:tcBorders>
              <w:top w:val="nil"/>
              <w:right w:val="nil"/>
            </w:tcBorders>
            <w:shd w:val="clear" w:color="auto" w:fill="auto"/>
            <w:noWrap/>
          </w:tcPr>
          <w:p w14:paraId="5A1577C8"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Political Accountability</w:t>
            </w:r>
          </w:p>
        </w:tc>
        <w:tc>
          <w:tcPr>
            <w:tcW w:w="482" w:type="pct"/>
            <w:tcBorders>
              <w:top w:val="nil"/>
              <w:left w:val="nil"/>
              <w:bottom w:val="nil"/>
              <w:right w:val="nil"/>
            </w:tcBorders>
            <w:vAlign w:val="bottom"/>
          </w:tcPr>
          <w:p w14:paraId="04A12361"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83.407</w:t>
            </w:r>
          </w:p>
        </w:tc>
        <w:tc>
          <w:tcPr>
            <w:tcW w:w="425" w:type="pct"/>
            <w:tcBorders>
              <w:top w:val="nil"/>
              <w:left w:val="nil"/>
              <w:bottom w:val="nil"/>
              <w:right w:val="nil"/>
            </w:tcBorders>
            <w:shd w:val="clear" w:color="auto" w:fill="auto"/>
            <w:noWrap/>
            <w:vAlign w:val="bottom"/>
          </w:tcPr>
          <w:p w14:paraId="34D6ED0C"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17.015</w:t>
            </w:r>
          </w:p>
        </w:tc>
        <w:tc>
          <w:tcPr>
            <w:tcW w:w="396" w:type="pct"/>
            <w:tcBorders>
              <w:top w:val="nil"/>
              <w:left w:val="nil"/>
              <w:bottom w:val="nil"/>
            </w:tcBorders>
            <w:vAlign w:val="bottom"/>
          </w:tcPr>
          <w:p w14:paraId="3450B0AA"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90.116</w:t>
            </w:r>
          </w:p>
        </w:tc>
        <w:tc>
          <w:tcPr>
            <w:tcW w:w="395" w:type="pct"/>
            <w:tcBorders>
              <w:top w:val="nil"/>
              <w:left w:val="nil"/>
              <w:bottom w:val="nil"/>
            </w:tcBorders>
          </w:tcPr>
          <w:p w14:paraId="1696324B" w14:textId="07C9250B"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B141421" w14:textId="72E9BE42"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C550842" w14:textId="681C078D"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52AB6C1" w14:textId="711CB8E0"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2B1B772" w14:textId="04CBC5C2"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16D76623" w14:textId="4A1F8368"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47393BCE" w14:textId="77777777" w:rsidTr="00121171">
        <w:trPr>
          <w:trHeight w:val="9"/>
        </w:trPr>
        <w:tc>
          <w:tcPr>
            <w:tcW w:w="1267" w:type="pct"/>
            <w:tcBorders>
              <w:top w:val="nil"/>
              <w:right w:val="nil"/>
            </w:tcBorders>
            <w:shd w:val="clear" w:color="auto" w:fill="auto"/>
            <w:noWrap/>
          </w:tcPr>
          <w:p w14:paraId="28C736ED"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Rule of Law (Legatum) </w:t>
            </w:r>
          </w:p>
        </w:tc>
        <w:tc>
          <w:tcPr>
            <w:tcW w:w="482" w:type="pct"/>
            <w:tcBorders>
              <w:top w:val="nil"/>
              <w:left w:val="nil"/>
              <w:bottom w:val="nil"/>
              <w:right w:val="nil"/>
            </w:tcBorders>
            <w:vAlign w:val="bottom"/>
          </w:tcPr>
          <w:p w14:paraId="7D92DBB7"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63.451</w:t>
            </w:r>
          </w:p>
        </w:tc>
        <w:tc>
          <w:tcPr>
            <w:tcW w:w="425" w:type="pct"/>
            <w:tcBorders>
              <w:top w:val="nil"/>
              <w:left w:val="nil"/>
              <w:bottom w:val="nil"/>
              <w:right w:val="nil"/>
            </w:tcBorders>
            <w:shd w:val="clear" w:color="auto" w:fill="auto"/>
            <w:noWrap/>
            <w:vAlign w:val="bottom"/>
          </w:tcPr>
          <w:p w14:paraId="0603EF79"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13.455</w:t>
            </w:r>
          </w:p>
        </w:tc>
        <w:tc>
          <w:tcPr>
            <w:tcW w:w="396" w:type="pct"/>
            <w:tcBorders>
              <w:top w:val="nil"/>
              <w:left w:val="nil"/>
              <w:bottom w:val="nil"/>
            </w:tcBorders>
            <w:vAlign w:val="bottom"/>
          </w:tcPr>
          <w:p w14:paraId="6006AF53"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66.352</w:t>
            </w:r>
          </w:p>
        </w:tc>
        <w:tc>
          <w:tcPr>
            <w:tcW w:w="395" w:type="pct"/>
            <w:tcBorders>
              <w:top w:val="nil"/>
              <w:left w:val="nil"/>
              <w:bottom w:val="nil"/>
            </w:tcBorders>
          </w:tcPr>
          <w:p w14:paraId="7B80F018" w14:textId="4A9EBC9C"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C87CCF8" w14:textId="0C34EF5B"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20CF1080" w14:textId="165A90A1"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42B8C023" w14:textId="75ED50B3"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44AFDD0D" w14:textId="186E68B7"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29C00980" w14:textId="36010AB4"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1CFF2E7D" w14:textId="77777777" w:rsidTr="00121171">
        <w:trPr>
          <w:trHeight w:val="9"/>
        </w:trPr>
        <w:tc>
          <w:tcPr>
            <w:tcW w:w="1267" w:type="pct"/>
            <w:tcBorders>
              <w:top w:val="nil"/>
              <w:right w:val="nil"/>
            </w:tcBorders>
            <w:shd w:val="clear" w:color="auto" w:fill="auto"/>
            <w:noWrap/>
          </w:tcPr>
          <w:p w14:paraId="79B83289"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Government Integrity</w:t>
            </w:r>
          </w:p>
        </w:tc>
        <w:tc>
          <w:tcPr>
            <w:tcW w:w="482" w:type="pct"/>
            <w:tcBorders>
              <w:top w:val="nil"/>
              <w:left w:val="nil"/>
              <w:bottom w:val="nil"/>
              <w:right w:val="nil"/>
            </w:tcBorders>
            <w:vAlign w:val="bottom"/>
          </w:tcPr>
          <w:p w14:paraId="2A77B6C5"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74.867</w:t>
            </w:r>
          </w:p>
        </w:tc>
        <w:tc>
          <w:tcPr>
            <w:tcW w:w="425" w:type="pct"/>
            <w:tcBorders>
              <w:top w:val="nil"/>
              <w:left w:val="nil"/>
              <w:bottom w:val="nil"/>
              <w:right w:val="nil"/>
            </w:tcBorders>
            <w:shd w:val="clear" w:color="auto" w:fill="auto"/>
            <w:noWrap/>
            <w:vAlign w:val="bottom"/>
          </w:tcPr>
          <w:p w14:paraId="4DAB66ED"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17.101</w:t>
            </w:r>
          </w:p>
        </w:tc>
        <w:tc>
          <w:tcPr>
            <w:tcW w:w="396" w:type="pct"/>
            <w:tcBorders>
              <w:top w:val="nil"/>
              <w:left w:val="nil"/>
              <w:bottom w:val="nil"/>
            </w:tcBorders>
            <w:vAlign w:val="bottom"/>
          </w:tcPr>
          <w:p w14:paraId="43987740"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83.900</w:t>
            </w:r>
          </w:p>
        </w:tc>
        <w:tc>
          <w:tcPr>
            <w:tcW w:w="395" w:type="pct"/>
            <w:tcBorders>
              <w:top w:val="nil"/>
              <w:left w:val="nil"/>
              <w:bottom w:val="nil"/>
            </w:tcBorders>
          </w:tcPr>
          <w:p w14:paraId="4B23B455" w14:textId="46B68D8E"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33C9F1CD" w14:textId="65CF2689"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54E25E7" w14:textId="2B6B3340"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211065C" w14:textId="2C3DCF73"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22D9910" w14:textId="5EB3E1A9"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0A55EA03" w14:textId="61047C59"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1856CE37" w14:textId="77777777" w:rsidTr="00121171">
        <w:trPr>
          <w:trHeight w:val="9"/>
        </w:trPr>
        <w:tc>
          <w:tcPr>
            <w:tcW w:w="1267" w:type="pct"/>
            <w:tcBorders>
              <w:top w:val="nil"/>
              <w:right w:val="nil"/>
            </w:tcBorders>
            <w:shd w:val="clear" w:color="auto" w:fill="auto"/>
            <w:noWrap/>
          </w:tcPr>
          <w:p w14:paraId="04A72A23"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Government Effectiveness (Legatum)</w:t>
            </w:r>
          </w:p>
        </w:tc>
        <w:tc>
          <w:tcPr>
            <w:tcW w:w="482" w:type="pct"/>
            <w:tcBorders>
              <w:top w:val="nil"/>
              <w:left w:val="nil"/>
              <w:bottom w:val="nil"/>
              <w:right w:val="nil"/>
            </w:tcBorders>
            <w:vAlign w:val="bottom"/>
          </w:tcPr>
          <w:p w14:paraId="1C082116"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78.411</w:t>
            </w:r>
          </w:p>
        </w:tc>
        <w:tc>
          <w:tcPr>
            <w:tcW w:w="425" w:type="pct"/>
            <w:tcBorders>
              <w:top w:val="nil"/>
              <w:left w:val="nil"/>
              <w:bottom w:val="nil"/>
              <w:right w:val="nil"/>
            </w:tcBorders>
            <w:shd w:val="clear" w:color="auto" w:fill="auto"/>
            <w:noWrap/>
            <w:vAlign w:val="bottom"/>
          </w:tcPr>
          <w:p w14:paraId="7EEA0E72"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17.385</w:t>
            </w:r>
          </w:p>
        </w:tc>
        <w:tc>
          <w:tcPr>
            <w:tcW w:w="396" w:type="pct"/>
            <w:tcBorders>
              <w:top w:val="nil"/>
              <w:left w:val="nil"/>
              <w:bottom w:val="nil"/>
            </w:tcBorders>
            <w:vAlign w:val="bottom"/>
          </w:tcPr>
          <w:p w14:paraId="74393A39"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90.073</w:t>
            </w:r>
          </w:p>
        </w:tc>
        <w:tc>
          <w:tcPr>
            <w:tcW w:w="395" w:type="pct"/>
            <w:tcBorders>
              <w:top w:val="nil"/>
              <w:left w:val="nil"/>
              <w:bottom w:val="nil"/>
            </w:tcBorders>
          </w:tcPr>
          <w:p w14:paraId="527BA500" w14:textId="6461551A"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C75DA6C" w14:textId="5706439D"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004950E2" w14:textId="4A99F205"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17B09418" w14:textId="5A4C4252"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C2E13B7" w14:textId="35E4FE8A"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3EB74820" w14:textId="04233DD3"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05F3F1A6" w14:textId="77777777" w:rsidTr="00121171">
        <w:trPr>
          <w:trHeight w:val="9"/>
        </w:trPr>
        <w:tc>
          <w:tcPr>
            <w:tcW w:w="1267" w:type="pct"/>
            <w:tcBorders>
              <w:top w:val="nil"/>
              <w:right w:val="nil"/>
            </w:tcBorders>
            <w:shd w:val="clear" w:color="auto" w:fill="auto"/>
            <w:noWrap/>
          </w:tcPr>
          <w:p w14:paraId="5531DE9C" w14:textId="77777777" w:rsidR="009A4618" w:rsidRPr="00EE533D" w:rsidRDefault="009A4618" w:rsidP="00121171">
            <w:pPr>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Regulatory Quality (Legatum)</w:t>
            </w:r>
          </w:p>
        </w:tc>
        <w:tc>
          <w:tcPr>
            <w:tcW w:w="482" w:type="pct"/>
            <w:tcBorders>
              <w:top w:val="nil"/>
              <w:left w:val="nil"/>
              <w:bottom w:val="nil"/>
              <w:right w:val="nil"/>
            </w:tcBorders>
            <w:vAlign w:val="bottom"/>
          </w:tcPr>
          <w:p w14:paraId="7535DD36"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64.293</w:t>
            </w:r>
          </w:p>
        </w:tc>
        <w:tc>
          <w:tcPr>
            <w:tcW w:w="425" w:type="pct"/>
            <w:tcBorders>
              <w:top w:val="nil"/>
              <w:left w:val="nil"/>
              <w:bottom w:val="nil"/>
              <w:right w:val="nil"/>
            </w:tcBorders>
            <w:shd w:val="clear" w:color="auto" w:fill="auto"/>
            <w:noWrap/>
            <w:vAlign w:val="bottom"/>
          </w:tcPr>
          <w:p w14:paraId="2E7458F4"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12.144</w:t>
            </w:r>
          </w:p>
        </w:tc>
        <w:tc>
          <w:tcPr>
            <w:tcW w:w="396" w:type="pct"/>
            <w:tcBorders>
              <w:top w:val="nil"/>
              <w:left w:val="nil"/>
              <w:bottom w:val="nil"/>
            </w:tcBorders>
            <w:vAlign w:val="bottom"/>
          </w:tcPr>
          <w:p w14:paraId="408557B1"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65.879</w:t>
            </w:r>
          </w:p>
        </w:tc>
        <w:tc>
          <w:tcPr>
            <w:tcW w:w="395" w:type="pct"/>
            <w:tcBorders>
              <w:top w:val="nil"/>
              <w:left w:val="nil"/>
              <w:bottom w:val="nil"/>
            </w:tcBorders>
          </w:tcPr>
          <w:p w14:paraId="5681ECFA" w14:textId="050AC275"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16D1E31" w14:textId="265CC2D1"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622C22CD" w14:textId="0EE68682"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2400CFB" w14:textId="3A9931EF"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7E3ED258" w14:textId="2D05CE6C"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452" w:type="pct"/>
            <w:tcBorders>
              <w:top w:val="nil"/>
              <w:left w:val="nil"/>
              <w:bottom w:val="nil"/>
            </w:tcBorders>
          </w:tcPr>
          <w:p w14:paraId="4B188004" w14:textId="570772CF"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r>
      <w:tr w:rsidR="00EE533D" w:rsidRPr="00EE533D" w14:paraId="610F4702" w14:textId="77777777" w:rsidTr="00121171">
        <w:trPr>
          <w:trHeight w:val="9"/>
        </w:trPr>
        <w:tc>
          <w:tcPr>
            <w:tcW w:w="1267" w:type="pct"/>
            <w:tcBorders>
              <w:top w:val="nil"/>
              <w:bottom w:val="single" w:sz="12" w:space="0" w:color="auto"/>
              <w:right w:val="nil"/>
            </w:tcBorders>
            <w:shd w:val="clear" w:color="auto" w:fill="auto"/>
            <w:noWrap/>
          </w:tcPr>
          <w:p w14:paraId="7A8A18C3"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Calibri" w:hAnsi="Times New Roman" w:cs="Times New Roman"/>
                <w:b/>
                <w:bCs/>
                <w:sz w:val="16"/>
                <w:szCs w:val="16"/>
                <w:lang w:val="en-GB"/>
              </w:rPr>
              <w:t>C. Financial variables</w:t>
            </w:r>
          </w:p>
        </w:tc>
        <w:tc>
          <w:tcPr>
            <w:tcW w:w="482" w:type="pct"/>
            <w:tcBorders>
              <w:top w:val="nil"/>
              <w:left w:val="nil"/>
              <w:bottom w:val="nil"/>
              <w:right w:val="nil"/>
            </w:tcBorders>
            <w:vAlign w:val="bottom"/>
          </w:tcPr>
          <w:p w14:paraId="1EE4D82B" w14:textId="77777777" w:rsidR="009A4618" w:rsidRPr="00EE533D" w:rsidRDefault="009A4618" w:rsidP="00121171">
            <w:pPr>
              <w:pStyle w:val="NoSpacing"/>
              <w:tabs>
                <w:tab w:val="decimal" w:pos="613"/>
              </w:tabs>
              <w:rPr>
                <w:rFonts w:ascii="Times New Roman" w:hAnsi="Times New Roman" w:cs="Times New Roman"/>
                <w:sz w:val="16"/>
                <w:szCs w:val="16"/>
                <w:lang w:val="en-GB"/>
              </w:rPr>
            </w:pPr>
          </w:p>
        </w:tc>
        <w:tc>
          <w:tcPr>
            <w:tcW w:w="425" w:type="pct"/>
            <w:tcBorders>
              <w:top w:val="nil"/>
              <w:left w:val="nil"/>
              <w:bottom w:val="nil"/>
              <w:right w:val="nil"/>
            </w:tcBorders>
            <w:shd w:val="clear" w:color="auto" w:fill="auto"/>
            <w:noWrap/>
            <w:vAlign w:val="bottom"/>
          </w:tcPr>
          <w:p w14:paraId="4C45AFAE" w14:textId="77777777" w:rsidR="009A4618" w:rsidRPr="00EE533D" w:rsidRDefault="009A4618" w:rsidP="00121171">
            <w:pPr>
              <w:pStyle w:val="NoSpacing"/>
              <w:tabs>
                <w:tab w:val="decimal" w:pos="563"/>
              </w:tabs>
              <w:rPr>
                <w:rFonts w:ascii="Times New Roman" w:hAnsi="Times New Roman" w:cs="Times New Roman"/>
                <w:sz w:val="16"/>
                <w:szCs w:val="16"/>
                <w:lang w:val="en-GB"/>
              </w:rPr>
            </w:pPr>
          </w:p>
        </w:tc>
        <w:tc>
          <w:tcPr>
            <w:tcW w:w="396" w:type="pct"/>
            <w:tcBorders>
              <w:top w:val="nil"/>
              <w:left w:val="nil"/>
              <w:bottom w:val="nil"/>
            </w:tcBorders>
            <w:vAlign w:val="bottom"/>
          </w:tcPr>
          <w:p w14:paraId="287179AF" w14:textId="77777777" w:rsidR="009A4618" w:rsidRPr="00EE533D" w:rsidRDefault="009A4618" w:rsidP="00121171">
            <w:pPr>
              <w:pStyle w:val="NoSpacing"/>
              <w:tabs>
                <w:tab w:val="decimal" w:pos="539"/>
              </w:tabs>
              <w:rPr>
                <w:rFonts w:ascii="Times New Roman" w:hAnsi="Times New Roman" w:cs="Times New Roman"/>
                <w:sz w:val="16"/>
                <w:szCs w:val="16"/>
                <w:lang w:val="en-GB"/>
              </w:rPr>
            </w:pPr>
          </w:p>
        </w:tc>
        <w:tc>
          <w:tcPr>
            <w:tcW w:w="395" w:type="pct"/>
            <w:tcBorders>
              <w:top w:val="nil"/>
              <w:left w:val="nil"/>
              <w:bottom w:val="nil"/>
            </w:tcBorders>
          </w:tcPr>
          <w:p w14:paraId="2455EF64" w14:textId="1465E956" w:rsidR="009A4618" w:rsidRPr="00EE533D" w:rsidRDefault="009A4618" w:rsidP="00121171">
            <w:pPr>
              <w:pStyle w:val="NoSpacing"/>
              <w:tabs>
                <w:tab w:val="decimal" w:pos="299"/>
              </w:tabs>
              <w:rPr>
                <w:rFonts w:ascii="Times New Roman" w:hAnsi="Times New Roman" w:cs="Times New Roman"/>
                <w:sz w:val="16"/>
                <w:szCs w:val="16"/>
                <w:lang w:val="en-GB"/>
              </w:rPr>
            </w:pPr>
          </w:p>
        </w:tc>
        <w:tc>
          <w:tcPr>
            <w:tcW w:w="395" w:type="pct"/>
            <w:tcBorders>
              <w:top w:val="nil"/>
              <w:left w:val="nil"/>
              <w:bottom w:val="nil"/>
            </w:tcBorders>
          </w:tcPr>
          <w:p w14:paraId="0FCD8761" w14:textId="77777777" w:rsidR="009A4618" w:rsidRPr="00EE533D" w:rsidRDefault="009A4618" w:rsidP="00121171">
            <w:pPr>
              <w:pStyle w:val="NoSpacing"/>
              <w:tabs>
                <w:tab w:val="decimal" w:pos="364"/>
              </w:tabs>
              <w:rPr>
                <w:rFonts w:ascii="Times New Roman" w:hAnsi="Times New Roman" w:cs="Times New Roman"/>
                <w:sz w:val="16"/>
                <w:szCs w:val="16"/>
                <w:lang w:val="en-GB"/>
              </w:rPr>
            </w:pPr>
          </w:p>
        </w:tc>
        <w:tc>
          <w:tcPr>
            <w:tcW w:w="395" w:type="pct"/>
            <w:tcBorders>
              <w:top w:val="nil"/>
              <w:left w:val="nil"/>
              <w:bottom w:val="nil"/>
            </w:tcBorders>
          </w:tcPr>
          <w:p w14:paraId="5ACF429E" w14:textId="77777777" w:rsidR="009A4618" w:rsidRPr="00EE533D" w:rsidRDefault="009A4618" w:rsidP="00121171">
            <w:pPr>
              <w:pStyle w:val="NoSpacing"/>
              <w:tabs>
                <w:tab w:val="decimal" w:pos="421"/>
              </w:tabs>
              <w:rPr>
                <w:rFonts w:ascii="Times New Roman" w:hAnsi="Times New Roman" w:cs="Times New Roman"/>
                <w:sz w:val="16"/>
                <w:szCs w:val="16"/>
                <w:lang w:val="en-GB"/>
              </w:rPr>
            </w:pPr>
          </w:p>
        </w:tc>
        <w:tc>
          <w:tcPr>
            <w:tcW w:w="395" w:type="pct"/>
            <w:tcBorders>
              <w:top w:val="nil"/>
              <w:left w:val="nil"/>
              <w:bottom w:val="nil"/>
            </w:tcBorders>
          </w:tcPr>
          <w:p w14:paraId="5C3B91F2" w14:textId="77777777" w:rsidR="009A4618" w:rsidRPr="00EE533D" w:rsidRDefault="009A4618" w:rsidP="00121171">
            <w:pPr>
              <w:pStyle w:val="NoSpacing"/>
              <w:tabs>
                <w:tab w:val="decimal" w:pos="336"/>
              </w:tabs>
              <w:rPr>
                <w:rFonts w:ascii="Times New Roman" w:hAnsi="Times New Roman" w:cs="Times New Roman"/>
                <w:sz w:val="16"/>
                <w:szCs w:val="16"/>
                <w:lang w:val="en-GB"/>
              </w:rPr>
            </w:pPr>
          </w:p>
        </w:tc>
        <w:tc>
          <w:tcPr>
            <w:tcW w:w="395" w:type="pct"/>
            <w:tcBorders>
              <w:top w:val="nil"/>
              <w:left w:val="nil"/>
              <w:bottom w:val="nil"/>
            </w:tcBorders>
          </w:tcPr>
          <w:p w14:paraId="745AD5FD" w14:textId="77777777" w:rsidR="009A4618" w:rsidRPr="00EE533D" w:rsidRDefault="009A4618" w:rsidP="00121171">
            <w:pPr>
              <w:pStyle w:val="NoSpacing"/>
              <w:tabs>
                <w:tab w:val="decimal" w:pos="393"/>
              </w:tabs>
              <w:rPr>
                <w:rFonts w:ascii="Times New Roman" w:hAnsi="Times New Roman" w:cs="Times New Roman"/>
                <w:sz w:val="16"/>
                <w:szCs w:val="16"/>
                <w:lang w:val="en-GB"/>
              </w:rPr>
            </w:pPr>
          </w:p>
        </w:tc>
        <w:tc>
          <w:tcPr>
            <w:tcW w:w="452" w:type="pct"/>
            <w:tcBorders>
              <w:top w:val="nil"/>
              <w:left w:val="nil"/>
              <w:bottom w:val="nil"/>
            </w:tcBorders>
          </w:tcPr>
          <w:p w14:paraId="5BD04C63" w14:textId="77777777" w:rsidR="009A4618" w:rsidRPr="00EE533D" w:rsidRDefault="009A4618" w:rsidP="00121171">
            <w:pPr>
              <w:pStyle w:val="NoSpacing"/>
              <w:tabs>
                <w:tab w:val="decimal" w:pos="307"/>
              </w:tabs>
              <w:rPr>
                <w:rFonts w:ascii="Times New Roman" w:hAnsi="Times New Roman" w:cs="Times New Roman"/>
                <w:sz w:val="16"/>
                <w:szCs w:val="16"/>
                <w:lang w:val="en-GB"/>
              </w:rPr>
            </w:pPr>
          </w:p>
        </w:tc>
      </w:tr>
      <w:tr w:rsidR="00EE533D" w:rsidRPr="00EE533D" w14:paraId="41809DF9" w14:textId="77777777" w:rsidTr="00121171">
        <w:trPr>
          <w:trHeight w:val="9"/>
        </w:trPr>
        <w:tc>
          <w:tcPr>
            <w:tcW w:w="1267" w:type="pct"/>
            <w:tcBorders>
              <w:top w:val="single" w:sz="12" w:space="0" w:color="auto"/>
              <w:bottom w:val="nil"/>
              <w:right w:val="nil"/>
            </w:tcBorders>
            <w:shd w:val="clear" w:color="auto" w:fill="auto"/>
            <w:noWrap/>
          </w:tcPr>
          <w:p w14:paraId="2223F7C9"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Debt/Equity</w:t>
            </w:r>
          </w:p>
        </w:tc>
        <w:tc>
          <w:tcPr>
            <w:tcW w:w="482" w:type="pct"/>
            <w:tcBorders>
              <w:top w:val="nil"/>
              <w:left w:val="nil"/>
              <w:bottom w:val="nil"/>
              <w:right w:val="nil"/>
            </w:tcBorders>
            <w:vAlign w:val="bottom"/>
          </w:tcPr>
          <w:p w14:paraId="58E5AE9D"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75.407</w:t>
            </w:r>
          </w:p>
        </w:tc>
        <w:tc>
          <w:tcPr>
            <w:tcW w:w="425" w:type="pct"/>
            <w:tcBorders>
              <w:top w:val="nil"/>
              <w:left w:val="nil"/>
              <w:bottom w:val="nil"/>
              <w:right w:val="nil"/>
            </w:tcBorders>
            <w:shd w:val="clear" w:color="auto" w:fill="auto"/>
            <w:noWrap/>
            <w:vAlign w:val="bottom"/>
          </w:tcPr>
          <w:p w14:paraId="7E6899A5"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57.780</w:t>
            </w:r>
          </w:p>
        </w:tc>
        <w:tc>
          <w:tcPr>
            <w:tcW w:w="396" w:type="pct"/>
            <w:tcBorders>
              <w:top w:val="nil"/>
              <w:left w:val="nil"/>
              <w:bottom w:val="nil"/>
            </w:tcBorders>
            <w:vAlign w:val="bottom"/>
          </w:tcPr>
          <w:p w14:paraId="0DDB3C44"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60.165</w:t>
            </w:r>
          </w:p>
        </w:tc>
        <w:tc>
          <w:tcPr>
            <w:tcW w:w="395" w:type="pct"/>
            <w:tcBorders>
              <w:top w:val="nil"/>
              <w:left w:val="nil"/>
              <w:bottom w:val="nil"/>
            </w:tcBorders>
          </w:tcPr>
          <w:p w14:paraId="2EA3B0C8" w14:textId="01BB43F5"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8C1A559" w14:textId="4FAA8B2A"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7F1261E" w14:textId="3CC2D0CA"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9501E20" w14:textId="246AFFD6"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0.387</w:t>
            </w:r>
          </w:p>
        </w:tc>
        <w:tc>
          <w:tcPr>
            <w:tcW w:w="395" w:type="pct"/>
            <w:tcBorders>
              <w:top w:val="nil"/>
              <w:left w:val="nil"/>
              <w:bottom w:val="nil"/>
            </w:tcBorders>
          </w:tcPr>
          <w:p w14:paraId="31A06135" w14:textId="50DFE251"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70BDEED7" w14:textId="6EAC5700"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393BC0" w:rsidRPr="00EE533D">
              <w:rPr>
                <w:rFonts w:ascii="Times New Roman" w:hAnsi="Times New Roman" w:cs="Times New Roman"/>
                <w:sz w:val="16"/>
                <w:szCs w:val="16"/>
                <w:lang w:val="en-GB"/>
              </w:rPr>
              <w:t>2</w:t>
            </w:r>
            <w:r w:rsidRPr="00EE533D">
              <w:rPr>
                <w:rFonts w:ascii="Times New Roman" w:hAnsi="Times New Roman" w:cs="Times New Roman"/>
                <w:sz w:val="16"/>
                <w:szCs w:val="16"/>
                <w:lang w:val="en-GB"/>
              </w:rPr>
              <w:t>***</w:t>
            </w:r>
          </w:p>
        </w:tc>
      </w:tr>
      <w:tr w:rsidR="00EE533D" w:rsidRPr="00EE533D" w14:paraId="03A7F847" w14:textId="77777777" w:rsidTr="00121171">
        <w:trPr>
          <w:trHeight w:val="9"/>
        </w:trPr>
        <w:tc>
          <w:tcPr>
            <w:tcW w:w="1267" w:type="pct"/>
            <w:tcBorders>
              <w:top w:val="nil"/>
              <w:bottom w:val="nil"/>
              <w:right w:val="nil"/>
            </w:tcBorders>
            <w:shd w:val="clear" w:color="auto" w:fill="auto"/>
            <w:noWrap/>
          </w:tcPr>
          <w:p w14:paraId="7E393AA3"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Debt/Assets</w:t>
            </w:r>
          </w:p>
        </w:tc>
        <w:tc>
          <w:tcPr>
            <w:tcW w:w="482" w:type="pct"/>
            <w:tcBorders>
              <w:top w:val="nil"/>
              <w:left w:val="nil"/>
              <w:bottom w:val="nil"/>
              <w:right w:val="nil"/>
            </w:tcBorders>
            <w:vAlign w:val="bottom"/>
          </w:tcPr>
          <w:p w14:paraId="748B6F9B"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26.451</w:t>
            </w:r>
          </w:p>
        </w:tc>
        <w:tc>
          <w:tcPr>
            <w:tcW w:w="425" w:type="pct"/>
            <w:tcBorders>
              <w:top w:val="nil"/>
              <w:left w:val="nil"/>
              <w:bottom w:val="nil"/>
              <w:right w:val="nil"/>
            </w:tcBorders>
            <w:shd w:val="clear" w:color="auto" w:fill="auto"/>
            <w:noWrap/>
            <w:vAlign w:val="bottom"/>
          </w:tcPr>
          <w:p w14:paraId="244578D5"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14.002</w:t>
            </w:r>
          </w:p>
        </w:tc>
        <w:tc>
          <w:tcPr>
            <w:tcW w:w="396" w:type="pct"/>
            <w:tcBorders>
              <w:top w:val="nil"/>
              <w:left w:val="nil"/>
              <w:bottom w:val="nil"/>
            </w:tcBorders>
            <w:vAlign w:val="bottom"/>
          </w:tcPr>
          <w:p w14:paraId="18395009"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26.263</w:t>
            </w:r>
          </w:p>
        </w:tc>
        <w:tc>
          <w:tcPr>
            <w:tcW w:w="395" w:type="pct"/>
            <w:tcBorders>
              <w:top w:val="nil"/>
              <w:left w:val="nil"/>
              <w:bottom w:val="nil"/>
            </w:tcBorders>
          </w:tcPr>
          <w:p w14:paraId="69C015C6" w14:textId="701C1306"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9104917" w14:textId="5CA9AFC9"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0D0AA02" w14:textId="18D0ABA1"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016E079" w14:textId="5F95C5A7"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8AE6251" w14:textId="17E195B9"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14FE87AF" w14:textId="62B2ACEB"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18D95BF7" w14:textId="77777777" w:rsidTr="00121171">
        <w:trPr>
          <w:trHeight w:val="9"/>
        </w:trPr>
        <w:tc>
          <w:tcPr>
            <w:tcW w:w="1267" w:type="pct"/>
            <w:tcBorders>
              <w:top w:val="nil"/>
              <w:bottom w:val="nil"/>
              <w:right w:val="nil"/>
            </w:tcBorders>
            <w:shd w:val="clear" w:color="auto" w:fill="auto"/>
            <w:noWrap/>
          </w:tcPr>
          <w:p w14:paraId="5DEC7C01"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Sales Growth</w:t>
            </w:r>
          </w:p>
        </w:tc>
        <w:tc>
          <w:tcPr>
            <w:tcW w:w="482" w:type="pct"/>
            <w:tcBorders>
              <w:top w:val="nil"/>
              <w:left w:val="nil"/>
              <w:bottom w:val="nil"/>
              <w:right w:val="nil"/>
            </w:tcBorders>
            <w:vAlign w:val="bottom"/>
          </w:tcPr>
          <w:p w14:paraId="545E25C0"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6.445</w:t>
            </w:r>
          </w:p>
        </w:tc>
        <w:tc>
          <w:tcPr>
            <w:tcW w:w="425" w:type="pct"/>
            <w:tcBorders>
              <w:top w:val="nil"/>
              <w:left w:val="nil"/>
              <w:bottom w:val="nil"/>
              <w:right w:val="nil"/>
            </w:tcBorders>
            <w:shd w:val="clear" w:color="auto" w:fill="auto"/>
            <w:noWrap/>
            <w:vAlign w:val="bottom"/>
          </w:tcPr>
          <w:p w14:paraId="3ADB2C77"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12.612</w:t>
            </w:r>
          </w:p>
        </w:tc>
        <w:tc>
          <w:tcPr>
            <w:tcW w:w="396" w:type="pct"/>
            <w:tcBorders>
              <w:top w:val="nil"/>
              <w:left w:val="nil"/>
              <w:bottom w:val="nil"/>
            </w:tcBorders>
            <w:vAlign w:val="bottom"/>
          </w:tcPr>
          <w:p w14:paraId="0545926C"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4.995</w:t>
            </w:r>
          </w:p>
        </w:tc>
        <w:tc>
          <w:tcPr>
            <w:tcW w:w="395" w:type="pct"/>
            <w:tcBorders>
              <w:top w:val="nil"/>
              <w:left w:val="nil"/>
              <w:bottom w:val="nil"/>
            </w:tcBorders>
          </w:tcPr>
          <w:p w14:paraId="590EEDC2" w14:textId="0012CC43"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CC411FB" w14:textId="74C99093"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8F2903D" w14:textId="1854F597"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C946DFF" w14:textId="0FCC7EB3"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54C909A" w14:textId="31F80D0D"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0.001***</w:t>
            </w:r>
          </w:p>
        </w:tc>
        <w:tc>
          <w:tcPr>
            <w:tcW w:w="452" w:type="pct"/>
            <w:tcBorders>
              <w:top w:val="nil"/>
              <w:left w:val="nil"/>
              <w:bottom w:val="nil"/>
            </w:tcBorders>
          </w:tcPr>
          <w:p w14:paraId="555429ED" w14:textId="62ACC497"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2F4340" w:rsidRPr="00EE533D">
              <w:rPr>
                <w:rFonts w:ascii="Times New Roman" w:hAnsi="Times New Roman" w:cs="Times New Roman"/>
                <w:sz w:val="16"/>
                <w:szCs w:val="16"/>
                <w:lang w:val="en-GB"/>
              </w:rPr>
              <w:t>0</w:t>
            </w:r>
            <w:r w:rsidRPr="00EE533D">
              <w:rPr>
                <w:rFonts w:ascii="Times New Roman" w:hAnsi="Times New Roman" w:cs="Times New Roman"/>
                <w:sz w:val="16"/>
                <w:szCs w:val="16"/>
                <w:lang w:val="en-GB"/>
              </w:rPr>
              <w:t>***</w:t>
            </w:r>
          </w:p>
        </w:tc>
      </w:tr>
      <w:tr w:rsidR="00EE533D" w:rsidRPr="00EE533D" w14:paraId="769DE801" w14:textId="77777777" w:rsidTr="00121171">
        <w:trPr>
          <w:trHeight w:val="9"/>
        </w:trPr>
        <w:tc>
          <w:tcPr>
            <w:tcW w:w="1267" w:type="pct"/>
            <w:tcBorders>
              <w:top w:val="nil"/>
              <w:bottom w:val="nil"/>
              <w:right w:val="nil"/>
            </w:tcBorders>
            <w:shd w:val="clear" w:color="auto" w:fill="auto"/>
            <w:noWrap/>
          </w:tcPr>
          <w:p w14:paraId="65A9D7AA"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EBITDA/Revenue</w:t>
            </w:r>
          </w:p>
        </w:tc>
        <w:tc>
          <w:tcPr>
            <w:tcW w:w="482" w:type="pct"/>
            <w:tcBorders>
              <w:top w:val="nil"/>
              <w:left w:val="nil"/>
              <w:bottom w:val="nil"/>
              <w:right w:val="nil"/>
            </w:tcBorders>
            <w:vAlign w:val="bottom"/>
          </w:tcPr>
          <w:p w14:paraId="3FC372CB"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17.730</w:t>
            </w:r>
          </w:p>
        </w:tc>
        <w:tc>
          <w:tcPr>
            <w:tcW w:w="425" w:type="pct"/>
            <w:tcBorders>
              <w:top w:val="nil"/>
              <w:left w:val="nil"/>
              <w:bottom w:val="nil"/>
              <w:right w:val="nil"/>
            </w:tcBorders>
            <w:shd w:val="clear" w:color="auto" w:fill="auto"/>
            <w:noWrap/>
            <w:vAlign w:val="bottom"/>
          </w:tcPr>
          <w:p w14:paraId="4817AE03"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10.911</w:t>
            </w:r>
          </w:p>
        </w:tc>
        <w:tc>
          <w:tcPr>
            <w:tcW w:w="396" w:type="pct"/>
            <w:tcBorders>
              <w:top w:val="nil"/>
              <w:left w:val="nil"/>
              <w:bottom w:val="nil"/>
            </w:tcBorders>
            <w:vAlign w:val="bottom"/>
          </w:tcPr>
          <w:p w14:paraId="4F7B81E1"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15.031</w:t>
            </w:r>
          </w:p>
        </w:tc>
        <w:tc>
          <w:tcPr>
            <w:tcW w:w="395" w:type="pct"/>
            <w:tcBorders>
              <w:top w:val="nil"/>
              <w:left w:val="nil"/>
              <w:bottom w:val="nil"/>
            </w:tcBorders>
          </w:tcPr>
          <w:p w14:paraId="503277F1" w14:textId="52FCBCF9"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0.838</w:t>
            </w:r>
          </w:p>
        </w:tc>
        <w:tc>
          <w:tcPr>
            <w:tcW w:w="395" w:type="pct"/>
            <w:tcBorders>
              <w:top w:val="nil"/>
              <w:left w:val="nil"/>
              <w:bottom w:val="nil"/>
            </w:tcBorders>
          </w:tcPr>
          <w:p w14:paraId="3B304546" w14:textId="750C1D58"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45DE5769" w14:textId="7F38AA90"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DCC2DD5" w14:textId="33254323"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D074AA7" w14:textId="53DB2F2D"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0.353</w:t>
            </w:r>
          </w:p>
        </w:tc>
        <w:tc>
          <w:tcPr>
            <w:tcW w:w="452" w:type="pct"/>
            <w:tcBorders>
              <w:top w:val="nil"/>
              <w:left w:val="nil"/>
              <w:bottom w:val="nil"/>
            </w:tcBorders>
          </w:tcPr>
          <w:p w14:paraId="3BC7AF53" w14:textId="1C2397F6"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2F4340" w:rsidRPr="00EE533D">
              <w:rPr>
                <w:rFonts w:ascii="Times New Roman" w:hAnsi="Times New Roman" w:cs="Times New Roman"/>
                <w:sz w:val="16"/>
                <w:szCs w:val="16"/>
                <w:lang w:val="en-GB"/>
              </w:rPr>
              <w:t>804</w:t>
            </w:r>
          </w:p>
        </w:tc>
      </w:tr>
      <w:tr w:rsidR="00EE533D" w:rsidRPr="00EE533D" w14:paraId="4FF60C88" w14:textId="77777777" w:rsidTr="00121171">
        <w:trPr>
          <w:trHeight w:val="9"/>
        </w:trPr>
        <w:tc>
          <w:tcPr>
            <w:tcW w:w="1267" w:type="pct"/>
            <w:tcBorders>
              <w:top w:val="nil"/>
              <w:bottom w:val="nil"/>
              <w:right w:val="nil"/>
            </w:tcBorders>
            <w:shd w:val="clear" w:color="auto" w:fill="auto"/>
            <w:noWrap/>
          </w:tcPr>
          <w:p w14:paraId="22DA5AF0"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Cash Ratio</w:t>
            </w:r>
          </w:p>
        </w:tc>
        <w:tc>
          <w:tcPr>
            <w:tcW w:w="482" w:type="pct"/>
            <w:tcBorders>
              <w:top w:val="nil"/>
              <w:left w:val="nil"/>
              <w:bottom w:val="nil"/>
              <w:right w:val="nil"/>
            </w:tcBorders>
            <w:vAlign w:val="bottom"/>
          </w:tcPr>
          <w:p w14:paraId="2DDF644F"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0.490</w:t>
            </w:r>
          </w:p>
        </w:tc>
        <w:tc>
          <w:tcPr>
            <w:tcW w:w="425" w:type="pct"/>
            <w:tcBorders>
              <w:top w:val="nil"/>
              <w:left w:val="nil"/>
              <w:bottom w:val="nil"/>
              <w:right w:val="nil"/>
            </w:tcBorders>
            <w:shd w:val="clear" w:color="auto" w:fill="auto"/>
            <w:noWrap/>
            <w:vAlign w:val="bottom"/>
          </w:tcPr>
          <w:p w14:paraId="6E17EA3C"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0.385</w:t>
            </w:r>
          </w:p>
        </w:tc>
        <w:tc>
          <w:tcPr>
            <w:tcW w:w="396" w:type="pct"/>
            <w:tcBorders>
              <w:top w:val="nil"/>
              <w:left w:val="nil"/>
              <w:bottom w:val="nil"/>
            </w:tcBorders>
            <w:vAlign w:val="bottom"/>
          </w:tcPr>
          <w:p w14:paraId="26820133"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0.361</w:t>
            </w:r>
          </w:p>
        </w:tc>
        <w:tc>
          <w:tcPr>
            <w:tcW w:w="395" w:type="pct"/>
            <w:tcBorders>
              <w:top w:val="nil"/>
              <w:left w:val="nil"/>
              <w:bottom w:val="nil"/>
            </w:tcBorders>
          </w:tcPr>
          <w:p w14:paraId="6474CFAD" w14:textId="72F9C592"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0500AFE" w14:textId="787E533A"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0.030**</w:t>
            </w:r>
          </w:p>
        </w:tc>
        <w:tc>
          <w:tcPr>
            <w:tcW w:w="395" w:type="pct"/>
            <w:tcBorders>
              <w:top w:val="nil"/>
              <w:left w:val="nil"/>
              <w:bottom w:val="nil"/>
            </w:tcBorders>
          </w:tcPr>
          <w:p w14:paraId="49C2A8BC" w14:textId="54D125FB"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4BD014E1" w14:textId="3EF369A2"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0.039**</w:t>
            </w:r>
          </w:p>
        </w:tc>
        <w:tc>
          <w:tcPr>
            <w:tcW w:w="395" w:type="pct"/>
            <w:tcBorders>
              <w:top w:val="nil"/>
              <w:left w:val="nil"/>
              <w:bottom w:val="nil"/>
            </w:tcBorders>
          </w:tcPr>
          <w:p w14:paraId="08BDDAC0" w14:textId="36ABAE3C"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0.004***</w:t>
            </w:r>
          </w:p>
        </w:tc>
        <w:tc>
          <w:tcPr>
            <w:tcW w:w="452" w:type="pct"/>
            <w:tcBorders>
              <w:top w:val="nil"/>
              <w:left w:val="nil"/>
              <w:bottom w:val="nil"/>
            </w:tcBorders>
          </w:tcPr>
          <w:p w14:paraId="767DB783" w14:textId="3B65DAA5"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BA307C" w:rsidRPr="00EE533D">
              <w:rPr>
                <w:rFonts w:ascii="Times New Roman" w:hAnsi="Times New Roman" w:cs="Times New Roman"/>
                <w:sz w:val="16"/>
                <w:szCs w:val="16"/>
                <w:lang w:val="en-GB"/>
              </w:rPr>
              <w:t>0</w:t>
            </w:r>
            <w:r w:rsidRPr="00EE533D">
              <w:rPr>
                <w:rFonts w:ascii="Times New Roman" w:hAnsi="Times New Roman" w:cs="Times New Roman"/>
                <w:sz w:val="16"/>
                <w:szCs w:val="16"/>
                <w:lang w:val="en-GB"/>
              </w:rPr>
              <w:t>***</w:t>
            </w:r>
          </w:p>
        </w:tc>
      </w:tr>
      <w:tr w:rsidR="00EE533D" w:rsidRPr="00EE533D" w14:paraId="7B619097" w14:textId="77777777" w:rsidTr="00121171">
        <w:trPr>
          <w:trHeight w:val="9"/>
        </w:trPr>
        <w:tc>
          <w:tcPr>
            <w:tcW w:w="1267" w:type="pct"/>
            <w:tcBorders>
              <w:top w:val="nil"/>
              <w:bottom w:val="nil"/>
              <w:right w:val="nil"/>
            </w:tcBorders>
            <w:shd w:val="clear" w:color="auto" w:fill="auto"/>
            <w:noWrap/>
          </w:tcPr>
          <w:p w14:paraId="2D4BA5A2"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Quick Ratio</w:t>
            </w:r>
          </w:p>
        </w:tc>
        <w:tc>
          <w:tcPr>
            <w:tcW w:w="482" w:type="pct"/>
            <w:tcBorders>
              <w:top w:val="nil"/>
              <w:left w:val="nil"/>
              <w:bottom w:val="nil"/>
              <w:right w:val="nil"/>
            </w:tcBorders>
            <w:vAlign w:val="bottom"/>
          </w:tcPr>
          <w:p w14:paraId="4A1E04BA"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0.932</w:t>
            </w:r>
          </w:p>
        </w:tc>
        <w:tc>
          <w:tcPr>
            <w:tcW w:w="425" w:type="pct"/>
            <w:tcBorders>
              <w:top w:val="nil"/>
              <w:left w:val="nil"/>
              <w:bottom w:val="nil"/>
              <w:right w:val="nil"/>
            </w:tcBorders>
            <w:shd w:val="clear" w:color="auto" w:fill="auto"/>
            <w:noWrap/>
            <w:vAlign w:val="bottom"/>
          </w:tcPr>
          <w:p w14:paraId="7CA83B58"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0.486</w:t>
            </w:r>
          </w:p>
        </w:tc>
        <w:tc>
          <w:tcPr>
            <w:tcW w:w="396" w:type="pct"/>
            <w:tcBorders>
              <w:top w:val="nil"/>
              <w:left w:val="nil"/>
              <w:bottom w:val="nil"/>
            </w:tcBorders>
            <w:vAlign w:val="bottom"/>
          </w:tcPr>
          <w:p w14:paraId="5CF98EC3"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0.806</w:t>
            </w:r>
          </w:p>
        </w:tc>
        <w:tc>
          <w:tcPr>
            <w:tcW w:w="395" w:type="pct"/>
            <w:tcBorders>
              <w:top w:val="nil"/>
              <w:left w:val="nil"/>
              <w:bottom w:val="nil"/>
            </w:tcBorders>
          </w:tcPr>
          <w:p w14:paraId="6CE6A8FA" w14:textId="53B55F1D"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0.048**</w:t>
            </w:r>
          </w:p>
        </w:tc>
        <w:tc>
          <w:tcPr>
            <w:tcW w:w="395" w:type="pct"/>
            <w:tcBorders>
              <w:top w:val="nil"/>
              <w:left w:val="nil"/>
              <w:bottom w:val="nil"/>
            </w:tcBorders>
          </w:tcPr>
          <w:p w14:paraId="67ED6C5D" w14:textId="2782341F"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0.014**</w:t>
            </w:r>
          </w:p>
        </w:tc>
        <w:tc>
          <w:tcPr>
            <w:tcW w:w="395" w:type="pct"/>
            <w:tcBorders>
              <w:top w:val="nil"/>
              <w:left w:val="nil"/>
              <w:bottom w:val="nil"/>
            </w:tcBorders>
          </w:tcPr>
          <w:p w14:paraId="1A631B35" w14:textId="24C51903"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0.045**</w:t>
            </w:r>
          </w:p>
        </w:tc>
        <w:tc>
          <w:tcPr>
            <w:tcW w:w="395" w:type="pct"/>
            <w:tcBorders>
              <w:top w:val="nil"/>
              <w:left w:val="nil"/>
              <w:bottom w:val="nil"/>
            </w:tcBorders>
          </w:tcPr>
          <w:p w14:paraId="6717778D" w14:textId="1385B794"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A523803" w14:textId="1997F67E"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0F3B9220" w14:textId="23A73FE8"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337BB4" w:rsidRPr="00EE533D">
              <w:rPr>
                <w:rFonts w:ascii="Times New Roman" w:hAnsi="Times New Roman" w:cs="Times New Roman"/>
                <w:sz w:val="16"/>
                <w:szCs w:val="16"/>
                <w:lang w:val="en-GB"/>
              </w:rPr>
              <w:t>5</w:t>
            </w:r>
            <w:r w:rsidRPr="00EE533D">
              <w:rPr>
                <w:rFonts w:ascii="Times New Roman" w:hAnsi="Times New Roman" w:cs="Times New Roman"/>
                <w:sz w:val="16"/>
                <w:szCs w:val="16"/>
                <w:lang w:val="en-GB"/>
              </w:rPr>
              <w:t>***</w:t>
            </w:r>
          </w:p>
        </w:tc>
      </w:tr>
      <w:tr w:rsidR="00EE533D" w:rsidRPr="00EE533D" w14:paraId="329C0EF1" w14:textId="77777777" w:rsidTr="00121171">
        <w:trPr>
          <w:trHeight w:val="9"/>
        </w:trPr>
        <w:tc>
          <w:tcPr>
            <w:tcW w:w="1267" w:type="pct"/>
            <w:tcBorders>
              <w:top w:val="nil"/>
              <w:bottom w:val="nil"/>
              <w:right w:val="nil"/>
            </w:tcBorders>
            <w:shd w:val="clear" w:color="auto" w:fill="auto"/>
            <w:noWrap/>
          </w:tcPr>
          <w:p w14:paraId="68F4EF2F"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Assets (M$)</w:t>
            </w:r>
          </w:p>
        </w:tc>
        <w:tc>
          <w:tcPr>
            <w:tcW w:w="482" w:type="pct"/>
            <w:tcBorders>
              <w:top w:val="nil"/>
              <w:left w:val="nil"/>
              <w:bottom w:val="nil"/>
              <w:right w:val="nil"/>
            </w:tcBorders>
            <w:vAlign w:val="bottom"/>
          </w:tcPr>
          <w:p w14:paraId="1788C182"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10113.027</w:t>
            </w:r>
          </w:p>
        </w:tc>
        <w:tc>
          <w:tcPr>
            <w:tcW w:w="425" w:type="pct"/>
            <w:tcBorders>
              <w:top w:val="nil"/>
              <w:left w:val="nil"/>
              <w:bottom w:val="nil"/>
              <w:right w:val="nil"/>
            </w:tcBorders>
            <w:shd w:val="clear" w:color="auto" w:fill="auto"/>
            <w:noWrap/>
            <w:vAlign w:val="bottom"/>
          </w:tcPr>
          <w:p w14:paraId="74744D20"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12178.556</w:t>
            </w:r>
          </w:p>
        </w:tc>
        <w:tc>
          <w:tcPr>
            <w:tcW w:w="396" w:type="pct"/>
            <w:tcBorders>
              <w:top w:val="nil"/>
              <w:left w:val="nil"/>
              <w:bottom w:val="nil"/>
            </w:tcBorders>
            <w:vAlign w:val="bottom"/>
          </w:tcPr>
          <w:p w14:paraId="2CBFA79B"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4505.711</w:t>
            </w:r>
          </w:p>
        </w:tc>
        <w:tc>
          <w:tcPr>
            <w:tcW w:w="395" w:type="pct"/>
            <w:tcBorders>
              <w:top w:val="nil"/>
              <w:left w:val="nil"/>
              <w:bottom w:val="nil"/>
            </w:tcBorders>
          </w:tcPr>
          <w:p w14:paraId="4F8DBD33" w14:textId="6E2E2062"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BA029D8" w14:textId="29834B51"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A71EE8E" w14:textId="5C98CB9A"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0.024***</w:t>
            </w:r>
          </w:p>
        </w:tc>
        <w:tc>
          <w:tcPr>
            <w:tcW w:w="395" w:type="pct"/>
            <w:tcBorders>
              <w:top w:val="nil"/>
              <w:left w:val="nil"/>
              <w:bottom w:val="nil"/>
            </w:tcBorders>
          </w:tcPr>
          <w:p w14:paraId="1FD98213" w14:textId="3A47FC4C"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65FC720" w14:textId="75D7F75E"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5367079E" w14:textId="00868EE9"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337BB4" w:rsidRPr="00EE533D">
              <w:rPr>
                <w:rFonts w:ascii="Times New Roman" w:hAnsi="Times New Roman" w:cs="Times New Roman"/>
                <w:sz w:val="16"/>
                <w:szCs w:val="16"/>
                <w:lang w:val="en-GB"/>
              </w:rPr>
              <w:t>0</w:t>
            </w:r>
            <w:r w:rsidRPr="00EE533D">
              <w:rPr>
                <w:rFonts w:ascii="Times New Roman" w:hAnsi="Times New Roman" w:cs="Times New Roman"/>
                <w:sz w:val="16"/>
                <w:szCs w:val="16"/>
                <w:lang w:val="en-GB"/>
              </w:rPr>
              <w:t>***</w:t>
            </w:r>
          </w:p>
        </w:tc>
      </w:tr>
      <w:tr w:rsidR="00EE533D" w:rsidRPr="00EE533D" w14:paraId="2A9AF306" w14:textId="77777777" w:rsidTr="00121171">
        <w:trPr>
          <w:trHeight w:val="9"/>
        </w:trPr>
        <w:tc>
          <w:tcPr>
            <w:tcW w:w="1267" w:type="pct"/>
            <w:tcBorders>
              <w:top w:val="nil"/>
              <w:bottom w:val="nil"/>
              <w:right w:val="nil"/>
            </w:tcBorders>
            <w:shd w:val="clear" w:color="auto" w:fill="auto"/>
            <w:noWrap/>
          </w:tcPr>
          <w:p w14:paraId="27F60586"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Capitalization (M$)</w:t>
            </w:r>
          </w:p>
        </w:tc>
        <w:tc>
          <w:tcPr>
            <w:tcW w:w="482" w:type="pct"/>
            <w:tcBorders>
              <w:top w:val="nil"/>
              <w:left w:val="nil"/>
              <w:bottom w:val="nil"/>
              <w:right w:val="nil"/>
            </w:tcBorders>
            <w:vAlign w:val="bottom"/>
          </w:tcPr>
          <w:p w14:paraId="243EB495"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8523.571</w:t>
            </w:r>
          </w:p>
        </w:tc>
        <w:tc>
          <w:tcPr>
            <w:tcW w:w="425" w:type="pct"/>
            <w:tcBorders>
              <w:top w:val="nil"/>
              <w:left w:val="nil"/>
              <w:bottom w:val="nil"/>
              <w:right w:val="nil"/>
            </w:tcBorders>
            <w:shd w:val="clear" w:color="auto" w:fill="auto"/>
            <w:noWrap/>
            <w:vAlign w:val="bottom"/>
          </w:tcPr>
          <w:p w14:paraId="14A275DF"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10666.221</w:t>
            </w:r>
          </w:p>
        </w:tc>
        <w:tc>
          <w:tcPr>
            <w:tcW w:w="396" w:type="pct"/>
            <w:tcBorders>
              <w:top w:val="nil"/>
              <w:left w:val="nil"/>
              <w:bottom w:val="nil"/>
            </w:tcBorders>
            <w:vAlign w:val="bottom"/>
          </w:tcPr>
          <w:p w14:paraId="3790B943"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3537.992</w:t>
            </w:r>
          </w:p>
        </w:tc>
        <w:tc>
          <w:tcPr>
            <w:tcW w:w="395" w:type="pct"/>
            <w:tcBorders>
              <w:top w:val="nil"/>
              <w:left w:val="nil"/>
              <w:bottom w:val="nil"/>
            </w:tcBorders>
          </w:tcPr>
          <w:p w14:paraId="46202398" w14:textId="7A9D5319"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A025968" w14:textId="2CED30E1"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72CC6CC" w14:textId="27F55CB2"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0.165</w:t>
            </w:r>
          </w:p>
        </w:tc>
        <w:tc>
          <w:tcPr>
            <w:tcW w:w="395" w:type="pct"/>
            <w:tcBorders>
              <w:top w:val="nil"/>
              <w:left w:val="nil"/>
              <w:bottom w:val="nil"/>
            </w:tcBorders>
          </w:tcPr>
          <w:p w14:paraId="7BD335AE" w14:textId="78264B76"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0BF4F8A" w14:textId="7939C8CE"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765B60BC" w14:textId="36D4689F"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7AF77B22" w14:textId="77777777" w:rsidTr="00121171">
        <w:trPr>
          <w:trHeight w:val="9"/>
        </w:trPr>
        <w:tc>
          <w:tcPr>
            <w:tcW w:w="1267" w:type="pct"/>
            <w:tcBorders>
              <w:top w:val="nil"/>
              <w:bottom w:val="nil"/>
              <w:right w:val="nil"/>
            </w:tcBorders>
            <w:shd w:val="clear" w:color="auto" w:fill="auto"/>
            <w:noWrap/>
          </w:tcPr>
          <w:p w14:paraId="156A0838"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ROA</w:t>
            </w:r>
          </w:p>
        </w:tc>
        <w:tc>
          <w:tcPr>
            <w:tcW w:w="482" w:type="pct"/>
            <w:tcBorders>
              <w:top w:val="nil"/>
              <w:left w:val="nil"/>
              <w:bottom w:val="nil"/>
              <w:right w:val="nil"/>
            </w:tcBorders>
            <w:vAlign w:val="bottom"/>
          </w:tcPr>
          <w:p w14:paraId="1FCA1A6C"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4.771</w:t>
            </w:r>
          </w:p>
        </w:tc>
        <w:tc>
          <w:tcPr>
            <w:tcW w:w="425" w:type="pct"/>
            <w:tcBorders>
              <w:top w:val="nil"/>
              <w:left w:val="nil"/>
              <w:bottom w:val="nil"/>
              <w:right w:val="nil"/>
            </w:tcBorders>
            <w:shd w:val="clear" w:color="auto" w:fill="auto"/>
            <w:noWrap/>
            <w:vAlign w:val="bottom"/>
          </w:tcPr>
          <w:p w14:paraId="27645F0D"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4.427</w:t>
            </w:r>
          </w:p>
        </w:tc>
        <w:tc>
          <w:tcPr>
            <w:tcW w:w="396" w:type="pct"/>
            <w:tcBorders>
              <w:top w:val="nil"/>
              <w:left w:val="nil"/>
              <w:bottom w:val="nil"/>
            </w:tcBorders>
            <w:vAlign w:val="bottom"/>
          </w:tcPr>
          <w:p w14:paraId="509F49F1"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4.211</w:t>
            </w:r>
          </w:p>
        </w:tc>
        <w:tc>
          <w:tcPr>
            <w:tcW w:w="395" w:type="pct"/>
            <w:tcBorders>
              <w:top w:val="nil"/>
              <w:left w:val="nil"/>
              <w:bottom w:val="nil"/>
            </w:tcBorders>
          </w:tcPr>
          <w:p w14:paraId="09E482B0" w14:textId="30F9CAF4"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0.007***</w:t>
            </w:r>
          </w:p>
        </w:tc>
        <w:tc>
          <w:tcPr>
            <w:tcW w:w="395" w:type="pct"/>
            <w:tcBorders>
              <w:top w:val="nil"/>
              <w:left w:val="nil"/>
              <w:bottom w:val="nil"/>
            </w:tcBorders>
          </w:tcPr>
          <w:p w14:paraId="1E764F24" w14:textId="2358CDF7"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0.818</w:t>
            </w:r>
          </w:p>
        </w:tc>
        <w:tc>
          <w:tcPr>
            <w:tcW w:w="395" w:type="pct"/>
            <w:tcBorders>
              <w:top w:val="nil"/>
              <w:left w:val="nil"/>
              <w:bottom w:val="nil"/>
            </w:tcBorders>
          </w:tcPr>
          <w:p w14:paraId="3BC6CA35" w14:textId="29450C40"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4481A96" w14:textId="2FC6D453"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0.003***</w:t>
            </w:r>
          </w:p>
        </w:tc>
        <w:tc>
          <w:tcPr>
            <w:tcW w:w="395" w:type="pct"/>
            <w:tcBorders>
              <w:top w:val="nil"/>
              <w:left w:val="nil"/>
              <w:bottom w:val="nil"/>
            </w:tcBorders>
          </w:tcPr>
          <w:p w14:paraId="6D30C355" w14:textId="2EDFCB62"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0.002***</w:t>
            </w:r>
          </w:p>
        </w:tc>
        <w:tc>
          <w:tcPr>
            <w:tcW w:w="452" w:type="pct"/>
            <w:tcBorders>
              <w:top w:val="nil"/>
              <w:left w:val="nil"/>
              <w:bottom w:val="nil"/>
            </w:tcBorders>
          </w:tcPr>
          <w:p w14:paraId="02C281BA" w14:textId="42E5ED6E"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E67C39" w:rsidRPr="00EE533D">
              <w:rPr>
                <w:rFonts w:ascii="Times New Roman" w:hAnsi="Times New Roman" w:cs="Times New Roman"/>
                <w:sz w:val="16"/>
                <w:szCs w:val="16"/>
                <w:lang w:val="en-GB"/>
              </w:rPr>
              <w:t>365</w:t>
            </w:r>
          </w:p>
        </w:tc>
      </w:tr>
      <w:tr w:rsidR="00EE533D" w:rsidRPr="00EE533D" w14:paraId="343C8DDC" w14:textId="77777777" w:rsidTr="00121171">
        <w:trPr>
          <w:trHeight w:val="9"/>
        </w:trPr>
        <w:tc>
          <w:tcPr>
            <w:tcW w:w="1267" w:type="pct"/>
            <w:tcBorders>
              <w:top w:val="nil"/>
              <w:bottom w:val="nil"/>
              <w:right w:val="nil"/>
            </w:tcBorders>
            <w:shd w:val="clear" w:color="auto" w:fill="auto"/>
            <w:noWrap/>
          </w:tcPr>
          <w:p w14:paraId="033BBAE6"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Tobin’s Q</w:t>
            </w:r>
          </w:p>
        </w:tc>
        <w:tc>
          <w:tcPr>
            <w:tcW w:w="482" w:type="pct"/>
            <w:tcBorders>
              <w:top w:val="nil"/>
              <w:left w:val="nil"/>
              <w:bottom w:val="nil"/>
              <w:right w:val="nil"/>
            </w:tcBorders>
            <w:vAlign w:val="bottom"/>
          </w:tcPr>
          <w:p w14:paraId="257DB132"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1.577</w:t>
            </w:r>
          </w:p>
        </w:tc>
        <w:tc>
          <w:tcPr>
            <w:tcW w:w="425" w:type="pct"/>
            <w:tcBorders>
              <w:top w:val="nil"/>
              <w:left w:val="nil"/>
              <w:bottom w:val="nil"/>
              <w:right w:val="nil"/>
            </w:tcBorders>
            <w:shd w:val="clear" w:color="auto" w:fill="auto"/>
            <w:noWrap/>
            <w:vAlign w:val="bottom"/>
          </w:tcPr>
          <w:p w14:paraId="62038203"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0.700</w:t>
            </w:r>
          </w:p>
        </w:tc>
        <w:tc>
          <w:tcPr>
            <w:tcW w:w="396" w:type="pct"/>
            <w:tcBorders>
              <w:top w:val="nil"/>
              <w:left w:val="nil"/>
              <w:bottom w:val="nil"/>
            </w:tcBorders>
            <w:vAlign w:val="bottom"/>
          </w:tcPr>
          <w:p w14:paraId="3B9F9C6F"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1.320</w:t>
            </w:r>
          </w:p>
        </w:tc>
        <w:tc>
          <w:tcPr>
            <w:tcW w:w="395" w:type="pct"/>
            <w:tcBorders>
              <w:top w:val="nil"/>
              <w:left w:val="nil"/>
              <w:bottom w:val="nil"/>
            </w:tcBorders>
          </w:tcPr>
          <w:p w14:paraId="75412503" w14:textId="55F2779D"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F35EA5C" w14:textId="128432E3"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26CB872" w14:textId="3A13CCC2"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FECABE8" w14:textId="6A893D46"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58BA97E" w14:textId="0C9716F4"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59F201D1" w14:textId="5BE986B0"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180C3D69" w14:textId="77777777" w:rsidTr="00121171">
        <w:trPr>
          <w:trHeight w:val="9"/>
        </w:trPr>
        <w:tc>
          <w:tcPr>
            <w:tcW w:w="1267" w:type="pct"/>
            <w:tcBorders>
              <w:top w:val="nil"/>
              <w:bottom w:val="single" w:sz="12" w:space="0" w:color="auto"/>
              <w:right w:val="nil"/>
            </w:tcBorders>
            <w:shd w:val="clear" w:color="auto" w:fill="auto"/>
            <w:noWrap/>
          </w:tcPr>
          <w:p w14:paraId="121B1015"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Calibri" w:hAnsi="Times New Roman" w:cs="Times New Roman"/>
                <w:b/>
                <w:bCs/>
                <w:sz w:val="16"/>
                <w:szCs w:val="16"/>
                <w:lang w:val="en-GB"/>
              </w:rPr>
              <w:t>D. Corporate governance variables</w:t>
            </w:r>
          </w:p>
        </w:tc>
        <w:tc>
          <w:tcPr>
            <w:tcW w:w="482" w:type="pct"/>
            <w:tcBorders>
              <w:top w:val="nil"/>
              <w:left w:val="nil"/>
              <w:bottom w:val="nil"/>
              <w:right w:val="nil"/>
            </w:tcBorders>
            <w:vAlign w:val="bottom"/>
          </w:tcPr>
          <w:p w14:paraId="3344C355" w14:textId="77777777" w:rsidR="009A4618" w:rsidRPr="00EE533D" w:rsidRDefault="009A4618" w:rsidP="00121171">
            <w:pPr>
              <w:pStyle w:val="NoSpacing"/>
              <w:tabs>
                <w:tab w:val="decimal" w:pos="613"/>
              </w:tabs>
              <w:rPr>
                <w:rFonts w:ascii="Times New Roman" w:hAnsi="Times New Roman" w:cs="Times New Roman"/>
                <w:sz w:val="16"/>
                <w:szCs w:val="16"/>
                <w:lang w:val="en-GB"/>
              </w:rPr>
            </w:pPr>
          </w:p>
        </w:tc>
        <w:tc>
          <w:tcPr>
            <w:tcW w:w="425" w:type="pct"/>
            <w:tcBorders>
              <w:top w:val="nil"/>
              <w:left w:val="nil"/>
              <w:bottom w:val="nil"/>
              <w:right w:val="nil"/>
            </w:tcBorders>
            <w:shd w:val="clear" w:color="auto" w:fill="auto"/>
            <w:noWrap/>
            <w:vAlign w:val="bottom"/>
          </w:tcPr>
          <w:p w14:paraId="70065537" w14:textId="77777777" w:rsidR="009A4618" w:rsidRPr="00EE533D" w:rsidRDefault="009A4618" w:rsidP="00121171">
            <w:pPr>
              <w:pStyle w:val="NoSpacing"/>
              <w:tabs>
                <w:tab w:val="decimal" w:pos="563"/>
              </w:tabs>
              <w:rPr>
                <w:rFonts w:ascii="Times New Roman" w:hAnsi="Times New Roman" w:cs="Times New Roman"/>
                <w:sz w:val="16"/>
                <w:szCs w:val="16"/>
                <w:lang w:val="en-GB"/>
              </w:rPr>
            </w:pPr>
          </w:p>
        </w:tc>
        <w:tc>
          <w:tcPr>
            <w:tcW w:w="396" w:type="pct"/>
            <w:tcBorders>
              <w:top w:val="nil"/>
              <w:left w:val="nil"/>
              <w:bottom w:val="nil"/>
            </w:tcBorders>
            <w:vAlign w:val="bottom"/>
          </w:tcPr>
          <w:p w14:paraId="3E0007CE" w14:textId="77777777" w:rsidR="009A4618" w:rsidRPr="00EE533D" w:rsidRDefault="009A4618" w:rsidP="00121171">
            <w:pPr>
              <w:pStyle w:val="NoSpacing"/>
              <w:tabs>
                <w:tab w:val="decimal" w:pos="539"/>
              </w:tabs>
              <w:rPr>
                <w:rFonts w:ascii="Times New Roman" w:hAnsi="Times New Roman" w:cs="Times New Roman"/>
                <w:sz w:val="16"/>
                <w:szCs w:val="16"/>
                <w:lang w:val="en-GB"/>
              </w:rPr>
            </w:pPr>
          </w:p>
        </w:tc>
        <w:tc>
          <w:tcPr>
            <w:tcW w:w="395" w:type="pct"/>
            <w:tcBorders>
              <w:top w:val="nil"/>
              <w:left w:val="nil"/>
              <w:bottom w:val="nil"/>
            </w:tcBorders>
          </w:tcPr>
          <w:p w14:paraId="2238482C" w14:textId="77777777" w:rsidR="009A4618" w:rsidRPr="00EE533D" w:rsidRDefault="009A4618" w:rsidP="00121171">
            <w:pPr>
              <w:pStyle w:val="NoSpacing"/>
              <w:tabs>
                <w:tab w:val="decimal" w:pos="299"/>
              </w:tabs>
              <w:rPr>
                <w:rFonts w:ascii="Times New Roman" w:hAnsi="Times New Roman" w:cs="Times New Roman"/>
                <w:sz w:val="16"/>
                <w:szCs w:val="16"/>
                <w:lang w:val="en-GB"/>
              </w:rPr>
            </w:pPr>
          </w:p>
        </w:tc>
        <w:tc>
          <w:tcPr>
            <w:tcW w:w="395" w:type="pct"/>
            <w:tcBorders>
              <w:top w:val="nil"/>
              <w:left w:val="nil"/>
              <w:bottom w:val="nil"/>
            </w:tcBorders>
          </w:tcPr>
          <w:p w14:paraId="64358DC2" w14:textId="77777777" w:rsidR="009A4618" w:rsidRPr="00EE533D" w:rsidRDefault="009A4618" w:rsidP="00121171">
            <w:pPr>
              <w:pStyle w:val="NoSpacing"/>
              <w:tabs>
                <w:tab w:val="decimal" w:pos="364"/>
              </w:tabs>
              <w:rPr>
                <w:rFonts w:ascii="Times New Roman" w:hAnsi="Times New Roman" w:cs="Times New Roman"/>
                <w:sz w:val="16"/>
                <w:szCs w:val="16"/>
                <w:lang w:val="en-GB"/>
              </w:rPr>
            </w:pPr>
          </w:p>
        </w:tc>
        <w:tc>
          <w:tcPr>
            <w:tcW w:w="395" w:type="pct"/>
            <w:tcBorders>
              <w:top w:val="nil"/>
              <w:left w:val="nil"/>
              <w:bottom w:val="nil"/>
            </w:tcBorders>
          </w:tcPr>
          <w:p w14:paraId="758C3A25" w14:textId="77777777" w:rsidR="009A4618" w:rsidRPr="00EE533D" w:rsidRDefault="009A4618" w:rsidP="00121171">
            <w:pPr>
              <w:pStyle w:val="NoSpacing"/>
              <w:tabs>
                <w:tab w:val="decimal" w:pos="421"/>
              </w:tabs>
              <w:rPr>
                <w:rFonts w:ascii="Times New Roman" w:hAnsi="Times New Roman" w:cs="Times New Roman"/>
                <w:sz w:val="16"/>
                <w:szCs w:val="16"/>
                <w:lang w:val="en-GB"/>
              </w:rPr>
            </w:pPr>
          </w:p>
        </w:tc>
        <w:tc>
          <w:tcPr>
            <w:tcW w:w="395" w:type="pct"/>
            <w:tcBorders>
              <w:top w:val="nil"/>
              <w:left w:val="nil"/>
              <w:bottom w:val="nil"/>
            </w:tcBorders>
          </w:tcPr>
          <w:p w14:paraId="1F9F8226" w14:textId="77777777" w:rsidR="009A4618" w:rsidRPr="00EE533D" w:rsidRDefault="009A4618" w:rsidP="00121171">
            <w:pPr>
              <w:pStyle w:val="NoSpacing"/>
              <w:tabs>
                <w:tab w:val="decimal" w:pos="336"/>
              </w:tabs>
              <w:rPr>
                <w:rFonts w:ascii="Times New Roman" w:hAnsi="Times New Roman" w:cs="Times New Roman"/>
                <w:sz w:val="16"/>
                <w:szCs w:val="16"/>
                <w:lang w:val="en-GB"/>
              </w:rPr>
            </w:pPr>
          </w:p>
        </w:tc>
        <w:tc>
          <w:tcPr>
            <w:tcW w:w="395" w:type="pct"/>
            <w:tcBorders>
              <w:top w:val="nil"/>
              <w:left w:val="nil"/>
              <w:bottom w:val="nil"/>
            </w:tcBorders>
          </w:tcPr>
          <w:p w14:paraId="4550A413" w14:textId="77777777" w:rsidR="009A4618" w:rsidRPr="00EE533D" w:rsidRDefault="009A4618" w:rsidP="00121171">
            <w:pPr>
              <w:pStyle w:val="NoSpacing"/>
              <w:tabs>
                <w:tab w:val="decimal" w:pos="393"/>
              </w:tabs>
              <w:rPr>
                <w:rFonts w:ascii="Times New Roman" w:hAnsi="Times New Roman" w:cs="Times New Roman"/>
                <w:sz w:val="16"/>
                <w:szCs w:val="16"/>
                <w:lang w:val="en-GB"/>
              </w:rPr>
            </w:pPr>
          </w:p>
        </w:tc>
        <w:tc>
          <w:tcPr>
            <w:tcW w:w="452" w:type="pct"/>
            <w:tcBorders>
              <w:top w:val="nil"/>
              <w:left w:val="nil"/>
              <w:bottom w:val="nil"/>
            </w:tcBorders>
          </w:tcPr>
          <w:p w14:paraId="41B3568D" w14:textId="77777777" w:rsidR="009A4618" w:rsidRPr="00EE533D" w:rsidRDefault="009A4618" w:rsidP="00121171">
            <w:pPr>
              <w:pStyle w:val="NoSpacing"/>
              <w:tabs>
                <w:tab w:val="decimal" w:pos="307"/>
              </w:tabs>
              <w:rPr>
                <w:rFonts w:ascii="Times New Roman" w:hAnsi="Times New Roman" w:cs="Times New Roman"/>
                <w:sz w:val="16"/>
                <w:szCs w:val="16"/>
                <w:lang w:val="en-GB"/>
              </w:rPr>
            </w:pPr>
          </w:p>
        </w:tc>
      </w:tr>
      <w:tr w:rsidR="00EE533D" w:rsidRPr="00EE533D" w14:paraId="353D2F11" w14:textId="77777777" w:rsidTr="00121171">
        <w:trPr>
          <w:trHeight w:val="9"/>
        </w:trPr>
        <w:tc>
          <w:tcPr>
            <w:tcW w:w="1267" w:type="pct"/>
            <w:tcBorders>
              <w:top w:val="single" w:sz="12" w:space="0" w:color="auto"/>
              <w:right w:val="nil"/>
            </w:tcBorders>
            <w:shd w:val="clear" w:color="auto" w:fill="auto"/>
            <w:noWrap/>
          </w:tcPr>
          <w:p w14:paraId="289CA4FC"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CEO Duality</w:t>
            </w:r>
          </w:p>
        </w:tc>
        <w:tc>
          <w:tcPr>
            <w:tcW w:w="482" w:type="pct"/>
            <w:tcBorders>
              <w:top w:val="nil"/>
              <w:left w:val="nil"/>
              <w:bottom w:val="nil"/>
              <w:right w:val="nil"/>
            </w:tcBorders>
            <w:vAlign w:val="bottom"/>
          </w:tcPr>
          <w:p w14:paraId="1C722819"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0.264</w:t>
            </w:r>
          </w:p>
        </w:tc>
        <w:tc>
          <w:tcPr>
            <w:tcW w:w="425" w:type="pct"/>
            <w:tcBorders>
              <w:top w:val="nil"/>
              <w:left w:val="nil"/>
              <w:bottom w:val="nil"/>
              <w:right w:val="nil"/>
            </w:tcBorders>
            <w:shd w:val="clear" w:color="auto" w:fill="auto"/>
            <w:noWrap/>
            <w:vAlign w:val="bottom"/>
          </w:tcPr>
          <w:p w14:paraId="627904AC"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0.441</w:t>
            </w:r>
          </w:p>
        </w:tc>
        <w:tc>
          <w:tcPr>
            <w:tcW w:w="396" w:type="pct"/>
            <w:tcBorders>
              <w:top w:val="nil"/>
              <w:left w:val="nil"/>
              <w:bottom w:val="nil"/>
            </w:tcBorders>
            <w:vAlign w:val="bottom"/>
          </w:tcPr>
          <w:p w14:paraId="57B52029"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5A9FB164" w14:textId="4504A872"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B6523C4" w14:textId="27E047B0"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0.039**</w:t>
            </w:r>
          </w:p>
        </w:tc>
        <w:tc>
          <w:tcPr>
            <w:tcW w:w="395" w:type="pct"/>
            <w:tcBorders>
              <w:top w:val="nil"/>
              <w:left w:val="nil"/>
              <w:bottom w:val="nil"/>
            </w:tcBorders>
          </w:tcPr>
          <w:p w14:paraId="3219F942" w14:textId="24A3052C"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97C37C3" w14:textId="2E00A763"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D740511" w14:textId="1B583502"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06F30CC2" w14:textId="28E0FFE8"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1464A1CB" w14:textId="77777777" w:rsidTr="00121171">
        <w:trPr>
          <w:trHeight w:val="9"/>
        </w:trPr>
        <w:tc>
          <w:tcPr>
            <w:tcW w:w="1267" w:type="pct"/>
            <w:tcBorders>
              <w:right w:val="nil"/>
            </w:tcBorders>
            <w:shd w:val="clear" w:color="auto" w:fill="auto"/>
            <w:noWrap/>
          </w:tcPr>
          <w:p w14:paraId="074368AF"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Board Size</w:t>
            </w:r>
          </w:p>
        </w:tc>
        <w:tc>
          <w:tcPr>
            <w:tcW w:w="482" w:type="pct"/>
            <w:tcBorders>
              <w:top w:val="nil"/>
              <w:left w:val="nil"/>
              <w:bottom w:val="nil"/>
              <w:right w:val="nil"/>
            </w:tcBorders>
            <w:vAlign w:val="bottom"/>
          </w:tcPr>
          <w:p w14:paraId="4013BC51"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9.720</w:t>
            </w:r>
          </w:p>
        </w:tc>
        <w:tc>
          <w:tcPr>
            <w:tcW w:w="425" w:type="pct"/>
            <w:tcBorders>
              <w:top w:val="nil"/>
              <w:left w:val="nil"/>
              <w:bottom w:val="nil"/>
              <w:right w:val="nil"/>
            </w:tcBorders>
            <w:shd w:val="clear" w:color="auto" w:fill="auto"/>
            <w:noWrap/>
            <w:vAlign w:val="bottom"/>
          </w:tcPr>
          <w:p w14:paraId="502C58D9"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3.016</w:t>
            </w:r>
          </w:p>
        </w:tc>
        <w:tc>
          <w:tcPr>
            <w:tcW w:w="396" w:type="pct"/>
            <w:tcBorders>
              <w:top w:val="nil"/>
              <w:left w:val="nil"/>
              <w:bottom w:val="nil"/>
            </w:tcBorders>
            <w:vAlign w:val="bottom"/>
          </w:tcPr>
          <w:p w14:paraId="50596C79"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9.000</w:t>
            </w:r>
          </w:p>
        </w:tc>
        <w:tc>
          <w:tcPr>
            <w:tcW w:w="395" w:type="pct"/>
            <w:tcBorders>
              <w:top w:val="nil"/>
              <w:left w:val="nil"/>
              <w:bottom w:val="nil"/>
            </w:tcBorders>
          </w:tcPr>
          <w:p w14:paraId="11A35087" w14:textId="56E8D991"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4154F41B" w14:textId="72098F79"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0.045**</w:t>
            </w:r>
          </w:p>
        </w:tc>
        <w:tc>
          <w:tcPr>
            <w:tcW w:w="395" w:type="pct"/>
            <w:tcBorders>
              <w:top w:val="nil"/>
              <w:left w:val="nil"/>
              <w:bottom w:val="nil"/>
            </w:tcBorders>
          </w:tcPr>
          <w:p w14:paraId="732577F6" w14:textId="1D0A2288"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F78157E" w14:textId="6A223C3B"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CDD902A" w14:textId="21F64134"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1AF06BCF" w14:textId="5AC62552"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0039B865" w14:textId="77777777" w:rsidTr="00121171">
        <w:trPr>
          <w:trHeight w:val="9"/>
        </w:trPr>
        <w:tc>
          <w:tcPr>
            <w:tcW w:w="1267" w:type="pct"/>
            <w:tcBorders>
              <w:bottom w:val="nil"/>
              <w:right w:val="nil"/>
            </w:tcBorders>
            <w:shd w:val="clear" w:color="auto" w:fill="auto"/>
            <w:noWrap/>
          </w:tcPr>
          <w:p w14:paraId="739FA80F"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Independent</w:t>
            </w:r>
          </w:p>
        </w:tc>
        <w:tc>
          <w:tcPr>
            <w:tcW w:w="482" w:type="pct"/>
            <w:tcBorders>
              <w:top w:val="nil"/>
              <w:left w:val="nil"/>
              <w:bottom w:val="nil"/>
              <w:right w:val="nil"/>
            </w:tcBorders>
            <w:vAlign w:val="bottom"/>
          </w:tcPr>
          <w:p w14:paraId="4EFF33F2"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60.005</w:t>
            </w:r>
          </w:p>
        </w:tc>
        <w:tc>
          <w:tcPr>
            <w:tcW w:w="425" w:type="pct"/>
            <w:tcBorders>
              <w:top w:val="nil"/>
              <w:left w:val="nil"/>
              <w:bottom w:val="nil"/>
              <w:right w:val="nil"/>
            </w:tcBorders>
            <w:shd w:val="clear" w:color="auto" w:fill="auto"/>
            <w:noWrap/>
            <w:vAlign w:val="bottom"/>
          </w:tcPr>
          <w:p w14:paraId="2F78A55B"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23.529</w:t>
            </w:r>
          </w:p>
        </w:tc>
        <w:tc>
          <w:tcPr>
            <w:tcW w:w="396" w:type="pct"/>
            <w:tcBorders>
              <w:top w:val="nil"/>
              <w:left w:val="nil"/>
              <w:bottom w:val="nil"/>
            </w:tcBorders>
            <w:vAlign w:val="bottom"/>
          </w:tcPr>
          <w:p w14:paraId="426C50C0"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57.143</w:t>
            </w:r>
          </w:p>
        </w:tc>
        <w:tc>
          <w:tcPr>
            <w:tcW w:w="395" w:type="pct"/>
            <w:tcBorders>
              <w:top w:val="nil"/>
              <w:left w:val="nil"/>
              <w:bottom w:val="nil"/>
            </w:tcBorders>
          </w:tcPr>
          <w:p w14:paraId="5062B489" w14:textId="289DD15D"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5B4BCFD" w14:textId="6ABEF640"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1C33238" w14:textId="28DB8211"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86A4F02" w14:textId="3E6D9746"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165D034" w14:textId="7F30398F"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09F11184" w14:textId="7E92A3E9"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2F4BB703" w14:textId="77777777" w:rsidTr="00121171">
        <w:trPr>
          <w:trHeight w:val="9"/>
        </w:trPr>
        <w:tc>
          <w:tcPr>
            <w:tcW w:w="1267" w:type="pct"/>
            <w:tcBorders>
              <w:bottom w:val="nil"/>
              <w:right w:val="nil"/>
            </w:tcBorders>
            <w:shd w:val="clear" w:color="auto" w:fill="auto"/>
            <w:noWrap/>
          </w:tcPr>
          <w:p w14:paraId="41639A16" w14:textId="77777777" w:rsidR="009A4618" w:rsidRPr="00EE533D" w:rsidRDefault="009A4618" w:rsidP="00121171">
            <w:pPr>
              <w:pStyle w:val="NoSpacing"/>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CSR Committee</w:t>
            </w:r>
          </w:p>
        </w:tc>
        <w:tc>
          <w:tcPr>
            <w:tcW w:w="482" w:type="pct"/>
            <w:tcBorders>
              <w:top w:val="nil"/>
              <w:left w:val="nil"/>
              <w:bottom w:val="nil"/>
              <w:right w:val="nil"/>
            </w:tcBorders>
            <w:vAlign w:val="bottom"/>
          </w:tcPr>
          <w:p w14:paraId="251B1BF5" w14:textId="77777777" w:rsidR="009A4618" w:rsidRPr="00EE533D" w:rsidRDefault="009A4618" w:rsidP="00121171">
            <w:pPr>
              <w:pStyle w:val="NoSpacing"/>
              <w:tabs>
                <w:tab w:val="decimal" w:pos="613"/>
              </w:tabs>
              <w:rPr>
                <w:rFonts w:ascii="Times New Roman" w:hAnsi="Times New Roman" w:cs="Times New Roman"/>
                <w:sz w:val="16"/>
                <w:szCs w:val="16"/>
                <w:lang w:val="en-GB"/>
              </w:rPr>
            </w:pPr>
            <w:r w:rsidRPr="00EE533D">
              <w:rPr>
                <w:rFonts w:ascii="Times New Roman" w:hAnsi="Times New Roman" w:cs="Times New Roman"/>
                <w:sz w:val="16"/>
                <w:szCs w:val="16"/>
                <w:lang w:val="en-GB"/>
              </w:rPr>
              <w:t>0.359</w:t>
            </w:r>
          </w:p>
        </w:tc>
        <w:tc>
          <w:tcPr>
            <w:tcW w:w="425" w:type="pct"/>
            <w:tcBorders>
              <w:top w:val="nil"/>
              <w:left w:val="nil"/>
              <w:bottom w:val="nil"/>
              <w:right w:val="nil"/>
            </w:tcBorders>
            <w:shd w:val="clear" w:color="auto" w:fill="auto"/>
            <w:noWrap/>
            <w:vAlign w:val="bottom"/>
          </w:tcPr>
          <w:p w14:paraId="1C0C3F54" w14:textId="77777777" w:rsidR="009A4618" w:rsidRPr="00EE533D" w:rsidRDefault="009A4618" w:rsidP="00121171">
            <w:pPr>
              <w:pStyle w:val="NoSpacing"/>
              <w:tabs>
                <w:tab w:val="decimal" w:pos="563"/>
              </w:tabs>
              <w:rPr>
                <w:rFonts w:ascii="Times New Roman" w:hAnsi="Times New Roman" w:cs="Times New Roman"/>
                <w:sz w:val="16"/>
                <w:szCs w:val="16"/>
                <w:lang w:val="en-GB"/>
              </w:rPr>
            </w:pPr>
            <w:r w:rsidRPr="00EE533D">
              <w:rPr>
                <w:rFonts w:ascii="Times New Roman" w:hAnsi="Times New Roman" w:cs="Times New Roman"/>
                <w:sz w:val="16"/>
                <w:szCs w:val="16"/>
                <w:lang w:val="en-GB"/>
              </w:rPr>
              <w:t>0.480</w:t>
            </w:r>
          </w:p>
        </w:tc>
        <w:tc>
          <w:tcPr>
            <w:tcW w:w="396" w:type="pct"/>
            <w:tcBorders>
              <w:top w:val="nil"/>
              <w:left w:val="nil"/>
              <w:bottom w:val="nil"/>
            </w:tcBorders>
            <w:vAlign w:val="bottom"/>
          </w:tcPr>
          <w:p w14:paraId="1CE62B45" w14:textId="77777777" w:rsidR="009A4618" w:rsidRPr="00EE533D" w:rsidRDefault="009A4618" w:rsidP="00121171">
            <w:pPr>
              <w:pStyle w:val="NoSpacing"/>
              <w:tabs>
                <w:tab w:val="decimal" w:pos="539"/>
              </w:tabs>
              <w:rPr>
                <w:rFonts w:ascii="Times New Roman" w:hAnsi="Times New Roman" w:cs="Times New Roman"/>
                <w:sz w:val="16"/>
                <w:szCs w:val="16"/>
                <w:lang w:val="en-GB"/>
              </w:rPr>
            </w:pPr>
            <w:r w:rsidRPr="00EE533D">
              <w:rPr>
                <w:rFonts w:ascii="Times New Roman" w:hAnsi="Times New Roman" w:cs="Times New Roman"/>
                <w:sz w:val="16"/>
                <w:szCs w:val="16"/>
                <w:lang w:val="en-GB"/>
              </w:rPr>
              <w:t>-</w:t>
            </w:r>
          </w:p>
        </w:tc>
        <w:tc>
          <w:tcPr>
            <w:tcW w:w="395" w:type="pct"/>
            <w:tcBorders>
              <w:top w:val="nil"/>
              <w:left w:val="nil"/>
              <w:bottom w:val="nil"/>
            </w:tcBorders>
          </w:tcPr>
          <w:p w14:paraId="4516C0EB" w14:textId="49759F3F" w:rsidR="009A4618" w:rsidRPr="00EE533D" w:rsidRDefault="009A4618" w:rsidP="00121171">
            <w:pPr>
              <w:pStyle w:val="NoSpacing"/>
              <w:tabs>
                <w:tab w:val="decimal" w:pos="299"/>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4F3E2D2" w14:textId="3AF9F348" w:rsidR="009A4618" w:rsidRPr="00EE533D" w:rsidRDefault="009A4618" w:rsidP="00121171">
            <w:pPr>
              <w:pStyle w:val="NoSpacing"/>
              <w:tabs>
                <w:tab w:val="decimal" w:pos="364"/>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6B5157E5" w14:textId="081984AB" w:rsidR="009A4618" w:rsidRPr="00EE533D" w:rsidRDefault="009A4618" w:rsidP="00121171">
            <w:pPr>
              <w:pStyle w:val="NoSpacing"/>
              <w:tabs>
                <w:tab w:val="decimal" w:pos="421"/>
              </w:tabs>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AA5E294" w14:textId="2D6E7FBB" w:rsidR="009A4618" w:rsidRPr="00EE533D" w:rsidRDefault="009A4618" w:rsidP="00121171">
            <w:pPr>
              <w:pStyle w:val="NoSpacing"/>
              <w:tabs>
                <w:tab w:val="decimal" w:pos="336"/>
              </w:tabs>
              <w:rPr>
                <w:rFonts w:ascii="Times New Roman" w:hAnsi="Times New Roman" w:cs="Times New Roman"/>
                <w:sz w:val="16"/>
                <w:szCs w:val="16"/>
                <w:lang w:val="en-GB"/>
              </w:rPr>
            </w:pPr>
            <w:r w:rsidRPr="00EE533D">
              <w:rPr>
                <w:rFonts w:ascii="Times New Roman" w:hAnsi="Times New Roman" w:cs="Times New Roman"/>
                <w:sz w:val="16"/>
                <w:szCs w:val="16"/>
                <w:lang w:val="en-GB"/>
              </w:rPr>
              <w:t>0.005***</w:t>
            </w:r>
          </w:p>
        </w:tc>
        <w:tc>
          <w:tcPr>
            <w:tcW w:w="395" w:type="pct"/>
            <w:tcBorders>
              <w:top w:val="nil"/>
              <w:left w:val="nil"/>
              <w:bottom w:val="nil"/>
            </w:tcBorders>
          </w:tcPr>
          <w:p w14:paraId="38F2214E" w14:textId="64C91256" w:rsidR="009A4618" w:rsidRPr="00EE533D" w:rsidRDefault="009A4618" w:rsidP="00121171">
            <w:pPr>
              <w:pStyle w:val="NoSpacing"/>
              <w:tabs>
                <w:tab w:val="decimal" w:pos="393"/>
              </w:tabs>
              <w:rPr>
                <w:rFonts w:ascii="Times New Roman" w:hAnsi="Times New Roman" w:cs="Times New Roman"/>
                <w:sz w:val="16"/>
                <w:szCs w:val="16"/>
                <w:lang w:val="en-GB"/>
              </w:rPr>
            </w:pPr>
            <w:r w:rsidRPr="00EE533D">
              <w:rPr>
                <w:rFonts w:ascii="Times New Roman" w:hAnsi="Times New Roman" w:cs="Times New Roman"/>
                <w:sz w:val="16"/>
                <w:szCs w:val="16"/>
                <w:lang w:val="en-GB"/>
              </w:rPr>
              <w:t>0.043**</w:t>
            </w:r>
          </w:p>
        </w:tc>
        <w:tc>
          <w:tcPr>
            <w:tcW w:w="452" w:type="pct"/>
            <w:tcBorders>
              <w:top w:val="nil"/>
              <w:left w:val="nil"/>
              <w:bottom w:val="nil"/>
            </w:tcBorders>
          </w:tcPr>
          <w:p w14:paraId="3BF48980" w14:textId="630F40DB" w:rsidR="009A4618" w:rsidRPr="00EE533D" w:rsidRDefault="009A4618" w:rsidP="00121171">
            <w:pPr>
              <w:pStyle w:val="NoSpacing"/>
              <w:tabs>
                <w:tab w:val="decimal" w:pos="307"/>
              </w:tabs>
              <w:rPr>
                <w:rFonts w:ascii="Times New Roman" w:hAnsi="Times New Roman" w:cs="Times New Roman"/>
                <w:sz w:val="16"/>
                <w:szCs w:val="16"/>
                <w:lang w:val="en-GB"/>
              </w:rPr>
            </w:pPr>
            <w:r w:rsidRPr="00EE533D">
              <w:rPr>
                <w:rFonts w:ascii="Times New Roman" w:hAnsi="Times New Roman" w:cs="Times New Roman"/>
                <w:sz w:val="16"/>
                <w:szCs w:val="16"/>
                <w:lang w:val="en-GB"/>
              </w:rPr>
              <w:t>0.0</w:t>
            </w:r>
            <w:r w:rsidR="00E910CE" w:rsidRPr="00EE533D">
              <w:rPr>
                <w:rFonts w:ascii="Times New Roman" w:hAnsi="Times New Roman" w:cs="Times New Roman"/>
                <w:sz w:val="16"/>
                <w:szCs w:val="16"/>
                <w:lang w:val="en-GB"/>
              </w:rPr>
              <w:t>19</w:t>
            </w:r>
            <w:r w:rsidRPr="00EE533D">
              <w:rPr>
                <w:rFonts w:ascii="Times New Roman" w:hAnsi="Times New Roman" w:cs="Times New Roman"/>
                <w:sz w:val="16"/>
                <w:szCs w:val="16"/>
                <w:lang w:val="en-GB"/>
              </w:rPr>
              <w:t>**</w:t>
            </w:r>
          </w:p>
        </w:tc>
      </w:tr>
      <w:tr w:rsidR="00EE533D" w:rsidRPr="00EE533D" w14:paraId="23EAC796" w14:textId="77777777" w:rsidTr="00121171">
        <w:trPr>
          <w:trHeight w:val="9"/>
        </w:trPr>
        <w:tc>
          <w:tcPr>
            <w:tcW w:w="1267" w:type="pct"/>
            <w:tcBorders>
              <w:top w:val="nil"/>
              <w:bottom w:val="single" w:sz="12" w:space="0" w:color="auto"/>
              <w:right w:val="nil"/>
            </w:tcBorders>
            <w:shd w:val="clear" w:color="auto" w:fill="auto"/>
            <w:noWrap/>
          </w:tcPr>
          <w:p w14:paraId="06B8BAD2" w14:textId="77777777" w:rsidR="009A4618" w:rsidRPr="00EE533D" w:rsidRDefault="009A4618" w:rsidP="00121171">
            <w:pPr>
              <w:pStyle w:val="NoSpacing"/>
              <w:rPr>
                <w:rFonts w:ascii="Times New Roman" w:eastAsia="Times New Roman" w:hAnsi="Times New Roman" w:cs="Times New Roman"/>
                <w:b/>
                <w:sz w:val="16"/>
                <w:szCs w:val="16"/>
                <w:lang w:val="en-GB"/>
              </w:rPr>
            </w:pPr>
            <w:r w:rsidRPr="00EE533D">
              <w:rPr>
                <w:rFonts w:ascii="Times New Roman" w:eastAsia="Calibri" w:hAnsi="Times New Roman" w:cs="Times New Roman"/>
                <w:b/>
                <w:bCs/>
                <w:sz w:val="16"/>
                <w:szCs w:val="16"/>
                <w:lang w:val="en-GB"/>
              </w:rPr>
              <w:t>E. Macro(economic) variables</w:t>
            </w:r>
          </w:p>
        </w:tc>
        <w:tc>
          <w:tcPr>
            <w:tcW w:w="482" w:type="pct"/>
            <w:tcBorders>
              <w:top w:val="nil"/>
              <w:left w:val="nil"/>
              <w:bottom w:val="nil"/>
              <w:right w:val="nil"/>
            </w:tcBorders>
            <w:vAlign w:val="bottom"/>
          </w:tcPr>
          <w:p w14:paraId="77E3BDC3" w14:textId="77777777" w:rsidR="009A4618" w:rsidRPr="00EE533D" w:rsidRDefault="009A4618" w:rsidP="00121171">
            <w:pPr>
              <w:tabs>
                <w:tab w:val="decimal" w:pos="613"/>
              </w:tabs>
              <w:spacing w:after="0"/>
              <w:rPr>
                <w:rFonts w:ascii="Times New Roman" w:hAnsi="Times New Roman" w:cs="Times New Roman"/>
                <w:sz w:val="16"/>
                <w:szCs w:val="16"/>
                <w:lang w:val="en-GB"/>
              </w:rPr>
            </w:pPr>
          </w:p>
        </w:tc>
        <w:tc>
          <w:tcPr>
            <w:tcW w:w="425" w:type="pct"/>
            <w:tcBorders>
              <w:top w:val="nil"/>
              <w:left w:val="nil"/>
              <w:bottom w:val="nil"/>
              <w:right w:val="nil"/>
            </w:tcBorders>
            <w:shd w:val="clear" w:color="auto" w:fill="auto"/>
            <w:noWrap/>
            <w:vAlign w:val="bottom"/>
          </w:tcPr>
          <w:p w14:paraId="76F3D9DF" w14:textId="77777777" w:rsidR="009A4618" w:rsidRPr="00EE533D" w:rsidRDefault="009A4618" w:rsidP="00121171">
            <w:pPr>
              <w:tabs>
                <w:tab w:val="decimal" w:pos="563"/>
              </w:tabs>
              <w:spacing w:after="0"/>
              <w:rPr>
                <w:rFonts w:ascii="Times New Roman" w:hAnsi="Times New Roman" w:cs="Times New Roman"/>
                <w:sz w:val="16"/>
                <w:szCs w:val="16"/>
                <w:lang w:val="en-GB"/>
              </w:rPr>
            </w:pPr>
          </w:p>
        </w:tc>
        <w:tc>
          <w:tcPr>
            <w:tcW w:w="396" w:type="pct"/>
            <w:tcBorders>
              <w:top w:val="nil"/>
              <w:left w:val="nil"/>
              <w:bottom w:val="nil"/>
            </w:tcBorders>
          </w:tcPr>
          <w:p w14:paraId="03FA3FEB" w14:textId="77777777" w:rsidR="009A4618" w:rsidRPr="00EE533D" w:rsidRDefault="009A4618" w:rsidP="00121171">
            <w:pPr>
              <w:tabs>
                <w:tab w:val="decimal" w:pos="539"/>
              </w:tabs>
              <w:spacing w:after="0"/>
              <w:rPr>
                <w:rFonts w:ascii="Times New Roman" w:hAnsi="Times New Roman" w:cs="Times New Roman"/>
                <w:sz w:val="16"/>
                <w:szCs w:val="16"/>
                <w:lang w:val="en-GB"/>
              </w:rPr>
            </w:pPr>
          </w:p>
        </w:tc>
        <w:tc>
          <w:tcPr>
            <w:tcW w:w="395" w:type="pct"/>
            <w:tcBorders>
              <w:top w:val="nil"/>
              <w:left w:val="nil"/>
              <w:bottom w:val="nil"/>
            </w:tcBorders>
          </w:tcPr>
          <w:p w14:paraId="3272D03F" w14:textId="77777777" w:rsidR="009A4618" w:rsidRPr="00EE533D" w:rsidRDefault="009A4618" w:rsidP="00121171">
            <w:pPr>
              <w:tabs>
                <w:tab w:val="decimal" w:pos="299"/>
              </w:tabs>
              <w:spacing w:after="0"/>
              <w:rPr>
                <w:rFonts w:ascii="Times New Roman" w:hAnsi="Times New Roman" w:cs="Times New Roman"/>
                <w:sz w:val="16"/>
                <w:szCs w:val="16"/>
                <w:lang w:val="en-GB"/>
              </w:rPr>
            </w:pPr>
          </w:p>
        </w:tc>
        <w:tc>
          <w:tcPr>
            <w:tcW w:w="395" w:type="pct"/>
            <w:tcBorders>
              <w:top w:val="nil"/>
              <w:left w:val="nil"/>
              <w:bottom w:val="nil"/>
            </w:tcBorders>
          </w:tcPr>
          <w:p w14:paraId="79ABCB5D" w14:textId="77777777" w:rsidR="009A4618" w:rsidRPr="00EE533D" w:rsidRDefault="009A4618" w:rsidP="00121171">
            <w:pPr>
              <w:tabs>
                <w:tab w:val="decimal" w:pos="364"/>
              </w:tabs>
              <w:spacing w:after="0"/>
              <w:rPr>
                <w:rFonts w:ascii="Times New Roman" w:hAnsi="Times New Roman" w:cs="Times New Roman"/>
                <w:sz w:val="16"/>
                <w:szCs w:val="16"/>
                <w:lang w:val="en-GB"/>
              </w:rPr>
            </w:pPr>
          </w:p>
        </w:tc>
        <w:tc>
          <w:tcPr>
            <w:tcW w:w="395" w:type="pct"/>
            <w:tcBorders>
              <w:top w:val="nil"/>
              <w:left w:val="nil"/>
              <w:bottom w:val="nil"/>
            </w:tcBorders>
          </w:tcPr>
          <w:p w14:paraId="4EA59DC1" w14:textId="77777777" w:rsidR="009A4618" w:rsidRPr="00EE533D" w:rsidRDefault="009A4618" w:rsidP="00121171">
            <w:pPr>
              <w:tabs>
                <w:tab w:val="decimal" w:pos="421"/>
              </w:tabs>
              <w:spacing w:after="0"/>
              <w:rPr>
                <w:rFonts w:ascii="Times New Roman" w:hAnsi="Times New Roman" w:cs="Times New Roman"/>
                <w:sz w:val="16"/>
                <w:szCs w:val="16"/>
                <w:lang w:val="en-GB"/>
              </w:rPr>
            </w:pPr>
          </w:p>
        </w:tc>
        <w:tc>
          <w:tcPr>
            <w:tcW w:w="395" w:type="pct"/>
            <w:tcBorders>
              <w:top w:val="nil"/>
              <w:left w:val="nil"/>
              <w:bottom w:val="nil"/>
            </w:tcBorders>
          </w:tcPr>
          <w:p w14:paraId="42A1CF67" w14:textId="77777777" w:rsidR="009A4618" w:rsidRPr="00EE533D" w:rsidRDefault="009A4618" w:rsidP="00121171">
            <w:pPr>
              <w:tabs>
                <w:tab w:val="decimal" w:pos="336"/>
              </w:tabs>
              <w:spacing w:after="0"/>
              <w:rPr>
                <w:rFonts w:ascii="Times New Roman" w:hAnsi="Times New Roman" w:cs="Times New Roman"/>
                <w:sz w:val="16"/>
                <w:szCs w:val="16"/>
                <w:lang w:val="en-GB"/>
              </w:rPr>
            </w:pPr>
          </w:p>
        </w:tc>
        <w:tc>
          <w:tcPr>
            <w:tcW w:w="395" w:type="pct"/>
            <w:tcBorders>
              <w:top w:val="nil"/>
              <w:left w:val="nil"/>
              <w:bottom w:val="nil"/>
            </w:tcBorders>
          </w:tcPr>
          <w:p w14:paraId="549E7789" w14:textId="77777777" w:rsidR="009A4618" w:rsidRPr="00EE533D" w:rsidRDefault="009A4618" w:rsidP="00121171">
            <w:pPr>
              <w:tabs>
                <w:tab w:val="decimal" w:pos="393"/>
              </w:tabs>
              <w:spacing w:after="0"/>
              <w:rPr>
                <w:rFonts w:ascii="Times New Roman" w:hAnsi="Times New Roman" w:cs="Times New Roman"/>
                <w:sz w:val="16"/>
                <w:szCs w:val="16"/>
                <w:lang w:val="en-GB"/>
              </w:rPr>
            </w:pPr>
          </w:p>
        </w:tc>
        <w:tc>
          <w:tcPr>
            <w:tcW w:w="452" w:type="pct"/>
            <w:tcBorders>
              <w:top w:val="nil"/>
              <w:left w:val="nil"/>
              <w:bottom w:val="nil"/>
            </w:tcBorders>
          </w:tcPr>
          <w:p w14:paraId="5E5CA9CB" w14:textId="77777777" w:rsidR="009A4618" w:rsidRPr="00EE533D" w:rsidRDefault="009A4618" w:rsidP="00121171">
            <w:pPr>
              <w:tabs>
                <w:tab w:val="decimal" w:pos="307"/>
              </w:tabs>
              <w:spacing w:after="0"/>
              <w:rPr>
                <w:rFonts w:ascii="Times New Roman" w:hAnsi="Times New Roman" w:cs="Times New Roman"/>
                <w:sz w:val="16"/>
                <w:szCs w:val="16"/>
                <w:lang w:val="en-GB"/>
              </w:rPr>
            </w:pPr>
          </w:p>
        </w:tc>
      </w:tr>
      <w:tr w:rsidR="00EE533D" w:rsidRPr="00EE533D" w14:paraId="0FA14E5F" w14:textId="77777777" w:rsidTr="00121171">
        <w:trPr>
          <w:trHeight w:val="9"/>
        </w:trPr>
        <w:tc>
          <w:tcPr>
            <w:tcW w:w="1267" w:type="pct"/>
            <w:tcBorders>
              <w:top w:val="nil"/>
              <w:bottom w:val="nil"/>
              <w:right w:val="nil"/>
            </w:tcBorders>
            <w:shd w:val="clear" w:color="auto" w:fill="auto"/>
            <w:noWrap/>
          </w:tcPr>
          <w:p w14:paraId="00F77C1E"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hAnsi="Times New Roman" w:cs="Times New Roman"/>
                <w:sz w:val="16"/>
                <w:szCs w:val="16"/>
                <w:lang w:val="en-GB"/>
              </w:rPr>
              <w:t>Temp</w:t>
            </w:r>
          </w:p>
        </w:tc>
        <w:tc>
          <w:tcPr>
            <w:tcW w:w="482" w:type="pct"/>
            <w:tcBorders>
              <w:top w:val="nil"/>
              <w:left w:val="nil"/>
              <w:bottom w:val="nil"/>
              <w:right w:val="nil"/>
            </w:tcBorders>
            <w:vAlign w:val="bottom"/>
          </w:tcPr>
          <w:p w14:paraId="31614E56"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1.493</w:t>
            </w:r>
          </w:p>
        </w:tc>
        <w:tc>
          <w:tcPr>
            <w:tcW w:w="425" w:type="pct"/>
            <w:tcBorders>
              <w:top w:val="nil"/>
              <w:left w:val="nil"/>
              <w:bottom w:val="nil"/>
              <w:right w:val="nil"/>
            </w:tcBorders>
            <w:shd w:val="clear" w:color="auto" w:fill="auto"/>
            <w:noWrap/>
            <w:vAlign w:val="bottom"/>
          </w:tcPr>
          <w:p w14:paraId="7D06FF00"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0.603</w:t>
            </w:r>
          </w:p>
        </w:tc>
        <w:tc>
          <w:tcPr>
            <w:tcW w:w="396" w:type="pct"/>
            <w:tcBorders>
              <w:top w:val="nil"/>
              <w:left w:val="nil"/>
              <w:bottom w:val="nil"/>
            </w:tcBorders>
            <w:vAlign w:val="bottom"/>
          </w:tcPr>
          <w:p w14:paraId="10718C77"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1.446</w:t>
            </w:r>
          </w:p>
        </w:tc>
        <w:tc>
          <w:tcPr>
            <w:tcW w:w="395" w:type="pct"/>
            <w:tcBorders>
              <w:top w:val="nil"/>
              <w:left w:val="nil"/>
              <w:bottom w:val="nil"/>
            </w:tcBorders>
          </w:tcPr>
          <w:p w14:paraId="6F266AD9" w14:textId="415C7DAE"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2FDDFAD3" w14:textId="21F6D891"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1EC2B05" w14:textId="56035A54"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C3B4BC4" w14:textId="00A52BBB"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0.516</w:t>
            </w:r>
          </w:p>
        </w:tc>
        <w:tc>
          <w:tcPr>
            <w:tcW w:w="395" w:type="pct"/>
            <w:tcBorders>
              <w:top w:val="nil"/>
              <w:left w:val="nil"/>
              <w:bottom w:val="nil"/>
            </w:tcBorders>
          </w:tcPr>
          <w:p w14:paraId="59D655E0" w14:textId="1AC57B31"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0.608</w:t>
            </w:r>
          </w:p>
        </w:tc>
        <w:tc>
          <w:tcPr>
            <w:tcW w:w="452" w:type="pct"/>
            <w:tcBorders>
              <w:top w:val="nil"/>
              <w:left w:val="nil"/>
              <w:bottom w:val="nil"/>
            </w:tcBorders>
          </w:tcPr>
          <w:p w14:paraId="0EA94AA5" w14:textId="57E17E21"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0.608</w:t>
            </w:r>
          </w:p>
        </w:tc>
      </w:tr>
      <w:tr w:rsidR="00EE533D" w:rsidRPr="00EE533D" w14:paraId="1325BA88" w14:textId="77777777" w:rsidTr="00121171">
        <w:trPr>
          <w:trHeight w:val="9"/>
        </w:trPr>
        <w:tc>
          <w:tcPr>
            <w:tcW w:w="1267" w:type="pct"/>
            <w:tcBorders>
              <w:top w:val="nil"/>
              <w:bottom w:val="nil"/>
              <w:right w:val="nil"/>
            </w:tcBorders>
            <w:shd w:val="clear" w:color="auto" w:fill="auto"/>
            <w:noWrap/>
          </w:tcPr>
          <w:p w14:paraId="3A484F5B"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GDPc ($)</w:t>
            </w:r>
          </w:p>
        </w:tc>
        <w:tc>
          <w:tcPr>
            <w:tcW w:w="482" w:type="pct"/>
            <w:tcBorders>
              <w:top w:val="nil"/>
              <w:left w:val="nil"/>
              <w:bottom w:val="nil"/>
              <w:right w:val="nil"/>
            </w:tcBorders>
            <w:vAlign w:val="bottom"/>
          </w:tcPr>
          <w:p w14:paraId="03191C6C"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36621.725</w:t>
            </w:r>
          </w:p>
        </w:tc>
        <w:tc>
          <w:tcPr>
            <w:tcW w:w="425" w:type="pct"/>
            <w:tcBorders>
              <w:top w:val="nil"/>
              <w:left w:val="nil"/>
              <w:bottom w:val="nil"/>
              <w:right w:val="nil"/>
            </w:tcBorders>
            <w:shd w:val="clear" w:color="auto" w:fill="auto"/>
            <w:noWrap/>
            <w:vAlign w:val="bottom"/>
          </w:tcPr>
          <w:p w14:paraId="7563FDD9"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21282.502</w:t>
            </w:r>
          </w:p>
        </w:tc>
        <w:tc>
          <w:tcPr>
            <w:tcW w:w="396" w:type="pct"/>
            <w:tcBorders>
              <w:top w:val="nil"/>
              <w:left w:val="nil"/>
              <w:bottom w:val="nil"/>
            </w:tcBorders>
            <w:vAlign w:val="bottom"/>
          </w:tcPr>
          <w:p w14:paraId="180E6AE4"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36161.292</w:t>
            </w:r>
          </w:p>
        </w:tc>
        <w:tc>
          <w:tcPr>
            <w:tcW w:w="395" w:type="pct"/>
            <w:tcBorders>
              <w:top w:val="nil"/>
              <w:left w:val="nil"/>
              <w:bottom w:val="nil"/>
            </w:tcBorders>
          </w:tcPr>
          <w:p w14:paraId="7C277D5F" w14:textId="144E5B00"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1201AFD5" w14:textId="15DEEA20"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65C33DD7" w14:textId="59AD29EC"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E285B8B" w14:textId="19521454"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D4C8F54" w14:textId="0F1E561A"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3D236D52" w14:textId="00B093DB"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617BEC1B" w14:textId="77777777" w:rsidTr="00121171">
        <w:trPr>
          <w:trHeight w:val="9"/>
        </w:trPr>
        <w:tc>
          <w:tcPr>
            <w:tcW w:w="1267" w:type="pct"/>
            <w:tcBorders>
              <w:top w:val="nil"/>
              <w:bottom w:val="nil"/>
              <w:right w:val="nil"/>
            </w:tcBorders>
            <w:shd w:val="clear" w:color="auto" w:fill="auto"/>
            <w:noWrap/>
          </w:tcPr>
          <w:p w14:paraId="2971C1C8"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GDPg</w:t>
            </w:r>
          </w:p>
        </w:tc>
        <w:tc>
          <w:tcPr>
            <w:tcW w:w="482" w:type="pct"/>
            <w:tcBorders>
              <w:top w:val="nil"/>
              <w:left w:val="nil"/>
              <w:bottom w:val="nil"/>
              <w:right w:val="nil"/>
            </w:tcBorders>
            <w:vAlign w:val="bottom"/>
          </w:tcPr>
          <w:p w14:paraId="0C23EF59"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2.154</w:t>
            </w:r>
          </w:p>
        </w:tc>
        <w:tc>
          <w:tcPr>
            <w:tcW w:w="425" w:type="pct"/>
            <w:tcBorders>
              <w:top w:val="nil"/>
              <w:left w:val="nil"/>
              <w:bottom w:val="nil"/>
              <w:right w:val="nil"/>
            </w:tcBorders>
            <w:shd w:val="clear" w:color="auto" w:fill="auto"/>
            <w:noWrap/>
            <w:vAlign w:val="bottom"/>
          </w:tcPr>
          <w:p w14:paraId="59A1ED11"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3.061</w:t>
            </w:r>
          </w:p>
        </w:tc>
        <w:tc>
          <w:tcPr>
            <w:tcW w:w="396" w:type="pct"/>
            <w:tcBorders>
              <w:top w:val="nil"/>
              <w:left w:val="nil"/>
              <w:bottom w:val="nil"/>
            </w:tcBorders>
            <w:vAlign w:val="bottom"/>
          </w:tcPr>
          <w:p w14:paraId="341086CF"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2.326</w:t>
            </w:r>
          </w:p>
        </w:tc>
        <w:tc>
          <w:tcPr>
            <w:tcW w:w="395" w:type="pct"/>
            <w:tcBorders>
              <w:top w:val="nil"/>
              <w:left w:val="nil"/>
              <w:bottom w:val="nil"/>
            </w:tcBorders>
          </w:tcPr>
          <w:p w14:paraId="791080AC" w14:textId="1D05B9DD"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09253FA6" w14:textId="23C890FD"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75076BD7" w14:textId="632E21AB"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38C0FB36" w14:textId="7CE2ABF6"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nil"/>
            </w:tcBorders>
          </w:tcPr>
          <w:p w14:paraId="5E7213DE" w14:textId="19D9CBE9"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nil"/>
            </w:tcBorders>
          </w:tcPr>
          <w:p w14:paraId="59710FE7" w14:textId="1124E033"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189C3F1A" w14:textId="77777777" w:rsidTr="00121171">
        <w:trPr>
          <w:trHeight w:val="9"/>
        </w:trPr>
        <w:tc>
          <w:tcPr>
            <w:tcW w:w="1267" w:type="pct"/>
            <w:tcBorders>
              <w:top w:val="nil"/>
              <w:bottom w:val="single" w:sz="12" w:space="0" w:color="auto"/>
              <w:right w:val="nil"/>
            </w:tcBorders>
            <w:shd w:val="clear" w:color="auto" w:fill="auto"/>
            <w:noWrap/>
          </w:tcPr>
          <w:p w14:paraId="6A1DA3D1" w14:textId="77777777" w:rsidR="009A4618" w:rsidRPr="00EE533D" w:rsidRDefault="009A4618" w:rsidP="00121171">
            <w:pPr>
              <w:pStyle w:val="NoSpacing"/>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Inflation</w:t>
            </w:r>
          </w:p>
        </w:tc>
        <w:tc>
          <w:tcPr>
            <w:tcW w:w="482" w:type="pct"/>
            <w:tcBorders>
              <w:top w:val="nil"/>
              <w:left w:val="nil"/>
              <w:bottom w:val="single" w:sz="12" w:space="0" w:color="auto"/>
              <w:right w:val="nil"/>
            </w:tcBorders>
            <w:vAlign w:val="bottom"/>
          </w:tcPr>
          <w:p w14:paraId="0E228B3B" w14:textId="77777777" w:rsidR="009A4618" w:rsidRPr="00EE533D" w:rsidRDefault="009A4618" w:rsidP="00121171">
            <w:pPr>
              <w:tabs>
                <w:tab w:val="decimal" w:pos="61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2.613</w:t>
            </w:r>
          </w:p>
        </w:tc>
        <w:tc>
          <w:tcPr>
            <w:tcW w:w="425" w:type="pct"/>
            <w:tcBorders>
              <w:top w:val="nil"/>
              <w:left w:val="nil"/>
              <w:bottom w:val="single" w:sz="12" w:space="0" w:color="auto"/>
              <w:right w:val="nil"/>
            </w:tcBorders>
            <w:shd w:val="clear" w:color="auto" w:fill="auto"/>
            <w:noWrap/>
            <w:vAlign w:val="bottom"/>
          </w:tcPr>
          <w:p w14:paraId="5E44050A" w14:textId="77777777" w:rsidR="009A4618" w:rsidRPr="00EE533D" w:rsidRDefault="009A4618" w:rsidP="00121171">
            <w:pPr>
              <w:tabs>
                <w:tab w:val="decimal" w:pos="56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4.572</w:t>
            </w:r>
          </w:p>
        </w:tc>
        <w:tc>
          <w:tcPr>
            <w:tcW w:w="396" w:type="pct"/>
            <w:tcBorders>
              <w:top w:val="nil"/>
              <w:left w:val="nil"/>
              <w:bottom w:val="single" w:sz="12" w:space="0" w:color="auto"/>
            </w:tcBorders>
            <w:vAlign w:val="bottom"/>
          </w:tcPr>
          <w:p w14:paraId="728229B8" w14:textId="77777777" w:rsidR="009A4618" w:rsidRPr="00EE533D" w:rsidRDefault="009A4618" w:rsidP="00121171">
            <w:pPr>
              <w:tabs>
                <w:tab w:val="decimal" w:pos="53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1.742</w:t>
            </w:r>
          </w:p>
        </w:tc>
        <w:tc>
          <w:tcPr>
            <w:tcW w:w="395" w:type="pct"/>
            <w:tcBorders>
              <w:top w:val="nil"/>
              <w:left w:val="nil"/>
              <w:bottom w:val="single" w:sz="12" w:space="0" w:color="auto"/>
            </w:tcBorders>
          </w:tcPr>
          <w:p w14:paraId="068776ED" w14:textId="7FB802DC" w:rsidR="009A4618" w:rsidRPr="00EE533D" w:rsidRDefault="009A4618" w:rsidP="00121171">
            <w:pPr>
              <w:tabs>
                <w:tab w:val="decimal" w:pos="299"/>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single" w:sz="12" w:space="0" w:color="auto"/>
            </w:tcBorders>
          </w:tcPr>
          <w:p w14:paraId="15EA17F9" w14:textId="606EF8B3" w:rsidR="009A4618" w:rsidRPr="00EE533D" w:rsidRDefault="009A4618" w:rsidP="00121171">
            <w:pPr>
              <w:tabs>
                <w:tab w:val="decimal" w:pos="364"/>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single" w:sz="12" w:space="0" w:color="auto"/>
            </w:tcBorders>
          </w:tcPr>
          <w:p w14:paraId="50A675EF" w14:textId="7BCE7C47" w:rsidR="009A4618" w:rsidRPr="00EE533D" w:rsidRDefault="009A4618" w:rsidP="00121171">
            <w:pPr>
              <w:tabs>
                <w:tab w:val="decimal" w:pos="421"/>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single" w:sz="12" w:space="0" w:color="auto"/>
            </w:tcBorders>
          </w:tcPr>
          <w:p w14:paraId="1D0740CC" w14:textId="1EEBE738" w:rsidR="009A4618" w:rsidRPr="00EE533D" w:rsidRDefault="009A4618" w:rsidP="00121171">
            <w:pPr>
              <w:tabs>
                <w:tab w:val="decimal" w:pos="336"/>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395" w:type="pct"/>
            <w:tcBorders>
              <w:top w:val="nil"/>
              <w:left w:val="nil"/>
              <w:bottom w:val="single" w:sz="12" w:space="0" w:color="auto"/>
            </w:tcBorders>
          </w:tcPr>
          <w:p w14:paraId="3A4D85F6" w14:textId="5370606B" w:rsidR="009A4618" w:rsidRPr="00EE533D" w:rsidRDefault="009A4618" w:rsidP="00121171">
            <w:pPr>
              <w:tabs>
                <w:tab w:val="decimal" w:pos="393"/>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452" w:type="pct"/>
            <w:tcBorders>
              <w:top w:val="nil"/>
              <w:left w:val="nil"/>
              <w:bottom w:val="single" w:sz="12" w:space="0" w:color="auto"/>
            </w:tcBorders>
          </w:tcPr>
          <w:p w14:paraId="4B18FC84" w14:textId="4EB9BB60" w:rsidR="009A4618" w:rsidRPr="00EE533D" w:rsidRDefault="009A4618" w:rsidP="00121171">
            <w:pPr>
              <w:tabs>
                <w:tab w:val="decimal" w:pos="307"/>
              </w:tabs>
              <w:spacing w:after="0"/>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r>
      <w:tr w:rsidR="00EE533D" w:rsidRPr="00EE533D" w14:paraId="7DFDFF6D" w14:textId="77777777" w:rsidTr="00121171">
        <w:trPr>
          <w:trHeight w:val="9"/>
        </w:trPr>
        <w:tc>
          <w:tcPr>
            <w:tcW w:w="5000" w:type="pct"/>
            <w:gridSpan w:val="10"/>
            <w:tcBorders>
              <w:top w:val="single" w:sz="12" w:space="0" w:color="auto"/>
            </w:tcBorders>
            <w:shd w:val="clear" w:color="auto" w:fill="auto"/>
            <w:noWrap/>
          </w:tcPr>
          <w:p w14:paraId="235E916E" w14:textId="1FA45F0C" w:rsidR="00FC4143" w:rsidRPr="00EE533D" w:rsidRDefault="00FB4B01" w:rsidP="00121171">
            <w:pPr>
              <w:tabs>
                <w:tab w:val="decimal" w:pos="307"/>
              </w:tabs>
              <w:spacing w:after="0"/>
              <w:jc w:val="both"/>
              <w:rPr>
                <w:rFonts w:ascii="Times New Roman" w:hAnsi="Times New Roman" w:cs="Times New Roman"/>
                <w:sz w:val="16"/>
                <w:szCs w:val="16"/>
                <w:lang w:val="en-GB"/>
              </w:rPr>
            </w:pPr>
            <w:r w:rsidRPr="00EE533D">
              <w:rPr>
                <w:rFonts w:ascii="Times New Roman" w:hAnsi="Times New Roman" w:cs="Times New Roman"/>
                <w:b/>
                <w:bCs/>
                <w:sz w:val="16"/>
                <w:szCs w:val="16"/>
                <w:lang w:val="en-GB"/>
              </w:rPr>
              <w:t xml:space="preserve">Notes : </w:t>
            </w:r>
            <w:r w:rsidR="005E79CD" w:rsidRPr="00EE533D">
              <w:rPr>
                <w:rFonts w:ascii="Times New Roman" w:hAnsi="Times New Roman" w:cs="Times New Roman"/>
                <w:sz w:val="16"/>
                <w:szCs w:val="16"/>
                <w:lang w:val="en-GB"/>
              </w:rPr>
              <w:t xml:space="preserve">The table reports the </w:t>
            </w:r>
            <w:r w:rsidRPr="00EE533D">
              <w:rPr>
                <w:rFonts w:ascii="Times New Roman" w:hAnsi="Times New Roman" w:cs="Times New Roman"/>
                <w:i/>
                <w:iCs/>
                <w:sz w:val="16"/>
                <w:szCs w:val="16"/>
                <w:lang w:val="en-GB"/>
              </w:rPr>
              <w:t>p</w:t>
            </w:r>
            <w:r w:rsidRPr="00EE533D">
              <w:rPr>
                <w:rFonts w:ascii="Times New Roman" w:hAnsi="Times New Roman" w:cs="Times New Roman"/>
                <w:sz w:val="16"/>
                <w:szCs w:val="16"/>
                <w:lang w:val="en-GB"/>
              </w:rPr>
              <w:t xml:space="preserve">-values of the </w:t>
            </w:r>
            <w:r w:rsidRPr="00EE533D">
              <w:rPr>
                <w:rFonts w:ascii="Times New Roman" w:hAnsi="Times New Roman" w:cs="Times New Roman"/>
                <w:i/>
                <w:iCs/>
                <w:sz w:val="16"/>
                <w:szCs w:val="16"/>
                <w:lang w:val="en-GB"/>
              </w:rPr>
              <w:t>t</w:t>
            </w:r>
            <w:r w:rsidRPr="00EE533D">
              <w:rPr>
                <w:rFonts w:ascii="Times New Roman" w:hAnsi="Times New Roman" w:cs="Times New Roman"/>
                <w:sz w:val="16"/>
                <w:szCs w:val="16"/>
                <w:lang w:val="en-GB"/>
              </w:rPr>
              <w:t>-test for difference in means</w:t>
            </w:r>
            <w:r w:rsidR="00D711D3" w:rsidRPr="00EE533D">
              <w:rPr>
                <w:rFonts w:ascii="Times New Roman" w:hAnsi="Times New Roman" w:cs="Times New Roman"/>
                <w:sz w:val="16"/>
                <w:szCs w:val="16"/>
                <w:lang w:val="en-GB"/>
              </w:rPr>
              <w:t xml:space="preserve"> between the subsample of</w:t>
            </w:r>
            <w:r w:rsidR="00282B32" w:rsidRPr="00EE533D">
              <w:rPr>
                <w:rFonts w:ascii="Times New Roman" w:hAnsi="Times New Roman" w:cs="Times New Roman"/>
                <w:sz w:val="16"/>
                <w:szCs w:val="16"/>
                <w:lang w:val="en-GB"/>
              </w:rPr>
              <w:t xml:space="preserve"> observations subject to a high-quality institutional environment and the subsample of observations dealing with a low-quality institutional environment.</w:t>
            </w:r>
            <w:r w:rsidR="00282B32" w:rsidRPr="00EE533D">
              <w:rPr>
                <w:rFonts w:ascii="Times New Roman" w:hAnsi="Times New Roman" w:cs="Times New Roman"/>
                <w:b/>
                <w:bCs/>
                <w:sz w:val="16"/>
                <w:szCs w:val="16"/>
                <w:lang w:val="en-GB"/>
              </w:rPr>
              <w:t xml:space="preserve"> </w:t>
            </w:r>
            <w:r w:rsidR="002B2B98" w:rsidRPr="00EE533D">
              <w:rPr>
                <w:rFonts w:ascii="Times New Roman" w:hAnsi="Times New Roman" w:cs="Times New Roman"/>
                <w:sz w:val="16"/>
                <w:szCs w:val="16"/>
                <w:lang w:val="en-GB"/>
              </w:rPr>
              <w:t>A</w:t>
            </w:r>
            <w:r w:rsidR="00181DCE" w:rsidRPr="00EE533D">
              <w:rPr>
                <w:rFonts w:ascii="Times New Roman" w:hAnsi="Times New Roman" w:cs="Times New Roman"/>
                <w:sz w:val="16"/>
                <w:szCs w:val="16"/>
                <w:lang w:val="en-GB"/>
              </w:rPr>
              <w:t xml:space="preserve"> high-quality institutional environment </w:t>
            </w:r>
            <w:r w:rsidR="001B297C" w:rsidRPr="00EE533D">
              <w:rPr>
                <w:rFonts w:ascii="Times New Roman" w:hAnsi="Times New Roman" w:cs="Times New Roman"/>
                <w:sz w:val="16"/>
                <w:szCs w:val="16"/>
                <w:lang w:val="en-GB"/>
              </w:rPr>
              <w:t xml:space="preserve">was classified </w:t>
            </w:r>
            <w:r w:rsidR="00181DCE" w:rsidRPr="00EE533D">
              <w:rPr>
                <w:rFonts w:ascii="Times New Roman" w:hAnsi="Times New Roman" w:cs="Times New Roman"/>
                <w:sz w:val="16"/>
                <w:szCs w:val="16"/>
                <w:lang w:val="en-GB"/>
              </w:rPr>
              <w:t>as an environment for which the</w:t>
            </w:r>
            <w:r w:rsidR="001B297C" w:rsidRPr="00EE533D">
              <w:rPr>
                <w:rFonts w:ascii="Times New Roman" w:hAnsi="Times New Roman" w:cs="Times New Roman"/>
                <w:sz w:val="16"/>
                <w:szCs w:val="16"/>
                <w:lang w:val="en-GB"/>
              </w:rPr>
              <w:t xml:space="preserve"> </w:t>
            </w:r>
            <w:r w:rsidR="00181DCE" w:rsidRPr="00EE533D">
              <w:rPr>
                <w:rFonts w:ascii="Times New Roman" w:hAnsi="Times New Roman" w:cs="Times New Roman"/>
                <w:sz w:val="16"/>
                <w:szCs w:val="16"/>
                <w:lang w:val="en-GB"/>
              </w:rPr>
              <w:t>institutional variable</w:t>
            </w:r>
            <w:r w:rsidR="006453A6" w:rsidRPr="00EE533D">
              <w:rPr>
                <w:rFonts w:ascii="Times New Roman" w:hAnsi="Times New Roman" w:cs="Times New Roman"/>
                <w:sz w:val="16"/>
                <w:szCs w:val="16"/>
                <w:lang w:val="en-GB"/>
              </w:rPr>
              <w:t xml:space="preserve"> (</w:t>
            </w:r>
            <w:r w:rsidR="006453A6" w:rsidRPr="00EE533D">
              <w:rPr>
                <w:rFonts w:ascii="Times New Roman" w:hAnsi="Times New Roman" w:cs="Times New Roman"/>
                <w:i/>
                <w:iCs/>
                <w:sz w:val="16"/>
                <w:szCs w:val="16"/>
                <w:lang w:val="en-GB"/>
              </w:rPr>
              <w:t>Control of Corruption</w:t>
            </w:r>
            <w:r w:rsidR="006453A6" w:rsidRPr="00EE533D">
              <w:rPr>
                <w:rFonts w:ascii="Times New Roman" w:hAnsi="Times New Roman" w:cs="Times New Roman"/>
                <w:sz w:val="16"/>
                <w:szCs w:val="16"/>
                <w:lang w:val="en-GB"/>
              </w:rPr>
              <w:t xml:space="preserve">, </w:t>
            </w:r>
            <w:r w:rsidR="006453A6" w:rsidRPr="00EE533D">
              <w:rPr>
                <w:rFonts w:ascii="Times New Roman" w:hAnsi="Times New Roman" w:cs="Times New Roman"/>
                <w:i/>
                <w:iCs/>
                <w:sz w:val="16"/>
                <w:szCs w:val="16"/>
                <w:lang w:val="en-GB"/>
              </w:rPr>
              <w:t>Government Effectiveness</w:t>
            </w:r>
            <w:r w:rsidR="006453A6" w:rsidRPr="00EE533D">
              <w:rPr>
                <w:rFonts w:ascii="Times New Roman" w:hAnsi="Times New Roman" w:cs="Times New Roman"/>
                <w:sz w:val="16"/>
                <w:szCs w:val="16"/>
                <w:lang w:val="en-GB"/>
              </w:rPr>
              <w:t xml:space="preserve">, </w:t>
            </w:r>
            <w:r w:rsidR="006453A6" w:rsidRPr="00EE533D">
              <w:rPr>
                <w:rFonts w:ascii="Times New Roman" w:hAnsi="Times New Roman" w:cs="Times New Roman"/>
                <w:i/>
                <w:iCs/>
                <w:sz w:val="16"/>
                <w:szCs w:val="16"/>
                <w:lang w:val="en-GB"/>
              </w:rPr>
              <w:t>Political Stability</w:t>
            </w:r>
            <w:r w:rsidR="006453A6" w:rsidRPr="00EE533D">
              <w:rPr>
                <w:rFonts w:ascii="Times New Roman" w:hAnsi="Times New Roman" w:cs="Times New Roman"/>
                <w:sz w:val="16"/>
                <w:szCs w:val="16"/>
                <w:lang w:val="en-GB"/>
              </w:rPr>
              <w:t xml:space="preserve">, </w:t>
            </w:r>
            <w:r w:rsidR="006453A6" w:rsidRPr="00EE533D">
              <w:rPr>
                <w:rFonts w:ascii="Times New Roman" w:hAnsi="Times New Roman" w:cs="Times New Roman"/>
                <w:i/>
                <w:iCs/>
                <w:sz w:val="16"/>
                <w:szCs w:val="16"/>
                <w:lang w:val="en-GB"/>
              </w:rPr>
              <w:t>Regulatory Quality</w:t>
            </w:r>
            <w:r w:rsidR="006453A6" w:rsidRPr="00EE533D">
              <w:rPr>
                <w:rFonts w:ascii="Times New Roman" w:hAnsi="Times New Roman" w:cs="Times New Roman"/>
                <w:sz w:val="16"/>
                <w:szCs w:val="16"/>
                <w:lang w:val="en-GB"/>
              </w:rPr>
              <w:t xml:space="preserve">, </w:t>
            </w:r>
            <w:r w:rsidR="006453A6" w:rsidRPr="00EE533D">
              <w:rPr>
                <w:rFonts w:ascii="Times New Roman" w:hAnsi="Times New Roman" w:cs="Times New Roman"/>
                <w:i/>
                <w:iCs/>
                <w:sz w:val="16"/>
                <w:szCs w:val="16"/>
                <w:lang w:val="en-GB"/>
              </w:rPr>
              <w:t xml:space="preserve">Rule of Law </w:t>
            </w:r>
            <w:r w:rsidR="006453A6" w:rsidRPr="00EE533D">
              <w:rPr>
                <w:rFonts w:ascii="Times New Roman" w:hAnsi="Times New Roman" w:cs="Times New Roman"/>
                <w:sz w:val="16"/>
                <w:szCs w:val="16"/>
                <w:lang w:val="en-GB"/>
              </w:rPr>
              <w:t>or</w:t>
            </w:r>
            <w:r w:rsidR="006453A6" w:rsidRPr="00EE533D">
              <w:rPr>
                <w:rFonts w:ascii="Times New Roman" w:hAnsi="Times New Roman" w:cs="Times New Roman"/>
                <w:i/>
                <w:iCs/>
                <w:sz w:val="16"/>
                <w:szCs w:val="16"/>
                <w:lang w:val="en-GB"/>
              </w:rPr>
              <w:t xml:space="preserve"> Voice</w:t>
            </w:r>
            <w:r w:rsidR="006453A6" w:rsidRPr="00EE533D">
              <w:rPr>
                <w:rFonts w:ascii="Times New Roman" w:hAnsi="Times New Roman" w:cs="Times New Roman"/>
                <w:sz w:val="16"/>
                <w:szCs w:val="16"/>
                <w:lang w:val="en-GB"/>
              </w:rPr>
              <w:t>)</w:t>
            </w:r>
            <w:r w:rsidR="00181DCE" w:rsidRPr="00EE533D">
              <w:rPr>
                <w:rFonts w:ascii="Times New Roman" w:hAnsi="Times New Roman" w:cs="Times New Roman"/>
                <w:sz w:val="16"/>
                <w:szCs w:val="16"/>
                <w:lang w:val="en-GB"/>
              </w:rPr>
              <w:t xml:space="preserve"> </w:t>
            </w:r>
            <w:r w:rsidR="00A70D37" w:rsidRPr="00EE533D">
              <w:rPr>
                <w:rFonts w:ascii="Times New Roman" w:hAnsi="Times New Roman" w:cs="Times New Roman"/>
                <w:sz w:val="16"/>
                <w:szCs w:val="16"/>
                <w:lang w:val="en-GB"/>
              </w:rPr>
              <w:t>was</w:t>
            </w:r>
            <w:r w:rsidR="00181DCE" w:rsidRPr="00EE533D">
              <w:rPr>
                <w:rFonts w:ascii="Times New Roman" w:hAnsi="Times New Roman" w:cs="Times New Roman"/>
                <w:sz w:val="16"/>
                <w:szCs w:val="16"/>
                <w:lang w:val="en-GB"/>
              </w:rPr>
              <w:t xml:space="preserve"> higher than the median of the sample.</w:t>
            </w:r>
            <w:r w:rsidR="00CE5E1D" w:rsidRPr="00EE533D">
              <w:rPr>
                <w:rFonts w:ascii="Times New Roman" w:hAnsi="Times New Roman" w:cs="Times New Roman"/>
                <w:sz w:val="16"/>
                <w:szCs w:val="16"/>
                <w:lang w:val="en-GB"/>
              </w:rPr>
              <w:t xml:space="preserve"> * indicates a significant difference at the 10% level, ** at the 5% level and *** at the 1% level.</w:t>
            </w:r>
          </w:p>
        </w:tc>
      </w:tr>
    </w:tbl>
    <w:p w14:paraId="77C3DCA9" w14:textId="43F85D9A" w:rsidR="007467F2" w:rsidRPr="00EE533D" w:rsidRDefault="00CB79B5" w:rsidP="007467F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t xml:space="preserve"> </w:t>
      </w:r>
    </w:p>
    <w:p w14:paraId="4E7AFE08" w14:textId="77777777" w:rsidR="00D7136F" w:rsidRPr="00EE533D" w:rsidRDefault="00D7136F" w:rsidP="007467F2">
      <w:pPr>
        <w:widowControl w:val="0"/>
        <w:autoSpaceDE w:val="0"/>
        <w:autoSpaceDN w:val="0"/>
        <w:adjustRightInd w:val="0"/>
        <w:spacing w:after="0" w:line="240" w:lineRule="auto"/>
        <w:rPr>
          <w:rFonts w:ascii="Times New Roman" w:hAnsi="Times New Roman" w:cs="Times New Roman"/>
          <w:b/>
          <w:bCs/>
          <w:sz w:val="20"/>
          <w:szCs w:val="20"/>
          <w:lang w:val="en-GB"/>
        </w:rPr>
        <w:sectPr w:rsidR="00D7136F" w:rsidRPr="00EE533D" w:rsidSect="00D7136F">
          <w:pgSz w:w="16838" w:h="11906" w:orient="landscape" w:code="9"/>
          <w:pgMar w:top="1412" w:right="1412" w:bottom="1412" w:left="1412" w:header="709" w:footer="709" w:gutter="0"/>
          <w:cols w:space="708"/>
          <w:docGrid w:linePitch="360"/>
        </w:sectPr>
      </w:pPr>
    </w:p>
    <w:tbl>
      <w:tblPr>
        <w:tblpPr w:leftFromText="141" w:rightFromText="141" w:vertAnchor="text" w:horzAnchor="margin" w:tblpXSpec="center" w:tblpY="393"/>
        <w:tblW w:w="10915" w:type="dxa"/>
        <w:tblLayout w:type="fixed"/>
        <w:tblLook w:val="0000" w:firstRow="0" w:lastRow="0" w:firstColumn="0" w:lastColumn="0" w:noHBand="0" w:noVBand="0"/>
      </w:tblPr>
      <w:tblGrid>
        <w:gridCol w:w="2033"/>
        <w:gridCol w:w="967"/>
        <w:gridCol w:w="1120"/>
        <w:gridCol w:w="983"/>
        <w:gridCol w:w="993"/>
        <w:gridCol w:w="883"/>
        <w:gridCol w:w="889"/>
        <w:gridCol w:w="967"/>
        <w:gridCol w:w="967"/>
        <w:gridCol w:w="1113"/>
      </w:tblGrid>
      <w:tr w:rsidR="00EE533D" w:rsidRPr="00EE533D" w14:paraId="6EC3A042" w14:textId="77777777" w:rsidTr="007467F2">
        <w:trPr>
          <w:trHeight w:val="248"/>
        </w:trPr>
        <w:tc>
          <w:tcPr>
            <w:tcW w:w="10915" w:type="dxa"/>
            <w:gridSpan w:val="10"/>
            <w:tcBorders>
              <w:left w:val="nil"/>
              <w:right w:val="nil"/>
            </w:tcBorders>
          </w:tcPr>
          <w:p w14:paraId="2FF540CC" w14:textId="77777777" w:rsidR="007467F2" w:rsidRPr="00EE533D" w:rsidRDefault="007467F2" w:rsidP="007467F2">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b/>
                <w:bCs/>
                <w:sz w:val="20"/>
                <w:szCs w:val="20"/>
                <w:lang w:val="en-GB"/>
              </w:rPr>
              <w:t>Table 4. Correlation matrix</w:t>
            </w:r>
          </w:p>
        </w:tc>
      </w:tr>
      <w:tr w:rsidR="00EE533D" w:rsidRPr="00EE533D" w14:paraId="47EFF903" w14:textId="77777777" w:rsidTr="007467F2">
        <w:trPr>
          <w:trHeight w:val="248"/>
        </w:trPr>
        <w:tc>
          <w:tcPr>
            <w:tcW w:w="2033" w:type="dxa"/>
            <w:tcBorders>
              <w:left w:val="nil"/>
              <w:bottom w:val="single" w:sz="12" w:space="0" w:color="auto"/>
              <w:right w:val="nil"/>
            </w:tcBorders>
          </w:tcPr>
          <w:p w14:paraId="61E7EF1F" w14:textId="77777777" w:rsidR="007467F2" w:rsidRPr="00EE533D" w:rsidRDefault="007467F2" w:rsidP="007467F2">
            <w:pPr>
              <w:widowControl w:val="0"/>
              <w:autoSpaceDE w:val="0"/>
              <w:autoSpaceDN w:val="0"/>
              <w:adjustRightInd w:val="0"/>
              <w:spacing w:after="0" w:line="240" w:lineRule="auto"/>
              <w:rPr>
                <w:rFonts w:ascii="Times New Roman" w:hAnsi="Times New Roman" w:cs="Times New Roman"/>
                <w:sz w:val="16"/>
                <w:szCs w:val="16"/>
                <w:lang w:val="en-GB"/>
              </w:rPr>
            </w:pPr>
          </w:p>
          <w:p w14:paraId="19CD6EE0" w14:textId="77777777" w:rsidR="007467F2" w:rsidRPr="00EE533D" w:rsidRDefault="007467F2" w:rsidP="007467F2">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Variables</w:t>
            </w:r>
          </w:p>
        </w:tc>
        <w:tc>
          <w:tcPr>
            <w:tcW w:w="967" w:type="dxa"/>
            <w:tcBorders>
              <w:left w:val="nil"/>
              <w:bottom w:val="single" w:sz="12" w:space="0" w:color="auto"/>
              <w:right w:val="nil"/>
            </w:tcBorders>
          </w:tcPr>
          <w:p w14:paraId="79234F74"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Recycled Waste</w:t>
            </w:r>
          </w:p>
        </w:tc>
        <w:tc>
          <w:tcPr>
            <w:tcW w:w="1120" w:type="dxa"/>
            <w:tcBorders>
              <w:left w:val="nil"/>
              <w:bottom w:val="single" w:sz="12" w:space="0" w:color="auto"/>
              <w:right w:val="nil"/>
            </w:tcBorders>
          </w:tcPr>
          <w:p w14:paraId="5AAC0B4D"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Recycled Water</w:t>
            </w:r>
          </w:p>
        </w:tc>
        <w:tc>
          <w:tcPr>
            <w:tcW w:w="983" w:type="dxa"/>
            <w:tcBorders>
              <w:left w:val="nil"/>
              <w:bottom w:val="single" w:sz="12" w:space="0" w:color="auto"/>
              <w:right w:val="nil"/>
            </w:tcBorders>
          </w:tcPr>
          <w:p w14:paraId="153A740C"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Recycled Paper</w:t>
            </w:r>
          </w:p>
        </w:tc>
        <w:tc>
          <w:tcPr>
            <w:tcW w:w="993" w:type="dxa"/>
            <w:tcBorders>
              <w:left w:val="nil"/>
              <w:bottom w:val="single" w:sz="12" w:space="0" w:color="auto"/>
              <w:right w:val="nil"/>
            </w:tcBorders>
          </w:tcPr>
          <w:p w14:paraId="7E82B97C"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Contr. Of Corr.</w:t>
            </w:r>
          </w:p>
        </w:tc>
        <w:tc>
          <w:tcPr>
            <w:tcW w:w="883" w:type="dxa"/>
            <w:tcBorders>
              <w:left w:val="nil"/>
              <w:bottom w:val="single" w:sz="12" w:space="0" w:color="auto"/>
              <w:right w:val="nil"/>
            </w:tcBorders>
          </w:tcPr>
          <w:p w14:paraId="7812D509"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Gov. Effect.</w:t>
            </w:r>
          </w:p>
        </w:tc>
        <w:tc>
          <w:tcPr>
            <w:tcW w:w="889" w:type="dxa"/>
            <w:tcBorders>
              <w:left w:val="nil"/>
              <w:bottom w:val="single" w:sz="12" w:space="0" w:color="auto"/>
              <w:right w:val="nil"/>
            </w:tcBorders>
          </w:tcPr>
          <w:p w14:paraId="0583B861"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Political Stability</w:t>
            </w:r>
          </w:p>
        </w:tc>
        <w:tc>
          <w:tcPr>
            <w:tcW w:w="967" w:type="dxa"/>
            <w:tcBorders>
              <w:left w:val="nil"/>
              <w:bottom w:val="single" w:sz="12" w:space="0" w:color="auto"/>
              <w:right w:val="nil"/>
            </w:tcBorders>
          </w:tcPr>
          <w:p w14:paraId="29450954"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Regulatory Quality</w:t>
            </w:r>
          </w:p>
        </w:tc>
        <w:tc>
          <w:tcPr>
            <w:tcW w:w="967" w:type="dxa"/>
            <w:tcBorders>
              <w:left w:val="nil"/>
              <w:bottom w:val="single" w:sz="12" w:space="0" w:color="auto"/>
              <w:right w:val="nil"/>
            </w:tcBorders>
          </w:tcPr>
          <w:p w14:paraId="588395CF"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Rule of Law</w:t>
            </w:r>
          </w:p>
        </w:tc>
        <w:tc>
          <w:tcPr>
            <w:tcW w:w="1113" w:type="dxa"/>
            <w:tcBorders>
              <w:left w:val="nil"/>
              <w:bottom w:val="single" w:sz="12" w:space="0" w:color="auto"/>
              <w:right w:val="nil"/>
            </w:tcBorders>
          </w:tcPr>
          <w:p w14:paraId="4B170C2D"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p>
          <w:p w14:paraId="4E3AFC5A" w14:textId="77777777" w:rsidR="007467F2" w:rsidRPr="00EE533D" w:rsidRDefault="007467F2" w:rsidP="007467F2">
            <w:pPr>
              <w:widowControl w:val="0"/>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Voice</w:t>
            </w:r>
          </w:p>
        </w:tc>
      </w:tr>
      <w:tr w:rsidR="00EE533D" w:rsidRPr="00EE533D" w14:paraId="0FFFC119" w14:textId="77777777" w:rsidTr="007467F2">
        <w:trPr>
          <w:trHeight w:val="248"/>
        </w:trPr>
        <w:tc>
          <w:tcPr>
            <w:tcW w:w="2033" w:type="dxa"/>
            <w:tcBorders>
              <w:top w:val="nil"/>
              <w:left w:val="nil"/>
              <w:bottom w:val="nil"/>
              <w:right w:val="nil"/>
            </w:tcBorders>
          </w:tcPr>
          <w:p w14:paraId="5C30CCA4"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Control of Corruption</w:t>
            </w:r>
          </w:p>
        </w:tc>
        <w:tc>
          <w:tcPr>
            <w:tcW w:w="967" w:type="dxa"/>
            <w:tcBorders>
              <w:top w:val="nil"/>
              <w:left w:val="nil"/>
              <w:bottom w:val="nil"/>
              <w:right w:val="nil"/>
            </w:tcBorders>
          </w:tcPr>
          <w:p w14:paraId="5727A6A3" w14:textId="30F54EE3"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0.094***</w:t>
            </w:r>
          </w:p>
        </w:tc>
        <w:tc>
          <w:tcPr>
            <w:tcW w:w="1120" w:type="dxa"/>
            <w:tcBorders>
              <w:top w:val="nil"/>
              <w:left w:val="nil"/>
              <w:bottom w:val="nil"/>
              <w:right w:val="nil"/>
            </w:tcBorders>
          </w:tcPr>
          <w:p w14:paraId="2730AD1C" w14:textId="2CBF2BF5" w:rsidR="00CB79B5" w:rsidRPr="00EE533D" w:rsidRDefault="00CB79B5" w:rsidP="00CB79B5">
            <w:pPr>
              <w:widowControl w:val="0"/>
              <w:tabs>
                <w:tab w:val="decimal" w:pos="297"/>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0.062**</w:t>
            </w:r>
          </w:p>
        </w:tc>
        <w:tc>
          <w:tcPr>
            <w:tcW w:w="983" w:type="dxa"/>
            <w:tcBorders>
              <w:top w:val="nil"/>
              <w:left w:val="nil"/>
              <w:bottom w:val="nil"/>
              <w:right w:val="nil"/>
            </w:tcBorders>
          </w:tcPr>
          <w:p w14:paraId="116DC23F" w14:textId="3471F94D"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0.039</w:t>
            </w:r>
          </w:p>
        </w:tc>
        <w:tc>
          <w:tcPr>
            <w:tcW w:w="993" w:type="dxa"/>
            <w:tcBorders>
              <w:top w:val="nil"/>
              <w:left w:val="nil"/>
              <w:bottom w:val="nil"/>
              <w:right w:val="nil"/>
            </w:tcBorders>
          </w:tcPr>
          <w:p w14:paraId="3AC1B1C5" w14:textId="2CC345E0"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883" w:type="dxa"/>
            <w:tcBorders>
              <w:top w:val="nil"/>
              <w:left w:val="nil"/>
              <w:bottom w:val="nil"/>
              <w:right w:val="nil"/>
            </w:tcBorders>
          </w:tcPr>
          <w:p w14:paraId="33CDA5F6"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889" w:type="dxa"/>
            <w:tcBorders>
              <w:top w:val="nil"/>
              <w:left w:val="nil"/>
              <w:bottom w:val="nil"/>
              <w:right w:val="nil"/>
            </w:tcBorders>
          </w:tcPr>
          <w:p w14:paraId="7364AE93"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788A1FEE"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65F7E844"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1113" w:type="dxa"/>
            <w:tcBorders>
              <w:top w:val="nil"/>
              <w:left w:val="nil"/>
              <w:bottom w:val="nil"/>
              <w:right w:val="nil"/>
            </w:tcBorders>
          </w:tcPr>
          <w:p w14:paraId="72966DD0"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30992B3D" w14:textId="77777777" w:rsidTr="007467F2">
        <w:trPr>
          <w:trHeight w:val="263"/>
        </w:trPr>
        <w:tc>
          <w:tcPr>
            <w:tcW w:w="2033" w:type="dxa"/>
            <w:tcBorders>
              <w:top w:val="nil"/>
              <w:left w:val="nil"/>
              <w:bottom w:val="nil"/>
              <w:right w:val="nil"/>
            </w:tcBorders>
          </w:tcPr>
          <w:p w14:paraId="619F8B5C" w14:textId="77777777" w:rsidR="00CB79B5" w:rsidRPr="00EE533D" w:rsidRDefault="00CB79B5" w:rsidP="00CB79B5">
            <w:pPr>
              <w:widowControl w:val="0"/>
              <w:autoSpaceDE w:val="0"/>
              <w:autoSpaceDN w:val="0"/>
              <w:adjustRightInd w:val="0"/>
              <w:spacing w:after="0" w:line="240" w:lineRule="auto"/>
              <w:rPr>
                <w:rFonts w:ascii="Times New Roman" w:eastAsia="Calibri" w:hAnsi="Times New Roman" w:cs="Times New Roman"/>
                <w:sz w:val="16"/>
                <w:szCs w:val="16"/>
                <w:lang w:val="en-GB"/>
              </w:rPr>
            </w:pPr>
            <w:r w:rsidRPr="00EE533D">
              <w:rPr>
                <w:rFonts w:ascii="Times New Roman" w:hAnsi="Times New Roman" w:cs="Times New Roman"/>
                <w:sz w:val="16"/>
                <w:szCs w:val="16"/>
                <w:lang w:val="en-GB"/>
              </w:rPr>
              <w:t>Government Effectiveness</w:t>
            </w:r>
          </w:p>
        </w:tc>
        <w:tc>
          <w:tcPr>
            <w:tcW w:w="967" w:type="dxa"/>
            <w:tcBorders>
              <w:top w:val="nil"/>
              <w:left w:val="nil"/>
              <w:bottom w:val="nil"/>
              <w:right w:val="nil"/>
            </w:tcBorders>
          </w:tcPr>
          <w:p w14:paraId="40B239DD" w14:textId="2802FCC2"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0.132***</w:t>
            </w:r>
          </w:p>
        </w:tc>
        <w:tc>
          <w:tcPr>
            <w:tcW w:w="1120" w:type="dxa"/>
            <w:tcBorders>
              <w:top w:val="nil"/>
              <w:left w:val="nil"/>
              <w:bottom w:val="nil"/>
              <w:right w:val="nil"/>
            </w:tcBorders>
          </w:tcPr>
          <w:p w14:paraId="1062AD47" w14:textId="549D0EA6"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0.009</w:t>
            </w:r>
          </w:p>
        </w:tc>
        <w:tc>
          <w:tcPr>
            <w:tcW w:w="983" w:type="dxa"/>
            <w:tcBorders>
              <w:top w:val="nil"/>
              <w:left w:val="nil"/>
              <w:bottom w:val="nil"/>
              <w:right w:val="nil"/>
            </w:tcBorders>
          </w:tcPr>
          <w:p w14:paraId="349E360A" w14:textId="24A3A15B"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0.002</w:t>
            </w:r>
          </w:p>
        </w:tc>
        <w:tc>
          <w:tcPr>
            <w:tcW w:w="993" w:type="dxa"/>
            <w:tcBorders>
              <w:top w:val="nil"/>
              <w:left w:val="nil"/>
              <w:bottom w:val="nil"/>
              <w:right w:val="nil"/>
            </w:tcBorders>
          </w:tcPr>
          <w:p w14:paraId="348BEEC8" w14:textId="27374156"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0.931***</w:t>
            </w:r>
          </w:p>
        </w:tc>
        <w:tc>
          <w:tcPr>
            <w:tcW w:w="883" w:type="dxa"/>
            <w:tcBorders>
              <w:top w:val="nil"/>
              <w:left w:val="nil"/>
              <w:bottom w:val="nil"/>
              <w:right w:val="nil"/>
            </w:tcBorders>
          </w:tcPr>
          <w:p w14:paraId="77543DA1" w14:textId="5A5C765E" w:rsidR="00CB79B5" w:rsidRPr="00EE533D" w:rsidRDefault="00CB79B5" w:rsidP="00CB79B5">
            <w:pPr>
              <w:widowControl w:val="0"/>
              <w:tabs>
                <w:tab w:val="decimal" w:pos="251"/>
              </w:tabs>
              <w:autoSpaceDE w:val="0"/>
              <w:autoSpaceDN w:val="0"/>
              <w:adjustRightInd w:val="0"/>
              <w:spacing w:after="0" w:line="240" w:lineRule="auto"/>
              <w:rPr>
                <w:rFonts w:ascii="Times New Roman" w:hAnsi="Times New Roman" w:cs="Times New Roman"/>
                <w:sz w:val="16"/>
                <w:szCs w:val="16"/>
                <w:lang w:val="en-GB"/>
              </w:rPr>
            </w:pPr>
          </w:p>
        </w:tc>
        <w:tc>
          <w:tcPr>
            <w:tcW w:w="889" w:type="dxa"/>
            <w:tcBorders>
              <w:top w:val="nil"/>
              <w:left w:val="nil"/>
              <w:bottom w:val="nil"/>
              <w:right w:val="nil"/>
            </w:tcBorders>
          </w:tcPr>
          <w:p w14:paraId="75CD348F"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5C664184"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59EC50A0"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1113" w:type="dxa"/>
            <w:tcBorders>
              <w:top w:val="nil"/>
              <w:left w:val="nil"/>
              <w:bottom w:val="nil"/>
              <w:right w:val="nil"/>
            </w:tcBorders>
          </w:tcPr>
          <w:p w14:paraId="59DDE4A3"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27F868B4" w14:textId="77777777" w:rsidTr="007467F2">
        <w:trPr>
          <w:trHeight w:val="263"/>
        </w:trPr>
        <w:tc>
          <w:tcPr>
            <w:tcW w:w="2033" w:type="dxa"/>
            <w:tcBorders>
              <w:top w:val="nil"/>
              <w:left w:val="nil"/>
              <w:bottom w:val="nil"/>
              <w:right w:val="nil"/>
            </w:tcBorders>
          </w:tcPr>
          <w:p w14:paraId="7F1C9DD2"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Political Stability</w:t>
            </w:r>
          </w:p>
        </w:tc>
        <w:tc>
          <w:tcPr>
            <w:tcW w:w="967" w:type="dxa"/>
            <w:tcBorders>
              <w:top w:val="nil"/>
              <w:left w:val="nil"/>
              <w:bottom w:val="nil"/>
              <w:right w:val="nil"/>
            </w:tcBorders>
          </w:tcPr>
          <w:p w14:paraId="07DF7941" w14:textId="58B001CA" w:rsidR="00CB79B5" w:rsidRPr="00EE533D" w:rsidRDefault="00CB79B5" w:rsidP="00CB79B5">
            <w:pPr>
              <w:widowControl w:val="0"/>
              <w:tabs>
                <w:tab w:val="decimal" w:pos="238"/>
              </w:tabs>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0.141***</w:t>
            </w:r>
          </w:p>
        </w:tc>
        <w:tc>
          <w:tcPr>
            <w:tcW w:w="1120" w:type="dxa"/>
            <w:tcBorders>
              <w:top w:val="nil"/>
              <w:left w:val="nil"/>
              <w:bottom w:val="nil"/>
              <w:right w:val="nil"/>
            </w:tcBorders>
          </w:tcPr>
          <w:p w14:paraId="233B5EC0" w14:textId="363B3ADB"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-0.029</w:t>
            </w:r>
          </w:p>
        </w:tc>
        <w:tc>
          <w:tcPr>
            <w:tcW w:w="983" w:type="dxa"/>
            <w:tcBorders>
              <w:top w:val="nil"/>
              <w:left w:val="nil"/>
              <w:bottom w:val="nil"/>
              <w:right w:val="nil"/>
            </w:tcBorders>
          </w:tcPr>
          <w:p w14:paraId="37AE9EB4" w14:textId="577037D4"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-0.155***</w:t>
            </w:r>
          </w:p>
        </w:tc>
        <w:tc>
          <w:tcPr>
            <w:tcW w:w="993" w:type="dxa"/>
            <w:tcBorders>
              <w:top w:val="nil"/>
              <w:left w:val="nil"/>
              <w:bottom w:val="nil"/>
              <w:right w:val="nil"/>
            </w:tcBorders>
          </w:tcPr>
          <w:p w14:paraId="410B26A6" w14:textId="1375BF44"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0.850***</w:t>
            </w:r>
          </w:p>
        </w:tc>
        <w:tc>
          <w:tcPr>
            <w:tcW w:w="883" w:type="dxa"/>
            <w:tcBorders>
              <w:top w:val="nil"/>
              <w:left w:val="nil"/>
              <w:bottom w:val="nil"/>
              <w:right w:val="nil"/>
            </w:tcBorders>
          </w:tcPr>
          <w:p w14:paraId="63D67E2D" w14:textId="077F3FD5" w:rsidR="00CB79B5" w:rsidRPr="00EE533D" w:rsidRDefault="00CB79B5" w:rsidP="00CB79B5">
            <w:pPr>
              <w:widowControl w:val="0"/>
              <w:tabs>
                <w:tab w:val="decimal" w:pos="251"/>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0.821***</w:t>
            </w:r>
          </w:p>
        </w:tc>
        <w:tc>
          <w:tcPr>
            <w:tcW w:w="889" w:type="dxa"/>
            <w:tcBorders>
              <w:top w:val="nil"/>
              <w:left w:val="nil"/>
              <w:bottom w:val="nil"/>
              <w:right w:val="nil"/>
            </w:tcBorders>
          </w:tcPr>
          <w:p w14:paraId="36B37651" w14:textId="2835E5BE" w:rsidR="00CB79B5" w:rsidRPr="00EE533D" w:rsidRDefault="00CB79B5" w:rsidP="00CB79B5">
            <w:pPr>
              <w:widowControl w:val="0"/>
              <w:tabs>
                <w:tab w:val="decimal" w:pos="325"/>
              </w:tabs>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1DCEBF78"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1F94215B"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1113" w:type="dxa"/>
            <w:tcBorders>
              <w:top w:val="nil"/>
              <w:left w:val="nil"/>
              <w:bottom w:val="nil"/>
              <w:right w:val="nil"/>
            </w:tcBorders>
          </w:tcPr>
          <w:p w14:paraId="10D073D5"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01A94883" w14:textId="77777777" w:rsidTr="007467F2">
        <w:trPr>
          <w:trHeight w:val="248"/>
        </w:trPr>
        <w:tc>
          <w:tcPr>
            <w:tcW w:w="2033" w:type="dxa"/>
            <w:tcBorders>
              <w:top w:val="nil"/>
              <w:left w:val="nil"/>
              <w:bottom w:val="nil"/>
              <w:right w:val="nil"/>
            </w:tcBorders>
          </w:tcPr>
          <w:p w14:paraId="7FD58F50"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Regulatory Quality</w:t>
            </w:r>
          </w:p>
        </w:tc>
        <w:tc>
          <w:tcPr>
            <w:tcW w:w="967" w:type="dxa"/>
            <w:tcBorders>
              <w:top w:val="nil"/>
              <w:left w:val="nil"/>
              <w:bottom w:val="nil"/>
              <w:right w:val="nil"/>
            </w:tcBorders>
          </w:tcPr>
          <w:p w14:paraId="3EE7ECAB" w14:textId="639586F9" w:rsidR="00CB79B5" w:rsidRPr="00EE533D" w:rsidRDefault="00CB79B5" w:rsidP="00CB79B5">
            <w:pPr>
              <w:widowControl w:val="0"/>
              <w:tabs>
                <w:tab w:val="decimal" w:pos="238"/>
              </w:tabs>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0.088***</w:t>
            </w:r>
          </w:p>
        </w:tc>
        <w:tc>
          <w:tcPr>
            <w:tcW w:w="1120" w:type="dxa"/>
            <w:tcBorders>
              <w:top w:val="nil"/>
              <w:left w:val="nil"/>
              <w:bottom w:val="nil"/>
              <w:right w:val="nil"/>
            </w:tcBorders>
          </w:tcPr>
          <w:p w14:paraId="626F38A8" w14:textId="7D54A81B"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-0.044*</w:t>
            </w:r>
          </w:p>
        </w:tc>
        <w:tc>
          <w:tcPr>
            <w:tcW w:w="983" w:type="dxa"/>
            <w:tcBorders>
              <w:top w:val="nil"/>
              <w:left w:val="nil"/>
              <w:bottom w:val="nil"/>
              <w:right w:val="nil"/>
            </w:tcBorders>
          </w:tcPr>
          <w:p w14:paraId="5FDD6B62" w14:textId="35C61D03"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0.057</w:t>
            </w:r>
          </w:p>
        </w:tc>
        <w:tc>
          <w:tcPr>
            <w:tcW w:w="993" w:type="dxa"/>
            <w:tcBorders>
              <w:top w:val="nil"/>
              <w:left w:val="nil"/>
              <w:bottom w:val="nil"/>
              <w:right w:val="nil"/>
            </w:tcBorders>
          </w:tcPr>
          <w:p w14:paraId="4C6D6D16" w14:textId="06D881EC"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0.933***</w:t>
            </w:r>
          </w:p>
        </w:tc>
        <w:tc>
          <w:tcPr>
            <w:tcW w:w="883" w:type="dxa"/>
            <w:tcBorders>
              <w:top w:val="nil"/>
              <w:left w:val="nil"/>
              <w:bottom w:val="nil"/>
              <w:right w:val="nil"/>
            </w:tcBorders>
          </w:tcPr>
          <w:p w14:paraId="1CFEC0B5" w14:textId="1414C1C0" w:rsidR="00CB79B5" w:rsidRPr="00EE533D" w:rsidRDefault="00CB79B5" w:rsidP="00CB79B5">
            <w:pPr>
              <w:widowControl w:val="0"/>
              <w:tabs>
                <w:tab w:val="decimal" w:pos="251"/>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0.912***</w:t>
            </w:r>
          </w:p>
        </w:tc>
        <w:tc>
          <w:tcPr>
            <w:tcW w:w="889" w:type="dxa"/>
            <w:tcBorders>
              <w:top w:val="nil"/>
              <w:left w:val="nil"/>
              <w:bottom w:val="nil"/>
              <w:right w:val="nil"/>
            </w:tcBorders>
          </w:tcPr>
          <w:p w14:paraId="74339FD1" w14:textId="37101ECE" w:rsidR="00CB79B5" w:rsidRPr="00EE533D" w:rsidRDefault="00CB79B5" w:rsidP="00CB79B5">
            <w:pPr>
              <w:widowControl w:val="0"/>
              <w:tabs>
                <w:tab w:val="decimal" w:pos="3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0.811***</w:t>
            </w:r>
          </w:p>
        </w:tc>
        <w:tc>
          <w:tcPr>
            <w:tcW w:w="967" w:type="dxa"/>
            <w:tcBorders>
              <w:top w:val="nil"/>
              <w:left w:val="nil"/>
              <w:bottom w:val="nil"/>
              <w:right w:val="nil"/>
            </w:tcBorders>
          </w:tcPr>
          <w:p w14:paraId="7B86FA60" w14:textId="36BB6B96" w:rsidR="00CB79B5" w:rsidRPr="00EE533D" w:rsidRDefault="00CB79B5" w:rsidP="00CB79B5">
            <w:pPr>
              <w:widowControl w:val="0"/>
              <w:tabs>
                <w:tab w:val="decimal" w:pos="325"/>
              </w:tabs>
              <w:autoSpaceDE w:val="0"/>
              <w:autoSpaceDN w:val="0"/>
              <w:adjustRightInd w:val="0"/>
              <w:spacing w:after="0" w:line="240" w:lineRule="auto"/>
              <w:rPr>
                <w:rFonts w:ascii="Times New Roman" w:hAnsi="Times New Roman" w:cs="Times New Roman"/>
                <w:sz w:val="16"/>
                <w:szCs w:val="16"/>
                <w:lang w:val="en-GB"/>
              </w:rPr>
            </w:pPr>
          </w:p>
        </w:tc>
        <w:tc>
          <w:tcPr>
            <w:tcW w:w="967" w:type="dxa"/>
            <w:tcBorders>
              <w:top w:val="nil"/>
              <w:left w:val="nil"/>
              <w:bottom w:val="nil"/>
              <w:right w:val="nil"/>
            </w:tcBorders>
          </w:tcPr>
          <w:p w14:paraId="044032FC"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c>
          <w:tcPr>
            <w:tcW w:w="1113" w:type="dxa"/>
            <w:tcBorders>
              <w:top w:val="nil"/>
              <w:left w:val="nil"/>
              <w:bottom w:val="nil"/>
              <w:right w:val="nil"/>
            </w:tcBorders>
          </w:tcPr>
          <w:p w14:paraId="2DF095A3"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04B41B1E" w14:textId="77777777" w:rsidTr="007467F2">
        <w:trPr>
          <w:trHeight w:val="263"/>
        </w:trPr>
        <w:tc>
          <w:tcPr>
            <w:tcW w:w="2033" w:type="dxa"/>
            <w:tcBorders>
              <w:top w:val="nil"/>
              <w:left w:val="nil"/>
              <w:bottom w:val="nil"/>
              <w:right w:val="nil"/>
            </w:tcBorders>
          </w:tcPr>
          <w:p w14:paraId="564F8934"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Rule of Law</w:t>
            </w:r>
          </w:p>
        </w:tc>
        <w:tc>
          <w:tcPr>
            <w:tcW w:w="967" w:type="dxa"/>
            <w:tcBorders>
              <w:top w:val="nil"/>
              <w:left w:val="nil"/>
              <w:bottom w:val="nil"/>
              <w:right w:val="nil"/>
            </w:tcBorders>
          </w:tcPr>
          <w:p w14:paraId="444F71E6" w14:textId="05DC527B" w:rsidR="00CB79B5" w:rsidRPr="00EE533D" w:rsidRDefault="00CB79B5" w:rsidP="00CB79B5">
            <w:pPr>
              <w:widowControl w:val="0"/>
              <w:tabs>
                <w:tab w:val="decimal" w:pos="238"/>
              </w:tabs>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0.111***</w:t>
            </w:r>
          </w:p>
        </w:tc>
        <w:tc>
          <w:tcPr>
            <w:tcW w:w="1120" w:type="dxa"/>
            <w:tcBorders>
              <w:top w:val="nil"/>
              <w:left w:val="nil"/>
              <w:bottom w:val="nil"/>
              <w:right w:val="nil"/>
            </w:tcBorders>
          </w:tcPr>
          <w:p w14:paraId="36D159F9" w14:textId="0459798E"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-0.022</w:t>
            </w:r>
          </w:p>
        </w:tc>
        <w:tc>
          <w:tcPr>
            <w:tcW w:w="983" w:type="dxa"/>
            <w:tcBorders>
              <w:top w:val="nil"/>
              <w:left w:val="nil"/>
              <w:bottom w:val="nil"/>
              <w:right w:val="nil"/>
            </w:tcBorders>
          </w:tcPr>
          <w:p w14:paraId="187581FF" w14:textId="4007F57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0.065</w:t>
            </w:r>
          </w:p>
        </w:tc>
        <w:tc>
          <w:tcPr>
            <w:tcW w:w="993" w:type="dxa"/>
            <w:tcBorders>
              <w:top w:val="nil"/>
              <w:left w:val="nil"/>
              <w:bottom w:val="nil"/>
              <w:right w:val="nil"/>
            </w:tcBorders>
          </w:tcPr>
          <w:p w14:paraId="6F08D39F" w14:textId="60BA55C1"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0.956***</w:t>
            </w:r>
          </w:p>
        </w:tc>
        <w:tc>
          <w:tcPr>
            <w:tcW w:w="883" w:type="dxa"/>
            <w:tcBorders>
              <w:top w:val="nil"/>
              <w:left w:val="nil"/>
              <w:bottom w:val="nil"/>
              <w:right w:val="nil"/>
            </w:tcBorders>
          </w:tcPr>
          <w:p w14:paraId="40AB7F9C" w14:textId="1C925A54"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0.948***</w:t>
            </w:r>
          </w:p>
        </w:tc>
        <w:tc>
          <w:tcPr>
            <w:tcW w:w="889" w:type="dxa"/>
            <w:tcBorders>
              <w:top w:val="nil"/>
              <w:left w:val="nil"/>
              <w:bottom w:val="nil"/>
              <w:right w:val="nil"/>
            </w:tcBorders>
          </w:tcPr>
          <w:p w14:paraId="0E4B5F76" w14:textId="59C060D6"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0.836***</w:t>
            </w:r>
          </w:p>
        </w:tc>
        <w:tc>
          <w:tcPr>
            <w:tcW w:w="967" w:type="dxa"/>
            <w:tcBorders>
              <w:top w:val="nil"/>
              <w:left w:val="nil"/>
              <w:bottom w:val="nil"/>
              <w:right w:val="nil"/>
            </w:tcBorders>
          </w:tcPr>
          <w:p w14:paraId="7C99F8E5" w14:textId="446A22FE" w:rsidR="00CB79B5" w:rsidRPr="00EE533D" w:rsidRDefault="00CB79B5" w:rsidP="00CB79B5">
            <w:pPr>
              <w:widowControl w:val="0"/>
              <w:tabs>
                <w:tab w:val="decimal" w:pos="266"/>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0.956***</w:t>
            </w:r>
          </w:p>
        </w:tc>
        <w:tc>
          <w:tcPr>
            <w:tcW w:w="967" w:type="dxa"/>
            <w:tcBorders>
              <w:top w:val="nil"/>
              <w:left w:val="nil"/>
              <w:bottom w:val="nil"/>
              <w:right w:val="nil"/>
            </w:tcBorders>
          </w:tcPr>
          <w:p w14:paraId="39EE70E3" w14:textId="4F1B30DC" w:rsidR="00CB79B5" w:rsidRPr="00EE533D" w:rsidRDefault="00CB79B5" w:rsidP="00CB79B5">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3" w:type="dxa"/>
            <w:tcBorders>
              <w:top w:val="nil"/>
              <w:left w:val="nil"/>
              <w:bottom w:val="nil"/>
              <w:right w:val="nil"/>
            </w:tcBorders>
          </w:tcPr>
          <w:p w14:paraId="0B6D8C82"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6453CBD9" w14:textId="77777777" w:rsidTr="007467F2">
        <w:trPr>
          <w:trHeight w:val="263"/>
        </w:trPr>
        <w:tc>
          <w:tcPr>
            <w:tcW w:w="2033" w:type="dxa"/>
            <w:tcBorders>
              <w:top w:val="nil"/>
              <w:left w:val="nil"/>
              <w:bottom w:val="nil"/>
              <w:right w:val="nil"/>
            </w:tcBorders>
          </w:tcPr>
          <w:p w14:paraId="0C80F0BE"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Voice</w:t>
            </w:r>
          </w:p>
        </w:tc>
        <w:tc>
          <w:tcPr>
            <w:tcW w:w="967" w:type="dxa"/>
            <w:tcBorders>
              <w:top w:val="nil"/>
              <w:left w:val="nil"/>
              <w:bottom w:val="nil"/>
              <w:right w:val="nil"/>
            </w:tcBorders>
          </w:tcPr>
          <w:p w14:paraId="49A06E42" w14:textId="124E3D83"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0.064***</w:t>
            </w:r>
          </w:p>
        </w:tc>
        <w:tc>
          <w:tcPr>
            <w:tcW w:w="1120" w:type="dxa"/>
            <w:tcBorders>
              <w:top w:val="nil"/>
              <w:left w:val="nil"/>
              <w:bottom w:val="nil"/>
              <w:right w:val="nil"/>
            </w:tcBorders>
          </w:tcPr>
          <w:p w14:paraId="2AB2AD86" w14:textId="68955BD4"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-0.104***</w:t>
            </w:r>
          </w:p>
        </w:tc>
        <w:tc>
          <w:tcPr>
            <w:tcW w:w="983" w:type="dxa"/>
            <w:tcBorders>
              <w:top w:val="nil"/>
              <w:left w:val="nil"/>
              <w:bottom w:val="nil"/>
              <w:right w:val="nil"/>
            </w:tcBorders>
          </w:tcPr>
          <w:p w14:paraId="23B7B577" w14:textId="622D6680"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0.074*</w:t>
            </w:r>
          </w:p>
        </w:tc>
        <w:tc>
          <w:tcPr>
            <w:tcW w:w="993" w:type="dxa"/>
            <w:tcBorders>
              <w:top w:val="nil"/>
              <w:left w:val="nil"/>
              <w:bottom w:val="nil"/>
              <w:right w:val="nil"/>
            </w:tcBorders>
          </w:tcPr>
          <w:p w14:paraId="59B94A28" w14:textId="70495AF1"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0.747***</w:t>
            </w:r>
          </w:p>
        </w:tc>
        <w:tc>
          <w:tcPr>
            <w:tcW w:w="883" w:type="dxa"/>
            <w:tcBorders>
              <w:top w:val="nil"/>
              <w:left w:val="nil"/>
              <w:bottom w:val="nil"/>
              <w:right w:val="nil"/>
            </w:tcBorders>
          </w:tcPr>
          <w:p w14:paraId="345EB5A7" w14:textId="38CFBC09"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0.626***</w:t>
            </w:r>
          </w:p>
        </w:tc>
        <w:tc>
          <w:tcPr>
            <w:tcW w:w="889" w:type="dxa"/>
            <w:tcBorders>
              <w:top w:val="nil"/>
              <w:left w:val="nil"/>
              <w:bottom w:val="nil"/>
              <w:right w:val="nil"/>
            </w:tcBorders>
          </w:tcPr>
          <w:p w14:paraId="306B8855" w14:textId="488F7CE3"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0.720***</w:t>
            </w:r>
          </w:p>
        </w:tc>
        <w:tc>
          <w:tcPr>
            <w:tcW w:w="967" w:type="dxa"/>
            <w:tcBorders>
              <w:top w:val="nil"/>
              <w:left w:val="nil"/>
              <w:bottom w:val="nil"/>
              <w:right w:val="nil"/>
            </w:tcBorders>
          </w:tcPr>
          <w:p w14:paraId="2859F55B" w14:textId="59A6B6C2" w:rsidR="00CB79B5" w:rsidRPr="00EE533D" w:rsidRDefault="00CB79B5" w:rsidP="00CB79B5">
            <w:pPr>
              <w:widowControl w:val="0"/>
              <w:tabs>
                <w:tab w:val="decimal" w:pos="266"/>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0.792***</w:t>
            </w:r>
          </w:p>
        </w:tc>
        <w:tc>
          <w:tcPr>
            <w:tcW w:w="967" w:type="dxa"/>
            <w:tcBorders>
              <w:top w:val="nil"/>
              <w:left w:val="nil"/>
              <w:bottom w:val="nil"/>
              <w:right w:val="nil"/>
            </w:tcBorders>
          </w:tcPr>
          <w:p w14:paraId="1E265AAF" w14:textId="77DD51B8"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0.772***</w:t>
            </w:r>
          </w:p>
        </w:tc>
        <w:tc>
          <w:tcPr>
            <w:tcW w:w="1113" w:type="dxa"/>
            <w:tcBorders>
              <w:top w:val="nil"/>
              <w:left w:val="nil"/>
              <w:bottom w:val="nil"/>
              <w:right w:val="nil"/>
            </w:tcBorders>
          </w:tcPr>
          <w:p w14:paraId="4071AF03" w14:textId="612E39D1" w:rsidR="00CB79B5" w:rsidRPr="00EE533D" w:rsidRDefault="00CB79B5" w:rsidP="00CB79B5">
            <w:pPr>
              <w:widowControl w:val="0"/>
              <w:tabs>
                <w:tab w:val="decimal" w:pos="263"/>
              </w:tabs>
              <w:autoSpaceDE w:val="0"/>
              <w:autoSpaceDN w:val="0"/>
              <w:adjustRightInd w:val="0"/>
              <w:spacing w:after="0" w:line="240" w:lineRule="auto"/>
              <w:rPr>
                <w:rFonts w:ascii="Times New Roman" w:hAnsi="Times New Roman" w:cs="Times New Roman"/>
                <w:sz w:val="16"/>
                <w:szCs w:val="16"/>
                <w:lang w:val="en-GB"/>
              </w:rPr>
            </w:pPr>
          </w:p>
        </w:tc>
      </w:tr>
      <w:tr w:rsidR="00EE533D" w:rsidRPr="00EE533D" w14:paraId="631EBFAB" w14:textId="77777777" w:rsidTr="007467F2">
        <w:trPr>
          <w:trHeight w:val="248"/>
        </w:trPr>
        <w:tc>
          <w:tcPr>
            <w:tcW w:w="2033" w:type="dxa"/>
            <w:tcBorders>
              <w:top w:val="nil"/>
              <w:left w:val="nil"/>
              <w:bottom w:val="nil"/>
              <w:right w:val="nil"/>
            </w:tcBorders>
          </w:tcPr>
          <w:p w14:paraId="7DC021CA"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Debt/Equity</w:t>
            </w:r>
          </w:p>
        </w:tc>
        <w:tc>
          <w:tcPr>
            <w:tcW w:w="967" w:type="dxa"/>
            <w:tcBorders>
              <w:top w:val="nil"/>
              <w:left w:val="nil"/>
              <w:bottom w:val="nil"/>
              <w:right w:val="nil"/>
            </w:tcBorders>
          </w:tcPr>
          <w:p w14:paraId="4EDD3A0B" w14:textId="011DBD3C" w:rsidR="00CB79B5" w:rsidRPr="00EE533D" w:rsidRDefault="00CB79B5" w:rsidP="00CB79B5">
            <w:pPr>
              <w:widowControl w:val="0"/>
              <w:tabs>
                <w:tab w:val="decimal" w:pos="26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-0.017</w:t>
            </w:r>
          </w:p>
        </w:tc>
        <w:tc>
          <w:tcPr>
            <w:tcW w:w="1120" w:type="dxa"/>
            <w:tcBorders>
              <w:top w:val="nil"/>
              <w:left w:val="nil"/>
              <w:bottom w:val="nil"/>
              <w:right w:val="nil"/>
            </w:tcBorders>
          </w:tcPr>
          <w:p w14:paraId="180894FC" w14:textId="7FED9A72"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-0.096***</w:t>
            </w:r>
          </w:p>
        </w:tc>
        <w:tc>
          <w:tcPr>
            <w:tcW w:w="983" w:type="dxa"/>
            <w:tcBorders>
              <w:top w:val="nil"/>
              <w:left w:val="nil"/>
              <w:bottom w:val="nil"/>
              <w:right w:val="nil"/>
            </w:tcBorders>
          </w:tcPr>
          <w:p w14:paraId="1C484AFC" w14:textId="3069F363"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-0.012</w:t>
            </w:r>
          </w:p>
        </w:tc>
        <w:tc>
          <w:tcPr>
            <w:tcW w:w="993" w:type="dxa"/>
            <w:tcBorders>
              <w:top w:val="nil"/>
              <w:left w:val="nil"/>
              <w:bottom w:val="nil"/>
              <w:right w:val="nil"/>
            </w:tcBorders>
          </w:tcPr>
          <w:p w14:paraId="1C716B4F" w14:textId="148F5F4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-0.063***</w:t>
            </w:r>
          </w:p>
        </w:tc>
        <w:tc>
          <w:tcPr>
            <w:tcW w:w="883" w:type="dxa"/>
            <w:tcBorders>
              <w:top w:val="nil"/>
              <w:left w:val="nil"/>
              <w:bottom w:val="nil"/>
              <w:right w:val="nil"/>
            </w:tcBorders>
          </w:tcPr>
          <w:p w14:paraId="462E6D4C" w14:textId="39BFC10D"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-0.074***</w:t>
            </w:r>
          </w:p>
        </w:tc>
        <w:tc>
          <w:tcPr>
            <w:tcW w:w="889" w:type="dxa"/>
            <w:tcBorders>
              <w:top w:val="nil"/>
              <w:left w:val="nil"/>
              <w:bottom w:val="nil"/>
              <w:right w:val="nil"/>
            </w:tcBorders>
          </w:tcPr>
          <w:p w14:paraId="7E23CDE7" w14:textId="0A998232"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-0.094***</w:t>
            </w:r>
          </w:p>
        </w:tc>
        <w:tc>
          <w:tcPr>
            <w:tcW w:w="967" w:type="dxa"/>
            <w:tcBorders>
              <w:top w:val="nil"/>
              <w:left w:val="nil"/>
              <w:bottom w:val="nil"/>
              <w:right w:val="nil"/>
            </w:tcBorders>
          </w:tcPr>
          <w:p w14:paraId="3E9F1A31" w14:textId="14709934"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-0.040***</w:t>
            </w:r>
          </w:p>
        </w:tc>
        <w:tc>
          <w:tcPr>
            <w:tcW w:w="967" w:type="dxa"/>
            <w:tcBorders>
              <w:top w:val="nil"/>
              <w:left w:val="nil"/>
              <w:bottom w:val="nil"/>
              <w:right w:val="nil"/>
            </w:tcBorders>
          </w:tcPr>
          <w:p w14:paraId="78BCACA1" w14:textId="52DCB4F4"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-0.043***</w:t>
            </w:r>
          </w:p>
        </w:tc>
        <w:tc>
          <w:tcPr>
            <w:tcW w:w="1113" w:type="dxa"/>
            <w:tcBorders>
              <w:top w:val="nil"/>
              <w:left w:val="nil"/>
              <w:bottom w:val="nil"/>
              <w:right w:val="nil"/>
            </w:tcBorders>
          </w:tcPr>
          <w:p w14:paraId="79378CBA" w14:textId="20E1B4FE" w:rsidR="00CB79B5" w:rsidRPr="00EE533D" w:rsidRDefault="00CB79B5" w:rsidP="00CB79B5">
            <w:pPr>
              <w:widowControl w:val="0"/>
              <w:tabs>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0.004</w:t>
            </w:r>
          </w:p>
        </w:tc>
      </w:tr>
      <w:tr w:rsidR="00EE533D" w:rsidRPr="00EE533D" w14:paraId="2A4C76AD" w14:textId="77777777" w:rsidTr="007467F2">
        <w:trPr>
          <w:trHeight w:val="263"/>
        </w:trPr>
        <w:tc>
          <w:tcPr>
            <w:tcW w:w="2033" w:type="dxa"/>
            <w:tcBorders>
              <w:top w:val="nil"/>
              <w:left w:val="nil"/>
              <w:bottom w:val="nil"/>
              <w:right w:val="nil"/>
            </w:tcBorders>
          </w:tcPr>
          <w:p w14:paraId="2DABE5F4"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Debt/Assets</w:t>
            </w:r>
          </w:p>
        </w:tc>
        <w:tc>
          <w:tcPr>
            <w:tcW w:w="967" w:type="dxa"/>
            <w:tcBorders>
              <w:top w:val="nil"/>
              <w:left w:val="nil"/>
              <w:bottom w:val="nil"/>
              <w:right w:val="nil"/>
            </w:tcBorders>
          </w:tcPr>
          <w:p w14:paraId="36A18B85" w14:textId="46393051"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-0.042***</w:t>
            </w:r>
          </w:p>
        </w:tc>
        <w:tc>
          <w:tcPr>
            <w:tcW w:w="1120" w:type="dxa"/>
            <w:tcBorders>
              <w:top w:val="nil"/>
              <w:left w:val="nil"/>
              <w:bottom w:val="nil"/>
              <w:right w:val="nil"/>
            </w:tcBorders>
          </w:tcPr>
          <w:p w14:paraId="6E724AE6" w14:textId="53C4DEBD"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-0.077***</w:t>
            </w:r>
          </w:p>
        </w:tc>
        <w:tc>
          <w:tcPr>
            <w:tcW w:w="983" w:type="dxa"/>
            <w:tcBorders>
              <w:top w:val="nil"/>
              <w:left w:val="nil"/>
              <w:bottom w:val="nil"/>
              <w:right w:val="nil"/>
            </w:tcBorders>
          </w:tcPr>
          <w:p w14:paraId="31B054BD" w14:textId="53D358A8"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0.077*</w:t>
            </w:r>
          </w:p>
        </w:tc>
        <w:tc>
          <w:tcPr>
            <w:tcW w:w="993" w:type="dxa"/>
            <w:tcBorders>
              <w:top w:val="nil"/>
              <w:left w:val="nil"/>
              <w:bottom w:val="nil"/>
              <w:right w:val="nil"/>
            </w:tcBorders>
          </w:tcPr>
          <w:p w14:paraId="54AFA1D0" w14:textId="1DE74165"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-0.118***</w:t>
            </w:r>
          </w:p>
        </w:tc>
        <w:tc>
          <w:tcPr>
            <w:tcW w:w="883" w:type="dxa"/>
            <w:tcBorders>
              <w:top w:val="nil"/>
              <w:left w:val="nil"/>
              <w:bottom w:val="nil"/>
              <w:right w:val="nil"/>
            </w:tcBorders>
          </w:tcPr>
          <w:p w14:paraId="70DF8984" w14:textId="4A048FFC"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-0.117***</w:t>
            </w:r>
          </w:p>
        </w:tc>
        <w:tc>
          <w:tcPr>
            <w:tcW w:w="889" w:type="dxa"/>
            <w:tcBorders>
              <w:top w:val="nil"/>
              <w:left w:val="nil"/>
              <w:bottom w:val="nil"/>
              <w:right w:val="nil"/>
            </w:tcBorders>
          </w:tcPr>
          <w:p w14:paraId="4AAB8ECE" w14:textId="2A504A85"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-0.140***</w:t>
            </w:r>
          </w:p>
        </w:tc>
        <w:tc>
          <w:tcPr>
            <w:tcW w:w="967" w:type="dxa"/>
            <w:tcBorders>
              <w:top w:val="nil"/>
              <w:left w:val="nil"/>
              <w:bottom w:val="nil"/>
              <w:right w:val="nil"/>
            </w:tcBorders>
          </w:tcPr>
          <w:p w14:paraId="3292466F" w14:textId="0774A7EF"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-0.082***</w:t>
            </w:r>
          </w:p>
        </w:tc>
        <w:tc>
          <w:tcPr>
            <w:tcW w:w="967" w:type="dxa"/>
            <w:tcBorders>
              <w:top w:val="nil"/>
              <w:left w:val="nil"/>
              <w:bottom w:val="nil"/>
              <w:right w:val="nil"/>
            </w:tcBorders>
          </w:tcPr>
          <w:p w14:paraId="30A4E2BF" w14:textId="42662C51"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-0.092***</w:t>
            </w:r>
          </w:p>
        </w:tc>
        <w:tc>
          <w:tcPr>
            <w:tcW w:w="1113" w:type="dxa"/>
            <w:tcBorders>
              <w:top w:val="nil"/>
              <w:left w:val="nil"/>
              <w:bottom w:val="nil"/>
              <w:right w:val="nil"/>
            </w:tcBorders>
          </w:tcPr>
          <w:p w14:paraId="409B8BBC" w14:textId="0DBDF3C2" w:rsidR="00CB79B5" w:rsidRPr="00EE533D" w:rsidRDefault="00CB79B5" w:rsidP="00CB79B5">
            <w:pPr>
              <w:widowControl w:val="0"/>
              <w:tabs>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-0.047***</w:t>
            </w:r>
          </w:p>
        </w:tc>
      </w:tr>
      <w:tr w:rsidR="00EE533D" w:rsidRPr="00EE533D" w14:paraId="5F411EE9" w14:textId="77777777" w:rsidTr="007467F2">
        <w:trPr>
          <w:trHeight w:val="248"/>
        </w:trPr>
        <w:tc>
          <w:tcPr>
            <w:tcW w:w="2033" w:type="dxa"/>
            <w:tcBorders>
              <w:top w:val="nil"/>
              <w:left w:val="nil"/>
              <w:bottom w:val="nil"/>
              <w:right w:val="nil"/>
            </w:tcBorders>
          </w:tcPr>
          <w:p w14:paraId="52719A59"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Sales Growth</w:t>
            </w:r>
          </w:p>
        </w:tc>
        <w:tc>
          <w:tcPr>
            <w:tcW w:w="967" w:type="dxa"/>
            <w:tcBorders>
              <w:top w:val="nil"/>
              <w:left w:val="nil"/>
              <w:bottom w:val="nil"/>
              <w:right w:val="nil"/>
            </w:tcBorders>
          </w:tcPr>
          <w:p w14:paraId="6B3B1774" w14:textId="0009FF9C"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-0.038***</w:t>
            </w:r>
          </w:p>
        </w:tc>
        <w:tc>
          <w:tcPr>
            <w:tcW w:w="1120" w:type="dxa"/>
            <w:tcBorders>
              <w:top w:val="nil"/>
              <w:left w:val="nil"/>
              <w:bottom w:val="nil"/>
              <w:right w:val="nil"/>
            </w:tcBorders>
          </w:tcPr>
          <w:p w14:paraId="54FFB626" w14:textId="7C9DFA56"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0.050**</w:t>
            </w:r>
          </w:p>
        </w:tc>
        <w:tc>
          <w:tcPr>
            <w:tcW w:w="983" w:type="dxa"/>
            <w:tcBorders>
              <w:top w:val="nil"/>
              <w:left w:val="nil"/>
              <w:bottom w:val="nil"/>
              <w:right w:val="nil"/>
            </w:tcBorders>
          </w:tcPr>
          <w:p w14:paraId="70FBB721" w14:textId="4A49666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-0.026</w:t>
            </w:r>
          </w:p>
        </w:tc>
        <w:tc>
          <w:tcPr>
            <w:tcW w:w="993" w:type="dxa"/>
            <w:tcBorders>
              <w:top w:val="nil"/>
              <w:left w:val="nil"/>
              <w:bottom w:val="nil"/>
              <w:right w:val="nil"/>
            </w:tcBorders>
          </w:tcPr>
          <w:p w14:paraId="03AD5957" w14:textId="36641A7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-0.080***</w:t>
            </w:r>
          </w:p>
        </w:tc>
        <w:tc>
          <w:tcPr>
            <w:tcW w:w="883" w:type="dxa"/>
            <w:tcBorders>
              <w:top w:val="nil"/>
              <w:left w:val="nil"/>
              <w:bottom w:val="nil"/>
              <w:right w:val="nil"/>
            </w:tcBorders>
          </w:tcPr>
          <w:p w14:paraId="2C4904E5" w14:textId="73EE0586"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-0.096***</w:t>
            </w:r>
          </w:p>
        </w:tc>
        <w:tc>
          <w:tcPr>
            <w:tcW w:w="889" w:type="dxa"/>
            <w:tcBorders>
              <w:top w:val="nil"/>
              <w:left w:val="nil"/>
              <w:bottom w:val="nil"/>
              <w:right w:val="nil"/>
            </w:tcBorders>
          </w:tcPr>
          <w:p w14:paraId="084D9811" w14:textId="5A0E5D3A"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-0.089***</w:t>
            </w:r>
          </w:p>
        </w:tc>
        <w:tc>
          <w:tcPr>
            <w:tcW w:w="967" w:type="dxa"/>
            <w:tcBorders>
              <w:top w:val="nil"/>
              <w:left w:val="nil"/>
              <w:bottom w:val="nil"/>
              <w:right w:val="nil"/>
            </w:tcBorders>
          </w:tcPr>
          <w:p w14:paraId="23CF739C" w14:textId="585D7895"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-0.098***</w:t>
            </w:r>
          </w:p>
        </w:tc>
        <w:tc>
          <w:tcPr>
            <w:tcW w:w="967" w:type="dxa"/>
            <w:tcBorders>
              <w:top w:val="nil"/>
              <w:left w:val="nil"/>
              <w:bottom w:val="nil"/>
              <w:right w:val="nil"/>
            </w:tcBorders>
          </w:tcPr>
          <w:p w14:paraId="6892DA52" w14:textId="1B0FC7DB"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-0.101***</w:t>
            </w:r>
          </w:p>
        </w:tc>
        <w:tc>
          <w:tcPr>
            <w:tcW w:w="1113" w:type="dxa"/>
            <w:tcBorders>
              <w:top w:val="nil"/>
              <w:left w:val="nil"/>
              <w:bottom w:val="nil"/>
              <w:right w:val="nil"/>
            </w:tcBorders>
          </w:tcPr>
          <w:p w14:paraId="64CE73E6" w14:textId="5C3BC9EA"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-0.088***</w:t>
            </w:r>
          </w:p>
        </w:tc>
      </w:tr>
      <w:tr w:rsidR="00EE533D" w:rsidRPr="00EE533D" w14:paraId="4AB2EB8D" w14:textId="77777777" w:rsidTr="007467F2">
        <w:trPr>
          <w:trHeight w:val="263"/>
        </w:trPr>
        <w:tc>
          <w:tcPr>
            <w:tcW w:w="2033" w:type="dxa"/>
            <w:tcBorders>
              <w:top w:val="nil"/>
              <w:left w:val="nil"/>
              <w:bottom w:val="nil"/>
              <w:right w:val="nil"/>
            </w:tcBorders>
          </w:tcPr>
          <w:p w14:paraId="604BC11C"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EBITDA/Revenue</w:t>
            </w:r>
          </w:p>
        </w:tc>
        <w:tc>
          <w:tcPr>
            <w:tcW w:w="967" w:type="dxa"/>
            <w:tcBorders>
              <w:top w:val="nil"/>
              <w:left w:val="nil"/>
              <w:bottom w:val="nil"/>
              <w:right w:val="nil"/>
            </w:tcBorders>
          </w:tcPr>
          <w:p w14:paraId="553C41A9" w14:textId="330E4A0B"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-0.183***</w:t>
            </w:r>
          </w:p>
        </w:tc>
        <w:tc>
          <w:tcPr>
            <w:tcW w:w="1120" w:type="dxa"/>
            <w:tcBorders>
              <w:top w:val="nil"/>
              <w:left w:val="nil"/>
              <w:bottom w:val="nil"/>
              <w:right w:val="nil"/>
            </w:tcBorders>
          </w:tcPr>
          <w:p w14:paraId="03AFDF38" w14:textId="6F5E9DD3"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0.112***</w:t>
            </w:r>
          </w:p>
        </w:tc>
        <w:tc>
          <w:tcPr>
            <w:tcW w:w="983" w:type="dxa"/>
            <w:tcBorders>
              <w:top w:val="nil"/>
              <w:left w:val="nil"/>
              <w:bottom w:val="nil"/>
              <w:right w:val="nil"/>
            </w:tcBorders>
          </w:tcPr>
          <w:p w14:paraId="0D130D43" w14:textId="071D98EA"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-0.084*</w:t>
            </w:r>
          </w:p>
        </w:tc>
        <w:tc>
          <w:tcPr>
            <w:tcW w:w="993" w:type="dxa"/>
            <w:tcBorders>
              <w:top w:val="nil"/>
              <w:left w:val="nil"/>
              <w:bottom w:val="nil"/>
              <w:right w:val="nil"/>
            </w:tcBorders>
          </w:tcPr>
          <w:p w14:paraId="2EF0735F" w14:textId="69E6542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-0.038***</w:t>
            </w:r>
          </w:p>
        </w:tc>
        <w:tc>
          <w:tcPr>
            <w:tcW w:w="883" w:type="dxa"/>
            <w:tcBorders>
              <w:top w:val="nil"/>
              <w:left w:val="nil"/>
              <w:bottom w:val="nil"/>
              <w:right w:val="nil"/>
            </w:tcBorders>
          </w:tcPr>
          <w:p w14:paraId="5986C78C" w14:textId="04DA97CC"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-0.072***</w:t>
            </w:r>
          </w:p>
        </w:tc>
        <w:tc>
          <w:tcPr>
            <w:tcW w:w="889" w:type="dxa"/>
            <w:tcBorders>
              <w:top w:val="nil"/>
              <w:left w:val="nil"/>
              <w:bottom w:val="nil"/>
              <w:right w:val="nil"/>
            </w:tcBorders>
          </w:tcPr>
          <w:p w14:paraId="22A21D01" w14:textId="3E26E3D5"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-0.076***</w:t>
            </w:r>
          </w:p>
        </w:tc>
        <w:tc>
          <w:tcPr>
            <w:tcW w:w="967" w:type="dxa"/>
            <w:tcBorders>
              <w:top w:val="nil"/>
              <w:left w:val="nil"/>
              <w:bottom w:val="nil"/>
              <w:right w:val="nil"/>
            </w:tcBorders>
          </w:tcPr>
          <w:p w14:paraId="403F6C5B" w14:textId="7CADB96C"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-0.027***</w:t>
            </w:r>
          </w:p>
        </w:tc>
        <w:tc>
          <w:tcPr>
            <w:tcW w:w="967" w:type="dxa"/>
            <w:tcBorders>
              <w:top w:val="nil"/>
              <w:left w:val="nil"/>
              <w:bottom w:val="nil"/>
              <w:right w:val="nil"/>
            </w:tcBorders>
          </w:tcPr>
          <w:p w14:paraId="5C2CB35A" w14:textId="736B53F0" w:rsidR="00CB79B5" w:rsidRPr="00EE533D" w:rsidRDefault="00CB79B5" w:rsidP="00CB79B5">
            <w:pPr>
              <w:widowControl w:val="0"/>
              <w:tabs>
                <w:tab w:val="decimal" w:pos="23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-0.058***</w:t>
            </w:r>
          </w:p>
        </w:tc>
        <w:tc>
          <w:tcPr>
            <w:tcW w:w="1113" w:type="dxa"/>
            <w:tcBorders>
              <w:top w:val="nil"/>
              <w:left w:val="nil"/>
              <w:bottom w:val="nil"/>
              <w:right w:val="nil"/>
            </w:tcBorders>
          </w:tcPr>
          <w:p w14:paraId="39E96ACC" w14:textId="7CBE0E7D" w:rsidR="00CB79B5" w:rsidRPr="00EE533D" w:rsidRDefault="00CB79B5" w:rsidP="00CB79B5">
            <w:pPr>
              <w:widowControl w:val="0"/>
              <w:tabs>
                <w:tab w:val="decimal" w:pos="184"/>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-0.014*</w:t>
            </w:r>
          </w:p>
        </w:tc>
      </w:tr>
      <w:tr w:rsidR="00EE533D" w:rsidRPr="00EE533D" w14:paraId="0D6AA610" w14:textId="77777777" w:rsidTr="007467F2">
        <w:trPr>
          <w:trHeight w:val="263"/>
        </w:trPr>
        <w:tc>
          <w:tcPr>
            <w:tcW w:w="2033" w:type="dxa"/>
            <w:tcBorders>
              <w:top w:val="nil"/>
              <w:left w:val="nil"/>
              <w:bottom w:val="nil"/>
              <w:right w:val="nil"/>
            </w:tcBorders>
          </w:tcPr>
          <w:p w14:paraId="4D035916"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Cash Ratio</w:t>
            </w:r>
          </w:p>
        </w:tc>
        <w:tc>
          <w:tcPr>
            <w:tcW w:w="967" w:type="dxa"/>
            <w:tcBorders>
              <w:top w:val="nil"/>
              <w:left w:val="nil"/>
              <w:bottom w:val="nil"/>
              <w:right w:val="nil"/>
            </w:tcBorders>
          </w:tcPr>
          <w:p w14:paraId="147D8B2B" w14:textId="076A1D11"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-0.079***</w:t>
            </w:r>
          </w:p>
        </w:tc>
        <w:tc>
          <w:tcPr>
            <w:tcW w:w="1120" w:type="dxa"/>
            <w:tcBorders>
              <w:top w:val="nil"/>
              <w:left w:val="nil"/>
              <w:bottom w:val="nil"/>
              <w:right w:val="nil"/>
            </w:tcBorders>
          </w:tcPr>
          <w:p w14:paraId="2F50B2DC" w14:textId="01F12741"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0.140***</w:t>
            </w:r>
          </w:p>
        </w:tc>
        <w:tc>
          <w:tcPr>
            <w:tcW w:w="983" w:type="dxa"/>
            <w:tcBorders>
              <w:top w:val="nil"/>
              <w:left w:val="nil"/>
              <w:bottom w:val="nil"/>
              <w:right w:val="nil"/>
            </w:tcBorders>
          </w:tcPr>
          <w:p w14:paraId="45EA6B47" w14:textId="70FA6633"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-0.049</w:t>
            </w:r>
          </w:p>
        </w:tc>
        <w:tc>
          <w:tcPr>
            <w:tcW w:w="993" w:type="dxa"/>
            <w:tcBorders>
              <w:top w:val="nil"/>
              <w:left w:val="nil"/>
              <w:bottom w:val="nil"/>
              <w:right w:val="nil"/>
            </w:tcBorders>
          </w:tcPr>
          <w:p w14:paraId="4D2255F7" w14:textId="2A9887C2"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-0.075***</w:t>
            </w:r>
          </w:p>
        </w:tc>
        <w:tc>
          <w:tcPr>
            <w:tcW w:w="883" w:type="dxa"/>
            <w:tcBorders>
              <w:top w:val="nil"/>
              <w:left w:val="nil"/>
              <w:bottom w:val="nil"/>
              <w:right w:val="nil"/>
            </w:tcBorders>
          </w:tcPr>
          <w:p w14:paraId="3948B009" w14:textId="76EE656F"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-0.067***</w:t>
            </w:r>
          </w:p>
        </w:tc>
        <w:tc>
          <w:tcPr>
            <w:tcW w:w="889" w:type="dxa"/>
            <w:tcBorders>
              <w:top w:val="nil"/>
              <w:left w:val="nil"/>
              <w:bottom w:val="nil"/>
              <w:right w:val="nil"/>
            </w:tcBorders>
          </w:tcPr>
          <w:p w14:paraId="349611CD" w14:textId="1608A6BB"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-0.053***</w:t>
            </w:r>
          </w:p>
        </w:tc>
        <w:tc>
          <w:tcPr>
            <w:tcW w:w="967" w:type="dxa"/>
            <w:tcBorders>
              <w:top w:val="nil"/>
              <w:left w:val="nil"/>
              <w:bottom w:val="nil"/>
              <w:right w:val="nil"/>
            </w:tcBorders>
          </w:tcPr>
          <w:p w14:paraId="7C35B8B7" w14:textId="0C71476F"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-0.077***</w:t>
            </w:r>
          </w:p>
        </w:tc>
        <w:tc>
          <w:tcPr>
            <w:tcW w:w="967" w:type="dxa"/>
            <w:tcBorders>
              <w:top w:val="nil"/>
              <w:left w:val="nil"/>
              <w:bottom w:val="nil"/>
              <w:right w:val="nil"/>
            </w:tcBorders>
          </w:tcPr>
          <w:p w14:paraId="33FC3D1E" w14:textId="2F8801BD"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-0.077***</w:t>
            </w:r>
          </w:p>
        </w:tc>
        <w:tc>
          <w:tcPr>
            <w:tcW w:w="1113" w:type="dxa"/>
            <w:tcBorders>
              <w:top w:val="nil"/>
              <w:left w:val="nil"/>
              <w:bottom w:val="nil"/>
              <w:right w:val="nil"/>
            </w:tcBorders>
          </w:tcPr>
          <w:p w14:paraId="6EC16C75" w14:textId="223ED49D"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-0.074***</w:t>
            </w:r>
          </w:p>
        </w:tc>
      </w:tr>
      <w:tr w:rsidR="00EE533D" w:rsidRPr="00EE533D" w14:paraId="047DC7A3" w14:textId="77777777" w:rsidTr="007467F2">
        <w:trPr>
          <w:trHeight w:val="248"/>
        </w:trPr>
        <w:tc>
          <w:tcPr>
            <w:tcW w:w="2033" w:type="dxa"/>
            <w:tcBorders>
              <w:top w:val="nil"/>
              <w:left w:val="nil"/>
              <w:bottom w:val="nil"/>
              <w:right w:val="nil"/>
            </w:tcBorders>
          </w:tcPr>
          <w:p w14:paraId="4F717A78"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Quick Ratio</w:t>
            </w:r>
          </w:p>
        </w:tc>
        <w:tc>
          <w:tcPr>
            <w:tcW w:w="967" w:type="dxa"/>
            <w:tcBorders>
              <w:top w:val="nil"/>
              <w:left w:val="nil"/>
              <w:bottom w:val="nil"/>
              <w:right w:val="nil"/>
            </w:tcBorders>
          </w:tcPr>
          <w:p w14:paraId="4F743272" w14:textId="69E02BE9"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-0.031***</w:t>
            </w:r>
          </w:p>
        </w:tc>
        <w:tc>
          <w:tcPr>
            <w:tcW w:w="1120" w:type="dxa"/>
            <w:tcBorders>
              <w:top w:val="nil"/>
              <w:left w:val="nil"/>
              <w:bottom w:val="nil"/>
              <w:right w:val="nil"/>
            </w:tcBorders>
          </w:tcPr>
          <w:p w14:paraId="37C02BFC" w14:textId="49D94C21"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0.062**</w:t>
            </w:r>
          </w:p>
        </w:tc>
        <w:tc>
          <w:tcPr>
            <w:tcW w:w="983" w:type="dxa"/>
            <w:tcBorders>
              <w:top w:val="nil"/>
              <w:left w:val="nil"/>
              <w:bottom w:val="nil"/>
              <w:right w:val="nil"/>
            </w:tcBorders>
          </w:tcPr>
          <w:p w14:paraId="626443F4" w14:textId="33ABA899"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0.066</w:t>
            </w:r>
          </w:p>
        </w:tc>
        <w:tc>
          <w:tcPr>
            <w:tcW w:w="993" w:type="dxa"/>
            <w:tcBorders>
              <w:top w:val="nil"/>
              <w:left w:val="nil"/>
              <w:bottom w:val="nil"/>
              <w:right w:val="nil"/>
            </w:tcBorders>
          </w:tcPr>
          <w:p w14:paraId="3B8FC693" w14:textId="6C4FAA13"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-0.031***</w:t>
            </w:r>
          </w:p>
        </w:tc>
        <w:tc>
          <w:tcPr>
            <w:tcW w:w="883" w:type="dxa"/>
            <w:tcBorders>
              <w:top w:val="nil"/>
              <w:left w:val="nil"/>
              <w:bottom w:val="nil"/>
              <w:right w:val="nil"/>
            </w:tcBorders>
          </w:tcPr>
          <w:p w14:paraId="15C1D490" w14:textId="7A147831" w:rsidR="00CB79B5" w:rsidRPr="00EE533D" w:rsidRDefault="00CB79B5" w:rsidP="00CB79B5">
            <w:pPr>
              <w:widowControl w:val="0"/>
              <w:tabs>
                <w:tab w:val="decimal" w:pos="181"/>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-0.021**</w:t>
            </w:r>
          </w:p>
        </w:tc>
        <w:tc>
          <w:tcPr>
            <w:tcW w:w="889" w:type="dxa"/>
            <w:tcBorders>
              <w:top w:val="nil"/>
              <w:left w:val="nil"/>
              <w:bottom w:val="nil"/>
              <w:right w:val="nil"/>
            </w:tcBorders>
          </w:tcPr>
          <w:p w14:paraId="48046603" w14:textId="743C92C4"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-0.014</w:t>
            </w:r>
          </w:p>
        </w:tc>
        <w:tc>
          <w:tcPr>
            <w:tcW w:w="967" w:type="dxa"/>
            <w:tcBorders>
              <w:top w:val="nil"/>
              <w:left w:val="nil"/>
              <w:bottom w:val="nil"/>
              <w:right w:val="nil"/>
            </w:tcBorders>
          </w:tcPr>
          <w:p w14:paraId="6BCA68CA" w14:textId="2C6992BD"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-0.024***</w:t>
            </w:r>
          </w:p>
        </w:tc>
        <w:tc>
          <w:tcPr>
            <w:tcW w:w="967" w:type="dxa"/>
            <w:tcBorders>
              <w:top w:val="nil"/>
              <w:left w:val="nil"/>
              <w:bottom w:val="nil"/>
              <w:right w:val="nil"/>
            </w:tcBorders>
          </w:tcPr>
          <w:p w14:paraId="4F22F635" w14:textId="0C5CAAE6"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w:t>
            </w:r>
            <w:r w:rsidR="001D0997" w:rsidRPr="00EE533D">
              <w:rPr>
                <w:rFonts w:ascii="Times New Roman" w:hAnsi="Times New Roman" w:cs="Times New Roman"/>
                <w:sz w:val="16"/>
                <w:szCs w:val="16"/>
                <w:lang w:val="en-GB"/>
              </w:rPr>
              <w:t xml:space="preserve">  </w:t>
            </w:r>
            <w:r w:rsidRPr="00EE533D">
              <w:rPr>
                <w:rFonts w:ascii="Times New Roman" w:hAnsi="Times New Roman" w:cs="Times New Roman"/>
                <w:sz w:val="16"/>
                <w:szCs w:val="16"/>
                <w:lang w:val="en-GB"/>
              </w:rPr>
              <w:t>-0.020**</w:t>
            </w:r>
          </w:p>
        </w:tc>
        <w:tc>
          <w:tcPr>
            <w:tcW w:w="1113" w:type="dxa"/>
            <w:tcBorders>
              <w:top w:val="nil"/>
              <w:left w:val="nil"/>
              <w:bottom w:val="nil"/>
              <w:right w:val="nil"/>
            </w:tcBorders>
          </w:tcPr>
          <w:p w14:paraId="0B4C2D98" w14:textId="5F6F409B" w:rsidR="00CB79B5" w:rsidRPr="00EE533D" w:rsidRDefault="00CB79B5" w:rsidP="00CB79B5">
            <w:pPr>
              <w:widowControl w:val="0"/>
              <w:tabs>
                <w:tab w:val="decimal" w:pos="184"/>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-0.019**</w:t>
            </w:r>
          </w:p>
        </w:tc>
      </w:tr>
      <w:tr w:rsidR="00EE533D" w:rsidRPr="00EE533D" w14:paraId="58FC4D0B" w14:textId="77777777" w:rsidTr="007467F2">
        <w:trPr>
          <w:trHeight w:val="263"/>
        </w:trPr>
        <w:tc>
          <w:tcPr>
            <w:tcW w:w="2033" w:type="dxa"/>
            <w:tcBorders>
              <w:top w:val="nil"/>
              <w:left w:val="nil"/>
              <w:bottom w:val="nil"/>
              <w:right w:val="nil"/>
            </w:tcBorders>
          </w:tcPr>
          <w:p w14:paraId="68605A28"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Assets</w:t>
            </w:r>
          </w:p>
        </w:tc>
        <w:tc>
          <w:tcPr>
            <w:tcW w:w="967" w:type="dxa"/>
            <w:tcBorders>
              <w:top w:val="nil"/>
              <w:left w:val="nil"/>
              <w:bottom w:val="nil"/>
              <w:right w:val="nil"/>
            </w:tcBorders>
          </w:tcPr>
          <w:p w14:paraId="536F953C" w14:textId="63473EC8"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-0.051***</w:t>
            </w:r>
          </w:p>
        </w:tc>
        <w:tc>
          <w:tcPr>
            <w:tcW w:w="1120" w:type="dxa"/>
            <w:tcBorders>
              <w:top w:val="nil"/>
              <w:left w:val="nil"/>
              <w:bottom w:val="nil"/>
              <w:right w:val="nil"/>
            </w:tcBorders>
          </w:tcPr>
          <w:p w14:paraId="7ABCFD6E" w14:textId="24811B70"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0.099***</w:t>
            </w:r>
          </w:p>
        </w:tc>
        <w:tc>
          <w:tcPr>
            <w:tcW w:w="983" w:type="dxa"/>
            <w:tcBorders>
              <w:top w:val="nil"/>
              <w:left w:val="nil"/>
              <w:bottom w:val="nil"/>
              <w:right w:val="nil"/>
            </w:tcBorders>
          </w:tcPr>
          <w:p w14:paraId="3F534E9C" w14:textId="76D16128"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0.021</w:t>
            </w:r>
          </w:p>
        </w:tc>
        <w:tc>
          <w:tcPr>
            <w:tcW w:w="993" w:type="dxa"/>
            <w:tcBorders>
              <w:top w:val="nil"/>
              <w:left w:val="nil"/>
              <w:bottom w:val="nil"/>
              <w:right w:val="nil"/>
            </w:tcBorders>
          </w:tcPr>
          <w:p w14:paraId="79FB9501" w14:textId="7F585D64"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0.116***</w:t>
            </w:r>
          </w:p>
        </w:tc>
        <w:tc>
          <w:tcPr>
            <w:tcW w:w="883" w:type="dxa"/>
            <w:tcBorders>
              <w:top w:val="nil"/>
              <w:left w:val="nil"/>
              <w:bottom w:val="nil"/>
              <w:right w:val="nil"/>
            </w:tcBorders>
          </w:tcPr>
          <w:p w14:paraId="43903B81" w14:textId="359E7CAC"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0.116***</w:t>
            </w:r>
          </w:p>
        </w:tc>
        <w:tc>
          <w:tcPr>
            <w:tcW w:w="889" w:type="dxa"/>
            <w:tcBorders>
              <w:top w:val="nil"/>
              <w:left w:val="nil"/>
              <w:bottom w:val="nil"/>
              <w:right w:val="nil"/>
            </w:tcBorders>
          </w:tcPr>
          <w:p w14:paraId="0F478C52" w14:textId="50E2D496"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0.020**</w:t>
            </w:r>
          </w:p>
        </w:tc>
        <w:tc>
          <w:tcPr>
            <w:tcW w:w="967" w:type="dxa"/>
            <w:tcBorders>
              <w:top w:val="nil"/>
              <w:left w:val="nil"/>
              <w:bottom w:val="nil"/>
              <w:right w:val="nil"/>
            </w:tcBorders>
          </w:tcPr>
          <w:p w14:paraId="46DEF211" w14:textId="59684D88"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0.123***</w:t>
            </w:r>
          </w:p>
        </w:tc>
        <w:tc>
          <w:tcPr>
            <w:tcW w:w="967" w:type="dxa"/>
            <w:tcBorders>
              <w:top w:val="nil"/>
              <w:left w:val="nil"/>
              <w:bottom w:val="nil"/>
              <w:right w:val="nil"/>
            </w:tcBorders>
          </w:tcPr>
          <w:p w14:paraId="71F94C91" w14:textId="10317250"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0.132***</w:t>
            </w:r>
          </w:p>
        </w:tc>
        <w:tc>
          <w:tcPr>
            <w:tcW w:w="1113" w:type="dxa"/>
            <w:tcBorders>
              <w:top w:val="nil"/>
              <w:left w:val="nil"/>
              <w:bottom w:val="nil"/>
              <w:right w:val="nil"/>
            </w:tcBorders>
          </w:tcPr>
          <w:p w14:paraId="03FB4114" w14:textId="27C3EDAB"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0.074***</w:t>
            </w:r>
          </w:p>
        </w:tc>
      </w:tr>
      <w:tr w:rsidR="00EE533D" w:rsidRPr="00EE533D" w14:paraId="5AB76AAC" w14:textId="77777777" w:rsidTr="007467F2">
        <w:trPr>
          <w:trHeight w:val="248"/>
        </w:trPr>
        <w:tc>
          <w:tcPr>
            <w:tcW w:w="2033" w:type="dxa"/>
            <w:tcBorders>
              <w:top w:val="nil"/>
              <w:left w:val="nil"/>
              <w:bottom w:val="nil"/>
              <w:right w:val="nil"/>
            </w:tcBorders>
          </w:tcPr>
          <w:p w14:paraId="62248259" w14:textId="777777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Capitalization</w:t>
            </w:r>
          </w:p>
        </w:tc>
        <w:tc>
          <w:tcPr>
            <w:tcW w:w="967" w:type="dxa"/>
            <w:tcBorders>
              <w:top w:val="nil"/>
              <w:left w:val="nil"/>
              <w:bottom w:val="nil"/>
              <w:right w:val="nil"/>
            </w:tcBorders>
          </w:tcPr>
          <w:p w14:paraId="2DA98AFE" w14:textId="11279FBA"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-0.009</w:t>
            </w:r>
          </w:p>
        </w:tc>
        <w:tc>
          <w:tcPr>
            <w:tcW w:w="1120" w:type="dxa"/>
            <w:tcBorders>
              <w:top w:val="nil"/>
              <w:left w:val="nil"/>
              <w:bottom w:val="nil"/>
              <w:right w:val="nil"/>
            </w:tcBorders>
          </w:tcPr>
          <w:p w14:paraId="5C45F303" w14:textId="00BFCC83"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0.035</w:t>
            </w:r>
          </w:p>
        </w:tc>
        <w:tc>
          <w:tcPr>
            <w:tcW w:w="983" w:type="dxa"/>
            <w:tcBorders>
              <w:top w:val="nil"/>
              <w:left w:val="nil"/>
              <w:bottom w:val="nil"/>
              <w:right w:val="nil"/>
            </w:tcBorders>
          </w:tcPr>
          <w:p w14:paraId="02889189" w14:textId="2637EF82"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0.147***</w:t>
            </w:r>
          </w:p>
        </w:tc>
        <w:tc>
          <w:tcPr>
            <w:tcW w:w="993" w:type="dxa"/>
            <w:tcBorders>
              <w:top w:val="nil"/>
              <w:left w:val="nil"/>
              <w:bottom w:val="nil"/>
              <w:right w:val="nil"/>
            </w:tcBorders>
          </w:tcPr>
          <w:p w14:paraId="4C43E745" w14:textId="5BED3DD8"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0.165***</w:t>
            </w:r>
          </w:p>
        </w:tc>
        <w:tc>
          <w:tcPr>
            <w:tcW w:w="883" w:type="dxa"/>
            <w:tcBorders>
              <w:top w:val="nil"/>
              <w:left w:val="nil"/>
              <w:bottom w:val="nil"/>
              <w:right w:val="nil"/>
            </w:tcBorders>
          </w:tcPr>
          <w:p w14:paraId="640C2C3E" w14:textId="0A06A423"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0.161***</w:t>
            </w:r>
          </w:p>
        </w:tc>
        <w:tc>
          <w:tcPr>
            <w:tcW w:w="889" w:type="dxa"/>
            <w:tcBorders>
              <w:top w:val="nil"/>
              <w:left w:val="nil"/>
              <w:bottom w:val="nil"/>
              <w:right w:val="nil"/>
            </w:tcBorders>
          </w:tcPr>
          <w:p w14:paraId="420A1FC3" w14:textId="3F005E41"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0.027***</w:t>
            </w:r>
          </w:p>
        </w:tc>
        <w:tc>
          <w:tcPr>
            <w:tcW w:w="967" w:type="dxa"/>
            <w:tcBorders>
              <w:top w:val="nil"/>
              <w:left w:val="nil"/>
              <w:bottom w:val="nil"/>
              <w:right w:val="nil"/>
            </w:tcBorders>
          </w:tcPr>
          <w:p w14:paraId="1971627F" w14:textId="2BA93A19"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0.165***</w:t>
            </w:r>
          </w:p>
        </w:tc>
        <w:tc>
          <w:tcPr>
            <w:tcW w:w="967" w:type="dxa"/>
            <w:tcBorders>
              <w:top w:val="nil"/>
              <w:left w:val="nil"/>
              <w:bottom w:val="nil"/>
              <w:right w:val="nil"/>
            </w:tcBorders>
          </w:tcPr>
          <w:p w14:paraId="2DDC4FC5" w14:textId="62EE231F"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0.173***</w:t>
            </w:r>
          </w:p>
        </w:tc>
        <w:tc>
          <w:tcPr>
            <w:tcW w:w="1113" w:type="dxa"/>
            <w:tcBorders>
              <w:top w:val="nil"/>
              <w:left w:val="nil"/>
              <w:bottom w:val="nil"/>
              <w:right w:val="nil"/>
            </w:tcBorders>
          </w:tcPr>
          <w:p w14:paraId="77ED03CB" w14:textId="5FC49AFA"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0.097***</w:t>
            </w:r>
          </w:p>
        </w:tc>
      </w:tr>
      <w:tr w:rsidR="00EE533D" w:rsidRPr="00EE533D" w14:paraId="0B56B49C" w14:textId="77777777" w:rsidTr="007467F2">
        <w:trPr>
          <w:trHeight w:val="263"/>
        </w:trPr>
        <w:tc>
          <w:tcPr>
            <w:tcW w:w="2033" w:type="dxa"/>
            <w:tcBorders>
              <w:top w:val="nil"/>
              <w:left w:val="nil"/>
              <w:bottom w:val="nil"/>
              <w:right w:val="nil"/>
            </w:tcBorders>
          </w:tcPr>
          <w:p w14:paraId="49841FED" w14:textId="4E59F9E8"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ROA</w:t>
            </w:r>
          </w:p>
        </w:tc>
        <w:tc>
          <w:tcPr>
            <w:tcW w:w="967" w:type="dxa"/>
            <w:tcBorders>
              <w:top w:val="nil"/>
              <w:left w:val="nil"/>
              <w:bottom w:val="nil"/>
              <w:right w:val="nil"/>
            </w:tcBorders>
          </w:tcPr>
          <w:p w14:paraId="6CC99FF6" w14:textId="1E5BB34F"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0.067***</w:t>
            </w:r>
          </w:p>
        </w:tc>
        <w:tc>
          <w:tcPr>
            <w:tcW w:w="1120" w:type="dxa"/>
            <w:tcBorders>
              <w:top w:val="nil"/>
              <w:left w:val="nil"/>
              <w:bottom w:val="nil"/>
              <w:right w:val="nil"/>
            </w:tcBorders>
          </w:tcPr>
          <w:p w14:paraId="0E0A8A8B" w14:textId="30777C4D"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-0.056**</w:t>
            </w:r>
          </w:p>
        </w:tc>
        <w:tc>
          <w:tcPr>
            <w:tcW w:w="983" w:type="dxa"/>
            <w:tcBorders>
              <w:top w:val="nil"/>
              <w:left w:val="nil"/>
              <w:bottom w:val="nil"/>
              <w:right w:val="nil"/>
            </w:tcBorders>
          </w:tcPr>
          <w:p w14:paraId="4571B8CF" w14:textId="58FF7CC7"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0.079*</w:t>
            </w:r>
          </w:p>
        </w:tc>
        <w:tc>
          <w:tcPr>
            <w:tcW w:w="993" w:type="dxa"/>
            <w:tcBorders>
              <w:top w:val="nil"/>
              <w:left w:val="nil"/>
              <w:bottom w:val="nil"/>
              <w:right w:val="nil"/>
            </w:tcBorders>
          </w:tcPr>
          <w:p w14:paraId="36CBAD86" w14:textId="549A66DD"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-0.020**</w:t>
            </w:r>
          </w:p>
        </w:tc>
        <w:tc>
          <w:tcPr>
            <w:tcW w:w="883" w:type="dxa"/>
            <w:tcBorders>
              <w:top w:val="nil"/>
              <w:left w:val="nil"/>
              <w:bottom w:val="nil"/>
              <w:right w:val="nil"/>
            </w:tcBorders>
          </w:tcPr>
          <w:p w14:paraId="3ECCBCBB" w14:textId="54952ED8"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-0.015*</w:t>
            </w:r>
          </w:p>
        </w:tc>
        <w:tc>
          <w:tcPr>
            <w:tcW w:w="889" w:type="dxa"/>
            <w:tcBorders>
              <w:top w:val="nil"/>
              <w:left w:val="nil"/>
              <w:bottom w:val="nil"/>
              <w:right w:val="nil"/>
            </w:tcBorders>
          </w:tcPr>
          <w:p w14:paraId="4F711D9C" w14:textId="10F846D6"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-0.063***</w:t>
            </w:r>
          </w:p>
        </w:tc>
        <w:tc>
          <w:tcPr>
            <w:tcW w:w="967" w:type="dxa"/>
            <w:tcBorders>
              <w:top w:val="nil"/>
              <w:left w:val="nil"/>
              <w:bottom w:val="nil"/>
              <w:right w:val="nil"/>
            </w:tcBorders>
          </w:tcPr>
          <w:p w14:paraId="4189D50B" w14:textId="7AB7A00B"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-0.030***</w:t>
            </w:r>
          </w:p>
        </w:tc>
        <w:tc>
          <w:tcPr>
            <w:tcW w:w="967" w:type="dxa"/>
            <w:tcBorders>
              <w:top w:val="nil"/>
              <w:left w:val="nil"/>
              <w:bottom w:val="nil"/>
              <w:right w:val="nil"/>
            </w:tcBorders>
          </w:tcPr>
          <w:p w14:paraId="5FBEEBFF" w14:textId="66EA2930"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-0.032***</w:t>
            </w:r>
          </w:p>
        </w:tc>
        <w:tc>
          <w:tcPr>
            <w:tcW w:w="1113" w:type="dxa"/>
            <w:tcBorders>
              <w:top w:val="nil"/>
              <w:left w:val="nil"/>
              <w:bottom w:val="nil"/>
              <w:right w:val="nil"/>
            </w:tcBorders>
          </w:tcPr>
          <w:p w14:paraId="3A709025" w14:textId="147A59AA"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-0.068***</w:t>
            </w:r>
          </w:p>
        </w:tc>
      </w:tr>
      <w:tr w:rsidR="00EE533D" w:rsidRPr="00EE533D" w14:paraId="1466AC0B" w14:textId="77777777" w:rsidTr="007467F2">
        <w:trPr>
          <w:trHeight w:val="263"/>
        </w:trPr>
        <w:tc>
          <w:tcPr>
            <w:tcW w:w="2033" w:type="dxa"/>
            <w:tcBorders>
              <w:top w:val="nil"/>
              <w:left w:val="nil"/>
              <w:bottom w:val="nil"/>
              <w:right w:val="nil"/>
            </w:tcBorders>
          </w:tcPr>
          <w:p w14:paraId="185B7DFF" w14:textId="6CD51584"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Tobin’s Q</w:t>
            </w:r>
          </w:p>
        </w:tc>
        <w:tc>
          <w:tcPr>
            <w:tcW w:w="967" w:type="dxa"/>
            <w:tcBorders>
              <w:top w:val="nil"/>
              <w:left w:val="nil"/>
              <w:bottom w:val="nil"/>
              <w:right w:val="nil"/>
            </w:tcBorders>
          </w:tcPr>
          <w:p w14:paraId="08FD5165" w14:textId="2E511F59"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0.043***</w:t>
            </w:r>
          </w:p>
        </w:tc>
        <w:tc>
          <w:tcPr>
            <w:tcW w:w="1120" w:type="dxa"/>
            <w:tcBorders>
              <w:top w:val="nil"/>
              <w:left w:val="nil"/>
              <w:bottom w:val="nil"/>
              <w:right w:val="nil"/>
            </w:tcBorders>
          </w:tcPr>
          <w:p w14:paraId="7928342E" w14:textId="37964451"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-0.148***</w:t>
            </w:r>
          </w:p>
        </w:tc>
        <w:tc>
          <w:tcPr>
            <w:tcW w:w="983" w:type="dxa"/>
            <w:tcBorders>
              <w:top w:val="nil"/>
              <w:left w:val="nil"/>
              <w:bottom w:val="nil"/>
              <w:right w:val="nil"/>
            </w:tcBorders>
          </w:tcPr>
          <w:p w14:paraId="1666B429" w14:textId="75FFFC61"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0.084*</w:t>
            </w:r>
          </w:p>
        </w:tc>
        <w:tc>
          <w:tcPr>
            <w:tcW w:w="993" w:type="dxa"/>
            <w:tcBorders>
              <w:top w:val="nil"/>
              <w:left w:val="nil"/>
              <w:bottom w:val="nil"/>
              <w:right w:val="nil"/>
            </w:tcBorders>
          </w:tcPr>
          <w:p w14:paraId="7D1A4EA6" w14:textId="2DDFCB71"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0.062***</w:t>
            </w:r>
          </w:p>
        </w:tc>
        <w:tc>
          <w:tcPr>
            <w:tcW w:w="883" w:type="dxa"/>
            <w:tcBorders>
              <w:top w:val="nil"/>
              <w:left w:val="nil"/>
              <w:bottom w:val="nil"/>
              <w:right w:val="nil"/>
            </w:tcBorders>
          </w:tcPr>
          <w:p w14:paraId="75483AA0" w14:textId="11E75748"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0.065***</w:t>
            </w:r>
          </w:p>
        </w:tc>
        <w:tc>
          <w:tcPr>
            <w:tcW w:w="889" w:type="dxa"/>
            <w:tcBorders>
              <w:top w:val="nil"/>
              <w:left w:val="nil"/>
              <w:bottom w:val="nil"/>
              <w:right w:val="nil"/>
            </w:tcBorders>
          </w:tcPr>
          <w:p w14:paraId="6EFE03EF" w14:textId="32A3CA51"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-0.036***</w:t>
            </w:r>
          </w:p>
        </w:tc>
        <w:tc>
          <w:tcPr>
            <w:tcW w:w="967" w:type="dxa"/>
            <w:tcBorders>
              <w:top w:val="nil"/>
              <w:left w:val="nil"/>
              <w:bottom w:val="nil"/>
              <w:right w:val="nil"/>
            </w:tcBorders>
          </w:tcPr>
          <w:p w14:paraId="21E9D2C0" w14:textId="0C83103E"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0.039***</w:t>
            </w:r>
          </w:p>
        </w:tc>
        <w:tc>
          <w:tcPr>
            <w:tcW w:w="967" w:type="dxa"/>
            <w:tcBorders>
              <w:top w:val="nil"/>
              <w:left w:val="nil"/>
              <w:bottom w:val="nil"/>
              <w:right w:val="nil"/>
            </w:tcBorders>
          </w:tcPr>
          <w:p w14:paraId="2246CB05" w14:textId="3B86E6E5"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0.045***</w:t>
            </w:r>
          </w:p>
        </w:tc>
        <w:tc>
          <w:tcPr>
            <w:tcW w:w="1113" w:type="dxa"/>
            <w:tcBorders>
              <w:top w:val="nil"/>
              <w:left w:val="nil"/>
              <w:bottom w:val="nil"/>
              <w:right w:val="nil"/>
            </w:tcBorders>
          </w:tcPr>
          <w:p w14:paraId="10E74C4C" w14:textId="34CE975D"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-0.030***</w:t>
            </w:r>
          </w:p>
        </w:tc>
      </w:tr>
      <w:tr w:rsidR="00EE533D" w:rsidRPr="00EE533D" w14:paraId="00FE3866" w14:textId="77777777" w:rsidTr="0096699E">
        <w:trPr>
          <w:trHeight w:val="248"/>
        </w:trPr>
        <w:tc>
          <w:tcPr>
            <w:tcW w:w="2033" w:type="dxa"/>
            <w:tcBorders>
              <w:top w:val="nil"/>
              <w:left w:val="nil"/>
              <w:right w:val="nil"/>
            </w:tcBorders>
          </w:tcPr>
          <w:p w14:paraId="07A72F5F" w14:textId="545C42B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CEO Duality</w:t>
            </w:r>
          </w:p>
        </w:tc>
        <w:tc>
          <w:tcPr>
            <w:tcW w:w="967" w:type="dxa"/>
            <w:tcBorders>
              <w:top w:val="nil"/>
              <w:left w:val="nil"/>
              <w:right w:val="nil"/>
            </w:tcBorders>
          </w:tcPr>
          <w:p w14:paraId="33D10277" w14:textId="335588EA"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0.139***</w:t>
            </w:r>
          </w:p>
        </w:tc>
        <w:tc>
          <w:tcPr>
            <w:tcW w:w="1120" w:type="dxa"/>
            <w:tcBorders>
              <w:top w:val="nil"/>
              <w:left w:val="nil"/>
              <w:right w:val="nil"/>
            </w:tcBorders>
          </w:tcPr>
          <w:p w14:paraId="7458567C" w14:textId="73723C84"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-0.100***</w:t>
            </w:r>
          </w:p>
        </w:tc>
        <w:tc>
          <w:tcPr>
            <w:tcW w:w="983" w:type="dxa"/>
            <w:tcBorders>
              <w:top w:val="nil"/>
              <w:left w:val="nil"/>
              <w:right w:val="nil"/>
            </w:tcBorders>
          </w:tcPr>
          <w:p w14:paraId="7BFAC948" w14:textId="0088870C"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-0.032</w:t>
            </w:r>
          </w:p>
        </w:tc>
        <w:tc>
          <w:tcPr>
            <w:tcW w:w="993" w:type="dxa"/>
            <w:tcBorders>
              <w:top w:val="nil"/>
              <w:left w:val="nil"/>
              <w:right w:val="nil"/>
            </w:tcBorders>
          </w:tcPr>
          <w:p w14:paraId="5F08C145" w14:textId="10B18AD7"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-0.056***</w:t>
            </w:r>
          </w:p>
        </w:tc>
        <w:tc>
          <w:tcPr>
            <w:tcW w:w="883" w:type="dxa"/>
            <w:tcBorders>
              <w:top w:val="nil"/>
              <w:left w:val="nil"/>
              <w:right w:val="nil"/>
            </w:tcBorders>
          </w:tcPr>
          <w:p w14:paraId="6DEB667B" w14:textId="0628056B"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0.081***</w:t>
            </w:r>
          </w:p>
        </w:tc>
        <w:tc>
          <w:tcPr>
            <w:tcW w:w="889" w:type="dxa"/>
            <w:tcBorders>
              <w:top w:val="nil"/>
              <w:left w:val="nil"/>
              <w:right w:val="nil"/>
            </w:tcBorders>
          </w:tcPr>
          <w:p w14:paraId="7AC76488" w14:textId="48649866"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-0.008</w:t>
            </w:r>
          </w:p>
        </w:tc>
        <w:tc>
          <w:tcPr>
            <w:tcW w:w="967" w:type="dxa"/>
            <w:tcBorders>
              <w:top w:val="nil"/>
              <w:left w:val="nil"/>
              <w:right w:val="nil"/>
            </w:tcBorders>
          </w:tcPr>
          <w:p w14:paraId="4E68AC51" w14:textId="56375DED"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0.014</w:t>
            </w:r>
          </w:p>
        </w:tc>
        <w:tc>
          <w:tcPr>
            <w:tcW w:w="967" w:type="dxa"/>
            <w:tcBorders>
              <w:top w:val="nil"/>
              <w:left w:val="nil"/>
              <w:right w:val="nil"/>
            </w:tcBorders>
          </w:tcPr>
          <w:p w14:paraId="20A78375" w14:textId="251B3F97" w:rsidR="00CB79B5" w:rsidRPr="00EE533D" w:rsidRDefault="00CB79B5" w:rsidP="00CB79B5">
            <w:pPr>
              <w:widowControl w:val="0"/>
              <w:tabs>
                <w:tab w:val="decimal" w:pos="343"/>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0.058***</w:t>
            </w:r>
          </w:p>
        </w:tc>
        <w:tc>
          <w:tcPr>
            <w:tcW w:w="1113" w:type="dxa"/>
            <w:tcBorders>
              <w:top w:val="nil"/>
              <w:left w:val="nil"/>
              <w:right w:val="nil"/>
            </w:tcBorders>
          </w:tcPr>
          <w:p w14:paraId="556AE5C9" w14:textId="7491A4FF" w:rsidR="00CB79B5" w:rsidRPr="00EE533D" w:rsidRDefault="00CB79B5" w:rsidP="00CB79B5">
            <w:pPr>
              <w:widowControl w:val="0"/>
              <w:tabs>
                <w:tab w:val="decimal" w:pos="184"/>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-0.008</w:t>
            </w:r>
          </w:p>
        </w:tc>
      </w:tr>
      <w:tr w:rsidR="00EE533D" w:rsidRPr="00EE533D" w14:paraId="77C08733" w14:textId="77777777" w:rsidTr="0096699E">
        <w:trPr>
          <w:trHeight w:val="248"/>
        </w:trPr>
        <w:tc>
          <w:tcPr>
            <w:tcW w:w="2033" w:type="dxa"/>
            <w:tcBorders>
              <w:top w:val="nil"/>
              <w:left w:val="nil"/>
              <w:right w:val="nil"/>
            </w:tcBorders>
          </w:tcPr>
          <w:p w14:paraId="33C65581" w14:textId="72784051"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Board Size</w:t>
            </w:r>
          </w:p>
        </w:tc>
        <w:tc>
          <w:tcPr>
            <w:tcW w:w="967" w:type="dxa"/>
            <w:tcBorders>
              <w:top w:val="nil"/>
              <w:left w:val="nil"/>
              <w:right w:val="nil"/>
            </w:tcBorders>
          </w:tcPr>
          <w:p w14:paraId="5ACB1566" w14:textId="5E19F39C"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-0.005</w:t>
            </w:r>
          </w:p>
        </w:tc>
        <w:tc>
          <w:tcPr>
            <w:tcW w:w="1120" w:type="dxa"/>
            <w:tcBorders>
              <w:top w:val="nil"/>
              <w:left w:val="nil"/>
              <w:right w:val="nil"/>
            </w:tcBorders>
          </w:tcPr>
          <w:p w14:paraId="3C00BFBC" w14:textId="5B0390FF"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-0.007</w:t>
            </w:r>
          </w:p>
        </w:tc>
        <w:tc>
          <w:tcPr>
            <w:tcW w:w="983" w:type="dxa"/>
            <w:tcBorders>
              <w:top w:val="nil"/>
              <w:left w:val="nil"/>
              <w:right w:val="nil"/>
            </w:tcBorders>
          </w:tcPr>
          <w:p w14:paraId="03C87102" w14:textId="32DE711C"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-0.146***</w:t>
            </w:r>
          </w:p>
        </w:tc>
        <w:tc>
          <w:tcPr>
            <w:tcW w:w="993" w:type="dxa"/>
            <w:tcBorders>
              <w:top w:val="nil"/>
              <w:left w:val="nil"/>
              <w:right w:val="nil"/>
            </w:tcBorders>
          </w:tcPr>
          <w:p w14:paraId="3BA407CF" w14:textId="1AA61D49"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0.034***</w:t>
            </w:r>
          </w:p>
        </w:tc>
        <w:tc>
          <w:tcPr>
            <w:tcW w:w="883" w:type="dxa"/>
            <w:tcBorders>
              <w:top w:val="nil"/>
              <w:left w:val="nil"/>
              <w:right w:val="nil"/>
            </w:tcBorders>
          </w:tcPr>
          <w:p w14:paraId="1ECC5EE0" w14:textId="71BE3263"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-0.004</w:t>
            </w:r>
          </w:p>
        </w:tc>
        <w:tc>
          <w:tcPr>
            <w:tcW w:w="889" w:type="dxa"/>
            <w:tcBorders>
              <w:top w:val="nil"/>
              <w:left w:val="nil"/>
              <w:right w:val="nil"/>
            </w:tcBorders>
          </w:tcPr>
          <w:p w14:paraId="21608694" w14:textId="289FFB00"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-0.076***</w:t>
            </w:r>
          </w:p>
        </w:tc>
        <w:tc>
          <w:tcPr>
            <w:tcW w:w="967" w:type="dxa"/>
            <w:tcBorders>
              <w:top w:val="nil"/>
              <w:left w:val="nil"/>
              <w:right w:val="nil"/>
            </w:tcBorders>
          </w:tcPr>
          <w:p w14:paraId="0F178F05" w14:textId="1C6CEC5E"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0.028***</w:t>
            </w:r>
          </w:p>
        </w:tc>
        <w:tc>
          <w:tcPr>
            <w:tcW w:w="967" w:type="dxa"/>
            <w:tcBorders>
              <w:top w:val="nil"/>
              <w:left w:val="nil"/>
              <w:right w:val="nil"/>
            </w:tcBorders>
          </w:tcPr>
          <w:p w14:paraId="15D66F96" w14:textId="0D0D7F1E" w:rsidR="00CB79B5" w:rsidRPr="00EE533D" w:rsidRDefault="001D0997" w:rsidP="001D0997">
            <w:pPr>
              <w:widowControl w:val="0"/>
              <w:tabs>
                <w:tab w:val="decimal" w:pos="12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w:t>
            </w:r>
            <w:r w:rsidR="00CB79B5" w:rsidRPr="00EE533D">
              <w:rPr>
                <w:rFonts w:ascii="Times New Roman" w:hAnsi="Times New Roman" w:cs="Times New Roman"/>
                <w:sz w:val="16"/>
                <w:szCs w:val="16"/>
                <w:lang w:val="en-GB"/>
              </w:rPr>
              <w:t>0.018**</w:t>
            </w:r>
          </w:p>
        </w:tc>
        <w:tc>
          <w:tcPr>
            <w:tcW w:w="1113" w:type="dxa"/>
            <w:tcBorders>
              <w:top w:val="nil"/>
              <w:left w:val="nil"/>
              <w:right w:val="nil"/>
            </w:tcBorders>
          </w:tcPr>
          <w:p w14:paraId="5E838CE1" w14:textId="2F283B9B" w:rsidR="00CB79B5" w:rsidRPr="00EE533D" w:rsidRDefault="00CB79B5" w:rsidP="00CB79B5">
            <w:pPr>
              <w:widowControl w:val="0"/>
              <w:tabs>
                <w:tab w:val="decimal" w:pos="184"/>
                <w:tab w:val="decimal" w:pos="292"/>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0.050***</w:t>
            </w:r>
          </w:p>
        </w:tc>
      </w:tr>
      <w:tr w:rsidR="00EE533D" w:rsidRPr="00EE533D" w14:paraId="06EC84AF" w14:textId="77777777" w:rsidTr="0096699E">
        <w:trPr>
          <w:trHeight w:val="248"/>
        </w:trPr>
        <w:tc>
          <w:tcPr>
            <w:tcW w:w="2033" w:type="dxa"/>
            <w:tcBorders>
              <w:top w:val="nil"/>
              <w:left w:val="nil"/>
              <w:right w:val="nil"/>
            </w:tcBorders>
          </w:tcPr>
          <w:p w14:paraId="300FAC36" w14:textId="0A485B77"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Independent</w:t>
            </w:r>
          </w:p>
        </w:tc>
        <w:tc>
          <w:tcPr>
            <w:tcW w:w="967" w:type="dxa"/>
            <w:tcBorders>
              <w:top w:val="nil"/>
              <w:left w:val="nil"/>
              <w:right w:val="nil"/>
            </w:tcBorders>
          </w:tcPr>
          <w:p w14:paraId="644E50AF" w14:textId="0B2452C0"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-0.065***</w:t>
            </w:r>
          </w:p>
        </w:tc>
        <w:tc>
          <w:tcPr>
            <w:tcW w:w="1120" w:type="dxa"/>
            <w:tcBorders>
              <w:top w:val="nil"/>
              <w:left w:val="nil"/>
              <w:right w:val="nil"/>
            </w:tcBorders>
          </w:tcPr>
          <w:p w14:paraId="2B7A24D7" w14:textId="0B875703"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0.063***</w:t>
            </w:r>
          </w:p>
        </w:tc>
        <w:tc>
          <w:tcPr>
            <w:tcW w:w="983" w:type="dxa"/>
            <w:tcBorders>
              <w:top w:val="nil"/>
              <w:left w:val="nil"/>
              <w:right w:val="nil"/>
            </w:tcBorders>
          </w:tcPr>
          <w:p w14:paraId="07E408BA" w14:textId="6221B799"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0.065</w:t>
            </w:r>
          </w:p>
        </w:tc>
        <w:tc>
          <w:tcPr>
            <w:tcW w:w="993" w:type="dxa"/>
            <w:tcBorders>
              <w:top w:val="nil"/>
              <w:left w:val="nil"/>
              <w:right w:val="nil"/>
            </w:tcBorders>
          </w:tcPr>
          <w:p w14:paraId="522F7906" w14:textId="428D5A8C"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0.470***</w:t>
            </w:r>
          </w:p>
        </w:tc>
        <w:tc>
          <w:tcPr>
            <w:tcW w:w="883" w:type="dxa"/>
            <w:tcBorders>
              <w:top w:val="nil"/>
              <w:left w:val="nil"/>
              <w:right w:val="nil"/>
            </w:tcBorders>
          </w:tcPr>
          <w:p w14:paraId="0242B087" w14:textId="43D79143"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0.472***</w:t>
            </w:r>
          </w:p>
        </w:tc>
        <w:tc>
          <w:tcPr>
            <w:tcW w:w="889" w:type="dxa"/>
            <w:tcBorders>
              <w:top w:val="nil"/>
              <w:left w:val="nil"/>
              <w:right w:val="nil"/>
            </w:tcBorders>
          </w:tcPr>
          <w:p w14:paraId="537ADA3F" w14:textId="3FECA077"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0.328***</w:t>
            </w:r>
          </w:p>
        </w:tc>
        <w:tc>
          <w:tcPr>
            <w:tcW w:w="967" w:type="dxa"/>
            <w:tcBorders>
              <w:top w:val="nil"/>
              <w:left w:val="nil"/>
              <w:right w:val="nil"/>
            </w:tcBorders>
          </w:tcPr>
          <w:p w14:paraId="2B138D5D" w14:textId="73D4C8FF"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0.509***</w:t>
            </w:r>
          </w:p>
        </w:tc>
        <w:tc>
          <w:tcPr>
            <w:tcW w:w="967" w:type="dxa"/>
            <w:tcBorders>
              <w:top w:val="nil"/>
              <w:left w:val="nil"/>
              <w:right w:val="nil"/>
            </w:tcBorders>
          </w:tcPr>
          <w:p w14:paraId="2822F789" w14:textId="1683E03A" w:rsidR="00CB79B5" w:rsidRPr="00EE533D" w:rsidRDefault="001D0997" w:rsidP="001D0997">
            <w:pPr>
              <w:widowControl w:val="0"/>
              <w:tabs>
                <w:tab w:val="decimal" w:pos="41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w:t>
            </w:r>
            <w:r w:rsidR="00CB79B5" w:rsidRPr="00EE533D">
              <w:rPr>
                <w:rFonts w:ascii="Times New Roman" w:hAnsi="Times New Roman" w:cs="Times New Roman"/>
                <w:sz w:val="16"/>
                <w:szCs w:val="16"/>
                <w:lang w:val="en-GB"/>
              </w:rPr>
              <w:t>0.505***</w:t>
            </w:r>
          </w:p>
        </w:tc>
        <w:tc>
          <w:tcPr>
            <w:tcW w:w="1113" w:type="dxa"/>
            <w:tcBorders>
              <w:top w:val="nil"/>
              <w:left w:val="nil"/>
              <w:right w:val="nil"/>
            </w:tcBorders>
          </w:tcPr>
          <w:p w14:paraId="607F18EF" w14:textId="11FD5276"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0.375***</w:t>
            </w:r>
          </w:p>
        </w:tc>
      </w:tr>
      <w:tr w:rsidR="00EE533D" w:rsidRPr="00EE533D" w14:paraId="5291A154" w14:textId="77777777" w:rsidTr="0096699E">
        <w:trPr>
          <w:trHeight w:val="248"/>
        </w:trPr>
        <w:tc>
          <w:tcPr>
            <w:tcW w:w="2033" w:type="dxa"/>
            <w:tcBorders>
              <w:left w:val="nil"/>
              <w:bottom w:val="single" w:sz="12" w:space="0" w:color="auto"/>
              <w:right w:val="nil"/>
            </w:tcBorders>
          </w:tcPr>
          <w:p w14:paraId="3AAAEAB7" w14:textId="14E99769" w:rsidR="00CB79B5" w:rsidRPr="00EE533D" w:rsidRDefault="00CB79B5" w:rsidP="00CB79B5">
            <w:pPr>
              <w:widowControl w:val="0"/>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eastAsia="Times New Roman" w:hAnsi="Times New Roman" w:cs="Times New Roman"/>
                <w:sz w:val="16"/>
                <w:szCs w:val="16"/>
                <w:lang w:val="en-GB"/>
              </w:rPr>
              <w:t>CSR Committee</w:t>
            </w:r>
          </w:p>
        </w:tc>
        <w:tc>
          <w:tcPr>
            <w:tcW w:w="967" w:type="dxa"/>
            <w:tcBorders>
              <w:left w:val="nil"/>
              <w:bottom w:val="single" w:sz="12" w:space="0" w:color="auto"/>
              <w:right w:val="nil"/>
            </w:tcBorders>
          </w:tcPr>
          <w:p w14:paraId="49FB50B6" w14:textId="53CED666" w:rsidR="00CB79B5" w:rsidRPr="00EE533D" w:rsidRDefault="00CB79B5" w:rsidP="00CB79B5">
            <w:pPr>
              <w:widowControl w:val="0"/>
              <w:autoSpaceDE w:val="0"/>
              <w:autoSpaceDN w:val="0"/>
              <w:adjustRightInd w:val="0"/>
              <w:spacing w:after="0" w:line="240" w:lineRule="auto"/>
              <w:jc w:val="right"/>
              <w:rPr>
                <w:rFonts w:ascii="Times New Roman" w:hAnsi="Times New Roman" w:cs="Times New Roman"/>
                <w:sz w:val="16"/>
                <w:szCs w:val="16"/>
                <w:lang w:val="en-GB"/>
              </w:rPr>
            </w:pPr>
            <w:r w:rsidRPr="00EE533D">
              <w:rPr>
                <w:rFonts w:ascii="Times New Roman" w:hAnsi="Times New Roman" w:cs="Times New Roman"/>
                <w:sz w:val="16"/>
                <w:szCs w:val="16"/>
                <w:lang w:val="en-GB"/>
              </w:rPr>
              <w:t>-0.158***</w:t>
            </w:r>
          </w:p>
        </w:tc>
        <w:tc>
          <w:tcPr>
            <w:tcW w:w="1120" w:type="dxa"/>
            <w:tcBorders>
              <w:left w:val="nil"/>
              <w:bottom w:val="single" w:sz="12" w:space="0" w:color="auto"/>
              <w:right w:val="nil"/>
            </w:tcBorders>
          </w:tcPr>
          <w:p w14:paraId="495434FA" w14:textId="4103DF65" w:rsidR="00CB79B5" w:rsidRPr="00EE533D" w:rsidRDefault="00CB79B5" w:rsidP="00CB79B5">
            <w:pPr>
              <w:widowControl w:val="0"/>
              <w:tabs>
                <w:tab w:val="decimal" w:pos="289"/>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0.114***</w:t>
            </w:r>
          </w:p>
        </w:tc>
        <w:tc>
          <w:tcPr>
            <w:tcW w:w="983" w:type="dxa"/>
            <w:tcBorders>
              <w:left w:val="nil"/>
              <w:bottom w:val="single" w:sz="12" w:space="0" w:color="auto"/>
              <w:right w:val="nil"/>
            </w:tcBorders>
          </w:tcPr>
          <w:p w14:paraId="3E813303" w14:textId="4C9E0573"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-0.001</w:t>
            </w:r>
          </w:p>
        </w:tc>
        <w:tc>
          <w:tcPr>
            <w:tcW w:w="993" w:type="dxa"/>
            <w:tcBorders>
              <w:left w:val="nil"/>
              <w:bottom w:val="single" w:sz="12" w:space="0" w:color="auto"/>
              <w:right w:val="nil"/>
            </w:tcBorders>
          </w:tcPr>
          <w:p w14:paraId="7D8ECBE8" w14:textId="6543EBDC" w:rsidR="00CB79B5" w:rsidRPr="00EE533D" w:rsidRDefault="00CB79B5" w:rsidP="00CB79B5">
            <w:pPr>
              <w:widowControl w:val="0"/>
              <w:tabs>
                <w:tab w:val="decimal" w:pos="13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-0.019**</w:t>
            </w:r>
          </w:p>
        </w:tc>
        <w:tc>
          <w:tcPr>
            <w:tcW w:w="883" w:type="dxa"/>
            <w:tcBorders>
              <w:left w:val="nil"/>
              <w:bottom w:val="single" w:sz="12" w:space="0" w:color="auto"/>
              <w:right w:val="nil"/>
            </w:tcBorders>
          </w:tcPr>
          <w:p w14:paraId="6A3190F8" w14:textId="79BC4404" w:rsidR="00CB79B5" w:rsidRPr="00EE533D" w:rsidRDefault="00CB79B5" w:rsidP="00CB79B5">
            <w:pPr>
              <w:widowControl w:val="0"/>
              <w:tabs>
                <w:tab w:val="decimal" w:pos="298"/>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-0.040***</w:t>
            </w:r>
          </w:p>
        </w:tc>
        <w:tc>
          <w:tcPr>
            <w:tcW w:w="889" w:type="dxa"/>
            <w:tcBorders>
              <w:left w:val="nil"/>
              <w:bottom w:val="single" w:sz="12" w:space="0" w:color="auto"/>
              <w:right w:val="nil"/>
            </w:tcBorders>
          </w:tcPr>
          <w:p w14:paraId="0A936685" w14:textId="468A3946" w:rsidR="00CB79B5" w:rsidRPr="00EE533D" w:rsidRDefault="00CB79B5" w:rsidP="00CB79B5">
            <w:pPr>
              <w:widowControl w:val="0"/>
              <w:tabs>
                <w:tab w:val="decimal" w:pos="174"/>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-0.077***</w:t>
            </w:r>
          </w:p>
        </w:tc>
        <w:tc>
          <w:tcPr>
            <w:tcW w:w="967" w:type="dxa"/>
            <w:tcBorders>
              <w:left w:val="nil"/>
              <w:bottom w:val="single" w:sz="12" w:space="0" w:color="auto"/>
              <w:right w:val="nil"/>
            </w:tcBorders>
          </w:tcPr>
          <w:p w14:paraId="53D0A96C" w14:textId="3FC41AF4" w:rsidR="00CB79B5" w:rsidRPr="00EE533D" w:rsidRDefault="00CB79B5" w:rsidP="00CB79B5">
            <w:pPr>
              <w:widowControl w:val="0"/>
              <w:tabs>
                <w:tab w:val="decimal" w:pos="21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0.019**</w:t>
            </w:r>
          </w:p>
        </w:tc>
        <w:tc>
          <w:tcPr>
            <w:tcW w:w="967" w:type="dxa"/>
            <w:tcBorders>
              <w:left w:val="nil"/>
              <w:bottom w:val="single" w:sz="12" w:space="0" w:color="auto"/>
              <w:right w:val="nil"/>
            </w:tcBorders>
          </w:tcPr>
          <w:p w14:paraId="07007B6A" w14:textId="614AEB63" w:rsidR="00CB79B5" w:rsidRPr="00EE533D" w:rsidRDefault="00CB79B5" w:rsidP="00CB79B5">
            <w:pPr>
              <w:widowControl w:val="0"/>
              <w:tabs>
                <w:tab w:val="decimal" w:pos="270"/>
              </w:tabs>
              <w:autoSpaceDE w:val="0"/>
              <w:autoSpaceDN w:val="0"/>
              <w:adjustRightInd w:val="0"/>
              <w:spacing w:after="0" w:line="240" w:lineRule="auto"/>
              <w:rPr>
                <w:rFonts w:ascii="Times New Roman" w:hAnsi="Times New Roman" w:cs="Times New Roman"/>
                <w:sz w:val="16"/>
                <w:szCs w:val="16"/>
                <w:lang w:val="en-GB"/>
              </w:rPr>
            </w:pPr>
            <w:r w:rsidRPr="00EE533D">
              <w:rPr>
                <w:rFonts w:ascii="Times New Roman" w:hAnsi="Times New Roman" w:cs="Times New Roman"/>
                <w:sz w:val="16"/>
                <w:szCs w:val="16"/>
                <w:lang w:val="en-GB"/>
              </w:rPr>
              <w:t>0.001</w:t>
            </w:r>
          </w:p>
        </w:tc>
        <w:tc>
          <w:tcPr>
            <w:tcW w:w="1113" w:type="dxa"/>
            <w:tcBorders>
              <w:left w:val="nil"/>
              <w:bottom w:val="single" w:sz="12" w:space="0" w:color="auto"/>
              <w:right w:val="nil"/>
            </w:tcBorders>
          </w:tcPr>
          <w:p w14:paraId="388B498E" w14:textId="4D01E7EA" w:rsidR="00CB79B5" w:rsidRPr="00EE533D" w:rsidRDefault="00CB79B5" w:rsidP="00CB79B5">
            <w:pPr>
              <w:widowControl w:val="0"/>
              <w:tabs>
                <w:tab w:val="decimal" w:pos="184"/>
                <w:tab w:val="decimal" w:pos="292"/>
              </w:tabs>
              <w:autoSpaceDE w:val="0"/>
              <w:autoSpaceDN w:val="0"/>
              <w:adjustRightInd w:val="0"/>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 xml:space="preserve">  0.059***</w:t>
            </w:r>
          </w:p>
        </w:tc>
      </w:tr>
      <w:tr w:rsidR="00EE533D" w:rsidRPr="00EE533D" w14:paraId="4AB884E5" w14:textId="77777777" w:rsidTr="007467F2">
        <w:trPr>
          <w:trHeight w:val="248"/>
        </w:trPr>
        <w:tc>
          <w:tcPr>
            <w:tcW w:w="10915" w:type="dxa"/>
            <w:gridSpan w:val="10"/>
            <w:tcBorders>
              <w:top w:val="single" w:sz="12" w:space="0" w:color="auto"/>
              <w:left w:val="nil"/>
            </w:tcBorders>
          </w:tcPr>
          <w:p w14:paraId="470FF861" w14:textId="2939D11E" w:rsidR="0096699E" w:rsidRPr="00EE533D" w:rsidRDefault="0096699E" w:rsidP="00EE2C32">
            <w:pPr>
              <w:widowControl w:val="0"/>
              <w:tabs>
                <w:tab w:val="decimal" w:pos="0"/>
              </w:tabs>
              <w:autoSpaceDE w:val="0"/>
              <w:autoSpaceDN w:val="0"/>
              <w:adjustRightInd w:val="0"/>
              <w:spacing w:after="0" w:line="240" w:lineRule="auto"/>
              <w:jc w:val="both"/>
              <w:rPr>
                <w:rFonts w:ascii="Times New Roman" w:hAnsi="Times New Roman" w:cs="Times New Roman"/>
                <w:sz w:val="18"/>
                <w:szCs w:val="18"/>
                <w:lang w:val="en-GB"/>
              </w:rPr>
            </w:pPr>
            <w:r w:rsidRPr="00EE533D">
              <w:rPr>
                <w:rFonts w:ascii="Times New Roman" w:hAnsi="Times New Roman" w:cs="Times New Roman"/>
                <w:b/>
                <w:bCs/>
                <w:sz w:val="18"/>
                <w:szCs w:val="18"/>
                <w:lang w:val="en-GB"/>
              </w:rPr>
              <w:t xml:space="preserve">Notes: </w:t>
            </w:r>
            <w:r w:rsidRPr="00EE533D">
              <w:rPr>
                <w:rFonts w:ascii="Times New Roman" w:eastAsia="Times New Roman" w:hAnsi="Times New Roman" w:cs="Times New Roman"/>
                <w:sz w:val="18"/>
                <w:szCs w:val="18"/>
                <w:lang w:val="en-GB"/>
              </w:rPr>
              <w:t xml:space="preserve"> Pairwise correlation coefficients were generated using the </w:t>
            </w:r>
            <w:r w:rsidRPr="00EE533D">
              <w:rPr>
                <w:rFonts w:ascii="Times New Roman" w:eastAsia="Times New Roman" w:hAnsi="Times New Roman" w:cs="Times New Roman"/>
                <w:i/>
                <w:iCs/>
                <w:sz w:val="18"/>
                <w:szCs w:val="18"/>
                <w:lang w:val="en-GB"/>
              </w:rPr>
              <w:t>Stata</w:t>
            </w:r>
            <w:r w:rsidRPr="00EE533D">
              <w:rPr>
                <w:rFonts w:ascii="Times New Roman" w:eastAsia="Times New Roman" w:hAnsi="Times New Roman" w:cs="Times New Roman"/>
                <w:sz w:val="18"/>
                <w:szCs w:val="18"/>
                <w:lang w:val="en-GB"/>
              </w:rPr>
              <w:t xml:space="preserve"> command </w:t>
            </w:r>
            <w:r w:rsidRPr="00EE533D">
              <w:rPr>
                <w:rFonts w:ascii="Times New Roman" w:eastAsia="Times New Roman" w:hAnsi="Times New Roman" w:cs="Times New Roman"/>
                <w:i/>
                <w:iCs/>
                <w:sz w:val="18"/>
                <w:szCs w:val="18"/>
                <w:lang w:val="en-GB"/>
              </w:rPr>
              <w:t>asdoc</w:t>
            </w:r>
            <w:r w:rsidRPr="00EE533D">
              <w:rPr>
                <w:rFonts w:ascii="Times New Roman" w:eastAsia="Times New Roman" w:hAnsi="Times New Roman" w:cs="Times New Roman"/>
                <w:sz w:val="18"/>
                <w:szCs w:val="18"/>
                <w:lang w:val="en-GB"/>
              </w:rPr>
              <w:t xml:space="preserve"> developed by </w:t>
            </w:r>
            <w:r w:rsidRPr="00EE533D">
              <w:rPr>
                <w:rFonts w:ascii="Times New Roman" w:eastAsia="Times New Roman" w:hAnsi="Times New Roman" w:cs="Times New Roman"/>
                <w:sz w:val="18"/>
                <w:szCs w:val="18"/>
                <w:lang w:val="en-GB"/>
              </w:rPr>
              <w:fldChar w:fldCharType="begin"/>
            </w:r>
            <w:r w:rsidR="00EE2C32" w:rsidRPr="00EE533D">
              <w:rPr>
                <w:rFonts w:ascii="Times New Roman" w:eastAsia="Times New Roman" w:hAnsi="Times New Roman" w:cs="Times New Roman"/>
                <w:sz w:val="18"/>
                <w:szCs w:val="18"/>
                <w:lang w:val="en-GB"/>
              </w:rPr>
              <w:instrText xml:space="preserve"> ADDIN ZOTERO_ITEM CSL_CITATION {"citationID":"5JRt4exi","properties":{"formattedCitation":"(Shah, 2021)","plainCitation":"(Shah, 2021)","noteIndex":0},"citationItems":[{"id":2758,"uris":["http://zotero.org/users/8125408/items/UFGIUUNU"],"itemData":{"id":2758,"type":"article-journal","note":"publisher: Boston College Department of Economics","title":"ASDOC: Stata module to create high-quality tables in MS Word from Stata output","author":[{"family":"Shah","given":"Attaullah"}],"issued":{"date-parts":[["2021"]]}}}],"schema":"https://github.com/citation-style-language/schema/raw/master/csl-citation.json"} </w:instrText>
            </w:r>
            <w:r w:rsidRPr="00EE533D">
              <w:rPr>
                <w:rFonts w:ascii="Times New Roman" w:eastAsia="Times New Roman" w:hAnsi="Times New Roman" w:cs="Times New Roman"/>
                <w:sz w:val="18"/>
                <w:szCs w:val="18"/>
                <w:lang w:val="en-GB"/>
              </w:rPr>
              <w:fldChar w:fldCharType="separate"/>
            </w:r>
            <w:r w:rsidR="00EE2C32" w:rsidRPr="00EE533D">
              <w:rPr>
                <w:rFonts w:ascii="Times New Roman" w:hAnsi="Times New Roman" w:cs="Times New Roman"/>
                <w:sz w:val="18"/>
                <w:lang w:val="en-GB"/>
              </w:rPr>
              <w:t>(Shah, 2021)</w:t>
            </w:r>
            <w:r w:rsidRPr="00EE533D">
              <w:rPr>
                <w:rFonts w:ascii="Times New Roman" w:eastAsia="Times New Roman" w:hAnsi="Times New Roman" w:cs="Times New Roman"/>
                <w:sz w:val="18"/>
                <w:szCs w:val="18"/>
                <w:lang w:val="en-GB"/>
              </w:rPr>
              <w:fldChar w:fldCharType="end"/>
            </w:r>
            <w:r w:rsidRPr="00EE533D">
              <w:rPr>
                <w:rFonts w:ascii="Times New Roman" w:hAnsi="Times New Roman" w:cs="Times New Roman"/>
                <w:sz w:val="18"/>
                <w:szCs w:val="18"/>
                <w:lang w:val="en-GB"/>
              </w:rPr>
              <w:t xml:space="preserve"> * indicates significance at the 10% level, ** at the 5% level and *** at the 1% level.</w:t>
            </w:r>
          </w:p>
        </w:tc>
      </w:tr>
    </w:tbl>
    <w:p w14:paraId="23CF0EFF" w14:textId="77777777" w:rsidR="007467F2" w:rsidRPr="00EE533D" w:rsidRDefault="007467F2" w:rsidP="007467F2">
      <w:pPr>
        <w:spacing w:line="240" w:lineRule="auto"/>
        <w:jc w:val="both"/>
        <w:rPr>
          <w:rFonts w:asciiTheme="majorBidi" w:hAnsiTheme="majorBidi" w:cstheme="majorBidi"/>
          <w:sz w:val="24"/>
          <w:szCs w:val="24"/>
          <w:lang w:val="en-GB"/>
        </w:rPr>
      </w:pPr>
    </w:p>
    <w:p w14:paraId="597F2341" w14:textId="77777777" w:rsidR="007467F2" w:rsidRPr="00EE533D" w:rsidRDefault="007467F2" w:rsidP="007467F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p w14:paraId="7D784D8D" w14:textId="77777777" w:rsidR="007467F2" w:rsidRPr="00EE533D" w:rsidRDefault="007467F2" w:rsidP="007467F2">
      <w:pPr>
        <w:spacing w:line="259" w:lineRule="auto"/>
        <w:rPr>
          <w:rFonts w:asciiTheme="majorBidi" w:hAnsiTheme="majorBidi" w:cstheme="majorBidi"/>
          <w:sz w:val="24"/>
          <w:szCs w:val="24"/>
          <w:lang w:val="en-GB"/>
        </w:rPr>
        <w:sectPr w:rsidR="007467F2" w:rsidRPr="00EE533D" w:rsidSect="007467F2">
          <w:pgSz w:w="11906" w:h="16838" w:code="9"/>
          <w:pgMar w:top="1411" w:right="1411" w:bottom="1411" w:left="1411" w:header="706" w:footer="706" w:gutter="0"/>
          <w:cols w:space="708"/>
          <w:docGrid w:linePitch="360"/>
        </w:sectPr>
      </w:pP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426"/>
      </w:tblGrid>
      <w:tr w:rsidR="00EE533D" w:rsidRPr="00EE533D" w14:paraId="4C74D36A" w14:textId="77777777" w:rsidTr="007467F2">
        <w:trPr>
          <w:trHeight w:val="68"/>
        </w:trPr>
        <w:tc>
          <w:tcPr>
            <w:tcW w:w="11367" w:type="dxa"/>
            <w:gridSpan w:val="7"/>
            <w:tcBorders>
              <w:left w:val="nil"/>
              <w:right w:val="nil"/>
            </w:tcBorders>
            <w:shd w:val="clear" w:color="auto" w:fill="auto"/>
            <w:noWrap/>
            <w:vAlign w:val="bottom"/>
          </w:tcPr>
          <w:p w14:paraId="0B440B5E" w14:textId="77777777" w:rsidR="007467F2" w:rsidRPr="00EE533D" w:rsidRDefault="007467F2" w:rsidP="007467F2">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Table 5. Institutional quality and corporate recycling performance</w:t>
            </w:r>
          </w:p>
        </w:tc>
      </w:tr>
      <w:tr w:rsidR="00EE533D" w:rsidRPr="00EE533D" w14:paraId="308A8F3E" w14:textId="77777777" w:rsidTr="007467F2">
        <w:trPr>
          <w:trHeight w:val="20"/>
        </w:trPr>
        <w:tc>
          <w:tcPr>
            <w:tcW w:w="2806" w:type="dxa"/>
            <w:tcBorders>
              <w:left w:val="nil"/>
              <w:right w:val="nil"/>
            </w:tcBorders>
            <w:shd w:val="clear" w:color="auto" w:fill="auto"/>
            <w:noWrap/>
            <w:vAlign w:val="bottom"/>
          </w:tcPr>
          <w:p w14:paraId="38DF612D" w14:textId="77777777" w:rsidR="007467F2" w:rsidRPr="00EE533D" w:rsidRDefault="007467F2" w:rsidP="007467F2">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Dependent variable:</w:t>
            </w:r>
          </w:p>
        </w:tc>
        <w:tc>
          <w:tcPr>
            <w:tcW w:w="1417" w:type="dxa"/>
            <w:tcBorders>
              <w:left w:val="nil"/>
              <w:bottom w:val="single" w:sz="12" w:space="0" w:color="auto"/>
              <w:right w:val="nil"/>
            </w:tcBorders>
            <w:shd w:val="clear" w:color="auto" w:fill="auto"/>
            <w:noWrap/>
          </w:tcPr>
          <w:p w14:paraId="6C9FC2C0"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47FF43EC"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498" w:type="dxa"/>
            <w:tcBorders>
              <w:left w:val="nil"/>
              <w:bottom w:val="single" w:sz="12" w:space="0" w:color="auto"/>
              <w:right w:val="nil"/>
            </w:tcBorders>
          </w:tcPr>
          <w:p w14:paraId="26DD9E76"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1F14D3A9"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396" w:type="dxa"/>
            <w:tcBorders>
              <w:left w:val="nil"/>
              <w:bottom w:val="single" w:sz="12" w:space="0" w:color="auto"/>
              <w:right w:val="single" w:sz="12" w:space="0" w:color="auto"/>
            </w:tcBorders>
            <w:shd w:val="clear" w:color="auto" w:fill="auto"/>
            <w:noWrap/>
            <w:vAlign w:val="bottom"/>
          </w:tcPr>
          <w:p w14:paraId="7D08B61C"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c>
          <w:tcPr>
            <w:tcW w:w="1434" w:type="dxa"/>
            <w:tcBorders>
              <w:left w:val="single" w:sz="12" w:space="0" w:color="auto"/>
              <w:bottom w:val="single" w:sz="12" w:space="0" w:color="auto"/>
            </w:tcBorders>
          </w:tcPr>
          <w:p w14:paraId="523F4775"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60A533EF"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390" w:type="dxa"/>
            <w:tcBorders>
              <w:left w:val="nil"/>
              <w:bottom w:val="single" w:sz="12" w:space="0" w:color="auto"/>
              <w:right w:val="nil"/>
            </w:tcBorders>
          </w:tcPr>
          <w:p w14:paraId="3CC64F43"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1EDB8559"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426" w:type="dxa"/>
            <w:tcBorders>
              <w:left w:val="nil"/>
              <w:bottom w:val="single" w:sz="12" w:space="0" w:color="auto"/>
            </w:tcBorders>
          </w:tcPr>
          <w:p w14:paraId="66977029"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5AB6C403"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r>
      <w:tr w:rsidR="00EE533D" w:rsidRPr="00EE533D" w14:paraId="23FC1D7E" w14:textId="77777777" w:rsidTr="007467F2">
        <w:trPr>
          <w:trHeight w:val="20"/>
        </w:trPr>
        <w:tc>
          <w:tcPr>
            <w:tcW w:w="2806" w:type="dxa"/>
            <w:tcBorders>
              <w:left w:val="nil"/>
              <w:bottom w:val="single" w:sz="12" w:space="0" w:color="auto"/>
              <w:right w:val="nil"/>
            </w:tcBorders>
            <w:shd w:val="clear" w:color="auto" w:fill="auto"/>
            <w:noWrap/>
            <w:vAlign w:val="bottom"/>
          </w:tcPr>
          <w:p w14:paraId="4EA6036E" w14:textId="77777777" w:rsidR="007467F2" w:rsidRPr="00EE533D" w:rsidRDefault="007467F2" w:rsidP="007467F2">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417" w:type="dxa"/>
            <w:tcBorders>
              <w:left w:val="nil"/>
              <w:bottom w:val="single" w:sz="12" w:space="0" w:color="auto"/>
              <w:right w:val="nil"/>
            </w:tcBorders>
            <w:shd w:val="clear" w:color="auto" w:fill="auto"/>
            <w:noWrap/>
            <w:vAlign w:val="bottom"/>
          </w:tcPr>
          <w:p w14:paraId="51DE7EDB" w14:textId="77777777" w:rsidR="007467F2" w:rsidRPr="00EE533D" w:rsidRDefault="007467F2" w:rsidP="007467F2">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498" w:type="dxa"/>
            <w:tcBorders>
              <w:left w:val="nil"/>
              <w:bottom w:val="single" w:sz="12" w:space="0" w:color="auto"/>
              <w:right w:val="nil"/>
            </w:tcBorders>
            <w:vAlign w:val="bottom"/>
          </w:tcPr>
          <w:p w14:paraId="5FB586FA"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396" w:type="dxa"/>
            <w:tcBorders>
              <w:left w:val="nil"/>
              <w:bottom w:val="single" w:sz="12" w:space="0" w:color="auto"/>
              <w:right w:val="single" w:sz="12" w:space="0" w:color="auto"/>
            </w:tcBorders>
            <w:shd w:val="clear" w:color="auto" w:fill="auto"/>
            <w:noWrap/>
            <w:vAlign w:val="bottom"/>
          </w:tcPr>
          <w:p w14:paraId="5208027B"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34" w:type="dxa"/>
            <w:tcBorders>
              <w:left w:val="single" w:sz="12" w:space="0" w:color="auto"/>
              <w:bottom w:val="single" w:sz="12" w:space="0" w:color="auto"/>
            </w:tcBorders>
            <w:vAlign w:val="bottom"/>
          </w:tcPr>
          <w:p w14:paraId="18540479"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0" w:type="dxa"/>
            <w:tcBorders>
              <w:left w:val="nil"/>
              <w:bottom w:val="single" w:sz="12" w:space="0" w:color="auto"/>
              <w:right w:val="nil"/>
            </w:tcBorders>
            <w:vAlign w:val="bottom"/>
          </w:tcPr>
          <w:p w14:paraId="6A3C5CFD"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26" w:type="dxa"/>
            <w:tcBorders>
              <w:left w:val="nil"/>
              <w:bottom w:val="single" w:sz="12" w:space="0" w:color="auto"/>
            </w:tcBorders>
            <w:vAlign w:val="bottom"/>
          </w:tcPr>
          <w:p w14:paraId="28C8373E"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1353850B" w14:textId="77777777" w:rsidTr="007467F2">
        <w:trPr>
          <w:trHeight w:val="20"/>
        </w:trPr>
        <w:tc>
          <w:tcPr>
            <w:tcW w:w="2806" w:type="dxa"/>
            <w:tcBorders>
              <w:top w:val="nil"/>
              <w:left w:val="nil"/>
              <w:bottom w:val="nil"/>
              <w:right w:val="nil"/>
            </w:tcBorders>
            <w:shd w:val="clear" w:color="auto" w:fill="auto"/>
            <w:noWrap/>
          </w:tcPr>
          <w:p w14:paraId="1A0427B1" w14:textId="2ECFD706" w:rsidR="00A725F3" w:rsidRPr="00EE533D" w:rsidRDefault="00A725F3" w:rsidP="00A725F3">
            <w:pPr>
              <w:spacing w:after="0" w:line="240" w:lineRule="auto"/>
              <w:jc w:val="center"/>
              <w:rPr>
                <w:rFonts w:ascii="Times New Roman" w:eastAsia="Times New Roman" w:hAnsi="Times New Roman" w:cs="Times New Roman"/>
                <w:sz w:val="14"/>
                <w:szCs w:val="14"/>
                <w:vertAlign w:val="subscript"/>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C737EA1" w14:textId="73960418"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0.999</w:t>
            </w:r>
          </w:p>
        </w:tc>
        <w:tc>
          <w:tcPr>
            <w:tcW w:w="1498" w:type="dxa"/>
            <w:tcBorders>
              <w:top w:val="nil"/>
              <w:left w:val="nil"/>
              <w:bottom w:val="nil"/>
              <w:right w:val="nil"/>
            </w:tcBorders>
          </w:tcPr>
          <w:p w14:paraId="65CDAB58" w14:textId="5D27F3BF"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-12.131*</w:t>
            </w:r>
          </w:p>
        </w:tc>
        <w:tc>
          <w:tcPr>
            <w:tcW w:w="1396" w:type="dxa"/>
            <w:tcBorders>
              <w:top w:val="nil"/>
              <w:left w:val="nil"/>
              <w:bottom w:val="nil"/>
              <w:right w:val="single" w:sz="12" w:space="0" w:color="auto"/>
            </w:tcBorders>
            <w:shd w:val="clear" w:color="auto" w:fill="auto"/>
            <w:noWrap/>
          </w:tcPr>
          <w:p w14:paraId="1E334C67" w14:textId="60BEC279"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-0.151</w:t>
            </w:r>
          </w:p>
        </w:tc>
        <w:tc>
          <w:tcPr>
            <w:tcW w:w="1434" w:type="dxa"/>
            <w:tcBorders>
              <w:top w:val="nil"/>
              <w:left w:val="single" w:sz="12" w:space="0" w:color="auto"/>
              <w:bottom w:val="nil"/>
            </w:tcBorders>
          </w:tcPr>
          <w:p w14:paraId="3106C171" w14:textId="3A2DA11A"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-0.451</w:t>
            </w:r>
          </w:p>
        </w:tc>
        <w:tc>
          <w:tcPr>
            <w:tcW w:w="1390" w:type="dxa"/>
            <w:tcBorders>
              <w:top w:val="nil"/>
              <w:left w:val="nil"/>
              <w:bottom w:val="nil"/>
              <w:right w:val="nil"/>
            </w:tcBorders>
          </w:tcPr>
          <w:p w14:paraId="6B37E477" w14:textId="6AD40BAB"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-13.423**</w:t>
            </w:r>
          </w:p>
        </w:tc>
        <w:tc>
          <w:tcPr>
            <w:tcW w:w="1426" w:type="dxa"/>
            <w:tcBorders>
              <w:top w:val="nil"/>
              <w:left w:val="nil"/>
              <w:bottom w:val="nil"/>
            </w:tcBorders>
          </w:tcPr>
          <w:p w14:paraId="5A448FF5" w14:textId="538E9B24"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-0.226</w:t>
            </w:r>
          </w:p>
        </w:tc>
      </w:tr>
      <w:tr w:rsidR="00EE533D" w:rsidRPr="00EE533D" w14:paraId="14019C3D" w14:textId="77777777" w:rsidTr="007467F2">
        <w:trPr>
          <w:trHeight w:val="20"/>
        </w:trPr>
        <w:tc>
          <w:tcPr>
            <w:tcW w:w="2806" w:type="dxa"/>
            <w:tcBorders>
              <w:top w:val="nil"/>
              <w:left w:val="nil"/>
              <w:bottom w:val="nil"/>
              <w:right w:val="nil"/>
            </w:tcBorders>
            <w:shd w:val="clear" w:color="auto" w:fill="auto"/>
            <w:noWrap/>
          </w:tcPr>
          <w:p w14:paraId="0623C513"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54C27B8" w14:textId="11377EDE"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(2.192)</w:t>
            </w:r>
          </w:p>
        </w:tc>
        <w:tc>
          <w:tcPr>
            <w:tcW w:w="1498" w:type="dxa"/>
            <w:tcBorders>
              <w:top w:val="nil"/>
              <w:left w:val="nil"/>
              <w:bottom w:val="nil"/>
              <w:right w:val="nil"/>
            </w:tcBorders>
          </w:tcPr>
          <w:p w14:paraId="759C920F" w14:textId="190AB523"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(5.848)</w:t>
            </w:r>
          </w:p>
        </w:tc>
        <w:tc>
          <w:tcPr>
            <w:tcW w:w="1396" w:type="dxa"/>
            <w:tcBorders>
              <w:top w:val="nil"/>
              <w:left w:val="nil"/>
              <w:bottom w:val="nil"/>
              <w:right w:val="single" w:sz="12" w:space="0" w:color="auto"/>
            </w:tcBorders>
            <w:shd w:val="clear" w:color="auto" w:fill="auto"/>
            <w:noWrap/>
          </w:tcPr>
          <w:p w14:paraId="129C4FF3" w14:textId="4AD3B2D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(0.261)</w:t>
            </w:r>
          </w:p>
        </w:tc>
        <w:tc>
          <w:tcPr>
            <w:tcW w:w="1434" w:type="dxa"/>
            <w:tcBorders>
              <w:top w:val="nil"/>
              <w:left w:val="single" w:sz="12" w:space="0" w:color="auto"/>
              <w:bottom w:val="nil"/>
            </w:tcBorders>
          </w:tcPr>
          <w:p w14:paraId="11B3D28E" w14:textId="3222B73D"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(2.667)</w:t>
            </w:r>
          </w:p>
        </w:tc>
        <w:tc>
          <w:tcPr>
            <w:tcW w:w="1390" w:type="dxa"/>
            <w:tcBorders>
              <w:top w:val="nil"/>
              <w:left w:val="nil"/>
              <w:bottom w:val="nil"/>
              <w:right w:val="nil"/>
            </w:tcBorders>
          </w:tcPr>
          <w:p w14:paraId="3AA14AAF" w14:textId="39D64C4E"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(5.587)</w:t>
            </w:r>
          </w:p>
        </w:tc>
        <w:tc>
          <w:tcPr>
            <w:tcW w:w="1426" w:type="dxa"/>
            <w:tcBorders>
              <w:top w:val="nil"/>
              <w:left w:val="nil"/>
              <w:bottom w:val="nil"/>
            </w:tcBorders>
          </w:tcPr>
          <w:p w14:paraId="58BADEC9" w14:textId="6C474D77"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(0.315)</w:t>
            </w:r>
          </w:p>
        </w:tc>
      </w:tr>
      <w:tr w:rsidR="00EE533D" w:rsidRPr="00EE533D" w14:paraId="7182D03B" w14:textId="77777777" w:rsidTr="007467F2">
        <w:trPr>
          <w:trHeight w:val="20"/>
        </w:trPr>
        <w:tc>
          <w:tcPr>
            <w:tcW w:w="2806" w:type="dxa"/>
            <w:tcBorders>
              <w:top w:val="nil"/>
              <w:left w:val="nil"/>
              <w:bottom w:val="nil"/>
              <w:right w:val="nil"/>
            </w:tcBorders>
            <w:shd w:val="clear" w:color="auto" w:fill="auto"/>
            <w:noWrap/>
          </w:tcPr>
          <w:p w14:paraId="1CD3941F" w14:textId="1090A5CB"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BE6396F" w14:textId="367FD11F"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2.540</w:t>
            </w:r>
          </w:p>
        </w:tc>
        <w:tc>
          <w:tcPr>
            <w:tcW w:w="1498" w:type="dxa"/>
            <w:tcBorders>
              <w:top w:val="nil"/>
              <w:left w:val="nil"/>
              <w:bottom w:val="nil"/>
              <w:right w:val="nil"/>
            </w:tcBorders>
          </w:tcPr>
          <w:p w14:paraId="4A363ECD" w14:textId="608659E4"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3.575</w:t>
            </w:r>
          </w:p>
        </w:tc>
        <w:tc>
          <w:tcPr>
            <w:tcW w:w="1396" w:type="dxa"/>
            <w:tcBorders>
              <w:top w:val="nil"/>
              <w:left w:val="nil"/>
              <w:bottom w:val="nil"/>
              <w:right w:val="single" w:sz="12" w:space="0" w:color="auto"/>
            </w:tcBorders>
            <w:shd w:val="clear" w:color="auto" w:fill="auto"/>
            <w:noWrap/>
          </w:tcPr>
          <w:p w14:paraId="1E141278" w14:textId="1D33728C"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34" w:type="dxa"/>
            <w:tcBorders>
              <w:top w:val="nil"/>
              <w:left w:val="single" w:sz="12" w:space="0" w:color="auto"/>
              <w:bottom w:val="nil"/>
            </w:tcBorders>
          </w:tcPr>
          <w:p w14:paraId="031550D3" w14:textId="1F67FC40"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3.447</w:t>
            </w:r>
          </w:p>
        </w:tc>
        <w:tc>
          <w:tcPr>
            <w:tcW w:w="1390" w:type="dxa"/>
            <w:tcBorders>
              <w:top w:val="nil"/>
              <w:left w:val="nil"/>
              <w:bottom w:val="nil"/>
              <w:right w:val="nil"/>
            </w:tcBorders>
          </w:tcPr>
          <w:p w14:paraId="63CA7036" w14:textId="37D0D6FC"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3.640</w:t>
            </w:r>
          </w:p>
        </w:tc>
        <w:tc>
          <w:tcPr>
            <w:tcW w:w="1426" w:type="dxa"/>
            <w:tcBorders>
              <w:top w:val="nil"/>
              <w:left w:val="nil"/>
              <w:bottom w:val="nil"/>
            </w:tcBorders>
          </w:tcPr>
          <w:p w14:paraId="683FC559" w14:textId="2C43E54F"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0.193</w:t>
            </w:r>
          </w:p>
        </w:tc>
      </w:tr>
      <w:tr w:rsidR="00EE533D" w:rsidRPr="00EE533D" w14:paraId="3C948E9D" w14:textId="77777777" w:rsidTr="007467F2">
        <w:trPr>
          <w:trHeight w:val="20"/>
        </w:trPr>
        <w:tc>
          <w:tcPr>
            <w:tcW w:w="2806" w:type="dxa"/>
            <w:tcBorders>
              <w:top w:val="nil"/>
              <w:left w:val="nil"/>
              <w:bottom w:val="nil"/>
              <w:right w:val="nil"/>
            </w:tcBorders>
            <w:shd w:val="clear" w:color="auto" w:fill="auto"/>
            <w:noWrap/>
          </w:tcPr>
          <w:p w14:paraId="427B4CA9"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F38D886" w14:textId="59BE1BDB"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(2.635)</w:t>
            </w:r>
          </w:p>
        </w:tc>
        <w:tc>
          <w:tcPr>
            <w:tcW w:w="1498" w:type="dxa"/>
            <w:tcBorders>
              <w:top w:val="nil"/>
              <w:left w:val="nil"/>
              <w:bottom w:val="nil"/>
              <w:right w:val="nil"/>
            </w:tcBorders>
          </w:tcPr>
          <w:p w14:paraId="12D73A17" w14:textId="6D3F86D5"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(5.028)</w:t>
            </w:r>
          </w:p>
        </w:tc>
        <w:tc>
          <w:tcPr>
            <w:tcW w:w="1396" w:type="dxa"/>
            <w:tcBorders>
              <w:top w:val="nil"/>
              <w:left w:val="nil"/>
              <w:bottom w:val="nil"/>
              <w:right w:val="single" w:sz="12" w:space="0" w:color="auto"/>
            </w:tcBorders>
            <w:shd w:val="clear" w:color="auto" w:fill="auto"/>
            <w:noWrap/>
          </w:tcPr>
          <w:p w14:paraId="65DC3AAD" w14:textId="39249742"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(0.282)</w:t>
            </w:r>
          </w:p>
        </w:tc>
        <w:tc>
          <w:tcPr>
            <w:tcW w:w="1434" w:type="dxa"/>
            <w:tcBorders>
              <w:top w:val="nil"/>
              <w:left w:val="single" w:sz="12" w:space="0" w:color="auto"/>
              <w:bottom w:val="nil"/>
            </w:tcBorders>
          </w:tcPr>
          <w:p w14:paraId="4CC3F323" w14:textId="574357B4"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(2.614)</w:t>
            </w:r>
          </w:p>
        </w:tc>
        <w:tc>
          <w:tcPr>
            <w:tcW w:w="1390" w:type="dxa"/>
            <w:tcBorders>
              <w:top w:val="nil"/>
              <w:left w:val="nil"/>
              <w:bottom w:val="nil"/>
              <w:right w:val="nil"/>
            </w:tcBorders>
          </w:tcPr>
          <w:p w14:paraId="14535BF6" w14:textId="07E2492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(5.192)</w:t>
            </w:r>
          </w:p>
        </w:tc>
        <w:tc>
          <w:tcPr>
            <w:tcW w:w="1426" w:type="dxa"/>
            <w:tcBorders>
              <w:top w:val="nil"/>
              <w:left w:val="nil"/>
              <w:bottom w:val="nil"/>
            </w:tcBorders>
          </w:tcPr>
          <w:p w14:paraId="5CFBA277" w14:textId="3F43BD39"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(0.392)</w:t>
            </w:r>
          </w:p>
        </w:tc>
      </w:tr>
      <w:tr w:rsidR="00EE533D" w:rsidRPr="00EE533D" w14:paraId="3B3895C9" w14:textId="77777777" w:rsidTr="007467F2">
        <w:trPr>
          <w:trHeight w:val="20"/>
        </w:trPr>
        <w:tc>
          <w:tcPr>
            <w:tcW w:w="2806" w:type="dxa"/>
            <w:tcBorders>
              <w:top w:val="nil"/>
              <w:left w:val="nil"/>
              <w:bottom w:val="nil"/>
              <w:right w:val="nil"/>
            </w:tcBorders>
            <w:shd w:val="clear" w:color="auto" w:fill="auto"/>
            <w:noWrap/>
          </w:tcPr>
          <w:p w14:paraId="2A2FFFA4" w14:textId="1835177E"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E6F11EB" w14:textId="4BCB9ECF"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4.186**</w:t>
            </w:r>
          </w:p>
        </w:tc>
        <w:tc>
          <w:tcPr>
            <w:tcW w:w="1498" w:type="dxa"/>
            <w:tcBorders>
              <w:top w:val="nil"/>
              <w:left w:val="nil"/>
              <w:bottom w:val="nil"/>
              <w:right w:val="nil"/>
            </w:tcBorders>
          </w:tcPr>
          <w:p w14:paraId="560F27F5" w14:textId="5D985140"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2.213</w:t>
            </w:r>
          </w:p>
        </w:tc>
        <w:tc>
          <w:tcPr>
            <w:tcW w:w="1396" w:type="dxa"/>
            <w:tcBorders>
              <w:top w:val="nil"/>
              <w:left w:val="nil"/>
              <w:bottom w:val="nil"/>
              <w:right w:val="single" w:sz="12" w:space="0" w:color="auto"/>
            </w:tcBorders>
            <w:shd w:val="clear" w:color="auto" w:fill="auto"/>
            <w:noWrap/>
          </w:tcPr>
          <w:p w14:paraId="1E7CB5B4" w14:textId="3771ED3A"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0.350**</w:t>
            </w:r>
          </w:p>
        </w:tc>
        <w:tc>
          <w:tcPr>
            <w:tcW w:w="1434" w:type="dxa"/>
            <w:tcBorders>
              <w:top w:val="nil"/>
              <w:left w:val="single" w:sz="12" w:space="0" w:color="auto"/>
              <w:bottom w:val="nil"/>
            </w:tcBorders>
          </w:tcPr>
          <w:p w14:paraId="315369BF" w14:textId="509FC3B8"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4.355**</w:t>
            </w:r>
          </w:p>
        </w:tc>
        <w:tc>
          <w:tcPr>
            <w:tcW w:w="1390" w:type="dxa"/>
            <w:tcBorders>
              <w:top w:val="nil"/>
              <w:left w:val="nil"/>
              <w:bottom w:val="nil"/>
              <w:right w:val="nil"/>
            </w:tcBorders>
          </w:tcPr>
          <w:p w14:paraId="680C966E" w14:textId="390E422D"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2.304</w:t>
            </w:r>
          </w:p>
        </w:tc>
        <w:tc>
          <w:tcPr>
            <w:tcW w:w="1426" w:type="dxa"/>
            <w:tcBorders>
              <w:top w:val="nil"/>
              <w:left w:val="nil"/>
              <w:bottom w:val="nil"/>
            </w:tcBorders>
          </w:tcPr>
          <w:p w14:paraId="45F3F631" w14:textId="66EDF84D"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0.436**</w:t>
            </w:r>
          </w:p>
        </w:tc>
      </w:tr>
      <w:tr w:rsidR="00EE533D" w:rsidRPr="00EE533D" w14:paraId="014E5224" w14:textId="77777777" w:rsidTr="007467F2">
        <w:trPr>
          <w:trHeight w:val="20"/>
        </w:trPr>
        <w:tc>
          <w:tcPr>
            <w:tcW w:w="2806" w:type="dxa"/>
            <w:tcBorders>
              <w:top w:val="nil"/>
              <w:left w:val="nil"/>
              <w:bottom w:val="nil"/>
              <w:right w:val="nil"/>
            </w:tcBorders>
            <w:shd w:val="clear" w:color="auto" w:fill="auto"/>
            <w:noWrap/>
          </w:tcPr>
          <w:p w14:paraId="04D70DA6"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93353AC" w14:textId="28A68FE8"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(1.627)</w:t>
            </w:r>
          </w:p>
        </w:tc>
        <w:tc>
          <w:tcPr>
            <w:tcW w:w="1498" w:type="dxa"/>
            <w:tcBorders>
              <w:top w:val="nil"/>
              <w:left w:val="nil"/>
              <w:bottom w:val="nil"/>
              <w:right w:val="nil"/>
            </w:tcBorders>
          </w:tcPr>
          <w:p w14:paraId="511DDA6E" w14:textId="18EB75D9"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(2.171)</w:t>
            </w:r>
          </w:p>
        </w:tc>
        <w:tc>
          <w:tcPr>
            <w:tcW w:w="1396" w:type="dxa"/>
            <w:tcBorders>
              <w:top w:val="nil"/>
              <w:left w:val="nil"/>
              <w:bottom w:val="nil"/>
              <w:right w:val="single" w:sz="12" w:space="0" w:color="auto"/>
            </w:tcBorders>
            <w:shd w:val="clear" w:color="auto" w:fill="auto"/>
            <w:noWrap/>
          </w:tcPr>
          <w:p w14:paraId="01518BDA" w14:textId="1C14D303"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(0.120)</w:t>
            </w:r>
          </w:p>
        </w:tc>
        <w:tc>
          <w:tcPr>
            <w:tcW w:w="1434" w:type="dxa"/>
            <w:tcBorders>
              <w:top w:val="nil"/>
              <w:left w:val="single" w:sz="12" w:space="0" w:color="auto"/>
              <w:bottom w:val="nil"/>
            </w:tcBorders>
          </w:tcPr>
          <w:p w14:paraId="306ECE2A" w14:textId="1FA5F2D1"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(1.724)</w:t>
            </w:r>
          </w:p>
        </w:tc>
        <w:tc>
          <w:tcPr>
            <w:tcW w:w="1390" w:type="dxa"/>
            <w:tcBorders>
              <w:top w:val="nil"/>
              <w:left w:val="nil"/>
              <w:bottom w:val="nil"/>
              <w:right w:val="nil"/>
            </w:tcBorders>
          </w:tcPr>
          <w:p w14:paraId="25E7DBEE" w14:textId="6F7C40B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(2.222)</w:t>
            </w:r>
          </w:p>
        </w:tc>
        <w:tc>
          <w:tcPr>
            <w:tcW w:w="1426" w:type="dxa"/>
            <w:tcBorders>
              <w:top w:val="nil"/>
              <w:left w:val="nil"/>
              <w:bottom w:val="nil"/>
            </w:tcBorders>
          </w:tcPr>
          <w:p w14:paraId="4AED010E" w14:textId="53B65F1A"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(0.149)</w:t>
            </w:r>
          </w:p>
        </w:tc>
      </w:tr>
      <w:tr w:rsidR="00EE533D" w:rsidRPr="00EE533D" w14:paraId="2F539837" w14:textId="77777777" w:rsidTr="007467F2">
        <w:trPr>
          <w:trHeight w:val="20"/>
        </w:trPr>
        <w:tc>
          <w:tcPr>
            <w:tcW w:w="2806" w:type="dxa"/>
            <w:tcBorders>
              <w:top w:val="nil"/>
              <w:left w:val="nil"/>
              <w:bottom w:val="nil"/>
              <w:right w:val="nil"/>
            </w:tcBorders>
            <w:shd w:val="clear" w:color="auto" w:fill="auto"/>
            <w:noWrap/>
          </w:tcPr>
          <w:p w14:paraId="34B1D4FE" w14:textId="47D2FFD6"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544EAAB" w14:textId="65EFD103"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0.550</w:t>
            </w:r>
          </w:p>
        </w:tc>
        <w:tc>
          <w:tcPr>
            <w:tcW w:w="1498" w:type="dxa"/>
            <w:tcBorders>
              <w:top w:val="nil"/>
              <w:left w:val="nil"/>
              <w:bottom w:val="nil"/>
              <w:right w:val="nil"/>
            </w:tcBorders>
          </w:tcPr>
          <w:p w14:paraId="5FEB71A8" w14:textId="3C323F66"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-1.171</w:t>
            </w:r>
          </w:p>
        </w:tc>
        <w:tc>
          <w:tcPr>
            <w:tcW w:w="1396" w:type="dxa"/>
            <w:tcBorders>
              <w:top w:val="nil"/>
              <w:left w:val="nil"/>
              <w:bottom w:val="nil"/>
              <w:right w:val="single" w:sz="12" w:space="0" w:color="auto"/>
            </w:tcBorders>
            <w:shd w:val="clear" w:color="auto" w:fill="auto"/>
            <w:noWrap/>
          </w:tcPr>
          <w:p w14:paraId="66741FD2" w14:textId="6EB707B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-0.368</w:t>
            </w:r>
          </w:p>
        </w:tc>
        <w:tc>
          <w:tcPr>
            <w:tcW w:w="1434" w:type="dxa"/>
            <w:tcBorders>
              <w:top w:val="nil"/>
              <w:left w:val="single" w:sz="12" w:space="0" w:color="auto"/>
              <w:bottom w:val="nil"/>
            </w:tcBorders>
          </w:tcPr>
          <w:p w14:paraId="0FF59F19" w14:textId="2C1CD938"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0.127</w:t>
            </w:r>
          </w:p>
        </w:tc>
        <w:tc>
          <w:tcPr>
            <w:tcW w:w="1390" w:type="dxa"/>
            <w:tcBorders>
              <w:top w:val="nil"/>
              <w:left w:val="nil"/>
              <w:bottom w:val="nil"/>
              <w:right w:val="nil"/>
            </w:tcBorders>
          </w:tcPr>
          <w:p w14:paraId="5CE53375" w14:textId="6C14C3B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-1.514</w:t>
            </w:r>
          </w:p>
        </w:tc>
        <w:tc>
          <w:tcPr>
            <w:tcW w:w="1426" w:type="dxa"/>
            <w:tcBorders>
              <w:top w:val="nil"/>
              <w:left w:val="nil"/>
              <w:bottom w:val="nil"/>
            </w:tcBorders>
          </w:tcPr>
          <w:p w14:paraId="5FF4043E" w14:textId="7B23F195"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-0.476</w:t>
            </w:r>
          </w:p>
        </w:tc>
      </w:tr>
      <w:tr w:rsidR="00EE533D" w:rsidRPr="00EE533D" w14:paraId="48139385" w14:textId="77777777" w:rsidTr="007467F2">
        <w:trPr>
          <w:trHeight w:val="71"/>
        </w:trPr>
        <w:tc>
          <w:tcPr>
            <w:tcW w:w="2806" w:type="dxa"/>
            <w:tcBorders>
              <w:top w:val="nil"/>
              <w:left w:val="nil"/>
              <w:bottom w:val="nil"/>
              <w:right w:val="nil"/>
            </w:tcBorders>
            <w:shd w:val="clear" w:color="auto" w:fill="auto"/>
            <w:noWrap/>
          </w:tcPr>
          <w:p w14:paraId="350339B7"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7CA031C" w14:textId="7EAEF0C2"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(3.927)</w:t>
            </w:r>
          </w:p>
        </w:tc>
        <w:tc>
          <w:tcPr>
            <w:tcW w:w="1498" w:type="dxa"/>
            <w:tcBorders>
              <w:top w:val="nil"/>
              <w:left w:val="nil"/>
              <w:bottom w:val="nil"/>
              <w:right w:val="nil"/>
            </w:tcBorders>
          </w:tcPr>
          <w:p w14:paraId="7BE63D02" w14:textId="18572C34"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(3.328)</w:t>
            </w:r>
          </w:p>
        </w:tc>
        <w:tc>
          <w:tcPr>
            <w:tcW w:w="1396" w:type="dxa"/>
            <w:tcBorders>
              <w:top w:val="nil"/>
              <w:left w:val="nil"/>
              <w:bottom w:val="nil"/>
              <w:right w:val="single" w:sz="12" w:space="0" w:color="auto"/>
            </w:tcBorders>
            <w:shd w:val="clear" w:color="auto" w:fill="auto"/>
            <w:noWrap/>
          </w:tcPr>
          <w:p w14:paraId="4ABF6EE3" w14:textId="634785C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(0.429)</w:t>
            </w:r>
          </w:p>
        </w:tc>
        <w:tc>
          <w:tcPr>
            <w:tcW w:w="1434" w:type="dxa"/>
            <w:tcBorders>
              <w:top w:val="nil"/>
              <w:left w:val="single" w:sz="12" w:space="0" w:color="auto"/>
              <w:bottom w:val="nil"/>
            </w:tcBorders>
          </w:tcPr>
          <w:p w14:paraId="2D0DC95E" w14:textId="3AA9615A"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(3.684)</w:t>
            </w:r>
          </w:p>
        </w:tc>
        <w:tc>
          <w:tcPr>
            <w:tcW w:w="1390" w:type="dxa"/>
            <w:tcBorders>
              <w:top w:val="nil"/>
              <w:left w:val="nil"/>
              <w:bottom w:val="nil"/>
              <w:right w:val="nil"/>
            </w:tcBorders>
          </w:tcPr>
          <w:p w14:paraId="04F2D8E5" w14:textId="584FD216"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(3.217)</w:t>
            </w:r>
          </w:p>
        </w:tc>
        <w:tc>
          <w:tcPr>
            <w:tcW w:w="1426" w:type="dxa"/>
            <w:tcBorders>
              <w:top w:val="nil"/>
              <w:left w:val="nil"/>
              <w:bottom w:val="nil"/>
            </w:tcBorders>
          </w:tcPr>
          <w:p w14:paraId="73777014" w14:textId="489CEBC8"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(0.439)</w:t>
            </w:r>
          </w:p>
        </w:tc>
      </w:tr>
      <w:tr w:rsidR="00EE533D" w:rsidRPr="00EE533D" w14:paraId="7DF5E625" w14:textId="77777777" w:rsidTr="007467F2">
        <w:trPr>
          <w:trHeight w:val="71"/>
        </w:trPr>
        <w:tc>
          <w:tcPr>
            <w:tcW w:w="2806" w:type="dxa"/>
            <w:tcBorders>
              <w:top w:val="nil"/>
              <w:left w:val="nil"/>
              <w:bottom w:val="nil"/>
              <w:right w:val="nil"/>
            </w:tcBorders>
            <w:shd w:val="clear" w:color="auto" w:fill="auto"/>
            <w:noWrap/>
          </w:tcPr>
          <w:p w14:paraId="320F30A8" w14:textId="04AD7E07"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BCA609F" w14:textId="49E3262A"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0.115</w:t>
            </w:r>
          </w:p>
        </w:tc>
        <w:tc>
          <w:tcPr>
            <w:tcW w:w="1498" w:type="dxa"/>
            <w:tcBorders>
              <w:top w:val="nil"/>
              <w:left w:val="nil"/>
              <w:bottom w:val="nil"/>
              <w:right w:val="nil"/>
            </w:tcBorders>
          </w:tcPr>
          <w:p w14:paraId="6DE96117" w14:textId="2A3BE610"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-7.570*</w:t>
            </w:r>
          </w:p>
        </w:tc>
        <w:tc>
          <w:tcPr>
            <w:tcW w:w="1396" w:type="dxa"/>
            <w:tcBorders>
              <w:top w:val="nil"/>
              <w:left w:val="nil"/>
              <w:bottom w:val="nil"/>
              <w:right w:val="single" w:sz="12" w:space="0" w:color="auto"/>
            </w:tcBorders>
            <w:shd w:val="clear" w:color="auto" w:fill="auto"/>
            <w:noWrap/>
          </w:tcPr>
          <w:p w14:paraId="2D3EAB70" w14:textId="56F5AE4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0.831**</w:t>
            </w:r>
          </w:p>
        </w:tc>
        <w:tc>
          <w:tcPr>
            <w:tcW w:w="1434" w:type="dxa"/>
            <w:tcBorders>
              <w:top w:val="nil"/>
              <w:left w:val="single" w:sz="12" w:space="0" w:color="auto"/>
              <w:bottom w:val="nil"/>
            </w:tcBorders>
          </w:tcPr>
          <w:p w14:paraId="5843B9BC" w14:textId="091A2975"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-0.499</w:t>
            </w:r>
          </w:p>
        </w:tc>
        <w:tc>
          <w:tcPr>
            <w:tcW w:w="1390" w:type="dxa"/>
            <w:tcBorders>
              <w:top w:val="nil"/>
              <w:left w:val="nil"/>
              <w:bottom w:val="nil"/>
              <w:right w:val="nil"/>
            </w:tcBorders>
          </w:tcPr>
          <w:p w14:paraId="3939372A" w14:textId="7C77891B"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-6.578*</w:t>
            </w:r>
          </w:p>
        </w:tc>
        <w:tc>
          <w:tcPr>
            <w:tcW w:w="1426" w:type="dxa"/>
            <w:tcBorders>
              <w:top w:val="nil"/>
              <w:left w:val="nil"/>
              <w:bottom w:val="nil"/>
            </w:tcBorders>
          </w:tcPr>
          <w:p w14:paraId="6306263D" w14:textId="27D85F7E"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0.895*</w:t>
            </w:r>
          </w:p>
        </w:tc>
      </w:tr>
      <w:tr w:rsidR="00EE533D" w:rsidRPr="00EE533D" w14:paraId="2AC6684D" w14:textId="77777777" w:rsidTr="007467F2">
        <w:trPr>
          <w:trHeight w:val="71"/>
        </w:trPr>
        <w:tc>
          <w:tcPr>
            <w:tcW w:w="2806" w:type="dxa"/>
            <w:tcBorders>
              <w:top w:val="nil"/>
              <w:left w:val="nil"/>
              <w:bottom w:val="nil"/>
              <w:right w:val="nil"/>
            </w:tcBorders>
            <w:shd w:val="clear" w:color="auto" w:fill="auto"/>
            <w:noWrap/>
          </w:tcPr>
          <w:p w14:paraId="5D8B2089"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D6C14CA" w14:textId="2A2AE787"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(2.702)</w:t>
            </w:r>
          </w:p>
        </w:tc>
        <w:tc>
          <w:tcPr>
            <w:tcW w:w="1498" w:type="dxa"/>
            <w:tcBorders>
              <w:top w:val="nil"/>
              <w:left w:val="nil"/>
              <w:bottom w:val="nil"/>
              <w:right w:val="nil"/>
            </w:tcBorders>
          </w:tcPr>
          <w:p w14:paraId="76666E3C" w14:textId="4B00FFCF"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(3.626)</w:t>
            </w:r>
          </w:p>
        </w:tc>
        <w:tc>
          <w:tcPr>
            <w:tcW w:w="1396" w:type="dxa"/>
            <w:tcBorders>
              <w:top w:val="nil"/>
              <w:left w:val="nil"/>
              <w:bottom w:val="nil"/>
              <w:right w:val="single" w:sz="12" w:space="0" w:color="auto"/>
            </w:tcBorders>
            <w:shd w:val="clear" w:color="auto" w:fill="auto"/>
            <w:noWrap/>
          </w:tcPr>
          <w:p w14:paraId="529FE05E" w14:textId="006272E8"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(0.356)</w:t>
            </w:r>
          </w:p>
        </w:tc>
        <w:tc>
          <w:tcPr>
            <w:tcW w:w="1434" w:type="dxa"/>
            <w:tcBorders>
              <w:top w:val="nil"/>
              <w:left w:val="single" w:sz="12" w:space="0" w:color="auto"/>
              <w:bottom w:val="nil"/>
            </w:tcBorders>
          </w:tcPr>
          <w:p w14:paraId="5A6F57A1" w14:textId="11539727"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(3.111)</w:t>
            </w:r>
          </w:p>
        </w:tc>
        <w:tc>
          <w:tcPr>
            <w:tcW w:w="1390" w:type="dxa"/>
            <w:tcBorders>
              <w:top w:val="nil"/>
              <w:left w:val="nil"/>
              <w:bottom w:val="nil"/>
              <w:right w:val="nil"/>
            </w:tcBorders>
          </w:tcPr>
          <w:p w14:paraId="7C81A163" w14:textId="2D4CE658"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(3.288)</w:t>
            </w:r>
          </w:p>
        </w:tc>
        <w:tc>
          <w:tcPr>
            <w:tcW w:w="1426" w:type="dxa"/>
            <w:tcBorders>
              <w:top w:val="nil"/>
              <w:left w:val="nil"/>
              <w:bottom w:val="nil"/>
            </w:tcBorders>
          </w:tcPr>
          <w:p w14:paraId="1419545E" w14:textId="420BD309"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(0.415)</w:t>
            </w:r>
          </w:p>
        </w:tc>
      </w:tr>
      <w:tr w:rsidR="00EE533D" w:rsidRPr="00EE533D" w14:paraId="64102613" w14:textId="77777777" w:rsidTr="007467F2">
        <w:trPr>
          <w:trHeight w:val="71"/>
        </w:trPr>
        <w:tc>
          <w:tcPr>
            <w:tcW w:w="2806" w:type="dxa"/>
            <w:tcBorders>
              <w:top w:val="nil"/>
              <w:left w:val="nil"/>
              <w:bottom w:val="nil"/>
              <w:right w:val="nil"/>
            </w:tcBorders>
            <w:shd w:val="clear" w:color="auto" w:fill="auto"/>
            <w:noWrap/>
          </w:tcPr>
          <w:p w14:paraId="189C16C2" w14:textId="0EC87863"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721E093" w14:textId="5BDEE56D"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5.238</w:t>
            </w:r>
          </w:p>
        </w:tc>
        <w:tc>
          <w:tcPr>
            <w:tcW w:w="1498" w:type="dxa"/>
            <w:tcBorders>
              <w:top w:val="nil"/>
              <w:left w:val="nil"/>
              <w:bottom w:val="nil"/>
              <w:right w:val="nil"/>
            </w:tcBorders>
          </w:tcPr>
          <w:p w14:paraId="29B147E9" w14:textId="11147AD1"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-2.683</w:t>
            </w:r>
          </w:p>
        </w:tc>
        <w:tc>
          <w:tcPr>
            <w:tcW w:w="1396" w:type="dxa"/>
            <w:tcBorders>
              <w:top w:val="nil"/>
              <w:left w:val="nil"/>
              <w:bottom w:val="nil"/>
              <w:right w:val="single" w:sz="12" w:space="0" w:color="auto"/>
            </w:tcBorders>
            <w:shd w:val="clear" w:color="auto" w:fill="auto"/>
            <w:noWrap/>
          </w:tcPr>
          <w:p w14:paraId="11208DB0" w14:textId="59B85B39"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-0.279</w:t>
            </w:r>
          </w:p>
        </w:tc>
        <w:tc>
          <w:tcPr>
            <w:tcW w:w="1434" w:type="dxa"/>
            <w:tcBorders>
              <w:top w:val="nil"/>
              <w:left w:val="single" w:sz="12" w:space="0" w:color="auto"/>
              <w:bottom w:val="nil"/>
            </w:tcBorders>
          </w:tcPr>
          <w:p w14:paraId="28E85CD3" w14:textId="0D9BF8B1"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5.119</w:t>
            </w:r>
          </w:p>
        </w:tc>
        <w:tc>
          <w:tcPr>
            <w:tcW w:w="1390" w:type="dxa"/>
            <w:tcBorders>
              <w:top w:val="nil"/>
              <w:left w:val="nil"/>
              <w:bottom w:val="nil"/>
              <w:right w:val="nil"/>
            </w:tcBorders>
          </w:tcPr>
          <w:p w14:paraId="753DD3DB" w14:textId="2A7379B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-3.266</w:t>
            </w:r>
          </w:p>
        </w:tc>
        <w:tc>
          <w:tcPr>
            <w:tcW w:w="1426" w:type="dxa"/>
            <w:tcBorders>
              <w:top w:val="nil"/>
              <w:left w:val="nil"/>
              <w:bottom w:val="nil"/>
            </w:tcBorders>
          </w:tcPr>
          <w:p w14:paraId="5FF56427" w14:textId="24DFB0FD"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-0.355</w:t>
            </w:r>
          </w:p>
        </w:tc>
      </w:tr>
      <w:tr w:rsidR="00EE533D" w:rsidRPr="00EE533D" w14:paraId="71326D26" w14:textId="77777777" w:rsidTr="007467F2">
        <w:trPr>
          <w:trHeight w:val="71"/>
        </w:trPr>
        <w:tc>
          <w:tcPr>
            <w:tcW w:w="2806" w:type="dxa"/>
            <w:tcBorders>
              <w:top w:val="nil"/>
              <w:left w:val="nil"/>
              <w:bottom w:val="nil"/>
              <w:right w:val="nil"/>
            </w:tcBorders>
            <w:shd w:val="clear" w:color="auto" w:fill="auto"/>
            <w:noWrap/>
          </w:tcPr>
          <w:p w14:paraId="5A91950C"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E0FC7A6" w14:textId="1090757F"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(5.007)</w:t>
            </w:r>
          </w:p>
        </w:tc>
        <w:tc>
          <w:tcPr>
            <w:tcW w:w="1498" w:type="dxa"/>
            <w:tcBorders>
              <w:top w:val="nil"/>
              <w:left w:val="nil"/>
              <w:bottom w:val="nil"/>
              <w:right w:val="nil"/>
            </w:tcBorders>
          </w:tcPr>
          <w:p w14:paraId="5E6B006C" w14:textId="10F8502C"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(4.311)</w:t>
            </w:r>
          </w:p>
        </w:tc>
        <w:tc>
          <w:tcPr>
            <w:tcW w:w="1396" w:type="dxa"/>
            <w:tcBorders>
              <w:top w:val="nil"/>
              <w:left w:val="nil"/>
              <w:bottom w:val="nil"/>
              <w:right w:val="single" w:sz="12" w:space="0" w:color="auto"/>
            </w:tcBorders>
            <w:shd w:val="clear" w:color="auto" w:fill="auto"/>
            <w:noWrap/>
          </w:tcPr>
          <w:p w14:paraId="49FC1643" w14:textId="212862F5"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(0.254)</w:t>
            </w:r>
          </w:p>
        </w:tc>
        <w:tc>
          <w:tcPr>
            <w:tcW w:w="1434" w:type="dxa"/>
            <w:tcBorders>
              <w:top w:val="nil"/>
              <w:left w:val="single" w:sz="12" w:space="0" w:color="auto"/>
              <w:bottom w:val="nil"/>
            </w:tcBorders>
          </w:tcPr>
          <w:p w14:paraId="66EED8D0" w14:textId="68FED964"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(4.222)</w:t>
            </w:r>
          </w:p>
        </w:tc>
        <w:tc>
          <w:tcPr>
            <w:tcW w:w="1390" w:type="dxa"/>
            <w:tcBorders>
              <w:top w:val="nil"/>
              <w:left w:val="nil"/>
              <w:bottom w:val="nil"/>
              <w:right w:val="nil"/>
            </w:tcBorders>
          </w:tcPr>
          <w:p w14:paraId="7400808C" w14:textId="18D8E1E4"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(4.482)</w:t>
            </w:r>
          </w:p>
        </w:tc>
        <w:tc>
          <w:tcPr>
            <w:tcW w:w="1426" w:type="dxa"/>
            <w:tcBorders>
              <w:top w:val="nil"/>
              <w:left w:val="nil"/>
              <w:bottom w:val="nil"/>
            </w:tcBorders>
          </w:tcPr>
          <w:p w14:paraId="525064A8" w14:textId="724D306A"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(0.223)</w:t>
            </w:r>
          </w:p>
        </w:tc>
      </w:tr>
      <w:tr w:rsidR="00EE533D" w:rsidRPr="00EE533D" w14:paraId="629D99A6" w14:textId="77777777" w:rsidTr="007467F2">
        <w:trPr>
          <w:trHeight w:val="71"/>
        </w:trPr>
        <w:tc>
          <w:tcPr>
            <w:tcW w:w="2806" w:type="dxa"/>
            <w:tcBorders>
              <w:top w:val="nil"/>
              <w:left w:val="nil"/>
              <w:bottom w:val="nil"/>
              <w:right w:val="nil"/>
            </w:tcBorders>
            <w:shd w:val="clear" w:color="auto" w:fill="auto"/>
            <w:noWrap/>
          </w:tcPr>
          <w:p w14:paraId="36924F21" w14:textId="22A9BCCC"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5F27670" w14:textId="4895D797"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98" w:type="dxa"/>
            <w:tcBorders>
              <w:top w:val="nil"/>
              <w:left w:val="nil"/>
              <w:bottom w:val="nil"/>
              <w:right w:val="nil"/>
            </w:tcBorders>
          </w:tcPr>
          <w:p w14:paraId="61B66B2C" w14:textId="3FA794EF"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396" w:type="dxa"/>
            <w:tcBorders>
              <w:top w:val="nil"/>
              <w:left w:val="nil"/>
              <w:bottom w:val="nil"/>
              <w:right w:val="single" w:sz="12" w:space="0" w:color="auto"/>
            </w:tcBorders>
            <w:shd w:val="clear" w:color="auto" w:fill="auto"/>
            <w:noWrap/>
          </w:tcPr>
          <w:p w14:paraId="2E3A5193" w14:textId="537CE637"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0E583F09" w14:textId="48C4274C"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390" w:type="dxa"/>
            <w:tcBorders>
              <w:top w:val="nil"/>
              <w:left w:val="nil"/>
              <w:bottom w:val="nil"/>
              <w:right w:val="nil"/>
            </w:tcBorders>
          </w:tcPr>
          <w:p w14:paraId="6A76EC72" w14:textId="15F34A88"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26" w:type="dxa"/>
            <w:tcBorders>
              <w:top w:val="nil"/>
              <w:left w:val="nil"/>
              <w:bottom w:val="nil"/>
            </w:tcBorders>
          </w:tcPr>
          <w:p w14:paraId="6F59C9BF" w14:textId="71AF0CCB"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4F0799E6" w14:textId="77777777" w:rsidTr="007467F2">
        <w:trPr>
          <w:trHeight w:val="71"/>
        </w:trPr>
        <w:tc>
          <w:tcPr>
            <w:tcW w:w="2806" w:type="dxa"/>
            <w:tcBorders>
              <w:top w:val="nil"/>
              <w:left w:val="nil"/>
              <w:bottom w:val="nil"/>
              <w:right w:val="nil"/>
            </w:tcBorders>
            <w:shd w:val="clear" w:color="auto" w:fill="auto"/>
            <w:noWrap/>
          </w:tcPr>
          <w:p w14:paraId="531C597C"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1A1BE45" w14:textId="6FE79D6A"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98" w:type="dxa"/>
            <w:tcBorders>
              <w:top w:val="nil"/>
              <w:left w:val="nil"/>
              <w:bottom w:val="nil"/>
              <w:right w:val="nil"/>
            </w:tcBorders>
          </w:tcPr>
          <w:p w14:paraId="350D16D6" w14:textId="3D2374CC"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396" w:type="dxa"/>
            <w:tcBorders>
              <w:top w:val="nil"/>
              <w:left w:val="nil"/>
              <w:bottom w:val="nil"/>
              <w:right w:val="single" w:sz="12" w:space="0" w:color="auto"/>
            </w:tcBorders>
            <w:shd w:val="clear" w:color="auto" w:fill="auto"/>
            <w:noWrap/>
          </w:tcPr>
          <w:p w14:paraId="5231EB4E" w14:textId="222B734B"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601CF353" w14:textId="5BD281B8"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390" w:type="dxa"/>
            <w:tcBorders>
              <w:top w:val="nil"/>
              <w:left w:val="nil"/>
              <w:bottom w:val="nil"/>
              <w:right w:val="nil"/>
            </w:tcBorders>
          </w:tcPr>
          <w:p w14:paraId="51AFB388" w14:textId="3AAD216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426" w:type="dxa"/>
            <w:tcBorders>
              <w:top w:val="nil"/>
              <w:left w:val="nil"/>
              <w:bottom w:val="nil"/>
            </w:tcBorders>
          </w:tcPr>
          <w:p w14:paraId="5C875653" w14:textId="7F276B55"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r>
      <w:tr w:rsidR="00EE533D" w:rsidRPr="00EE533D" w14:paraId="448E24EC" w14:textId="77777777" w:rsidTr="007467F2">
        <w:trPr>
          <w:trHeight w:val="71"/>
        </w:trPr>
        <w:tc>
          <w:tcPr>
            <w:tcW w:w="2806" w:type="dxa"/>
            <w:tcBorders>
              <w:top w:val="nil"/>
              <w:left w:val="nil"/>
              <w:bottom w:val="nil"/>
              <w:right w:val="nil"/>
            </w:tcBorders>
            <w:shd w:val="clear" w:color="auto" w:fill="auto"/>
            <w:noWrap/>
          </w:tcPr>
          <w:p w14:paraId="71A7EE09" w14:textId="64BC9E9F" w:rsidR="00A725F3" w:rsidRPr="00EE533D" w:rsidRDefault="00A725F3" w:rsidP="00A725F3">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263B52C" w14:textId="367EDA5F"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98" w:type="dxa"/>
            <w:tcBorders>
              <w:top w:val="nil"/>
              <w:left w:val="nil"/>
              <w:bottom w:val="nil"/>
              <w:right w:val="nil"/>
            </w:tcBorders>
          </w:tcPr>
          <w:p w14:paraId="562A3405" w14:textId="0C791C22"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396" w:type="dxa"/>
            <w:tcBorders>
              <w:top w:val="nil"/>
              <w:left w:val="nil"/>
              <w:bottom w:val="nil"/>
              <w:right w:val="single" w:sz="12" w:space="0" w:color="auto"/>
            </w:tcBorders>
            <w:shd w:val="clear" w:color="auto" w:fill="auto"/>
            <w:noWrap/>
          </w:tcPr>
          <w:p w14:paraId="2C1A9842" w14:textId="2F937A27"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134FD9CC" w14:textId="0AD9BE69"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390" w:type="dxa"/>
            <w:tcBorders>
              <w:top w:val="nil"/>
              <w:left w:val="nil"/>
              <w:bottom w:val="nil"/>
              <w:right w:val="nil"/>
            </w:tcBorders>
          </w:tcPr>
          <w:p w14:paraId="796314F6" w14:textId="361DBBB3"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426" w:type="dxa"/>
            <w:tcBorders>
              <w:top w:val="nil"/>
              <w:left w:val="nil"/>
              <w:bottom w:val="nil"/>
            </w:tcBorders>
          </w:tcPr>
          <w:p w14:paraId="692827DC" w14:textId="51F0C089"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5B33C489" w14:textId="77777777" w:rsidTr="007467F2">
        <w:trPr>
          <w:trHeight w:val="71"/>
        </w:trPr>
        <w:tc>
          <w:tcPr>
            <w:tcW w:w="2806" w:type="dxa"/>
            <w:tcBorders>
              <w:top w:val="nil"/>
              <w:left w:val="nil"/>
              <w:bottom w:val="nil"/>
              <w:right w:val="nil"/>
            </w:tcBorders>
            <w:shd w:val="clear" w:color="auto" w:fill="auto"/>
            <w:noWrap/>
          </w:tcPr>
          <w:p w14:paraId="1C2B5132" w14:textId="77777777" w:rsidR="00A725F3" w:rsidRPr="00EE533D" w:rsidRDefault="00A725F3" w:rsidP="00A725F3">
            <w:pPr>
              <w:spacing w:after="0"/>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4D6AE60" w14:textId="75E4B7A4"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498" w:type="dxa"/>
            <w:tcBorders>
              <w:top w:val="nil"/>
              <w:left w:val="nil"/>
              <w:bottom w:val="nil"/>
              <w:right w:val="nil"/>
            </w:tcBorders>
          </w:tcPr>
          <w:p w14:paraId="7AEC7017" w14:textId="7FE4A550"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396" w:type="dxa"/>
            <w:tcBorders>
              <w:top w:val="nil"/>
              <w:left w:val="nil"/>
              <w:bottom w:val="nil"/>
              <w:right w:val="single" w:sz="12" w:space="0" w:color="auto"/>
            </w:tcBorders>
            <w:shd w:val="clear" w:color="auto" w:fill="auto"/>
            <w:noWrap/>
          </w:tcPr>
          <w:p w14:paraId="5B950CAD" w14:textId="7D8247B0"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left w:val="single" w:sz="12" w:space="0" w:color="auto"/>
              <w:bottom w:val="nil"/>
            </w:tcBorders>
          </w:tcPr>
          <w:p w14:paraId="00143F77" w14:textId="3E854E70"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390" w:type="dxa"/>
            <w:tcBorders>
              <w:top w:val="nil"/>
              <w:left w:val="nil"/>
              <w:bottom w:val="nil"/>
              <w:right w:val="nil"/>
            </w:tcBorders>
          </w:tcPr>
          <w:p w14:paraId="23D359F3" w14:textId="0F8CF512"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(0.046)</w:t>
            </w:r>
          </w:p>
        </w:tc>
        <w:tc>
          <w:tcPr>
            <w:tcW w:w="1426" w:type="dxa"/>
            <w:tcBorders>
              <w:top w:val="nil"/>
              <w:left w:val="nil"/>
              <w:bottom w:val="nil"/>
            </w:tcBorders>
          </w:tcPr>
          <w:p w14:paraId="7E2E8F13" w14:textId="4A4876C5"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25AACAA3" w14:textId="77777777" w:rsidTr="007467F2">
        <w:trPr>
          <w:trHeight w:val="71"/>
        </w:trPr>
        <w:tc>
          <w:tcPr>
            <w:tcW w:w="2806" w:type="dxa"/>
            <w:tcBorders>
              <w:top w:val="nil"/>
              <w:left w:val="nil"/>
              <w:bottom w:val="nil"/>
              <w:right w:val="nil"/>
            </w:tcBorders>
            <w:shd w:val="clear" w:color="auto" w:fill="auto"/>
            <w:noWrap/>
          </w:tcPr>
          <w:p w14:paraId="6C07A6B1" w14:textId="331E22AA"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C92B5DB" w14:textId="041578A1"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0.640</w:t>
            </w:r>
          </w:p>
        </w:tc>
        <w:tc>
          <w:tcPr>
            <w:tcW w:w="1498" w:type="dxa"/>
            <w:tcBorders>
              <w:top w:val="nil"/>
              <w:left w:val="nil"/>
              <w:bottom w:val="nil"/>
              <w:right w:val="nil"/>
            </w:tcBorders>
          </w:tcPr>
          <w:p w14:paraId="23577F95" w14:textId="03FBE40E"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-0.977</w:t>
            </w:r>
          </w:p>
        </w:tc>
        <w:tc>
          <w:tcPr>
            <w:tcW w:w="1396" w:type="dxa"/>
            <w:tcBorders>
              <w:top w:val="nil"/>
              <w:left w:val="nil"/>
              <w:bottom w:val="nil"/>
              <w:right w:val="single" w:sz="12" w:space="0" w:color="auto"/>
            </w:tcBorders>
            <w:shd w:val="clear" w:color="auto" w:fill="auto"/>
            <w:noWrap/>
          </w:tcPr>
          <w:p w14:paraId="6EC635B1" w14:textId="55D066E3"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-0.122</w:t>
            </w:r>
          </w:p>
        </w:tc>
        <w:tc>
          <w:tcPr>
            <w:tcW w:w="1434" w:type="dxa"/>
            <w:tcBorders>
              <w:top w:val="nil"/>
              <w:left w:val="single" w:sz="12" w:space="0" w:color="auto"/>
              <w:bottom w:val="nil"/>
            </w:tcBorders>
          </w:tcPr>
          <w:p w14:paraId="4506BAD7" w14:textId="22A2CDAB"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0.325</w:t>
            </w:r>
          </w:p>
        </w:tc>
        <w:tc>
          <w:tcPr>
            <w:tcW w:w="1390" w:type="dxa"/>
            <w:tcBorders>
              <w:top w:val="nil"/>
              <w:left w:val="nil"/>
              <w:bottom w:val="nil"/>
              <w:right w:val="nil"/>
            </w:tcBorders>
          </w:tcPr>
          <w:p w14:paraId="2E3AA78B" w14:textId="7F14F52C"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-1.069</w:t>
            </w:r>
          </w:p>
        </w:tc>
        <w:tc>
          <w:tcPr>
            <w:tcW w:w="1426" w:type="dxa"/>
            <w:tcBorders>
              <w:top w:val="nil"/>
              <w:left w:val="nil"/>
              <w:bottom w:val="nil"/>
            </w:tcBorders>
          </w:tcPr>
          <w:p w14:paraId="1B3A4661" w14:textId="64BE7C1E"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-0.092</w:t>
            </w:r>
          </w:p>
        </w:tc>
      </w:tr>
      <w:tr w:rsidR="00EE533D" w:rsidRPr="00EE533D" w14:paraId="2B9FEF64" w14:textId="77777777" w:rsidTr="007467F2">
        <w:trPr>
          <w:trHeight w:val="71"/>
        </w:trPr>
        <w:tc>
          <w:tcPr>
            <w:tcW w:w="2806" w:type="dxa"/>
            <w:tcBorders>
              <w:top w:val="nil"/>
              <w:left w:val="nil"/>
              <w:bottom w:val="nil"/>
              <w:right w:val="nil"/>
            </w:tcBorders>
            <w:shd w:val="clear" w:color="auto" w:fill="auto"/>
            <w:noWrap/>
          </w:tcPr>
          <w:p w14:paraId="242C8910"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B92E6FB" w14:textId="4A458CDD"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(1.260)</w:t>
            </w:r>
          </w:p>
        </w:tc>
        <w:tc>
          <w:tcPr>
            <w:tcW w:w="1498" w:type="dxa"/>
            <w:tcBorders>
              <w:top w:val="nil"/>
              <w:left w:val="nil"/>
              <w:bottom w:val="nil"/>
              <w:right w:val="nil"/>
            </w:tcBorders>
          </w:tcPr>
          <w:p w14:paraId="2DB3FF8E" w14:textId="6B82D62C"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(1.393)</w:t>
            </w:r>
          </w:p>
        </w:tc>
        <w:tc>
          <w:tcPr>
            <w:tcW w:w="1396" w:type="dxa"/>
            <w:tcBorders>
              <w:top w:val="nil"/>
              <w:left w:val="nil"/>
              <w:bottom w:val="nil"/>
              <w:right w:val="single" w:sz="12" w:space="0" w:color="auto"/>
            </w:tcBorders>
            <w:shd w:val="clear" w:color="auto" w:fill="auto"/>
            <w:noWrap/>
          </w:tcPr>
          <w:p w14:paraId="6D5FB24A" w14:textId="040A51BE"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(0.136)</w:t>
            </w:r>
          </w:p>
        </w:tc>
        <w:tc>
          <w:tcPr>
            <w:tcW w:w="1434" w:type="dxa"/>
            <w:tcBorders>
              <w:top w:val="nil"/>
              <w:left w:val="single" w:sz="12" w:space="0" w:color="auto"/>
              <w:bottom w:val="nil"/>
            </w:tcBorders>
          </w:tcPr>
          <w:p w14:paraId="0B47BA92" w14:textId="44760340"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(1.265)</w:t>
            </w:r>
          </w:p>
        </w:tc>
        <w:tc>
          <w:tcPr>
            <w:tcW w:w="1390" w:type="dxa"/>
            <w:tcBorders>
              <w:top w:val="nil"/>
              <w:left w:val="nil"/>
              <w:bottom w:val="nil"/>
              <w:right w:val="nil"/>
            </w:tcBorders>
          </w:tcPr>
          <w:p w14:paraId="59CD25EA" w14:textId="679FCC36"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(1.410)</w:t>
            </w:r>
          </w:p>
        </w:tc>
        <w:tc>
          <w:tcPr>
            <w:tcW w:w="1426" w:type="dxa"/>
            <w:tcBorders>
              <w:top w:val="nil"/>
              <w:left w:val="nil"/>
              <w:bottom w:val="nil"/>
            </w:tcBorders>
          </w:tcPr>
          <w:p w14:paraId="2E3468A9" w14:textId="1ACEEDEF"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(0.161)</w:t>
            </w:r>
          </w:p>
        </w:tc>
      </w:tr>
      <w:tr w:rsidR="00EE533D" w:rsidRPr="00EE533D" w14:paraId="6E1C9AED" w14:textId="77777777" w:rsidTr="007467F2">
        <w:trPr>
          <w:trHeight w:val="71"/>
        </w:trPr>
        <w:tc>
          <w:tcPr>
            <w:tcW w:w="2806" w:type="dxa"/>
            <w:tcBorders>
              <w:top w:val="nil"/>
              <w:left w:val="nil"/>
              <w:bottom w:val="nil"/>
              <w:right w:val="nil"/>
            </w:tcBorders>
            <w:shd w:val="clear" w:color="auto" w:fill="auto"/>
            <w:noWrap/>
          </w:tcPr>
          <w:p w14:paraId="31AF9A8F" w14:textId="262492A0"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8C92183" w14:textId="4E0DBA79"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-1.802</w:t>
            </w:r>
          </w:p>
        </w:tc>
        <w:tc>
          <w:tcPr>
            <w:tcW w:w="1498" w:type="dxa"/>
            <w:tcBorders>
              <w:top w:val="nil"/>
              <w:left w:val="nil"/>
              <w:bottom w:val="nil"/>
              <w:right w:val="nil"/>
            </w:tcBorders>
          </w:tcPr>
          <w:p w14:paraId="171775F6" w14:textId="420962C9"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-1.417</w:t>
            </w:r>
          </w:p>
        </w:tc>
        <w:tc>
          <w:tcPr>
            <w:tcW w:w="1396" w:type="dxa"/>
            <w:tcBorders>
              <w:top w:val="nil"/>
              <w:left w:val="nil"/>
              <w:bottom w:val="nil"/>
              <w:right w:val="single" w:sz="12" w:space="0" w:color="auto"/>
            </w:tcBorders>
            <w:shd w:val="clear" w:color="auto" w:fill="auto"/>
            <w:noWrap/>
          </w:tcPr>
          <w:p w14:paraId="7A1509E6" w14:textId="419C3936"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0.175</w:t>
            </w:r>
          </w:p>
        </w:tc>
        <w:tc>
          <w:tcPr>
            <w:tcW w:w="1434" w:type="dxa"/>
            <w:tcBorders>
              <w:top w:val="nil"/>
              <w:left w:val="single" w:sz="12" w:space="0" w:color="auto"/>
              <w:bottom w:val="nil"/>
            </w:tcBorders>
          </w:tcPr>
          <w:p w14:paraId="1429AADA" w14:textId="5411E106"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-1.563</w:t>
            </w:r>
          </w:p>
        </w:tc>
        <w:tc>
          <w:tcPr>
            <w:tcW w:w="1390" w:type="dxa"/>
            <w:tcBorders>
              <w:top w:val="nil"/>
              <w:left w:val="nil"/>
              <w:bottom w:val="nil"/>
              <w:right w:val="nil"/>
            </w:tcBorders>
          </w:tcPr>
          <w:p w14:paraId="1D8C2F0F" w14:textId="0D963BC9"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-1.690</w:t>
            </w:r>
          </w:p>
        </w:tc>
        <w:tc>
          <w:tcPr>
            <w:tcW w:w="1426" w:type="dxa"/>
            <w:tcBorders>
              <w:top w:val="nil"/>
              <w:left w:val="nil"/>
              <w:bottom w:val="nil"/>
            </w:tcBorders>
          </w:tcPr>
          <w:p w14:paraId="25F61F54" w14:textId="6EB972AB"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0.034</w:t>
            </w:r>
          </w:p>
        </w:tc>
      </w:tr>
      <w:tr w:rsidR="00EE533D" w:rsidRPr="00EE533D" w14:paraId="3EC2B690" w14:textId="77777777" w:rsidTr="007467F2">
        <w:trPr>
          <w:trHeight w:val="71"/>
        </w:trPr>
        <w:tc>
          <w:tcPr>
            <w:tcW w:w="2806" w:type="dxa"/>
            <w:tcBorders>
              <w:top w:val="nil"/>
              <w:left w:val="nil"/>
              <w:bottom w:val="nil"/>
              <w:right w:val="nil"/>
            </w:tcBorders>
            <w:shd w:val="clear" w:color="auto" w:fill="auto"/>
            <w:noWrap/>
          </w:tcPr>
          <w:p w14:paraId="5A7065E4"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501B5F8" w14:textId="6EB0A300"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(1.522)</w:t>
            </w:r>
          </w:p>
        </w:tc>
        <w:tc>
          <w:tcPr>
            <w:tcW w:w="1498" w:type="dxa"/>
            <w:tcBorders>
              <w:top w:val="nil"/>
              <w:left w:val="nil"/>
              <w:bottom w:val="nil"/>
              <w:right w:val="nil"/>
            </w:tcBorders>
          </w:tcPr>
          <w:p w14:paraId="4DAEB246" w14:textId="490E6C12"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(2.319)</w:t>
            </w:r>
          </w:p>
        </w:tc>
        <w:tc>
          <w:tcPr>
            <w:tcW w:w="1396" w:type="dxa"/>
            <w:tcBorders>
              <w:top w:val="nil"/>
              <w:left w:val="nil"/>
              <w:bottom w:val="nil"/>
              <w:right w:val="single" w:sz="12" w:space="0" w:color="auto"/>
            </w:tcBorders>
            <w:shd w:val="clear" w:color="auto" w:fill="auto"/>
            <w:noWrap/>
          </w:tcPr>
          <w:p w14:paraId="41FA16B3" w14:textId="5569D978"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(0.177)</w:t>
            </w:r>
          </w:p>
        </w:tc>
        <w:tc>
          <w:tcPr>
            <w:tcW w:w="1434" w:type="dxa"/>
            <w:tcBorders>
              <w:top w:val="nil"/>
              <w:left w:val="single" w:sz="12" w:space="0" w:color="auto"/>
              <w:bottom w:val="nil"/>
            </w:tcBorders>
          </w:tcPr>
          <w:p w14:paraId="3245A0C1" w14:textId="1810C1A6"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(1.458)</w:t>
            </w:r>
          </w:p>
        </w:tc>
        <w:tc>
          <w:tcPr>
            <w:tcW w:w="1390" w:type="dxa"/>
            <w:tcBorders>
              <w:top w:val="nil"/>
              <w:left w:val="nil"/>
              <w:bottom w:val="nil"/>
              <w:right w:val="nil"/>
            </w:tcBorders>
          </w:tcPr>
          <w:p w14:paraId="3434C9C8" w14:textId="4D92A27A"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(2.320)</w:t>
            </w:r>
          </w:p>
        </w:tc>
        <w:tc>
          <w:tcPr>
            <w:tcW w:w="1426" w:type="dxa"/>
            <w:tcBorders>
              <w:top w:val="nil"/>
              <w:left w:val="nil"/>
              <w:bottom w:val="nil"/>
            </w:tcBorders>
          </w:tcPr>
          <w:p w14:paraId="682DC3F0" w14:textId="1AC232BC"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(0.164)</w:t>
            </w:r>
          </w:p>
        </w:tc>
      </w:tr>
      <w:tr w:rsidR="00EE533D" w:rsidRPr="00EE533D" w14:paraId="615DCDCE" w14:textId="77777777" w:rsidTr="007467F2">
        <w:trPr>
          <w:trHeight w:val="71"/>
        </w:trPr>
        <w:tc>
          <w:tcPr>
            <w:tcW w:w="2806" w:type="dxa"/>
            <w:tcBorders>
              <w:top w:val="nil"/>
              <w:left w:val="nil"/>
              <w:bottom w:val="nil"/>
              <w:right w:val="nil"/>
            </w:tcBorders>
            <w:shd w:val="clear" w:color="auto" w:fill="auto"/>
            <w:noWrap/>
          </w:tcPr>
          <w:p w14:paraId="4EE28D20" w14:textId="6419C6CF"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44CE428" w14:textId="2616CC4C"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0.154</w:t>
            </w:r>
          </w:p>
        </w:tc>
        <w:tc>
          <w:tcPr>
            <w:tcW w:w="1498" w:type="dxa"/>
            <w:tcBorders>
              <w:top w:val="nil"/>
              <w:left w:val="nil"/>
              <w:bottom w:val="nil"/>
              <w:right w:val="nil"/>
            </w:tcBorders>
          </w:tcPr>
          <w:p w14:paraId="74D9C312" w14:textId="7C17C6F9"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-0.057</w:t>
            </w:r>
          </w:p>
        </w:tc>
        <w:tc>
          <w:tcPr>
            <w:tcW w:w="1396" w:type="dxa"/>
            <w:tcBorders>
              <w:top w:val="nil"/>
              <w:left w:val="nil"/>
              <w:bottom w:val="nil"/>
              <w:right w:val="single" w:sz="12" w:space="0" w:color="auto"/>
            </w:tcBorders>
            <w:shd w:val="clear" w:color="auto" w:fill="auto"/>
            <w:noWrap/>
          </w:tcPr>
          <w:p w14:paraId="611D82FF" w14:textId="28B2DBE7"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34" w:type="dxa"/>
            <w:tcBorders>
              <w:top w:val="nil"/>
              <w:left w:val="single" w:sz="12" w:space="0" w:color="auto"/>
              <w:bottom w:val="nil"/>
            </w:tcBorders>
          </w:tcPr>
          <w:p w14:paraId="44375B69" w14:textId="3BE5070E"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0.139</w:t>
            </w:r>
          </w:p>
        </w:tc>
        <w:tc>
          <w:tcPr>
            <w:tcW w:w="1390" w:type="dxa"/>
            <w:tcBorders>
              <w:top w:val="nil"/>
              <w:left w:val="nil"/>
              <w:bottom w:val="nil"/>
              <w:right w:val="nil"/>
            </w:tcBorders>
          </w:tcPr>
          <w:p w14:paraId="1ABA9EC4" w14:textId="7E25D7A7"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-0.042</w:t>
            </w:r>
          </w:p>
        </w:tc>
        <w:tc>
          <w:tcPr>
            <w:tcW w:w="1426" w:type="dxa"/>
            <w:tcBorders>
              <w:top w:val="nil"/>
              <w:left w:val="nil"/>
              <w:bottom w:val="nil"/>
            </w:tcBorders>
          </w:tcPr>
          <w:p w14:paraId="046993F5" w14:textId="01C91463"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r>
      <w:tr w:rsidR="00EE533D" w:rsidRPr="00EE533D" w14:paraId="61C64EAF" w14:textId="77777777" w:rsidTr="007467F2">
        <w:trPr>
          <w:trHeight w:val="71"/>
        </w:trPr>
        <w:tc>
          <w:tcPr>
            <w:tcW w:w="2806" w:type="dxa"/>
            <w:tcBorders>
              <w:top w:val="nil"/>
              <w:left w:val="nil"/>
              <w:bottom w:val="nil"/>
              <w:right w:val="nil"/>
            </w:tcBorders>
            <w:shd w:val="clear" w:color="auto" w:fill="auto"/>
            <w:noWrap/>
          </w:tcPr>
          <w:p w14:paraId="66AD53B1" w14:textId="062CB473"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27090CF" w14:textId="67A2E686"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(0.129)</w:t>
            </w:r>
          </w:p>
        </w:tc>
        <w:tc>
          <w:tcPr>
            <w:tcW w:w="1498" w:type="dxa"/>
            <w:tcBorders>
              <w:top w:val="nil"/>
              <w:left w:val="nil"/>
              <w:bottom w:val="nil"/>
              <w:right w:val="nil"/>
            </w:tcBorders>
          </w:tcPr>
          <w:p w14:paraId="53701111" w14:textId="18F9EB24"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(0.151)</w:t>
            </w:r>
          </w:p>
        </w:tc>
        <w:tc>
          <w:tcPr>
            <w:tcW w:w="1396" w:type="dxa"/>
            <w:tcBorders>
              <w:top w:val="nil"/>
              <w:left w:val="nil"/>
              <w:bottom w:val="nil"/>
              <w:right w:val="single" w:sz="12" w:space="0" w:color="auto"/>
            </w:tcBorders>
            <w:shd w:val="clear" w:color="auto" w:fill="auto"/>
            <w:noWrap/>
          </w:tcPr>
          <w:p w14:paraId="0D4B980A" w14:textId="180825B4"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34" w:type="dxa"/>
            <w:tcBorders>
              <w:top w:val="nil"/>
              <w:left w:val="single" w:sz="12" w:space="0" w:color="auto"/>
              <w:bottom w:val="nil"/>
            </w:tcBorders>
          </w:tcPr>
          <w:p w14:paraId="28146976" w14:textId="4EB4F545"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(0.131)</w:t>
            </w:r>
          </w:p>
        </w:tc>
        <w:tc>
          <w:tcPr>
            <w:tcW w:w="1390" w:type="dxa"/>
            <w:tcBorders>
              <w:top w:val="nil"/>
              <w:left w:val="nil"/>
              <w:bottom w:val="nil"/>
              <w:right w:val="nil"/>
            </w:tcBorders>
          </w:tcPr>
          <w:p w14:paraId="321EA5B1" w14:textId="166343EB"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(0.159)</w:t>
            </w:r>
          </w:p>
        </w:tc>
        <w:tc>
          <w:tcPr>
            <w:tcW w:w="1426" w:type="dxa"/>
            <w:tcBorders>
              <w:top w:val="nil"/>
              <w:left w:val="nil"/>
              <w:bottom w:val="nil"/>
            </w:tcBorders>
          </w:tcPr>
          <w:p w14:paraId="5CC73843" w14:textId="72E8A5CB"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r>
      <w:tr w:rsidR="00EE533D" w:rsidRPr="00EE533D" w14:paraId="2E1D257E" w14:textId="77777777" w:rsidTr="007467F2">
        <w:trPr>
          <w:trHeight w:val="71"/>
        </w:trPr>
        <w:tc>
          <w:tcPr>
            <w:tcW w:w="2806" w:type="dxa"/>
            <w:tcBorders>
              <w:top w:val="nil"/>
              <w:left w:val="nil"/>
              <w:bottom w:val="nil"/>
              <w:right w:val="nil"/>
            </w:tcBorders>
            <w:shd w:val="clear" w:color="auto" w:fill="auto"/>
            <w:noWrap/>
          </w:tcPr>
          <w:p w14:paraId="0FC58271" w14:textId="4BECE65D"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729EDFD" w14:textId="0FA6032F"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p>
        </w:tc>
        <w:tc>
          <w:tcPr>
            <w:tcW w:w="1498" w:type="dxa"/>
            <w:tcBorders>
              <w:top w:val="nil"/>
              <w:left w:val="nil"/>
              <w:bottom w:val="nil"/>
              <w:right w:val="nil"/>
            </w:tcBorders>
          </w:tcPr>
          <w:p w14:paraId="0E9BBA96" w14:textId="30823E8A"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0751BE66" w14:textId="1CDEF5A3"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p>
        </w:tc>
        <w:tc>
          <w:tcPr>
            <w:tcW w:w="1434" w:type="dxa"/>
            <w:tcBorders>
              <w:top w:val="nil"/>
              <w:left w:val="single" w:sz="12" w:space="0" w:color="auto"/>
              <w:bottom w:val="nil"/>
            </w:tcBorders>
          </w:tcPr>
          <w:p w14:paraId="6602017B" w14:textId="7F094267"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-0.705</w:t>
            </w:r>
          </w:p>
        </w:tc>
        <w:tc>
          <w:tcPr>
            <w:tcW w:w="1390" w:type="dxa"/>
            <w:tcBorders>
              <w:top w:val="nil"/>
              <w:left w:val="nil"/>
              <w:bottom w:val="nil"/>
              <w:right w:val="nil"/>
            </w:tcBorders>
          </w:tcPr>
          <w:p w14:paraId="75FFAEE3" w14:textId="7F6D6505"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-1.629</w:t>
            </w:r>
          </w:p>
        </w:tc>
        <w:tc>
          <w:tcPr>
            <w:tcW w:w="1426" w:type="dxa"/>
            <w:tcBorders>
              <w:top w:val="nil"/>
              <w:left w:val="nil"/>
              <w:bottom w:val="nil"/>
            </w:tcBorders>
          </w:tcPr>
          <w:p w14:paraId="6CE5272F" w14:textId="2377D05C"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r>
      <w:tr w:rsidR="00EE533D" w:rsidRPr="00EE533D" w14:paraId="7EE79037" w14:textId="77777777" w:rsidTr="007467F2">
        <w:trPr>
          <w:trHeight w:val="71"/>
        </w:trPr>
        <w:tc>
          <w:tcPr>
            <w:tcW w:w="2806" w:type="dxa"/>
            <w:tcBorders>
              <w:top w:val="nil"/>
              <w:left w:val="nil"/>
              <w:bottom w:val="nil"/>
              <w:right w:val="nil"/>
            </w:tcBorders>
            <w:shd w:val="clear" w:color="auto" w:fill="auto"/>
            <w:noWrap/>
          </w:tcPr>
          <w:p w14:paraId="2F343083" w14:textId="127BC229"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035CDFC" w14:textId="34A3EC57"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p>
        </w:tc>
        <w:tc>
          <w:tcPr>
            <w:tcW w:w="1498" w:type="dxa"/>
            <w:tcBorders>
              <w:top w:val="nil"/>
              <w:left w:val="nil"/>
              <w:bottom w:val="nil"/>
              <w:right w:val="nil"/>
            </w:tcBorders>
          </w:tcPr>
          <w:p w14:paraId="2B2BFF76" w14:textId="79B1CA1E"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51F40D36" w14:textId="6ED4EDC0"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p>
        </w:tc>
        <w:tc>
          <w:tcPr>
            <w:tcW w:w="1434" w:type="dxa"/>
            <w:tcBorders>
              <w:top w:val="nil"/>
              <w:left w:val="single" w:sz="12" w:space="0" w:color="auto"/>
              <w:bottom w:val="nil"/>
            </w:tcBorders>
          </w:tcPr>
          <w:p w14:paraId="1AABB373" w14:textId="603D40B3"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(1.126)</w:t>
            </w:r>
          </w:p>
        </w:tc>
        <w:tc>
          <w:tcPr>
            <w:tcW w:w="1390" w:type="dxa"/>
            <w:tcBorders>
              <w:top w:val="nil"/>
              <w:left w:val="nil"/>
              <w:bottom w:val="nil"/>
              <w:right w:val="nil"/>
            </w:tcBorders>
          </w:tcPr>
          <w:p w14:paraId="48100CA8" w14:textId="65C72330"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(1.802)</w:t>
            </w:r>
          </w:p>
        </w:tc>
        <w:tc>
          <w:tcPr>
            <w:tcW w:w="1426" w:type="dxa"/>
            <w:tcBorders>
              <w:top w:val="nil"/>
              <w:left w:val="nil"/>
              <w:bottom w:val="nil"/>
            </w:tcBorders>
          </w:tcPr>
          <w:p w14:paraId="2AC2669E" w14:textId="789CF3A8"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(0.079)</w:t>
            </w:r>
          </w:p>
        </w:tc>
      </w:tr>
      <w:tr w:rsidR="00EE533D" w:rsidRPr="00EE533D" w14:paraId="55023D66" w14:textId="77777777" w:rsidTr="007467F2">
        <w:trPr>
          <w:trHeight w:val="71"/>
        </w:trPr>
        <w:tc>
          <w:tcPr>
            <w:tcW w:w="2806" w:type="dxa"/>
            <w:tcBorders>
              <w:top w:val="nil"/>
              <w:left w:val="nil"/>
              <w:bottom w:val="nil"/>
              <w:right w:val="nil"/>
            </w:tcBorders>
            <w:shd w:val="clear" w:color="auto" w:fill="auto"/>
            <w:noWrap/>
          </w:tcPr>
          <w:p w14:paraId="68A29898" w14:textId="5A4E5E97"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0C4E220" w14:textId="02A8596B"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5C23B679" w14:textId="395B67C2"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611C196B" w14:textId="0FAEA0CC"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0E08196E" w14:textId="383C701D"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-0.324</w:t>
            </w:r>
          </w:p>
        </w:tc>
        <w:tc>
          <w:tcPr>
            <w:tcW w:w="1390" w:type="dxa"/>
            <w:tcBorders>
              <w:top w:val="nil"/>
              <w:left w:val="nil"/>
              <w:bottom w:val="nil"/>
              <w:right w:val="nil"/>
            </w:tcBorders>
          </w:tcPr>
          <w:p w14:paraId="67C45897" w14:textId="01A5DA96"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0.370**</w:t>
            </w:r>
          </w:p>
        </w:tc>
        <w:tc>
          <w:tcPr>
            <w:tcW w:w="1426" w:type="dxa"/>
            <w:tcBorders>
              <w:top w:val="nil"/>
              <w:left w:val="nil"/>
              <w:bottom w:val="nil"/>
            </w:tcBorders>
          </w:tcPr>
          <w:p w14:paraId="72878B91" w14:textId="52BF5BFF"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-0.020</w:t>
            </w:r>
          </w:p>
        </w:tc>
      </w:tr>
      <w:tr w:rsidR="00EE533D" w:rsidRPr="00EE533D" w14:paraId="20F40E2B" w14:textId="77777777" w:rsidTr="007467F2">
        <w:trPr>
          <w:trHeight w:val="71"/>
        </w:trPr>
        <w:tc>
          <w:tcPr>
            <w:tcW w:w="2806" w:type="dxa"/>
            <w:tcBorders>
              <w:top w:val="nil"/>
              <w:left w:val="nil"/>
              <w:bottom w:val="nil"/>
              <w:right w:val="nil"/>
            </w:tcBorders>
            <w:shd w:val="clear" w:color="auto" w:fill="auto"/>
            <w:noWrap/>
          </w:tcPr>
          <w:p w14:paraId="51FA587B" w14:textId="4A2759E0"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C214C24" w14:textId="07CA14DE"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472B24E" w14:textId="7E9A7D69"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6F2F4123" w14:textId="0F7B0C7B"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02E2BDA6" w14:textId="123925A0"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(0.179)</w:t>
            </w:r>
          </w:p>
        </w:tc>
        <w:tc>
          <w:tcPr>
            <w:tcW w:w="1390" w:type="dxa"/>
            <w:tcBorders>
              <w:top w:val="nil"/>
              <w:left w:val="nil"/>
              <w:bottom w:val="nil"/>
              <w:right w:val="nil"/>
            </w:tcBorders>
          </w:tcPr>
          <w:p w14:paraId="4F924C5D" w14:textId="35651DDA"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(0.132)</w:t>
            </w:r>
          </w:p>
        </w:tc>
        <w:tc>
          <w:tcPr>
            <w:tcW w:w="1426" w:type="dxa"/>
            <w:tcBorders>
              <w:top w:val="nil"/>
              <w:left w:val="nil"/>
              <w:bottom w:val="nil"/>
            </w:tcBorders>
          </w:tcPr>
          <w:p w14:paraId="3A887B6E" w14:textId="03370CEA"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(0.025)</w:t>
            </w:r>
          </w:p>
        </w:tc>
      </w:tr>
      <w:tr w:rsidR="00EE533D" w:rsidRPr="00EE533D" w14:paraId="6F2FF613" w14:textId="77777777" w:rsidTr="007467F2">
        <w:trPr>
          <w:trHeight w:val="71"/>
        </w:trPr>
        <w:tc>
          <w:tcPr>
            <w:tcW w:w="2806" w:type="dxa"/>
            <w:tcBorders>
              <w:top w:val="nil"/>
              <w:left w:val="nil"/>
              <w:bottom w:val="nil"/>
              <w:right w:val="nil"/>
            </w:tcBorders>
            <w:shd w:val="clear" w:color="auto" w:fill="auto"/>
            <w:noWrap/>
          </w:tcPr>
          <w:p w14:paraId="4DD04DFA" w14:textId="0B8FBAC6"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B4C5F2A" w14:textId="7759FBC4"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4BEBA4F3" w14:textId="070574AE"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2A23DE30" w14:textId="6E8F3587"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3D0F9E18" w14:textId="71F722E1"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390" w:type="dxa"/>
            <w:tcBorders>
              <w:top w:val="nil"/>
              <w:left w:val="nil"/>
              <w:bottom w:val="nil"/>
              <w:right w:val="nil"/>
            </w:tcBorders>
          </w:tcPr>
          <w:p w14:paraId="1B30E393" w14:textId="31020295"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-0.036</w:t>
            </w:r>
          </w:p>
        </w:tc>
        <w:tc>
          <w:tcPr>
            <w:tcW w:w="1426" w:type="dxa"/>
            <w:tcBorders>
              <w:top w:val="nil"/>
              <w:left w:val="nil"/>
              <w:bottom w:val="nil"/>
            </w:tcBorders>
          </w:tcPr>
          <w:p w14:paraId="3D97449C" w14:textId="3529EDD0"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-0.008</w:t>
            </w:r>
          </w:p>
        </w:tc>
      </w:tr>
      <w:tr w:rsidR="00EE533D" w:rsidRPr="00EE533D" w14:paraId="300106C0" w14:textId="77777777" w:rsidTr="007467F2">
        <w:trPr>
          <w:trHeight w:val="71"/>
        </w:trPr>
        <w:tc>
          <w:tcPr>
            <w:tcW w:w="2806" w:type="dxa"/>
            <w:tcBorders>
              <w:top w:val="nil"/>
              <w:left w:val="nil"/>
              <w:bottom w:val="nil"/>
              <w:right w:val="nil"/>
            </w:tcBorders>
            <w:shd w:val="clear" w:color="auto" w:fill="auto"/>
            <w:noWrap/>
          </w:tcPr>
          <w:p w14:paraId="1E003C34" w14:textId="38F78720"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A124FC4" w14:textId="09557F03"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B8AC081" w14:textId="2DB81049"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15081ECF" w14:textId="521C961F"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7392AE1B" w14:textId="24951CAE"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390" w:type="dxa"/>
            <w:tcBorders>
              <w:top w:val="nil"/>
              <w:left w:val="nil"/>
              <w:bottom w:val="nil"/>
              <w:right w:val="nil"/>
            </w:tcBorders>
          </w:tcPr>
          <w:p w14:paraId="5D2E49E0" w14:textId="077A0A11"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26" w:type="dxa"/>
            <w:tcBorders>
              <w:top w:val="nil"/>
              <w:left w:val="nil"/>
              <w:bottom w:val="nil"/>
            </w:tcBorders>
          </w:tcPr>
          <w:p w14:paraId="53D5112E" w14:textId="6FE0F342"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6984AA0C" w14:textId="77777777" w:rsidTr="007467F2">
        <w:trPr>
          <w:trHeight w:val="71"/>
        </w:trPr>
        <w:tc>
          <w:tcPr>
            <w:tcW w:w="2806" w:type="dxa"/>
            <w:tcBorders>
              <w:top w:val="nil"/>
              <w:left w:val="nil"/>
              <w:bottom w:val="nil"/>
              <w:right w:val="nil"/>
            </w:tcBorders>
            <w:shd w:val="clear" w:color="auto" w:fill="auto"/>
            <w:noWrap/>
          </w:tcPr>
          <w:p w14:paraId="4691B5AE" w14:textId="23FCF155"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EF3B70A" w14:textId="3B76C563"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46C1EAE0" w14:textId="193FB105"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185C70F7" w14:textId="2FF65C4D"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2D666230" w14:textId="23E116F3"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1.561</w:t>
            </w:r>
          </w:p>
        </w:tc>
        <w:tc>
          <w:tcPr>
            <w:tcW w:w="1390" w:type="dxa"/>
            <w:tcBorders>
              <w:top w:val="nil"/>
              <w:left w:val="nil"/>
              <w:bottom w:val="nil"/>
              <w:right w:val="nil"/>
            </w:tcBorders>
          </w:tcPr>
          <w:p w14:paraId="4BD19697" w14:textId="0D3A3861"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0.837</w:t>
            </w:r>
          </w:p>
        </w:tc>
        <w:tc>
          <w:tcPr>
            <w:tcW w:w="1426" w:type="dxa"/>
            <w:tcBorders>
              <w:top w:val="nil"/>
              <w:left w:val="nil"/>
              <w:bottom w:val="nil"/>
            </w:tcBorders>
          </w:tcPr>
          <w:p w14:paraId="428AFFD0" w14:textId="0D919B63"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0.044</w:t>
            </w:r>
          </w:p>
        </w:tc>
      </w:tr>
      <w:tr w:rsidR="00EE533D" w:rsidRPr="00EE533D" w14:paraId="58A6A4F5" w14:textId="77777777" w:rsidTr="007467F2">
        <w:trPr>
          <w:trHeight w:val="71"/>
        </w:trPr>
        <w:tc>
          <w:tcPr>
            <w:tcW w:w="2806" w:type="dxa"/>
            <w:tcBorders>
              <w:top w:val="nil"/>
              <w:left w:val="nil"/>
              <w:bottom w:val="nil"/>
              <w:right w:val="nil"/>
            </w:tcBorders>
            <w:shd w:val="clear" w:color="auto" w:fill="auto"/>
            <w:noWrap/>
          </w:tcPr>
          <w:p w14:paraId="217C863F"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136EA57" w14:textId="27CFE2DB" w:rsidR="00A725F3" w:rsidRPr="00EE533D" w:rsidRDefault="00A725F3" w:rsidP="00A725F3">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2C8E212" w14:textId="6BB20753" w:rsidR="00A725F3" w:rsidRPr="00EE533D" w:rsidRDefault="00A725F3" w:rsidP="00A725F3">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1F95BDE8" w14:textId="567F461F" w:rsidR="00A725F3" w:rsidRPr="00EE533D" w:rsidRDefault="00A725F3" w:rsidP="00A725F3">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4EA34060" w14:textId="2602D6A5" w:rsidR="00A725F3" w:rsidRPr="00EE533D" w:rsidRDefault="00A725F3" w:rsidP="00A725F3">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(1.126)</w:t>
            </w:r>
          </w:p>
        </w:tc>
        <w:tc>
          <w:tcPr>
            <w:tcW w:w="1390" w:type="dxa"/>
            <w:tcBorders>
              <w:top w:val="nil"/>
              <w:left w:val="nil"/>
              <w:bottom w:val="nil"/>
              <w:right w:val="nil"/>
            </w:tcBorders>
          </w:tcPr>
          <w:p w14:paraId="67E98D92" w14:textId="55F13BD3" w:rsidR="00A725F3" w:rsidRPr="00EE533D" w:rsidRDefault="00A725F3" w:rsidP="00A725F3">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(1.885)</w:t>
            </w:r>
          </w:p>
        </w:tc>
        <w:tc>
          <w:tcPr>
            <w:tcW w:w="1426" w:type="dxa"/>
            <w:tcBorders>
              <w:top w:val="nil"/>
              <w:left w:val="nil"/>
              <w:bottom w:val="nil"/>
            </w:tcBorders>
          </w:tcPr>
          <w:p w14:paraId="05E90D0F" w14:textId="2290FD39" w:rsidR="00A725F3" w:rsidRPr="00EE533D" w:rsidRDefault="00A725F3" w:rsidP="00A725F3">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(0.183)</w:t>
            </w:r>
          </w:p>
        </w:tc>
      </w:tr>
      <w:tr w:rsidR="00EE533D" w:rsidRPr="00EE533D" w14:paraId="0394B37E" w14:textId="77777777" w:rsidTr="007467F2">
        <w:trPr>
          <w:trHeight w:val="71"/>
        </w:trPr>
        <w:tc>
          <w:tcPr>
            <w:tcW w:w="2806" w:type="dxa"/>
            <w:tcBorders>
              <w:top w:val="nil"/>
              <w:left w:val="nil"/>
              <w:bottom w:val="nil"/>
              <w:right w:val="nil"/>
            </w:tcBorders>
            <w:shd w:val="clear" w:color="auto" w:fill="auto"/>
            <w:noWrap/>
          </w:tcPr>
          <w:p w14:paraId="14947F80" w14:textId="39C31495"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FEC0C2C" w14:textId="575CAB49"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0.065</w:t>
            </w:r>
          </w:p>
        </w:tc>
        <w:tc>
          <w:tcPr>
            <w:tcW w:w="1498" w:type="dxa"/>
            <w:tcBorders>
              <w:top w:val="nil"/>
              <w:left w:val="nil"/>
              <w:bottom w:val="nil"/>
              <w:right w:val="nil"/>
            </w:tcBorders>
          </w:tcPr>
          <w:p w14:paraId="3D9BB014" w14:textId="1923F340"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396" w:type="dxa"/>
            <w:tcBorders>
              <w:top w:val="nil"/>
              <w:left w:val="nil"/>
              <w:bottom w:val="nil"/>
              <w:right w:val="single" w:sz="12" w:space="0" w:color="auto"/>
            </w:tcBorders>
            <w:shd w:val="clear" w:color="auto" w:fill="auto"/>
            <w:noWrap/>
          </w:tcPr>
          <w:p w14:paraId="18BEBCAB" w14:textId="1337AF07"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-0.119</w:t>
            </w:r>
          </w:p>
        </w:tc>
        <w:tc>
          <w:tcPr>
            <w:tcW w:w="1434" w:type="dxa"/>
            <w:tcBorders>
              <w:top w:val="nil"/>
              <w:left w:val="single" w:sz="12" w:space="0" w:color="auto"/>
              <w:bottom w:val="nil"/>
            </w:tcBorders>
          </w:tcPr>
          <w:p w14:paraId="6858B7F2" w14:textId="0D484919"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0.120</w:t>
            </w:r>
          </w:p>
        </w:tc>
        <w:tc>
          <w:tcPr>
            <w:tcW w:w="1390" w:type="dxa"/>
            <w:tcBorders>
              <w:top w:val="nil"/>
              <w:left w:val="nil"/>
              <w:bottom w:val="nil"/>
              <w:right w:val="nil"/>
            </w:tcBorders>
          </w:tcPr>
          <w:p w14:paraId="2E95B839" w14:textId="26B8F793"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426" w:type="dxa"/>
            <w:tcBorders>
              <w:top w:val="nil"/>
              <w:left w:val="nil"/>
              <w:bottom w:val="nil"/>
            </w:tcBorders>
          </w:tcPr>
          <w:p w14:paraId="40C93F78" w14:textId="6207B057"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-0.111</w:t>
            </w:r>
          </w:p>
        </w:tc>
      </w:tr>
      <w:tr w:rsidR="00EE533D" w:rsidRPr="00EE533D" w14:paraId="40D30EE3" w14:textId="77777777" w:rsidTr="007467F2">
        <w:trPr>
          <w:trHeight w:val="71"/>
        </w:trPr>
        <w:tc>
          <w:tcPr>
            <w:tcW w:w="2806" w:type="dxa"/>
            <w:tcBorders>
              <w:top w:val="nil"/>
              <w:left w:val="nil"/>
              <w:bottom w:val="nil"/>
              <w:right w:val="nil"/>
            </w:tcBorders>
            <w:shd w:val="clear" w:color="auto" w:fill="auto"/>
            <w:noWrap/>
          </w:tcPr>
          <w:p w14:paraId="7AB69487"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96D023E" w14:textId="5A424BAD"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(0.468)</w:t>
            </w:r>
          </w:p>
        </w:tc>
        <w:tc>
          <w:tcPr>
            <w:tcW w:w="1498" w:type="dxa"/>
            <w:tcBorders>
              <w:top w:val="nil"/>
              <w:left w:val="nil"/>
              <w:bottom w:val="nil"/>
              <w:right w:val="nil"/>
            </w:tcBorders>
          </w:tcPr>
          <w:p w14:paraId="75FBE075" w14:textId="3C5E052A"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(0.612)</w:t>
            </w:r>
          </w:p>
        </w:tc>
        <w:tc>
          <w:tcPr>
            <w:tcW w:w="1396" w:type="dxa"/>
            <w:tcBorders>
              <w:top w:val="nil"/>
              <w:left w:val="nil"/>
              <w:bottom w:val="nil"/>
              <w:right w:val="single" w:sz="12" w:space="0" w:color="auto"/>
            </w:tcBorders>
            <w:shd w:val="clear" w:color="auto" w:fill="auto"/>
            <w:noWrap/>
          </w:tcPr>
          <w:p w14:paraId="5ADEE3D6" w14:textId="7DF8E383"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(0.081)</w:t>
            </w:r>
          </w:p>
        </w:tc>
        <w:tc>
          <w:tcPr>
            <w:tcW w:w="1434" w:type="dxa"/>
            <w:tcBorders>
              <w:top w:val="nil"/>
              <w:left w:val="single" w:sz="12" w:space="0" w:color="auto"/>
              <w:bottom w:val="nil"/>
            </w:tcBorders>
          </w:tcPr>
          <w:p w14:paraId="33D761FC" w14:textId="4488FC09"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(0.507)</w:t>
            </w:r>
          </w:p>
        </w:tc>
        <w:tc>
          <w:tcPr>
            <w:tcW w:w="1390" w:type="dxa"/>
            <w:tcBorders>
              <w:top w:val="nil"/>
              <w:left w:val="nil"/>
              <w:bottom w:val="nil"/>
              <w:right w:val="nil"/>
            </w:tcBorders>
          </w:tcPr>
          <w:p w14:paraId="68D6C0D5" w14:textId="02C9AB4D"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(0.562)</w:t>
            </w:r>
          </w:p>
        </w:tc>
        <w:tc>
          <w:tcPr>
            <w:tcW w:w="1426" w:type="dxa"/>
            <w:tcBorders>
              <w:top w:val="nil"/>
              <w:left w:val="nil"/>
              <w:bottom w:val="nil"/>
            </w:tcBorders>
          </w:tcPr>
          <w:p w14:paraId="11B0A5BD" w14:textId="352E9257"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(0.090)</w:t>
            </w:r>
          </w:p>
        </w:tc>
      </w:tr>
      <w:tr w:rsidR="00EE533D" w:rsidRPr="00EE533D" w14:paraId="173DCD2A" w14:textId="77777777" w:rsidTr="007467F2">
        <w:trPr>
          <w:trHeight w:val="71"/>
        </w:trPr>
        <w:tc>
          <w:tcPr>
            <w:tcW w:w="2806" w:type="dxa"/>
            <w:tcBorders>
              <w:top w:val="nil"/>
              <w:left w:val="nil"/>
              <w:bottom w:val="nil"/>
              <w:right w:val="nil"/>
            </w:tcBorders>
            <w:shd w:val="clear" w:color="auto" w:fill="auto"/>
            <w:noWrap/>
          </w:tcPr>
          <w:p w14:paraId="7BEF0263" w14:textId="0BF975A5" w:rsidR="00A725F3" w:rsidRPr="00EE533D" w:rsidRDefault="00A725F3" w:rsidP="00A725F3">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1B3B8DB2" w14:textId="516EA6C4"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-6.861</w:t>
            </w:r>
          </w:p>
        </w:tc>
        <w:tc>
          <w:tcPr>
            <w:tcW w:w="1498" w:type="dxa"/>
            <w:tcBorders>
              <w:top w:val="nil"/>
              <w:left w:val="nil"/>
              <w:bottom w:val="nil"/>
              <w:right w:val="nil"/>
            </w:tcBorders>
          </w:tcPr>
          <w:p w14:paraId="56B7B7B6" w14:textId="3BF57861"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46.295***</w:t>
            </w:r>
          </w:p>
        </w:tc>
        <w:tc>
          <w:tcPr>
            <w:tcW w:w="1396" w:type="dxa"/>
            <w:tcBorders>
              <w:top w:val="nil"/>
              <w:left w:val="nil"/>
              <w:bottom w:val="nil"/>
              <w:right w:val="single" w:sz="12" w:space="0" w:color="auto"/>
            </w:tcBorders>
            <w:shd w:val="clear" w:color="auto" w:fill="auto"/>
            <w:noWrap/>
          </w:tcPr>
          <w:p w14:paraId="610F96FC" w14:textId="593BE91E"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-1.895***</w:t>
            </w:r>
          </w:p>
        </w:tc>
        <w:tc>
          <w:tcPr>
            <w:tcW w:w="1434" w:type="dxa"/>
            <w:tcBorders>
              <w:top w:val="nil"/>
              <w:left w:val="single" w:sz="12" w:space="0" w:color="auto"/>
              <w:bottom w:val="nil"/>
            </w:tcBorders>
          </w:tcPr>
          <w:p w14:paraId="2E202188" w14:textId="5ABA954B"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-8.752</w:t>
            </w:r>
          </w:p>
        </w:tc>
        <w:tc>
          <w:tcPr>
            <w:tcW w:w="1390" w:type="dxa"/>
            <w:tcBorders>
              <w:top w:val="nil"/>
              <w:left w:val="nil"/>
              <w:bottom w:val="nil"/>
              <w:right w:val="nil"/>
            </w:tcBorders>
          </w:tcPr>
          <w:p w14:paraId="21B32C09" w14:textId="31358D93"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44.314**</w:t>
            </w:r>
          </w:p>
        </w:tc>
        <w:tc>
          <w:tcPr>
            <w:tcW w:w="1426" w:type="dxa"/>
            <w:tcBorders>
              <w:top w:val="nil"/>
              <w:left w:val="nil"/>
              <w:bottom w:val="nil"/>
            </w:tcBorders>
          </w:tcPr>
          <w:p w14:paraId="71AD0FA3" w14:textId="0180A2E4"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-2.017**</w:t>
            </w:r>
          </w:p>
        </w:tc>
      </w:tr>
      <w:tr w:rsidR="00EE533D" w:rsidRPr="00EE533D" w14:paraId="5C5ED785" w14:textId="77777777" w:rsidTr="007467F2">
        <w:trPr>
          <w:trHeight w:val="71"/>
        </w:trPr>
        <w:tc>
          <w:tcPr>
            <w:tcW w:w="2806" w:type="dxa"/>
            <w:tcBorders>
              <w:top w:val="nil"/>
              <w:left w:val="nil"/>
              <w:bottom w:val="nil"/>
              <w:right w:val="nil"/>
            </w:tcBorders>
            <w:shd w:val="clear" w:color="auto" w:fill="auto"/>
            <w:noWrap/>
          </w:tcPr>
          <w:p w14:paraId="38F47BEE" w14:textId="77777777" w:rsidR="00A725F3" w:rsidRPr="00EE533D" w:rsidRDefault="00A725F3" w:rsidP="00A725F3">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64331BB" w14:textId="291E8499"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(12.153)</w:t>
            </w:r>
          </w:p>
        </w:tc>
        <w:tc>
          <w:tcPr>
            <w:tcW w:w="1498" w:type="dxa"/>
            <w:tcBorders>
              <w:top w:val="nil"/>
              <w:left w:val="nil"/>
              <w:bottom w:val="nil"/>
              <w:right w:val="nil"/>
            </w:tcBorders>
          </w:tcPr>
          <w:p w14:paraId="2AD7855D" w14:textId="0E2D882B"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(13.352)</w:t>
            </w:r>
          </w:p>
        </w:tc>
        <w:tc>
          <w:tcPr>
            <w:tcW w:w="1396" w:type="dxa"/>
            <w:tcBorders>
              <w:top w:val="nil"/>
              <w:left w:val="nil"/>
              <w:bottom w:val="nil"/>
              <w:right w:val="single" w:sz="12" w:space="0" w:color="auto"/>
            </w:tcBorders>
            <w:shd w:val="clear" w:color="auto" w:fill="auto"/>
            <w:noWrap/>
          </w:tcPr>
          <w:p w14:paraId="2923FDA1" w14:textId="7E09FC8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(0.531)</w:t>
            </w:r>
          </w:p>
        </w:tc>
        <w:tc>
          <w:tcPr>
            <w:tcW w:w="1434" w:type="dxa"/>
            <w:tcBorders>
              <w:top w:val="nil"/>
              <w:left w:val="single" w:sz="12" w:space="0" w:color="auto"/>
              <w:bottom w:val="nil"/>
            </w:tcBorders>
          </w:tcPr>
          <w:p w14:paraId="64C5CFD8" w14:textId="74B4CE1C"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(11.246)</w:t>
            </w:r>
          </w:p>
        </w:tc>
        <w:tc>
          <w:tcPr>
            <w:tcW w:w="1390" w:type="dxa"/>
            <w:tcBorders>
              <w:top w:val="nil"/>
              <w:left w:val="nil"/>
              <w:bottom w:val="nil"/>
              <w:right w:val="nil"/>
            </w:tcBorders>
          </w:tcPr>
          <w:p w14:paraId="13C380D1" w14:textId="4A656424"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(13.589)</w:t>
            </w:r>
          </w:p>
        </w:tc>
        <w:tc>
          <w:tcPr>
            <w:tcW w:w="1426" w:type="dxa"/>
            <w:tcBorders>
              <w:top w:val="nil"/>
              <w:left w:val="nil"/>
              <w:bottom w:val="nil"/>
            </w:tcBorders>
          </w:tcPr>
          <w:p w14:paraId="4E318241" w14:textId="071DAB6B"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(0.688)</w:t>
            </w:r>
          </w:p>
        </w:tc>
      </w:tr>
      <w:tr w:rsidR="00EE533D" w:rsidRPr="00EE533D" w14:paraId="191F1414" w14:textId="77777777" w:rsidTr="007467F2">
        <w:trPr>
          <w:trHeight w:val="71"/>
        </w:trPr>
        <w:tc>
          <w:tcPr>
            <w:tcW w:w="2806" w:type="dxa"/>
            <w:tcBorders>
              <w:top w:val="nil"/>
              <w:left w:val="nil"/>
              <w:bottom w:val="nil"/>
              <w:right w:val="nil"/>
            </w:tcBorders>
            <w:shd w:val="clear" w:color="auto" w:fill="auto"/>
            <w:noWrap/>
            <w:vAlign w:val="bottom"/>
          </w:tcPr>
          <w:p w14:paraId="3D7EF656" w14:textId="3A22AB35"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ABD2618" w14:textId="18CE17B1"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0.091</w:t>
            </w:r>
          </w:p>
        </w:tc>
        <w:tc>
          <w:tcPr>
            <w:tcW w:w="1498" w:type="dxa"/>
            <w:tcBorders>
              <w:top w:val="nil"/>
              <w:left w:val="nil"/>
              <w:bottom w:val="nil"/>
              <w:right w:val="nil"/>
            </w:tcBorders>
          </w:tcPr>
          <w:p w14:paraId="556B534A" w14:textId="14580BB8"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-0.488***</w:t>
            </w:r>
          </w:p>
        </w:tc>
        <w:tc>
          <w:tcPr>
            <w:tcW w:w="1396" w:type="dxa"/>
            <w:tcBorders>
              <w:top w:val="nil"/>
              <w:left w:val="nil"/>
              <w:bottom w:val="nil"/>
              <w:right w:val="single" w:sz="12" w:space="0" w:color="auto"/>
            </w:tcBorders>
            <w:shd w:val="clear" w:color="auto" w:fill="auto"/>
            <w:noWrap/>
          </w:tcPr>
          <w:p w14:paraId="11671F4B" w14:textId="21F6859C"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c>
          <w:tcPr>
            <w:tcW w:w="1434" w:type="dxa"/>
            <w:tcBorders>
              <w:top w:val="nil"/>
              <w:left w:val="single" w:sz="12" w:space="0" w:color="auto"/>
              <w:bottom w:val="nil"/>
            </w:tcBorders>
          </w:tcPr>
          <w:p w14:paraId="3C2838D1" w14:textId="48FA2E27"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390" w:type="dxa"/>
            <w:tcBorders>
              <w:top w:val="nil"/>
              <w:left w:val="nil"/>
              <w:bottom w:val="nil"/>
              <w:right w:val="nil"/>
            </w:tcBorders>
          </w:tcPr>
          <w:p w14:paraId="6E188915" w14:textId="0AE6F80C"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-0.484***</w:t>
            </w:r>
          </w:p>
        </w:tc>
        <w:tc>
          <w:tcPr>
            <w:tcW w:w="1426" w:type="dxa"/>
            <w:tcBorders>
              <w:top w:val="nil"/>
              <w:left w:val="nil"/>
              <w:bottom w:val="nil"/>
            </w:tcBorders>
          </w:tcPr>
          <w:p w14:paraId="3E4FDEB1" w14:textId="331A9A26"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r>
      <w:tr w:rsidR="00EE533D" w:rsidRPr="00EE533D" w14:paraId="19BEF777" w14:textId="77777777" w:rsidTr="007467F2">
        <w:trPr>
          <w:trHeight w:val="71"/>
        </w:trPr>
        <w:tc>
          <w:tcPr>
            <w:tcW w:w="2806" w:type="dxa"/>
            <w:tcBorders>
              <w:top w:val="nil"/>
              <w:left w:val="nil"/>
              <w:bottom w:val="nil"/>
              <w:right w:val="nil"/>
            </w:tcBorders>
            <w:shd w:val="clear" w:color="auto" w:fill="auto"/>
            <w:noWrap/>
            <w:vAlign w:val="bottom"/>
          </w:tcPr>
          <w:p w14:paraId="58520CB2"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EBDE2CD" w14:textId="399740F3"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(0.124)</w:t>
            </w:r>
          </w:p>
        </w:tc>
        <w:tc>
          <w:tcPr>
            <w:tcW w:w="1498" w:type="dxa"/>
            <w:tcBorders>
              <w:top w:val="nil"/>
              <w:left w:val="nil"/>
              <w:bottom w:val="nil"/>
              <w:right w:val="nil"/>
            </w:tcBorders>
          </w:tcPr>
          <w:p w14:paraId="35B2C005" w14:textId="6CBA33F5"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(0.136)</w:t>
            </w:r>
          </w:p>
        </w:tc>
        <w:tc>
          <w:tcPr>
            <w:tcW w:w="1396" w:type="dxa"/>
            <w:tcBorders>
              <w:top w:val="nil"/>
              <w:left w:val="nil"/>
              <w:bottom w:val="nil"/>
              <w:right w:val="single" w:sz="12" w:space="0" w:color="auto"/>
            </w:tcBorders>
            <w:shd w:val="clear" w:color="auto" w:fill="auto"/>
            <w:noWrap/>
          </w:tcPr>
          <w:p w14:paraId="257D48B9" w14:textId="3ED9D801"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c>
          <w:tcPr>
            <w:tcW w:w="1434" w:type="dxa"/>
            <w:tcBorders>
              <w:top w:val="nil"/>
              <w:left w:val="single" w:sz="12" w:space="0" w:color="auto"/>
              <w:bottom w:val="nil"/>
            </w:tcBorders>
          </w:tcPr>
          <w:p w14:paraId="525BB0EE" w14:textId="57E5B978"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(0.125)</w:t>
            </w:r>
          </w:p>
        </w:tc>
        <w:tc>
          <w:tcPr>
            <w:tcW w:w="1390" w:type="dxa"/>
            <w:tcBorders>
              <w:top w:val="nil"/>
              <w:left w:val="nil"/>
              <w:bottom w:val="nil"/>
              <w:right w:val="nil"/>
            </w:tcBorders>
          </w:tcPr>
          <w:p w14:paraId="229F7E7E" w14:textId="305A4E09"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(0.140)</w:t>
            </w:r>
          </w:p>
        </w:tc>
        <w:tc>
          <w:tcPr>
            <w:tcW w:w="1426" w:type="dxa"/>
            <w:tcBorders>
              <w:top w:val="nil"/>
              <w:left w:val="nil"/>
              <w:bottom w:val="nil"/>
            </w:tcBorders>
          </w:tcPr>
          <w:p w14:paraId="5BC46E0E" w14:textId="5E1AF66C"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r>
      <w:tr w:rsidR="00EE533D" w:rsidRPr="00EE533D" w14:paraId="64B00CFD" w14:textId="77777777" w:rsidTr="007467F2">
        <w:trPr>
          <w:trHeight w:val="71"/>
        </w:trPr>
        <w:tc>
          <w:tcPr>
            <w:tcW w:w="2806" w:type="dxa"/>
            <w:tcBorders>
              <w:top w:val="nil"/>
              <w:left w:val="nil"/>
              <w:bottom w:val="nil"/>
              <w:right w:val="nil"/>
            </w:tcBorders>
            <w:shd w:val="clear" w:color="auto" w:fill="auto"/>
            <w:noWrap/>
            <w:vAlign w:val="bottom"/>
          </w:tcPr>
          <w:p w14:paraId="4E2844AE" w14:textId="5F0EEC30"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9DFA6BE" w14:textId="3030ED02"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-0.321***</w:t>
            </w:r>
          </w:p>
        </w:tc>
        <w:tc>
          <w:tcPr>
            <w:tcW w:w="1498" w:type="dxa"/>
            <w:tcBorders>
              <w:top w:val="nil"/>
              <w:left w:val="nil"/>
              <w:bottom w:val="nil"/>
              <w:right w:val="nil"/>
            </w:tcBorders>
          </w:tcPr>
          <w:p w14:paraId="140CB792" w14:textId="26DCFE4B"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-0.260</w:t>
            </w:r>
          </w:p>
        </w:tc>
        <w:tc>
          <w:tcPr>
            <w:tcW w:w="1396" w:type="dxa"/>
            <w:tcBorders>
              <w:top w:val="nil"/>
              <w:left w:val="nil"/>
              <w:bottom w:val="nil"/>
              <w:right w:val="single" w:sz="12" w:space="0" w:color="auto"/>
            </w:tcBorders>
            <w:shd w:val="clear" w:color="auto" w:fill="auto"/>
            <w:noWrap/>
          </w:tcPr>
          <w:p w14:paraId="46EB08EC" w14:textId="332A07D4"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4" w:type="dxa"/>
            <w:tcBorders>
              <w:top w:val="nil"/>
              <w:left w:val="single" w:sz="12" w:space="0" w:color="auto"/>
              <w:bottom w:val="nil"/>
            </w:tcBorders>
          </w:tcPr>
          <w:p w14:paraId="41C21801" w14:textId="1A44E3DC"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-0.335***</w:t>
            </w:r>
          </w:p>
        </w:tc>
        <w:tc>
          <w:tcPr>
            <w:tcW w:w="1390" w:type="dxa"/>
            <w:tcBorders>
              <w:top w:val="nil"/>
              <w:left w:val="nil"/>
              <w:bottom w:val="nil"/>
              <w:right w:val="nil"/>
            </w:tcBorders>
          </w:tcPr>
          <w:p w14:paraId="4E1FC923" w14:textId="1C5202C1"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-0.269</w:t>
            </w:r>
          </w:p>
        </w:tc>
        <w:tc>
          <w:tcPr>
            <w:tcW w:w="1426" w:type="dxa"/>
            <w:tcBorders>
              <w:top w:val="nil"/>
              <w:left w:val="nil"/>
              <w:bottom w:val="nil"/>
            </w:tcBorders>
          </w:tcPr>
          <w:p w14:paraId="34741756" w14:textId="6D0D23C6"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29B3C78E" w14:textId="77777777" w:rsidTr="007467F2">
        <w:trPr>
          <w:trHeight w:val="71"/>
        </w:trPr>
        <w:tc>
          <w:tcPr>
            <w:tcW w:w="2806" w:type="dxa"/>
            <w:tcBorders>
              <w:top w:val="nil"/>
              <w:left w:val="nil"/>
              <w:bottom w:val="nil"/>
              <w:right w:val="nil"/>
            </w:tcBorders>
            <w:shd w:val="clear" w:color="auto" w:fill="auto"/>
            <w:noWrap/>
            <w:vAlign w:val="bottom"/>
          </w:tcPr>
          <w:p w14:paraId="50EF4271"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5D4BE8C" w14:textId="05BF6B35"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(0.083)</w:t>
            </w:r>
          </w:p>
        </w:tc>
        <w:tc>
          <w:tcPr>
            <w:tcW w:w="1498" w:type="dxa"/>
            <w:tcBorders>
              <w:top w:val="nil"/>
              <w:left w:val="nil"/>
              <w:bottom w:val="nil"/>
              <w:right w:val="nil"/>
            </w:tcBorders>
          </w:tcPr>
          <w:p w14:paraId="4D9EBE00" w14:textId="2EF0D016"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(0.247)</w:t>
            </w:r>
          </w:p>
        </w:tc>
        <w:tc>
          <w:tcPr>
            <w:tcW w:w="1396" w:type="dxa"/>
            <w:tcBorders>
              <w:top w:val="nil"/>
              <w:left w:val="nil"/>
              <w:bottom w:val="nil"/>
              <w:right w:val="single" w:sz="12" w:space="0" w:color="auto"/>
            </w:tcBorders>
            <w:shd w:val="clear" w:color="auto" w:fill="auto"/>
            <w:noWrap/>
          </w:tcPr>
          <w:p w14:paraId="5DEBE83B" w14:textId="2814D61B"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34" w:type="dxa"/>
            <w:tcBorders>
              <w:top w:val="nil"/>
              <w:left w:val="single" w:sz="12" w:space="0" w:color="auto"/>
              <w:bottom w:val="nil"/>
            </w:tcBorders>
          </w:tcPr>
          <w:p w14:paraId="3E38FE4B" w14:textId="3D870994"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(0.093)</w:t>
            </w:r>
          </w:p>
        </w:tc>
        <w:tc>
          <w:tcPr>
            <w:tcW w:w="1390" w:type="dxa"/>
            <w:tcBorders>
              <w:top w:val="nil"/>
              <w:left w:val="nil"/>
              <w:bottom w:val="nil"/>
              <w:right w:val="nil"/>
            </w:tcBorders>
          </w:tcPr>
          <w:p w14:paraId="2B805B70" w14:textId="637E31DD"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(0.238)</w:t>
            </w:r>
          </w:p>
        </w:tc>
        <w:tc>
          <w:tcPr>
            <w:tcW w:w="1426" w:type="dxa"/>
            <w:tcBorders>
              <w:top w:val="nil"/>
              <w:left w:val="nil"/>
              <w:bottom w:val="nil"/>
            </w:tcBorders>
          </w:tcPr>
          <w:p w14:paraId="7640A982" w14:textId="286570C4"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r>
      <w:tr w:rsidR="00EE533D" w:rsidRPr="00EE533D" w14:paraId="13150F09" w14:textId="77777777" w:rsidTr="007467F2">
        <w:trPr>
          <w:trHeight w:val="71"/>
        </w:trPr>
        <w:tc>
          <w:tcPr>
            <w:tcW w:w="2806" w:type="dxa"/>
            <w:tcBorders>
              <w:top w:val="nil"/>
              <w:left w:val="nil"/>
              <w:bottom w:val="nil"/>
              <w:right w:val="nil"/>
            </w:tcBorders>
            <w:shd w:val="clear" w:color="auto" w:fill="auto"/>
            <w:noWrap/>
            <w:vAlign w:val="bottom"/>
          </w:tcPr>
          <w:p w14:paraId="70FB58A4"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75848569" w14:textId="7672EB0B"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125.775</w:t>
            </w:r>
          </w:p>
        </w:tc>
        <w:tc>
          <w:tcPr>
            <w:tcW w:w="1498" w:type="dxa"/>
            <w:tcBorders>
              <w:top w:val="nil"/>
              <w:left w:val="nil"/>
              <w:bottom w:val="nil"/>
              <w:right w:val="nil"/>
            </w:tcBorders>
          </w:tcPr>
          <w:p w14:paraId="77FEF478" w14:textId="47151AAC"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-406.707**</w:t>
            </w:r>
          </w:p>
        </w:tc>
        <w:tc>
          <w:tcPr>
            <w:tcW w:w="1396" w:type="dxa"/>
            <w:tcBorders>
              <w:top w:val="nil"/>
              <w:left w:val="nil"/>
              <w:bottom w:val="nil"/>
              <w:right w:val="single" w:sz="12" w:space="0" w:color="auto"/>
            </w:tcBorders>
            <w:shd w:val="clear" w:color="auto" w:fill="auto"/>
            <w:noWrap/>
          </w:tcPr>
          <w:p w14:paraId="0AF58C05" w14:textId="7F459912"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19.599**</w:t>
            </w:r>
          </w:p>
        </w:tc>
        <w:tc>
          <w:tcPr>
            <w:tcW w:w="1434" w:type="dxa"/>
            <w:tcBorders>
              <w:top w:val="nil"/>
              <w:left w:val="single" w:sz="12" w:space="0" w:color="auto"/>
              <w:bottom w:val="nil"/>
            </w:tcBorders>
          </w:tcPr>
          <w:p w14:paraId="09094900" w14:textId="679DAEC5"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147.030</w:t>
            </w:r>
          </w:p>
        </w:tc>
        <w:tc>
          <w:tcPr>
            <w:tcW w:w="1390" w:type="dxa"/>
            <w:tcBorders>
              <w:top w:val="nil"/>
              <w:left w:val="nil"/>
              <w:bottom w:val="nil"/>
              <w:right w:val="nil"/>
            </w:tcBorders>
          </w:tcPr>
          <w:p w14:paraId="44424CC8" w14:textId="5FC6846D"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-384.404**</w:t>
            </w:r>
          </w:p>
        </w:tc>
        <w:tc>
          <w:tcPr>
            <w:tcW w:w="1426" w:type="dxa"/>
            <w:tcBorders>
              <w:top w:val="nil"/>
              <w:left w:val="nil"/>
              <w:bottom w:val="nil"/>
            </w:tcBorders>
          </w:tcPr>
          <w:p w14:paraId="3E886EF2" w14:textId="0ACC314A"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22.653**</w:t>
            </w:r>
          </w:p>
        </w:tc>
      </w:tr>
      <w:tr w:rsidR="00EE533D" w:rsidRPr="00EE533D" w14:paraId="6379E594" w14:textId="77777777" w:rsidTr="007467F2">
        <w:trPr>
          <w:trHeight w:val="71"/>
        </w:trPr>
        <w:tc>
          <w:tcPr>
            <w:tcW w:w="2806" w:type="dxa"/>
            <w:tcBorders>
              <w:top w:val="nil"/>
              <w:left w:val="nil"/>
              <w:bottom w:val="single" w:sz="12" w:space="0" w:color="auto"/>
              <w:right w:val="nil"/>
            </w:tcBorders>
            <w:shd w:val="clear" w:color="auto" w:fill="auto"/>
            <w:noWrap/>
            <w:vAlign w:val="bottom"/>
          </w:tcPr>
          <w:p w14:paraId="29EE8CEF"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single" w:sz="12" w:space="0" w:color="auto"/>
              <w:right w:val="nil"/>
            </w:tcBorders>
            <w:shd w:val="clear" w:color="auto" w:fill="auto"/>
            <w:noWrap/>
          </w:tcPr>
          <w:p w14:paraId="3FA17D4C" w14:textId="3781DCC6" w:rsidR="00A725F3" w:rsidRPr="00EE533D" w:rsidRDefault="00A725F3" w:rsidP="00A725F3">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(119.472)</w:t>
            </w:r>
          </w:p>
        </w:tc>
        <w:tc>
          <w:tcPr>
            <w:tcW w:w="1498" w:type="dxa"/>
            <w:tcBorders>
              <w:top w:val="nil"/>
              <w:left w:val="nil"/>
              <w:bottom w:val="single" w:sz="12" w:space="0" w:color="auto"/>
              <w:right w:val="nil"/>
            </w:tcBorders>
          </w:tcPr>
          <w:p w14:paraId="3150A999" w14:textId="5FED990F" w:rsidR="00A725F3" w:rsidRPr="00EE533D" w:rsidRDefault="00A725F3" w:rsidP="00A725F3">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(132.623)</w:t>
            </w:r>
          </w:p>
        </w:tc>
        <w:tc>
          <w:tcPr>
            <w:tcW w:w="1396" w:type="dxa"/>
            <w:tcBorders>
              <w:top w:val="nil"/>
              <w:left w:val="nil"/>
              <w:bottom w:val="single" w:sz="12" w:space="0" w:color="auto"/>
              <w:right w:val="single" w:sz="12" w:space="0" w:color="auto"/>
            </w:tcBorders>
            <w:shd w:val="clear" w:color="auto" w:fill="auto"/>
            <w:noWrap/>
          </w:tcPr>
          <w:p w14:paraId="7E871604" w14:textId="116CEBCE" w:rsidR="00A725F3" w:rsidRPr="00EE533D" w:rsidRDefault="00A725F3" w:rsidP="00A725F3">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(6.513)</w:t>
            </w:r>
          </w:p>
        </w:tc>
        <w:tc>
          <w:tcPr>
            <w:tcW w:w="1434" w:type="dxa"/>
            <w:tcBorders>
              <w:top w:val="nil"/>
              <w:left w:val="single" w:sz="12" w:space="0" w:color="auto"/>
              <w:bottom w:val="single" w:sz="12" w:space="0" w:color="auto"/>
            </w:tcBorders>
          </w:tcPr>
          <w:p w14:paraId="1F648394" w14:textId="463A1F13" w:rsidR="00A725F3" w:rsidRPr="00EE533D" w:rsidRDefault="00A725F3" w:rsidP="00A725F3">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(107.711)</w:t>
            </w:r>
          </w:p>
        </w:tc>
        <w:tc>
          <w:tcPr>
            <w:tcW w:w="1390" w:type="dxa"/>
            <w:tcBorders>
              <w:top w:val="nil"/>
              <w:left w:val="nil"/>
              <w:bottom w:val="single" w:sz="12" w:space="0" w:color="auto"/>
              <w:right w:val="nil"/>
            </w:tcBorders>
          </w:tcPr>
          <w:p w14:paraId="6E187C6F" w14:textId="710AD47D" w:rsidR="00A725F3" w:rsidRPr="00EE533D" w:rsidRDefault="00A725F3" w:rsidP="00A725F3">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(137.880)</w:t>
            </w:r>
          </w:p>
        </w:tc>
        <w:tc>
          <w:tcPr>
            <w:tcW w:w="1426" w:type="dxa"/>
            <w:tcBorders>
              <w:top w:val="nil"/>
              <w:left w:val="nil"/>
              <w:bottom w:val="single" w:sz="12" w:space="0" w:color="auto"/>
            </w:tcBorders>
          </w:tcPr>
          <w:p w14:paraId="3C6AACF4" w14:textId="13612A9A" w:rsidR="00A725F3" w:rsidRPr="00EE533D" w:rsidRDefault="00A725F3" w:rsidP="00A725F3">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(8.237)</w:t>
            </w:r>
          </w:p>
        </w:tc>
      </w:tr>
      <w:tr w:rsidR="00EE533D" w:rsidRPr="00EE533D" w14:paraId="39979A27" w14:textId="77777777" w:rsidTr="007467F2">
        <w:trPr>
          <w:trHeight w:val="104"/>
        </w:trPr>
        <w:tc>
          <w:tcPr>
            <w:tcW w:w="2806" w:type="dxa"/>
            <w:tcBorders>
              <w:top w:val="single" w:sz="12" w:space="0" w:color="auto"/>
              <w:left w:val="nil"/>
              <w:right w:val="nil"/>
            </w:tcBorders>
            <w:shd w:val="clear" w:color="auto" w:fill="auto"/>
            <w:noWrap/>
            <w:vAlign w:val="bottom"/>
          </w:tcPr>
          <w:p w14:paraId="56694FE8"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 xml:space="preserve">Observations </w:t>
            </w:r>
          </w:p>
        </w:tc>
        <w:tc>
          <w:tcPr>
            <w:tcW w:w="1417" w:type="dxa"/>
            <w:tcBorders>
              <w:top w:val="single" w:sz="12" w:space="0" w:color="auto"/>
              <w:left w:val="nil"/>
              <w:right w:val="nil"/>
            </w:tcBorders>
            <w:shd w:val="clear" w:color="auto" w:fill="auto"/>
            <w:noWrap/>
          </w:tcPr>
          <w:p w14:paraId="212B5BC3" w14:textId="27364988"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8065</w:t>
            </w:r>
          </w:p>
        </w:tc>
        <w:tc>
          <w:tcPr>
            <w:tcW w:w="1498" w:type="dxa"/>
            <w:tcBorders>
              <w:top w:val="single" w:sz="12" w:space="0" w:color="auto"/>
              <w:left w:val="nil"/>
              <w:right w:val="nil"/>
            </w:tcBorders>
          </w:tcPr>
          <w:p w14:paraId="176C1192" w14:textId="34FCB5C6"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1617</w:t>
            </w:r>
          </w:p>
        </w:tc>
        <w:tc>
          <w:tcPr>
            <w:tcW w:w="1396" w:type="dxa"/>
            <w:tcBorders>
              <w:top w:val="single" w:sz="12" w:space="0" w:color="auto"/>
              <w:left w:val="nil"/>
              <w:right w:val="single" w:sz="12" w:space="0" w:color="auto"/>
            </w:tcBorders>
            <w:shd w:val="clear" w:color="auto" w:fill="auto"/>
            <w:noWrap/>
          </w:tcPr>
          <w:p w14:paraId="27EADDB1" w14:textId="7DAE2488"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451</w:t>
            </w:r>
          </w:p>
        </w:tc>
        <w:tc>
          <w:tcPr>
            <w:tcW w:w="1434" w:type="dxa"/>
            <w:tcBorders>
              <w:top w:val="single" w:sz="12" w:space="0" w:color="auto"/>
              <w:left w:val="single" w:sz="12" w:space="0" w:color="auto"/>
            </w:tcBorders>
          </w:tcPr>
          <w:p w14:paraId="784785FF" w14:textId="1045A229"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7658</w:t>
            </w:r>
          </w:p>
        </w:tc>
        <w:tc>
          <w:tcPr>
            <w:tcW w:w="1390" w:type="dxa"/>
            <w:tcBorders>
              <w:top w:val="single" w:sz="12" w:space="0" w:color="auto"/>
              <w:left w:val="nil"/>
              <w:right w:val="nil"/>
            </w:tcBorders>
          </w:tcPr>
          <w:p w14:paraId="6AEC7867" w14:textId="498EE09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1580</w:t>
            </w:r>
          </w:p>
        </w:tc>
        <w:tc>
          <w:tcPr>
            <w:tcW w:w="1426" w:type="dxa"/>
            <w:tcBorders>
              <w:top w:val="single" w:sz="12" w:space="0" w:color="auto"/>
              <w:left w:val="nil"/>
            </w:tcBorders>
          </w:tcPr>
          <w:p w14:paraId="0CD3EF7F" w14:textId="1789924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430</w:t>
            </w:r>
          </w:p>
        </w:tc>
      </w:tr>
      <w:tr w:rsidR="00EE533D" w:rsidRPr="00EE533D" w14:paraId="46272A07" w14:textId="77777777" w:rsidTr="007467F2">
        <w:trPr>
          <w:trHeight w:val="104"/>
        </w:trPr>
        <w:tc>
          <w:tcPr>
            <w:tcW w:w="2806" w:type="dxa"/>
            <w:tcBorders>
              <w:left w:val="nil"/>
              <w:right w:val="nil"/>
            </w:tcBorders>
            <w:shd w:val="clear" w:color="auto" w:fill="auto"/>
            <w:noWrap/>
            <w:vAlign w:val="bottom"/>
          </w:tcPr>
          <w:p w14:paraId="08019ACB"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Firms</w:t>
            </w:r>
          </w:p>
        </w:tc>
        <w:tc>
          <w:tcPr>
            <w:tcW w:w="1417" w:type="dxa"/>
            <w:tcBorders>
              <w:left w:val="nil"/>
              <w:right w:val="nil"/>
            </w:tcBorders>
            <w:shd w:val="clear" w:color="auto" w:fill="auto"/>
            <w:noWrap/>
          </w:tcPr>
          <w:p w14:paraId="409C224E" w14:textId="04E1B475"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1096</w:t>
            </w:r>
          </w:p>
        </w:tc>
        <w:tc>
          <w:tcPr>
            <w:tcW w:w="1498" w:type="dxa"/>
            <w:tcBorders>
              <w:left w:val="nil"/>
              <w:right w:val="nil"/>
            </w:tcBorders>
          </w:tcPr>
          <w:p w14:paraId="40DCEBE5" w14:textId="35354FEB"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298</w:t>
            </w:r>
          </w:p>
        </w:tc>
        <w:tc>
          <w:tcPr>
            <w:tcW w:w="1396" w:type="dxa"/>
            <w:tcBorders>
              <w:left w:val="nil"/>
              <w:right w:val="single" w:sz="12" w:space="0" w:color="auto"/>
            </w:tcBorders>
            <w:shd w:val="clear" w:color="auto" w:fill="auto"/>
            <w:noWrap/>
          </w:tcPr>
          <w:p w14:paraId="765276B2" w14:textId="2DAA268C"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100</w:t>
            </w:r>
          </w:p>
        </w:tc>
        <w:tc>
          <w:tcPr>
            <w:tcW w:w="1434" w:type="dxa"/>
            <w:tcBorders>
              <w:left w:val="single" w:sz="12" w:space="0" w:color="auto"/>
            </w:tcBorders>
          </w:tcPr>
          <w:p w14:paraId="54A087F1" w14:textId="66BBDE08"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1096</w:t>
            </w:r>
          </w:p>
        </w:tc>
        <w:tc>
          <w:tcPr>
            <w:tcW w:w="1390" w:type="dxa"/>
            <w:tcBorders>
              <w:left w:val="nil"/>
              <w:right w:val="nil"/>
            </w:tcBorders>
          </w:tcPr>
          <w:p w14:paraId="2D8C1D5E" w14:textId="09413833"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296</w:t>
            </w:r>
          </w:p>
        </w:tc>
        <w:tc>
          <w:tcPr>
            <w:tcW w:w="1426" w:type="dxa"/>
            <w:tcBorders>
              <w:left w:val="nil"/>
            </w:tcBorders>
          </w:tcPr>
          <w:p w14:paraId="734F5971" w14:textId="2BA5EA2A"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97</w:t>
            </w:r>
          </w:p>
        </w:tc>
      </w:tr>
      <w:tr w:rsidR="00EE533D" w:rsidRPr="00EE533D" w14:paraId="43FA08FD" w14:textId="77777777" w:rsidTr="007467F2">
        <w:trPr>
          <w:trHeight w:val="104"/>
        </w:trPr>
        <w:tc>
          <w:tcPr>
            <w:tcW w:w="2806" w:type="dxa"/>
            <w:tcBorders>
              <w:left w:val="nil"/>
              <w:right w:val="nil"/>
            </w:tcBorders>
            <w:shd w:val="clear" w:color="auto" w:fill="auto"/>
            <w:noWrap/>
            <w:vAlign w:val="bottom"/>
          </w:tcPr>
          <w:p w14:paraId="6784309F" w14:textId="7777777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Within-R</w:t>
            </w:r>
          </w:p>
        </w:tc>
        <w:tc>
          <w:tcPr>
            <w:tcW w:w="1417" w:type="dxa"/>
            <w:tcBorders>
              <w:left w:val="nil"/>
              <w:right w:val="nil"/>
            </w:tcBorders>
            <w:shd w:val="clear" w:color="auto" w:fill="auto"/>
            <w:noWrap/>
          </w:tcPr>
          <w:p w14:paraId="554A3B0C" w14:textId="4A484FF9"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98" w:type="dxa"/>
            <w:tcBorders>
              <w:left w:val="nil"/>
              <w:right w:val="nil"/>
            </w:tcBorders>
          </w:tcPr>
          <w:p w14:paraId="1BC81BCB" w14:textId="142DC3B7"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0.064</w:t>
            </w:r>
          </w:p>
        </w:tc>
        <w:tc>
          <w:tcPr>
            <w:tcW w:w="1396" w:type="dxa"/>
            <w:tcBorders>
              <w:left w:val="nil"/>
              <w:right w:val="single" w:sz="12" w:space="0" w:color="auto"/>
            </w:tcBorders>
            <w:shd w:val="clear" w:color="auto" w:fill="auto"/>
            <w:noWrap/>
          </w:tcPr>
          <w:p w14:paraId="66DF0BD1" w14:textId="0E23C592"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0.116</w:t>
            </w:r>
          </w:p>
        </w:tc>
        <w:tc>
          <w:tcPr>
            <w:tcW w:w="1434" w:type="dxa"/>
            <w:tcBorders>
              <w:left w:val="single" w:sz="12" w:space="0" w:color="auto"/>
            </w:tcBorders>
          </w:tcPr>
          <w:p w14:paraId="15D53F4C" w14:textId="1CC9D276"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390" w:type="dxa"/>
            <w:tcBorders>
              <w:left w:val="nil"/>
              <w:right w:val="nil"/>
            </w:tcBorders>
          </w:tcPr>
          <w:p w14:paraId="30EA0F71" w14:textId="42A50152"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0.068</w:t>
            </w:r>
          </w:p>
        </w:tc>
        <w:tc>
          <w:tcPr>
            <w:tcW w:w="1426" w:type="dxa"/>
            <w:tcBorders>
              <w:left w:val="nil"/>
            </w:tcBorders>
          </w:tcPr>
          <w:p w14:paraId="1E5F2ACF" w14:textId="0FACF5BA" w:rsidR="00A725F3" w:rsidRPr="00EE533D" w:rsidRDefault="00A725F3" w:rsidP="00A725F3">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0.133</w:t>
            </w:r>
          </w:p>
        </w:tc>
      </w:tr>
      <w:tr w:rsidR="00EE533D" w:rsidRPr="00EE533D" w14:paraId="66D8ADFA" w14:textId="77777777" w:rsidTr="007467F2">
        <w:trPr>
          <w:trHeight w:val="104"/>
        </w:trPr>
        <w:tc>
          <w:tcPr>
            <w:tcW w:w="2806" w:type="dxa"/>
            <w:tcBorders>
              <w:left w:val="nil"/>
              <w:right w:val="nil"/>
            </w:tcBorders>
            <w:shd w:val="clear" w:color="auto" w:fill="auto"/>
            <w:noWrap/>
            <w:vAlign w:val="bottom"/>
          </w:tcPr>
          <w:p w14:paraId="6A3797D1" w14:textId="5346304F"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and firm effects</w:t>
            </w:r>
          </w:p>
        </w:tc>
        <w:tc>
          <w:tcPr>
            <w:tcW w:w="1417" w:type="dxa"/>
            <w:tcBorders>
              <w:left w:val="nil"/>
              <w:right w:val="nil"/>
            </w:tcBorders>
            <w:shd w:val="clear" w:color="auto" w:fill="auto"/>
            <w:noWrap/>
            <w:vAlign w:val="bottom"/>
          </w:tcPr>
          <w:p w14:paraId="71C818D2"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98" w:type="dxa"/>
            <w:tcBorders>
              <w:left w:val="nil"/>
              <w:right w:val="nil"/>
            </w:tcBorders>
            <w:vAlign w:val="bottom"/>
          </w:tcPr>
          <w:p w14:paraId="246D1FB6"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6" w:type="dxa"/>
            <w:tcBorders>
              <w:left w:val="nil"/>
              <w:right w:val="single" w:sz="12" w:space="0" w:color="auto"/>
            </w:tcBorders>
            <w:shd w:val="clear" w:color="auto" w:fill="auto"/>
            <w:noWrap/>
            <w:vAlign w:val="bottom"/>
          </w:tcPr>
          <w:p w14:paraId="0966407E"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34" w:type="dxa"/>
            <w:tcBorders>
              <w:left w:val="single" w:sz="12" w:space="0" w:color="auto"/>
            </w:tcBorders>
            <w:vAlign w:val="bottom"/>
          </w:tcPr>
          <w:p w14:paraId="32C4DE2B"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0" w:type="dxa"/>
            <w:tcBorders>
              <w:left w:val="nil"/>
              <w:right w:val="nil"/>
            </w:tcBorders>
            <w:vAlign w:val="bottom"/>
          </w:tcPr>
          <w:p w14:paraId="458BDA88"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26" w:type="dxa"/>
            <w:tcBorders>
              <w:left w:val="nil"/>
            </w:tcBorders>
            <w:vAlign w:val="bottom"/>
          </w:tcPr>
          <w:p w14:paraId="214B751D" w14:textId="77777777" w:rsidR="001B583B" w:rsidRPr="00EE533D" w:rsidRDefault="001B583B" w:rsidP="001B583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43397B1F" w14:textId="77777777" w:rsidTr="00595D11">
        <w:trPr>
          <w:trHeight w:val="421"/>
        </w:trPr>
        <w:tc>
          <w:tcPr>
            <w:tcW w:w="11367" w:type="dxa"/>
            <w:gridSpan w:val="7"/>
            <w:tcBorders>
              <w:top w:val="single" w:sz="12" w:space="0" w:color="auto"/>
              <w:left w:val="nil"/>
            </w:tcBorders>
            <w:shd w:val="clear" w:color="auto" w:fill="auto"/>
            <w:noWrap/>
          </w:tcPr>
          <w:p w14:paraId="219744DC" w14:textId="77777777" w:rsidR="001B583B" w:rsidRPr="00EE533D" w:rsidRDefault="001B583B" w:rsidP="00595D11">
            <w:pPr>
              <w:spacing w:after="0"/>
              <w:jc w:val="both"/>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a panel regression approach with time effects and firms’ fixed effects. </w:t>
            </w:r>
            <w:r w:rsidRPr="00EE533D">
              <w:rPr>
                <w:rFonts w:ascii="Times New Roman" w:eastAsia="Times New Roman" w:hAnsi="Times New Roman" w:cs="Times New Roman"/>
                <w:sz w:val="14"/>
                <w:szCs w:val="14"/>
                <w:lang w:val="en-GB" w:eastAsia="el-GR"/>
              </w:rPr>
              <w:t>Standard errors clustered at industry level</w:t>
            </w:r>
            <w:r w:rsidRPr="00EE533D">
              <w:rPr>
                <w:rFonts w:ascii="Times New Roman" w:eastAsia="Times New Roman" w:hAnsi="Times New Roman" w:cs="Times New Roman"/>
                <w:sz w:val="14"/>
                <w:szCs w:val="14"/>
                <w:lang w:val="en-GB"/>
              </w:rPr>
              <w:t xml:space="preserve"> are reported in parentheses. * indicates significance at the 10% level, ** at the 5% level and *** at the 1% level.</w:t>
            </w:r>
          </w:p>
        </w:tc>
      </w:tr>
    </w:tbl>
    <w:p w14:paraId="0F352DE1" w14:textId="116F16DC" w:rsidR="009C4656" w:rsidRPr="00EE533D" w:rsidRDefault="007467F2" w:rsidP="007467F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p w14:paraId="6DCCBBC1" w14:textId="62CBFB39" w:rsidR="009C4656" w:rsidRPr="00EE533D" w:rsidRDefault="009C4656">
      <w:pPr>
        <w:spacing w:line="259" w:lineRule="auto"/>
        <w:rPr>
          <w:rFonts w:asciiTheme="majorBidi" w:hAnsiTheme="majorBidi" w:cstheme="majorBidi"/>
          <w:sz w:val="24"/>
          <w:szCs w:val="24"/>
          <w:lang w:val="en-GB"/>
        </w:rPr>
      </w:pP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426"/>
      </w:tblGrid>
      <w:tr w:rsidR="00EE533D" w:rsidRPr="00EE533D" w14:paraId="0F133340" w14:textId="77777777" w:rsidTr="00F4319C">
        <w:trPr>
          <w:trHeight w:val="68"/>
        </w:trPr>
        <w:tc>
          <w:tcPr>
            <w:tcW w:w="11367" w:type="dxa"/>
            <w:gridSpan w:val="7"/>
            <w:tcBorders>
              <w:left w:val="nil"/>
              <w:right w:val="nil"/>
            </w:tcBorders>
            <w:shd w:val="clear" w:color="auto" w:fill="auto"/>
            <w:noWrap/>
            <w:vAlign w:val="bottom"/>
          </w:tcPr>
          <w:p w14:paraId="624BC00A" w14:textId="77716645" w:rsidR="009C4656" w:rsidRPr="00EE533D" w:rsidRDefault="009C4656" w:rsidP="00F4319C">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Table 6. Institutional quality and corporate recycling performance.  Alternative financial variables</w:t>
            </w:r>
          </w:p>
        </w:tc>
      </w:tr>
      <w:tr w:rsidR="00EE533D" w:rsidRPr="00EE533D" w14:paraId="2AB25909" w14:textId="77777777" w:rsidTr="00F4319C">
        <w:trPr>
          <w:trHeight w:val="20"/>
        </w:trPr>
        <w:tc>
          <w:tcPr>
            <w:tcW w:w="2806" w:type="dxa"/>
            <w:tcBorders>
              <w:left w:val="nil"/>
              <w:right w:val="nil"/>
            </w:tcBorders>
            <w:shd w:val="clear" w:color="auto" w:fill="auto"/>
            <w:noWrap/>
            <w:vAlign w:val="bottom"/>
          </w:tcPr>
          <w:p w14:paraId="6EA1DC23" w14:textId="77777777" w:rsidR="009C4656" w:rsidRPr="00EE533D" w:rsidRDefault="009C4656" w:rsidP="00F4319C">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Dependent variable:</w:t>
            </w:r>
          </w:p>
        </w:tc>
        <w:tc>
          <w:tcPr>
            <w:tcW w:w="1417" w:type="dxa"/>
            <w:tcBorders>
              <w:left w:val="nil"/>
              <w:bottom w:val="single" w:sz="12" w:space="0" w:color="auto"/>
              <w:right w:val="nil"/>
            </w:tcBorders>
            <w:shd w:val="clear" w:color="auto" w:fill="auto"/>
            <w:noWrap/>
          </w:tcPr>
          <w:p w14:paraId="52872C44" w14:textId="77777777" w:rsidR="009C4656" w:rsidRPr="00EE533D" w:rsidRDefault="009C4656" w:rsidP="00F4319C">
            <w:pPr>
              <w:spacing w:after="0" w:line="240" w:lineRule="auto"/>
              <w:jc w:val="center"/>
              <w:rPr>
                <w:rFonts w:ascii="Times New Roman" w:hAnsi="Times New Roman" w:cs="Times New Roman"/>
                <w:b/>
                <w:bCs/>
                <w:sz w:val="14"/>
                <w:szCs w:val="14"/>
                <w:lang w:val="en-GB"/>
              </w:rPr>
            </w:pPr>
          </w:p>
          <w:p w14:paraId="26BA08CB"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498" w:type="dxa"/>
            <w:tcBorders>
              <w:left w:val="nil"/>
              <w:bottom w:val="single" w:sz="12" w:space="0" w:color="auto"/>
              <w:right w:val="nil"/>
            </w:tcBorders>
          </w:tcPr>
          <w:p w14:paraId="49F0104A" w14:textId="77777777" w:rsidR="009C4656" w:rsidRPr="00EE533D" w:rsidRDefault="009C4656" w:rsidP="00F4319C">
            <w:pPr>
              <w:spacing w:after="0" w:line="240" w:lineRule="auto"/>
              <w:jc w:val="center"/>
              <w:rPr>
                <w:rFonts w:ascii="Times New Roman" w:hAnsi="Times New Roman" w:cs="Times New Roman"/>
                <w:b/>
                <w:bCs/>
                <w:sz w:val="14"/>
                <w:szCs w:val="14"/>
                <w:lang w:val="en-GB"/>
              </w:rPr>
            </w:pPr>
          </w:p>
          <w:p w14:paraId="19ADB7BC"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396" w:type="dxa"/>
            <w:tcBorders>
              <w:left w:val="nil"/>
              <w:bottom w:val="single" w:sz="12" w:space="0" w:color="auto"/>
              <w:right w:val="single" w:sz="12" w:space="0" w:color="auto"/>
            </w:tcBorders>
            <w:shd w:val="clear" w:color="auto" w:fill="auto"/>
            <w:noWrap/>
            <w:vAlign w:val="bottom"/>
          </w:tcPr>
          <w:p w14:paraId="386E5A66"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c>
          <w:tcPr>
            <w:tcW w:w="1434" w:type="dxa"/>
            <w:tcBorders>
              <w:left w:val="single" w:sz="12" w:space="0" w:color="auto"/>
              <w:bottom w:val="single" w:sz="12" w:space="0" w:color="auto"/>
            </w:tcBorders>
          </w:tcPr>
          <w:p w14:paraId="7C8ED03F" w14:textId="77777777" w:rsidR="009C4656" w:rsidRPr="00EE533D" w:rsidRDefault="009C4656" w:rsidP="00F4319C">
            <w:pPr>
              <w:spacing w:after="0" w:line="240" w:lineRule="auto"/>
              <w:jc w:val="center"/>
              <w:rPr>
                <w:rFonts w:ascii="Times New Roman" w:hAnsi="Times New Roman" w:cs="Times New Roman"/>
                <w:b/>
                <w:bCs/>
                <w:sz w:val="14"/>
                <w:szCs w:val="14"/>
                <w:lang w:val="en-GB"/>
              </w:rPr>
            </w:pPr>
          </w:p>
          <w:p w14:paraId="0DD7EEE3"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390" w:type="dxa"/>
            <w:tcBorders>
              <w:left w:val="nil"/>
              <w:bottom w:val="single" w:sz="12" w:space="0" w:color="auto"/>
              <w:right w:val="nil"/>
            </w:tcBorders>
          </w:tcPr>
          <w:p w14:paraId="2FF42074" w14:textId="77777777" w:rsidR="009C4656" w:rsidRPr="00EE533D" w:rsidRDefault="009C4656" w:rsidP="00F4319C">
            <w:pPr>
              <w:spacing w:after="0" w:line="240" w:lineRule="auto"/>
              <w:jc w:val="center"/>
              <w:rPr>
                <w:rFonts w:ascii="Times New Roman" w:hAnsi="Times New Roman" w:cs="Times New Roman"/>
                <w:b/>
                <w:bCs/>
                <w:sz w:val="14"/>
                <w:szCs w:val="14"/>
                <w:lang w:val="en-GB"/>
              </w:rPr>
            </w:pPr>
          </w:p>
          <w:p w14:paraId="438DDF80"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426" w:type="dxa"/>
            <w:tcBorders>
              <w:left w:val="nil"/>
              <w:bottom w:val="single" w:sz="12" w:space="0" w:color="auto"/>
            </w:tcBorders>
          </w:tcPr>
          <w:p w14:paraId="34C417C7" w14:textId="77777777" w:rsidR="009C4656" w:rsidRPr="00EE533D" w:rsidRDefault="009C4656" w:rsidP="00F4319C">
            <w:pPr>
              <w:spacing w:after="0" w:line="240" w:lineRule="auto"/>
              <w:jc w:val="center"/>
              <w:rPr>
                <w:rFonts w:ascii="Times New Roman" w:hAnsi="Times New Roman" w:cs="Times New Roman"/>
                <w:b/>
                <w:bCs/>
                <w:sz w:val="14"/>
                <w:szCs w:val="14"/>
                <w:lang w:val="en-GB"/>
              </w:rPr>
            </w:pPr>
          </w:p>
          <w:p w14:paraId="61D104CF" w14:textId="77777777" w:rsidR="009C4656" w:rsidRPr="00EE533D" w:rsidRDefault="009C4656"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r>
      <w:tr w:rsidR="00EE533D" w:rsidRPr="00EE533D" w14:paraId="73154D7B" w14:textId="77777777" w:rsidTr="00F4319C">
        <w:trPr>
          <w:trHeight w:val="20"/>
        </w:trPr>
        <w:tc>
          <w:tcPr>
            <w:tcW w:w="2806" w:type="dxa"/>
            <w:tcBorders>
              <w:left w:val="nil"/>
              <w:bottom w:val="single" w:sz="12" w:space="0" w:color="auto"/>
              <w:right w:val="nil"/>
            </w:tcBorders>
            <w:shd w:val="clear" w:color="auto" w:fill="auto"/>
            <w:noWrap/>
            <w:vAlign w:val="bottom"/>
          </w:tcPr>
          <w:p w14:paraId="170E6DF6" w14:textId="77777777" w:rsidR="009C4656" w:rsidRPr="00EE533D" w:rsidRDefault="009C4656" w:rsidP="00F4319C">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417" w:type="dxa"/>
            <w:tcBorders>
              <w:left w:val="nil"/>
              <w:bottom w:val="single" w:sz="12" w:space="0" w:color="auto"/>
              <w:right w:val="nil"/>
            </w:tcBorders>
            <w:shd w:val="clear" w:color="auto" w:fill="auto"/>
            <w:noWrap/>
            <w:vAlign w:val="bottom"/>
          </w:tcPr>
          <w:p w14:paraId="1F9D38FB"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498" w:type="dxa"/>
            <w:tcBorders>
              <w:left w:val="nil"/>
              <w:bottom w:val="single" w:sz="12" w:space="0" w:color="auto"/>
              <w:right w:val="nil"/>
            </w:tcBorders>
            <w:vAlign w:val="bottom"/>
          </w:tcPr>
          <w:p w14:paraId="6D9FBB04" w14:textId="77777777" w:rsidR="009C4656" w:rsidRPr="00EE533D" w:rsidRDefault="009C4656"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396" w:type="dxa"/>
            <w:tcBorders>
              <w:left w:val="nil"/>
              <w:bottom w:val="single" w:sz="12" w:space="0" w:color="auto"/>
              <w:right w:val="single" w:sz="12" w:space="0" w:color="auto"/>
            </w:tcBorders>
            <w:shd w:val="clear" w:color="auto" w:fill="auto"/>
            <w:noWrap/>
            <w:vAlign w:val="bottom"/>
          </w:tcPr>
          <w:p w14:paraId="23D66D62" w14:textId="77777777" w:rsidR="009C4656" w:rsidRPr="00EE533D" w:rsidRDefault="009C4656"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34" w:type="dxa"/>
            <w:tcBorders>
              <w:left w:val="single" w:sz="12" w:space="0" w:color="auto"/>
              <w:bottom w:val="single" w:sz="12" w:space="0" w:color="auto"/>
            </w:tcBorders>
            <w:vAlign w:val="bottom"/>
          </w:tcPr>
          <w:p w14:paraId="742F15DA" w14:textId="77777777" w:rsidR="009C4656" w:rsidRPr="00EE533D" w:rsidRDefault="009C4656"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0" w:type="dxa"/>
            <w:tcBorders>
              <w:left w:val="nil"/>
              <w:bottom w:val="single" w:sz="12" w:space="0" w:color="auto"/>
              <w:right w:val="nil"/>
            </w:tcBorders>
            <w:vAlign w:val="bottom"/>
          </w:tcPr>
          <w:p w14:paraId="4D663073" w14:textId="77777777" w:rsidR="009C4656" w:rsidRPr="00EE533D" w:rsidRDefault="009C4656"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26" w:type="dxa"/>
            <w:tcBorders>
              <w:left w:val="nil"/>
              <w:bottom w:val="single" w:sz="12" w:space="0" w:color="auto"/>
            </w:tcBorders>
            <w:vAlign w:val="bottom"/>
          </w:tcPr>
          <w:p w14:paraId="645D871D" w14:textId="77777777" w:rsidR="009C4656" w:rsidRPr="00EE533D" w:rsidRDefault="009C4656"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7E35F06A" w14:textId="77777777" w:rsidTr="00F4319C">
        <w:trPr>
          <w:trHeight w:val="20"/>
        </w:trPr>
        <w:tc>
          <w:tcPr>
            <w:tcW w:w="2806" w:type="dxa"/>
            <w:tcBorders>
              <w:top w:val="nil"/>
              <w:left w:val="nil"/>
              <w:bottom w:val="nil"/>
              <w:right w:val="nil"/>
            </w:tcBorders>
            <w:shd w:val="clear" w:color="auto" w:fill="auto"/>
            <w:noWrap/>
          </w:tcPr>
          <w:p w14:paraId="134A61BF" w14:textId="77777777" w:rsidR="00EF0FE9" w:rsidRPr="00EE533D" w:rsidRDefault="00EF0FE9" w:rsidP="00EF0FE9">
            <w:pPr>
              <w:spacing w:after="0" w:line="240" w:lineRule="auto"/>
              <w:jc w:val="center"/>
              <w:rPr>
                <w:rFonts w:ascii="Times New Roman" w:eastAsia="Times New Roman" w:hAnsi="Times New Roman" w:cs="Times New Roman"/>
                <w:sz w:val="14"/>
                <w:szCs w:val="14"/>
                <w:vertAlign w:val="subscript"/>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7948BD1" w14:textId="3E1FC810"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0.323</w:t>
            </w:r>
          </w:p>
        </w:tc>
        <w:tc>
          <w:tcPr>
            <w:tcW w:w="1498" w:type="dxa"/>
            <w:tcBorders>
              <w:top w:val="nil"/>
              <w:left w:val="nil"/>
              <w:bottom w:val="nil"/>
              <w:right w:val="nil"/>
            </w:tcBorders>
          </w:tcPr>
          <w:p w14:paraId="08C4A9F2" w14:textId="27699191"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-10.560*</w:t>
            </w:r>
          </w:p>
        </w:tc>
        <w:tc>
          <w:tcPr>
            <w:tcW w:w="1396" w:type="dxa"/>
            <w:tcBorders>
              <w:top w:val="nil"/>
              <w:left w:val="nil"/>
              <w:bottom w:val="nil"/>
              <w:right w:val="single" w:sz="12" w:space="0" w:color="auto"/>
            </w:tcBorders>
            <w:shd w:val="clear" w:color="auto" w:fill="auto"/>
            <w:noWrap/>
          </w:tcPr>
          <w:p w14:paraId="7BB8544B" w14:textId="2878C38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-0.080</w:t>
            </w:r>
          </w:p>
        </w:tc>
        <w:tc>
          <w:tcPr>
            <w:tcW w:w="1434" w:type="dxa"/>
            <w:tcBorders>
              <w:top w:val="nil"/>
              <w:left w:val="single" w:sz="12" w:space="0" w:color="auto"/>
              <w:bottom w:val="nil"/>
            </w:tcBorders>
          </w:tcPr>
          <w:p w14:paraId="6986C7F7" w14:textId="77644EE6"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-0.794</w:t>
            </w:r>
          </w:p>
        </w:tc>
        <w:tc>
          <w:tcPr>
            <w:tcW w:w="1390" w:type="dxa"/>
            <w:tcBorders>
              <w:top w:val="nil"/>
              <w:left w:val="nil"/>
              <w:bottom w:val="nil"/>
              <w:right w:val="nil"/>
            </w:tcBorders>
          </w:tcPr>
          <w:p w14:paraId="72B23F58" w14:textId="035569A5"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-11.837**</w:t>
            </w:r>
          </w:p>
        </w:tc>
        <w:tc>
          <w:tcPr>
            <w:tcW w:w="1426" w:type="dxa"/>
            <w:tcBorders>
              <w:top w:val="nil"/>
              <w:left w:val="nil"/>
              <w:bottom w:val="nil"/>
            </w:tcBorders>
          </w:tcPr>
          <w:p w14:paraId="3B351365" w14:textId="067E26D2"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-0.148</w:t>
            </w:r>
          </w:p>
        </w:tc>
      </w:tr>
      <w:tr w:rsidR="00EE533D" w:rsidRPr="00EE533D" w14:paraId="752BC565" w14:textId="77777777" w:rsidTr="00F4319C">
        <w:trPr>
          <w:trHeight w:val="20"/>
        </w:trPr>
        <w:tc>
          <w:tcPr>
            <w:tcW w:w="2806" w:type="dxa"/>
            <w:tcBorders>
              <w:top w:val="nil"/>
              <w:left w:val="nil"/>
              <w:bottom w:val="nil"/>
              <w:right w:val="nil"/>
            </w:tcBorders>
            <w:shd w:val="clear" w:color="auto" w:fill="auto"/>
            <w:noWrap/>
          </w:tcPr>
          <w:p w14:paraId="765513D5"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8E6C000" w14:textId="1E022242"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(2.171)</w:t>
            </w:r>
          </w:p>
        </w:tc>
        <w:tc>
          <w:tcPr>
            <w:tcW w:w="1498" w:type="dxa"/>
            <w:tcBorders>
              <w:top w:val="nil"/>
              <w:left w:val="nil"/>
              <w:bottom w:val="nil"/>
              <w:right w:val="nil"/>
            </w:tcBorders>
          </w:tcPr>
          <w:p w14:paraId="07608FF4" w14:textId="4D67021B"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(5.227)</w:t>
            </w:r>
          </w:p>
        </w:tc>
        <w:tc>
          <w:tcPr>
            <w:tcW w:w="1396" w:type="dxa"/>
            <w:tcBorders>
              <w:top w:val="nil"/>
              <w:left w:val="nil"/>
              <w:bottom w:val="nil"/>
              <w:right w:val="single" w:sz="12" w:space="0" w:color="auto"/>
            </w:tcBorders>
            <w:shd w:val="clear" w:color="auto" w:fill="auto"/>
            <w:noWrap/>
          </w:tcPr>
          <w:p w14:paraId="1E7F2FDA" w14:textId="42FD70D7"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(0.286)</w:t>
            </w:r>
          </w:p>
        </w:tc>
        <w:tc>
          <w:tcPr>
            <w:tcW w:w="1434" w:type="dxa"/>
            <w:tcBorders>
              <w:top w:val="nil"/>
              <w:left w:val="single" w:sz="12" w:space="0" w:color="auto"/>
              <w:bottom w:val="nil"/>
            </w:tcBorders>
          </w:tcPr>
          <w:p w14:paraId="105B781E" w14:textId="6D2E1054"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(2.714)</w:t>
            </w:r>
          </w:p>
        </w:tc>
        <w:tc>
          <w:tcPr>
            <w:tcW w:w="1390" w:type="dxa"/>
            <w:tcBorders>
              <w:top w:val="nil"/>
              <w:left w:val="nil"/>
              <w:bottom w:val="nil"/>
              <w:right w:val="nil"/>
            </w:tcBorders>
          </w:tcPr>
          <w:p w14:paraId="201BDA09" w14:textId="68F206C3"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(4.893)</w:t>
            </w:r>
          </w:p>
        </w:tc>
        <w:tc>
          <w:tcPr>
            <w:tcW w:w="1426" w:type="dxa"/>
            <w:tcBorders>
              <w:top w:val="nil"/>
              <w:left w:val="nil"/>
              <w:bottom w:val="nil"/>
            </w:tcBorders>
          </w:tcPr>
          <w:p w14:paraId="67885B84" w14:textId="4BE5877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(0.311)</w:t>
            </w:r>
          </w:p>
        </w:tc>
      </w:tr>
      <w:tr w:rsidR="00EE533D" w:rsidRPr="00EE533D" w14:paraId="0AAFAA96" w14:textId="77777777" w:rsidTr="00F4319C">
        <w:trPr>
          <w:trHeight w:val="20"/>
        </w:trPr>
        <w:tc>
          <w:tcPr>
            <w:tcW w:w="2806" w:type="dxa"/>
            <w:tcBorders>
              <w:top w:val="nil"/>
              <w:left w:val="nil"/>
              <w:bottom w:val="nil"/>
              <w:right w:val="nil"/>
            </w:tcBorders>
            <w:shd w:val="clear" w:color="auto" w:fill="auto"/>
            <w:noWrap/>
          </w:tcPr>
          <w:p w14:paraId="2B40A9DB"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AC0FB44" w14:textId="369B3F50"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3.583</w:t>
            </w:r>
          </w:p>
        </w:tc>
        <w:tc>
          <w:tcPr>
            <w:tcW w:w="1498" w:type="dxa"/>
            <w:tcBorders>
              <w:top w:val="nil"/>
              <w:left w:val="nil"/>
              <w:bottom w:val="nil"/>
              <w:right w:val="nil"/>
            </w:tcBorders>
          </w:tcPr>
          <w:p w14:paraId="08744F33" w14:textId="218BC2A7"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3.435</w:t>
            </w:r>
          </w:p>
        </w:tc>
        <w:tc>
          <w:tcPr>
            <w:tcW w:w="1396" w:type="dxa"/>
            <w:tcBorders>
              <w:top w:val="nil"/>
              <w:left w:val="nil"/>
              <w:bottom w:val="nil"/>
              <w:right w:val="single" w:sz="12" w:space="0" w:color="auto"/>
            </w:tcBorders>
            <w:shd w:val="clear" w:color="auto" w:fill="auto"/>
            <w:noWrap/>
          </w:tcPr>
          <w:p w14:paraId="710F15CA" w14:textId="5685E806"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0.069</w:t>
            </w:r>
          </w:p>
        </w:tc>
        <w:tc>
          <w:tcPr>
            <w:tcW w:w="1434" w:type="dxa"/>
            <w:tcBorders>
              <w:top w:val="nil"/>
              <w:left w:val="single" w:sz="12" w:space="0" w:color="auto"/>
              <w:bottom w:val="nil"/>
            </w:tcBorders>
          </w:tcPr>
          <w:p w14:paraId="6AC3E469" w14:textId="5DD1EFA8"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3.892</w:t>
            </w:r>
          </w:p>
        </w:tc>
        <w:tc>
          <w:tcPr>
            <w:tcW w:w="1390" w:type="dxa"/>
            <w:tcBorders>
              <w:top w:val="nil"/>
              <w:left w:val="nil"/>
              <w:bottom w:val="nil"/>
              <w:right w:val="nil"/>
            </w:tcBorders>
          </w:tcPr>
          <w:p w14:paraId="781E7E10" w14:textId="19E71B1C"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3.391</w:t>
            </w:r>
          </w:p>
        </w:tc>
        <w:tc>
          <w:tcPr>
            <w:tcW w:w="1426" w:type="dxa"/>
            <w:tcBorders>
              <w:top w:val="nil"/>
              <w:left w:val="nil"/>
              <w:bottom w:val="nil"/>
            </w:tcBorders>
          </w:tcPr>
          <w:p w14:paraId="44D7178F" w14:textId="106FEA87"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0.366</w:t>
            </w:r>
          </w:p>
        </w:tc>
      </w:tr>
      <w:tr w:rsidR="00EE533D" w:rsidRPr="00EE533D" w14:paraId="4BD1F070" w14:textId="77777777" w:rsidTr="00F4319C">
        <w:trPr>
          <w:trHeight w:val="20"/>
        </w:trPr>
        <w:tc>
          <w:tcPr>
            <w:tcW w:w="2806" w:type="dxa"/>
            <w:tcBorders>
              <w:top w:val="nil"/>
              <w:left w:val="nil"/>
              <w:bottom w:val="nil"/>
              <w:right w:val="nil"/>
            </w:tcBorders>
            <w:shd w:val="clear" w:color="auto" w:fill="auto"/>
            <w:noWrap/>
          </w:tcPr>
          <w:p w14:paraId="102FE39C"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83B841B" w14:textId="7670B6F8"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(2.247)</w:t>
            </w:r>
          </w:p>
        </w:tc>
        <w:tc>
          <w:tcPr>
            <w:tcW w:w="1498" w:type="dxa"/>
            <w:tcBorders>
              <w:top w:val="nil"/>
              <w:left w:val="nil"/>
              <w:bottom w:val="nil"/>
              <w:right w:val="nil"/>
            </w:tcBorders>
          </w:tcPr>
          <w:p w14:paraId="3E47CEA2" w14:textId="6C33EB52"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(4.907)</w:t>
            </w:r>
          </w:p>
        </w:tc>
        <w:tc>
          <w:tcPr>
            <w:tcW w:w="1396" w:type="dxa"/>
            <w:tcBorders>
              <w:top w:val="nil"/>
              <w:left w:val="nil"/>
              <w:bottom w:val="nil"/>
              <w:right w:val="single" w:sz="12" w:space="0" w:color="auto"/>
            </w:tcBorders>
            <w:shd w:val="clear" w:color="auto" w:fill="auto"/>
            <w:noWrap/>
          </w:tcPr>
          <w:p w14:paraId="63CEF9FC" w14:textId="512A993A"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(0.346)</w:t>
            </w:r>
          </w:p>
        </w:tc>
        <w:tc>
          <w:tcPr>
            <w:tcW w:w="1434" w:type="dxa"/>
            <w:tcBorders>
              <w:top w:val="nil"/>
              <w:left w:val="single" w:sz="12" w:space="0" w:color="auto"/>
              <w:bottom w:val="nil"/>
            </w:tcBorders>
          </w:tcPr>
          <w:p w14:paraId="16593049" w14:textId="7870249E"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(2.379)</w:t>
            </w:r>
          </w:p>
        </w:tc>
        <w:tc>
          <w:tcPr>
            <w:tcW w:w="1390" w:type="dxa"/>
            <w:tcBorders>
              <w:top w:val="nil"/>
              <w:left w:val="nil"/>
              <w:bottom w:val="nil"/>
              <w:right w:val="nil"/>
            </w:tcBorders>
          </w:tcPr>
          <w:p w14:paraId="769E1E08" w14:textId="1C470AD7"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(5.029)</w:t>
            </w:r>
          </w:p>
        </w:tc>
        <w:tc>
          <w:tcPr>
            <w:tcW w:w="1426" w:type="dxa"/>
            <w:tcBorders>
              <w:top w:val="nil"/>
              <w:left w:val="nil"/>
              <w:bottom w:val="nil"/>
            </w:tcBorders>
          </w:tcPr>
          <w:p w14:paraId="2AF31DFB" w14:textId="43C6F00D"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(0.501)</w:t>
            </w:r>
          </w:p>
        </w:tc>
      </w:tr>
      <w:tr w:rsidR="00EE533D" w:rsidRPr="00EE533D" w14:paraId="728F6D33" w14:textId="77777777" w:rsidTr="00F4319C">
        <w:trPr>
          <w:trHeight w:val="20"/>
        </w:trPr>
        <w:tc>
          <w:tcPr>
            <w:tcW w:w="2806" w:type="dxa"/>
            <w:tcBorders>
              <w:top w:val="nil"/>
              <w:left w:val="nil"/>
              <w:bottom w:val="nil"/>
              <w:right w:val="nil"/>
            </w:tcBorders>
            <w:shd w:val="clear" w:color="auto" w:fill="auto"/>
            <w:noWrap/>
          </w:tcPr>
          <w:p w14:paraId="5001D2C0"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0FEF653" w14:textId="45AECEB2"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4.204**</w:t>
            </w:r>
          </w:p>
        </w:tc>
        <w:tc>
          <w:tcPr>
            <w:tcW w:w="1498" w:type="dxa"/>
            <w:tcBorders>
              <w:top w:val="nil"/>
              <w:left w:val="nil"/>
              <w:bottom w:val="nil"/>
              <w:right w:val="nil"/>
            </w:tcBorders>
          </w:tcPr>
          <w:p w14:paraId="003CC18C" w14:textId="4BC41D66"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1.881</w:t>
            </w:r>
          </w:p>
        </w:tc>
        <w:tc>
          <w:tcPr>
            <w:tcW w:w="1396" w:type="dxa"/>
            <w:tcBorders>
              <w:top w:val="nil"/>
              <w:left w:val="nil"/>
              <w:bottom w:val="nil"/>
              <w:right w:val="single" w:sz="12" w:space="0" w:color="auto"/>
            </w:tcBorders>
            <w:shd w:val="clear" w:color="auto" w:fill="auto"/>
            <w:noWrap/>
          </w:tcPr>
          <w:p w14:paraId="35D9C0D9" w14:textId="0AE88117"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0.393**</w:t>
            </w:r>
          </w:p>
        </w:tc>
        <w:tc>
          <w:tcPr>
            <w:tcW w:w="1434" w:type="dxa"/>
            <w:tcBorders>
              <w:top w:val="nil"/>
              <w:left w:val="single" w:sz="12" w:space="0" w:color="auto"/>
              <w:bottom w:val="nil"/>
            </w:tcBorders>
          </w:tcPr>
          <w:p w14:paraId="7DC80605" w14:textId="4E4C604A"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4.221**</w:t>
            </w:r>
          </w:p>
        </w:tc>
        <w:tc>
          <w:tcPr>
            <w:tcW w:w="1390" w:type="dxa"/>
            <w:tcBorders>
              <w:top w:val="nil"/>
              <w:left w:val="nil"/>
              <w:bottom w:val="nil"/>
              <w:right w:val="nil"/>
            </w:tcBorders>
          </w:tcPr>
          <w:p w14:paraId="7D9BD716" w14:textId="7DCAD572"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1.849</w:t>
            </w:r>
          </w:p>
        </w:tc>
        <w:tc>
          <w:tcPr>
            <w:tcW w:w="1426" w:type="dxa"/>
            <w:tcBorders>
              <w:top w:val="nil"/>
              <w:left w:val="nil"/>
              <w:bottom w:val="nil"/>
            </w:tcBorders>
          </w:tcPr>
          <w:p w14:paraId="5E976F23" w14:textId="57AFFFCE"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0.450**</w:t>
            </w:r>
          </w:p>
        </w:tc>
      </w:tr>
      <w:tr w:rsidR="00EE533D" w:rsidRPr="00EE533D" w14:paraId="2B56F86F" w14:textId="77777777" w:rsidTr="00F4319C">
        <w:trPr>
          <w:trHeight w:val="20"/>
        </w:trPr>
        <w:tc>
          <w:tcPr>
            <w:tcW w:w="2806" w:type="dxa"/>
            <w:tcBorders>
              <w:top w:val="nil"/>
              <w:left w:val="nil"/>
              <w:bottom w:val="nil"/>
              <w:right w:val="nil"/>
            </w:tcBorders>
            <w:shd w:val="clear" w:color="auto" w:fill="auto"/>
            <w:noWrap/>
          </w:tcPr>
          <w:p w14:paraId="035D356B"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9D6EEF6" w14:textId="008E703D"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(1.630)</w:t>
            </w:r>
          </w:p>
        </w:tc>
        <w:tc>
          <w:tcPr>
            <w:tcW w:w="1498" w:type="dxa"/>
            <w:tcBorders>
              <w:top w:val="nil"/>
              <w:left w:val="nil"/>
              <w:bottom w:val="nil"/>
              <w:right w:val="nil"/>
            </w:tcBorders>
          </w:tcPr>
          <w:p w14:paraId="359A29D6" w14:textId="59EB99B9"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(2.350)</w:t>
            </w:r>
          </w:p>
        </w:tc>
        <w:tc>
          <w:tcPr>
            <w:tcW w:w="1396" w:type="dxa"/>
            <w:tcBorders>
              <w:top w:val="nil"/>
              <w:left w:val="nil"/>
              <w:bottom w:val="nil"/>
              <w:right w:val="single" w:sz="12" w:space="0" w:color="auto"/>
            </w:tcBorders>
            <w:shd w:val="clear" w:color="auto" w:fill="auto"/>
            <w:noWrap/>
          </w:tcPr>
          <w:p w14:paraId="7643C1BE" w14:textId="2EC4EF16"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(0.141)</w:t>
            </w:r>
          </w:p>
        </w:tc>
        <w:tc>
          <w:tcPr>
            <w:tcW w:w="1434" w:type="dxa"/>
            <w:tcBorders>
              <w:top w:val="nil"/>
              <w:left w:val="single" w:sz="12" w:space="0" w:color="auto"/>
              <w:bottom w:val="nil"/>
            </w:tcBorders>
          </w:tcPr>
          <w:p w14:paraId="206C8F69" w14:textId="40C675A4"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(1.660)</w:t>
            </w:r>
          </w:p>
        </w:tc>
        <w:tc>
          <w:tcPr>
            <w:tcW w:w="1390" w:type="dxa"/>
            <w:tcBorders>
              <w:top w:val="nil"/>
              <w:left w:val="nil"/>
              <w:bottom w:val="nil"/>
              <w:right w:val="nil"/>
            </w:tcBorders>
          </w:tcPr>
          <w:p w14:paraId="7FC66C82" w14:textId="316C8CA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(2.266)</w:t>
            </w:r>
          </w:p>
        </w:tc>
        <w:tc>
          <w:tcPr>
            <w:tcW w:w="1426" w:type="dxa"/>
            <w:tcBorders>
              <w:top w:val="nil"/>
              <w:left w:val="nil"/>
              <w:bottom w:val="nil"/>
            </w:tcBorders>
          </w:tcPr>
          <w:p w14:paraId="7A3DAE5C" w14:textId="0C9EE1C7"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(0.177)</w:t>
            </w:r>
          </w:p>
        </w:tc>
      </w:tr>
      <w:tr w:rsidR="00EE533D" w:rsidRPr="00EE533D" w14:paraId="7E4A0861" w14:textId="77777777" w:rsidTr="00F4319C">
        <w:trPr>
          <w:trHeight w:val="20"/>
        </w:trPr>
        <w:tc>
          <w:tcPr>
            <w:tcW w:w="2806" w:type="dxa"/>
            <w:tcBorders>
              <w:top w:val="nil"/>
              <w:left w:val="nil"/>
              <w:bottom w:val="nil"/>
              <w:right w:val="nil"/>
            </w:tcBorders>
            <w:shd w:val="clear" w:color="auto" w:fill="auto"/>
            <w:noWrap/>
          </w:tcPr>
          <w:p w14:paraId="42857B4A"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5D78BDE" w14:textId="5C841941"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-1.201</w:t>
            </w:r>
          </w:p>
        </w:tc>
        <w:tc>
          <w:tcPr>
            <w:tcW w:w="1498" w:type="dxa"/>
            <w:tcBorders>
              <w:top w:val="nil"/>
              <w:left w:val="nil"/>
              <w:bottom w:val="nil"/>
              <w:right w:val="nil"/>
            </w:tcBorders>
          </w:tcPr>
          <w:p w14:paraId="091D9027" w14:textId="21A404E1"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-0.861</w:t>
            </w:r>
          </w:p>
        </w:tc>
        <w:tc>
          <w:tcPr>
            <w:tcW w:w="1396" w:type="dxa"/>
            <w:tcBorders>
              <w:top w:val="nil"/>
              <w:left w:val="nil"/>
              <w:bottom w:val="nil"/>
              <w:right w:val="single" w:sz="12" w:space="0" w:color="auto"/>
            </w:tcBorders>
            <w:shd w:val="clear" w:color="auto" w:fill="auto"/>
            <w:noWrap/>
          </w:tcPr>
          <w:p w14:paraId="4E2FED1A" w14:textId="5D6C3D2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-0.394</w:t>
            </w:r>
          </w:p>
        </w:tc>
        <w:tc>
          <w:tcPr>
            <w:tcW w:w="1434" w:type="dxa"/>
            <w:tcBorders>
              <w:top w:val="nil"/>
              <w:left w:val="single" w:sz="12" w:space="0" w:color="auto"/>
              <w:bottom w:val="nil"/>
            </w:tcBorders>
          </w:tcPr>
          <w:p w14:paraId="1FA7DC7C" w14:textId="2C2C9156"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-1.284</w:t>
            </w:r>
          </w:p>
        </w:tc>
        <w:tc>
          <w:tcPr>
            <w:tcW w:w="1390" w:type="dxa"/>
            <w:tcBorders>
              <w:top w:val="nil"/>
              <w:left w:val="nil"/>
              <w:bottom w:val="nil"/>
              <w:right w:val="nil"/>
            </w:tcBorders>
          </w:tcPr>
          <w:p w14:paraId="05C232F4" w14:textId="07076165"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-1.161</w:t>
            </w:r>
          </w:p>
        </w:tc>
        <w:tc>
          <w:tcPr>
            <w:tcW w:w="1426" w:type="dxa"/>
            <w:tcBorders>
              <w:top w:val="nil"/>
              <w:left w:val="nil"/>
              <w:bottom w:val="nil"/>
            </w:tcBorders>
          </w:tcPr>
          <w:p w14:paraId="06296D12" w14:textId="6E059726"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-0.446</w:t>
            </w:r>
          </w:p>
        </w:tc>
      </w:tr>
      <w:tr w:rsidR="00EE533D" w:rsidRPr="00EE533D" w14:paraId="054127A0" w14:textId="77777777" w:rsidTr="00F4319C">
        <w:trPr>
          <w:trHeight w:val="71"/>
        </w:trPr>
        <w:tc>
          <w:tcPr>
            <w:tcW w:w="2806" w:type="dxa"/>
            <w:tcBorders>
              <w:top w:val="nil"/>
              <w:left w:val="nil"/>
              <w:bottom w:val="nil"/>
              <w:right w:val="nil"/>
            </w:tcBorders>
            <w:shd w:val="clear" w:color="auto" w:fill="auto"/>
            <w:noWrap/>
          </w:tcPr>
          <w:p w14:paraId="79305DF5"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F916F6C" w14:textId="63A69186"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(3.798)</w:t>
            </w:r>
          </w:p>
        </w:tc>
        <w:tc>
          <w:tcPr>
            <w:tcW w:w="1498" w:type="dxa"/>
            <w:tcBorders>
              <w:top w:val="nil"/>
              <w:left w:val="nil"/>
              <w:bottom w:val="nil"/>
              <w:right w:val="nil"/>
            </w:tcBorders>
          </w:tcPr>
          <w:p w14:paraId="196C5FF9" w14:textId="40905FDB"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(3.665)</w:t>
            </w:r>
          </w:p>
        </w:tc>
        <w:tc>
          <w:tcPr>
            <w:tcW w:w="1396" w:type="dxa"/>
            <w:tcBorders>
              <w:top w:val="nil"/>
              <w:left w:val="nil"/>
              <w:bottom w:val="nil"/>
              <w:right w:val="single" w:sz="12" w:space="0" w:color="auto"/>
            </w:tcBorders>
            <w:shd w:val="clear" w:color="auto" w:fill="auto"/>
            <w:noWrap/>
          </w:tcPr>
          <w:p w14:paraId="6DAA8FD9" w14:textId="6CFCD4EB"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(0.422)</w:t>
            </w:r>
          </w:p>
        </w:tc>
        <w:tc>
          <w:tcPr>
            <w:tcW w:w="1434" w:type="dxa"/>
            <w:tcBorders>
              <w:top w:val="nil"/>
              <w:left w:val="single" w:sz="12" w:space="0" w:color="auto"/>
              <w:bottom w:val="nil"/>
            </w:tcBorders>
          </w:tcPr>
          <w:p w14:paraId="435D611B" w14:textId="0A3C0F23"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(3.629)</w:t>
            </w:r>
          </w:p>
        </w:tc>
        <w:tc>
          <w:tcPr>
            <w:tcW w:w="1390" w:type="dxa"/>
            <w:tcBorders>
              <w:top w:val="nil"/>
              <w:left w:val="nil"/>
              <w:bottom w:val="nil"/>
              <w:right w:val="nil"/>
            </w:tcBorders>
          </w:tcPr>
          <w:p w14:paraId="70632A96" w14:textId="2B94BC6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(3.725)</w:t>
            </w:r>
          </w:p>
        </w:tc>
        <w:tc>
          <w:tcPr>
            <w:tcW w:w="1426" w:type="dxa"/>
            <w:tcBorders>
              <w:top w:val="nil"/>
              <w:left w:val="nil"/>
              <w:bottom w:val="nil"/>
            </w:tcBorders>
          </w:tcPr>
          <w:p w14:paraId="2765BE45" w14:textId="00B8CA85"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(0.404)</w:t>
            </w:r>
          </w:p>
        </w:tc>
      </w:tr>
      <w:tr w:rsidR="00EE533D" w:rsidRPr="00EE533D" w14:paraId="638FC181" w14:textId="77777777" w:rsidTr="00F4319C">
        <w:trPr>
          <w:trHeight w:val="71"/>
        </w:trPr>
        <w:tc>
          <w:tcPr>
            <w:tcW w:w="2806" w:type="dxa"/>
            <w:tcBorders>
              <w:top w:val="nil"/>
              <w:left w:val="nil"/>
              <w:bottom w:val="nil"/>
              <w:right w:val="nil"/>
            </w:tcBorders>
            <w:shd w:val="clear" w:color="auto" w:fill="auto"/>
            <w:noWrap/>
          </w:tcPr>
          <w:p w14:paraId="2F99CE56"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A8D8F56" w14:textId="0232B3C7"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0.436</w:t>
            </w:r>
          </w:p>
        </w:tc>
        <w:tc>
          <w:tcPr>
            <w:tcW w:w="1498" w:type="dxa"/>
            <w:tcBorders>
              <w:top w:val="nil"/>
              <w:left w:val="nil"/>
              <w:bottom w:val="nil"/>
              <w:right w:val="nil"/>
            </w:tcBorders>
          </w:tcPr>
          <w:p w14:paraId="63C0A4C4" w14:textId="7CE043CA"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-7.815*</w:t>
            </w:r>
          </w:p>
        </w:tc>
        <w:tc>
          <w:tcPr>
            <w:tcW w:w="1396" w:type="dxa"/>
            <w:tcBorders>
              <w:top w:val="nil"/>
              <w:left w:val="nil"/>
              <w:bottom w:val="nil"/>
              <w:right w:val="single" w:sz="12" w:space="0" w:color="auto"/>
            </w:tcBorders>
            <w:shd w:val="clear" w:color="auto" w:fill="auto"/>
            <w:noWrap/>
          </w:tcPr>
          <w:p w14:paraId="707DDAD4" w14:textId="029921BE"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0.668*</w:t>
            </w:r>
          </w:p>
        </w:tc>
        <w:tc>
          <w:tcPr>
            <w:tcW w:w="1434" w:type="dxa"/>
            <w:tcBorders>
              <w:top w:val="nil"/>
              <w:left w:val="single" w:sz="12" w:space="0" w:color="auto"/>
              <w:bottom w:val="nil"/>
            </w:tcBorders>
          </w:tcPr>
          <w:p w14:paraId="2740D8E0" w14:textId="493567B4"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-0.611</w:t>
            </w:r>
          </w:p>
        </w:tc>
        <w:tc>
          <w:tcPr>
            <w:tcW w:w="1390" w:type="dxa"/>
            <w:tcBorders>
              <w:top w:val="nil"/>
              <w:left w:val="nil"/>
              <w:bottom w:val="nil"/>
              <w:right w:val="nil"/>
            </w:tcBorders>
          </w:tcPr>
          <w:p w14:paraId="7DCCC58A" w14:textId="2464DD43"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-6.741*</w:t>
            </w:r>
          </w:p>
        </w:tc>
        <w:tc>
          <w:tcPr>
            <w:tcW w:w="1426" w:type="dxa"/>
            <w:tcBorders>
              <w:top w:val="nil"/>
              <w:left w:val="nil"/>
              <w:bottom w:val="nil"/>
            </w:tcBorders>
          </w:tcPr>
          <w:p w14:paraId="33C339DE" w14:textId="40C8C6BC"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0.660</w:t>
            </w:r>
          </w:p>
        </w:tc>
      </w:tr>
      <w:tr w:rsidR="00EE533D" w:rsidRPr="00EE533D" w14:paraId="14DAA258" w14:textId="77777777" w:rsidTr="00F4319C">
        <w:trPr>
          <w:trHeight w:val="71"/>
        </w:trPr>
        <w:tc>
          <w:tcPr>
            <w:tcW w:w="2806" w:type="dxa"/>
            <w:tcBorders>
              <w:top w:val="nil"/>
              <w:left w:val="nil"/>
              <w:bottom w:val="nil"/>
              <w:right w:val="nil"/>
            </w:tcBorders>
            <w:shd w:val="clear" w:color="auto" w:fill="auto"/>
            <w:noWrap/>
          </w:tcPr>
          <w:p w14:paraId="1CFF531F"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A249D43" w14:textId="617AF6B6"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(2.732)</w:t>
            </w:r>
          </w:p>
        </w:tc>
        <w:tc>
          <w:tcPr>
            <w:tcW w:w="1498" w:type="dxa"/>
            <w:tcBorders>
              <w:top w:val="nil"/>
              <w:left w:val="nil"/>
              <w:bottom w:val="nil"/>
              <w:right w:val="nil"/>
            </w:tcBorders>
          </w:tcPr>
          <w:p w14:paraId="39B1D461" w14:textId="4DD4B4A2"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(3.902)</w:t>
            </w:r>
          </w:p>
        </w:tc>
        <w:tc>
          <w:tcPr>
            <w:tcW w:w="1396" w:type="dxa"/>
            <w:tcBorders>
              <w:top w:val="nil"/>
              <w:left w:val="nil"/>
              <w:bottom w:val="nil"/>
              <w:right w:val="single" w:sz="12" w:space="0" w:color="auto"/>
            </w:tcBorders>
            <w:shd w:val="clear" w:color="auto" w:fill="auto"/>
            <w:noWrap/>
          </w:tcPr>
          <w:p w14:paraId="762D5A30" w14:textId="6CECF917"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(0.359)</w:t>
            </w:r>
          </w:p>
        </w:tc>
        <w:tc>
          <w:tcPr>
            <w:tcW w:w="1434" w:type="dxa"/>
            <w:tcBorders>
              <w:top w:val="nil"/>
              <w:left w:val="single" w:sz="12" w:space="0" w:color="auto"/>
              <w:bottom w:val="nil"/>
            </w:tcBorders>
          </w:tcPr>
          <w:p w14:paraId="44E9D22E" w14:textId="1DECD8BD"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(3.211)</w:t>
            </w:r>
          </w:p>
        </w:tc>
        <w:tc>
          <w:tcPr>
            <w:tcW w:w="1390" w:type="dxa"/>
            <w:tcBorders>
              <w:top w:val="nil"/>
              <w:left w:val="nil"/>
              <w:bottom w:val="nil"/>
              <w:right w:val="nil"/>
            </w:tcBorders>
          </w:tcPr>
          <w:p w14:paraId="59311A88" w14:textId="14A95B1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(3.475)</w:t>
            </w:r>
          </w:p>
        </w:tc>
        <w:tc>
          <w:tcPr>
            <w:tcW w:w="1426" w:type="dxa"/>
            <w:tcBorders>
              <w:top w:val="nil"/>
              <w:left w:val="nil"/>
              <w:bottom w:val="nil"/>
            </w:tcBorders>
          </w:tcPr>
          <w:p w14:paraId="4BD3BBDB" w14:textId="0EC92512"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(0.363)</w:t>
            </w:r>
          </w:p>
        </w:tc>
      </w:tr>
      <w:tr w:rsidR="00EE533D" w:rsidRPr="00EE533D" w14:paraId="2C471416" w14:textId="77777777" w:rsidTr="00F4319C">
        <w:trPr>
          <w:trHeight w:val="71"/>
        </w:trPr>
        <w:tc>
          <w:tcPr>
            <w:tcW w:w="2806" w:type="dxa"/>
            <w:tcBorders>
              <w:top w:val="nil"/>
              <w:left w:val="nil"/>
              <w:bottom w:val="nil"/>
              <w:right w:val="nil"/>
            </w:tcBorders>
            <w:shd w:val="clear" w:color="auto" w:fill="auto"/>
            <w:noWrap/>
          </w:tcPr>
          <w:p w14:paraId="2292BF05"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2B6ED5E" w14:textId="718C94AA"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5.071</w:t>
            </w:r>
          </w:p>
        </w:tc>
        <w:tc>
          <w:tcPr>
            <w:tcW w:w="1498" w:type="dxa"/>
            <w:tcBorders>
              <w:top w:val="nil"/>
              <w:left w:val="nil"/>
              <w:bottom w:val="nil"/>
              <w:right w:val="nil"/>
            </w:tcBorders>
          </w:tcPr>
          <w:p w14:paraId="6EBD2515" w14:textId="07D1DA0E"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-1.352</w:t>
            </w:r>
          </w:p>
        </w:tc>
        <w:tc>
          <w:tcPr>
            <w:tcW w:w="1396" w:type="dxa"/>
            <w:tcBorders>
              <w:top w:val="nil"/>
              <w:left w:val="nil"/>
              <w:bottom w:val="nil"/>
              <w:right w:val="single" w:sz="12" w:space="0" w:color="auto"/>
            </w:tcBorders>
            <w:shd w:val="clear" w:color="auto" w:fill="auto"/>
            <w:noWrap/>
          </w:tcPr>
          <w:p w14:paraId="6944933C" w14:textId="5AE23C13"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-0.127</w:t>
            </w:r>
          </w:p>
        </w:tc>
        <w:tc>
          <w:tcPr>
            <w:tcW w:w="1434" w:type="dxa"/>
            <w:tcBorders>
              <w:top w:val="nil"/>
              <w:left w:val="single" w:sz="12" w:space="0" w:color="auto"/>
              <w:bottom w:val="nil"/>
            </w:tcBorders>
          </w:tcPr>
          <w:p w14:paraId="06D14156" w14:textId="6EAB3D5A"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5.372</w:t>
            </w:r>
          </w:p>
        </w:tc>
        <w:tc>
          <w:tcPr>
            <w:tcW w:w="1390" w:type="dxa"/>
            <w:tcBorders>
              <w:top w:val="nil"/>
              <w:left w:val="nil"/>
              <w:bottom w:val="nil"/>
              <w:right w:val="nil"/>
            </w:tcBorders>
          </w:tcPr>
          <w:p w14:paraId="24C4403C" w14:textId="31E985F6"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-1.983</w:t>
            </w:r>
          </w:p>
        </w:tc>
        <w:tc>
          <w:tcPr>
            <w:tcW w:w="1426" w:type="dxa"/>
            <w:tcBorders>
              <w:top w:val="nil"/>
              <w:left w:val="nil"/>
              <w:bottom w:val="nil"/>
            </w:tcBorders>
          </w:tcPr>
          <w:p w14:paraId="17E0F5EC" w14:textId="2D46688B"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-0.267</w:t>
            </w:r>
          </w:p>
        </w:tc>
      </w:tr>
      <w:tr w:rsidR="00EE533D" w:rsidRPr="00EE533D" w14:paraId="049410B4" w14:textId="77777777" w:rsidTr="00F4319C">
        <w:trPr>
          <w:trHeight w:val="71"/>
        </w:trPr>
        <w:tc>
          <w:tcPr>
            <w:tcW w:w="2806" w:type="dxa"/>
            <w:tcBorders>
              <w:top w:val="nil"/>
              <w:left w:val="nil"/>
              <w:bottom w:val="nil"/>
              <w:right w:val="nil"/>
            </w:tcBorders>
            <w:shd w:val="clear" w:color="auto" w:fill="auto"/>
            <w:noWrap/>
          </w:tcPr>
          <w:p w14:paraId="3DDA500E"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B3E0E89" w14:textId="12DB0E34"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(5.001)</w:t>
            </w:r>
          </w:p>
        </w:tc>
        <w:tc>
          <w:tcPr>
            <w:tcW w:w="1498" w:type="dxa"/>
            <w:tcBorders>
              <w:top w:val="nil"/>
              <w:left w:val="nil"/>
              <w:bottom w:val="nil"/>
              <w:right w:val="nil"/>
            </w:tcBorders>
          </w:tcPr>
          <w:p w14:paraId="16C09BBA" w14:textId="7957ABFF"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(5.781)</w:t>
            </w:r>
          </w:p>
        </w:tc>
        <w:tc>
          <w:tcPr>
            <w:tcW w:w="1396" w:type="dxa"/>
            <w:tcBorders>
              <w:top w:val="nil"/>
              <w:left w:val="nil"/>
              <w:bottom w:val="nil"/>
              <w:right w:val="single" w:sz="12" w:space="0" w:color="auto"/>
            </w:tcBorders>
            <w:shd w:val="clear" w:color="auto" w:fill="auto"/>
            <w:noWrap/>
          </w:tcPr>
          <w:p w14:paraId="7622EF15" w14:textId="27595376"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(0.311)</w:t>
            </w:r>
          </w:p>
        </w:tc>
        <w:tc>
          <w:tcPr>
            <w:tcW w:w="1434" w:type="dxa"/>
            <w:tcBorders>
              <w:top w:val="nil"/>
              <w:left w:val="single" w:sz="12" w:space="0" w:color="auto"/>
              <w:bottom w:val="nil"/>
            </w:tcBorders>
          </w:tcPr>
          <w:p w14:paraId="353AE188" w14:textId="4145EB06"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(4.330)</w:t>
            </w:r>
          </w:p>
        </w:tc>
        <w:tc>
          <w:tcPr>
            <w:tcW w:w="1390" w:type="dxa"/>
            <w:tcBorders>
              <w:top w:val="nil"/>
              <w:left w:val="nil"/>
              <w:bottom w:val="nil"/>
              <w:right w:val="nil"/>
            </w:tcBorders>
          </w:tcPr>
          <w:p w14:paraId="2EEADD46" w14:textId="29E017CC"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(5.888)</w:t>
            </w:r>
          </w:p>
        </w:tc>
        <w:tc>
          <w:tcPr>
            <w:tcW w:w="1426" w:type="dxa"/>
            <w:tcBorders>
              <w:top w:val="nil"/>
              <w:left w:val="nil"/>
              <w:bottom w:val="nil"/>
            </w:tcBorders>
          </w:tcPr>
          <w:p w14:paraId="0337891F" w14:textId="62D53757"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(0.295)</w:t>
            </w:r>
          </w:p>
        </w:tc>
      </w:tr>
      <w:tr w:rsidR="00EE533D" w:rsidRPr="00EE533D" w14:paraId="3079A7D1" w14:textId="77777777" w:rsidTr="00F4319C">
        <w:trPr>
          <w:trHeight w:val="71"/>
        </w:trPr>
        <w:tc>
          <w:tcPr>
            <w:tcW w:w="2806" w:type="dxa"/>
            <w:tcBorders>
              <w:top w:val="nil"/>
              <w:left w:val="nil"/>
              <w:bottom w:val="nil"/>
              <w:right w:val="nil"/>
            </w:tcBorders>
            <w:shd w:val="clear" w:color="auto" w:fill="auto"/>
            <w:noWrap/>
          </w:tcPr>
          <w:p w14:paraId="3F5183D6" w14:textId="2596727E"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53B8D4A" w14:textId="5B36FF2D"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98" w:type="dxa"/>
            <w:tcBorders>
              <w:top w:val="nil"/>
              <w:left w:val="nil"/>
              <w:bottom w:val="nil"/>
              <w:right w:val="nil"/>
            </w:tcBorders>
          </w:tcPr>
          <w:p w14:paraId="48A8114C" w14:textId="525BDBCF"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0.067</w:t>
            </w:r>
          </w:p>
        </w:tc>
        <w:tc>
          <w:tcPr>
            <w:tcW w:w="1396" w:type="dxa"/>
            <w:tcBorders>
              <w:top w:val="nil"/>
              <w:left w:val="nil"/>
              <w:bottom w:val="nil"/>
              <w:right w:val="single" w:sz="12" w:space="0" w:color="auto"/>
            </w:tcBorders>
            <w:shd w:val="clear" w:color="auto" w:fill="auto"/>
            <w:noWrap/>
          </w:tcPr>
          <w:p w14:paraId="72AC5A09" w14:textId="5D286454"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4" w:type="dxa"/>
            <w:tcBorders>
              <w:top w:val="nil"/>
              <w:left w:val="single" w:sz="12" w:space="0" w:color="auto"/>
              <w:bottom w:val="nil"/>
            </w:tcBorders>
          </w:tcPr>
          <w:p w14:paraId="59070BC5" w14:textId="4F7C6675"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390" w:type="dxa"/>
            <w:tcBorders>
              <w:top w:val="nil"/>
              <w:left w:val="nil"/>
              <w:bottom w:val="nil"/>
              <w:right w:val="nil"/>
            </w:tcBorders>
          </w:tcPr>
          <w:p w14:paraId="7E5B722F" w14:textId="54AC0EFB"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0.051</w:t>
            </w:r>
          </w:p>
        </w:tc>
        <w:tc>
          <w:tcPr>
            <w:tcW w:w="1426" w:type="dxa"/>
            <w:tcBorders>
              <w:top w:val="nil"/>
              <w:left w:val="nil"/>
              <w:bottom w:val="nil"/>
            </w:tcBorders>
          </w:tcPr>
          <w:p w14:paraId="15386B50" w14:textId="6EA4E366"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r>
      <w:tr w:rsidR="00EE533D" w:rsidRPr="00EE533D" w14:paraId="6E2750B5" w14:textId="77777777" w:rsidTr="00F4319C">
        <w:trPr>
          <w:trHeight w:val="71"/>
        </w:trPr>
        <w:tc>
          <w:tcPr>
            <w:tcW w:w="2806" w:type="dxa"/>
            <w:tcBorders>
              <w:top w:val="nil"/>
              <w:left w:val="nil"/>
              <w:bottom w:val="nil"/>
              <w:right w:val="nil"/>
            </w:tcBorders>
            <w:shd w:val="clear" w:color="auto" w:fill="auto"/>
            <w:noWrap/>
          </w:tcPr>
          <w:p w14:paraId="4627C8E7"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F5326CC" w14:textId="1E3241E2"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498" w:type="dxa"/>
            <w:tcBorders>
              <w:top w:val="nil"/>
              <w:left w:val="nil"/>
              <w:bottom w:val="nil"/>
              <w:right w:val="nil"/>
            </w:tcBorders>
          </w:tcPr>
          <w:p w14:paraId="34045AFE" w14:textId="348F83B9"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396" w:type="dxa"/>
            <w:tcBorders>
              <w:top w:val="nil"/>
              <w:left w:val="nil"/>
              <w:bottom w:val="nil"/>
              <w:right w:val="single" w:sz="12" w:space="0" w:color="auto"/>
            </w:tcBorders>
            <w:shd w:val="clear" w:color="auto" w:fill="auto"/>
            <w:noWrap/>
          </w:tcPr>
          <w:p w14:paraId="262397EB" w14:textId="6FD2B044"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4" w:type="dxa"/>
            <w:tcBorders>
              <w:top w:val="nil"/>
              <w:left w:val="single" w:sz="12" w:space="0" w:color="auto"/>
              <w:bottom w:val="nil"/>
            </w:tcBorders>
          </w:tcPr>
          <w:p w14:paraId="3E87DD73" w14:textId="0C6B9DBF"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390" w:type="dxa"/>
            <w:tcBorders>
              <w:top w:val="nil"/>
              <w:left w:val="nil"/>
              <w:bottom w:val="nil"/>
              <w:right w:val="nil"/>
            </w:tcBorders>
          </w:tcPr>
          <w:p w14:paraId="7D475EC3" w14:textId="70E0F4AC"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26" w:type="dxa"/>
            <w:tcBorders>
              <w:top w:val="nil"/>
              <w:left w:val="nil"/>
              <w:bottom w:val="nil"/>
            </w:tcBorders>
          </w:tcPr>
          <w:p w14:paraId="360B64D0" w14:textId="79916D26"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r>
      <w:tr w:rsidR="00EE533D" w:rsidRPr="00EE533D" w14:paraId="2A7F88DF" w14:textId="77777777" w:rsidTr="00F4319C">
        <w:trPr>
          <w:trHeight w:val="71"/>
        </w:trPr>
        <w:tc>
          <w:tcPr>
            <w:tcW w:w="2806" w:type="dxa"/>
            <w:tcBorders>
              <w:top w:val="nil"/>
              <w:left w:val="nil"/>
              <w:bottom w:val="nil"/>
              <w:right w:val="nil"/>
            </w:tcBorders>
            <w:shd w:val="clear" w:color="auto" w:fill="auto"/>
            <w:noWrap/>
          </w:tcPr>
          <w:p w14:paraId="75502517" w14:textId="17B312E2" w:rsidR="00EF0FE9" w:rsidRPr="00EE533D" w:rsidRDefault="00EF0FE9" w:rsidP="00EF0FE9">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EBITDA/Revenue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EABCE95" w14:textId="5AC60A9E"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0.112**</w:t>
            </w:r>
          </w:p>
        </w:tc>
        <w:tc>
          <w:tcPr>
            <w:tcW w:w="1498" w:type="dxa"/>
            <w:tcBorders>
              <w:top w:val="nil"/>
              <w:left w:val="nil"/>
              <w:bottom w:val="nil"/>
              <w:right w:val="nil"/>
            </w:tcBorders>
          </w:tcPr>
          <w:p w14:paraId="4020DAE8" w14:textId="5652E32A"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396" w:type="dxa"/>
            <w:tcBorders>
              <w:top w:val="nil"/>
              <w:left w:val="nil"/>
              <w:bottom w:val="nil"/>
              <w:right w:val="single" w:sz="12" w:space="0" w:color="auto"/>
            </w:tcBorders>
            <w:shd w:val="clear" w:color="auto" w:fill="auto"/>
            <w:noWrap/>
          </w:tcPr>
          <w:p w14:paraId="477AD9A3" w14:textId="2016E6C5"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4" w:type="dxa"/>
            <w:tcBorders>
              <w:top w:val="nil"/>
              <w:left w:val="single" w:sz="12" w:space="0" w:color="auto"/>
              <w:bottom w:val="nil"/>
            </w:tcBorders>
          </w:tcPr>
          <w:p w14:paraId="4EFC1682" w14:textId="75D1128E"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0.109**</w:t>
            </w:r>
          </w:p>
        </w:tc>
        <w:tc>
          <w:tcPr>
            <w:tcW w:w="1390" w:type="dxa"/>
            <w:tcBorders>
              <w:top w:val="nil"/>
              <w:left w:val="nil"/>
              <w:bottom w:val="nil"/>
              <w:right w:val="nil"/>
            </w:tcBorders>
          </w:tcPr>
          <w:p w14:paraId="37F86054" w14:textId="56C24251"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26" w:type="dxa"/>
            <w:tcBorders>
              <w:top w:val="nil"/>
              <w:left w:val="nil"/>
              <w:bottom w:val="nil"/>
            </w:tcBorders>
          </w:tcPr>
          <w:p w14:paraId="4E944DF5" w14:textId="73CFD125"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1BEF09F9" w14:textId="77777777" w:rsidTr="00F4319C">
        <w:trPr>
          <w:trHeight w:val="71"/>
        </w:trPr>
        <w:tc>
          <w:tcPr>
            <w:tcW w:w="2806" w:type="dxa"/>
            <w:tcBorders>
              <w:top w:val="nil"/>
              <w:left w:val="nil"/>
              <w:bottom w:val="nil"/>
              <w:right w:val="nil"/>
            </w:tcBorders>
            <w:shd w:val="clear" w:color="auto" w:fill="auto"/>
            <w:noWrap/>
          </w:tcPr>
          <w:p w14:paraId="79B296D2" w14:textId="77777777" w:rsidR="00EF0FE9" w:rsidRPr="00EE533D" w:rsidRDefault="00EF0FE9" w:rsidP="00EF0FE9">
            <w:pPr>
              <w:spacing w:after="0"/>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350DEE3" w14:textId="77AC5559"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(0.037)</w:t>
            </w:r>
          </w:p>
        </w:tc>
        <w:tc>
          <w:tcPr>
            <w:tcW w:w="1498" w:type="dxa"/>
            <w:tcBorders>
              <w:top w:val="nil"/>
              <w:left w:val="nil"/>
              <w:bottom w:val="nil"/>
              <w:right w:val="nil"/>
            </w:tcBorders>
          </w:tcPr>
          <w:p w14:paraId="60839A2E" w14:textId="75309B00"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(0.042)</w:t>
            </w:r>
          </w:p>
        </w:tc>
        <w:tc>
          <w:tcPr>
            <w:tcW w:w="1396" w:type="dxa"/>
            <w:tcBorders>
              <w:top w:val="nil"/>
              <w:left w:val="nil"/>
              <w:bottom w:val="nil"/>
              <w:right w:val="single" w:sz="12" w:space="0" w:color="auto"/>
            </w:tcBorders>
            <w:shd w:val="clear" w:color="auto" w:fill="auto"/>
            <w:noWrap/>
          </w:tcPr>
          <w:p w14:paraId="33BED03F" w14:textId="631F20FC"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4" w:type="dxa"/>
            <w:tcBorders>
              <w:top w:val="nil"/>
              <w:left w:val="single" w:sz="12" w:space="0" w:color="auto"/>
              <w:bottom w:val="nil"/>
            </w:tcBorders>
          </w:tcPr>
          <w:p w14:paraId="3A47CC31" w14:textId="2F77DE25"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(0.043)</w:t>
            </w:r>
          </w:p>
        </w:tc>
        <w:tc>
          <w:tcPr>
            <w:tcW w:w="1390" w:type="dxa"/>
            <w:tcBorders>
              <w:top w:val="nil"/>
              <w:left w:val="nil"/>
              <w:bottom w:val="nil"/>
              <w:right w:val="nil"/>
            </w:tcBorders>
          </w:tcPr>
          <w:p w14:paraId="6F713C54" w14:textId="0FA29388"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426" w:type="dxa"/>
            <w:tcBorders>
              <w:top w:val="nil"/>
              <w:left w:val="nil"/>
              <w:bottom w:val="nil"/>
            </w:tcBorders>
          </w:tcPr>
          <w:p w14:paraId="66245C1F" w14:textId="5C3FDD47"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r>
      <w:tr w:rsidR="00EE533D" w:rsidRPr="00EE533D" w14:paraId="2D36647C" w14:textId="77777777" w:rsidTr="00F4319C">
        <w:trPr>
          <w:trHeight w:val="71"/>
        </w:trPr>
        <w:tc>
          <w:tcPr>
            <w:tcW w:w="2806" w:type="dxa"/>
            <w:tcBorders>
              <w:top w:val="nil"/>
              <w:left w:val="nil"/>
              <w:bottom w:val="nil"/>
              <w:right w:val="nil"/>
            </w:tcBorders>
            <w:shd w:val="clear" w:color="auto" w:fill="auto"/>
            <w:noWrap/>
          </w:tcPr>
          <w:p w14:paraId="3C5E60D6" w14:textId="4BE82A0A"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Quick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BB5C13F" w14:textId="67803B66"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0.726</w:t>
            </w:r>
          </w:p>
        </w:tc>
        <w:tc>
          <w:tcPr>
            <w:tcW w:w="1498" w:type="dxa"/>
            <w:tcBorders>
              <w:top w:val="nil"/>
              <w:left w:val="nil"/>
              <w:bottom w:val="nil"/>
              <w:right w:val="nil"/>
            </w:tcBorders>
          </w:tcPr>
          <w:p w14:paraId="56C336A6" w14:textId="1A009E34"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396" w:type="dxa"/>
            <w:tcBorders>
              <w:top w:val="nil"/>
              <w:left w:val="nil"/>
              <w:bottom w:val="nil"/>
              <w:right w:val="single" w:sz="12" w:space="0" w:color="auto"/>
            </w:tcBorders>
            <w:shd w:val="clear" w:color="auto" w:fill="auto"/>
            <w:noWrap/>
          </w:tcPr>
          <w:p w14:paraId="1A1450F4" w14:textId="41A14AE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-0.084</w:t>
            </w:r>
          </w:p>
        </w:tc>
        <w:tc>
          <w:tcPr>
            <w:tcW w:w="1434" w:type="dxa"/>
            <w:tcBorders>
              <w:top w:val="nil"/>
              <w:left w:val="single" w:sz="12" w:space="0" w:color="auto"/>
              <w:bottom w:val="nil"/>
            </w:tcBorders>
          </w:tcPr>
          <w:p w14:paraId="18726188" w14:textId="08888E16"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0.437</w:t>
            </w:r>
          </w:p>
        </w:tc>
        <w:tc>
          <w:tcPr>
            <w:tcW w:w="1390" w:type="dxa"/>
            <w:tcBorders>
              <w:top w:val="nil"/>
              <w:left w:val="nil"/>
              <w:bottom w:val="nil"/>
              <w:right w:val="nil"/>
            </w:tcBorders>
          </w:tcPr>
          <w:p w14:paraId="77145D6B" w14:textId="457432A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0.174</w:t>
            </w:r>
          </w:p>
        </w:tc>
        <w:tc>
          <w:tcPr>
            <w:tcW w:w="1426" w:type="dxa"/>
            <w:tcBorders>
              <w:top w:val="nil"/>
              <w:left w:val="nil"/>
              <w:bottom w:val="nil"/>
            </w:tcBorders>
          </w:tcPr>
          <w:p w14:paraId="6350C8DB" w14:textId="4576400D"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-0.030</w:t>
            </w:r>
          </w:p>
        </w:tc>
      </w:tr>
      <w:tr w:rsidR="00EE533D" w:rsidRPr="00EE533D" w14:paraId="1B52C569" w14:textId="77777777" w:rsidTr="00F4319C">
        <w:trPr>
          <w:trHeight w:val="71"/>
        </w:trPr>
        <w:tc>
          <w:tcPr>
            <w:tcW w:w="2806" w:type="dxa"/>
            <w:tcBorders>
              <w:top w:val="nil"/>
              <w:left w:val="nil"/>
              <w:bottom w:val="nil"/>
              <w:right w:val="nil"/>
            </w:tcBorders>
            <w:shd w:val="clear" w:color="auto" w:fill="auto"/>
            <w:noWrap/>
          </w:tcPr>
          <w:p w14:paraId="1AB9A43E"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EDEA508" w14:textId="37789248"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(1.400)</w:t>
            </w:r>
          </w:p>
        </w:tc>
        <w:tc>
          <w:tcPr>
            <w:tcW w:w="1498" w:type="dxa"/>
            <w:tcBorders>
              <w:top w:val="nil"/>
              <w:left w:val="nil"/>
              <w:bottom w:val="nil"/>
              <w:right w:val="nil"/>
            </w:tcBorders>
          </w:tcPr>
          <w:p w14:paraId="1E6DFAD3" w14:textId="71B280DD"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(1.376)</w:t>
            </w:r>
          </w:p>
        </w:tc>
        <w:tc>
          <w:tcPr>
            <w:tcW w:w="1396" w:type="dxa"/>
            <w:tcBorders>
              <w:top w:val="nil"/>
              <w:left w:val="nil"/>
              <w:bottom w:val="nil"/>
              <w:right w:val="single" w:sz="12" w:space="0" w:color="auto"/>
            </w:tcBorders>
            <w:shd w:val="clear" w:color="auto" w:fill="auto"/>
            <w:noWrap/>
          </w:tcPr>
          <w:p w14:paraId="7C3C3F19" w14:textId="5C60682E"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434" w:type="dxa"/>
            <w:tcBorders>
              <w:top w:val="nil"/>
              <w:left w:val="single" w:sz="12" w:space="0" w:color="auto"/>
              <w:bottom w:val="nil"/>
            </w:tcBorders>
          </w:tcPr>
          <w:p w14:paraId="2E4DA91B" w14:textId="2D34F2CD"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(1.372)</w:t>
            </w:r>
          </w:p>
        </w:tc>
        <w:tc>
          <w:tcPr>
            <w:tcW w:w="1390" w:type="dxa"/>
            <w:tcBorders>
              <w:top w:val="nil"/>
              <w:left w:val="nil"/>
              <w:bottom w:val="nil"/>
              <w:right w:val="nil"/>
            </w:tcBorders>
          </w:tcPr>
          <w:p w14:paraId="745D3092" w14:textId="10B30A54"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(1.530)</w:t>
            </w:r>
          </w:p>
        </w:tc>
        <w:tc>
          <w:tcPr>
            <w:tcW w:w="1426" w:type="dxa"/>
            <w:tcBorders>
              <w:top w:val="nil"/>
              <w:left w:val="nil"/>
              <w:bottom w:val="nil"/>
            </w:tcBorders>
          </w:tcPr>
          <w:p w14:paraId="361D40FC" w14:textId="7829DE8B"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(0.125)</w:t>
            </w:r>
          </w:p>
        </w:tc>
      </w:tr>
      <w:tr w:rsidR="00EE533D" w:rsidRPr="00EE533D" w14:paraId="083F4862" w14:textId="77777777" w:rsidTr="00F4319C">
        <w:trPr>
          <w:trHeight w:val="71"/>
        </w:trPr>
        <w:tc>
          <w:tcPr>
            <w:tcW w:w="2806" w:type="dxa"/>
            <w:tcBorders>
              <w:top w:val="nil"/>
              <w:left w:val="nil"/>
              <w:bottom w:val="nil"/>
              <w:right w:val="nil"/>
            </w:tcBorders>
            <w:shd w:val="clear" w:color="auto" w:fill="auto"/>
            <w:noWrap/>
          </w:tcPr>
          <w:p w14:paraId="516C1A05" w14:textId="24A1957B"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Ln(Capitalization)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B2F1998" w14:textId="5C509D92"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1498" w:type="dxa"/>
            <w:tcBorders>
              <w:top w:val="nil"/>
              <w:left w:val="nil"/>
              <w:bottom w:val="nil"/>
              <w:right w:val="nil"/>
            </w:tcBorders>
          </w:tcPr>
          <w:p w14:paraId="18F5A5A7" w14:textId="42E6C607"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0.925</w:t>
            </w:r>
          </w:p>
        </w:tc>
        <w:tc>
          <w:tcPr>
            <w:tcW w:w="1396" w:type="dxa"/>
            <w:tcBorders>
              <w:top w:val="nil"/>
              <w:left w:val="nil"/>
              <w:bottom w:val="nil"/>
              <w:right w:val="single" w:sz="12" w:space="0" w:color="auto"/>
            </w:tcBorders>
            <w:shd w:val="clear" w:color="auto" w:fill="auto"/>
            <w:noWrap/>
          </w:tcPr>
          <w:p w14:paraId="22E0AB72" w14:textId="2118C05C"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4" w:type="dxa"/>
            <w:tcBorders>
              <w:top w:val="nil"/>
              <w:left w:val="single" w:sz="12" w:space="0" w:color="auto"/>
              <w:bottom w:val="nil"/>
            </w:tcBorders>
          </w:tcPr>
          <w:p w14:paraId="201DFB99" w14:textId="699AD938"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390" w:type="dxa"/>
            <w:tcBorders>
              <w:top w:val="nil"/>
              <w:left w:val="nil"/>
              <w:bottom w:val="nil"/>
              <w:right w:val="nil"/>
            </w:tcBorders>
          </w:tcPr>
          <w:p w14:paraId="3949E57D" w14:textId="3D9D7A2D"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0.870</w:t>
            </w:r>
          </w:p>
        </w:tc>
        <w:tc>
          <w:tcPr>
            <w:tcW w:w="1426" w:type="dxa"/>
            <w:tcBorders>
              <w:top w:val="nil"/>
              <w:left w:val="nil"/>
              <w:bottom w:val="nil"/>
            </w:tcBorders>
          </w:tcPr>
          <w:p w14:paraId="62F5BC22" w14:textId="03B28287"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-0.068</w:t>
            </w:r>
          </w:p>
        </w:tc>
      </w:tr>
      <w:tr w:rsidR="00EE533D" w:rsidRPr="00EE533D" w14:paraId="48B46805" w14:textId="77777777" w:rsidTr="00F4319C">
        <w:trPr>
          <w:trHeight w:val="71"/>
        </w:trPr>
        <w:tc>
          <w:tcPr>
            <w:tcW w:w="2806" w:type="dxa"/>
            <w:tcBorders>
              <w:top w:val="nil"/>
              <w:left w:val="nil"/>
              <w:bottom w:val="nil"/>
              <w:right w:val="nil"/>
            </w:tcBorders>
            <w:shd w:val="clear" w:color="auto" w:fill="auto"/>
            <w:noWrap/>
          </w:tcPr>
          <w:p w14:paraId="7EC89DE1"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15DCF79" w14:textId="07A19299"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(0.745)</w:t>
            </w:r>
          </w:p>
        </w:tc>
        <w:tc>
          <w:tcPr>
            <w:tcW w:w="1498" w:type="dxa"/>
            <w:tcBorders>
              <w:top w:val="nil"/>
              <w:left w:val="nil"/>
              <w:bottom w:val="nil"/>
              <w:right w:val="nil"/>
            </w:tcBorders>
          </w:tcPr>
          <w:p w14:paraId="36ED5636" w14:textId="74613D91"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(1.790)</w:t>
            </w:r>
          </w:p>
        </w:tc>
        <w:tc>
          <w:tcPr>
            <w:tcW w:w="1396" w:type="dxa"/>
            <w:tcBorders>
              <w:top w:val="nil"/>
              <w:left w:val="nil"/>
              <w:bottom w:val="nil"/>
              <w:right w:val="single" w:sz="12" w:space="0" w:color="auto"/>
            </w:tcBorders>
            <w:shd w:val="clear" w:color="auto" w:fill="auto"/>
            <w:noWrap/>
          </w:tcPr>
          <w:p w14:paraId="4A1115D5" w14:textId="4CB5B5E1"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(0.157)</w:t>
            </w:r>
          </w:p>
        </w:tc>
        <w:tc>
          <w:tcPr>
            <w:tcW w:w="1434" w:type="dxa"/>
            <w:tcBorders>
              <w:top w:val="nil"/>
              <w:left w:val="single" w:sz="12" w:space="0" w:color="auto"/>
              <w:bottom w:val="nil"/>
            </w:tcBorders>
          </w:tcPr>
          <w:p w14:paraId="0C7F5969" w14:textId="52F39183"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(0.765)</w:t>
            </w:r>
          </w:p>
        </w:tc>
        <w:tc>
          <w:tcPr>
            <w:tcW w:w="1390" w:type="dxa"/>
            <w:tcBorders>
              <w:top w:val="nil"/>
              <w:left w:val="nil"/>
              <w:bottom w:val="nil"/>
              <w:right w:val="nil"/>
            </w:tcBorders>
          </w:tcPr>
          <w:p w14:paraId="0C95BA22" w14:textId="6B224DDF"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(1.624)</w:t>
            </w:r>
          </w:p>
        </w:tc>
        <w:tc>
          <w:tcPr>
            <w:tcW w:w="1426" w:type="dxa"/>
            <w:tcBorders>
              <w:top w:val="nil"/>
              <w:left w:val="nil"/>
              <w:bottom w:val="nil"/>
            </w:tcBorders>
          </w:tcPr>
          <w:p w14:paraId="67126B8A" w14:textId="3FFAC1FD"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(0.161)</w:t>
            </w:r>
          </w:p>
        </w:tc>
      </w:tr>
      <w:tr w:rsidR="00EE533D" w:rsidRPr="00EE533D" w14:paraId="2A538079" w14:textId="77777777" w:rsidTr="00F4319C">
        <w:trPr>
          <w:trHeight w:val="71"/>
        </w:trPr>
        <w:tc>
          <w:tcPr>
            <w:tcW w:w="2806" w:type="dxa"/>
            <w:tcBorders>
              <w:top w:val="nil"/>
              <w:left w:val="nil"/>
              <w:bottom w:val="nil"/>
              <w:right w:val="nil"/>
            </w:tcBorders>
            <w:shd w:val="clear" w:color="auto" w:fill="auto"/>
            <w:noWrap/>
          </w:tcPr>
          <w:p w14:paraId="4C076E51" w14:textId="7C551536"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Tobin’s Q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42005D9" w14:textId="62AE431E"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0.333</w:t>
            </w:r>
          </w:p>
        </w:tc>
        <w:tc>
          <w:tcPr>
            <w:tcW w:w="1498" w:type="dxa"/>
            <w:tcBorders>
              <w:top w:val="nil"/>
              <w:left w:val="nil"/>
              <w:bottom w:val="nil"/>
              <w:right w:val="nil"/>
            </w:tcBorders>
          </w:tcPr>
          <w:p w14:paraId="6B8D294D" w14:textId="2384CF30"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396" w:type="dxa"/>
            <w:tcBorders>
              <w:top w:val="nil"/>
              <w:left w:val="nil"/>
              <w:bottom w:val="nil"/>
              <w:right w:val="single" w:sz="12" w:space="0" w:color="auto"/>
            </w:tcBorders>
            <w:shd w:val="clear" w:color="auto" w:fill="auto"/>
            <w:noWrap/>
          </w:tcPr>
          <w:p w14:paraId="21765627" w14:textId="47A00F11"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34" w:type="dxa"/>
            <w:tcBorders>
              <w:top w:val="nil"/>
              <w:left w:val="single" w:sz="12" w:space="0" w:color="auto"/>
              <w:bottom w:val="nil"/>
            </w:tcBorders>
          </w:tcPr>
          <w:p w14:paraId="53D3CE4A" w14:textId="50AAEA15"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0.361</w:t>
            </w:r>
          </w:p>
        </w:tc>
        <w:tc>
          <w:tcPr>
            <w:tcW w:w="1390" w:type="dxa"/>
            <w:tcBorders>
              <w:top w:val="nil"/>
              <w:left w:val="nil"/>
              <w:bottom w:val="nil"/>
              <w:right w:val="nil"/>
            </w:tcBorders>
          </w:tcPr>
          <w:p w14:paraId="7F9DC897" w14:textId="6C3A7910"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0.433</w:t>
            </w:r>
          </w:p>
        </w:tc>
        <w:tc>
          <w:tcPr>
            <w:tcW w:w="1426" w:type="dxa"/>
            <w:tcBorders>
              <w:top w:val="nil"/>
              <w:left w:val="nil"/>
              <w:bottom w:val="nil"/>
            </w:tcBorders>
          </w:tcPr>
          <w:p w14:paraId="632555A5" w14:textId="234FAE10"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r>
      <w:tr w:rsidR="00EE533D" w:rsidRPr="00EE533D" w14:paraId="483AF86C" w14:textId="77777777" w:rsidTr="00F4319C">
        <w:trPr>
          <w:trHeight w:val="71"/>
        </w:trPr>
        <w:tc>
          <w:tcPr>
            <w:tcW w:w="2806" w:type="dxa"/>
            <w:tcBorders>
              <w:top w:val="nil"/>
              <w:left w:val="nil"/>
              <w:bottom w:val="nil"/>
              <w:right w:val="nil"/>
            </w:tcBorders>
            <w:shd w:val="clear" w:color="auto" w:fill="auto"/>
            <w:noWrap/>
          </w:tcPr>
          <w:p w14:paraId="60745A27"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AB36CD9" w14:textId="10D60771"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(1.037)</w:t>
            </w:r>
          </w:p>
        </w:tc>
        <w:tc>
          <w:tcPr>
            <w:tcW w:w="1498" w:type="dxa"/>
            <w:tcBorders>
              <w:top w:val="nil"/>
              <w:left w:val="nil"/>
              <w:bottom w:val="nil"/>
              <w:right w:val="nil"/>
            </w:tcBorders>
          </w:tcPr>
          <w:p w14:paraId="0063A324" w14:textId="4D69D9C3"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(1.783)</w:t>
            </w:r>
          </w:p>
        </w:tc>
        <w:tc>
          <w:tcPr>
            <w:tcW w:w="1396" w:type="dxa"/>
            <w:tcBorders>
              <w:top w:val="nil"/>
              <w:left w:val="nil"/>
              <w:bottom w:val="nil"/>
              <w:right w:val="single" w:sz="12" w:space="0" w:color="auto"/>
            </w:tcBorders>
            <w:shd w:val="clear" w:color="auto" w:fill="auto"/>
            <w:noWrap/>
          </w:tcPr>
          <w:p w14:paraId="09765B8C" w14:textId="0A5AE7A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(0.117)</w:t>
            </w:r>
          </w:p>
        </w:tc>
        <w:tc>
          <w:tcPr>
            <w:tcW w:w="1434" w:type="dxa"/>
            <w:tcBorders>
              <w:top w:val="nil"/>
              <w:left w:val="single" w:sz="12" w:space="0" w:color="auto"/>
              <w:bottom w:val="nil"/>
            </w:tcBorders>
          </w:tcPr>
          <w:p w14:paraId="1CA2B792" w14:textId="54E6CC6E"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(1.072)</w:t>
            </w:r>
          </w:p>
        </w:tc>
        <w:tc>
          <w:tcPr>
            <w:tcW w:w="1390" w:type="dxa"/>
            <w:tcBorders>
              <w:top w:val="nil"/>
              <w:left w:val="nil"/>
              <w:bottom w:val="nil"/>
              <w:right w:val="nil"/>
            </w:tcBorders>
          </w:tcPr>
          <w:p w14:paraId="29691640" w14:textId="1309C2B7"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(1.662)</w:t>
            </w:r>
          </w:p>
        </w:tc>
        <w:tc>
          <w:tcPr>
            <w:tcW w:w="1426" w:type="dxa"/>
            <w:tcBorders>
              <w:top w:val="nil"/>
              <w:left w:val="nil"/>
              <w:bottom w:val="nil"/>
            </w:tcBorders>
          </w:tcPr>
          <w:p w14:paraId="3F876503" w14:textId="52591CA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r>
      <w:tr w:rsidR="00EE533D" w:rsidRPr="00EE533D" w14:paraId="56EF7680" w14:textId="77777777" w:rsidTr="00F4319C">
        <w:trPr>
          <w:trHeight w:val="71"/>
        </w:trPr>
        <w:tc>
          <w:tcPr>
            <w:tcW w:w="2806" w:type="dxa"/>
            <w:tcBorders>
              <w:top w:val="nil"/>
              <w:left w:val="nil"/>
              <w:bottom w:val="nil"/>
              <w:right w:val="nil"/>
            </w:tcBorders>
            <w:shd w:val="clear" w:color="auto" w:fill="auto"/>
            <w:noWrap/>
          </w:tcPr>
          <w:p w14:paraId="19591E9A"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AF7CBD8" w14:textId="77777777"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p>
        </w:tc>
        <w:tc>
          <w:tcPr>
            <w:tcW w:w="1498" w:type="dxa"/>
            <w:tcBorders>
              <w:top w:val="nil"/>
              <w:left w:val="nil"/>
              <w:bottom w:val="nil"/>
              <w:right w:val="nil"/>
            </w:tcBorders>
          </w:tcPr>
          <w:p w14:paraId="5F53E566" w14:textId="77777777"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0946248" w14:textId="77777777"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p>
        </w:tc>
        <w:tc>
          <w:tcPr>
            <w:tcW w:w="1434" w:type="dxa"/>
            <w:tcBorders>
              <w:top w:val="nil"/>
              <w:left w:val="single" w:sz="12" w:space="0" w:color="auto"/>
              <w:bottom w:val="nil"/>
            </w:tcBorders>
          </w:tcPr>
          <w:p w14:paraId="478B3108" w14:textId="5C49E6BF"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-0.689</w:t>
            </w:r>
          </w:p>
        </w:tc>
        <w:tc>
          <w:tcPr>
            <w:tcW w:w="1390" w:type="dxa"/>
            <w:tcBorders>
              <w:top w:val="nil"/>
              <w:left w:val="nil"/>
              <w:bottom w:val="nil"/>
              <w:right w:val="nil"/>
            </w:tcBorders>
          </w:tcPr>
          <w:p w14:paraId="41E4E7AF" w14:textId="43DE207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-2.274</w:t>
            </w:r>
          </w:p>
        </w:tc>
        <w:tc>
          <w:tcPr>
            <w:tcW w:w="1426" w:type="dxa"/>
            <w:tcBorders>
              <w:top w:val="nil"/>
              <w:left w:val="nil"/>
              <w:bottom w:val="nil"/>
            </w:tcBorders>
          </w:tcPr>
          <w:p w14:paraId="0598EE02" w14:textId="3DB456B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0.050</w:t>
            </w:r>
          </w:p>
        </w:tc>
      </w:tr>
      <w:tr w:rsidR="00EE533D" w:rsidRPr="00EE533D" w14:paraId="6BE79251" w14:textId="77777777" w:rsidTr="00F4319C">
        <w:trPr>
          <w:trHeight w:val="71"/>
        </w:trPr>
        <w:tc>
          <w:tcPr>
            <w:tcW w:w="2806" w:type="dxa"/>
            <w:tcBorders>
              <w:top w:val="nil"/>
              <w:left w:val="nil"/>
              <w:bottom w:val="nil"/>
              <w:right w:val="nil"/>
            </w:tcBorders>
            <w:shd w:val="clear" w:color="auto" w:fill="auto"/>
            <w:noWrap/>
          </w:tcPr>
          <w:p w14:paraId="3BA1FA0C"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0026744" w14:textId="77777777"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p>
        </w:tc>
        <w:tc>
          <w:tcPr>
            <w:tcW w:w="1498" w:type="dxa"/>
            <w:tcBorders>
              <w:top w:val="nil"/>
              <w:left w:val="nil"/>
              <w:bottom w:val="nil"/>
              <w:right w:val="nil"/>
            </w:tcBorders>
          </w:tcPr>
          <w:p w14:paraId="07406B6E" w14:textId="77777777"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4D6618A0" w14:textId="77777777"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p>
        </w:tc>
        <w:tc>
          <w:tcPr>
            <w:tcW w:w="1434" w:type="dxa"/>
            <w:tcBorders>
              <w:top w:val="nil"/>
              <w:left w:val="single" w:sz="12" w:space="0" w:color="auto"/>
              <w:bottom w:val="nil"/>
            </w:tcBorders>
          </w:tcPr>
          <w:p w14:paraId="60CB9EC5" w14:textId="1F1AB6F5"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(1.140)</w:t>
            </w:r>
          </w:p>
        </w:tc>
        <w:tc>
          <w:tcPr>
            <w:tcW w:w="1390" w:type="dxa"/>
            <w:tcBorders>
              <w:top w:val="nil"/>
              <w:left w:val="nil"/>
              <w:bottom w:val="nil"/>
              <w:right w:val="nil"/>
            </w:tcBorders>
          </w:tcPr>
          <w:p w14:paraId="7E96D3F0" w14:textId="41B81640"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(1.863)</w:t>
            </w:r>
          </w:p>
        </w:tc>
        <w:tc>
          <w:tcPr>
            <w:tcW w:w="1426" w:type="dxa"/>
            <w:tcBorders>
              <w:top w:val="nil"/>
              <w:left w:val="nil"/>
              <w:bottom w:val="nil"/>
            </w:tcBorders>
          </w:tcPr>
          <w:p w14:paraId="7B4D9F5C" w14:textId="3279DA6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(0.093)</w:t>
            </w:r>
          </w:p>
        </w:tc>
      </w:tr>
      <w:tr w:rsidR="00EE533D" w:rsidRPr="00EE533D" w14:paraId="6EA9DAC2" w14:textId="77777777" w:rsidTr="00F4319C">
        <w:trPr>
          <w:trHeight w:val="71"/>
        </w:trPr>
        <w:tc>
          <w:tcPr>
            <w:tcW w:w="2806" w:type="dxa"/>
            <w:tcBorders>
              <w:top w:val="nil"/>
              <w:left w:val="nil"/>
              <w:bottom w:val="nil"/>
              <w:right w:val="nil"/>
            </w:tcBorders>
            <w:shd w:val="clear" w:color="auto" w:fill="auto"/>
            <w:noWrap/>
          </w:tcPr>
          <w:p w14:paraId="2DE51E0B"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9BE6622"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286113E6"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2F452776"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0B07A998" w14:textId="525039C7"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-0.251</w:t>
            </w:r>
          </w:p>
        </w:tc>
        <w:tc>
          <w:tcPr>
            <w:tcW w:w="1390" w:type="dxa"/>
            <w:tcBorders>
              <w:top w:val="nil"/>
              <w:left w:val="nil"/>
              <w:bottom w:val="nil"/>
              <w:right w:val="nil"/>
            </w:tcBorders>
          </w:tcPr>
          <w:p w14:paraId="4001E9E3" w14:textId="3148E5BB"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0.335*</w:t>
            </w:r>
          </w:p>
        </w:tc>
        <w:tc>
          <w:tcPr>
            <w:tcW w:w="1426" w:type="dxa"/>
            <w:tcBorders>
              <w:top w:val="nil"/>
              <w:left w:val="nil"/>
              <w:bottom w:val="nil"/>
            </w:tcBorders>
          </w:tcPr>
          <w:p w14:paraId="24766FC0" w14:textId="67EBD34A"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-0.018</w:t>
            </w:r>
          </w:p>
        </w:tc>
      </w:tr>
      <w:tr w:rsidR="00EE533D" w:rsidRPr="00EE533D" w14:paraId="47B549AE" w14:textId="77777777" w:rsidTr="00F4319C">
        <w:trPr>
          <w:trHeight w:val="71"/>
        </w:trPr>
        <w:tc>
          <w:tcPr>
            <w:tcW w:w="2806" w:type="dxa"/>
            <w:tcBorders>
              <w:top w:val="nil"/>
              <w:left w:val="nil"/>
              <w:bottom w:val="nil"/>
              <w:right w:val="nil"/>
            </w:tcBorders>
            <w:shd w:val="clear" w:color="auto" w:fill="auto"/>
            <w:noWrap/>
          </w:tcPr>
          <w:p w14:paraId="053A45A8"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78EF734"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32AE5012"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644295A2"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6973528C" w14:textId="2486768C"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(0.202)</w:t>
            </w:r>
          </w:p>
        </w:tc>
        <w:tc>
          <w:tcPr>
            <w:tcW w:w="1390" w:type="dxa"/>
            <w:tcBorders>
              <w:top w:val="nil"/>
              <w:left w:val="nil"/>
              <w:bottom w:val="nil"/>
              <w:right w:val="nil"/>
            </w:tcBorders>
          </w:tcPr>
          <w:p w14:paraId="0832B7E1" w14:textId="76B7646C"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(0.150)</w:t>
            </w:r>
          </w:p>
        </w:tc>
        <w:tc>
          <w:tcPr>
            <w:tcW w:w="1426" w:type="dxa"/>
            <w:tcBorders>
              <w:top w:val="nil"/>
              <w:left w:val="nil"/>
              <w:bottom w:val="nil"/>
            </w:tcBorders>
          </w:tcPr>
          <w:p w14:paraId="1CC4DF40" w14:textId="00B6EF1C"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(0.019)</w:t>
            </w:r>
          </w:p>
        </w:tc>
      </w:tr>
      <w:tr w:rsidR="00EE533D" w:rsidRPr="00EE533D" w14:paraId="6C036D85" w14:textId="77777777" w:rsidTr="00F4319C">
        <w:trPr>
          <w:trHeight w:val="71"/>
        </w:trPr>
        <w:tc>
          <w:tcPr>
            <w:tcW w:w="2806" w:type="dxa"/>
            <w:tcBorders>
              <w:top w:val="nil"/>
              <w:left w:val="nil"/>
              <w:bottom w:val="nil"/>
              <w:right w:val="nil"/>
            </w:tcBorders>
            <w:shd w:val="clear" w:color="auto" w:fill="auto"/>
            <w:noWrap/>
          </w:tcPr>
          <w:p w14:paraId="10D8713B"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A7C8FD1"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7A62548"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BF12BA0"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2E236554" w14:textId="62BA3A33"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390" w:type="dxa"/>
            <w:tcBorders>
              <w:top w:val="nil"/>
              <w:left w:val="nil"/>
              <w:bottom w:val="nil"/>
              <w:right w:val="nil"/>
            </w:tcBorders>
          </w:tcPr>
          <w:p w14:paraId="1EF316F1" w14:textId="4456CDC3"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-0.052</w:t>
            </w:r>
          </w:p>
        </w:tc>
        <w:tc>
          <w:tcPr>
            <w:tcW w:w="1426" w:type="dxa"/>
            <w:tcBorders>
              <w:top w:val="nil"/>
              <w:left w:val="nil"/>
              <w:bottom w:val="nil"/>
            </w:tcBorders>
          </w:tcPr>
          <w:p w14:paraId="6EC3E3B4" w14:textId="65C70479"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-0.008</w:t>
            </w:r>
          </w:p>
        </w:tc>
      </w:tr>
      <w:tr w:rsidR="00EE533D" w:rsidRPr="00EE533D" w14:paraId="07A4AEEC" w14:textId="77777777" w:rsidTr="00F4319C">
        <w:trPr>
          <w:trHeight w:val="71"/>
        </w:trPr>
        <w:tc>
          <w:tcPr>
            <w:tcW w:w="2806" w:type="dxa"/>
            <w:tcBorders>
              <w:top w:val="nil"/>
              <w:left w:val="nil"/>
              <w:bottom w:val="nil"/>
              <w:right w:val="nil"/>
            </w:tcBorders>
            <w:shd w:val="clear" w:color="auto" w:fill="auto"/>
            <w:noWrap/>
          </w:tcPr>
          <w:p w14:paraId="5A8D6E57"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ECEF683"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64D409E8"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58CEF1C"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7ABDD93D" w14:textId="623AF2E6"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390" w:type="dxa"/>
            <w:tcBorders>
              <w:top w:val="nil"/>
              <w:left w:val="nil"/>
              <w:bottom w:val="nil"/>
              <w:right w:val="nil"/>
            </w:tcBorders>
          </w:tcPr>
          <w:p w14:paraId="6043F1B8" w14:textId="38AB30AB"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(0.064)</w:t>
            </w:r>
          </w:p>
        </w:tc>
        <w:tc>
          <w:tcPr>
            <w:tcW w:w="1426" w:type="dxa"/>
            <w:tcBorders>
              <w:top w:val="nil"/>
              <w:left w:val="nil"/>
              <w:bottom w:val="nil"/>
            </w:tcBorders>
          </w:tcPr>
          <w:p w14:paraId="299D03BA" w14:textId="5E481C0E"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625A5D14" w14:textId="77777777" w:rsidTr="00F4319C">
        <w:trPr>
          <w:trHeight w:val="71"/>
        </w:trPr>
        <w:tc>
          <w:tcPr>
            <w:tcW w:w="2806" w:type="dxa"/>
            <w:tcBorders>
              <w:top w:val="nil"/>
              <w:left w:val="nil"/>
              <w:bottom w:val="nil"/>
              <w:right w:val="nil"/>
            </w:tcBorders>
            <w:shd w:val="clear" w:color="auto" w:fill="auto"/>
            <w:noWrap/>
          </w:tcPr>
          <w:p w14:paraId="53D737A0"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27DCF31"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2F824B04"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484A57C"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5FCD4609" w14:textId="528E90D5"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1.334</w:t>
            </w:r>
          </w:p>
        </w:tc>
        <w:tc>
          <w:tcPr>
            <w:tcW w:w="1390" w:type="dxa"/>
            <w:tcBorders>
              <w:top w:val="nil"/>
              <w:left w:val="nil"/>
              <w:bottom w:val="nil"/>
              <w:right w:val="nil"/>
            </w:tcBorders>
          </w:tcPr>
          <w:p w14:paraId="6104A5C1" w14:textId="23B3018D"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0.626</w:t>
            </w:r>
          </w:p>
        </w:tc>
        <w:tc>
          <w:tcPr>
            <w:tcW w:w="1426" w:type="dxa"/>
            <w:tcBorders>
              <w:top w:val="nil"/>
              <w:left w:val="nil"/>
              <w:bottom w:val="nil"/>
            </w:tcBorders>
          </w:tcPr>
          <w:p w14:paraId="0A57B8D4" w14:textId="6B18675A"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37896193" w14:textId="77777777" w:rsidTr="00F4319C">
        <w:trPr>
          <w:trHeight w:val="71"/>
        </w:trPr>
        <w:tc>
          <w:tcPr>
            <w:tcW w:w="2806" w:type="dxa"/>
            <w:tcBorders>
              <w:top w:val="nil"/>
              <w:left w:val="nil"/>
              <w:bottom w:val="nil"/>
              <w:right w:val="nil"/>
            </w:tcBorders>
            <w:shd w:val="clear" w:color="auto" w:fill="auto"/>
            <w:noWrap/>
          </w:tcPr>
          <w:p w14:paraId="3FB1ADB8"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E624370" w14:textId="77777777" w:rsidR="00EF0FE9" w:rsidRPr="00EE533D" w:rsidRDefault="00EF0FE9" w:rsidP="00EF0FE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3AC1E020" w14:textId="77777777" w:rsidR="00EF0FE9" w:rsidRPr="00EE533D" w:rsidRDefault="00EF0FE9" w:rsidP="00EF0FE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AC00D8F" w14:textId="77777777" w:rsidR="00EF0FE9" w:rsidRPr="00EE533D" w:rsidRDefault="00EF0FE9" w:rsidP="00EF0FE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74D4E9EF" w14:textId="51EF1C64" w:rsidR="00EF0FE9" w:rsidRPr="00EE533D" w:rsidRDefault="00EF0FE9" w:rsidP="00EF0FE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(1.047)</w:t>
            </w:r>
          </w:p>
        </w:tc>
        <w:tc>
          <w:tcPr>
            <w:tcW w:w="1390" w:type="dxa"/>
            <w:tcBorders>
              <w:top w:val="nil"/>
              <w:left w:val="nil"/>
              <w:bottom w:val="nil"/>
              <w:right w:val="nil"/>
            </w:tcBorders>
          </w:tcPr>
          <w:p w14:paraId="271F5E80" w14:textId="5911BE20" w:rsidR="00EF0FE9" w:rsidRPr="00EE533D" w:rsidRDefault="00EF0FE9" w:rsidP="00EF0FE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(1.957)</w:t>
            </w:r>
          </w:p>
        </w:tc>
        <w:tc>
          <w:tcPr>
            <w:tcW w:w="1426" w:type="dxa"/>
            <w:tcBorders>
              <w:top w:val="nil"/>
              <w:left w:val="nil"/>
              <w:bottom w:val="nil"/>
            </w:tcBorders>
          </w:tcPr>
          <w:p w14:paraId="797924E5" w14:textId="59CC5F4E" w:rsidR="00EF0FE9" w:rsidRPr="00EE533D" w:rsidRDefault="00EF0FE9" w:rsidP="00EF0FE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(0.151)</w:t>
            </w:r>
          </w:p>
        </w:tc>
      </w:tr>
      <w:tr w:rsidR="00EE533D" w:rsidRPr="00EE533D" w14:paraId="699BF941" w14:textId="77777777" w:rsidTr="00F4319C">
        <w:trPr>
          <w:trHeight w:val="71"/>
        </w:trPr>
        <w:tc>
          <w:tcPr>
            <w:tcW w:w="2806" w:type="dxa"/>
            <w:tcBorders>
              <w:top w:val="nil"/>
              <w:left w:val="nil"/>
              <w:bottom w:val="nil"/>
              <w:right w:val="nil"/>
            </w:tcBorders>
            <w:shd w:val="clear" w:color="auto" w:fill="auto"/>
            <w:noWrap/>
          </w:tcPr>
          <w:p w14:paraId="2C710BF6"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7E4A1C1" w14:textId="5F018744"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0.086</w:t>
            </w:r>
          </w:p>
        </w:tc>
        <w:tc>
          <w:tcPr>
            <w:tcW w:w="1498" w:type="dxa"/>
            <w:tcBorders>
              <w:top w:val="nil"/>
              <w:left w:val="nil"/>
              <w:bottom w:val="nil"/>
              <w:right w:val="nil"/>
            </w:tcBorders>
          </w:tcPr>
          <w:p w14:paraId="691E243B" w14:textId="4F926A67"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396" w:type="dxa"/>
            <w:tcBorders>
              <w:top w:val="nil"/>
              <w:left w:val="nil"/>
              <w:bottom w:val="nil"/>
              <w:right w:val="single" w:sz="12" w:space="0" w:color="auto"/>
            </w:tcBorders>
            <w:shd w:val="clear" w:color="auto" w:fill="auto"/>
            <w:noWrap/>
          </w:tcPr>
          <w:p w14:paraId="4460D156" w14:textId="4D8A6A3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-0.123</w:t>
            </w:r>
          </w:p>
        </w:tc>
        <w:tc>
          <w:tcPr>
            <w:tcW w:w="1434" w:type="dxa"/>
            <w:tcBorders>
              <w:top w:val="nil"/>
              <w:left w:val="single" w:sz="12" w:space="0" w:color="auto"/>
              <w:bottom w:val="nil"/>
            </w:tcBorders>
          </w:tcPr>
          <w:p w14:paraId="514BAB48" w14:textId="68C27206"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0.173</w:t>
            </w:r>
          </w:p>
        </w:tc>
        <w:tc>
          <w:tcPr>
            <w:tcW w:w="1390" w:type="dxa"/>
            <w:tcBorders>
              <w:top w:val="nil"/>
              <w:left w:val="nil"/>
              <w:bottom w:val="nil"/>
              <w:right w:val="nil"/>
            </w:tcBorders>
          </w:tcPr>
          <w:p w14:paraId="5EF6B73B" w14:textId="5BEAF3BB"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426" w:type="dxa"/>
            <w:tcBorders>
              <w:top w:val="nil"/>
              <w:left w:val="nil"/>
              <w:bottom w:val="nil"/>
            </w:tcBorders>
          </w:tcPr>
          <w:p w14:paraId="39E0369D" w14:textId="782869A9"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-0.114</w:t>
            </w:r>
          </w:p>
        </w:tc>
      </w:tr>
      <w:tr w:rsidR="00EE533D" w:rsidRPr="00EE533D" w14:paraId="7F222659" w14:textId="77777777" w:rsidTr="00F4319C">
        <w:trPr>
          <w:trHeight w:val="71"/>
        </w:trPr>
        <w:tc>
          <w:tcPr>
            <w:tcW w:w="2806" w:type="dxa"/>
            <w:tcBorders>
              <w:top w:val="nil"/>
              <w:left w:val="nil"/>
              <w:bottom w:val="nil"/>
              <w:right w:val="nil"/>
            </w:tcBorders>
            <w:shd w:val="clear" w:color="auto" w:fill="auto"/>
            <w:noWrap/>
          </w:tcPr>
          <w:p w14:paraId="1FB612C0"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6FA04F3" w14:textId="290C6083"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(0.440)</w:t>
            </w:r>
          </w:p>
        </w:tc>
        <w:tc>
          <w:tcPr>
            <w:tcW w:w="1498" w:type="dxa"/>
            <w:tcBorders>
              <w:top w:val="nil"/>
              <w:left w:val="nil"/>
              <w:bottom w:val="nil"/>
              <w:right w:val="nil"/>
            </w:tcBorders>
          </w:tcPr>
          <w:p w14:paraId="609CB6C4" w14:textId="417C2DE8"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(0.516)</w:t>
            </w:r>
          </w:p>
        </w:tc>
        <w:tc>
          <w:tcPr>
            <w:tcW w:w="1396" w:type="dxa"/>
            <w:tcBorders>
              <w:top w:val="nil"/>
              <w:left w:val="nil"/>
              <w:bottom w:val="nil"/>
              <w:right w:val="single" w:sz="12" w:space="0" w:color="auto"/>
            </w:tcBorders>
            <w:shd w:val="clear" w:color="auto" w:fill="auto"/>
            <w:noWrap/>
          </w:tcPr>
          <w:p w14:paraId="771C6AE5" w14:textId="370E977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(0.082)</w:t>
            </w:r>
          </w:p>
        </w:tc>
        <w:tc>
          <w:tcPr>
            <w:tcW w:w="1434" w:type="dxa"/>
            <w:tcBorders>
              <w:top w:val="nil"/>
              <w:left w:val="single" w:sz="12" w:space="0" w:color="auto"/>
              <w:bottom w:val="nil"/>
            </w:tcBorders>
          </w:tcPr>
          <w:p w14:paraId="183DD066" w14:textId="57DACE7C"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(0.485)</w:t>
            </w:r>
          </w:p>
        </w:tc>
        <w:tc>
          <w:tcPr>
            <w:tcW w:w="1390" w:type="dxa"/>
            <w:tcBorders>
              <w:top w:val="nil"/>
              <w:left w:val="nil"/>
              <w:bottom w:val="nil"/>
              <w:right w:val="nil"/>
            </w:tcBorders>
          </w:tcPr>
          <w:p w14:paraId="1670A09D" w14:textId="5A2543B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(0.487)</w:t>
            </w:r>
          </w:p>
        </w:tc>
        <w:tc>
          <w:tcPr>
            <w:tcW w:w="1426" w:type="dxa"/>
            <w:tcBorders>
              <w:top w:val="nil"/>
              <w:left w:val="nil"/>
              <w:bottom w:val="nil"/>
            </w:tcBorders>
          </w:tcPr>
          <w:p w14:paraId="79CE6C6A" w14:textId="4B9206A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(0.090)</w:t>
            </w:r>
          </w:p>
        </w:tc>
      </w:tr>
      <w:tr w:rsidR="00EE533D" w:rsidRPr="00EE533D" w14:paraId="3B647520" w14:textId="77777777" w:rsidTr="00F4319C">
        <w:trPr>
          <w:trHeight w:val="71"/>
        </w:trPr>
        <w:tc>
          <w:tcPr>
            <w:tcW w:w="2806" w:type="dxa"/>
            <w:tcBorders>
              <w:top w:val="nil"/>
              <w:left w:val="nil"/>
              <w:bottom w:val="nil"/>
              <w:right w:val="nil"/>
            </w:tcBorders>
            <w:shd w:val="clear" w:color="auto" w:fill="auto"/>
            <w:noWrap/>
          </w:tcPr>
          <w:p w14:paraId="5C2630AC" w14:textId="77777777" w:rsidR="00EF0FE9" w:rsidRPr="00EE533D" w:rsidRDefault="00EF0FE9" w:rsidP="00EF0FE9">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40261891" w14:textId="255F7961"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-10.395</w:t>
            </w:r>
          </w:p>
        </w:tc>
        <w:tc>
          <w:tcPr>
            <w:tcW w:w="1498" w:type="dxa"/>
            <w:tcBorders>
              <w:top w:val="nil"/>
              <w:left w:val="nil"/>
              <w:bottom w:val="nil"/>
              <w:right w:val="nil"/>
            </w:tcBorders>
          </w:tcPr>
          <w:p w14:paraId="1089439A" w14:textId="1D79060A"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43.427**</w:t>
            </w:r>
          </w:p>
        </w:tc>
        <w:tc>
          <w:tcPr>
            <w:tcW w:w="1396" w:type="dxa"/>
            <w:tcBorders>
              <w:top w:val="nil"/>
              <w:left w:val="nil"/>
              <w:bottom w:val="nil"/>
              <w:right w:val="single" w:sz="12" w:space="0" w:color="auto"/>
            </w:tcBorders>
            <w:shd w:val="clear" w:color="auto" w:fill="auto"/>
            <w:noWrap/>
          </w:tcPr>
          <w:p w14:paraId="7CF32503" w14:textId="0328165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-2.022**</w:t>
            </w:r>
          </w:p>
        </w:tc>
        <w:tc>
          <w:tcPr>
            <w:tcW w:w="1434" w:type="dxa"/>
            <w:tcBorders>
              <w:top w:val="nil"/>
              <w:left w:val="single" w:sz="12" w:space="0" w:color="auto"/>
              <w:bottom w:val="nil"/>
            </w:tcBorders>
          </w:tcPr>
          <w:p w14:paraId="16DFDB87" w14:textId="71D36192"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-12.738</w:t>
            </w:r>
          </w:p>
        </w:tc>
        <w:tc>
          <w:tcPr>
            <w:tcW w:w="1390" w:type="dxa"/>
            <w:tcBorders>
              <w:top w:val="nil"/>
              <w:left w:val="nil"/>
              <w:bottom w:val="nil"/>
              <w:right w:val="nil"/>
            </w:tcBorders>
          </w:tcPr>
          <w:p w14:paraId="24F59233" w14:textId="6F910FB8"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41.657**</w:t>
            </w:r>
          </w:p>
        </w:tc>
        <w:tc>
          <w:tcPr>
            <w:tcW w:w="1426" w:type="dxa"/>
            <w:tcBorders>
              <w:top w:val="nil"/>
              <w:left w:val="nil"/>
              <w:bottom w:val="nil"/>
            </w:tcBorders>
          </w:tcPr>
          <w:p w14:paraId="7BF6854A" w14:textId="5CCD17C3"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-2.025**</w:t>
            </w:r>
          </w:p>
        </w:tc>
      </w:tr>
      <w:tr w:rsidR="00EE533D" w:rsidRPr="00EE533D" w14:paraId="3A754869" w14:textId="77777777" w:rsidTr="00F4319C">
        <w:trPr>
          <w:trHeight w:val="71"/>
        </w:trPr>
        <w:tc>
          <w:tcPr>
            <w:tcW w:w="2806" w:type="dxa"/>
            <w:tcBorders>
              <w:top w:val="nil"/>
              <w:left w:val="nil"/>
              <w:bottom w:val="nil"/>
              <w:right w:val="nil"/>
            </w:tcBorders>
            <w:shd w:val="clear" w:color="auto" w:fill="auto"/>
            <w:noWrap/>
          </w:tcPr>
          <w:p w14:paraId="17EE0F3D" w14:textId="77777777" w:rsidR="00EF0FE9" w:rsidRPr="00EE533D" w:rsidRDefault="00EF0FE9" w:rsidP="00EF0FE9">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2CB5CFF" w14:textId="2B4AF949"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(10.499)</w:t>
            </w:r>
          </w:p>
        </w:tc>
        <w:tc>
          <w:tcPr>
            <w:tcW w:w="1498" w:type="dxa"/>
            <w:tcBorders>
              <w:top w:val="nil"/>
              <w:left w:val="nil"/>
              <w:bottom w:val="nil"/>
              <w:right w:val="nil"/>
            </w:tcBorders>
          </w:tcPr>
          <w:p w14:paraId="6EBB6133" w14:textId="170EF962"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(13.562)</w:t>
            </w:r>
          </w:p>
        </w:tc>
        <w:tc>
          <w:tcPr>
            <w:tcW w:w="1396" w:type="dxa"/>
            <w:tcBorders>
              <w:top w:val="nil"/>
              <w:left w:val="nil"/>
              <w:bottom w:val="nil"/>
              <w:right w:val="single" w:sz="12" w:space="0" w:color="auto"/>
            </w:tcBorders>
            <w:shd w:val="clear" w:color="auto" w:fill="auto"/>
            <w:noWrap/>
          </w:tcPr>
          <w:p w14:paraId="258CD512" w14:textId="78111D7B"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(0.658)</w:t>
            </w:r>
          </w:p>
        </w:tc>
        <w:tc>
          <w:tcPr>
            <w:tcW w:w="1434" w:type="dxa"/>
            <w:tcBorders>
              <w:top w:val="nil"/>
              <w:left w:val="single" w:sz="12" w:space="0" w:color="auto"/>
              <w:bottom w:val="nil"/>
            </w:tcBorders>
          </w:tcPr>
          <w:p w14:paraId="26D6CA9D" w14:textId="2A2B5832"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(9.288)</w:t>
            </w:r>
          </w:p>
        </w:tc>
        <w:tc>
          <w:tcPr>
            <w:tcW w:w="1390" w:type="dxa"/>
            <w:tcBorders>
              <w:top w:val="nil"/>
              <w:left w:val="nil"/>
              <w:bottom w:val="nil"/>
              <w:right w:val="nil"/>
            </w:tcBorders>
          </w:tcPr>
          <w:p w14:paraId="1927AFEC" w14:textId="3A55E9F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(13.818)</w:t>
            </w:r>
          </w:p>
        </w:tc>
        <w:tc>
          <w:tcPr>
            <w:tcW w:w="1426" w:type="dxa"/>
            <w:tcBorders>
              <w:top w:val="nil"/>
              <w:left w:val="nil"/>
              <w:bottom w:val="nil"/>
            </w:tcBorders>
          </w:tcPr>
          <w:p w14:paraId="22949DC5" w14:textId="0378E095"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(0.674)</w:t>
            </w:r>
          </w:p>
        </w:tc>
      </w:tr>
      <w:tr w:rsidR="00EE533D" w:rsidRPr="00EE533D" w14:paraId="032DE229" w14:textId="77777777" w:rsidTr="00F4319C">
        <w:trPr>
          <w:trHeight w:val="71"/>
        </w:trPr>
        <w:tc>
          <w:tcPr>
            <w:tcW w:w="2806" w:type="dxa"/>
            <w:tcBorders>
              <w:top w:val="nil"/>
              <w:left w:val="nil"/>
              <w:bottom w:val="nil"/>
              <w:right w:val="nil"/>
            </w:tcBorders>
            <w:shd w:val="clear" w:color="auto" w:fill="auto"/>
            <w:noWrap/>
            <w:vAlign w:val="bottom"/>
          </w:tcPr>
          <w:p w14:paraId="4067C6AD"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83DAF37" w14:textId="413DD656"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0.052</w:t>
            </w:r>
          </w:p>
        </w:tc>
        <w:tc>
          <w:tcPr>
            <w:tcW w:w="1498" w:type="dxa"/>
            <w:tcBorders>
              <w:top w:val="nil"/>
              <w:left w:val="nil"/>
              <w:bottom w:val="nil"/>
              <w:right w:val="nil"/>
            </w:tcBorders>
          </w:tcPr>
          <w:p w14:paraId="2177BF0D" w14:textId="4CDAEAA4"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-0.470***</w:t>
            </w:r>
          </w:p>
        </w:tc>
        <w:tc>
          <w:tcPr>
            <w:tcW w:w="1396" w:type="dxa"/>
            <w:tcBorders>
              <w:top w:val="nil"/>
              <w:left w:val="nil"/>
              <w:bottom w:val="nil"/>
              <w:right w:val="single" w:sz="12" w:space="0" w:color="auto"/>
            </w:tcBorders>
            <w:shd w:val="clear" w:color="auto" w:fill="auto"/>
            <w:noWrap/>
          </w:tcPr>
          <w:p w14:paraId="09E9290C" w14:textId="1389E1E8"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434" w:type="dxa"/>
            <w:tcBorders>
              <w:top w:val="nil"/>
              <w:left w:val="single" w:sz="12" w:space="0" w:color="auto"/>
              <w:bottom w:val="nil"/>
            </w:tcBorders>
          </w:tcPr>
          <w:p w14:paraId="50D8643C" w14:textId="0A4832F1"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390" w:type="dxa"/>
            <w:tcBorders>
              <w:top w:val="nil"/>
              <w:left w:val="nil"/>
              <w:bottom w:val="nil"/>
              <w:right w:val="nil"/>
            </w:tcBorders>
          </w:tcPr>
          <w:p w14:paraId="188A3874" w14:textId="6A8B34A4"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-0.468***</w:t>
            </w:r>
          </w:p>
        </w:tc>
        <w:tc>
          <w:tcPr>
            <w:tcW w:w="1426" w:type="dxa"/>
            <w:tcBorders>
              <w:top w:val="nil"/>
              <w:left w:val="nil"/>
              <w:bottom w:val="nil"/>
            </w:tcBorders>
          </w:tcPr>
          <w:p w14:paraId="09A467C7" w14:textId="41E62143"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r>
      <w:tr w:rsidR="00EE533D" w:rsidRPr="00EE533D" w14:paraId="07BDEA3A" w14:textId="77777777" w:rsidTr="00F4319C">
        <w:trPr>
          <w:trHeight w:val="71"/>
        </w:trPr>
        <w:tc>
          <w:tcPr>
            <w:tcW w:w="2806" w:type="dxa"/>
            <w:tcBorders>
              <w:top w:val="nil"/>
              <w:left w:val="nil"/>
              <w:bottom w:val="nil"/>
              <w:right w:val="nil"/>
            </w:tcBorders>
            <w:shd w:val="clear" w:color="auto" w:fill="auto"/>
            <w:noWrap/>
            <w:vAlign w:val="bottom"/>
          </w:tcPr>
          <w:p w14:paraId="124A0076"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C005FE0" w14:textId="1C68E674"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1498" w:type="dxa"/>
            <w:tcBorders>
              <w:top w:val="nil"/>
              <w:left w:val="nil"/>
              <w:bottom w:val="nil"/>
              <w:right w:val="nil"/>
            </w:tcBorders>
          </w:tcPr>
          <w:p w14:paraId="756AD6E9" w14:textId="47C4E5C6"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(0.127)</w:t>
            </w:r>
          </w:p>
        </w:tc>
        <w:tc>
          <w:tcPr>
            <w:tcW w:w="1396" w:type="dxa"/>
            <w:tcBorders>
              <w:top w:val="nil"/>
              <w:left w:val="nil"/>
              <w:bottom w:val="nil"/>
              <w:right w:val="single" w:sz="12" w:space="0" w:color="auto"/>
            </w:tcBorders>
            <w:shd w:val="clear" w:color="auto" w:fill="auto"/>
            <w:noWrap/>
          </w:tcPr>
          <w:p w14:paraId="1EC38DE0" w14:textId="5D9E573C"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34" w:type="dxa"/>
            <w:tcBorders>
              <w:top w:val="nil"/>
              <w:left w:val="single" w:sz="12" w:space="0" w:color="auto"/>
              <w:bottom w:val="nil"/>
            </w:tcBorders>
          </w:tcPr>
          <w:p w14:paraId="4F268D23" w14:textId="00ED647E"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1390" w:type="dxa"/>
            <w:tcBorders>
              <w:top w:val="nil"/>
              <w:left w:val="nil"/>
              <w:bottom w:val="nil"/>
              <w:right w:val="nil"/>
            </w:tcBorders>
          </w:tcPr>
          <w:p w14:paraId="15014B7D" w14:textId="40D377AE"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(0.134)</w:t>
            </w:r>
          </w:p>
        </w:tc>
        <w:tc>
          <w:tcPr>
            <w:tcW w:w="1426" w:type="dxa"/>
            <w:tcBorders>
              <w:top w:val="nil"/>
              <w:left w:val="nil"/>
              <w:bottom w:val="nil"/>
            </w:tcBorders>
          </w:tcPr>
          <w:p w14:paraId="6DB9B0BB" w14:textId="0C2EE8EA"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484935F3" w14:textId="77777777" w:rsidTr="00F4319C">
        <w:trPr>
          <w:trHeight w:val="71"/>
        </w:trPr>
        <w:tc>
          <w:tcPr>
            <w:tcW w:w="2806" w:type="dxa"/>
            <w:tcBorders>
              <w:top w:val="nil"/>
              <w:left w:val="nil"/>
              <w:bottom w:val="nil"/>
              <w:right w:val="nil"/>
            </w:tcBorders>
            <w:shd w:val="clear" w:color="auto" w:fill="auto"/>
            <w:noWrap/>
            <w:vAlign w:val="bottom"/>
          </w:tcPr>
          <w:p w14:paraId="1BCF62F4"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E13E0BC" w14:textId="5F3D253B"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-0.322***</w:t>
            </w:r>
          </w:p>
        </w:tc>
        <w:tc>
          <w:tcPr>
            <w:tcW w:w="1498" w:type="dxa"/>
            <w:tcBorders>
              <w:top w:val="nil"/>
              <w:left w:val="nil"/>
              <w:bottom w:val="nil"/>
              <w:right w:val="nil"/>
            </w:tcBorders>
          </w:tcPr>
          <w:p w14:paraId="5BA1920B" w14:textId="337187FF"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-0.268</w:t>
            </w:r>
          </w:p>
        </w:tc>
        <w:tc>
          <w:tcPr>
            <w:tcW w:w="1396" w:type="dxa"/>
            <w:tcBorders>
              <w:top w:val="nil"/>
              <w:left w:val="nil"/>
              <w:bottom w:val="nil"/>
              <w:right w:val="single" w:sz="12" w:space="0" w:color="auto"/>
            </w:tcBorders>
            <w:shd w:val="clear" w:color="auto" w:fill="auto"/>
            <w:noWrap/>
          </w:tcPr>
          <w:p w14:paraId="606C92AD" w14:textId="7BE8CADF"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left w:val="single" w:sz="12" w:space="0" w:color="auto"/>
              <w:bottom w:val="nil"/>
            </w:tcBorders>
          </w:tcPr>
          <w:p w14:paraId="4043D927" w14:textId="3C7FFFEF"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-0.339***</w:t>
            </w:r>
          </w:p>
        </w:tc>
        <w:tc>
          <w:tcPr>
            <w:tcW w:w="1390" w:type="dxa"/>
            <w:tcBorders>
              <w:top w:val="nil"/>
              <w:left w:val="nil"/>
              <w:bottom w:val="nil"/>
              <w:right w:val="nil"/>
            </w:tcBorders>
          </w:tcPr>
          <w:p w14:paraId="05EE9300" w14:textId="750BED5A"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-0.282</w:t>
            </w:r>
          </w:p>
        </w:tc>
        <w:tc>
          <w:tcPr>
            <w:tcW w:w="1426" w:type="dxa"/>
            <w:tcBorders>
              <w:top w:val="nil"/>
              <w:left w:val="nil"/>
              <w:bottom w:val="nil"/>
            </w:tcBorders>
          </w:tcPr>
          <w:p w14:paraId="2C8A14B5" w14:textId="6619F1ED"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r>
      <w:tr w:rsidR="00EE533D" w:rsidRPr="00EE533D" w14:paraId="4CE731A4" w14:textId="77777777" w:rsidTr="00F4319C">
        <w:trPr>
          <w:trHeight w:val="71"/>
        </w:trPr>
        <w:tc>
          <w:tcPr>
            <w:tcW w:w="2806" w:type="dxa"/>
            <w:tcBorders>
              <w:top w:val="nil"/>
              <w:left w:val="nil"/>
              <w:bottom w:val="nil"/>
              <w:right w:val="nil"/>
            </w:tcBorders>
            <w:shd w:val="clear" w:color="auto" w:fill="auto"/>
            <w:noWrap/>
            <w:vAlign w:val="bottom"/>
          </w:tcPr>
          <w:p w14:paraId="3BA78F15"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628F05F" w14:textId="4F6AAAD8"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(0.089)</w:t>
            </w:r>
          </w:p>
        </w:tc>
        <w:tc>
          <w:tcPr>
            <w:tcW w:w="1498" w:type="dxa"/>
            <w:tcBorders>
              <w:top w:val="nil"/>
              <w:left w:val="nil"/>
              <w:bottom w:val="nil"/>
              <w:right w:val="nil"/>
            </w:tcBorders>
          </w:tcPr>
          <w:p w14:paraId="0B9A3AE4" w14:textId="200666A9"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(0.249)</w:t>
            </w:r>
          </w:p>
        </w:tc>
        <w:tc>
          <w:tcPr>
            <w:tcW w:w="1396" w:type="dxa"/>
            <w:tcBorders>
              <w:top w:val="nil"/>
              <w:left w:val="nil"/>
              <w:bottom w:val="nil"/>
              <w:right w:val="single" w:sz="12" w:space="0" w:color="auto"/>
            </w:tcBorders>
            <w:shd w:val="clear" w:color="auto" w:fill="auto"/>
            <w:noWrap/>
          </w:tcPr>
          <w:p w14:paraId="36D1F028" w14:textId="165313E2"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34" w:type="dxa"/>
            <w:tcBorders>
              <w:top w:val="nil"/>
              <w:left w:val="single" w:sz="12" w:space="0" w:color="auto"/>
              <w:bottom w:val="nil"/>
            </w:tcBorders>
          </w:tcPr>
          <w:p w14:paraId="2EF6F245" w14:textId="6FDCE007"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(0.097)</w:t>
            </w:r>
          </w:p>
        </w:tc>
        <w:tc>
          <w:tcPr>
            <w:tcW w:w="1390" w:type="dxa"/>
            <w:tcBorders>
              <w:top w:val="nil"/>
              <w:left w:val="nil"/>
              <w:bottom w:val="nil"/>
              <w:right w:val="nil"/>
            </w:tcBorders>
          </w:tcPr>
          <w:p w14:paraId="52B8FC55" w14:textId="0839EB58"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(0.238)</w:t>
            </w:r>
          </w:p>
        </w:tc>
        <w:tc>
          <w:tcPr>
            <w:tcW w:w="1426" w:type="dxa"/>
            <w:tcBorders>
              <w:top w:val="nil"/>
              <w:left w:val="nil"/>
              <w:bottom w:val="nil"/>
            </w:tcBorders>
          </w:tcPr>
          <w:p w14:paraId="1DB53CB8" w14:textId="5A6067DE"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r>
      <w:tr w:rsidR="00EE533D" w:rsidRPr="00EE533D" w14:paraId="5703B17C" w14:textId="77777777" w:rsidTr="00F4319C">
        <w:trPr>
          <w:trHeight w:val="71"/>
        </w:trPr>
        <w:tc>
          <w:tcPr>
            <w:tcW w:w="2806" w:type="dxa"/>
            <w:tcBorders>
              <w:top w:val="nil"/>
              <w:left w:val="nil"/>
              <w:bottom w:val="nil"/>
              <w:right w:val="nil"/>
            </w:tcBorders>
            <w:shd w:val="clear" w:color="auto" w:fill="auto"/>
            <w:noWrap/>
            <w:vAlign w:val="bottom"/>
          </w:tcPr>
          <w:p w14:paraId="5C682F67"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23EF5F8E" w14:textId="4E4CAF5E"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144.736</w:t>
            </w:r>
          </w:p>
        </w:tc>
        <w:tc>
          <w:tcPr>
            <w:tcW w:w="1498" w:type="dxa"/>
            <w:tcBorders>
              <w:top w:val="nil"/>
              <w:left w:val="nil"/>
              <w:bottom w:val="nil"/>
              <w:right w:val="nil"/>
            </w:tcBorders>
          </w:tcPr>
          <w:p w14:paraId="31319BF6" w14:textId="1A54274D"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-402.584**</w:t>
            </w:r>
          </w:p>
        </w:tc>
        <w:tc>
          <w:tcPr>
            <w:tcW w:w="1396" w:type="dxa"/>
            <w:tcBorders>
              <w:top w:val="nil"/>
              <w:left w:val="nil"/>
              <w:bottom w:val="nil"/>
              <w:right w:val="single" w:sz="12" w:space="0" w:color="auto"/>
            </w:tcBorders>
            <w:shd w:val="clear" w:color="auto" w:fill="auto"/>
            <w:noWrap/>
          </w:tcPr>
          <w:p w14:paraId="5738E9E2" w14:textId="75E866A1"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22.374**</w:t>
            </w:r>
          </w:p>
        </w:tc>
        <w:tc>
          <w:tcPr>
            <w:tcW w:w="1434" w:type="dxa"/>
            <w:tcBorders>
              <w:top w:val="nil"/>
              <w:left w:val="single" w:sz="12" w:space="0" w:color="auto"/>
              <w:bottom w:val="nil"/>
            </w:tcBorders>
          </w:tcPr>
          <w:p w14:paraId="3D7161D0" w14:textId="3BBF8753"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171.847*</w:t>
            </w:r>
          </w:p>
        </w:tc>
        <w:tc>
          <w:tcPr>
            <w:tcW w:w="1390" w:type="dxa"/>
            <w:tcBorders>
              <w:top w:val="nil"/>
              <w:left w:val="nil"/>
              <w:bottom w:val="nil"/>
              <w:right w:val="nil"/>
            </w:tcBorders>
          </w:tcPr>
          <w:p w14:paraId="41C232D1" w14:textId="3AE3015D"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-383.059**</w:t>
            </w:r>
          </w:p>
        </w:tc>
        <w:tc>
          <w:tcPr>
            <w:tcW w:w="1426" w:type="dxa"/>
            <w:tcBorders>
              <w:top w:val="nil"/>
              <w:left w:val="nil"/>
              <w:bottom w:val="nil"/>
            </w:tcBorders>
          </w:tcPr>
          <w:p w14:paraId="522455FD" w14:textId="7F4FE992"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23.701**</w:t>
            </w:r>
          </w:p>
        </w:tc>
      </w:tr>
      <w:tr w:rsidR="00EE533D" w:rsidRPr="00EE533D" w14:paraId="70EFE21F" w14:textId="77777777" w:rsidTr="00F4319C">
        <w:trPr>
          <w:trHeight w:val="71"/>
        </w:trPr>
        <w:tc>
          <w:tcPr>
            <w:tcW w:w="2806" w:type="dxa"/>
            <w:tcBorders>
              <w:top w:val="nil"/>
              <w:left w:val="nil"/>
              <w:bottom w:val="single" w:sz="12" w:space="0" w:color="auto"/>
              <w:right w:val="nil"/>
            </w:tcBorders>
            <w:shd w:val="clear" w:color="auto" w:fill="auto"/>
            <w:noWrap/>
            <w:vAlign w:val="bottom"/>
          </w:tcPr>
          <w:p w14:paraId="43BCD570"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single" w:sz="12" w:space="0" w:color="auto"/>
              <w:right w:val="nil"/>
            </w:tcBorders>
            <w:shd w:val="clear" w:color="auto" w:fill="auto"/>
            <w:noWrap/>
          </w:tcPr>
          <w:p w14:paraId="3E54F909" w14:textId="7074C40F" w:rsidR="00EF0FE9" w:rsidRPr="00EE533D" w:rsidRDefault="00EF0FE9" w:rsidP="00EF0FE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(105.422)</w:t>
            </w:r>
          </w:p>
        </w:tc>
        <w:tc>
          <w:tcPr>
            <w:tcW w:w="1498" w:type="dxa"/>
            <w:tcBorders>
              <w:top w:val="nil"/>
              <w:left w:val="nil"/>
              <w:bottom w:val="single" w:sz="12" w:space="0" w:color="auto"/>
              <w:right w:val="nil"/>
            </w:tcBorders>
          </w:tcPr>
          <w:p w14:paraId="5CE2B5D2" w14:textId="6F7FBE95" w:rsidR="00EF0FE9" w:rsidRPr="00EE533D" w:rsidRDefault="00EF0FE9" w:rsidP="00EF0FE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(131.295)</w:t>
            </w:r>
          </w:p>
        </w:tc>
        <w:tc>
          <w:tcPr>
            <w:tcW w:w="1396" w:type="dxa"/>
            <w:tcBorders>
              <w:top w:val="nil"/>
              <w:left w:val="nil"/>
              <w:bottom w:val="single" w:sz="12" w:space="0" w:color="auto"/>
              <w:right w:val="single" w:sz="12" w:space="0" w:color="auto"/>
            </w:tcBorders>
            <w:shd w:val="clear" w:color="auto" w:fill="auto"/>
            <w:noWrap/>
          </w:tcPr>
          <w:p w14:paraId="0066142E" w14:textId="4FABFB36" w:rsidR="00EF0FE9" w:rsidRPr="00EE533D" w:rsidRDefault="00EF0FE9" w:rsidP="00EF0FE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(7.023)</w:t>
            </w:r>
          </w:p>
        </w:tc>
        <w:tc>
          <w:tcPr>
            <w:tcW w:w="1434" w:type="dxa"/>
            <w:tcBorders>
              <w:top w:val="nil"/>
              <w:left w:val="single" w:sz="12" w:space="0" w:color="auto"/>
              <w:bottom w:val="single" w:sz="12" w:space="0" w:color="auto"/>
            </w:tcBorders>
          </w:tcPr>
          <w:p w14:paraId="6720E8D9" w14:textId="5AFC0179" w:rsidR="00EF0FE9" w:rsidRPr="00EE533D" w:rsidRDefault="00EF0FE9" w:rsidP="00EF0FE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(91.793)</w:t>
            </w:r>
          </w:p>
        </w:tc>
        <w:tc>
          <w:tcPr>
            <w:tcW w:w="1390" w:type="dxa"/>
            <w:tcBorders>
              <w:top w:val="nil"/>
              <w:left w:val="nil"/>
              <w:bottom w:val="single" w:sz="12" w:space="0" w:color="auto"/>
              <w:right w:val="nil"/>
            </w:tcBorders>
          </w:tcPr>
          <w:p w14:paraId="7491B940" w14:textId="4CFD1C9D" w:rsidR="00EF0FE9" w:rsidRPr="00EE533D" w:rsidRDefault="00EF0FE9" w:rsidP="00EF0FE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(134.569)</w:t>
            </w:r>
          </w:p>
        </w:tc>
        <w:tc>
          <w:tcPr>
            <w:tcW w:w="1426" w:type="dxa"/>
            <w:tcBorders>
              <w:top w:val="nil"/>
              <w:left w:val="nil"/>
              <w:bottom w:val="single" w:sz="12" w:space="0" w:color="auto"/>
            </w:tcBorders>
          </w:tcPr>
          <w:p w14:paraId="157CD479" w14:textId="129ED874" w:rsidR="00EF0FE9" w:rsidRPr="00EE533D" w:rsidRDefault="00EF0FE9" w:rsidP="00EF0FE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(7.240)</w:t>
            </w:r>
          </w:p>
        </w:tc>
      </w:tr>
      <w:tr w:rsidR="00EE533D" w:rsidRPr="00EE533D" w14:paraId="46FF4E9C" w14:textId="77777777" w:rsidTr="00F4319C">
        <w:trPr>
          <w:trHeight w:val="104"/>
        </w:trPr>
        <w:tc>
          <w:tcPr>
            <w:tcW w:w="2806" w:type="dxa"/>
            <w:tcBorders>
              <w:top w:val="single" w:sz="12" w:space="0" w:color="auto"/>
              <w:left w:val="nil"/>
              <w:right w:val="nil"/>
            </w:tcBorders>
            <w:shd w:val="clear" w:color="auto" w:fill="auto"/>
            <w:noWrap/>
            <w:vAlign w:val="bottom"/>
          </w:tcPr>
          <w:p w14:paraId="3DC2B9FF"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 xml:space="preserve">Observations </w:t>
            </w:r>
          </w:p>
        </w:tc>
        <w:tc>
          <w:tcPr>
            <w:tcW w:w="1417" w:type="dxa"/>
            <w:tcBorders>
              <w:top w:val="single" w:sz="12" w:space="0" w:color="auto"/>
              <w:left w:val="nil"/>
              <w:right w:val="nil"/>
            </w:tcBorders>
            <w:shd w:val="clear" w:color="auto" w:fill="auto"/>
            <w:noWrap/>
          </w:tcPr>
          <w:p w14:paraId="7266337D" w14:textId="7B4DF650"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7980</w:t>
            </w:r>
          </w:p>
        </w:tc>
        <w:tc>
          <w:tcPr>
            <w:tcW w:w="1498" w:type="dxa"/>
            <w:tcBorders>
              <w:top w:val="single" w:sz="12" w:space="0" w:color="auto"/>
              <w:left w:val="nil"/>
              <w:right w:val="nil"/>
            </w:tcBorders>
          </w:tcPr>
          <w:p w14:paraId="55D24A08" w14:textId="1148148F"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1612</w:t>
            </w:r>
          </w:p>
        </w:tc>
        <w:tc>
          <w:tcPr>
            <w:tcW w:w="1396" w:type="dxa"/>
            <w:tcBorders>
              <w:top w:val="single" w:sz="12" w:space="0" w:color="auto"/>
              <w:left w:val="nil"/>
              <w:right w:val="single" w:sz="12" w:space="0" w:color="auto"/>
            </w:tcBorders>
            <w:shd w:val="clear" w:color="auto" w:fill="auto"/>
            <w:noWrap/>
          </w:tcPr>
          <w:p w14:paraId="7F6EE60D" w14:textId="3A54E8D3"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451</w:t>
            </w:r>
          </w:p>
        </w:tc>
        <w:tc>
          <w:tcPr>
            <w:tcW w:w="1434" w:type="dxa"/>
            <w:tcBorders>
              <w:top w:val="single" w:sz="12" w:space="0" w:color="auto"/>
              <w:left w:val="single" w:sz="12" w:space="0" w:color="auto"/>
            </w:tcBorders>
          </w:tcPr>
          <w:p w14:paraId="5C7C760F" w14:textId="268844C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7613</w:t>
            </w:r>
          </w:p>
        </w:tc>
        <w:tc>
          <w:tcPr>
            <w:tcW w:w="1390" w:type="dxa"/>
            <w:tcBorders>
              <w:top w:val="single" w:sz="12" w:space="0" w:color="auto"/>
              <w:left w:val="nil"/>
              <w:right w:val="nil"/>
            </w:tcBorders>
          </w:tcPr>
          <w:p w14:paraId="2DCA08AC" w14:textId="62BF72E3"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1578</w:t>
            </w:r>
          </w:p>
        </w:tc>
        <w:tc>
          <w:tcPr>
            <w:tcW w:w="1426" w:type="dxa"/>
            <w:tcBorders>
              <w:top w:val="single" w:sz="12" w:space="0" w:color="auto"/>
              <w:left w:val="nil"/>
            </w:tcBorders>
          </w:tcPr>
          <w:p w14:paraId="3ABB858D" w14:textId="62EBAC30"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431</w:t>
            </w:r>
          </w:p>
        </w:tc>
      </w:tr>
      <w:tr w:rsidR="00EE533D" w:rsidRPr="00EE533D" w14:paraId="1AB07F7C" w14:textId="77777777" w:rsidTr="00F4319C">
        <w:trPr>
          <w:trHeight w:val="104"/>
        </w:trPr>
        <w:tc>
          <w:tcPr>
            <w:tcW w:w="2806" w:type="dxa"/>
            <w:tcBorders>
              <w:left w:val="nil"/>
              <w:right w:val="nil"/>
            </w:tcBorders>
            <w:shd w:val="clear" w:color="auto" w:fill="auto"/>
            <w:noWrap/>
            <w:vAlign w:val="bottom"/>
          </w:tcPr>
          <w:p w14:paraId="4B778F16"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Firms</w:t>
            </w:r>
          </w:p>
        </w:tc>
        <w:tc>
          <w:tcPr>
            <w:tcW w:w="1417" w:type="dxa"/>
            <w:tcBorders>
              <w:left w:val="nil"/>
              <w:right w:val="nil"/>
            </w:tcBorders>
            <w:shd w:val="clear" w:color="auto" w:fill="auto"/>
            <w:noWrap/>
          </w:tcPr>
          <w:p w14:paraId="44B925B8" w14:textId="6BB6560B"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1085</w:t>
            </w:r>
          </w:p>
        </w:tc>
        <w:tc>
          <w:tcPr>
            <w:tcW w:w="1498" w:type="dxa"/>
            <w:tcBorders>
              <w:left w:val="nil"/>
              <w:right w:val="nil"/>
            </w:tcBorders>
          </w:tcPr>
          <w:p w14:paraId="0DE8DECF" w14:textId="74481A91"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295</w:t>
            </w:r>
          </w:p>
        </w:tc>
        <w:tc>
          <w:tcPr>
            <w:tcW w:w="1396" w:type="dxa"/>
            <w:tcBorders>
              <w:left w:val="nil"/>
              <w:right w:val="single" w:sz="12" w:space="0" w:color="auto"/>
            </w:tcBorders>
            <w:shd w:val="clear" w:color="auto" w:fill="auto"/>
            <w:noWrap/>
          </w:tcPr>
          <w:p w14:paraId="39B8724F" w14:textId="0A8478F1"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98</w:t>
            </w:r>
          </w:p>
        </w:tc>
        <w:tc>
          <w:tcPr>
            <w:tcW w:w="1434" w:type="dxa"/>
            <w:tcBorders>
              <w:left w:val="single" w:sz="12" w:space="0" w:color="auto"/>
            </w:tcBorders>
          </w:tcPr>
          <w:p w14:paraId="740602A2" w14:textId="529D9560"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1,085</w:t>
            </w:r>
          </w:p>
        </w:tc>
        <w:tc>
          <w:tcPr>
            <w:tcW w:w="1390" w:type="dxa"/>
            <w:tcBorders>
              <w:left w:val="nil"/>
              <w:right w:val="nil"/>
            </w:tcBorders>
          </w:tcPr>
          <w:p w14:paraId="259FFB10" w14:textId="6187466E"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293</w:t>
            </w:r>
          </w:p>
        </w:tc>
        <w:tc>
          <w:tcPr>
            <w:tcW w:w="1426" w:type="dxa"/>
            <w:tcBorders>
              <w:left w:val="nil"/>
            </w:tcBorders>
          </w:tcPr>
          <w:p w14:paraId="056F522F" w14:textId="7FFE6279"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96</w:t>
            </w:r>
          </w:p>
        </w:tc>
      </w:tr>
      <w:tr w:rsidR="00EE533D" w:rsidRPr="00EE533D" w14:paraId="68BD1CB8" w14:textId="77777777" w:rsidTr="00F4319C">
        <w:trPr>
          <w:trHeight w:val="104"/>
        </w:trPr>
        <w:tc>
          <w:tcPr>
            <w:tcW w:w="2806" w:type="dxa"/>
            <w:tcBorders>
              <w:left w:val="nil"/>
              <w:right w:val="nil"/>
            </w:tcBorders>
            <w:shd w:val="clear" w:color="auto" w:fill="auto"/>
            <w:noWrap/>
            <w:vAlign w:val="bottom"/>
          </w:tcPr>
          <w:p w14:paraId="00178A8C" w14:textId="77777777"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Within-R</w:t>
            </w:r>
          </w:p>
        </w:tc>
        <w:tc>
          <w:tcPr>
            <w:tcW w:w="1417" w:type="dxa"/>
            <w:tcBorders>
              <w:left w:val="nil"/>
              <w:right w:val="nil"/>
            </w:tcBorders>
            <w:shd w:val="clear" w:color="auto" w:fill="auto"/>
            <w:noWrap/>
          </w:tcPr>
          <w:p w14:paraId="222ACFD0" w14:textId="00803744"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98" w:type="dxa"/>
            <w:tcBorders>
              <w:left w:val="nil"/>
              <w:right w:val="nil"/>
            </w:tcBorders>
          </w:tcPr>
          <w:p w14:paraId="5F7325D2" w14:textId="6CE1EC22"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c>
          <w:tcPr>
            <w:tcW w:w="1396" w:type="dxa"/>
            <w:tcBorders>
              <w:left w:val="nil"/>
              <w:right w:val="single" w:sz="12" w:space="0" w:color="auto"/>
            </w:tcBorders>
            <w:shd w:val="clear" w:color="auto" w:fill="auto"/>
            <w:noWrap/>
          </w:tcPr>
          <w:p w14:paraId="5F7EC6CC" w14:textId="7C19E662"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0.108</w:t>
            </w:r>
          </w:p>
        </w:tc>
        <w:tc>
          <w:tcPr>
            <w:tcW w:w="1434" w:type="dxa"/>
            <w:tcBorders>
              <w:left w:val="single" w:sz="12" w:space="0" w:color="auto"/>
            </w:tcBorders>
          </w:tcPr>
          <w:p w14:paraId="1D9D7453" w14:textId="378ECE12"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390" w:type="dxa"/>
            <w:tcBorders>
              <w:left w:val="nil"/>
              <w:right w:val="nil"/>
            </w:tcBorders>
          </w:tcPr>
          <w:p w14:paraId="3C84636D" w14:textId="7E239061"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0.061</w:t>
            </w:r>
          </w:p>
        </w:tc>
        <w:tc>
          <w:tcPr>
            <w:tcW w:w="1426" w:type="dxa"/>
            <w:tcBorders>
              <w:left w:val="nil"/>
            </w:tcBorders>
          </w:tcPr>
          <w:p w14:paraId="3DE72D2E" w14:textId="4703C689" w:rsidR="00EF0FE9" w:rsidRPr="00EE533D" w:rsidRDefault="00EF0FE9" w:rsidP="00EF0FE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0.131</w:t>
            </w:r>
          </w:p>
        </w:tc>
      </w:tr>
      <w:tr w:rsidR="00EE533D" w:rsidRPr="00EE533D" w14:paraId="1B2AE60B" w14:textId="77777777" w:rsidTr="00F4319C">
        <w:trPr>
          <w:trHeight w:val="104"/>
        </w:trPr>
        <w:tc>
          <w:tcPr>
            <w:tcW w:w="2806" w:type="dxa"/>
            <w:tcBorders>
              <w:left w:val="nil"/>
              <w:right w:val="nil"/>
            </w:tcBorders>
            <w:shd w:val="clear" w:color="auto" w:fill="auto"/>
            <w:noWrap/>
            <w:vAlign w:val="bottom"/>
          </w:tcPr>
          <w:p w14:paraId="3A03A4F9"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and firm effects</w:t>
            </w:r>
          </w:p>
        </w:tc>
        <w:tc>
          <w:tcPr>
            <w:tcW w:w="1417" w:type="dxa"/>
            <w:tcBorders>
              <w:left w:val="nil"/>
              <w:right w:val="nil"/>
            </w:tcBorders>
            <w:shd w:val="clear" w:color="auto" w:fill="auto"/>
            <w:noWrap/>
            <w:vAlign w:val="bottom"/>
          </w:tcPr>
          <w:p w14:paraId="38DCAE0A"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98" w:type="dxa"/>
            <w:tcBorders>
              <w:left w:val="nil"/>
              <w:right w:val="nil"/>
            </w:tcBorders>
            <w:vAlign w:val="bottom"/>
          </w:tcPr>
          <w:p w14:paraId="050D7759"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6" w:type="dxa"/>
            <w:tcBorders>
              <w:left w:val="nil"/>
              <w:right w:val="single" w:sz="12" w:space="0" w:color="auto"/>
            </w:tcBorders>
            <w:shd w:val="clear" w:color="auto" w:fill="auto"/>
            <w:noWrap/>
            <w:vAlign w:val="bottom"/>
          </w:tcPr>
          <w:p w14:paraId="70A85045"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34" w:type="dxa"/>
            <w:tcBorders>
              <w:left w:val="single" w:sz="12" w:space="0" w:color="auto"/>
            </w:tcBorders>
            <w:vAlign w:val="bottom"/>
          </w:tcPr>
          <w:p w14:paraId="041C5717"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0" w:type="dxa"/>
            <w:tcBorders>
              <w:left w:val="nil"/>
              <w:right w:val="nil"/>
            </w:tcBorders>
            <w:vAlign w:val="bottom"/>
          </w:tcPr>
          <w:p w14:paraId="4E45AFBF"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26" w:type="dxa"/>
            <w:tcBorders>
              <w:left w:val="nil"/>
            </w:tcBorders>
            <w:vAlign w:val="bottom"/>
          </w:tcPr>
          <w:p w14:paraId="62741A89" w14:textId="77777777" w:rsidR="009C4656" w:rsidRPr="00EE533D" w:rsidRDefault="009C4656"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2DBC9F76" w14:textId="77777777" w:rsidTr="00595D11">
        <w:trPr>
          <w:trHeight w:val="421"/>
        </w:trPr>
        <w:tc>
          <w:tcPr>
            <w:tcW w:w="11367" w:type="dxa"/>
            <w:gridSpan w:val="7"/>
            <w:tcBorders>
              <w:top w:val="single" w:sz="12" w:space="0" w:color="auto"/>
              <w:left w:val="nil"/>
            </w:tcBorders>
            <w:shd w:val="clear" w:color="auto" w:fill="auto"/>
            <w:noWrap/>
          </w:tcPr>
          <w:p w14:paraId="57C7F987" w14:textId="77777777" w:rsidR="009C4656" w:rsidRPr="00EE533D" w:rsidRDefault="009C4656" w:rsidP="00595D11">
            <w:pPr>
              <w:spacing w:after="0"/>
              <w:jc w:val="both"/>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a panel regression approach with time effects and firms’ fixed effects. </w:t>
            </w:r>
            <w:r w:rsidRPr="00EE533D">
              <w:rPr>
                <w:rFonts w:ascii="Times New Roman" w:eastAsia="Times New Roman" w:hAnsi="Times New Roman" w:cs="Times New Roman"/>
                <w:sz w:val="14"/>
                <w:szCs w:val="14"/>
                <w:lang w:val="en-GB" w:eastAsia="el-GR"/>
              </w:rPr>
              <w:t>Standard errors clustered at industry level</w:t>
            </w:r>
            <w:r w:rsidRPr="00EE533D">
              <w:rPr>
                <w:rFonts w:ascii="Times New Roman" w:eastAsia="Times New Roman" w:hAnsi="Times New Roman" w:cs="Times New Roman"/>
                <w:sz w:val="14"/>
                <w:szCs w:val="14"/>
                <w:lang w:val="en-GB"/>
              </w:rPr>
              <w:t xml:space="preserve"> are reported in parentheses. * indicates significance at the 10% level, ** at the 5% level and *** at the 1% level.</w:t>
            </w:r>
          </w:p>
        </w:tc>
      </w:tr>
    </w:tbl>
    <w:p w14:paraId="2734034B" w14:textId="77777777" w:rsidR="007467F2" w:rsidRPr="00EE533D" w:rsidRDefault="007467F2" w:rsidP="007467F2">
      <w:pPr>
        <w:spacing w:line="259" w:lineRule="auto"/>
        <w:rPr>
          <w:rFonts w:asciiTheme="majorBidi" w:hAnsiTheme="majorBidi" w:cstheme="majorBidi"/>
          <w:sz w:val="24"/>
          <w:szCs w:val="24"/>
          <w:lang w:val="en-GB"/>
        </w:rPr>
      </w:pPr>
    </w:p>
    <w:p w14:paraId="062DCD82" w14:textId="77777777" w:rsidR="007467F2" w:rsidRPr="00EE533D" w:rsidRDefault="007467F2" w:rsidP="007467F2">
      <w:pPr>
        <w:spacing w:line="259" w:lineRule="auto"/>
        <w:rPr>
          <w:rFonts w:asciiTheme="majorBidi" w:hAnsiTheme="majorBidi" w:cstheme="majorBidi"/>
          <w:sz w:val="24"/>
          <w:szCs w:val="24"/>
          <w:lang w:val="en-GB"/>
        </w:rPr>
      </w:pPr>
    </w:p>
    <w:p w14:paraId="0F01D164" w14:textId="77777777" w:rsidR="007467F2" w:rsidRPr="00EE533D" w:rsidRDefault="007467F2" w:rsidP="007467F2">
      <w:pPr>
        <w:spacing w:line="259" w:lineRule="auto"/>
        <w:rPr>
          <w:rFonts w:asciiTheme="majorBidi" w:hAnsiTheme="majorBidi" w:cstheme="majorBidi"/>
          <w:sz w:val="24"/>
          <w:szCs w:val="24"/>
          <w:lang w:val="en-GB"/>
        </w:rPr>
        <w:sectPr w:rsidR="007467F2" w:rsidRPr="00EE533D" w:rsidSect="007467F2">
          <w:pgSz w:w="16838" w:h="11906" w:orient="landscape" w:code="9"/>
          <w:pgMar w:top="1412" w:right="1412" w:bottom="1412" w:left="1412" w:header="709" w:footer="709" w:gutter="0"/>
          <w:cols w:space="708"/>
          <w:docGrid w:linePitch="360"/>
        </w:sectPr>
      </w:pP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426"/>
      </w:tblGrid>
      <w:tr w:rsidR="00EE533D" w:rsidRPr="00EE533D" w14:paraId="20080FD6" w14:textId="77777777" w:rsidTr="007467F2">
        <w:trPr>
          <w:trHeight w:val="68"/>
        </w:trPr>
        <w:tc>
          <w:tcPr>
            <w:tcW w:w="11367" w:type="dxa"/>
            <w:gridSpan w:val="7"/>
            <w:tcBorders>
              <w:left w:val="nil"/>
              <w:right w:val="nil"/>
            </w:tcBorders>
            <w:shd w:val="clear" w:color="auto" w:fill="auto"/>
            <w:noWrap/>
            <w:vAlign w:val="bottom"/>
          </w:tcPr>
          <w:p w14:paraId="53CAA425" w14:textId="77777777" w:rsidR="007467F2" w:rsidRPr="00EE533D" w:rsidRDefault="007467F2" w:rsidP="007467F2">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Table 7. Institutional quality and corporate recycling performance. Subsamples</w:t>
            </w:r>
          </w:p>
        </w:tc>
      </w:tr>
      <w:tr w:rsidR="00EE533D" w:rsidRPr="00EE533D" w14:paraId="5445C45D" w14:textId="77777777" w:rsidTr="007467F2">
        <w:trPr>
          <w:trHeight w:val="20"/>
        </w:trPr>
        <w:tc>
          <w:tcPr>
            <w:tcW w:w="2806" w:type="dxa"/>
            <w:tcBorders>
              <w:left w:val="nil"/>
              <w:right w:val="nil"/>
            </w:tcBorders>
            <w:shd w:val="clear" w:color="auto" w:fill="auto"/>
            <w:noWrap/>
            <w:vAlign w:val="bottom"/>
          </w:tcPr>
          <w:p w14:paraId="705449E6" w14:textId="77777777" w:rsidR="007467F2" w:rsidRPr="00EE533D" w:rsidRDefault="007467F2" w:rsidP="007467F2">
            <w:pPr>
              <w:spacing w:after="0" w:line="240" w:lineRule="auto"/>
              <w:jc w:val="right"/>
              <w:rPr>
                <w:rFonts w:ascii="Times New Roman" w:eastAsia="Calibri" w:hAnsi="Times New Roman" w:cs="Times New Roman"/>
                <w:b/>
                <w:sz w:val="14"/>
                <w:szCs w:val="14"/>
                <w:lang w:val="en-GB"/>
              </w:rPr>
            </w:pPr>
          </w:p>
        </w:tc>
        <w:tc>
          <w:tcPr>
            <w:tcW w:w="4311" w:type="dxa"/>
            <w:gridSpan w:val="3"/>
            <w:tcBorders>
              <w:left w:val="nil"/>
              <w:bottom w:val="single" w:sz="12" w:space="0" w:color="auto"/>
              <w:right w:val="single" w:sz="12" w:space="0" w:color="auto"/>
            </w:tcBorders>
            <w:shd w:val="clear" w:color="auto" w:fill="auto"/>
            <w:noWrap/>
          </w:tcPr>
          <w:p w14:paraId="6CA3EF7E"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Subsample without U.S. firms</w:t>
            </w:r>
          </w:p>
        </w:tc>
        <w:tc>
          <w:tcPr>
            <w:tcW w:w="4250" w:type="dxa"/>
            <w:gridSpan w:val="3"/>
            <w:tcBorders>
              <w:left w:val="single" w:sz="12" w:space="0" w:color="auto"/>
              <w:bottom w:val="single" w:sz="12" w:space="0" w:color="auto"/>
            </w:tcBorders>
          </w:tcPr>
          <w:p w14:paraId="6827A730" w14:textId="79A877DD" w:rsidR="007467F2" w:rsidRPr="00EE533D" w:rsidRDefault="007467F2" w:rsidP="007467F2">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Subsample with</w:t>
            </w:r>
            <w:r w:rsidR="005F3D96" w:rsidRPr="00EE533D">
              <w:rPr>
                <w:rFonts w:ascii="Times New Roman" w:hAnsi="Times New Roman" w:cs="Times New Roman"/>
                <w:b/>
                <w:bCs/>
                <w:sz w:val="14"/>
                <w:szCs w:val="14"/>
                <w:lang w:val="en-GB"/>
              </w:rPr>
              <w:t xml:space="preserve">out countries that </w:t>
            </w:r>
            <w:r w:rsidR="00800985" w:rsidRPr="00EE533D">
              <w:rPr>
                <w:rFonts w:ascii="Times New Roman" w:hAnsi="Times New Roman" w:cs="Times New Roman"/>
                <w:b/>
                <w:bCs/>
                <w:sz w:val="14"/>
                <w:szCs w:val="14"/>
                <w:lang w:val="en-GB"/>
              </w:rPr>
              <w:t>include less than 10 firms</w:t>
            </w:r>
          </w:p>
        </w:tc>
      </w:tr>
      <w:tr w:rsidR="00EE533D" w:rsidRPr="00EE533D" w14:paraId="79CC2FC4" w14:textId="77777777" w:rsidTr="007467F2">
        <w:trPr>
          <w:trHeight w:val="20"/>
        </w:trPr>
        <w:tc>
          <w:tcPr>
            <w:tcW w:w="2806" w:type="dxa"/>
            <w:tcBorders>
              <w:left w:val="nil"/>
              <w:right w:val="nil"/>
            </w:tcBorders>
            <w:shd w:val="clear" w:color="auto" w:fill="auto"/>
            <w:noWrap/>
            <w:vAlign w:val="bottom"/>
          </w:tcPr>
          <w:p w14:paraId="138AFB28" w14:textId="77777777" w:rsidR="007467F2" w:rsidRPr="00EE533D" w:rsidRDefault="007467F2" w:rsidP="007467F2">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Dependent variable:</w:t>
            </w:r>
          </w:p>
        </w:tc>
        <w:tc>
          <w:tcPr>
            <w:tcW w:w="1417" w:type="dxa"/>
            <w:tcBorders>
              <w:left w:val="nil"/>
              <w:bottom w:val="single" w:sz="12" w:space="0" w:color="auto"/>
              <w:right w:val="nil"/>
            </w:tcBorders>
            <w:shd w:val="clear" w:color="auto" w:fill="auto"/>
            <w:noWrap/>
          </w:tcPr>
          <w:p w14:paraId="55D1D910"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6E81291B"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498" w:type="dxa"/>
            <w:tcBorders>
              <w:left w:val="nil"/>
              <w:bottom w:val="single" w:sz="12" w:space="0" w:color="auto"/>
              <w:right w:val="nil"/>
            </w:tcBorders>
          </w:tcPr>
          <w:p w14:paraId="6C12D908"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2A1CFB39"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396" w:type="dxa"/>
            <w:tcBorders>
              <w:left w:val="nil"/>
              <w:bottom w:val="single" w:sz="12" w:space="0" w:color="auto"/>
              <w:right w:val="single" w:sz="12" w:space="0" w:color="auto"/>
            </w:tcBorders>
            <w:shd w:val="clear" w:color="auto" w:fill="auto"/>
            <w:noWrap/>
            <w:vAlign w:val="bottom"/>
          </w:tcPr>
          <w:p w14:paraId="34DE822A"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c>
          <w:tcPr>
            <w:tcW w:w="1434" w:type="dxa"/>
            <w:tcBorders>
              <w:left w:val="single" w:sz="12" w:space="0" w:color="auto"/>
              <w:bottom w:val="single" w:sz="12" w:space="0" w:color="auto"/>
            </w:tcBorders>
          </w:tcPr>
          <w:p w14:paraId="57345189"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0D28CB2A"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390" w:type="dxa"/>
            <w:tcBorders>
              <w:left w:val="nil"/>
              <w:bottom w:val="single" w:sz="12" w:space="0" w:color="auto"/>
              <w:right w:val="nil"/>
            </w:tcBorders>
          </w:tcPr>
          <w:p w14:paraId="7106CE4A"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2D24EA64"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426" w:type="dxa"/>
            <w:tcBorders>
              <w:left w:val="nil"/>
              <w:bottom w:val="single" w:sz="12" w:space="0" w:color="auto"/>
            </w:tcBorders>
          </w:tcPr>
          <w:p w14:paraId="7C40BB64" w14:textId="77777777" w:rsidR="007467F2" w:rsidRPr="00EE533D" w:rsidRDefault="007467F2" w:rsidP="007467F2">
            <w:pPr>
              <w:spacing w:after="0" w:line="240" w:lineRule="auto"/>
              <w:jc w:val="center"/>
              <w:rPr>
                <w:rFonts w:ascii="Times New Roman" w:hAnsi="Times New Roman" w:cs="Times New Roman"/>
                <w:b/>
                <w:bCs/>
                <w:sz w:val="14"/>
                <w:szCs w:val="14"/>
                <w:lang w:val="en-GB"/>
              </w:rPr>
            </w:pPr>
          </w:p>
          <w:p w14:paraId="5A61ECF4" w14:textId="77777777" w:rsidR="007467F2" w:rsidRPr="00EE533D" w:rsidRDefault="007467F2" w:rsidP="007467F2">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r>
      <w:tr w:rsidR="00EE533D" w:rsidRPr="00EE533D" w14:paraId="50D28F05" w14:textId="77777777" w:rsidTr="007467F2">
        <w:trPr>
          <w:trHeight w:val="20"/>
        </w:trPr>
        <w:tc>
          <w:tcPr>
            <w:tcW w:w="2806" w:type="dxa"/>
            <w:tcBorders>
              <w:left w:val="nil"/>
              <w:bottom w:val="single" w:sz="12" w:space="0" w:color="auto"/>
              <w:right w:val="nil"/>
            </w:tcBorders>
            <w:shd w:val="clear" w:color="auto" w:fill="auto"/>
            <w:noWrap/>
            <w:vAlign w:val="bottom"/>
          </w:tcPr>
          <w:p w14:paraId="29517E52" w14:textId="77777777" w:rsidR="007467F2" w:rsidRPr="00EE533D" w:rsidRDefault="007467F2" w:rsidP="007467F2">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417" w:type="dxa"/>
            <w:tcBorders>
              <w:left w:val="nil"/>
              <w:bottom w:val="single" w:sz="12" w:space="0" w:color="auto"/>
              <w:right w:val="nil"/>
            </w:tcBorders>
            <w:shd w:val="clear" w:color="auto" w:fill="auto"/>
            <w:noWrap/>
            <w:vAlign w:val="bottom"/>
          </w:tcPr>
          <w:p w14:paraId="3667DD0B" w14:textId="77777777" w:rsidR="007467F2" w:rsidRPr="00EE533D" w:rsidRDefault="007467F2" w:rsidP="007467F2">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498" w:type="dxa"/>
            <w:tcBorders>
              <w:left w:val="nil"/>
              <w:bottom w:val="single" w:sz="12" w:space="0" w:color="auto"/>
              <w:right w:val="nil"/>
            </w:tcBorders>
            <w:vAlign w:val="bottom"/>
          </w:tcPr>
          <w:p w14:paraId="4997ACE3"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396" w:type="dxa"/>
            <w:tcBorders>
              <w:left w:val="nil"/>
              <w:bottom w:val="single" w:sz="12" w:space="0" w:color="auto"/>
              <w:right w:val="single" w:sz="12" w:space="0" w:color="auto"/>
            </w:tcBorders>
            <w:shd w:val="clear" w:color="auto" w:fill="auto"/>
            <w:noWrap/>
            <w:vAlign w:val="bottom"/>
          </w:tcPr>
          <w:p w14:paraId="5AD05BA7"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34" w:type="dxa"/>
            <w:tcBorders>
              <w:left w:val="single" w:sz="12" w:space="0" w:color="auto"/>
              <w:bottom w:val="single" w:sz="12" w:space="0" w:color="auto"/>
            </w:tcBorders>
            <w:vAlign w:val="bottom"/>
          </w:tcPr>
          <w:p w14:paraId="0658F1AF"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0" w:type="dxa"/>
            <w:tcBorders>
              <w:left w:val="nil"/>
              <w:bottom w:val="single" w:sz="12" w:space="0" w:color="auto"/>
              <w:right w:val="nil"/>
            </w:tcBorders>
            <w:vAlign w:val="bottom"/>
          </w:tcPr>
          <w:p w14:paraId="1D3C7C27"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26" w:type="dxa"/>
            <w:tcBorders>
              <w:left w:val="nil"/>
              <w:bottom w:val="single" w:sz="12" w:space="0" w:color="auto"/>
            </w:tcBorders>
            <w:vAlign w:val="bottom"/>
          </w:tcPr>
          <w:p w14:paraId="347392C6" w14:textId="77777777" w:rsidR="007467F2" w:rsidRPr="00EE533D" w:rsidRDefault="007467F2" w:rsidP="007467F2">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4EA16D57" w14:textId="77777777" w:rsidTr="007467F2">
        <w:trPr>
          <w:trHeight w:val="20"/>
        </w:trPr>
        <w:tc>
          <w:tcPr>
            <w:tcW w:w="2806" w:type="dxa"/>
            <w:tcBorders>
              <w:top w:val="nil"/>
              <w:left w:val="nil"/>
              <w:bottom w:val="nil"/>
              <w:right w:val="nil"/>
            </w:tcBorders>
            <w:shd w:val="clear" w:color="auto" w:fill="auto"/>
            <w:noWrap/>
          </w:tcPr>
          <w:p w14:paraId="38C58B88" w14:textId="7D0D9766"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D86BCA5" w14:textId="1573F334"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-0.625</w:t>
            </w:r>
          </w:p>
        </w:tc>
        <w:tc>
          <w:tcPr>
            <w:tcW w:w="1498" w:type="dxa"/>
            <w:tcBorders>
              <w:top w:val="nil"/>
              <w:left w:val="nil"/>
              <w:bottom w:val="nil"/>
              <w:right w:val="nil"/>
            </w:tcBorders>
          </w:tcPr>
          <w:p w14:paraId="04FFD06D" w14:textId="3CBCE3CC"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-12.641*</w:t>
            </w:r>
          </w:p>
        </w:tc>
        <w:tc>
          <w:tcPr>
            <w:tcW w:w="1396" w:type="dxa"/>
            <w:tcBorders>
              <w:top w:val="nil"/>
              <w:left w:val="nil"/>
              <w:bottom w:val="nil"/>
              <w:right w:val="single" w:sz="12" w:space="0" w:color="auto"/>
            </w:tcBorders>
            <w:shd w:val="clear" w:color="auto" w:fill="auto"/>
            <w:noWrap/>
          </w:tcPr>
          <w:p w14:paraId="64EB87D7" w14:textId="6B5FA5BA"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-0.202</w:t>
            </w:r>
          </w:p>
        </w:tc>
        <w:tc>
          <w:tcPr>
            <w:tcW w:w="1434" w:type="dxa"/>
            <w:tcBorders>
              <w:top w:val="nil"/>
              <w:left w:val="single" w:sz="12" w:space="0" w:color="auto"/>
              <w:bottom w:val="nil"/>
            </w:tcBorders>
          </w:tcPr>
          <w:p w14:paraId="3AC71D52" w14:textId="77C189CA"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-0.611</w:t>
            </w:r>
          </w:p>
        </w:tc>
        <w:tc>
          <w:tcPr>
            <w:tcW w:w="1390" w:type="dxa"/>
            <w:tcBorders>
              <w:top w:val="nil"/>
              <w:left w:val="nil"/>
              <w:bottom w:val="nil"/>
              <w:right w:val="nil"/>
            </w:tcBorders>
          </w:tcPr>
          <w:p w14:paraId="03BCA0F1" w14:textId="06A30946"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-15.655**</w:t>
            </w:r>
          </w:p>
        </w:tc>
        <w:tc>
          <w:tcPr>
            <w:tcW w:w="1426" w:type="dxa"/>
            <w:tcBorders>
              <w:top w:val="nil"/>
              <w:left w:val="nil"/>
              <w:bottom w:val="nil"/>
            </w:tcBorders>
          </w:tcPr>
          <w:p w14:paraId="76770255" w14:textId="2F51AC38"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-0.104</w:t>
            </w:r>
          </w:p>
        </w:tc>
      </w:tr>
      <w:tr w:rsidR="00EE533D" w:rsidRPr="00EE533D" w14:paraId="7B405BE9" w14:textId="77777777" w:rsidTr="007467F2">
        <w:trPr>
          <w:trHeight w:val="20"/>
        </w:trPr>
        <w:tc>
          <w:tcPr>
            <w:tcW w:w="2806" w:type="dxa"/>
            <w:tcBorders>
              <w:top w:val="nil"/>
              <w:left w:val="nil"/>
              <w:bottom w:val="nil"/>
              <w:right w:val="nil"/>
            </w:tcBorders>
            <w:shd w:val="clear" w:color="auto" w:fill="auto"/>
            <w:noWrap/>
          </w:tcPr>
          <w:p w14:paraId="21EC8331"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971A773" w14:textId="50659B5A"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(3.707)</w:t>
            </w:r>
          </w:p>
        </w:tc>
        <w:tc>
          <w:tcPr>
            <w:tcW w:w="1498" w:type="dxa"/>
            <w:tcBorders>
              <w:top w:val="nil"/>
              <w:left w:val="nil"/>
              <w:bottom w:val="nil"/>
              <w:right w:val="nil"/>
            </w:tcBorders>
          </w:tcPr>
          <w:p w14:paraId="6831A68A" w14:textId="27136EC4"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(5.560)</w:t>
            </w:r>
          </w:p>
        </w:tc>
        <w:tc>
          <w:tcPr>
            <w:tcW w:w="1396" w:type="dxa"/>
            <w:tcBorders>
              <w:top w:val="nil"/>
              <w:left w:val="nil"/>
              <w:bottom w:val="nil"/>
              <w:right w:val="single" w:sz="12" w:space="0" w:color="auto"/>
            </w:tcBorders>
            <w:shd w:val="clear" w:color="auto" w:fill="auto"/>
            <w:noWrap/>
          </w:tcPr>
          <w:p w14:paraId="53CEEC13" w14:textId="56528AAB"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(0.340)</w:t>
            </w:r>
          </w:p>
        </w:tc>
        <w:tc>
          <w:tcPr>
            <w:tcW w:w="1434" w:type="dxa"/>
            <w:tcBorders>
              <w:top w:val="nil"/>
              <w:left w:val="single" w:sz="12" w:space="0" w:color="auto"/>
              <w:bottom w:val="nil"/>
            </w:tcBorders>
          </w:tcPr>
          <w:p w14:paraId="44437CFA" w14:textId="6085C9F6"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(3.383)</w:t>
            </w:r>
          </w:p>
        </w:tc>
        <w:tc>
          <w:tcPr>
            <w:tcW w:w="1390" w:type="dxa"/>
            <w:tcBorders>
              <w:top w:val="nil"/>
              <w:left w:val="nil"/>
              <w:bottom w:val="nil"/>
              <w:right w:val="nil"/>
            </w:tcBorders>
          </w:tcPr>
          <w:p w14:paraId="6C1E681F" w14:textId="62D50DE4"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(5.540)</w:t>
            </w:r>
          </w:p>
        </w:tc>
        <w:tc>
          <w:tcPr>
            <w:tcW w:w="1426" w:type="dxa"/>
            <w:tcBorders>
              <w:top w:val="nil"/>
              <w:left w:val="nil"/>
              <w:bottom w:val="nil"/>
            </w:tcBorders>
          </w:tcPr>
          <w:p w14:paraId="658D5D47" w14:textId="0D70D243"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(0.338)</w:t>
            </w:r>
          </w:p>
        </w:tc>
      </w:tr>
      <w:tr w:rsidR="00EE533D" w:rsidRPr="00EE533D" w14:paraId="25993283" w14:textId="77777777" w:rsidTr="007467F2">
        <w:trPr>
          <w:trHeight w:val="20"/>
        </w:trPr>
        <w:tc>
          <w:tcPr>
            <w:tcW w:w="2806" w:type="dxa"/>
            <w:tcBorders>
              <w:top w:val="nil"/>
              <w:left w:val="nil"/>
              <w:bottom w:val="nil"/>
              <w:right w:val="nil"/>
            </w:tcBorders>
            <w:shd w:val="clear" w:color="auto" w:fill="auto"/>
            <w:noWrap/>
          </w:tcPr>
          <w:p w14:paraId="6F12E1CB" w14:textId="0A50D32B"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26D152B" w14:textId="7AB5D50B"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3.914</w:t>
            </w:r>
          </w:p>
        </w:tc>
        <w:tc>
          <w:tcPr>
            <w:tcW w:w="1498" w:type="dxa"/>
            <w:tcBorders>
              <w:top w:val="nil"/>
              <w:left w:val="nil"/>
              <w:bottom w:val="nil"/>
              <w:right w:val="nil"/>
            </w:tcBorders>
          </w:tcPr>
          <w:p w14:paraId="6DD1E62A" w14:textId="1E15C105"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6.393</w:t>
            </w:r>
          </w:p>
        </w:tc>
        <w:tc>
          <w:tcPr>
            <w:tcW w:w="1396" w:type="dxa"/>
            <w:tcBorders>
              <w:top w:val="nil"/>
              <w:left w:val="nil"/>
              <w:bottom w:val="nil"/>
              <w:right w:val="single" w:sz="12" w:space="0" w:color="auto"/>
            </w:tcBorders>
            <w:shd w:val="clear" w:color="auto" w:fill="auto"/>
            <w:noWrap/>
          </w:tcPr>
          <w:p w14:paraId="2877C767" w14:textId="1B5C41E5"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434" w:type="dxa"/>
            <w:tcBorders>
              <w:top w:val="nil"/>
              <w:left w:val="single" w:sz="12" w:space="0" w:color="auto"/>
              <w:bottom w:val="nil"/>
            </w:tcBorders>
          </w:tcPr>
          <w:p w14:paraId="162994DC" w14:textId="58863552"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5.064</w:t>
            </w:r>
          </w:p>
        </w:tc>
        <w:tc>
          <w:tcPr>
            <w:tcW w:w="1390" w:type="dxa"/>
            <w:tcBorders>
              <w:top w:val="nil"/>
              <w:left w:val="nil"/>
              <w:bottom w:val="nil"/>
              <w:right w:val="nil"/>
            </w:tcBorders>
          </w:tcPr>
          <w:p w14:paraId="5440789D" w14:textId="53466023"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4.781</w:t>
            </w:r>
          </w:p>
        </w:tc>
        <w:tc>
          <w:tcPr>
            <w:tcW w:w="1426" w:type="dxa"/>
            <w:tcBorders>
              <w:top w:val="nil"/>
              <w:left w:val="nil"/>
              <w:bottom w:val="nil"/>
            </w:tcBorders>
          </w:tcPr>
          <w:p w14:paraId="485FFDD2" w14:textId="19BC165C"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727A44A1" w14:textId="77777777" w:rsidTr="007467F2">
        <w:trPr>
          <w:trHeight w:val="20"/>
        </w:trPr>
        <w:tc>
          <w:tcPr>
            <w:tcW w:w="2806" w:type="dxa"/>
            <w:tcBorders>
              <w:top w:val="nil"/>
              <w:left w:val="nil"/>
              <w:bottom w:val="nil"/>
              <w:right w:val="nil"/>
            </w:tcBorders>
            <w:shd w:val="clear" w:color="auto" w:fill="auto"/>
            <w:noWrap/>
          </w:tcPr>
          <w:p w14:paraId="0133A189"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4C8C55C" w14:textId="5BFCF25D"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(2.459)</w:t>
            </w:r>
          </w:p>
        </w:tc>
        <w:tc>
          <w:tcPr>
            <w:tcW w:w="1498" w:type="dxa"/>
            <w:tcBorders>
              <w:top w:val="nil"/>
              <w:left w:val="nil"/>
              <w:bottom w:val="nil"/>
              <w:right w:val="nil"/>
            </w:tcBorders>
          </w:tcPr>
          <w:p w14:paraId="154823EE" w14:textId="7632F930"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(4.592)</w:t>
            </w:r>
          </w:p>
        </w:tc>
        <w:tc>
          <w:tcPr>
            <w:tcW w:w="1396" w:type="dxa"/>
            <w:tcBorders>
              <w:top w:val="nil"/>
              <w:left w:val="nil"/>
              <w:bottom w:val="nil"/>
              <w:right w:val="single" w:sz="12" w:space="0" w:color="auto"/>
            </w:tcBorders>
            <w:shd w:val="clear" w:color="auto" w:fill="auto"/>
            <w:noWrap/>
          </w:tcPr>
          <w:p w14:paraId="0B9727B6" w14:textId="25FDC5F3"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(0.380)</w:t>
            </w:r>
          </w:p>
        </w:tc>
        <w:tc>
          <w:tcPr>
            <w:tcW w:w="1434" w:type="dxa"/>
            <w:tcBorders>
              <w:top w:val="nil"/>
              <w:left w:val="single" w:sz="12" w:space="0" w:color="auto"/>
              <w:bottom w:val="nil"/>
            </w:tcBorders>
          </w:tcPr>
          <w:p w14:paraId="40DB1C77" w14:textId="60D6308C"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(2.800)</w:t>
            </w:r>
          </w:p>
        </w:tc>
        <w:tc>
          <w:tcPr>
            <w:tcW w:w="1390" w:type="dxa"/>
            <w:tcBorders>
              <w:top w:val="nil"/>
              <w:left w:val="nil"/>
              <w:bottom w:val="nil"/>
              <w:right w:val="nil"/>
            </w:tcBorders>
          </w:tcPr>
          <w:p w14:paraId="30DFCAEC" w14:textId="789EB50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(5.628)</w:t>
            </w:r>
          </w:p>
        </w:tc>
        <w:tc>
          <w:tcPr>
            <w:tcW w:w="1426" w:type="dxa"/>
            <w:tcBorders>
              <w:top w:val="nil"/>
              <w:left w:val="nil"/>
              <w:bottom w:val="nil"/>
            </w:tcBorders>
          </w:tcPr>
          <w:p w14:paraId="14789F0C" w14:textId="49FEE322"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(0.457)</w:t>
            </w:r>
          </w:p>
        </w:tc>
      </w:tr>
      <w:tr w:rsidR="00EE533D" w:rsidRPr="00EE533D" w14:paraId="7A986877" w14:textId="77777777" w:rsidTr="007467F2">
        <w:trPr>
          <w:trHeight w:val="20"/>
        </w:trPr>
        <w:tc>
          <w:tcPr>
            <w:tcW w:w="2806" w:type="dxa"/>
            <w:tcBorders>
              <w:top w:val="nil"/>
              <w:left w:val="nil"/>
              <w:bottom w:val="nil"/>
              <w:right w:val="nil"/>
            </w:tcBorders>
            <w:shd w:val="clear" w:color="auto" w:fill="auto"/>
            <w:noWrap/>
          </w:tcPr>
          <w:p w14:paraId="57A7DA4F" w14:textId="7DED2827"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D6EF26C" w14:textId="677CF417"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4.301*</w:t>
            </w:r>
          </w:p>
        </w:tc>
        <w:tc>
          <w:tcPr>
            <w:tcW w:w="1498" w:type="dxa"/>
            <w:tcBorders>
              <w:top w:val="nil"/>
              <w:left w:val="nil"/>
              <w:bottom w:val="nil"/>
              <w:right w:val="nil"/>
            </w:tcBorders>
          </w:tcPr>
          <w:p w14:paraId="0456FE64" w14:textId="6CA6705F"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4.333</w:t>
            </w:r>
          </w:p>
        </w:tc>
        <w:tc>
          <w:tcPr>
            <w:tcW w:w="1396" w:type="dxa"/>
            <w:tcBorders>
              <w:top w:val="nil"/>
              <w:left w:val="nil"/>
              <w:bottom w:val="nil"/>
              <w:right w:val="single" w:sz="12" w:space="0" w:color="auto"/>
            </w:tcBorders>
            <w:shd w:val="clear" w:color="auto" w:fill="auto"/>
            <w:noWrap/>
          </w:tcPr>
          <w:p w14:paraId="1869FE0C" w14:textId="3BD1F6FE"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0.267</w:t>
            </w:r>
          </w:p>
        </w:tc>
        <w:tc>
          <w:tcPr>
            <w:tcW w:w="1434" w:type="dxa"/>
            <w:tcBorders>
              <w:top w:val="nil"/>
              <w:left w:val="single" w:sz="12" w:space="0" w:color="auto"/>
              <w:bottom w:val="nil"/>
            </w:tcBorders>
          </w:tcPr>
          <w:p w14:paraId="3543E348" w14:textId="40FF6EA9"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4.934**</w:t>
            </w:r>
          </w:p>
        </w:tc>
        <w:tc>
          <w:tcPr>
            <w:tcW w:w="1390" w:type="dxa"/>
            <w:tcBorders>
              <w:top w:val="nil"/>
              <w:left w:val="nil"/>
              <w:bottom w:val="nil"/>
              <w:right w:val="nil"/>
            </w:tcBorders>
          </w:tcPr>
          <w:p w14:paraId="08732198" w14:textId="4EE1A370"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2.736</w:t>
            </w:r>
          </w:p>
        </w:tc>
        <w:tc>
          <w:tcPr>
            <w:tcW w:w="1426" w:type="dxa"/>
            <w:tcBorders>
              <w:top w:val="nil"/>
              <w:left w:val="nil"/>
              <w:bottom w:val="nil"/>
            </w:tcBorders>
          </w:tcPr>
          <w:p w14:paraId="43DC6EEE" w14:textId="7CBB9E59"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0.578**</w:t>
            </w:r>
          </w:p>
        </w:tc>
      </w:tr>
      <w:tr w:rsidR="00EE533D" w:rsidRPr="00EE533D" w14:paraId="608802F7" w14:textId="77777777" w:rsidTr="007467F2">
        <w:trPr>
          <w:trHeight w:val="20"/>
        </w:trPr>
        <w:tc>
          <w:tcPr>
            <w:tcW w:w="2806" w:type="dxa"/>
            <w:tcBorders>
              <w:top w:val="nil"/>
              <w:left w:val="nil"/>
              <w:bottom w:val="nil"/>
              <w:right w:val="nil"/>
            </w:tcBorders>
            <w:shd w:val="clear" w:color="auto" w:fill="auto"/>
            <w:noWrap/>
          </w:tcPr>
          <w:p w14:paraId="43EC8C6D"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4D3FA5A" w14:textId="09150F77"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(2.101)</w:t>
            </w:r>
          </w:p>
        </w:tc>
        <w:tc>
          <w:tcPr>
            <w:tcW w:w="1498" w:type="dxa"/>
            <w:tcBorders>
              <w:top w:val="nil"/>
              <w:left w:val="nil"/>
              <w:bottom w:val="nil"/>
              <w:right w:val="nil"/>
            </w:tcBorders>
          </w:tcPr>
          <w:p w14:paraId="333836D9" w14:textId="5A3F351E"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(3.094)</w:t>
            </w:r>
          </w:p>
        </w:tc>
        <w:tc>
          <w:tcPr>
            <w:tcW w:w="1396" w:type="dxa"/>
            <w:tcBorders>
              <w:top w:val="nil"/>
              <w:left w:val="nil"/>
              <w:bottom w:val="nil"/>
              <w:right w:val="single" w:sz="12" w:space="0" w:color="auto"/>
            </w:tcBorders>
            <w:shd w:val="clear" w:color="auto" w:fill="auto"/>
            <w:noWrap/>
          </w:tcPr>
          <w:p w14:paraId="0E9CE8BE" w14:textId="154A6DB2"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(0.180)</w:t>
            </w:r>
          </w:p>
        </w:tc>
        <w:tc>
          <w:tcPr>
            <w:tcW w:w="1434" w:type="dxa"/>
            <w:tcBorders>
              <w:top w:val="nil"/>
              <w:left w:val="single" w:sz="12" w:space="0" w:color="auto"/>
              <w:bottom w:val="nil"/>
            </w:tcBorders>
          </w:tcPr>
          <w:p w14:paraId="3499868F" w14:textId="328B1896"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(1.567)</w:t>
            </w:r>
          </w:p>
        </w:tc>
        <w:tc>
          <w:tcPr>
            <w:tcW w:w="1390" w:type="dxa"/>
            <w:tcBorders>
              <w:top w:val="nil"/>
              <w:left w:val="nil"/>
              <w:bottom w:val="nil"/>
              <w:right w:val="nil"/>
            </w:tcBorders>
          </w:tcPr>
          <w:p w14:paraId="00CBE502" w14:textId="7A0AB07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(2.316)</w:t>
            </w:r>
          </w:p>
        </w:tc>
        <w:tc>
          <w:tcPr>
            <w:tcW w:w="1426" w:type="dxa"/>
            <w:tcBorders>
              <w:top w:val="nil"/>
              <w:left w:val="nil"/>
              <w:bottom w:val="nil"/>
            </w:tcBorders>
          </w:tcPr>
          <w:p w14:paraId="291D3506" w14:textId="69AE15D9"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(0.203)</w:t>
            </w:r>
          </w:p>
        </w:tc>
      </w:tr>
      <w:tr w:rsidR="00EE533D" w:rsidRPr="00EE533D" w14:paraId="1668C35E" w14:textId="77777777" w:rsidTr="007467F2">
        <w:trPr>
          <w:trHeight w:val="20"/>
        </w:trPr>
        <w:tc>
          <w:tcPr>
            <w:tcW w:w="2806" w:type="dxa"/>
            <w:tcBorders>
              <w:top w:val="nil"/>
              <w:left w:val="nil"/>
              <w:bottom w:val="nil"/>
              <w:right w:val="nil"/>
            </w:tcBorders>
            <w:shd w:val="clear" w:color="auto" w:fill="auto"/>
            <w:noWrap/>
          </w:tcPr>
          <w:p w14:paraId="5CE6B6A0" w14:textId="0861697A"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9F90812" w14:textId="3BA780D3"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-0.189</w:t>
            </w:r>
          </w:p>
        </w:tc>
        <w:tc>
          <w:tcPr>
            <w:tcW w:w="1498" w:type="dxa"/>
            <w:tcBorders>
              <w:top w:val="nil"/>
              <w:left w:val="nil"/>
              <w:bottom w:val="nil"/>
              <w:right w:val="nil"/>
            </w:tcBorders>
          </w:tcPr>
          <w:p w14:paraId="01B75C41" w14:textId="120CC31D"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-3.325</w:t>
            </w:r>
          </w:p>
        </w:tc>
        <w:tc>
          <w:tcPr>
            <w:tcW w:w="1396" w:type="dxa"/>
            <w:tcBorders>
              <w:top w:val="nil"/>
              <w:left w:val="nil"/>
              <w:bottom w:val="nil"/>
              <w:right w:val="single" w:sz="12" w:space="0" w:color="auto"/>
            </w:tcBorders>
            <w:shd w:val="clear" w:color="auto" w:fill="auto"/>
            <w:noWrap/>
          </w:tcPr>
          <w:p w14:paraId="725AE88D" w14:textId="10BA30F5"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0.198</w:t>
            </w:r>
          </w:p>
        </w:tc>
        <w:tc>
          <w:tcPr>
            <w:tcW w:w="1434" w:type="dxa"/>
            <w:tcBorders>
              <w:top w:val="nil"/>
              <w:left w:val="single" w:sz="12" w:space="0" w:color="auto"/>
              <w:bottom w:val="nil"/>
            </w:tcBorders>
          </w:tcPr>
          <w:p w14:paraId="2498593F" w14:textId="63D0381B"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0.253</w:t>
            </w:r>
          </w:p>
        </w:tc>
        <w:tc>
          <w:tcPr>
            <w:tcW w:w="1390" w:type="dxa"/>
            <w:tcBorders>
              <w:top w:val="nil"/>
              <w:left w:val="nil"/>
              <w:bottom w:val="nil"/>
              <w:right w:val="nil"/>
            </w:tcBorders>
          </w:tcPr>
          <w:p w14:paraId="03A47F36" w14:textId="572580E8"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1.106</w:t>
            </w:r>
          </w:p>
        </w:tc>
        <w:tc>
          <w:tcPr>
            <w:tcW w:w="1426" w:type="dxa"/>
            <w:tcBorders>
              <w:top w:val="nil"/>
              <w:left w:val="nil"/>
              <w:bottom w:val="nil"/>
            </w:tcBorders>
          </w:tcPr>
          <w:p w14:paraId="58B0EC5E" w14:textId="2D1BCAE3"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-0.546</w:t>
            </w:r>
          </w:p>
        </w:tc>
      </w:tr>
      <w:tr w:rsidR="00EE533D" w:rsidRPr="00EE533D" w14:paraId="76297775" w14:textId="77777777" w:rsidTr="007467F2">
        <w:trPr>
          <w:trHeight w:val="71"/>
        </w:trPr>
        <w:tc>
          <w:tcPr>
            <w:tcW w:w="2806" w:type="dxa"/>
            <w:tcBorders>
              <w:top w:val="nil"/>
              <w:left w:val="nil"/>
              <w:bottom w:val="nil"/>
              <w:right w:val="nil"/>
            </w:tcBorders>
            <w:shd w:val="clear" w:color="auto" w:fill="auto"/>
            <w:noWrap/>
          </w:tcPr>
          <w:p w14:paraId="4C1BB23B"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D916D67" w14:textId="5F7A5680"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(4.301)</w:t>
            </w:r>
          </w:p>
        </w:tc>
        <w:tc>
          <w:tcPr>
            <w:tcW w:w="1498" w:type="dxa"/>
            <w:tcBorders>
              <w:top w:val="nil"/>
              <w:left w:val="nil"/>
              <w:bottom w:val="nil"/>
              <w:right w:val="nil"/>
            </w:tcBorders>
          </w:tcPr>
          <w:p w14:paraId="2F1EFECE" w14:textId="2BAE8FCD"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(3.796)</w:t>
            </w:r>
          </w:p>
        </w:tc>
        <w:tc>
          <w:tcPr>
            <w:tcW w:w="1396" w:type="dxa"/>
            <w:tcBorders>
              <w:top w:val="nil"/>
              <w:left w:val="nil"/>
              <w:bottom w:val="nil"/>
              <w:right w:val="single" w:sz="12" w:space="0" w:color="auto"/>
            </w:tcBorders>
            <w:shd w:val="clear" w:color="auto" w:fill="auto"/>
            <w:noWrap/>
          </w:tcPr>
          <w:p w14:paraId="5321FE60" w14:textId="4D3D2B1D"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(0.316)</w:t>
            </w:r>
          </w:p>
        </w:tc>
        <w:tc>
          <w:tcPr>
            <w:tcW w:w="1434" w:type="dxa"/>
            <w:tcBorders>
              <w:top w:val="nil"/>
              <w:left w:val="single" w:sz="12" w:space="0" w:color="auto"/>
              <w:bottom w:val="nil"/>
            </w:tcBorders>
          </w:tcPr>
          <w:p w14:paraId="5A288509" w14:textId="11AB48AE"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(3.547)</w:t>
            </w:r>
          </w:p>
        </w:tc>
        <w:tc>
          <w:tcPr>
            <w:tcW w:w="1390" w:type="dxa"/>
            <w:tcBorders>
              <w:top w:val="nil"/>
              <w:left w:val="nil"/>
              <w:bottom w:val="nil"/>
              <w:right w:val="nil"/>
            </w:tcBorders>
          </w:tcPr>
          <w:p w14:paraId="5F849424" w14:textId="45E2C07F"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(3.227)</w:t>
            </w:r>
          </w:p>
        </w:tc>
        <w:tc>
          <w:tcPr>
            <w:tcW w:w="1426" w:type="dxa"/>
            <w:tcBorders>
              <w:top w:val="nil"/>
              <w:left w:val="nil"/>
              <w:bottom w:val="nil"/>
            </w:tcBorders>
          </w:tcPr>
          <w:p w14:paraId="7C341C2A" w14:textId="386E8010"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(0.442)</w:t>
            </w:r>
          </w:p>
        </w:tc>
      </w:tr>
      <w:tr w:rsidR="00EE533D" w:rsidRPr="00EE533D" w14:paraId="44A79CCE" w14:textId="77777777" w:rsidTr="007467F2">
        <w:trPr>
          <w:trHeight w:val="71"/>
        </w:trPr>
        <w:tc>
          <w:tcPr>
            <w:tcW w:w="2806" w:type="dxa"/>
            <w:tcBorders>
              <w:top w:val="nil"/>
              <w:left w:val="nil"/>
              <w:bottom w:val="nil"/>
              <w:right w:val="nil"/>
            </w:tcBorders>
            <w:shd w:val="clear" w:color="auto" w:fill="auto"/>
            <w:noWrap/>
          </w:tcPr>
          <w:p w14:paraId="2FD8BB9E" w14:textId="62B23AAC"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8A25678" w14:textId="577BA2E7"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-0.910</w:t>
            </w:r>
          </w:p>
        </w:tc>
        <w:tc>
          <w:tcPr>
            <w:tcW w:w="1498" w:type="dxa"/>
            <w:tcBorders>
              <w:top w:val="nil"/>
              <w:left w:val="nil"/>
              <w:bottom w:val="nil"/>
              <w:right w:val="nil"/>
            </w:tcBorders>
          </w:tcPr>
          <w:p w14:paraId="76DC0AAA" w14:textId="5B7F13FE"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-4.135</w:t>
            </w:r>
          </w:p>
        </w:tc>
        <w:tc>
          <w:tcPr>
            <w:tcW w:w="1396" w:type="dxa"/>
            <w:tcBorders>
              <w:top w:val="nil"/>
              <w:left w:val="nil"/>
              <w:bottom w:val="nil"/>
              <w:right w:val="single" w:sz="12" w:space="0" w:color="auto"/>
            </w:tcBorders>
            <w:shd w:val="clear" w:color="auto" w:fill="auto"/>
            <w:noWrap/>
          </w:tcPr>
          <w:p w14:paraId="72920A20" w14:textId="621E7FED"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0.511</w:t>
            </w:r>
          </w:p>
        </w:tc>
        <w:tc>
          <w:tcPr>
            <w:tcW w:w="1434" w:type="dxa"/>
            <w:tcBorders>
              <w:top w:val="nil"/>
              <w:left w:val="single" w:sz="12" w:space="0" w:color="auto"/>
              <w:bottom w:val="nil"/>
            </w:tcBorders>
          </w:tcPr>
          <w:p w14:paraId="679B5CE4" w14:textId="1349DE01"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-1.383</w:t>
            </w:r>
          </w:p>
        </w:tc>
        <w:tc>
          <w:tcPr>
            <w:tcW w:w="1390" w:type="dxa"/>
            <w:tcBorders>
              <w:top w:val="nil"/>
              <w:left w:val="nil"/>
              <w:bottom w:val="nil"/>
              <w:right w:val="nil"/>
            </w:tcBorders>
          </w:tcPr>
          <w:p w14:paraId="4E478CFD" w14:textId="25AB9286"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-5.958</w:t>
            </w:r>
          </w:p>
        </w:tc>
        <w:tc>
          <w:tcPr>
            <w:tcW w:w="1426" w:type="dxa"/>
            <w:tcBorders>
              <w:top w:val="nil"/>
              <w:left w:val="nil"/>
              <w:bottom w:val="nil"/>
            </w:tcBorders>
          </w:tcPr>
          <w:p w14:paraId="29F8B0E9" w14:textId="05E7F81F"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1.320**</w:t>
            </w:r>
          </w:p>
        </w:tc>
      </w:tr>
      <w:tr w:rsidR="00EE533D" w:rsidRPr="00EE533D" w14:paraId="14A28134" w14:textId="77777777" w:rsidTr="007467F2">
        <w:trPr>
          <w:trHeight w:val="71"/>
        </w:trPr>
        <w:tc>
          <w:tcPr>
            <w:tcW w:w="2806" w:type="dxa"/>
            <w:tcBorders>
              <w:top w:val="nil"/>
              <w:left w:val="nil"/>
              <w:bottom w:val="nil"/>
              <w:right w:val="nil"/>
            </w:tcBorders>
            <w:shd w:val="clear" w:color="auto" w:fill="auto"/>
            <w:noWrap/>
          </w:tcPr>
          <w:p w14:paraId="6D377395"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35A18CA" w14:textId="799B94FA"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(2.839)</w:t>
            </w:r>
          </w:p>
        </w:tc>
        <w:tc>
          <w:tcPr>
            <w:tcW w:w="1498" w:type="dxa"/>
            <w:tcBorders>
              <w:top w:val="nil"/>
              <w:left w:val="nil"/>
              <w:bottom w:val="nil"/>
              <w:right w:val="nil"/>
            </w:tcBorders>
          </w:tcPr>
          <w:p w14:paraId="3275A206" w14:textId="3F2193C9"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(4.084)</w:t>
            </w:r>
          </w:p>
        </w:tc>
        <w:tc>
          <w:tcPr>
            <w:tcW w:w="1396" w:type="dxa"/>
            <w:tcBorders>
              <w:top w:val="nil"/>
              <w:left w:val="nil"/>
              <w:bottom w:val="nil"/>
              <w:right w:val="single" w:sz="12" w:space="0" w:color="auto"/>
            </w:tcBorders>
            <w:shd w:val="clear" w:color="auto" w:fill="auto"/>
            <w:noWrap/>
          </w:tcPr>
          <w:p w14:paraId="65D59333" w14:textId="640CDA9E"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(0.426)</w:t>
            </w:r>
          </w:p>
        </w:tc>
        <w:tc>
          <w:tcPr>
            <w:tcW w:w="1434" w:type="dxa"/>
            <w:tcBorders>
              <w:top w:val="nil"/>
              <w:left w:val="single" w:sz="12" w:space="0" w:color="auto"/>
              <w:bottom w:val="nil"/>
            </w:tcBorders>
          </w:tcPr>
          <w:p w14:paraId="4D7CEF42" w14:textId="714CADFE"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(2.874)</w:t>
            </w:r>
          </w:p>
        </w:tc>
        <w:tc>
          <w:tcPr>
            <w:tcW w:w="1390" w:type="dxa"/>
            <w:tcBorders>
              <w:top w:val="nil"/>
              <w:left w:val="nil"/>
              <w:bottom w:val="nil"/>
              <w:right w:val="nil"/>
            </w:tcBorders>
          </w:tcPr>
          <w:p w14:paraId="4CF387C0" w14:textId="3363716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(3.691)</w:t>
            </w:r>
          </w:p>
        </w:tc>
        <w:tc>
          <w:tcPr>
            <w:tcW w:w="1426" w:type="dxa"/>
            <w:tcBorders>
              <w:top w:val="nil"/>
              <w:left w:val="nil"/>
              <w:bottom w:val="nil"/>
            </w:tcBorders>
          </w:tcPr>
          <w:p w14:paraId="35ABA33F" w14:textId="1452C22D"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(0.564)</w:t>
            </w:r>
          </w:p>
        </w:tc>
      </w:tr>
      <w:tr w:rsidR="00EE533D" w:rsidRPr="00EE533D" w14:paraId="0173D930" w14:textId="77777777" w:rsidTr="007467F2">
        <w:trPr>
          <w:trHeight w:val="71"/>
        </w:trPr>
        <w:tc>
          <w:tcPr>
            <w:tcW w:w="2806" w:type="dxa"/>
            <w:tcBorders>
              <w:top w:val="nil"/>
              <w:left w:val="nil"/>
              <w:bottom w:val="nil"/>
              <w:right w:val="nil"/>
            </w:tcBorders>
            <w:shd w:val="clear" w:color="auto" w:fill="auto"/>
            <w:noWrap/>
          </w:tcPr>
          <w:p w14:paraId="39436F26" w14:textId="0CA5CBB3"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B0BD4AD" w14:textId="4BF6C92E"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5.243</w:t>
            </w:r>
          </w:p>
        </w:tc>
        <w:tc>
          <w:tcPr>
            <w:tcW w:w="1498" w:type="dxa"/>
            <w:tcBorders>
              <w:top w:val="nil"/>
              <w:left w:val="nil"/>
              <w:bottom w:val="nil"/>
              <w:right w:val="nil"/>
            </w:tcBorders>
          </w:tcPr>
          <w:p w14:paraId="3FEAE2D0" w14:textId="2DBC091F"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-1.248</w:t>
            </w:r>
          </w:p>
        </w:tc>
        <w:tc>
          <w:tcPr>
            <w:tcW w:w="1396" w:type="dxa"/>
            <w:tcBorders>
              <w:top w:val="nil"/>
              <w:left w:val="nil"/>
              <w:bottom w:val="nil"/>
              <w:right w:val="single" w:sz="12" w:space="0" w:color="auto"/>
            </w:tcBorders>
            <w:shd w:val="clear" w:color="auto" w:fill="auto"/>
            <w:noWrap/>
          </w:tcPr>
          <w:p w14:paraId="310C2A0B" w14:textId="77C81691"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-0.158</w:t>
            </w:r>
          </w:p>
        </w:tc>
        <w:tc>
          <w:tcPr>
            <w:tcW w:w="1434" w:type="dxa"/>
            <w:tcBorders>
              <w:top w:val="nil"/>
              <w:left w:val="single" w:sz="12" w:space="0" w:color="auto"/>
              <w:bottom w:val="nil"/>
            </w:tcBorders>
          </w:tcPr>
          <w:p w14:paraId="3AB5B1BA" w14:textId="23A387E2"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5.312</w:t>
            </w:r>
          </w:p>
        </w:tc>
        <w:tc>
          <w:tcPr>
            <w:tcW w:w="1390" w:type="dxa"/>
            <w:tcBorders>
              <w:top w:val="nil"/>
              <w:left w:val="nil"/>
              <w:bottom w:val="nil"/>
              <w:right w:val="nil"/>
            </w:tcBorders>
          </w:tcPr>
          <w:p w14:paraId="676FFC38" w14:textId="54EE3C90"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-4.763</w:t>
            </w:r>
          </w:p>
        </w:tc>
        <w:tc>
          <w:tcPr>
            <w:tcW w:w="1426" w:type="dxa"/>
            <w:tcBorders>
              <w:top w:val="nil"/>
              <w:left w:val="nil"/>
              <w:bottom w:val="nil"/>
            </w:tcBorders>
          </w:tcPr>
          <w:p w14:paraId="4E2BCD67" w14:textId="6BE7F1C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-0.918**</w:t>
            </w:r>
          </w:p>
        </w:tc>
      </w:tr>
      <w:tr w:rsidR="00EE533D" w:rsidRPr="00EE533D" w14:paraId="78CD3210" w14:textId="77777777" w:rsidTr="007467F2">
        <w:trPr>
          <w:trHeight w:val="71"/>
        </w:trPr>
        <w:tc>
          <w:tcPr>
            <w:tcW w:w="2806" w:type="dxa"/>
            <w:tcBorders>
              <w:top w:val="nil"/>
              <w:left w:val="nil"/>
              <w:bottom w:val="nil"/>
              <w:right w:val="nil"/>
            </w:tcBorders>
            <w:shd w:val="clear" w:color="auto" w:fill="auto"/>
            <w:noWrap/>
          </w:tcPr>
          <w:p w14:paraId="545FC813"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98B5F3C" w14:textId="614E35FD"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(4.281)</w:t>
            </w:r>
          </w:p>
        </w:tc>
        <w:tc>
          <w:tcPr>
            <w:tcW w:w="1498" w:type="dxa"/>
            <w:tcBorders>
              <w:top w:val="nil"/>
              <w:left w:val="nil"/>
              <w:bottom w:val="nil"/>
              <w:right w:val="nil"/>
            </w:tcBorders>
          </w:tcPr>
          <w:p w14:paraId="72D18066" w14:textId="3739E736"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(4.528)</w:t>
            </w:r>
          </w:p>
        </w:tc>
        <w:tc>
          <w:tcPr>
            <w:tcW w:w="1396" w:type="dxa"/>
            <w:tcBorders>
              <w:top w:val="nil"/>
              <w:left w:val="nil"/>
              <w:bottom w:val="nil"/>
              <w:right w:val="single" w:sz="12" w:space="0" w:color="auto"/>
            </w:tcBorders>
            <w:shd w:val="clear" w:color="auto" w:fill="auto"/>
            <w:noWrap/>
          </w:tcPr>
          <w:p w14:paraId="6A37AFC7" w14:textId="01FD0C21"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(0.205)</w:t>
            </w:r>
          </w:p>
        </w:tc>
        <w:tc>
          <w:tcPr>
            <w:tcW w:w="1434" w:type="dxa"/>
            <w:tcBorders>
              <w:top w:val="nil"/>
              <w:left w:val="single" w:sz="12" w:space="0" w:color="auto"/>
              <w:bottom w:val="nil"/>
            </w:tcBorders>
          </w:tcPr>
          <w:p w14:paraId="755F66B1" w14:textId="4291A869"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(4.186)</w:t>
            </w:r>
          </w:p>
        </w:tc>
        <w:tc>
          <w:tcPr>
            <w:tcW w:w="1390" w:type="dxa"/>
            <w:tcBorders>
              <w:top w:val="nil"/>
              <w:left w:val="nil"/>
              <w:bottom w:val="nil"/>
              <w:right w:val="nil"/>
            </w:tcBorders>
          </w:tcPr>
          <w:p w14:paraId="67F388BD" w14:textId="5906337C"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(4.952)</w:t>
            </w:r>
          </w:p>
        </w:tc>
        <w:tc>
          <w:tcPr>
            <w:tcW w:w="1426" w:type="dxa"/>
            <w:tcBorders>
              <w:top w:val="nil"/>
              <w:left w:val="nil"/>
              <w:bottom w:val="nil"/>
            </w:tcBorders>
          </w:tcPr>
          <w:p w14:paraId="04D19EFE" w14:textId="26DD325A"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(0.287)</w:t>
            </w:r>
          </w:p>
        </w:tc>
      </w:tr>
      <w:tr w:rsidR="00EE533D" w:rsidRPr="00EE533D" w14:paraId="19CEACCC" w14:textId="77777777" w:rsidTr="007467F2">
        <w:trPr>
          <w:trHeight w:val="71"/>
        </w:trPr>
        <w:tc>
          <w:tcPr>
            <w:tcW w:w="2806" w:type="dxa"/>
            <w:tcBorders>
              <w:top w:val="nil"/>
              <w:left w:val="nil"/>
              <w:bottom w:val="nil"/>
              <w:right w:val="nil"/>
            </w:tcBorders>
            <w:shd w:val="clear" w:color="auto" w:fill="auto"/>
            <w:noWrap/>
          </w:tcPr>
          <w:p w14:paraId="73068E10" w14:textId="13376312"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D84FE90" w14:textId="4015ECA6"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98" w:type="dxa"/>
            <w:tcBorders>
              <w:top w:val="nil"/>
              <w:left w:val="nil"/>
              <w:bottom w:val="nil"/>
              <w:right w:val="nil"/>
            </w:tcBorders>
          </w:tcPr>
          <w:p w14:paraId="5226B2CD" w14:textId="234B9858"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396" w:type="dxa"/>
            <w:tcBorders>
              <w:top w:val="nil"/>
              <w:left w:val="nil"/>
              <w:bottom w:val="nil"/>
              <w:right w:val="single" w:sz="12" w:space="0" w:color="auto"/>
            </w:tcBorders>
            <w:shd w:val="clear" w:color="auto" w:fill="auto"/>
            <w:noWrap/>
          </w:tcPr>
          <w:p w14:paraId="31A6502B" w14:textId="3A50A480"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545E5876" w14:textId="7C20F888"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390" w:type="dxa"/>
            <w:tcBorders>
              <w:top w:val="nil"/>
              <w:left w:val="nil"/>
              <w:bottom w:val="nil"/>
              <w:right w:val="nil"/>
            </w:tcBorders>
          </w:tcPr>
          <w:p w14:paraId="427494B6" w14:textId="4100F7B2"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26" w:type="dxa"/>
            <w:tcBorders>
              <w:top w:val="nil"/>
              <w:left w:val="nil"/>
              <w:bottom w:val="nil"/>
            </w:tcBorders>
          </w:tcPr>
          <w:p w14:paraId="0D79EEE6" w14:textId="5F6E642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659DB8B6" w14:textId="77777777" w:rsidTr="007467F2">
        <w:trPr>
          <w:trHeight w:val="71"/>
        </w:trPr>
        <w:tc>
          <w:tcPr>
            <w:tcW w:w="2806" w:type="dxa"/>
            <w:tcBorders>
              <w:top w:val="nil"/>
              <w:left w:val="nil"/>
              <w:bottom w:val="nil"/>
              <w:right w:val="nil"/>
            </w:tcBorders>
            <w:shd w:val="clear" w:color="auto" w:fill="auto"/>
            <w:noWrap/>
          </w:tcPr>
          <w:p w14:paraId="28C7CD47"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41AD4FE" w14:textId="0E420C00"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98" w:type="dxa"/>
            <w:tcBorders>
              <w:top w:val="nil"/>
              <w:left w:val="nil"/>
              <w:bottom w:val="nil"/>
              <w:right w:val="nil"/>
            </w:tcBorders>
          </w:tcPr>
          <w:p w14:paraId="6469D097" w14:textId="396A53FA"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396" w:type="dxa"/>
            <w:tcBorders>
              <w:top w:val="nil"/>
              <w:left w:val="nil"/>
              <w:bottom w:val="nil"/>
              <w:right w:val="single" w:sz="12" w:space="0" w:color="auto"/>
            </w:tcBorders>
            <w:shd w:val="clear" w:color="auto" w:fill="auto"/>
            <w:noWrap/>
          </w:tcPr>
          <w:p w14:paraId="4A741329" w14:textId="73D8EE08"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620FF1B8" w14:textId="6C07BA1A"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390" w:type="dxa"/>
            <w:tcBorders>
              <w:top w:val="nil"/>
              <w:left w:val="nil"/>
              <w:bottom w:val="nil"/>
              <w:right w:val="nil"/>
            </w:tcBorders>
          </w:tcPr>
          <w:p w14:paraId="18B91A48" w14:textId="3F31070C"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26" w:type="dxa"/>
            <w:tcBorders>
              <w:top w:val="nil"/>
              <w:left w:val="nil"/>
              <w:bottom w:val="nil"/>
            </w:tcBorders>
          </w:tcPr>
          <w:p w14:paraId="1031E7FE" w14:textId="2674AF07"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r>
      <w:tr w:rsidR="00EE533D" w:rsidRPr="00EE533D" w14:paraId="22186B78" w14:textId="77777777" w:rsidTr="007467F2">
        <w:trPr>
          <w:trHeight w:val="71"/>
        </w:trPr>
        <w:tc>
          <w:tcPr>
            <w:tcW w:w="2806" w:type="dxa"/>
            <w:tcBorders>
              <w:top w:val="nil"/>
              <w:left w:val="nil"/>
              <w:bottom w:val="nil"/>
              <w:right w:val="nil"/>
            </w:tcBorders>
            <w:shd w:val="clear" w:color="auto" w:fill="auto"/>
            <w:noWrap/>
          </w:tcPr>
          <w:p w14:paraId="6EC41C38" w14:textId="1068B39C" w:rsidR="00D8651B" w:rsidRPr="00EE533D" w:rsidRDefault="00D8651B" w:rsidP="00D8651B">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47B8514" w14:textId="08569702"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498" w:type="dxa"/>
            <w:tcBorders>
              <w:top w:val="nil"/>
              <w:left w:val="nil"/>
              <w:bottom w:val="nil"/>
              <w:right w:val="nil"/>
            </w:tcBorders>
          </w:tcPr>
          <w:p w14:paraId="41AD5078" w14:textId="018F912F"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396" w:type="dxa"/>
            <w:tcBorders>
              <w:top w:val="nil"/>
              <w:left w:val="nil"/>
              <w:bottom w:val="nil"/>
              <w:right w:val="single" w:sz="12" w:space="0" w:color="auto"/>
            </w:tcBorders>
            <w:shd w:val="clear" w:color="auto" w:fill="auto"/>
            <w:noWrap/>
          </w:tcPr>
          <w:p w14:paraId="30F4DD57" w14:textId="46BACCB9"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4" w:type="dxa"/>
            <w:tcBorders>
              <w:top w:val="nil"/>
              <w:left w:val="single" w:sz="12" w:space="0" w:color="auto"/>
              <w:bottom w:val="nil"/>
            </w:tcBorders>
          </w:tcPr>
          <w:p w14:paraId="3CDC32F7" w14:textId="62AFE93A"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390" w:type="dxa"/>
            <w:tcBorders>
              <w:top w:val="nil"/>
              <w:left w:val="nil"/>
              <w:bottom w:val="nil"/>
              <w:right w:val="nil"/>
            </w:tcBorders>
          </w:tcPr>
          <w:p w14:paraId="669BF7D5" w14:textId="586DBAA0"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26" w:type="dxa"/>
            <w:tcBorders>
              <w:top w:val="nil"/>
              <w:left w:val="nil"/>
              <w:bottom w:val="nil"/>
            </w:tcBorders>
          </w:tcPr>
          <w:p w14:paraId="087F98E0" w14:textId="24385398"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42630F82" w14:textId="77777777" w:rsidTr="007467F2">
        <w:trPr>
          <w:trHeight w:val="71"/>
        </w:trPr>
        <w:tc>
          <w:tcPr>
            <w:tcW w:w="2806" w:type="dxa"/>
            <w:tcBorders>
              <w:top w:val="nil"/>
              <w:left w:val="nil"/>
              <w:bottom w:val="nil"/>
              <w:right w:val="nil"/>
            </w:tcBorders>
            <w:shd w:val="clear" w:color="auto" w:fill="auto"/>
            <w:noWrap/>
          </w:tcPr>
          <w:p w14:paraId="1DDFA6E0" w14:textId="77777777" w:rsidR="00D8651B" w:rsidRPr="00EE533D" w:rsidRDefault="00D8651B" w:rsidP="00D8651B">
            <w:pPr>
              <w:spacing w:after="0"/>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8118F68" w14:textId="630089B2"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498" w:type="dxa"/>
            <w:tcBorders>
              <w:top w:val="nil"/>
              <w:left w:val="nil"/>
              <w:bottom w:val="nil"/>
              <w:right w:val="nil"/>
            </w:tcBorders>
          </w:tcPr>
          <w:p w14:paraId="44B74CD1" w14:textId="3193BBA2"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396" w:type="dxa"/>
            <w:tcBorders>
              <w:top w:val="nil"/>
              <w:left w:val="nil"/>
              <w:bottom w:val="nil"/>
              <w:right w:val="single" w:sz="12" w:space="0" w:color="auto"/>
            </w:tcBorders>
            <w:shd w:val="clear" w:color="auto" w:fill="auto"/>
            <w:noWrap/>
          </w:tcPr>
          <w:p w14:paraId="470AC511" w14:textId="7E7EFED0"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03370089" w14:textId="33163CBE"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390" w:type="dxa"/>
            <w:tcBorders>
              <w:top w:val="nil"/>
              <w:left w:val="nil"/>
              <w:bottom w:val="nil"/>
              <w:right w:val="nil"/>
            </w:tcBorders>
          </w:tcPr>
          <w:p w14:paraId="701C35B3" w14:textId="66181637"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(0.047)</w:t>
            </w:r>
          </w:p>
        </w:tc>
        <w:tc>
          <w:tcPr>
            <w:tcW w:w="1426" w:type="dxa"/>
            <w:tcBorders>
              <w:top w:val="nil"/>
              <w:left w:val="nil"/>
              <w:bottom w:val="nil"/>
            </w:tcBorders>
          </w:tcPr>
          <w:p w14:paraId="0544FB23" w14:textId="6F91DD82"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0C75D0C1" w14:textId="77777777" w:rsidTr="007467F2">
        <w:trPr>
          <w:trHeight w:val="71"/>
        </w:trPr>
        <w:tc>
          <w:tcPr>
            <w:tcW w:w="2806" w:type="dxa"/>
            <w:tcBorders>
              <w:top w:val="nil"/>
              <w:left w:val="nil"/>
              <w:bottom w:val="nil"/>
              <w:right w:val="nil"/>
            </w:tcBorders>
            <w:shd w:val="clear" w:color="auto" w:fill="auto"/>
            <w:noWrap/>
          </w:tcPr>
          <w:p w14:paraId="6D56C4FE" w14:textId="10B76D7E"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4D02B27" w14:textId="0DE5EAF3"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1.095</w:t>
            </w:r>
          </w:p>
        </w:tc>
        <w:tc>
          <w:tcPr>
            <w:tcW w:w="1498" w:type="dxa"/>
            <w:tcBorders>
              <w:top w:val="nil"/>
              <w:left w:val="nil"/>
              <w:bottom w:val="nil"/>
              <w:right w:val="nil"/>
            </w:tcBorders>
          </w:tcPr>
          <w:p w14:paraId="311439C8" w14:textId="02906C8F"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-2.611**</w:t>
            </w:r>
          </w:p>
        </w:tc>
        <w:tc>
          <w:tcPr>
            <w:tcW w:w="1396" w:type="dxa"/>
            <w:tcBorders>
              <w:top w:val="nil"/>
              <w:left w:val="nil"/>
              <w:bottom w:val="nil"/>
              <w:right w:val="single" w:sz="12" w:space="0" w:color="auto"/>
            </w:tcBorders>
            <w:shd w:val="clear" w:color="auto" w:fill="auto"/>
            <w:noWrap/>
          </w:tcPr>
          <w:p w14:paraId="6FF9737D" w14:textId="3D2E1FEC"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-0.146</w:t>
            </w:r>
          </w:p>
        </w:tc>
        <w:tc>
          <w:tcPr>
            <w:tcW w:w="1434" w:type="dxa"/>
            <w:tcBorders>
              <w:top w:val="nil"/>
              <w:left w:val="single" w:sz="12" w:space="0" w:color="auto"/>
              <w:bottom w:val="nil"/>
            </w:tcBorders>
          </w:tcPr>
          <w:p w14:paraId="4FD06757" w14:textId="73CD4DDD"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0.092</w:t>
            </w:r>
          </w:p>
        </w:tc>
        <w:tc>
          <w:tcPr>
            <w:tcW w:w="1390" w:type="dxa"/>
            <w:tcBorders>
              <w:top w:val="nil"/>
              <w:left w:val="nil"/>
              <w:bottom w:val="nil"/>
              <w:right w:val="nil"/>
            </w:tcBorders>
          </w:tcPr>
          <w:p w14:paraId="091941DC" w14:textId="4028F894"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-1.055</w:t>
            </w:r>
          </w:p>
        </w:tc>
        <w:tc>
          <w:tcPr>
            <w:tcW w:w="1426" w:type="dxa"/>
            <w:tcBorders>
              <w:top w:val="nil"/>
              <w:left w:val="nil"/>
              <w:bottom w:val="nil"/>
            </w:tcBorders>
          </w:tcPr>
          <w:p w14:paraId="290052D0" w14:textId="52B9DD01"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-0.178</w:t>
            </w:r>
          </w:p>
        </w:tc>
      </w:tr>
      <w:tr w:rsidR="00EE533D" w:rsidRPr="00EE533D" w14:paraId="7578448F" w14:textId="77777777" w:rsidTr="007467F2">
        <w:trPr>
          <w:trHeight w:val="71"/>
        </w:trPr>
        <w:tc>
          <w:tcPr>
            <w:tcW w:w="2806" w:type="dxa"/>
            <w:tcBorders>
              <w:top w:val="nil"/>
              <w:left w:val="nil"/>
              <w:bottom w:val="nil"/>
              <w:right w:val="nil"/>
            </w:tcBorders>
            <w:shd w:val="clear" w:color="auto" w:fill="auto"/>
            <w:noWrap/>
          </w:tcPr>
          <w:p w14:paraId="1ED631C4"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A3FE1C8" w14:textId="4CB964C4"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(1.324)</w:t>
            </w:r>
          </w:p>
        </w:tc>
        <w:tc>
          <w:tcPr>
            <w:tcW w:w="1498" w:type="dxa"/>
            <w:tcBorders>
              <w:top w:val="nil"/>
              <w:left w:val="nil"/>
              <w:bottom w:val="nil"/>
              <w:right w:val="nil"/>
            </w:tcBorders>
          </w:tcPr>
          <w:p w14:paraId="1FC56444" w14:textId="778C21AA"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(0.858)</w:t>
            </w:r>
          </w:p>
        </w:tc>
        <w:tc>
          <w:tcPr>
            <w:tcW w:w="1396" w:type="dxa"/>
            <w:tcBorders>
              <w:top w:val="nil"/>
              <w:left w:val="nil"/>
              <w:bottom w:val="nil"/>
              <w:right w:val="single" w:sz="12" w:space="0" w:color="auto"/>
            </w:tcBorders>
            <w:shd w:val="clear" w:color="auto" w:fill="auto"/>
            <w:noWrap/>
          </w:tcPr>
          <w:p w14:paraId="72A4376D" w14:textId="1BD2AC28"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(0.130)</w:t>
            </w:r>
          </w:p>
        </w:tc>
        <w:tc>
          <w:tcPr>
            <w:tcW w:w="1434" w:type="dxa"/>
            <w:tcBorders>
              <w:top w:val="nil"/>
              <w:left w:val="single" w:sz="12" w:space="0" w:color="auto"/>
              <w:bottom w:val="nil"/>
            </w:tcBorders>
          </w:tcPr>
          <w:p w14:paraId="20EF4FAE" w14:textId="6C3B5DAE"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(1.294)</w:t>
            </w:r>
          </w:p>
        </w:tc>
        <w:tc>
          <w:tcPr>
            <w:tcW w:w="1390" w:type="dxa"/>
            <w:tcBorders>
              <w:top w:val="nil"/>
              <w:left w:val="nil"/>
              <w:bottom w:val="nil"/>
              <w:right w:val="nil"/>
            </w:tcBorders>
          </w:tcPr>
          <w:p w14:paraId="17D07C16" w14:textId="750CAFC5"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(1.384)</w:t>
            </w:r>
          </w:p>
        </w:tc>
        <w:tc>
          <w:tcPr>
            <w:tcW w:w="1426" w:type="dxa"/>
            <w:tcBorders>
              <w:top w:val="nil"/>
              <w:left w:val="nil"/>
              <w:bottom w:val="nil"/>
            </w:tcBorders>
          </w:tcPr>
          <w:p w14:paraId="34352279" w14:textId="1EDC2B62"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(0.127)</w:t>
            </w:r>
          </w:p>
        </w:tc>
      </w:tr>
      <w:tr w:rsidR="00EE533D" w:rsidRPr="00EE533D" w14:paraId="7EDEB47F" w14:textId="77777777" w:rsidTr="007467F2">
        <w:trPr>
          <w:trHeight w:val="71"/>
        </w:trPr>
        <w:tc>
          <w:tcPr>
            <w:tcW w:w="2806" w:type="dxa"/>
            <w:tcBorders>
              <w:top w:val="nil"/>
              <w:left w:val="nil"/>
              <w:bottom w:val="nil"/>
              <w:right w:val="nil"/>
            </w:tcBorders>
            <w:shd w:val="clear" w:color="auto" w:fill="auto"/>
            <w:noWrap/>
          </w:tcPr>
          <w:p w14:paraId="21EB2287" w14:textId="05B20D56"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4986331" w14:textId="3184C8C5"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-1.690</w:t>
            </w:r>
          </w:p>
        </w:tc>
        <w:tc>
          <w:tcPr>
            <w:tcW w:w="1498" w:type="dxa"/>
            <w:tcBorders>
              <w:top w:val="nil"/>
              <w:left w:val="nil"/>
              <w:bottom w:val="nil"/>
              <w:right w:val="nil"/>
            </w:tcBorders>
          </w:tcPr>
          <w:p w14:paraId="752239F2" w14:textId="61E070D8"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-0.828</w:t>
            </w:r>
          </w:p>
        </w:tc>
        <w:tc>
          <w:tcPr>
            <w:tcW w:w="1396" w:type="dxa"/>
            <w:tcBorders>
              <w:top w:val="nil"/>
              <w:left w:val="nil"/>
              <w:bottom w:val="nil"/>
              <w:right w:val="single" w:sz="12" w:space="0" w:color="auto"/>
            </w:tcBorders>
            <w:shd w:val="clear" w:color="auto" w:fill="auto"/>
            <w:noWrap/>
          </w:tcPr>
          <w:p w14:paraId="3D15EF60" w14:textId="4E1400FB"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434" w:type="dxa"/>
            <w:tcBorders>
              <w:top w:val="nil"/>
              <w:left w:val="single" w:sz="12" w:space="0" w:color="auto"/>
              <w:bottom w:val="nil"/>
            </w:tcBorders>
          </w:tcPr>
          <w:p w14:paraId="0D8D1676" w14:textId="60714084"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-1.331</w:t>
            </w:r>
          </w:p>
        </w:tc>
        <w:tc>
          <w:tcPr>
            <w:tcW w:w="1390" w:type="dxa"/>
            <w:tcBorders>
              <w:top w:val="nil"/>
              <w:left w:val="nil"/>
              <w:bottom w:val="nil"/>
              <w:right w:val="nil"/>
            </w:tcBorders>
          </w:tcPr>
          <w:p w14:paraId="78A36583" w14:textId="665E54A7"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-1.373</w:t>
            </w:r>
          </w:p>
        </w:tc>
        <w:tc>
          <w:tcPr>
            <w:tcW w:w="1426" w:type="dxa"/>
            <w:tcBorders>
              <w:top w:val="nil"/>
              <w:left w:val="nil"/>
              <w:bottom w:val="nil"/>
            </w:tcBorders>
          </w:tcPr>
          <w:p w14:paraId="2F7A38B8" w14:textId="4ACE7784"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r>
      <w:tr w:rsidR="00EE533D" w:rsidRPr="00EE533D" w14:paraId="27B99A55" w14:textId="77777777" w:rsidTr="007467F2">
        <w:trPr>
          <w:trHeight w:val="71"/>
        </w:trPr>
        <w:tc>
          <w:tcPr>
            <w:tcW w:w="2806" w:type="dxa"/>
            <w:tcBorders>
              <w:top w:val="nil"/>
              <w:left w:val="nil"/>
              <w:bottom w:val="nil"/>
              <w:right w:val="nil"/>
            </w:tcBorders>
            <w:shd w:val="clear" w:color="auto" w:fill="auto"/>
            <w:noWrap/>
          </w:tcPr>
          <w:p w14:paraId="40BF5B2E"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819D50C" w14:textId="2FE064C0"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(1.552)</w:t>
            </w:r>
          </w:p>
        </w:tc>
        <w:tc>
          <w:tcPr>
            <w:tcW w:w="1498" w:type="dxa"/>
            <w:tcBorders>
              <w:top w:val="nil"/>
              <w:left w:val="nil"/>
              <w:bottom w:val="nil"/>
              <w:right w:val="nil"/>
            </w:tcBorders>
          </w:tcPr>
          <w:p w14:paraId="620EDEF6" w14:textId="7F6C6CBD"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(1.601)</w:t>
            </w:r>
          </w:p>
        </w:tc>
        <w:tc>
          <w:tcPr>
            <w:tcW w:w="1396" w:type="dxa"/>
            <w:tcBorders>
              <w:top w:val="nil"/>
              <w:left w:val="nil"/>
              <w:bottom w:val="nil"/>
              <w:right w:val="single" w:sz="12" w:space="0" w:color="auto"/>
            </w:tcBorders>
            <w:shd w:val="clear" w:color="auto" w:fill="auto"/>
            <w:noWrap/>
          </w:tcPr>
          <w:p w14:paraId="6F8C66A5" w14:textId="4481E554"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(0.144)</w:t>
            </w:r>
          </w:p>
        </w:tc>
        <w:tc>
          <w:tcPr>
            <w:tcW w:w="1434" w:type="dxa"/>
            <w:tcBorders>
              <w:top w:val="nil"/>
              <w:left w:val="single" w:sz="12" w:space="0" w:color="auto"/>
              <w:bottom w:val="nil"/>
            </w:tcBorders>
          </w:tcPr>
          <w:p w14:paraId="784ABBA1" w14:textId="3EA90306"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(1.667)</w:t>
            </w:r>
          </w:p>
        </w:tc>
        <w:tc>
          <w:tcPr>
            <w:tcW w:w="1390" w:type="dxa"/>
            <w:tcBorders>
              <w:top w:val="nil"/>
              <w:left w:val="nil"/>
              <w:bottom w:val="nil"/>
              <w:right w:val="nil"/>
            </w:tcBorders>
          </w:tcPr>
          <w:p w14:paraId="660CFAB5" w14:textId="31F21B6B"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(2.211)</w:t>
            </w:r>
          </w:p>
        </w:tc>
        <w:tc>
          <w:tcPr>
            <w:tcW w:w="1426" w:type="dxa"/>
            <w:tcBorders>
              <w:top w:val="nil"/>
              <w:left w:val="nil"/>
              <w:bottom w:val="nil"/>
            </w:tcBorders>
          </w:tcPr>
          <w:p w14:paraId="1AFAEF43" w14:textId="57247134"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(0.181)</w:t>
            </w:r>
          </w:p>
        </w:tc>
      </w:tr>
      <w:tr w:rsidR="00EE533D" w:rsidRPr="00EE533D" w14:paraId="39AE3031" w14:textId="77777777" w:rsidTr="007467F2">
        <w:trPr>
          <w:trHeight w:val="71"/>
        </w:trPr>
        <w:tc>
          <w:tcPr>
            <w:tcW w:w="2806" w:type="dxa"/>
            <w:tcBorders>
              <w:top w:val="nil"/>
              <w:left w:val="nil"/>
              <w:bottom w:val="nil"/>
              <w:right w:val="nil"/>
            </w:tcBorders>
            <w:shd w:val="clear" w:color="auto" w:fill="auto"/>
            <w:noWrap/>
          </w:tcPr>
          <w:p w14:paraId="1662832D" w14:textId="614ABE6D"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C4F1616" w14:textId="305F9642"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498" w:type="dxa"/>
            <w:tcBorders>
              <w:top w:val="nil"/>
              <w:left w:val="nil"/>
              <w:bottom w:val="nil"/>
              <w:right w:val="nil"/>
            </w:tcBorders>
          </w:tcPr>
          <w:p w14:paraId="610F216F" w14:textId="48EB96BC"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396" w:type="dxa"/>
            <w:tcBorders>
              <w:top w:val="nil"/>
              <w:left w:val="nil"/>
              <w:bottom w:val="nil"/>
              <w:right w:val="single" w:sz="12" w:space="0" w:color="auto"/>
            </w:tcBorders>
            <w:shd w:val="clear" w:color="auto" w:fill="auto"/>
            <w:noWrap/>
          </w:tcPr>
          <w:p w14:paraId="1C827831" w14:textId="2B06A832"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0.022</w:t>
            </w:r>
          </w:p>
        </w:tc>
        <w:tc>
          <w:tcPr>
            <w:tcW w:w="1434" w:type="dxa"/>
            <w:tcBorders>
              <w:top w:val="nil"/>
              <w:left w:val="single" w:sz="12" w:space="0" w:color="auto"/>
              <w:bottom w:val="nil"/>
            </w:tcBorders>
          </w:tcPr>
          <w:p w14:paraId="5449B39C" w14:textId="25C4D0B1"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0.152</w:t>
            </w:r>
          </w:p>
        </w:tc>
        <w:tc>
          <w:tcPr>
            <w:tcW w:w="1390" w:type="dxa"/>
            <w:tcBorders>
              <w:top w:val="nil"/>
              <w:left w:val="nil"/>
              <w:bottom w:val="nil"/>
              <w:right w:val="nil"/>
            </w:tcBorders>
          </w:tcPr>
          <w:p w14:paraId="2A7C5046" w14:textId="72870B7A"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-0.092</w:t>
            </w:r>
          </w:p>
        </w:tc>
        <w:tc>
          <w:tcPr>
            <w:tcW w:w="1426" w:type="dxa"/>
            <w:tcBorders>
              <w:top w:val="nil"/>
              <w:left w:val="nil"/>
              <w:bottom w:val="nil"/>
            </w:tcBorders>
          </w:tcPr>
          <w:p w14:paraId="7E2056C8" w14:textId="6B6F12CA"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r>
      <w:tr w:rsidR="00EE533D" w:rsidRPr="00EE533D" w14:paraId="757AC4A9" w14:textId="77777777" w:rsidTr="007467F2">
        <w:trPr>
          <w:trHeight w:val="71"/>
        </w:trPr>
        <w:tc>
          <w:tcPr>
            <w:tcW w:w="2806" w:type="dxa"/>
            <w:tcBorders>
              <w:top w:val="nil"/>
              <w:left w:val="nil"/>
              <w:bottom w:val="nil"/>
              <w:right w:val="nil"/>
            </w:tcBorders>
            <w:shd w:val="clear" w:color="auto" w:fill="auto"/>
            <w:noWrap/>
          </w:tcPr>
          <w:p w14:paraId="6A7B9340"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1CCFB15" w14:textId="1D5B98C7"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(0.128)</w:t>
            </w:r>
          </w:p>
        </w:tc>
        <w:tc>
          <w:tcPr>
            <w:tcW w:w="1498" w:type="dxa"/>
            <w:tcBorders>
              <w:top w:val="nil"/>
              <w:left w:val="nil"/>
              <w:bottom w:val="nil"/>
              <w:right w:val="nil"/>
            </w:tcBorders>
          </w:tcPr>
          <w:p w14:paraId="4FC91FA2" w14:textId="5E7CD4BA"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396" w:type="dxa"/>
            <w:tcBorders>
              <w:top w:val="nil"/>
              <w:left w:val="nil"/>
              <w:bottom w:val="nil"/>
              <w:right w:val="single" w:sz="12" w:space="0" w:color="auto"/>
            </w:tcBorders>
            <w:shd w:val="clear" w:color="auto" w:fill="auto"/>
            <w:noWrap/>
          </w:tcPr>
          <w:p w14:paraId="71CF5CDF" w14:textId="0B59BA7F"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434" w:type="dxa"/>
            <w:tcBorders>
              <w:top w:val="nil"/>
              <w:left w:val="single" w:sz="12" w:space="0" w:color="auto"/>
              <w:bottom w:val="nil"/>
            </w:tcBorders>
          </w:tcPr>
          <w:p w14:paraId="3B2ABABE" w14:textId="2DEEE6CC"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(0.140)</w:t>
            </w:r>
          </w:p>
        </w:tc>
        <w:tc>
          <w:tcPr>
            <w:tcW w:w="1390" w:type="dxa"/>
            <w:tcBorders>
              <w:top w:val="nil"/>
              <w:left w:val="nil"/>
              <w:bottom w:val="nil"/>
              <w:right w:val="nil"/>
            </w:tcBorders>
          </w:tcPr>
          <w:p w14:paraId="714ADBDE" w14:textId="7259FD90"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(0.172)</w:t>
            </w:r>
          </w:p>
        </w:tc>
        <w:tc>
          <w:tcPr>
            <w:tcW w:w="1426" w:type="dxa"/>
            <w:tcBorders>
              <w:top w:val="nil"/>
              <w:left w:val="nil"/>
              <w:bottom w:val="nil"/>
            </w:tcBorders>
          </w:tcPr>
          <w:p w14:paraId="5FE1D379" w14:textId="1460DF65"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6B9A1EB3" w14:textId="77777777" w:rsidTr="007467F2">
        <w:trPr>
          <w:trHeight w:val="71"/>
        </w:trPr>
        <w:tc>
          <w:tcPr>
            <w:tcW w:w="2806" w:type="dxa"/>
            <w:tcBorders>
              <w:top w:val="nil"/>
              <w:left w:val="nil"/>
              <w:bottom w:val="nil"/>
              <w:right w:val="nil"/>
            </w:tcBorders>
            <w:shd w:val="clear" w:color="auto" w:fill="auto"/>
            <w:noWrap/>
          </w:tcPr>
          <w:p w14:paraId="01D78354" w14:textId="269C11D9"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3D5F1C7" w14:textId="1CE0CF9F"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-2.179*</w:t>
            </w:r>
          </w:p>
        </w:tc>
        <w:tc>
          <w:tcPr>
            <w:tcW w:w="1498" w:type="dxa"/>
            <w:tcBorders>
              <w:top w:val="nil"/>
              <w:left w:val="nil"/>
              <w:bottom w:val="nil"/>
              <w:right w:val="nil"/>
            </w:tcBorders>
          </w:tcPr>
          <w:p w14:paraId="01A924FC" w14:textId="7E43D395"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-0.056</w:t>
            </w:r>
          </w:p>
        </w:tc>
        <w:tc>
          <w:tcPr>
            <w:tcW w:w="1396" w:type="dxa"/>
            <w:tcBorders>
              <w:top w:val="nil"/>
              <w:left w:val="nil"/>
              <w:bottom w:val="nil"/>
              <w:right w:val="single" w:sz="12" w:space="0" w:color="auto"/>
            </w:tcBorders>
            <w:shd w:val="clear" w:color="auto" w:fill="auto"/>
            <w:noWrap/>
          </w:tcPr>
          <w:p w14:paraId="50FC78D0" w14:textId="5618D886"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0.073</w:t>
            </w:r>
          </w:p>
        </w:tc>
        <w:tc>
          <w:tcPr>
            <w:tcW w:w="1434" w:type="dxa"/>
            <w:tcBorders>
              <w:top w:val="nil"/>
              <w:left w:val="single" w:sz="12" w:space="0" w:color="auto"/>
              <w:bottom w:val="nil"/>
            </w:tcBorders>
          </w:tcPr>
          <w:p w14:paraId="00B3B648" w14:textId="7D63AFBF"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-0.760</w:t>
            </w:r>
          </w:p>
        </w:tc>
        <w:tc>
          <w:tcPr>
            <w:tcW w:w="1390" w:type="dxa"/>
            <w:tcBorders>
              <w:top w:val="nil"/>
              <w:left w:val="nil"/>
              <w:bottom w:val="nil"/>
              <w:right w:val="nil"/>
            </w:tcBorders>
          </w:tcPr>
          <w:p w14:paraId="0964AA9F" w14:textId="41B88F05"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-1.467</w:t>
            </w:r>
          </w:p>
        </w:tc>
        <w:tc>
          <w:tcPr>
            <w:tcW w:w="1426" w:type="dxa"/>
            <w:tcBorders>
              <w:top w:val="nil"/>
              <w:left w:val="nil"/>
              <w:bottom w:val="nil"/>
            </w:tcBorders>
          </w:tcPr>
          <w:p w14:paraId="75F24DA8" w14:textId="024D436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0.080</w:t>
            </w:r>
          </w:p>
        </w:tc>
      </w:tr>
      <w:tr w:rsidR="00EE533D" w:rsidRPr="00EE533D" w14:paraId="544F7D04" w14:textId="77777777" w:rsidTr="007467F2">
        <w:trPr>
          <w:trHeight w:val="71"/>
        </w:trPr>
        <w:tc>
          <w:tcPr>
            <w:tcW w:w="2806" w:type="dxa"/>
            <w:tcBorders>
              <w:top w:val="nil"/>
              <w:left w:val="nil"/>
              <w:bottom w:val="nil"/>
              <w:right w:val="nil"/>
            </w:tcBorders>
            <w:shd w:val="clear" w:color="auto" w:fill="auto"/>
            <w:noWrap/>
          </w:tcPr>
          <w:p w14:paraId="1298BA95"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83A9BDB" w14:textId="1DB94818"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(1.125)</w:t>
            </w:r>
          </w:p>
        </w:tc>
        <w:tc>
          <w:tcPr>
            <w:tcW w:w="1498" w:type="dxa"/>
            <w:tcBorders>
              <w:top w:val="nil"/>
              <w:left w:val="nil"/>
              <w:bottom w:val="nil"/>
              <w:right w:val="nil"/>
            </w:tcBorders>
          </w:tcPr>
          <w:p w14:paraId="4B79DD1A" w14:textId="37506CA7"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(1.202)</w:t>
            </w:r>
          </w:p>
        </w:tc>
        <w:tc>
          <w:tcPr>
            <w:tcW w:w="1396" w:type="dxa"/>
            <w:tcBorders>
              <w:top w:val="nil"/>
              <w:left w:val="nil"/>
              <w:bottom w:val="nil"/>
              <w:right w:val="single" w:sz="12" w:space="0" w:color="auto"/>
            </w:tcBorders>
            <w:shd w:val="clear" w:color="auto" w:fill="auto"/>
            <w:noWrap/>
          </w:tcPr>
          <w:p w14:paraId="1D23FF4C" w14:textId="75CA7E03"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(0.206)</w:t>
            </w:r>
          </w:p>
        </w:tc>
        <w:tc>
          <w:tcPr>
            <w:tcW w:w="1434" w:type="dxa"/>
            <w:tcBorders>
              <w:top w:val="nil"/>
              <w:left w:val="single" w:sz="12" w:space="0" w:color="auto"/>
              <w:bottom w:val="nil"/>
            </w:tcBorders>
          </w:tcPr>
          <w:p w14:paraId="0905B9B7" w14:textId="1DD29F62"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(1.172)</w:t>
            </w:r>
          </w:p>
        </w:tc>
        <w:tc>
          <w:tcPr>
            <w:tcW w:w="1390" w:type="dxa"/>
            <w:tcBorders>
              <w:top w:val="nil"/>
              <w:left w:val="nil"/>
              <w:bottom w:val="nil"/>
              <w:right w:val="nil"/>
            </w:tcBorders>
          </w:tcPr>
          <w:p w14:paraId="3BB25050" w14:textId="138A0FFF"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(1.908)</w:t>
            </w:r>
          </w:p>
        </w:tc>
        <w:tc>
          <w:tcPr>
            <w:tcW w:w="1426" w:type="dxa"/>
            <w:tcBorders>
              <w:top w:val="nil"/>
              <w:left w:val="nil"/>
              <w:bottom w:val="nil"/>
            </w:tcBorders>
          </w:tcPr>
          <w:p w14:paraId="42BFD4B2" w14:textId="00BC5399"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(0.078)</w:t>
            </w:r>
          </w:p>
        </w:tc>
      </w:tr>
      <w:tr w:rsidR="00EE533D" w:rsidRPr="00EE533D" w14:paraId="622C8A44" w14:textId="77777777" w:rsidTr="007467F2">
        <w:trPr>
          <w:trHeight w:val="71"/>
        </w:trPr>
        <w:tc>
          <w:tcPr>
            <w:tcW w:w="2806" w:type="dxa"/>
            <w:tcBorders>
              <w:top w:val="nil"/>
              <w:left w:val="nil"/>
              <w:bottom w:val="nil"/>
              <w:right w:val="nil"/>
            </w:tcBorders>
            <w:shd w:val="clear" w:color="auto" w:fill="auto"/>
            <w:noWrap/>
          </w:tcPr>
          <w:p w14:paraId="087BDFD1" w14:textId="6A2E4AE2"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34614D8" w14:textId="05EC60D2"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-0.354</w:t>
            </w:r>
          </w:p>
        </w:tc>
        <w:tc>
          <w:tcPr>
            <w:tcW w:w="1498" w:type="dxa"/>
            <w:tcBorders>
              <w:top w:val="nil"/>
              <w:left w:val="nil"/>
              <w:bottom w:val="nil"/>
              <w:right w:val="nil"/>
            </w:tcBorders>
          </w:tcPr>
          <w:p w14:paraId="029A53A0" w14:textId="50D8BDD7"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0.307**</w:t>
            </w:r>
          </w:p>
        </w:tc>
        <w:tc>
          <w:tcPr>
            <w:tcW w:w="1396" w:type="dxa"/>
            <w:tcBorders>
              <w:top w:val="nil"/>
              <w:left w:val="nil"/>
              <w:bottom w:val="nil"/>
              <w:right w:val="single" w:sz="12" w:space="0" w:color="auto"/>
            </w:tcBorders>
            <w:shd w:val="clear" w:color="auto" w:fill="auto"/>
            <w:noWrap/>
          </w:tcPr>
          <w:p w14:paraId="7586DA98" w14:textId="2F2FC088"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34" w:type="dxa"/>
            <w:tcBorders>
              <w:top w:val="nil"/>
              <w:left w:val="single" w:sz="12" w:space="0" w:color="auto"/>
              <w:bottom w:val="nil"/>
            </w:tcBorders>
          </w:tcPr>
          <w:p w14:paraId="517CDF46" w14:textId="4CD3C48F"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-0.317</w:t>
            </w:r>
          </w:p>
        </w:tc>
        <w:tc>
          <w:tcPr>
            <w:tcW w:w="1390" w:type="dxa"/>
            <w:tcBorders>
              <w:top w:val="nil"/>
              <w:left w:val="nil"/>
              <w:bottom w:val="nil"/>
              <w:right w:val="nil"/>
            </w:tcBorders>
          </w:tcPr>
          <w:p w14:paraId="3E8E5A1F" w14:textId="74527858"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0.360*</w:t>
            </w:r>
          </w:p>
        </w:tc>
        <w:tc>
          <w:tcPr>
            <w:tcW w:w="1426" w:type="dxa"/>
            <w:tcBorders>
              <w:top w:val="nil"/>
              <w:left w:val="nil"/>
              <w:bottom w:val="nil"/>
            </w:tcBorders>
          </w:tcPr>
          <w:p w14:paraId="76241AFE" w14:textId="13C4AC1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r>
      <w:tr w:rsidR="00EE533D" w:rsidRPr="00EE533D" w14:paraId="0D56CB0D" w14:textId="77777777" w:rsidTr="007467F2">
        <w:trPr>
          <w:trHeight w:val="71"/>
        </w:trPr>
        <w:tc>
          <w:tcPr>
            <w:tcW w:w="2806" w:type="dxa"/>
            <w:tcBorders>
              <w:top w:val="nil"/>
              <w:left w:val="nil"/>
              <w:bottom w:val="nil"/>
              <w:right w:val="nil"/>
            </w:tcBorders>
            <w:shd w:val="clear" w:color="auto" w:fill="auto"/>
            <w:noWrap/>
          </w:tcPr>
          <w:p w14:paraId="61C1469E"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EBEF529" w14:textId="42E65BC8"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(0.191)</w:t>
            </w:r>
          </w:p>
        </w:tc>
        <w:tc>
          <w:tcPr>
            <w:tcW w:w="1498" w:type="dxa"/>
            <w:tcBorders>
              <w:top w:val="nil"/>
              <w:left w:val="nil"/>
              <w:bottom w:val="nil"/>
              <w:right w:val="nil"/>
            </w:tcBorders>
          </w:tcPr>
          <w:p w14:paraId="0ED016F7" w14:textId="5433DC4C"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(0.109)</w:t>
            </w:r>
          </w:p>
        </w:tc>
        <w:tc>
          <w:tcPr>
            <w:tcW w:w="1396" w:type="dxa"/>
            <w:tcBorders>
              <w:top w:val="nil"/>
              <w:left w:val="nil"/>
              <w:bottom w:val="nil"/>
              <w:right w:val="single" w:sz="12" w:space="0" w:color="auto"/>
            </w:tcBorders>
            <w:shd w:val="clear" w:color="auto" w:fill="auto"/>
            <w:noWrap/>
          </w:tcPr>
          <w:p w14:paraId="600DB8E0" w14:textId="15ED14A7"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34" w:type="dxa"/>
            <w:tcBorders>
              <w:top w:val="nil"/>
              <w:left w:val="single" w:sz="12" w:space="0" w:color="auto"/>
              <w:bottom w:val="nil"/>
            </w:tcBorders>
          </w:tcPr>
          <w:p w14:paraId="097A5D98" w14:textId="0AA904FD"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(0.182)</w:t>
            </w:r>
          </w:p>
        </w:tc>
        <w:tc>
          <w:tcPr>
            <w:tcW w:w="1390" w:type="dxa"/>
            <w:tcBorders>
              <w:top w:val="nil"/>
              <w:left w:val="nil"/>
              <w:bottom w:val="nil"/>
              <w:right w:val="nil"/>
            </w:tcBorders>
          </w:tcPr>
          <w:p w14:paraId="36653921" w14:textId="2496FC1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(0.159)</w:t>
            </w:r>
          </w:p>
        </w:tc>
        <w:tc>
          <w:tcPr>
            <w:tcW w:w="1426" w:type="dxa"/>
            <w:tcBorders>
              <w:top w:val="nil"/>
              <w:left w:val="nil"/>
              <w:bottom w:val="nil"/>
            </w:tcBorders>
          </w:tcPr>
          <w:p w14:paraId="644D8792" w14:textId="6CF4710F"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(0.024)</w:t>
            </w:r>
          </w:p>
        </w:tc>
      </w:tr>
      <w:tr w:rsidR="00EE533D" w:rsidRPr="00EE533D" w14:paraId="5D177B07" w14:textId="77777777" w:rsidTr="007467F2">
        <w:trPr>
          <w:trHeight w:val="71"/>
        </w:trPr>
        <w:tc>
          <w:tcPr>
            <w:tcW w:w="2806" w:type="dxa"/>
            <w:tcBorders>
              <w:top w:val="nil"/>
              <w:left w:val="nil"/>
              <w:bottom w:val="nil"/>
              <w:right w:val="nil"/>
            </w:tcBorders>
            <w:shd w:val="clear" w:color="auto" w:fill="auto"/>
            <w:noWrap/>
          </w:tcPr>
          <w:p w14:paraId="58A59A56" w14:textId="0CFBBEA9"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41EB3CD" w14:textId="73E49B2F"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498" w:type="dxa"/>
            <w:tcBorders>
              <w:top w:val="nil"/>
              <w:left w:val="nil"/>
              <w:bottom w:val="nil"/>
              <w:right w:val="nil"/>
            </w:tcBorders>
          </w:tcPr>
          <w:p w14:paraId="08E4A228" w14:textId="242245C0"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396" w:type="dxa"/>
            <w:tcBorders>
              <w:top w:val="nil"/>
              <w:left w:val="nil"/>
              <w:bottom w:val="nil"/>
              <w:right w:val="single" w:sz="12" w:space="0" w:color="auto"/>
            </w:tcBorders>
            <w:shd w:val="clear" w:color="auto" w:fill="auto"/>
            <w:noWrap/>
          </w:tcPr>
          <w:p w14:paraId="462D9479" w14:textId="51DA8AF9"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4" w:type="dxa"/>
            <w:tcBorders>
              <w:top w:val="nil"/>
              <w:left w:val="single" w:sz="12" w:space="0" w:color="auto"/>
              <w:bottom w:val="nil"/>
            </w:tcBorders>
          </w:tcPr>
          <w:p w14:paraId="5DA5CBC8" w14:textId="00BD69F6"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0.042</w:t>
            </w:r>
          </w:p>
        </w:tc>
        <w:tc>
          <w:tcPr>
            <w:tcW w:w="1390" w:type="dxa"/>
            <w:tcBorders>
              <w:top w:val="nil"/>
              <w:left w:val="nil"/>
              <w:bottom w:val="nil"/>
              <w:right w:val="nil"/>
            </w:tcBorders>
          </w:tcPr>
          <w:p w14:paraId="3C87B217" w14:textId="17BFC8AF"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426" w:type="dxa"/>
            <w:tcBorders>
              <w:top w:val="nil"/>
              <w:left w:val="nil"/>
              <w:bottom w:val="nil"/>
            </w:tcBorders>
          </w:tcPr>
          <w:p w14:paraId="3CC7EE8D" w14:textId="32B13000"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-0.011*</w:t>
            </w:r>
          </w:p>
        </w:tc>
      </w:tr>
      <w:tr w:rsidR="00EE533D" w:rsidRPr="00EE533D" w14:paraId="2801C29A" w14:textId="77777777" w:rsidTr="007467F2">
        <w:trPr>
          <w:trHeight w:val="71"/>
        </w:trPr>
        <w:tc>
          <w:tcPr>
            <w:tcW w:w="2806" w:type="dxa"/>
            <w:tcBorders>
              <w:top w:val="nil"/>
              <w:left w:val="nil"/>
              <w:bottom w:val="nil"/>
              <w:right w:val="nil"/>
            </w:tcBorders>
            <w:shd w:val="clear" w:color="auto" w:fill="auto"/>
            <w:noWrap/>
          </w:tcPr>
          <w:p w14:paraId="68D79348"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13A25E5" w14:textId="77E4E7BC"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(0.050)</w:t>
            </w:r>
          </w:p>
        </w:tc>
        <w:tc>
          <w:tcPr>
            <w:tcW w:w="1498" w:type="dxa"/>
            <w:tcBorders>
              <w:top w:val="nil"/>
              <w:left w:val="nil"/>
              <w:bottom w:val="nil"/>
              <w:right w:val="nil"/>
            </w:tcBorders>
          </w:tcPr>
          <w:p w14:paraId="1ECC9BE2" w14:textId="239B21D7"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(0.069)</w:t>
            </w:r>
          </w:p>
        </w:tc>
        <w:tc>
          <w:tcPr>
            <w:tcW w:w="1396" w:type="dxa"/>
            <w:tcBorders>
              <w:top w:val="nil"/>
              <w:left w:val="nil"/>
              <w:bottom w:val="nil"/>
              <w:right w:val="single" w:sz="12" w:space="0" w:color="auto"/>
            </w:tcBorders>
            <w:shd w:val="clear" w:color="auto" w:fill="auto"/>
            <w:noWrap/>
          </w:tcPr>
          <w:p w14:paraId="2A84F0D7" w14:textId="116E0967"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4" w:type="dxa"/>
            <w:tcBorders>
              <w:top w:val="nil"/>
              <w:left w:val="single" w:sz="12" w:space="0" w:color="auto"/>
              <w:bottom w:val="nil"/>
            </w:tcBorders>
          </w:tcPr>
          <w:p w14:paraId="49182360" w14:textId="43719C3A"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390" w:type="dxa"/>
            <w:tcBorders>
              <w:top w:val="nil"/>
              <w:left w:val="nil"/>
              <w:bottom w:val="nil"/>
              <w:right w:val="nil"/>
            </w:tcBorders>
          </w:tcPr>
          <w:p w14:paraId="3E11E75A" w14:textId="5DCA0FB6"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(0.061)</w:t>
            </w:r>
          </w:p>
        </w:tc>
        <w:tc>
          <w:tcPr>
            <w:tcW w:w="1426" w:type="dxa"/>
            <w:tcBorders>
              <w:top w:val="nil"/>
              <w:left w:val="nil"/>
              <w:bottom w:val="nil"/>
            </w:tcBorders>
          </w:tcPr>
          <w:p w14:paraId="4FE53A7E" w14:textId="702006C6"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(0.006)</w:t>
            </w:r>
          </w:p>
        </w:tc>
      </w:tr>
      <w:tr w:rsidR="00EE533D" w:rsidRPr="00EE533D" w14:paraId="0C2D01C7" w14:textId="77777777" w:rsidTr="007467F2">
        <w:trPr>
          <w:trHeight w:val="71"/>
        </w:trPr>
        <w:tc>
          <w:tcPr>
            <w:tcW w:w="2806" w:type="dxa"/>
            <w:tcBorders>
              <w:top w:val="nil"/>
              <w:left w:val="nil"/>
              <w:bottom w:val="nil"/>
              <w:right w:val="nil"/>
            </w:tcBorders>
            <w:shd w:val="clear" w:color="auto" w:fill="auto"/>
            <w:noWrap/>
          </w:tcPr>
          <w:p w14:paraId="669344B7" w14:textId="30CE04DB"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AC01837" w14:textId="3FF39EF6"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1.788</w:t>
            </w:r>
          </w:p>
        </w:tc>
        <w:tc>
          <w:tcPr>
            <w:tcW w:w="1498" w:type="dxa"/>
            <w:tcBorders>
              <w:top w:val="nil"/>
              <w:left w:val="nil"/>
              <w:bottom w:val="nil"/>
              <w:right w:val="nil"/>
            </w:tcBorders>
          </w:tcPr>
          <w:p w14:paraId="766DD9DB" w14:textId="00262BF9"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0.979</w:t>
            </w:r>
          </w:p>
        </w:tc>
        <w:tc>
          <w:tcPr>
            <w:tcW w:w="1396" w:type="dxa"/>
            <w:tcBorders>
              <w:top w:val="nil"/>
              <w:left w:val="nil"/>
              <w:bottom w:val="nil"/>
              <w:right w:val="single" w:sz="12" w:space="0" w:color="auto"/>
            </w:tcBorders>
            <w:shd w:val="clear" w:color="auto" w:fill="auto"/>
            <w:noWrap/>
          </w:tcPr>
          <w:p w14:paraId="6F4BABA1" w14:textId="53719273"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0.203</w:t>
            </w:r>
          </w:p>
        </w:tc>
        <w:tc>
          <w:tcPr>
            <w:tcW w:w="1434" w:type="dxa"/>
            <w:tcBorders>
              <w:top w:val="nil"/>
              <w:left w:val="single" w:sz="12" w:space="0" w:color="auto"/>
              <w:bottom w:val="nil"/>
            </w:tcBorders>
          </w:tcPr>
          <w:p w14:paraId="4504301B" w14:textId="7748551D"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1.612</w:t>
            </w:r>
          </w:p>
        </w:tc>
        <w:tc>
          <w:tcPr>
            <w:tcW w:w="1390" w:type="dxa"/>
            <w:tcBorders>
              <w:top w:val="nil"/>
              <w:left w:val="nil"/>
              <w:bottom w:val="nil"/>
              <w:right w:val="nil"/>
            </w:tcBorders>
          </w:tcPr>
          <w:p w14:paraId="4CB655F2" w14:textId="7971631A"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1.780</w:t>
            </w:r>
          </w:p>
        </w:tc>
        <w:tc>
          <w:tcPr>
            <w:tcW w:w="1426" w:type="dxa"/>
            <w:tcBorders>
              <w:top w:val="nil"/>
              <w:left w:val="nil"/>
              <w:bottom w:val="nil"/>
            </w:tcBorders>
          </w:tcPr>
          <w:p w14:paraId="0A0C1276" w14:textId="5D95D2F2"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0.046</w:t>
            </w:r>
          </w:p>
        </w:tc>
      </w:tr>
      <w:tr w:rsidR="00EE533D" w:rsidRPr="00EE533D" w14:paraId="0B88DA3F" w14:textId="77777777" w:rsidTr="007467F2">
        <w:trPr>
          <w:trHeight w:val="71"/>
        </w:trPr>
        <w:tc>
          <w:tcPr>
            <w:tcW w:w="2806" w:type="dxa"/>
            <w:tcBorders>
              <w:top w:val="nil"/>
              <w:left w:val="nil"/>
              <w:bottom w:val="nil"/>
              <w:right w:val="nil"/>
            </w:tcBorders>
            <w:shd w:val="clear" w:color="auto" w:fill="auto"/>
            <w:noWrap/>
          </w:tcPr>
          <w:p w14:paraId="35A9D8A8"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FE962B2" w14:textId="389ED2A6"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(1.063)</w:t>
            </w:r>
          </w:p>
        </w:tc>
        <w:tc>
          <w:tcPr>
            <w:tcW w:w="1498" w:type="dxa"/>
            <w:tcBorders>
              <w:top w:val="nil"/>
              <w:left w:val="nil"/>
              <w:bottom w:val="nil"/>
              <w:right w:val="nil"/>
            </w:tcBorders>
          </w:tcPr>
          <w:p w14:paraId="477C334F" w14:textId="4003F7C8"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(1.611)</w:t>
            </w:r>
          </w:p>
        </w:tc>
        <w:tc>
          <w:tcPr>
            <w:tcW w:w="1396" w:type="dxa"/>
            <w:tcBorders>
              <w:top w:val="nil"/>
              <w:left w:val="nil"/>
              <w:bottom w:val="nil"/>
              <w:right w:val="single" w:sz="12" w:space="0" w:color="auto"/>
            </w:tcBorders>
            <w:shd w:val="clear" w:color="auto" w:fill="auto"/>
            <w:noWrap/>
          </w:tcPr>
          <w:p w14:paraId="02C94614" w14:textId="73458673"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1434" w:type="dxa"/>
            <w:tcBorders>
              <w:top w:val="nil"/>
              <w:left w:val="single" w:sz="12" w:space="0" w:color="auto"/>
              <w:bottom w:val="nil"/>
            </w:tcBorders>
          </w:tcPr>
          <w:p w14:paraId="7E9221B6" w14:textId="0EB29DFB"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(1.157)</w:t>
            </w:r>
          </w:p>
        </w:tc>
        <w:tc>
          <w:tcPr>
            <w:tcW w:w="1390" w:type="dxa"/>
            <w:tcBorders>
              <w:top w:val="nil"/>
              <w:left w:val="nil"/>
              <w:bottom w:val="nil"/>
              <w:right w:val="nil"/>
            </w:tcBorders>
          </w:tcPr>
          <w:p w14:paraId="47244904" w14:textId="01EEBD7D"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(1.717)</w:t>
            </w:r>
          </w:p>
        </w:tc>
        <w:tc>
          <w:tcPr>
            <w:tcW w:w="1426" w:type="dxa"/>
            <w:tcBorders>
              <w:top w:val="nil"/>
              <w:left w:val="nil"/>
              <w:bottom w:val="nil"/>
            </w:tcBorders>
          </w:tcPr>
          <w:p w14:paraId="5611FFA2" w14:textId="6A592095"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(0.187)</w:t>
            </w:r>
          </w:p>
        </w:tc>
      </w:tr>
      <w:tr w:rsidR="00EE533D" w:rsidRPr="00EE533D" w14:paraId="378F3742" w14:textId="77777777" w:rsidTr="007467F2">
        <w:trPr>
          <w:trHeight w:val="71"/>
        </w:trPr>
        <w:tc>
          <w:tcPr>
            <w:tcW w:w="2806" w:type="dxa"/>
            <w:tcBorders>
              <w:top w:val="nil"/>
              <w:left w:val="nil"/>
              <w:bottom w:val="nil"/>
              <w:right w:val="nil"/>
            </w:tcBorders>
            <w:shd w:val="clear" w:color="auto" w:fill="auto"/>
            <w:noWrap/>
          </w:tcPr>
          <w:p w14:paraId="1C29680C" w14:textId="6A9D0685"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B8960EF" w14:textId="205BD7B3"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0.225</w:t>
            </w:r>
          </w:p>
        </w:tc>
        <w:tc>
          <w:tcPr>
            <w:tcW w:w="1498" w:type="dxa"/>
            <w:tcBorders>
              <w:top w:val="nil"/>
              <w:left w:val="nil"/>
              <w:bottom w:val="nil"/>
              <w:right w:val="nil"/>
            </w:tcBorders>
          </w:tcPr>
          <w:p w14:paraId="6058A317" w14:textId="7E6EA65F"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0.271</w:t>
            </w:r>
          </w:p>
        </w:tc>
        <w:tc>
          <w:tcPr>
            <w:tcW w:w="1396" w:type="dxa"/>
            <w:tcBorders>
              <w:top w:val="nil"/>
              <w:left w:val="nil"/>
              <w:bottom w:val="nil"/>
              <w:right w:val="single" w:sz="12" w:space="0" w:color="auto"/>
            </w:tcBorders>
            <w:shd w:val="clear" w:color="auto" w:fill="auto"/>
            <w:noWrap/>
          </w:tcPr>
          <w:p w14:paraId="43758358" w14:textId="75F17B20"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-0.065</w:t>
            </w:r>
          </w:p>
        </w:tc>
        <w:tc>
          <w:tcPr>
            <w:tcW w:w="1434" w:type="dxa"/>
            <w:tcBorders>
              <w:top w:val="nil"/>
              <w:left w:val="single" w:sz="12" w:space="0" w:color="auto"/>
              <w:bottom w:val="nil"/>
            </w:tcBorders>
          </w:tcPr>
          <w:p w14:paraId="0E3CA695" w14:textId="61129D48"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0.169</w:t>
            </w:r>
          </w:p>
        </w:tc>
        <w:tc>
          <w:tcPr>
            <w:tcW w:w="1390" w:type="dxa"/>
            <w:tcBorders>
              <w:top w:val="nil"/>
              <w:left w:val="nil"/>
              <w:bottom w:val="nil"/>
              <w:right w:val="nil"/>
            </w:tcBorders>
          </w:tcPr>
          <w:p w14:paraId="47CF4CEA" w14:textId="12B7484E"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0.109</w:t>
            </w:r>
          </w:p>
        </w:tc>
        <w:tc>
          <w:tcPr>
            <w:tcW w:w="1426" w:type="dxa"/>
            <w:tcBorders>
              <w:top w:val="nil"/>
              <w:left w:val="nil"/>
              <w:bottom w:val="nil"/>
            </w:tcBorders>
          </w:tcPr>
          <w:p w14:paraId="76C67BFB" w14:textId="4C9E32AA"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-0.159*</w:t>
            </w:r>
          </w:p>
        </w:tc>
      </w:tr>
      <w:tr w:rsidR="00EE533D" w:rsidRPr="00EE533D" w14:paraId="47C2E09F" w14:textId="77777777" w:rsidTr="007467F2">
        <w:trPr>
          <w:trHeight w:val="71"/>
        </w:trPr>
        <w:tc>
          <w:tcPr>
            <w:tcW w:w="2806" w:type="dxa"/>
            <w:tcBorders>
              <w:top w:val="nil"/>
              <w:left w:val="nil"/>
              <w:bottom w:val="nil"/>
              <w:right w:val="nil"/>
            </w:tcBorders>
            <w:shd w:val="clear" w:color="auto" w:fill="auto"/>
            <w:noWrap/>
          </w:tcPr>
          <w:p w14:paraId="0C47A82F"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40BD84F" w14:textId="0299EC72" w:rsidR="00D8651B" w:rsidRPr="00EE533D" w:rsidRDefault="00D8651B" w:rsidP="00D8651B">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(0.522)</w:t>
            </w:r>
          </w:p>
        </w:tc>
        <w:tc>
          <w:tcPr>
            <w:tcW w:w="1498" w:type="dxa"/>
            <w:tcBorders>
              <w:top w:val="nil"/>
              <w:left w:val="nil"/>
              <w:bottom w:val="nil"/>
              <w:right w:val="nil"/>
            </w:tcBorders>
          </w:tcPr>
          <w:p w14:paraId="4576223F" w14:textId="66108F74" w:rsidR="00D8651B" w:rsidRPr="00EE533D" w:rsidRDefault="00D8651B" w:rsidP="00D8651B">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(0.841)</w:t>
            </w:r>
          </w:p>
        </w:tc>
        <w:tc>
          <w:tcPr>
            <w:tcW w:w="1396" w:type="dxa"/>
            <w:tcBorders>
              <w:top w:val="nil"/>
              <w:left w:val="nil"/>
              <w:bottom w:val="nil"/>
              <w:right w:val="single" w:sz="12" w:space="0" w:color="auto"/>
            </w:tcBorders>
            <w:shd w:val="clear" w:color="auto" w:fill="auto"/>
            <w:noWrap/>
          </w:tcPr>
          <w:p w14:paraId="600C92AB" w14:textId="245C49C4" w:rsidR="00D8651B" w:rsidRPr="00EE533D" w:rsidRDefault="00D8651B" w:rsidP="00D8651B">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(0.080)</w:t>
            </w:r>
          </w:p>
        </w:tc>
        <w:tc>
          <w:tcPr>
            <w:tcW w:w="1434" w:type="dxa"/>
            <w:tcBorders>
              <w:top w:val="nil"/>
              <w:left w:val="single" w:sz="12" w:space="0" w:color="auto"/>
              <w:bottom w:val="nil"/>
            </w:tcBorders>
          </w:tcPr>
          <w:p w14:paraId="5D638469" w14:textId="69BAA5AA" w:rsidR="00D8651B" w:rsidRPr="00EE533D" w:rsidRDefault="00D8651B" w:rsidP="00D8651B">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(0.526)</w:t>
            </w:r>
          </w:p>
        </w:tc>
        <w:tc>
          <w:tcPr>
            <w:tcW w:w="1390" w:type="dxa"/>
            <w:tcBorders>
              <w:top w:val="nil"/>
              <w:left w:val="nil"/>
              <w:bottom w:val="nil"/>
              <w:right w:val="nil"/>
            </w:tcBorders>
          </w:tcPr>
          <w:p w14:paraId="4DDB8543" w14:textId="17983B63" w:rsidR="00D8651B" w:rsidRPr="00EE533D" w:rsidRDefault="00D8651B" w:rsidP="00D8651B">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(0.613)</w:t>
            </w:r>
          </w:p>
        </w:tc>
        <w:tc>
          <w:tcPr>
            <w:tcW w:w="1426" w:type="dxa"/>
            <w:tcBorders>
              <w:top w:val="nil"/>
              <w:left w:val="nil"/>
              <w:bottom w:val="nil"/>
            </w:tcBorders>
          </w:tcPr>
          <w:p w14:paraId="7994425D" w14:textId="7CE2722E" w:rsidR="00D8651B" w:rsidRPr="00EE533D" w:rsidRDefault="00D8651B" w:rsidP="00D8651B">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(0.082)</w:t>
            </w:r>
          </w:p>
        </w:tc>
      </w:tr>
      <w:tr w:rsidR="00EE533D" w:rsidRPr="00EE533D" w14:paraId="121C68DF" w14:textId="77777777" w:rsidTr="007467F2">
        <w:trPr>
          <w:trHeight w:val="71"/>
        </w:trPr>
        <w:tc>
          <w:tcPr>
            <w:tcW w:w="2806" w:type="dxa"/>
            <w:tcBorders>
              <w:top w:val="nil"/>
              <w:left w:val="nil"/>
              <w:bottom w:val="nil"/>
              <w:right w:val="nil"/>
            </w:tcBorders>
            <w:shd w:val="clear" w:color="auto" w:fill="auto"/>
            <w:noWrap/>
          </w:tcPr>
          <w:p w14:paraId="55B8717C" w14:textId="73292E42" w:rsidR="00D8651B" w:rsidRPr="00EE533D" w:rsidRDefault="00D8651B" w:rsidP="00D8651B">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1FE691FE" w14:textId="0E0A5BD6"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-8.831</w:t>
            </w:r>
          </w:p>
        </w:tc>
        <w:tc>
          <w:tcPr>
            <w:tcW w:w="1498" w:type="dxa"/>
            <w:tcBorders>
              <w:top w:val="nil"/>
              <w:left w:val="nil"/>
              <w:bottom w:val="nil"/>
              <w:right w:val="nil"/>
            </w:tcBorders>
          </w:tcPr>
          <w:p w14:paraId="6B7B7EFC" w14:textId="2E8B69AA"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30.418</w:t>
            </w:r>
          </w:p>
        </w:tc>
        <w:tc>
          <w:tcPr>
            <w:tcW w:w="1396" w:type="dxa"/>
            <w:tcBorders>
              <w:top w:val="nil"/>
              <w:left w:val="nil"/>
              <w:bottom w:val="nil"/>
              <w:right w:val="single" w:sz="12" w:space="0" w:color="auto"/>
            </w:tcBorders>
            <w:shd w:val="clear" w:color="auto" w:fill="auto"/>
            <w:noWrap/>
          </w:tcPr>
          <w:p w14:paraId="7BC36ED9" w14:textId="77483828"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-1.371</w:t>
            </w:r>
          </w:p>
        </w:tc>
        <w:tc>
          <w:tcPr>
            <w:tcW w:w="1434" w:type="dxa"/>
            <w:tcBorders>
              <w:top w:val="nil"/>
              <w:left w:val="single" w:sz="12" w:space="0" w:color="auto"/>
              <w:bottom w:val="nil"/>
            </w:tcBorders>
          </w:tcPr>
          <w:p w14:paraId="13806ADA" w14:textId="2F14BA4F"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-14.490</w:t>
            </w:r>
          </w:p>
        </w:tc>
        <w:tc>
          <w:tcPr>
            <w:tcW w:w="1390" w:type="dxa"/>
            <w:tcBorders>
              <w:top w:val="nil"/>
              <w:left w:val="nil"/>
              <w:bottom w:val="nil"/>
              <w:right w:val="nil"/>
            </w:tcBorders>
          </w:tcPr>
          <w:p w14:paraId="408FF5F3" w14:textId="24B53DA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47.360***</w:t>
            </w:r>
          </w:p>
        </w:tc>
        <w:tc>
          <w:tcPr>
            <w:tcW w:w="1426" w:type="dxa"/>
            <w:tcBorders>
              <w:top w:val="nil"/>
              <w:left w:val="nil"/>
              <w:bottom w:val="nil"/>
            </w:tcBorders>
          </w:tcPr>
          <w:p w14:paraId="6DDB536D" w14:textId="16819022"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-2.899***</w:t>
            </w:r>
          </w:p>
        </w:tc>
      </w:tr>
      <w:tr w:rsidR="00EE533D" w:rsidRPr="00EE533D" w14:paraId="12A8C076" w14:textId="77777777" w:rsidTr="007467F2">
        <w:trPr>
          <w:trHeight w:val="71"/>
        </w:trPr>
        <w:tc>
          <w:tcPr>
            <w:tcW w:w="2806" w:type="dxa"/>
            <w:tcBorders>
              <w:top w:val="nil"/>
              <w:left w:val="nil"/>
              <w:bottom w:val="nil"/>
              <w:right w:val="nil"/>
            </w:tcBorders>
            <w:shd w:val="clear" w:color="auto" w:fill="auto"/>
            <w:noWrap/>
          </w:tcPr>
          <w:p w14:paraId="66EFF89E" w14:textId="77777777" w:rsidR="00D8651B" w:rsidRPr="00EE533D" w:rsidRDefault="00D8651B" w:rsidP="00D8651B">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F21BBCA" w14:textId="404F269D"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(14.194)</w:t>
            </w:r>
          </w:p>
        </w:tc>
        <w:tc>
          <w:tcPr>
            <w:tcW w:w="1498" w:type="dxa"/>
            <w:tcBorders>
              <w:top w:val="nil"/>
              <w:left w:val="nil"/>
              <w:bottom w:val="nil"/>
              <w:right w:val="nil"/>
            </w:tcBorders>
          </w:tcPr>
          <w:p w14:paraId="6C2DE78E" w14:textId="24AA1B1E"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(16.878)</w:t>
            </w:r>
          </w:p>
        </w:tc>
        <w:tc>
          <w:tcPr>
            <w:tcW w:w="1396" w:type="dxa"/>
            <w:tcBorders>
              <w:top w:val="nil"/>
              <w:left w:val="nil"/>
              <w:bottom w:val="nil"/>
              <w:right w:val="single" w:sz="12" w:space="0" w:color="auto"/>
            </w:tcBorders>
            <w:shd w:val="clear" w:color="auto" w:fill="auto"/>
            <w:noWrap/>
          </w:tcPr>
          <w:p w14:paraId="3819351D" w14:textId="065522BC"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(0.942)</w:t>
            </w:r>
          </w:p>
        </w:tc>
        <w:tc>
          <w:tcPr>
            <w:tcW w:w="1434" w:type="dxa"/>
            <w:tcBorders>
              <w:top w:val="nil"/>
              <w:left w:val="single" w:sz="12" w:space="0" w:color="auto"/>
              <w:bottom w:val="nil"/>
            </w:tcBorders>
          </w:tcPr>
          <w:p w14:paraId="3A175D32" w14:textId="582881AD"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(15.018)</w:t>
            </w:r>
          </w:p>
        </w:tc>
        <w:tc>
          <w:tcPr>
            <w:tcW w:w="1390" w:type="dxa"/>
            <w:tcBorders>
              <w:top w:val="nil"/>
              <w:left w:val="nil"/>
              <w:bottom w:val="nil"/>
              <w:right w:val="nil"/>
            </w:tcBorders>
          </w:tcPr>
          <w:p w14:paraId="2D5F21D4" w14:textId="1B741D07"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(10.188)</w:t>
            </w:r>
          </w:p>
        </w:tc>
        <w:tc>
          <w:tcPr>
            <w:tcW w:w="1426" w:type="dxa"/>
            <w:tcBorders>
              <w:top w:val="nil"/>
              <w:left w:val="nil"/>
              <w:bottom w:val="nil"/>
            </w:tcBorders>
          </w:tcPr>
          <w:p w14:paraId="35A1939D" w14:textId="68A6825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(0.804)</w:t>
            </w:r>
          </w:p>
        </w:tc>
      </w:tr>
      <w:tr w:rsidR="00EE533D" w:rsidRPr="00EE533D" w14:paraId="5B35F77F" w14:textId="77777777" w:rsidTr="007467F2">
        <w:trPr>
          <w:trHeight w:val="71"/>
        </w:trPr>
        <w:tc>
          <w:tcPr>
            <w:tcW w:w="2806" w:type="dxa"/>
            <w:tcBorders>
              <w:top w:val="nil"/>
              <w:left w:val="nil"/>
              <w:bottom w:val="nil"/>
              <w:right w:val="nil"/>
            </w:tcBorders>
            <w:shd w:val="clear" w:color="auto" w:fill="auto"/>
            <w:noWrap/>
            <w:vAlign w:val="bottom"/>
          </w:tcPr>
          <w:p w14:paraId="6EEC1AD9" w14:textId="7965AC76"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2CEE892" w14:textId="2BC23027"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98" w:type="dxa"/>
            <w:tcBorders>
              <w:top w:val="nil"/>
              <w:left w:val="nil"/>
              <w:bottom w:val="nil"/>
              <w:right w:val="nil"/>
            </w:tcBorders>
          </w:tcPr>
          <w:p w14:paraId="06BD1F0E" w14:textId="3E00B15C"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-0.463**</w:t>
            </w:r>
          </w:p>
        </w:tc>
        <w:tc>
          <w:tcPr>
            <w:tcW w:w="1396" w:type="dxa"/>
            <w:tcBorders>
              <w:top w:val="nil"/>
              <w:left w:val="nil"/>
              <w:bottom w:val="nil"/>
              <w:right w:val="single" w:sz="12" w:space="0" w:color="auto"/>
            </w:tcBorders>
            <w:shd w:val="clear" w:color="auto" w:fill="auto"/>
            <w:noWrap/>
          </w:tcPr>
          <w:p w14:paraId="205D12DC" w14:textId="2692FE82"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34" w:type="dxa"/>
            <w:tcBorders>
              <w:top w:val="nil"/>
              <w:left w:val="single" w:sz="12" w:space="0" w:color="auto"/>
              <w:bottom w:val="nil"/>
            </w:tcBorders>
          </w:tcPr>
          <w:p w14:paraId="2DA9534C" w14:textId="0E2DD26B"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390" w:type="dxa"/>
            <w:tcBorders>
              <w:top w:val="nil"/>
              <w:left w:val="nil"/>
              <w:bottom w:val="nil"/>
              <w:right w:val="nil"/>
            </w:tcBorders>
          </w:tcPr>
          <w:p w14:paraId="53ED4820" w14:textId="5A628DEE"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-0.233**</w:t>
            </w:r>
          </w:p>
        </w:tc>
        <w:tc>
          <w:tcPr>
            <w:tcW w:w="1426" w:type="dxa"/>
            <w:tcBorders>
              <w:top w:val="nil"/>
              <w:left w:val="nil"/>
              <w:bottom w:val="nil"/>
            </w:tcBorders>
          </w:tcPr>
          <w:p w14:paraId="50F4D255" w14:textId="1AFDEDD4"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1A1D8AE3" w14:textId="77777777" w:rsidTr="007467F2">
        <w:trPr>
          <w:trHeight w:val="71"/>
        </w:trPr>
        <w:tc>
          <w:tcPr>
            <w:tcW w:w="2806" w:type="dxa"/>
            <w:tcBorders>
              <w:top w:val="nil"/>
              <w:left w:val="nil"/>
              <w:bottom w:val="nil"/>
              <w:right w:val="nil"/>
            </w:tcBorders>
            <w:shd w:val="clear" w:color="auto" w:fill="auto"/>
            <w:noWrap/>
            <w:vAlign w:val="bottom"/>
          </w:tcPr>
          <w:p w14:paraId="40649D33"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EEF941A" w14:textId="0B1B7851"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(0.122)</w:t>
            </w:r>
          </w:p>
        </w:tc>
        <w:tc>
          <w:tcPr>
            <w:tcW w:w="1498" w:type="dxa"/>
            <w:tcBorders>
              <w:top w:val="nil"/>
              <w:left w:val="nil"/>
              <w:bottom w:val="nil"/>
              <w:right w:val="nil"/>
            </w:tcBorders>
          </w:tcPr>
          <w:p w14:paraId="78119CD5" w14:textId="2C6FD697"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(0.140)</w:t>
            </w:r>
          </w:p>
        </w:tc>
        <w:tc>
          <w:tcPr>
            <w:tcW w:w="1396" w:type="dxa"/>
            <w:tcBorders>
              <w:top w:val="nil"/>
              <w:left w:val="nil"/>
              <w:bottom w:val="nil"/>
              <w:right w:val="single" w:sz="12" w:space="0" w:color="auto"/>
            </w:tcBorders>
            <w:shd w:val="clear" w:color="auto" w:fill="auto"/>
            <w:noWrap/>
          </w:tcPr>
          <w:p w14:paraId="56BA8D17" w14:textId="573C35A2"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34" w:type="dxa"/>
            <w:tcBorders>
              <w:top w:val="nil"/>
              <w:left w:val="single" w:sz="12" w:space="0" w:color="auto"/>
              <w:bottom w:val="nil"/>
            </w:tcBorders>
          </w:tcPr>
          <w:p w14:paraId="4DC392FB" w14:textId="13F8D7B6"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(0.131)</w:t>
            </w:r>
          </w:p>
        </w:tc>
        <w:tc>
          <w:tcPr>
            <w:tcW w:w="1390" w:type="dxa"/>
            <w:tcBorders>
              <w:top w:val="nil"/>
              <w:left w:val="nil"/>
              <w:bottom w:val="nil"/>
              <w:right w:val="nil"/>
            </w:tcBorders>
          </w:tcPr>
          <w:p w14:paraId="62EA890A" w14:textId="369832EF"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(0.070)</w:t>
            </w:r>
          </w:p>
        </w:tc>
        <w:tc>
          <w:tcPr>
            <w:tcW w:w="1426" w:type="dxa"/>
            <w:tcBorders>
              <w:top w:val="nil"/>
              <w:left w:val="nil"/>
              <w:bottom w:val="nil"/>
            </w:tcBorders>
          </w:tcPr>
          <w:p w14:paraId="5A982703" w14:textId="3BD8822F"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r>
      <w:tr w:rsidR="00EE533D" w:rsidRPr="00EE533D" w14:paraId="601DA1C4" w14:textId="77777777" w:rsidTr="007467F2">
        <w:trPr>
          <w:trHeight w:val="71"/>
        </w:trPr>
        <w:tc>
          <w:tcPr>
            <w:tcW w:w="2806" w:type="dxa"/>
            <w:tcBorders>
              <w:top w:val="nil"/>
              <w:left w:val="nil"/>
              <w:bottom w:val="nil"/>
              <w:right w:val="nil"/>
            </w:tcBorders>
            <w:shd w:val="clear" w:color="auto" w:fill="auto"/>
            <w:noWrap/>
            <w:vAlign w:val="bottom"/>
          </w:tcPr>
          <w:p w14:paraId="7A65F669" w14:textId="37C2C614"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4AB1314" w14:textId="7F4B3FE8"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-0.343***</w:t>
            </w:r>
          </w:p>
        </w:tc>
        <w:tc>
          <w:tcPr>
            <w:tcW w:w="1498" w:type="dxa"/>
            <w:tcBorders>
              <w:top w:val="nil"/>
              <w:left w:val="nil"/>
              <w:bottom w:val="nil"/>
              <w:right w:val="nil"/>
            </w:tcBorders>
          </w:tcPr>
          <w:p w14:paraId="2207C6B3" w14:textId="123D5C67"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-0.308</w:t>
            </w:r>
          </w:p>
        </w:tc>
        <w:tc>
          <w:tcPr>
            <w:tcW w:w="1396" w:type="dxa"/>
            <w:tcBorders>
              <w:top w:val="nil"/>
              <w:left w:val="nil"/>
              <w:bottom w:val="nil"/>
              <w:right w:val="single" w:sz="12" w:space="0" w:color="auto"/>
            </w:tcBorders>
            <w:shd w:val="clear" w:color="auto" w:fill="auto"/>
            <w:noWrap/>
          </w:tcPr>
          <w:p w14:paraId="1F5E921A" w14:textId="646D1A49"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0A17B774" w14:textId="35B8C585"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-0.345*</w:t>
            </w:r>
          </w:p>
        </w:tc>
        <w:tc>
          <w:tcPr>
            <w:tcW w:w="1390" w:type="dxa"/>
            <w:tcBorders>
              <w:top w:val="nil"/>
              <w:left w:val="nil"/>
              <w:bottom w:val="nil"/>
              <w:right w:val="nil"/>
            </w:tcBorders>
          </w:tcPr>
          <w:p w14:paraId="4AE5A5F8" w14:textId="65DEA8D2"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-0.136</w:t>
            </w:r>
          </w:p>
        </w:tc>
        <w:tc>
          <w:tcPr>
            <w:tcW w:w="1426" w:type="dxa"/>
            <w:tcBorders>
              <w:top w:val="nil"/>
              <w:left w:val="nil"/>
              <w:bottom w:val="nil"/>
            </w:tcBorders>
          </w:tcPr>
          <w:p w14:paraId="671D0A36" w14:textId="49EB73B4"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0.022</w:t>
            </w:r>
          </w:p>
        </w:tc>
      </w:tr>
      <w:tr w:rsidR="00EE533D" w:rsidRPr="00EE533D" w14:paraId="710BAC64" w14:textId="77777777" w:rsidTr="007467F2">
        <w:trPr>
          <w:trHeight w:val="71"/>
        </w:trPr>
        <w:tc>
          <w:tcPr>
            <w:tcW w:w="2806" w:type="dxa"/>
            <w:tcBorders>
              <w:top w:val="nil"/>
              <w:left w:val="nil"/>
              <w:bottom w:val="nil"/>
              <w:right w:val="nil"/>
            </w:tcBorders>
            <w:shd w:val="clear" w:color="auto" w:fill="auto"/>
            <w:noWrap/>
            <w:vAlign w:val="bottom"/>
          </w:tcPr>
          <w:p w14:paraId="6BD3C879"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6BEB5DB" w14:textId="173A2923"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(0.096)</w:t>
            </w:r>
          </w:p>
        </w:tc>
        <w:tc>
          <w:tcPr>
            <w:tcW w:w="1498" w:type="dxa"/>
            <w:tcBorders>
              <w:top w:val="nil"/>
              <w:left w:val="nil"/>
              <w:bottom w:val="nil"/>
              <w:right w:val="nil"/>
            </w:tcBorders>
          </w:tcPr>
          <w:p w14:paraId="4D535B9D" w14:textId="5F433B29"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(0.255)</w:t>
            </w:r>
          </w:p>
        </w:tc>
        <w:tc>
          <w:tcPr>
            <w:tcW w:w="1396" w:type="dxa"/>
            <w:tcBorders>
              <w:top w:val="nil"/>
              <w:left w:val="nil"/>
              <w:bottom w:val="nil"/>
              <w:right w:val="single" w:sz="12" w:space="0" w:color="auto"/>
            </w:tcBorders>
            <w:shd w:val="clear" w:color="auto" w:fill="auto"/>
            <w:noWrap/>
          </w:tcPr>
          <w:p w14:paraId="11EE73B3" w14:textId="37914628"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4" w:type="dxa"/>
            <w:tcBorders>
              <w:top w:val="nil"/>
              <w:left w:val="single" w:sz="12" w:space="0" w:color="auto"/>
              <w:bottom w:val="nil"/>
            </w:tcBorders>
          </w:tcPr>
          <w:p w14:paraId="03D94F75" w14:textId="0DCE8DA9"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(0.161)</w:t>
            </w:r>
          </w:p>
        </w:tc>
        <w:tc>
          <w:tcPr>
            <w:tcW w:w="1390" w:type="dxa"/>
            <w:tcBorders>
              <w:top w:val="nil"/>
              <w:left w:val="nil"/>
              <w:bottom w:val="nil"/>
              <w:right w:val="nil"/>
            </w:tcBorders>
          </w:tcPr>
          <w:p w14:paraId="42C9DC2C" w14:textId="2419EBD8"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(0.173)</w:t>
            </w:r>
          </w:p>
        </w:tc>
        <w:tc>
          <w:tcPr>
            <w:tcW w:w="1426" w:type="dxa"/>
            <w:tcBorders>
              <w:top w:val="nil"/>
              <w:left w:val="nil"/>
              <w:bottom w:val="nil"/>
            </w:tcBorders>
          </w:tcPr>
          <w:p w14:paraId="55106551" w14:textId="7B6D3FE4"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r>
      <w:tr w:rsidR="00EE533D" w:rsidRPr="00EE533D" w14:paraId="4D130C66" w14:textId="77777777" w:rsidTr="007467F2">
        <w:trPr>
          <w:trHeight w:val="71"/>
        </w:trPr>
        <w:tc>
          <w:tcPr>
            <w:tcW w:w="2806" w:type="dxa"/>
            <w:tcBorders>
              <w:top w:val="nil"/>
              <w:left w:val="nil"/>
              <w:bottom w:val="nil"/>
              <w:right w:val="nil"/>
            </w:tcBorders>
            <w:shd w:val="clear" w:color="auto" w:fill="auto"/>
            <w:noWrap/>
            <w:vAlign w:val="bottom"/>
          </w:tcPr>
          <w:p w14:paraId="67E15B9B" w14:textId="15E2627A"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4B843D13" w14:textId="29F01F05"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150.407</w:t>
            </w:r>
          </w:p>
        </w:tc>
        <w:tc>
          <w:tcPr>
            <w:tcW w:w="1498" w:type="dxa"/>
            <w:tcBorders>
              <w:top w:val="nil"/>
              <w:left w:val="nil"/>
              <w:bottom w:val="nil"/>
              <w:right w:val="nil"/>
            </w:tcBorders>
          </w:tcPr>
          <w:p w14:paraId="2B27CDBB" w14:textId="460D4F2C"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-254.415</w:t>
            </w:r>
          </w:p>
        </w:tc>
        <w:tc>
          <w:tcPr>
            <w:tcW w:w="1396" w:type="dxa"/>
            <w:tcBorders>
              <w:top w:val="nil"/>
              <w:left w:val="nil"/>
              <w:bottom w:val="nil"/>
              <w:right w:val="single" w:sz="12" w:space="0" w:color="auto"/>
            </w:tcBorders>
            <w:shd w:val="clear" w:color="auto" w:fill="auto"/>
            <w:noWrap/>
          </w:tcPr>
          <w:p w14:paraId="310C51E1" w14:textId="1A6671B4"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14.531</w:t>
            </w:r>
          </w:p>
        </w:tc>
        <w:tc>
          <w:tcPr>
            <w:tcW w:w="1434" w:type="dxa"/>
            <w:tcBorders>
              <w:top w:val="nil"/>
              <w:left w:val="single" w:sz="12" w:space="0" w:color="auto"/>
              <w:bottom w:val="nil"/>
            </w:tcBorders>
          </w:tcPr>
          <w:p w14:paraId="40AE0180" w14:textId="0E5D4954"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202.339</w:t>
            </w:r>
          </w:p>
        </w:tc>
        <w:tc>
          <w:tcPr>
            <w:tcW w:w="1390" w:type="dxa"/>
            <w:tcBorders>
              <w:top w:val="nil"/>
              <w:left w:val="nil"/>
              <w:bottom w:val="nil"/>
              <w:right w:val="nil"/>
            </w:tcBorders>
          </w:tcPr>
          <w:p w14:paraId="6E7C6064" w14:textId="501126D1"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-420.874***</w:t>
            </w:r>
          </w:p>
        </w:tc>
        <w:tc>
          <w:tcPr>
            <w:tcW w:w="1426" w:type="dxa"/>
            <w:tcBorders>
              <w:top w:val="nil"/>
              <w:left w:val="nil"/>
              <w:bottom w:val="nil"/>
            </w:tcBorders>
          </w:tcPr>
          <w:p w14:paraId="348AD4D0" w14:textId="6B13AF3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31.756**</w:t>
            </w:r>
          </w:p>
        </w:tc>
      </w:tr>
      <w:tr w:rsidR="00EE533D" w:rsidRPr="00EE533D" w14:paraId="4BB180C3" w14:textId="77777777" w:rsidTr="007467F2">
        <w:trPr>
          <w:trHeight w:val="71"/>
        </w:trPr>
        <w:tc>
          <w:tcPr>
            <w:tcW w:w="2806" w:type="dxa"/>
            <w:tcBorders>
              <w:top w:val="nil"/>
              <w:left w:val="nil"/>
              <w:bottom w:val="single" w:sz="12" w:space="0" w:color="auto"/>
              <w:right w:val="nil"/>
            </w:tcBorders>
            <w:shd w:val="clear" w:color="auto" w:fill="auto"/>
            <w:noWrap/>
            <w:vAlign w:val="bottom"/>
          </w:tcPr>
          <w:p w14:paraId="6ECF80EA" w14:textId="7777777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single" w:sz="12" w:space="0" w:color="auto"/>
              <w:right w:val="nil"/>
            </w:tcBorders>
            <w:shd w:val="clear" w:color="auto" w:fill="auto"/>
            <w:noWrap/>
          </w:tcPr>
          <w:p w14:paraId="29918560" w14:textId="20989C2A" w:rsidR="00D8651B" w:rsidRPr="00EE533D" w:rsidRDefault="00D8651B" w:rsidP="00D8651B">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(134.145)</w:t>
            </w:r>
          </w:p>
        </w:tc>
        <w:tc>
          <w:tcPr>
            <w:tcW w:w="1498" w:type="dxa"/>
            <w:tcBorders>
              <w:top w:val="nil"/>
              <w:left w:val="nil"/>
              <w:bottom w:val="single" w:sz="12" w:space="0" w:color="auto"/>
              <w:right w:val="nil"/>
            </w:tcBorders>
          </w:tcPr>
          <w:p w14:paraId="4EB66ACC" w14:textId="6CDB1C46" w:rsidR="00D8651B" w:rsidRPr="00EE533D" w:rsidRDefault="00D8651B" w:rsidP="00D8651B">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(162.485)</w:t>
            </w:r>
          </w:p>
        </w:tc>
        <w:tc>
          <w:tcPr>
            <w:tcW w:w="1396" w:type="dxa"/>
            <w:tcBorders>
              <w:top w:val="nil"/>
              <w:left w:val="nil"/>
              <w:bottom w:val="single" w:sz="12" w:space="0" w:color="auto"/>
              <w:right w:val="single" w:sz="12" w:space="0" w:color="auto"/>
            </w:tcBorders>
            <w:shd w:val="clear" w:color="auto" w:fill="auto"/>
            <w:noWrap/>
          </w:tcPr>
          <w:p w14:paraId="472BF36B" w14:textId="0B24E950" w:rsidR="00D8651B" w:rsidRPr="00EE533D" w:rsidRDefault="00D8651B" w:rsidP="00D8651B">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(9.007)</w:t>
            </w:r>
          </w:p>
        </w:tc>
        <w:tc>
          <w:tcPr>
            <w:tcW w:w="1434" w:type="dxa"/>
            <w:tcBorders>
              <w:top w:val="nil"/>
              <w:left w:val="single" w:sz="12" w:space="0" w:color="auto"/>
              <w:bottom w:val="single" w:sz="12" w:space="0" w:color="auto"/>
            </w:tcBorders>
          </w:tcPr>
          <w:p w14:paraId="7C262B81" w14:textId="683C0FE9" w:rsidR="00D8651B" w:rsidRPr="00EE533D" w:rsidRDefault="00D8651B" w:rsidP="00D8651B">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(148.939)</w:t>
            </w:r>
          </w:p>
        </w:tc>
        <w:tc>
          <w:tcPr>
            <w:tcW w:w="1390" w:type="dxa"/>
            <w:tcBorders>
              <w:top w:val="nil"/>
              <w:left w:val="nil"/>
              <w:bottom w:val="single" w:sz="12" w:space="0" w:color="auto"/>
              <w:right w:val="nil"/>
            </w:tcBorders>
          </w:tcPr>
          <w:p w14:paraId="5F5FF9AF" w14:textId="7513BBF4" w:rsidR="00D8651B" w:rsidRPr="00EE533D" w:rsidRDefault="00D8651B" w:rsidP="00D8651B">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(97.700)</w:t>
            </w:r>
          </w:p>
        </w:tc>
        <w:tc>
          <w:tcPr>
            <w:tcW w:w="1426" w:type="dxa"/>
            <w:tcBorders>
              <w:top w:val="nil"/>
              <w:left w:val="nil"/>
              <w:bottom w:val="single" w:sz="12" w:space="0" w:color="auto"/>
            </w:tcBorders>
          </w:tcPr>
          <w:p w14:paraId="7FFA984B" w14:textId="57EDAC4E" w:rsidR="00D8651B" w:rsidRPr="00EE533D" w:rsidRDefault="00D8651B" w:rsidP="00D8651B">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(9.642)</w:t>
            </w:r>
          </w:p>
        </w:tc>
      </w:tr>
      <w:tr w:rsidR="00EE533D" w:rsidRPr="00EE533D" w14:paraId="00501F2E" w14:textId="77777777" w:rsidTr="007467F2">
        <w:trPr>
          <w:trHeight w:val="104"/>
        </w:trPr>
        <w:tc>
          <w:tcPr>
            <w:tcW w:w="2806" w:type="dxa"/>
            <w:tcBorders>
              <w:top w:val="single" w:sz="12" w:space="0" w:color="auto"/>
              <w:left w:val="nil"/>
              <w:right w:val="nil"/>
            </w:tcBorders>
            <w:shd w:val="clear" w:color="auto" w:fill="auto"/>
            <w:noWrap/>
            <w:vAlign w:val="bottom"/>
          </w:tcPr>
          <w:p w14:paraId="73A59B11" w14:textId="011D3E60"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 xml:space="preserve">Observations </w:t>
            </w:r>
          </w:p>
        </w:tc>
        <w:tc>
          <w:tcPr>
            <w:tcW w:w="1417" w:type="dxa"/>
            <w:tcBorders>
              <w:top w:val="single" w:sz="12" w:space="0" w:color="auto"/>
              <w:left w:val="nil"/>
              <w:right w:val="nil"/>
            </w:tcBorders>
            <w:shd w:val="clear" w:color="auto" w:fill="auto"/>
            <w:noWrap/>
          </w:tcPr>
          <w:p w14:paraId="333AE066" w14:textId="1B81F4A1"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6442</w:t>
            </w:r>
          </w:p>
        </w:tc>
        <w:tc>
          <w:tcPr>
            <w:tcW w:w="1498" w:type="dxa"/>
            <w:tcBorders>
              <w:top w:val="single" w:sz="12" w:space="0" w:color="auto"/>
              <w:left w:val="nil"/>
              <w:right w:val="nil"/>
            </w:tcBorders>
          </w:tcPr>
          <w:p w14:paraId="74BF8164" w14:textId="043F39D9"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1376</w:t>
            </w:r>
          </w:p>
        </w:tc>
        <w:tc>
          <w:tcPr>
            <w:tcW w:w="1396" w:type="dxa"/>
            <w:tcBorders>
              <w:top w:val="single" w:sz="12" w:space="0" w:color="auto"/>
              <w:left w:val="nil"/>
              <w:right w:val="single" w:sz="12" w:space="0" w:color="auto"/>
            </w:tcBorders>
            <w:shd w:val="clear" w:color="auto" w:fill="auto"/>
            <w:noWrap/>
          </w:tcPr>
          <w:p w14:paraId="71D3DF72" w14:textId="3994ACA0"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327</w:t>
            </w:r>
          </w:p>
        </w:tc>
        <w:tc>
          <w:tcPr>
            <w:tcW w:w="1434" w:type="dxa"/>
            <w:tcBorders>
              <w:top w:val="single" w:sz="12" w:space="0" w:color="auto"/>
              <w:left w:val="single" w:sz="12" w:space="0" w:color="auto"/>
            </w:tcBorders>
          </w:tcPr>
          <w:p w14:paraId="68301E02" w14:textId="6D201D5F"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7247</w:t>
            </w:r>
          </w:p>
        </w:tc>
        <w:tc>
          <w:tcPr>
            <w:tcW w:w="1390" w:type="dxa"/>
            <w:tcBorders>
              <w:top w:val="single" w:sz="12" w:space="0" w:color="auto"/>
              <w:left w:val="nil"/>
              <w:right w:val="nil"/>
            </w:tcBorders>
          </w:tcPr>
          <w:p w14:paraId="18FC2DD6" w14:textId="026D13A6"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1484</w:t>
            </w:r>
          </w:p>
        </w:tc>
        <w:tc>
          <w:tcPr>
            <w:tcW w:w="1426" w:type="dxa"/>
            <w:tcBorders>
              <w:top w:val="single" w:sz="12" w:space="0" w:color="auto"/>
              <w:left w:val="nil"/>
            </w:tcBorders>
          </w:tcPr>
          <w:p w14:paraId="1D772EEE" w14:textId="24A4DAFC"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397</w:t>
            </w:r>
          </w:p>
        </w:tc>
      </w:tr>
      <w:tr w:rsidR="00EE533D" w:rsidRPr="00EE533D" w14:paraId="42CAA239" w14:textId="77777777" w:rsidTr="007467F2">
        <w:trPr>
          <w:trHeight w:val="104"/>
        </w:trPr>
        <w:tc>
          <w:tcPr>
            <w:tcW w:w="2806" w:type="dxa"/>
            <w:tcBorders>
              <w:left w:val="nil"/>
              <w:right w:val="nil"/>
            </w:tcBorders>
            <w:shd w:val="clear" w:color="auto" w:fill="auto"/>
            <w:noWrap/>
            <w:vAlign w:val="bottom"/>
          </w:tcPr>
          <w:p w14:paraId="1CC8DC77" w14:textId="326C94CF"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Firms</w:t>
            </w:r>
          </w:p>
        </w:tc>
        <w:tc>
          <w:tcPr>
            <w:tcW w:w="1417" w:type="dxa"/>
            <w:tcBorders>
              <w:left w:val="nil"/>
              <w:right w:val="nil"/>
            </w:tcBorders>
            <w:shd w:val="clear" w:color="auto" w:fill="auto"/>
            <w:noWrap/>
          </w:tcPr>
          <w:p w14:paraId="60BE6FE9" w14:textId="76E9EF17"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927</w:t>
            </w:r>
          </w:p>
        </w:tc>
        <w:tc>
          <w:tcPr>
            <w:tcW w:w="1498" w:type="dxa"/>
            <w:tcBorders>
              <w:left w:val="nil"/>
              <w:right w:val="nil"/>
            </w:tcBorders>
          </w:tcPr>
          <w:p w14:paraId="04D82C18" w14:textId="42AEED26"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260</w:t>
            </w:r>
          </w:p>
        </w:tc>
        <w:tc>
          <w:tcPr>
            <w:tcW w:w="1396" w:type="dxa"/>
            <w:tcBorders>
              <w:left w:val="nil"/>
              <w:right w:val="single" w:sz="12" w:space="0" w:color="auto"/>
            </w:tcBorders>
            <w:shd w:val="clear" w:color="auto" w:fill="auto"/>
            <w:noWrap/>
          </w:tcPr>
          <w:p w14:paraId="74203E27" w14:textId="03B2CCAE"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79</w:t>
            </w:r>
          </w:p>
        </w:tc>
        <w:tc>
          <w:tcPr>
            <w:tcW w:w="1434" w:type="dxa"/>
            <w:tcBorders>
              <w:left w:val="single" w:sz="12" w:space="0" w:color="auto"/>
            </w:tcBorders>
          </w:tcPr>
          <w:p w14:paraId="13FD492B" w14:textId="1AB319C0"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1032</w:t>
            </w:r>
          </w:p>
        </w:tc>
        <w:tc>
          <w:tcPr>
            <w:tcW w:w="1390" w:type="dxa"/>
            <w:tcBorders>
              <w:left w:val="nil"/>
              <w:right w:val="nil"/>
            </w:tcBorders>
          </w:tcPr>
          <w:p w14:paraId="76ECB8C8" w14:textId="7A8BBD95"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278</w:t>
            </w:r>
          </w:p>
        </w:tc>
        <w:tc>
          <w:tcPr>
            <w:tcW w:w="1426" w:type="dxa"/>
            <w:tcBorders>
              <w:left w:val="nil"/>
            </w:tcBorders>
          </w:tcPr>
          <w:p w14:paraId="7279B967" w14:textId="17601D64"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88</w:t>
            </w:r>
          </w:p>
        </w:tc>
      </w:tr>
      <w:tr w:rsidR="00EE533D" w:rsidRPr="00EE533D" w14:paraId="36E8EDB4" w14:textId="77777777" w:rsidTr="007467F2">
        <w:trPr>
          <w:trHeight w:val="104"/>
        </w:trPr>
        <w:tc>
          <w:tcPr>
            <w:tcW w:w="2806" w:type="dxa"/>
            <w:tcBorders>
              <w:left w:val="nil"/>
              <w:right w:val="nil"/>
            </w:tcBorders>
            <w:shd w:val="clear" w:color="auto" w:fill="auto"/>
            <w:noWrap/>
            <w:vAlign w:val="bottom"/>
          </w:tcPr>
          <w:p w14:paraId="72BE3DA5" w14:textId="27B3DE4B"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Within-R</w:t>
            </w:r>
          </w:p>
        </w:tc>
        <w:tc>
          <w:tcPr>
            <w:tcW w:w="1417" w:type="dxa"/>
            <w:tcBorders>
              <w:left w:val="nil"/>
              <w:right w:val="nil"/>
            </w:tcBorders>
            <w:shd w:val="clear" w:color="auto" w:fill="auto"/>
            <w:noWrap/>
          </w:tcPr>
          <w:p w14:paraId="074FD416" w14:textId="21524822"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498" w:type="dxa"/>
            <w:tcBorders>
              <w:left w:val="nil"/>
              <w:right w:val="nil"/>
            </w:tcBorders>
          </w:tcPr>
          <w:p w14:paraId="1C880E43" w14:textId="3A5BE614"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396" w:type="dxa"/>
            <w:tcBorders>
              <w:left w:val="nil"/>
              <w:right w:val="single" w:sz="12" w:space="0" w:color="auto"/>
            </w:tcBorders>
            <w:shd w:val="clear" w:color="auto" w:fill="auto"/>
            <w:noWrap/>
          </w:tcPr>
          <w:p w14:paraId="2A97D1A5" w14:textId="0DD355EF"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0.141</w:t>
            </w:r>
          </w:p>
        </w:tc>
        <w:tc>
          <w:tcPr>
            <w:tcW w:w="1434" w:type="dxa"/>
            <w:tcBorders>
              <w:left w:val="single" w:sz="12" w:space="0" w:color="auto"/>
            </w:tcBorders>
          </w:tcPr>
          <w:p w14:paraId="1D526E5A" w14:textId="062A84F2"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390" w:type="dxa"/>
            <w:tcBorders>
              <w:left w:val="nil"/>
              <w:right w:val="nil"/>
            </w:tcBorders>
          </w:tcPr>
          <w:p w14:paraId="7E602A24" w14:textId="79F76F62"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0.071</w:t>
            </w:r>
          </w:p>
        </w:tc>
        <w:tc>
          <w:tcPr>
            <w:tcW w:w="1426" w:type="dxa"/>
            <w:tcBorders>
              <w:left w:val="nil"/>
            </w:tcBorders>
          </w:tcPr>
          <w:p w14:paraId="4A3D90CD" w14:textId="4DE9B323" w:rsidR="00D8651B" w:rsidRPr="00EE533D" w:rsidRDefault="00D8651B" w:rsidP="00D8651B">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0.147</w:t>
            </w:r>
          </w:p>
        </w:tc>
      </w:tr>
      <w:tr w:rsidR="00EE533D" w:rsidRPr="00EE533D" w14:paraId="4A6D0A02" w14:textId="77777777" w:rsidTr="007467F2">
        <w:trPr>
          <w:trHeight w:val="104"/>
        </w:trPr>
        <w:tc>
          <w:tcPr>
            <w:tcW w:w="2806" w:type="dxa"/>
            <w:tcBorders>
              <w:left w:val="nil"/>
              <w:right w:val="nil"/>
            </w:tcBorders>
            <w:shd w:val="clear" w:color="auto" w:fill="auto"/>
            <w:noWrap/>
            <w:vAlign w:val="bottom"/>
          </w:tcPr>
          <w:p w14:paraId="20F3D514" w14:textId="1B09F854"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and firm effects</w:t>
            </w:r>
          </w:p>
        </w:tc>
        <w:tc>
          <w:tcPr>
            <w:tcW w:w="1417" w:type="dxa"/>
            <w:tcBorders>
              <w:left w:val="nil"/>
              <w:right w:val="nil"/>
            </w:tcBorders>
            <w:shd w:val="clear" w:color="auto" w:fill="auto"/>
            <w:noWrap/>
            <w:vAlign w:val="bottom"/>
          </w:tcPr>
          <w:p w14:paraId="45422D11"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98" w:type="dxa"/>
            <w:tcBorders>
              <w:left w:val="nil"/>
              <w:right w:val="nil"/>
            </w:tcBorders>
            <w:vAlign w:val="bottom"/>
          </w:tcPr>
          <w:p w14:paraId="16C7C5FC"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6" w:type="dxa"/>
            <w:tcBorders>
              <w:left w:val="nil"/>
              <w:right w:val="single" w:sz="12" w:space="0" w:color="auto"/>
            </w:tcBorders>
            <w:shd w:val="clear" w:color="auto" w:fill="auto"/>
            <w:noWrap/>
            <w:vAlign w:val="bottom"/>
          </w:tcPr>
          <w:p w14:paraId="0903221A"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34" w:type="dxa"/>
            <w:tcBorders>
              <w:left w:val="single" w:sz="12" w:space="0" w:color="auto"/>
            </w:tcBorders>
            <w:vAlign w:val="bottom"/>
          </w:tcPr>
          <w:p w14:paraId="583FF2D8"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0" w:type="dxa"/>
            <w:tcBorders>
              <w:left w:val="nil"/>
              <w:right w:val="nil"/>
            </w:tcBorders>
            <w:vAlign w:val="bottom"/>
          </w:tcPr>
          <w:p w14:paraId="2854398A"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26" w:type="dxa"/>
            <w:tcBorders>
              <w:left w:val="nil"/>
            </w:tcBorders>
            <w:vAlign w:val="bottom"/>
          </w:tcPr>
          <w:p w14:paraId="42301A48" w14:textId="77777777" w:rsidR="001F2BEA" w:rsidRPr="00EE533D" w:rsidRDefault="001F2BEA" w:rsidP="001F2BE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46F6E695" w14:textId="77777777" w:rsidTr="00595D11">
        <w:trPr>
          <w:trHeight w:val="421"/>
        </w:trPr>
        <w:tc>
          <w:tcPr>
            <w:tcW w:w="11367" w:type="dxa"/>
            <w:gridSpan w:val="7"/>
            <w:tcBorders>
              <w:top w:val="single" w:sz="12" w:space="0" w:color="auto"/>
              <w:left w:val="nil"/>
            </w:tcBorders>
            <w:shd w:val="clear" w:color="auto" w:fill="auto"/>
            <w:noWrap/>
          </w:tcPr>
          <w:p w14:paraId="5425BE00" w14:textId="77777777" w:rsidR="007467F2" w:rsidRPr="00EE533D" w:rsidRDefault="007467F2" w:rsidP="00595D11">
            <w:pPr>
              <w:spacing w:after="0"/>
              <w:jc w:val="both"/>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a panel regression approach with time effects and firms’ fixed effects. </w:t>
            </w:r>
            <w:r w:rsidRPr="00EE533D">
              <w:rPr>
                <w:rFonts w:ascii="Times New Roman" w:eastAsia="Times New Roman" w:hAnsi="Times New Roman" w:cs="Times New Roman"/>
                <w:sz w:val="14"/>
                <w:szCs w:val="14"/>
                <w:lang w:val="en-GB" w:eastAsia="el-GR"/>
              </w:rPr>
              <w:t>Standard errors clustered at industry level</w:t>
            </w:r>
            <w:r w:rsidRPr="00EE533D">
              <w:rPr>
                <w:rFonts w:ascii="Times New Roman" w:eastAsia="Times New Roman" w:hAnsi="Times New Roman" w:cs="Times New Roman"/>
                <w:sz w:val="14"/>
                <w:szCs w:val="14"/>
                <w:lang w:val="en-GB"/>
              </w:rPr>
              <w:t xml:space="preserve"> are reported in parentheses. * indicates significance at the 10% level, ** at the 5% level and *** at the 1% level.</w:t>
            </w:r>
          </w:p>
        </w:tc>
      </w:tr>
    </w:tbl>
    <w:p w14:paraId="08F8C124" w14:textId="77777777" w:rsidR="007467F2" w:rsidRPr="00EE533D" w:rsidRDefault="007467F2" w:rsidP="007467F2">
      <w:pPr>
        <w:spacing w:line="259" w:lineRule="auto"/>
        <w:rPr>
          <w:rFonts w:asciiTheme="majorBidi" w:hAnsiTheme="majorBidi" w:cstheme="majorBidi"/>
          <w:sz w:val="24"/>
          <w:szCs w:val="24"/>
          <w:lang w:val="en-GB"/>
        </w:rPr>
      </w:pPr>
    </w:p>
    <w:p w14:paraId="4A1641D8" w14:textId="77777777" w:rsidR="007467F2" w:rsidRPr="00EE533D" w:rsidRDefault="007467F2" w:rsidP="007467F2">
      <w:pPr>
        <w:spacing w:line="259" w:lineRule="auto"/>
        <w:rPr>
          <w:rFonts w:asciiTheme="majorBidi" w:hAnsiTheme="majorBidi" w:cstheme="majorBidi"/>
          <w:sz w:val="24"/>
          <w:szCs w:val="24"/>
          <w:lang w:val="en-GB"/>
        </w:rPr>
      </w:pPr>
    </w:p>
    <w:p w14:paraId="52E8C50C" w14:textId="7CC8AB9B" w:rsidR="00352AF3" w:rsidRPr="00EE533D" w:rsidRDefault="00352AF3" w:rsidP="007467F2">
      <w:pPr>
        <w:spacing w:line="259" w:lineRule="auto"/>
        <w:rPr>
          <w:rFonts w:asciiTheme="majorBidi" w:hAnsiTheme="majorBidi" w:cstheme="majorBidi"/>
          <w:sz w:val="24"/>
          <w:szCs w:val="24"/>
          <w:lang w:val="en-GB"/>
        </w:rPr>
      </w:pPr>
    </w:p>
    <w:p w14:paraId="396C5012" w14:textId="77777777" w:rsidR="00352AF3" w:rsidRPr="00EE533D" w:rsidRDefault="00352AF3">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426"/>
      </w:tblGrid>
      <w:tr w:rsidR="00EE533D" w:rsidRPr="00EE533D" w14:paraId="57A74F5F" w14:textId="77777777" w:rsidTr="00F4319C">
        <w:trPr>
          <w:trHeight w:val="68"/>
        </w:trPr>
        <w:tc>
          <w:tcPr>
            <w:tcW w:w="11367" w:type="dxa"/>
            <w:gridSpan w:val="7"/>
            <w:tcBorders>
              <w:left w:val="nil"/>
              <w:right w:val="nil"/>
            </w:tcBorders>
            <w:shd w:val="clear" w:color="auto" w:fill="auto"/>
            <w:noWrap/>
            <w:vAlign w:val="bottom"/>
          </w:tcPr>
          <w:p w14:paraId="16BFD050" w14:textId="3C488365" w:rsidR="00352AF3" w:rsidRPr="00EE533D" w:rsidRDefault="00352AF3" w:rsidP="00F4319C">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 xml:space="preserve">Table </w:t>
            </w:r>
            <w:r w:rsidR="00364498" w:rsidRPr="00EE533D">
              <w:rPr>
                <w:rFonts w:ascii="Times New Roman" w:eastAsia="Times New Roman" w:hAnsi="Times New Roman" w:cs="Times New Roman"/>
                <w:b/>
                <w:sz w:val="14"/>
                <w:szCs w:val="14"/>
                <w:lang w:val="en-GB"/>
              </w:rPr>
              <w:t>8</w:t>
            </w:r>
            <w:r w:rsidRPr="00EE533D">
              <w:rPr>
                <w:rFonts w:ascii="Times New Roman" w:eastAsia="Times New Roman" w:hAnsi="Times New Roman" w:cs="Times New Roman"/>
                <w:b/>
                <w:sz w:val="14"/>
                <w:szCs w:val="14"/>
                <w:lang w:val="en-GB"/>
              </w:rPr>
              <w:t xml:space="preserve">. Institutional quality and corporate recycling performance. </w:t>
            </w:r>
            <w:r w:rsidR="00364498" w:rsidRPr="00EE533D">
              <w:rPr>
                <w:rFonts w:ascii="Times New Roman" w:eastAsia="Times New Roman" w:hAnsi="Times New Roman" w:cs="Times New Roman"/>
                <w:b/>
                <w:sz w:val="14"/>
                <w:szCs w:val="14"/>
                <w:lang w:val="en-GB"/>
              </w:rPr>
              <w:t>Pre-pandemic and post-pandemic periods</w:t>
            </w:r>
          </w:p>
        </w:tc>
      </w:tr>
      <w:tr w:rsidR="00EE533D" w:rsidRPr="00EE533D" w14:paraId="617E186C" w14:textId="77777777" w:rsidTr="00F4319C">
        <w:trPr>
          <w:trHeight w:val="20"/>
        </w:trPr>
        <w:tc>
          <w:tcPr>
            <w:tcW w:w="2806" w:type="dxa"/>
            <w:tcBorders>
              <w:left w:val="nil"/>
              <w:right w:val="nil"/>
            </w:tcBorders>
            <w:shd w:val="clear" w:color="auto" w:fill="auto"/>
            <w:noWrap/>
            <w:vAlign w:val="bottom"/>
          </w:tcPr>
          <w:p w14:paraId="489CE633" w14:textId="77777777" w:rsidR="00352AF3" w:rsidRPr="00EE533D" w:rsidRDefault="00352AF3" w:rsidP="00F4319C">
            <w:pPr>
              <w:spacing w:after="0" w:line="240" w:lineRule="auto"/>
              <w:jc w:val="right"/>
              <w:rPr>
                <w:rFonts w:ascii="Times New Roman" w:eastAsia="Calibri" w:hAnsi="Times New Roman" w:cs="Times New Roman"/>
                <w:b/>
                <w:sz w:val="14"/>
                <w:szCs w:val="14"/>
                <w:lang w:val="en-GB"/>
              </w:rPr>
            </w:pPr>
          </w:p>
        </w:tc>
        <w:tc>
          <w:tcPr>
            <w:tcW w:w="4311" w:type="dxa"/>
            <w:gridSpan w:val="3"/>
            <w:tcBorders>
              <w:left w:val="nil"/>
              <w:bottom w:val="single" w:sz="12" w:space="0" w:color="auto"/>
              <w:right w:val="single" w:sz="12" w:space="0" w:color="auto"/>
            </w:tcBorders>
            <w:shd w:val="clear" w:color="auto" w:fill="auto"/>
            <w:noWrap/>
          </w:tcPr>
          <w:p w14:paraId="46380194" w14:textId="26458D8C" w:rsidR="00352AF3" w:rsidRPr="00EE533D" w:rsidRDefault="00364498" w:rsidP="00F4319C">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Pre-pandemic period</w:t>
            </w:r>
          </w:p>
        </w:tc>
        <w:tc>
          <w:tcPr>
            <w:tcW w:w="4250" w:type="dxa"/>
            <w:gridSpan w:val="3"/>
            <w:tcBorders>
              <w:left w:val="single" w:sz="12" w:space="0" w:color="auto"/>
              <w:bottom w:val="single" w:sz="12" w:space="0" w:color="auto"/>
            </w:tcBorders>
          </w:tcPr>
          <w:p w14:paraId="6DA15671" w14:textId="435CF3F8" w:rsidR="00352AF3" w:rsidRPr="00EE533D" w:rsidRDefault="00364498" w:rsidP="00F4319C">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Post-pandemic period</w:t>
            </w:r>
          </w:p>
        </w:tc>
      </w:tr>
      <w:tr w:rsidR="00EE533D" w:rsidRPr="00EE533D" w14:paraId="678C498C" w14:textId="77777777" w:rsidTr="00F4319C">
        <w:trPr>
          <w:trHeight w:val="20"/>
        </w:trPr>
        <w:tc>
          <w:tcPr>
            <w:tcW w:w="2806" w:type="dxa"/>
            <w:tcBorders>
              <w:left w:val="nil"/>
              <w:right w:val="nil"/>
            </w:tcBorders>
            <w:shd w:val="clear" w:color="auto" w:fill="auto"/>
            <w:noWrap/>
            <w:vAlign w:val="bottom"/>
          </w:tcPr>
          <w:p w14:paraId="3D7BCC50" w14:textId="77777777" w:rsidR="00352AF3" w:rsidRPr="00EE533D" w:rsidRDefault="00352AF3" w:rsidP="00F4319C">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Dependent variable:</w:t>
            </w:r>
          </w:p>
        </w:tc>
        <w:tc>
          <w:tcPr>
            <w:tcW w:w="1417" w:type="dxa"/>
            <w:tcBorders>
              <w:left w:val="nil"/>
              <w:bottom w:val="single" w:sz="12" w:space="0" w:color="auto"/>
              <w:right w:val="nil"/>
            </w:tcBorders>
            <w:shd w:val="clear" w:color="auto" w:fill="auto"/>
            <w:noWrap/>
          </w:tcPr>
          <w:p w14:paraId="5159F42D" w14:textId="77777777" w:rsidR="00352AF3" w:rsidRPr="00EE533D" w:rsidRDefault="00352AF3" w:rsidP="00F4319C">
            <w:pPr>
              <w:spacing w:after="0" w:line="240" w:lineRule="auto"/>
              <w:jc w:val="center"/>
              <w:rPr>
                <w:rFonts w:ascii="Times New Roman" w:hAnsi="Times New Roman" w:cs="Times New Roman"/>
                <w:b/>
                <w:bCs/>
                <w:sz w:val="14"/>
                <w:szCs w:val="14"/>
                <w:lang w:val="en-GB"/>
              </w:rPr>
            </w:pPr>
          </w:p>
          <w:p w14:paraId="02F93765"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498" w:type="dxa"/>
            <w:tcBorders>
              <w:left w:val="nil"/>
              <w:bottom w:val="single" w:sz="12" w:space="0" w:color="auto"/>
              <w:right w:val="nil"/>
            </w:tcBorders>
          </w:tcPr>
          <w:p w14:paraId="2DCED763" w14:textId="77777777" w:rsidR="00352AF3" w:rsidRPr="00EE533D" w:rsidRDefault="00352AF3" w:rsidP="00F4319C">
            <w:pPr>
              <w:spacing w:after="0" w:line="240" w:lineRule="auto"/>
              <w:jc w:val="center"/>
              <w:rPr>
                <w:rFonts w:ascii="Times New Roman" w:hAnsi="Times New Roman" w:cs="Times New Roman"/>
                <w:b/>
                <w:bCs/>
                <w:sz w:val="14"/>
                <w:szCs w:val="14"/>
                <w:lang w:val="en-GB"/>
              </w:rPr>
            </w:pPr>
          </w:p>
          <w:p w14:paraId="7329C58F"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396" w:type="dxa"/>
            <w:tcBorders>
              <w:left w:val="nil"/>
              <w:bottom w:val="single" w:sz="12" w:space="0" w:color="auto"/>
              <w:right w:val="single" w:sz="12" w:space="0" w:color="auto"/>
            </w:tcBorders>
            <w:shd w:val="clear" w:color="auto" w:fill="auto"/>
            <w:noWrap/>
            <w:vAlign w:val="bottom"/>
          </w:tcPr>
          <w:p w14:paraId="248CF291"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c>
          <w:tcPr>
            <w:tcW w:w="1434" w:type="dxa"/>
            <w:tcBorders>
              <w:left w:val="single" w:sz="12" w:space="0" w:color="auto"/>
              <w:bottom w:val="single" w:sz="12" w:space="0" w:color="auto"/>
            </w:tcBorders>
          </w:tcPr>
          <w:p w14:paraId="4E4262A4" w14:textId="77777777" w:rsidR="00352AF3" w:rsidRPr="00EE533D" w:rsidRDefault="00352AF3" w:rsidP="00F4319C">
            <w:pPr>
              <w:spacing w:after="0" w:line="240" w:lineRule="auto"/>
              <w:jc w:val="center"/>
              <w:rPr>
                <w:rFonts w:ascii="Times New Roman" w:hAnsi="Times New Roman" w:cs="Times New Roman"/>
                <w:b/>
                <w:bCs/>
                <w:sz w:val="14"/>
                <w:szCs w:val="14"/>
                <w:lang w:val="en-GB"/>
              </w:rPr>
            </w:pPr>
          </w:p>
          <w:p w14:paraId="63CF0FBB"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1390" w:type="dxa"/>
            <w:tcBorders>
              <w:left w:val="nil"/>
              <w:bottom w:val="single" w:sz="12" w:space="0" w:color="auto"/>
              <w:right w:val="nil"/>
            </w:tcBorders>
          </w:tcPr>
          <w:p w14:paraId="199B7731" w14:textId="77777777" w:rsidR="00352AF3" w:rsidRPr="00EE533D" w:rsidRDefault="00352AF3" w:rsidP="00F4319C">
            <w:pPr>
              <w:spacing w:after="0" w:line="240" w:lineRule="auto"/>
              <w:jc w:val="center"/>
              <w:rPr>
                <w:rFonts w:ascii="Times New Roman" w:hAnsi="Times New Roman" w:cs="Times New Roman"/>
                <w:b/>
                <w:bCs/>
                <w:sz w:val="14"/>
                <w:szCs w:val="14"/>
                <w:lang w:val="en-GB"/>
              </w:rPr>
            </w:pPr>
          </w:p>
          <w:p w14:paraId="7C3848BF"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1426" w:type="dxa"/>
            <w:tcBorders>
              <w:left w:val="nil"/>
              <w:bottom w:val="single" w:sz="12" w:space="0" w:color="auto"/>
            </w:tcBorders>
          </w:tcPr>
          <w:p w14:paraId="164BBF33" w14:textId="77777777" w:rsidR="00352AF3" w:rsidRPr="00EE533D" w:rsidRDefault="00352AF3" w:rsidP="00F4319C">
            <w:pPr>
              <w:spacing w:after="0" w:line="240" w:lineRule="auto"/>
              <w:jc w:val="center"/>
              <w:rPr>
                <w:rFonts w:ascii="Times New Roman" w:hAnsi="Times New Roman" w:cs="Times New Roman"/>
                <w:b/>
                <w:bCs/>
                <w:sz w:val="14"/>
                <w:szCs w:val="14"/>
                <w:lang w:val="en-GB"/>
              </w:rPr>
            </w:pPr>
          </w:p>
          <w:p w14:paraId="72F2CC15" w14:textId="77777777" w:rsidR="00352AF3" w:rsidRPr="00EE533D" w:rsidRDefault="00352AF3"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hAnsi="Times New Roman" w:cs="Times New Roman"/>
                <w:b/>
                <w:bCs/>
                <w:sz w:val="14"/>
                <w:szCs w:val="14"/>
                <w:lang w:val="en-GB"/>
              </w:rPr>
              <w:t>Recycled Paper</w:t>
            </w:r>
          </w:p>
        </w:tc>
      </w:tr>
      <w:tr w:rsidR="00EE533D" w:rsidRPr="00EE533D" w14:paraId="7658B267" w14:textId="77777777" w:rsidTr="00F4319C">
        <w:trPr>
          <w:trHeight w:val="20"/>
        </w:trPr>
        <w:tc>
          <w:tcPr>
            <w:tcW w:w="2806" w:type="dxa"/>
            <w:tcBorders>
              <w:left w:val="nil"/>
              <w:bottom w:val="single" w:sz="12" w:space="0" w:color="auto"/>
              <w:right w:val="nil"/>
            </w:tcBorders>
            <w:shd w:val="clear" w:color="auto" w:fill="auto"/>
            <w:noWrap/>
            <w:vAlign w:val="bottom"/>
          </w:tcPr>
          <w:p w14:paraId="0BEE6CE2" w14:textId="77777777" w:rsidR="00352AF3" w:rsidRPr="00EE533D" w:rsidRDefault="00352AF3" w:rsidP="00F4319C">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417" w:type="dxa"/>
            <w:tcBorders>
              <w:left w:val="nil"/>
              <w:bottom w:val="single" w:sz="12" w:space="0" w:color="auto"/>
              <w:right w:val="nil"/>
            </w:tcBorders>
            <w:shd w:val="clear" w:color="auto" w:fill="auto"/>
            <w:noWrap/>
            <w:vAlign w:val="bottom"/>
          </w:tcPr>
          <w:p w14:paraId="54D3D897"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498" w:type="dxa"/>
            <w:tcBorders>
              <w:left w:val="nil"/>
              <w:bottom w:val="single" w:sz="12" w:space="0" w:color="auto"/>
              <w:right w:val="nil"/>
            </w:tcBorders>
            <w:vAlign w:val="bottom"/>
          </w:tcPr>
          <w:p w14:paraId="5E29056D" w14:textId="77777777" w:rsidR="00352AF3" w:rsidRPr="00EE533D" w:rsidRDefault="00352AF3"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396" w:type="dxa"/>
            <w:tcBorders>
              <w:left w:val="nil"/>
              <w:bottom w:val="single" w:sz="12" w:space="0" w:color="auto"/>
              <w:right w:val="single" w:sz="12" w:space="0" w:color="auto"/>
            </w:tcBorders>
            <w:shd w:val="clear" w:color="auto" w:fill="auto"/>
            <w:noWrap/>
            <w:vAlign w:val="bottom"/>
          </w:tcPr>
          <w:p w14:paraId="66C20801" w14:textId="77777777" w:rsidR="00352AF3" w:rsidRPr="00EE533D" w:rsidRDefault="00352AF3"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34" w:type="dxa"/>
            <w:tcBorders>
              <w:left w:val="single" w:sz="12" w:space="0" w:color="auto"/>
              <w:bottom w:val="single" w:sz="12" w:space="0" w:color="auto"/>
            </w:tcBorders>
            <w:vAlign w:val="bottom"/>
          </w:tcPr>
          <w:p w14:paraId="3CB9ED4C" w14:textId="77777777" w:rsidR="00352AF3" w:rsidRPr="00EE533D" w:rsidRDefault="00352AF3"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0" w:type="dxa"/>
            <w:tcBorders>
              <w:left w:val="nil"/>
              <w:bottom w:val="single" w:sz="12" w:space="0" w:color="auto"/>
              <w:right w:val="nil"/>
            </w:tcBorders>
            <w:vAlign w:val="bottom"/>
          </w:tcPr>
          <w:p w14:paraId="43D15BC5" w14:textId="77777777" w:rsidR="00352AF3" w:rsidRPr="00EE533D" w:rsidRDefault="00352AF3"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26" w:type="dxa"/>
            <w:tcBorders>
              <w:left w:val="nil"/>
              <w:bottom w:val="single" w:sz="12" w:space="0" w:color="auto"/>
            </w:tcBorders>
            <w:vAlign w:val="bottom"/>
          </w:tcPr>
          <w:p w14:paraId="51BA6244" w14:textId="77777777" w:rsidR="00352AF3" w:rsidRPr="00EE533D" w:rsidRDefault="00352AF3"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4B9D900B" w14:textId="77777777" w:rsidTr="00F4319C">
        <w:trPr>
          <w:trHeight w:val="20"/>
        </w:trPr>
        <w:tc>
          <w:tcPr>
            <w:tcW w:w="2806" w:type="dxa"/>
            <w:tcBorders>
              <w:top w:val="nil"/>
              <w:left w:val="nil"/>
              <w:bottom w:val="nil"/>
              <w:right w:val="nil"/>
            </w:tcBorders>
            <w:shd w:val="clear" w:color="auto" w:fill="auto"/>
            <w:noWrap/>
          </w:tcPr>
          <w:p w14:paraId="43C1023E"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E7FE2DB" w14:textId="1D101271"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1.188</w:t>
            </w:r>
          </w:p>
        </w:tc>
        <w:tc>
          <w:tcPr>
            <w:tcW w:w="1498" w:type="dxa"/>
            <w:tcBorders>
              <w:top w:val="nil"/>
              <w:left w:val="nil"/>
              <w:bottom w:val="nil"/>
              <w:right w:val="nil"/>
            </w:tcBorders>
          </w:tcPr>
          <w:p w14:paraId="6B2EDFB2" w14:textId="78A7FF66"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-0.664</w:t>
            </w:r>
          </w:p>
        </w:tc>
        <w:tc>
          <w:tcPr>
            <w:tcW w:w="1396" w:type="dxa"/>
            <w:tcBorders>
              <w:top w:val="nil"/>
              <w:left w:val="nil"/>
              <w:bottom w:val="nil"/>
              <w:right w:val="single" w:sz="12" w:space="0" w:color="auto"/>
            </w:tcBorders>
            <w:shd w:val="clear" w:color="auto" w:fill="auto"/>
            <w:noWrap/>
          </w:tcPr>
          <w:p w14:paraId="00489E56" w14:textId="2CD320EA"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-0.688</w:t>
            </w:r>
          </w:p>
        </w:tc>
        <w:tc>
          <w:tcPr>
            <w:tcW w:w="1434" w:type="dxa"/>
            <w:tcBorders>
              <w:top w:val="nil"/>
              <w:left w:val="single" w:sz="12" w:space="0" w:color="auto"/>
              <w:bottom w:val="nil"/>
            </w:tcBorders>
          </w:tcPr>
          <w:p w14:paraId="7CEF07A7" w14:textId="04238D25"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8.025</w:t>
            </w:r>
          </w:p>
        </w:tc>
        <w:tc>
          <w:tcPr>
            <w:tcW w:w="1390" w:type="dxa"/>
            <w:tcBorders>
              <w:top w:val="nil"/>
              <w:left w:val="nil"/>
              <w:bottom w:val="nil"/>
              <w:right w:val="nil"/>
            </w:tcBorders>
          </w:tcPr>
          <w:p w14:paraId="79059DA2" w14:textId="565AF750"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1.247</w:t>
            </w:r>
          </w:p>
        </w:tc>
        <w:tc>
          <w:tcPr>
            <w:tcW w:w="1426" w:type="dxa"/>
            <w:tcBorders>
              <w:top w:val="nil"/>
              <w:left w:val="nil"/>
              <w:bottom w:val="nil"/>
            </w:tcBorders>
          </w:tcPr>
          <w:p w14:paraId="677D43C3" w14:textId="61B77CFA"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0.438</w:t>
            </w:r>
          </w:p>
        </w:tc>
      </w:tr>
      <w:tr w:rsidR="00EE533D" w:rsidRPr="00EE533D" w14:paraId="1EE4E640" w14:textId="77777777" w:rsidTr="00F4319C">
        <w:trPr>
          <w:trHeight w:val="20"/>
        </w:trPr>
        <w:tc>
          <w:tcPr>
            <w:tcW w:w="2806" w:type="dxa"/>
            <w:tcBorders>
              <w:top w:val="nil"/>
              <w:left w:val="nil"/>
              <w:bottom w:val="nil"/>
              <w:right w:val="nil"/>
            </w:tcBorders>
            <w:shd w:val="clear" w:color="auto" w:fill="auto"/>
            <w:noWrap/>
          </w:tcPr>
          <w:p w14:paraId="76ABC7AA"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3717C483" w14:textId="29B57C60"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(5.458)</w:t>
            </w:r>
          </w:p>
        </w:tc>
        <w:tc>
          <w:tcPr>
            <w:tcW w:w="1498" w:type="dxa"/>
            <w:tcBorders>
              <w:top w:val="nil"/>
              <w:left w:val="nil"/>
              <w:bottom w:val="nil"/>
              <w:right w:val="nil"/>
            </w:tcBorders>
          </w:tcPr>
          <w:p w14:paraId="25DAA3E4" w14:textId="3DDA3358"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(4.912)</w:t>
            </w:r>
          </w:p>
        </w:tc>
        <w:tc>
          <w:tcPr>
            <w:tcW w:w="1396" w:type="dxa"/>
            <w:tcBorders>
              <w:top w:val="nil"/>
              <w:left w:val="nil"/>
              <w:bottom w:val="nil"/>
              <w:right w:val="single" w:sz="12" w:space="0" w:color="auto"/>
            </w:tcBorders>
            <w:shd w:val="clear" w:color="auto" w:fill="auto"/>
            <w:noWrap/>
          </w:tcPr>
          <w:p w14:paraId="4FCE348C" w14:textId="059FAA7F"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(0.683)</w:t>
            </w:r>
          </w:p>
        </w:tc>
        <w:tc>
          <w:tcPr>
            <w:tcW w:w="1434" w:type="dxa"/>
            <w:tcBorders>
              <w:top w:val="nil"/>
              <w:left w:val="single" w:sz="12" w:space="0" w:color="auto"/>
              <w:bottom w:val="nil"/>
            </w:tcBorders>
          </w:tcPr>
          <w:p w14:paraId="34C2CD14" w14:textId="4C4BC1B5"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(7.248)</w:t>
            </w:r>
          </w:p>
        </w:tc>
        <w:tc>
          <w:tcPr>
            <w:tcW w:w="1390" w:type="dxa"/>
            <w:tcBorders>
              <w:top w:val="nil"/>
              <w:left w:val="nil"/>
              <w:bottom w:val="nil"/>
              <w:right w:val="nil"/>
            </w:tcBorders>
          </w:tcPr>
          <w:p w14:paraId="30425986" w14:textId="3B8557AB"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(6.482)</w:t>
            </w:r>
          </w:p>
        </w:tc>
        <w:tc>
          <w:tcPr>
            <w:tcW w:w="1426" w:type="dxa"/>
            <w:tcBorders>
              <w:top w:val="nil"/>
              <w:left w:val="nil"/>
              <w:bottom w:val="nil"/>
            </w:tcBorders>
          </w:tcPr>
          <w:p w14:paraId="7C713AAC" w14:textId="41F18B5A"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(1.246)</w:t>
            </w:r>
          </w:p>
        </w:tc>
      </w:tr>
      <w:tr w:rsidR="00EE533D" w:rsidRPr="00EE533D" w14:paraId="51AA0498" w14:textId="77777777" w:rsidTr="00F4319C">
        <w:trPr>
          <w:trHeight w:val="20"/>
        </w:trPr>
        <w:tc>
          <w:tcPr>
            <w:tcW w:w="2806" w:type="dxa"/>
            <w:tcBorders>
              <w:top w:val="nil"/>
              <w:left w:val="nil"/>
              <w:bottom w:val="nil"/>
              <w:right w:val="nil"/>
            </w:tcBorders>
            <w:shd w:val="clear" w:color="auto" w:fill="auto"/>
            <w:noWrap/>
          </w:tcPr>
          <w:p w14:paraId="4E61F233"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E957D46" w14:textId="2CC9EE49"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-1.042</w:t>
            </w:r>
          </w:p>
        </w:tc>
        <w:tc>
          <w:tcPr>
            <w:tcW w:w="1498" w:type="dxa"/>
            <w:tcBorders>
              <w:top w:val="nil"/>
              <w:left w:val="nil"/>
              <w:bottom w:val="nil"/>
              <w:right w:val="nil"/>
            </w:tcBorders>
          </w:tcPr>
          <w:p w14:paraId="67F3ABBC" w14:textId="4B5BE256"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2.862</w:t>
            </w:r>
          </w:p>
        </w:tc>
        <w:tc>
          <w:tcPr>
            <w:tcW w:w="1396" w:type="dxa"/>
            <w:tcBorders>
              <w:top w:val="nil"/>
              <w:left w:val="nil"/>
              <w:bottom w:val="nil"/>
              <w:right w:val="single" w:sz="12" w:space="0" w:color="auto"/>
            </w:tcBorders>
            <w:shd w:val="clear" w:color="auto" w:fill="auto"/>
            <w:noWrap/>
          </w:tcPr>
          <w:p w14:paraId="0A104C2D" w14:textId="647BD20A"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-0.204</w:t>
            </w:r>
          </w:p>
        </w:tc>
        <w:tc>
          <w:tcPr>
            <w:tcW w:w="1434" w:type="dxa"/>
            <w:tcBorders>
              <w:top w:val="nil"/>
              <w:left w:val="single" w:sz="12" w:space="0" w:color="auto"/>
              <w:bottom w:val="nil"/>
            </w:tcBorders>
          </w:tcPr>
          <w:p w14:paraId="2E471E02" w14:textId="123F776B"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-4.305</w:t>
            </w:r>
          </w:p>
        </w:tc>
        <w:tc>
          <w:tcPr>
            <w:tcW w:w="1390" w:type="dxa"/>
            <w:tcBorders>
              <w:top w:val="nil"/>
              <w:left w:val="nil"/>
              <w:bottom w:val="nil"/>
              <w:right w:val="nil"/>
            </w:tcBorders>
          </w:tcPr>
          <w:p w14:paraId="79570D63" w14:textId="32BCC500"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2.049</w:t>
            </w:r>
          </w:p>
        </w:tc>
        <w:tc>
          <w:tcPr>
            <w:tcW w:w="1426" w:type="dxa"/>
            <w:tcBorders>
              <w:top w:val="nil"/>
              <w:left w:val="nil"/>
              <w:bottom w:val="nil"/>
            </w:tcBorders>
          </w:tcPr>
          <w:p w14:paraId="1BA986ED" w14:textId="06174762"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2.115**</w:t>
            </w:r>
          </w:p>
        </w:tc>
      </w:tr>
      <w:tr w:rsidR="00EE533D" w:rsidRPr="00EE533D" w14:paraId="19D11475" w14:textId="77777777" w:rsidTr="00F4319C">
        <w:trPr>
          <w:trHeight w:val="20"/>
        </w:trPr>
        <w:tc>
          <w:tcPr>
            <w:tcW w:w="2806" w:type="dxa"/>
            <w:tcBorders>
              <w:top w:val="nil"/>
              <w:left w:val="nil"/>
              <w:bottom w:val="nil"/>
              <w:right w:val="nil"/>
            </w:tcBorders>
            <w:shd w:val="clear" w:color="auto" w:fill="auto"/>
            <w:noWrap/>
          </w:tcPr>
          <w:p w14:paraId="027F148A"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0439306" w14:textId="7754F0B1"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(2.638)</w:t>
            </w:r>
          </w:p>
        </w:tc>
        <w:tc>
          <w:tcPr>
            <w:tcW w:w="1498" w:type="dxa"/>
            <w:tcBorders>
              <w:top w:val="nil"/>
              <w:left w:val="nil"/>
              <w:bottom w:val="nil"/>
              <w:right w:val="nil"/>
            </w:tcBorders>
          </w:tcPr>
          <w:p w14:paraId="1B6C436C" w14:textId="4A71A4F1"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(5.137)</w:t>
            </w:r>
          </w:p>
        </w:tc>
        <w:tc>
          <w:tcPr>
            <w:tcW w:w="1396" w:type="dxa"/>
            <w:tcBorders>
              <w:top w:val="nil"/>
              <w:left w:val="nil"/>
              <w:bottom w:val="nil"/>
              <w:right w:val="single" w:sz="12" w:space="0" w:color="auto"/>
            </w:tcBorders>
            <w:shd w:val="clear" w:color="auto" w:fill="auto"/>
            <w:noWrap/>
          </w:tcPr>
          <w:p w14:paraId="2363427B" w14:textId="7602AB51"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(0.457)</w:t>
            </w:r>
          </w:p>
        </w:tc>
        <w:tc>
          <w:tcPr>
            <w:tcW w:w="1434" w:type="dxa"/>
            <w:tcBorders>
              <w:top w:val="nil"/>
              <w:left w:val="single" w:sz="12" w:space="0" w:color="auto"/>
              <w:bottom w:val="nil"/>
            </w:tcBorders>
          </w:tcPr>
          <w:p w14:paraId="31FA1DA9" w14:textId="61772756"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(5.259)</w:t>
            </w:r>
          </w:p>
        </w:tc>
        <w:tc>
          <w:tcPr>
            <w:tcW w:w="1390" w:type="dxa"/>
            <w:tcBorders>
              <w:top w:val="nil"/>
              <w:left w:val="nil"/>
              <w:bottom w:val="nil"/>
              <w:right w:val="nil"/>
            </w:tcBorders>
          </w:tcPr>
          <w:p w14:paraId="63509FFA" w14:textId="616DAA25"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(6.928)</w:t>
            </w:r>
          </w:p>
        </w:tc>
        <w:tc>
          <w:tcPr>
            <w:tcW w:w="1426" w:type="dxa"/>
            <w:tcBorders>
              <w:top w:val="nil"/>
              <w:left w:val="nil"/>
              <w:bottom w:val="nil"/>
            </w:tcBorders>
          </w:tcPr>
          <w:p w14:paraId="271633E1" w14:textId="7C31EF58"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(0.719)</w:t>
            </w:r>
          </w:p>
        </w:tc>
      </w:tr>
      <w:tr w:rsidR="00EE533D" w:rsidRPr="00EE533D" w14:paraId="52C6BA9F" w14:textId="77777777" w:rsidTr="00F4319C">
        <w:trPr>
          <w:trHeight w:val="20"/>
        </w:trPr>
        <w:tc>
          <w:tcPr>
            <w:tcW w:w="2806" w:type="dxa"/>
            <w:tcBorders>
              <w:top w:val="nil"/>
              <w:left w:val="nil"/>
              <w:bottom w:val="nil"/>
              <w:right w:val="nil"/>
            </w:tcBorders>
            <w:shd w:val="clear" w:color="auto" w:fill="auto"/>
            <w:noWrap/>
          </w:tcPr>
          <w:p w14:paraId="050A9E8E"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3715D18" w14:textId="07D1A726"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2.281</w:t>
            </w:r>
          </w:p>
        </w:tc>
        <w:tc>
          <w:tcPr>
            <w:tcW w:w="1498" w:type="dxa"/>
            <w:tcBorders>
              <w:top w:val="nil"/>
              <w:left w:val="nil"/>
              <w:bottom w:val="nil"/>
              <w:right w:val="nil"/>
            </w:tcBorders>
          </w:tcPr>
          <w:p w14:paraId="2F0D1B57" w14:textId="2E75254F"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5.865**</w:t>
            </w:r>
          </w:p>
        </w:tc>
        <w:tc>
          <w:tcPr>
            <w:tcW w:w="1396" w:type="dxa"/>
            <w:tcBorders>
              <w:top w:val="nil"/>
              <w:left w:val="nil"/>
              <w:bottom w:val="nil"/>
              <w:right w:val="single" w:sz="12" w:space="0" w:color="auto"/>
            </w:tcBorders>
            <w:shd w:val="clear" w:color="auto" w:fill="auto"/>
            <w:noWrap/>
          </w:tcPr>
          <w:p w14:paraId="24DEA63C" w14:textId="29A21510"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0.315*</w:t>
            </w:r>
          </w:p>
        </w:tc>
        <w:tc>
          <w:tcPr>
            <w:tcW w:w="1434" w:type="dxa"/>
            <w:tcBorders>
              <w:top w:val="nil"/>
              <w:left w:val="single" w:sz="12" w:space="0" w:color="auto"/>
              <w:bottom w:val="nil"/>
            </w:tcBorders>
          </w:tcPr>
          <w:p w14:paraId="0C9C062B" w14:textId="362C6B18"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-3.479</w:t>
            </w:r>
          </w:p>
        </w:tc>
        <w:tc>
          <w:tcPr>
            <w:tcW w:w="1390" w:type="dxa"/>
            <w:tcBorders>
              <w:top w:val="nil"/>
              <w:left w:val="nil"/>
              <w:bottom w:val="nil"/>
              <w:right w:val="nil"/>
            </w:tcBorders>
          </w:tcPr>
          <w:p w14:paraId="58A56634" w14:textId="0765A977"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-1.243</w:t>
            </w:r>
          </w:p>
        </w:tc>
        <w:tc>
          <w:tcPr>
            <w:tcW w:w="1426" w:type="dxa"/>
            <w:tcBorders>
              <w:top w:val="nil"/>
              <w:left w:val="nil"/>
              <w:bottom w:val="nil"/>
            </w:tcBorders>
          </w:tcPr>
          <w:p w14:paraId="5C4EB6C6" w14:textId="70B2AE2C"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-0.386</w:t>
            </w:r>
          </w:p>
        </w:tc>
      </w:tr>
      <w:tr w:rsidR="00EE533D" w:rsidRPr="00EE533D" w14:paraId="68568365" w14:textId="77777777" w:rsidTr="00F4319C">
        <w:trPr>
          <w:trHeight w:val="20"/>
        </w:trPr>
        <w:tc>
          <w:tcPr>
            <w:tcW w:w="2806" w:type="dxa"/>
            <w:tcBorders>
              <w:top w:val="nil"/>
              <w:left w:val="nil"/>
              <w:bottom w:val="nil"/>
              <w:right w:val="nil"/>
            </w:tcBorders>
            <w:shd w:val="clear" w:color="auto" w:fill="auto"/>
            <w:noWrap/>
          </w:tcPr>
          <w:p w14:paraId="2CF246CC"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592BC33" w14:textId="131B3242"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(1.937)</w:t>
            </w:r>
          </w:p>
        </w:tc>
        <w:tc>
          <w:tcPr>
            <w:tcW w:w="1498" w:type="dxa"/>
            <w:tcBorders>
              <w:top w:val="nil"/>
              <w:left w:val="nil"/>
              <w:bottom w:val="nil"/>
              <w:right w:val="nil"/>
            </w:tcBorders>
          </w:tcPr>
          <w:p w14:paraId="494AE44B" w14:textId="30B35D49"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(1.900)</w:t>
            </w:r>
          </w:p>
        </w:tc>
        <w:tc>
          <w:tcPr>
            <w:tcW w:w="1396" w:type="dxa"/>
            <w:tcBorders>
              <w:top w:val="nil"/>
              <w:left w:val="nil"/>
              <w:bottom w:val="nil"/>
              <w:right w:val="single" w:sz="12" w:space="0" w:color="auto"/>
            </w:tcBorders>
            <w:shd w:val="clear" w:color="auto" w:fill="auto"/>
            <w:noWrap/>
          </w:tcPr>
          <w:p w14:paraId="5924DD13" w14:textId="04E1F17D"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(0.142)</w:t>
            </w:r>
          </w:p>
        </w:tc>
        <w:tc>
          <w:tcPr>
            <w:tcW w:w="1434" w:type="dxa"/>
            <w:tcBorders>
              <w:top w:val="nil"/>
              <w:left w:val="single" w:sz="12" w:space="0" w:color="auto"/>
              <w:bottom w:val="nil"/>
            </w:tcBorders>
          </w:tcPr>
          <w:p w14:paraId="7641F4D8" w14:textId="11F39424"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(6.068)</w:t>
            </w:r>
          </w:p>
        </w:tc>
        <w:tc>
          <w:tcPr>
            <w:tcW w:w="1390" w:type="dxa"/>
            <w:tcBorders>
              <w:top w:val="nil"/>
              <w:left w:val="nil"/>
              <w:bottom w:val="nil"/>
              <w:right w:val="nil"/>
            </w:tcBorders>
          </w:tcPr>
          <w:p w14:paraId="5B5B0598" w14:textId="7B62E740"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(10.961)</w:t>
            </w:r>
          </w:p>
        </w:tc>
        <w:tc>
          <w:tcPr>
            <w:tcW w:w="1426" w:type="dxa"/>
            <w:tcBorders>
              <w:top w:val="nil"/>
              <w:left w:val="nil"/>
              <w:bottom w:val="nil"/>
            </w:tcBorders>
          </w:tcPr>
          <w:p w14:paraId="4DF26D43" w14:textId="0B51297E"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(0.782)</w:t>
            </w:r>
          </w:p>
        </w:tc>
      </w:tr>
      <w:tr w:rsidR="00EE533D" w:rsidRPr="00EE533D" w14:paraId="032ACF94" w14:textId="77777777" w:rsidTr="00F4319C">
        <w:trPr>
          <w:trHeight w:val="20"/>
        </w:trPr>
        <w:tc>
          <w:tcPr>
            <w:tcW w:w="2806" w:type="dxa"/>
            <w:tcBorders>
              <w:top w:val="nil"/>
              <w:left w:val="nil"/>
              <w:bottom w:val="nil"/>
              <w:right w:val="nil"/>
            </w:tcBorders>
            <w:shd w:val="clear" w:color="auto" w:fill="auto"/>
            <w:noWrap/>
          </w:tcPr>
          <w:p w14:paraId="59FBB4A6"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84E20EB" w14:textId="0DA578A7"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-0.923</w:t>
            </w:r>
          </w:p>
        </w:tc>
        <w:tc>
          <w:tcPr>
            <w:tcW w:w="1498" w:type="dxa"/>
            <w:tcBorders>
              <w:top w:val="nil"/>
              <w:left w:val="nil"/>
              <w:bottom w:val="nil"/>
              <w:right w:val="nil"/>
            </w:tcBorders>
          </w:tcPr>
          <w:p w14:paraId="58519E54" w14:textId="7CE5A494"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-4.119</w:t>
            </w:r>
          </w:p>
        </w:tc>
        <w:tc>
          <w:tcPr>
            <w:tcW w:w="1396" w:type="dxa"/>
            <w:tcBorders>
              <w:top w:val="nil"/>
              <w:left w:val="nil"/>
              <w:bottom w:val="nil"/>
              <w:right w:val="single" w:sz="12" w:space="0" w:color="auto"/>
            </w:tcBorders>
            <w:shd w:val="clear" w:color="auto" w:fill="auto"/>
            <w:noWrap/>
          </w:tcPr>
          <w:p w14:paraId="4E33D6E1" w14:textId="27CC6477"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-0.265</w:t>
            </w:r>
          </w:p>
        </w:tc>
        <w:tc>
          <w:tcPr>
            <w:tcW w:w="1434" w:type="dxa"/>
            <w:tcBorders>
              <w:top w:val="nil"/>
              <w:left w:val="single" w:sz="12" w:space="0" w:color="auto"/>
              <w:bottom w:val="nil"/>
            </w:tcBorders>
          </w:tcPr>
          <w:p w14:paraId="35C751D3" w14:textId="3F72F547"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-0.354</w:t>
            </w:r>
          </w:p>
        </w:tc>
        <w:tc>
          <w:tcPr>
            <w:tcW w:w="1390" w:type="dxa"/>
            <w:tcBorders>
              <w:top w:val="nil"/>
              <w:left w:val="nil"/>
              <w:bottom w:val="nil"/>
              <w:right w:val="nil"/>
            </w:tcBorders>
          </w:tcPr>
          <w:p w14:paraId="3A9AEE8F" w14:textId="6BA3AFE8"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6.829</w:t>
            </w:r>
          </w:p>
        </w:tc>
        <w:tc>
          <w:tcPr>
            <w:tcW w:w="1426" w:type="dxa"/>
            <w:tcBorders>
              <w:top w:val="nil"/>
              <w:left w:val="nil"/>
              <w:bottom w:val="nil"/>
            </w:tcBorders>
          </w:tcPr>
          <w:p w14:paraId="64BEB4CC" w14:textId="7E6BABD3"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r>
      <w:tr w:rsidR="00EE533D" w:rsidRPr="00EE533D" w14:paraId="1CB953B0" w14:textId="77777777" w:rsidTr="00F4319C">
        <w:trPr>
          <w:trHeight w:val="71"/>
        </w:trPr>
        <w:tc>
          <w:tcPr>
            <w:tcW w:w="2806" w:type="dxa"/>
            <w:tcBorders>
              <w:top w:val="nil"/>
              <w:left w:val="nil"/>
              <w:bottom w:val="nil"/>
              <w:right w:val="nil"/>
            </w:tcBorders>
            <w:shd w:val="clear" w:color="auto" w:fill="auto"/>
            <w:noWrap/>
          </w:tcPr>
          <w:p w14:paraId="1C6A0F99"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BE52838" w14:textId="6C7490BA"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(2.993)</w:t>
            </w:r>
          </w:p>
        </w:tc>
        <w:tc>
          <w:tcPr>
            <w:tcW w:w="1498" w:type="dxa"/>
            <w:tcBorders>
              <w:top w:val="nil"/>
              <w:left w:val="nil"/>
              <w:bottom w:val="nil"/>
              <w:right w:val="nil"/>
            </w:tcBorders>
          </w:tcPr>
          <w:p w14:paraId="1144A957" w14:textId="2E2F450F"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(7.473)</w:t>
            </w:r>
          </w:p>
        </w:tc>
        <w:tc>
          <w:tcPr>
            <w:tcW w:w="1396" w:type="dxa"/>
            <w:tcBorders>
              <w:top w:val="nil"/>
              <w:left w:val="nil"/>
              <w:bottom w:val="nil"/>
              <w:right w:val="single" w:sz="12" w:space="0" w:color="auto"/>
            </w:tcBorders>
            <w:shd w:val="clear" w:color="auto" w:fill="auto"/>
            <w:noWrap/>
          </w:tcPr>
          <w:p w14:paraId="12211C8A" w14:textId="4CD77E6A"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(0.333)</w:t>
            </w:r>
          </w:p>
        </w:tc>
        <w:tc>
          <w:tcPr>
            <w:tcW w:w="1434" w:type="dxa"/>
            <w:tcBorders>
              <w:top w:val="nil"/>
              <w:left w:val="single" w:sz="12" w:space="0" w:color="auto"/>
              <w:bottom w:val="nil"/>
            </w:tcBorders>
          </w:tcPr>
          <w:p w14:paraId="1B509AE0" w14:textId="28093DBD"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(4.681)</w:t>
            </w:r>
          </w:p>
        </w:tc>
        <w:tc>
          <w:tcPr>
            <w:tcW w:w="1390" w:type="dxa"/>
            <w:tcBorders>
              <w:top w:val="nil"/>
              <w:left w:val="nil"/>
              <w:bottom w:val="nil"/>
              <w:right w:val="nil"/>
            </w:tcBorders>
          </w:tcPr>
          <w:p w14:paraId="7E523473" w14:textId="56B3BD08"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(6.454)</w:t>
            </w:r>
          </w:p>
        </w:tc>
        <w:tc>
          <w:tcPr>
            <w:tcW w:w="1426" w:type="dxa"/>
            <w:tcBorders>
              <w:top w:val="nil"/>
              <w:left w:val="nil"/>
              <w:bottom w:val="nil"/>
            </w:tcBorders>
          </w:tcPr>
          <w:p w14:paraId="32B31F02" w14:textId="4FD099BF"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(0.904)</w:t>
            </w:r>
          </w:p>
        </w:tc>
      </w:tr>
      <w:tr w:rsidR="00EE533D" w:rsidRPr="00EE533D" w14:paraId="682B63A6" w14:textId="77777777" w:rsidTr="00F4319C">
        <w:trPr>
          <w:trHeight w:val="71"/>
        </w:trPr>
        <w:tc>
          <w:tcPr>
            <w:tcW w:w="2806" w:type="dxa"/>
            <w:tcBorders>
              <w:top w:val="nil"/>
              <w:left w:val="nil"/>
              <w:bottom w:val="nil"/>
              <w:right w:val="nil"/>
            </w:tcBorders>
            <w:shd w:val="clear" w:color="auto" w:fill="auto"/>
            <w:noWrap/>
          </w:tcPr>
          <w:p w14:paraId="0CCC571D"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636B4A7" w14:textId="72A8E673"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1.178</w:t>
            </w:r>
          </w:p>
        </w:tc>
        <w:tc>
          <w:tcPr>
            <w:tcW w:w="1498" w:type="dxa"/>
            <w:tcBorders>
              <w:top w:val="nil"/>
              <w:left w:val="nil"/>
              <w:bottom w:val="nil"/>
              <w:right w:val="nil"/>
            </w:tcBorders>
          </w:tcPr>
          <w:p w14:paraId="4BBD1839" w14:textId="40C29D51"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-10.707*</w:t>
            </w:r>
          </w:p>
        </w:tc>
        <w:tc>
          <w:tcPr>
            <w:tcW w:w="1396" w:type="dxa"/>
            <w:tcBorders>
              <w:top w:val="nil"/>
              <w:left w:val="nil"/>
              <w:bottom w:val="nil"/>
              <w:right w:val="single" w:sz="12" w:space="0" w:color="auto"/>
            </w:tcBorders>
            <w:shd w:val="clear" w:color="auto" w:fill="auto"/>
            <w:noWrap/>
          </w:tcPr>
          <w:p w14:paraId="30572D55" w14:textId="4FD16E82"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0.718*</w:t>
            </w:r>
          </w:p>
        </w:tc>
        <w:tc>
          <w:tcPr>
            <w:tcW w:w="1434" w:type="dxa"/>
            <w:tcBorders>
              <w:top w:val="nil"/>
              <w:left w:val="single" w:sz="12" w:space="0" w:color="auto"/>
              <w:bottom w:val="nil"/>
            </w:tcBorders>
          </w:tcPr>
          <w:p w14:paraId="1B72DB91" w14:textId="1E2B7BB0"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15.678**</w:t>
            </w:r>
          </w:p>
        </w:tc>
        <w:tc>
          <w:tcPr>
            <w:tcW w:w="1390" w:type="dxa"/>
            <w:tcBorders>
              <w:top w:val="nil"/>
              <w:left w:val="nil"/>
              <w:bottom w:val="nil"/>
              <w:right w:val="nil"/>
            </w:tcBorders>
          </w:tcPr>
          <w:p w14:paraId="205DFA4E" w14:textId="5432CCC2"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-11.596</w:t>
            </w:r>
          </w:p>
        </w:tc>
        <w:tc>
          <w:tcPr>
            <w:tcW w:w="1426" w:type="dxa"/>
            <w:tcBorders>
              <w:top w:val="nil"/>
              <w:left w:val="nil"/>
              <w:bottom w:val="nil"/>
            </w:tcBorders>
          </w:tcPr>
          <w:p w14:paraId="505857C1" w14:textId="01BD49E8"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1.031</w:t>
            </w:r>
          </w:p>
        </w:tc>
      </w:tr>
      <w:tr w:rsidR="00EE533D" w:rsidRPr="00EE533D" w14:paraId="3904EE9A" w14:textId="77777777" w:rsidTr="00F4319C">
        <w:trPr>
          <w:trHeight w:val="71"/>
        </w:trPr>
        <w:tc>
          <w:tcPr>
            <w:tcW w:w="2806" w:type="dxa"/>
            <w:tcBorders>
              <w:top w:val="nil"/>
              <w:left w:val="nil"/>
              <w:bottom w:val="nil"/>
              <w:right w:val="nil"/>
            </w:tcBorders>
            <w:shd w:val="clear" w:color="auto" w:fill="auto"/>
            <w:noWrap/>
          </w:tcPr>
          <w:p w14:paraId="639ABDA8"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26AB484" w14:textId="186AA91D"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(5.299)</w:t>
            </w:r>
          </w:p>
        </w:tc>
        <w:tc>
          <w:tcPr>
            <w:tcW w:w="1498" w:type="dxa"/>
            <w:tcBorders>
              <w:top w:val="nil"/>
              <w:left w:val="nil"/>
              <w:bottom w:val="nil"/>
              <w:right w:val="nil"/>
            </w:tcBorders>
          </w:tcPr>
          <w:p w14:paraId="129C07AB" w14:textId="7B61BC8D"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(4.686)</w:t>
            </w:r>
          </w:p>
        </w:tc>
        <w:tc>
          <w:tcPr>
            <w:tcW w:w="1396" w:type="dxa"/>
            <w:tcBorders>
              <w:top w:val="nil"/>
              <w:left w:val="nil"/>
              <w:bottom w:val="nil"/>
              <w:right w:val="single" w:sz="12" w:space="0" w:color="auto"/>
            </w:tcBorders>
            <w:shd w:val="clear" w:color="auto" w:fill="auto"/>
            <w:noWrap/>
          </w:tcPr>
          <w:p w14:paraId="06DEEB30" w14:textId="4F5429FD"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(0.381)</w:t>
            </w:r>
          </w:p>
        </w:tc>
        <w:tc>
          <w:tcPr>
            <w:tcW w:w="1434" w:type="dxa"/>
            <w:tcBorders>
              <w:top w:val="nil"/>
              <w:left w:val="single" w:sz="12" w:space="0" w:color="auto"/>
              <w:bottom w:val="nil"/>
            </w:tcBorders>
          </w:tcPr>
          <w:p w14:paraId="30F14F87" w14:textId="0686EF34"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(6.582)</w:t>
            </w:r>
          </w:p>
        </w:tc>
        <w:tc>
          <w:tcPr>
            <w:tcW w:w="1390" w:type="dxa"/>
            <w:tcBorders>
              <w:top w:val="nil"/>
              <w:left w:val="nil"/>
              <w:bottom w:val="nil"/>
              <w:right w:val="nil"/>
            </w:tcBorders>
          </w:tcPr>
          <w:p w14:paraId="3484C5A3" w14:textId="0C2F4E9E"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(7.348)</w:t>
            </w:r>
          </w:p>
        </w:tc>
        <w:tc>
          <w:tcPr>
            <w:tcW w:w="1426" w:type="dxa"/>
            <w:tcBorders>
              <w:top w:val="nil"/>
              <w:left w:val="nil"/>
              <w:bottom w:val="nil"/>
            </w:tcBorders>
          </w:tcPr>
          <w:p w14:paraId="649EBEA7" w14:textId="0C6857AD"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(1.793)</w:t>
            </w:r>
          </w:p>
        </w:tc>
      </w:tr>
      <w:tr w:rsidR="00EE533D" w:rsidRPr="00EE533D" w14:paraId="15033E4C" w14:textId="77777777" w:rsidTr="00F4319C">
        <w:trPr>
          <w:trHeight w:val="71"/>
        </w:trPr>
        <w:tc>
          <w:tcPr>
            <w:tcW w:w="2806" w:type="dxa"/>
            <w:tcBorders>
              <w:top w:val="nil"/>
              <w:left w:val="nil"/>
              <w:bottom w:val="nil"/>
              <w:right w:val="nil"/>
            </w:tcBorders>
            <w:shd w:val="clear" w:color="auto" w:fill="auto"/>
            <w:noWrap/>
          </w:tcPr>
          <w:p w14:paraId="0D424CEF"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38E2F23" w14:textId="60C85AC1"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-1.242</w:t>
            </w:r>
          </w:p>
        </w:tc>
        <w:tc>
          <w:tcPr>
            <w:tcW w:w="1498" w:type="dxa"/>
            <w:tcBorders>
              <w:top w:val="nil"/>
              <w:left w:val="nil"/>
              <w:bottom w:val="nil"/>
              <w:right w:val="nil"/>
            </w:tcBorders>
          </w:tcPr>
          <w:p w14:paraId="40B3220A" w14:textId="3A836B9B"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-0.478</w:t>
            </w:r>
          </w:p>
        </w:tc>
        <w:tc>
          <w:tcPr>
            <w:tcW w:w="1396" w:type="dxa"/>
            <w:tcBorders>
              <w:top w:val="nil"/>
              <w:left w:val="nil"/>
              <w:bottom w:val="nil"/>
              <w:right w:val="single" w:sz="12" w:space="0" w:color="auto"/>
            </w:tcBorders>
            <w:shd w:val="clear" w:color="auto" w:fill="auto"/>
            <w:noWrap/>
          </w:tcPr>
          <w:p w14:paraId="332DA8AF" w14:textId="1C31AE84"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-0.405</w:t>
            </w:r>
          </w:p>
        </w:tc>
        <w:tc>
          <w:tcPr>
            <w:tcW w:w="1434" w:type="dxa"/>
            <w:tcBorders>
              <w:top w:val="nil"/>
              <w:left w:val="single" w:sz="12" w:space="0" w:color="auto"/>
              <w:bottom w:val="nil"/>
            </w:tcBorders>
          </w:tcPr>
          <w:p w14:paraId="79AD0D40" w14:textId="6BBA6E16"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-14.978*</w:t>
            </w:r>
          </w:p>
        </w:tc>
        <w:tc>
          <w:tcPr>
            <w:tcW w:w="1390" w:type="dxa"/>
            <w:tcBorders>
              <w:top w:val="nil"/>
              <w:left w:val="nil"/>
              <w:bottom w:val="nil"/>
              <w:right w:val="nil"/>
            </w:tcBorders>
          </w:tcPr>
          <w:p w14:paraId="7EE23B9E" w14:textId="23630692"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-16.805</w:t>
            </w:r>
          </w:p>
        </w:tc>
        <w:tc>
          <w:tcPr>
            <w:tcW w:w="1426" w:type="dxa"/>
            <w:tcBorders>
              <w:top w:val="nil"/>
              <w:left w:val="nil"/>
              <w:bottom w:val="nil"/>
            </w:tcBorders>
          </w:tcPr>
          <w:p w14:paraId="481627D7" w14:textId="775D2D8B"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3.136</w:t>
            </w:r>
          </w:p>
        </w:tc>
      </w:tr>
      <w:tr w:rsidR="00EE533D" w:rsidRPr="00EE533D" w14:paraId="152A70FC" w14:textId="77777777" w:rsidTr="00F4319C">
        <w:trPr>
          <w:trHeight w:val="71"/>
        </w:trPr>
        <w:tc>
          <w:tcPr>
            <w:tcW w:w="2806" w:type="dxa"/>
            <w:tcBorders>
              <w:top w:val="nil"/>
              <w:left w:val="nil"/>
              <w:bottom w:val="nil"/>
              <w:right w:val="nil"/>
            </w:tcBorders>
            <w:shd w:val="clear" w:color="auto" w:fill="auto"/>
            <w:noWrap/>
          </w:tcPr>
          <w:p w14:paraId="38799F42"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CDF82EA" w14:textId="10F1E1B6"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(10.775)</w:t>
            </w:r>
          </w:p>
        </w:tc>
        <w:tc>
          <w:tcPr>
            <w:tcW w:w="1498" w:type="dxa"/>
            <w:tcBorders>
              <w:top w:val="nil"/>
              <w:left w:val="nil"/>
              <w:bottom w:val="nil"/>
              <w:right w:val="nil"/>
            </w:tcBorders>
          </w:tcPr>
          <w:p w14:paraId="15AE1FFB" w14:textId="297A41D0"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(3.282)</w:t>
            </w:r>
          </w:p>
        </w:tc>
        <w:tc>
          <w:tcPr>
            <w:tcW w:w="1396" w:type="dxa"/>
            <w:tcBorders>
              <w:top w:val="nil"/>
              <w:left w:val="nil"/>
              <w:bottom w:val="nil"/>
              <w:right w:val="single" w:sz="12" w:space="0" w:color="auto"/>
            </w:tcBorders>
            <w:shd w:val="clear" w:color="auto" w:fill="auto"/>
            <w:noWrap/>
          </w:tcPr>
          <w:p w14:paraId="540D92E9" w14:textId="51D29D9E"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(0.730)</w:t>
            </w:r>
          </w:p>
        </w:tc>
        <w:tc>
          <w:tcPr>
            <w:tcW w:w="1434" w:type="dxa"/>
            <w:tcBorders>
              <w:top w:val="nil"/>
              <w:left w:val="single" w:sz="12" w:space="0" w:color="auto"/>
              <w:bottom w:val="nil"/>
            </w:tcBorders>
          </w:tcPr>
          <w:p w14:paraId="27C9CD5D" w14:textId="46853979"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(7.573)</w:t>
            </w:r>
          </w:p>
        </w:tc>
        <w:tc>
          <w:tcPr>
            <w:tcW w:w="1390" w:type="dxa"/>
            <w:tcBorders>
              <w:top w:val="nil"/>
              <w:left w:val="nil"/>
              <w:bottom w:val="nil"/>
              <w:right w:val="nil"/>
            </w:tcBorders>
          </w:tcPr>
          <w:p w14:paraId="03D81EAA" w14:textId="502F2A57"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(17.544)</w:t>
            </w:r>
          </w:p>
        </w:tc>
        <w:tc>
          <w:tcPr>
            <w:tcW w:w="1426" w:type="dxa"/>
            <w:tcBorders>
              <w:top w:val="nil"/>
              <w:left w:val="nil"/>
              <w:bottom w:val="nil"/>
            </w:tcBorders>
          </w:tcPr>
          <w:p w14:paraId="151D03E0" w14:textId="691BCE41"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(3.085)</w:t>
            </w:r>
          </w:p>
        </w:tc>
      </w:tr>
      <w:tr w:rsidR="00EE533D" w:rsidRPr="00EE533D" w14:paraId="338F4A41" w14:textId="77777777" w:rsidTr="00F4319C">
        <w:trPr>
          <w:trHeight w:val="71"/>
        </w:trPr>
        <w:tc>
          <w:tcPr>
            <w:tcW w:w="2806" w:type="dxa"/>
            <w:tcBorders>
              <w:top w:val="nil"/>
              <w:left w:val="nil"/>
              <w:bottom w:val="nil"/>
              <w:right w:val="nil"/>
            </w:tcBorders>
            <w:shd w:val="clear" w:color="auto" w:fill="auto"/>
            <w:noWrap/>
          </w:tcPr>
          <w:p w14:paraId="183D2766" w14:textId="1A1EF615" w:rsidR="00BA5CAA" w:rsidRPr="00EE533D" w:rsidRDefault="00BA5CAA" w:rsidP="00BA5CAA">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D1D4234" w14:textId="1164D63D"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498" w:type="dxa"/>
            <w:tcBorders>
              <w:top w:val="nil"/>
              <w:left w:val="nil"/>
              <w:bottom w:val="nil"/>
              <w:right w:val="nil"/>
            </w:tcBorders>
          </w:tcPr>
          <w:p w14:paraId="6681B009" w14:textId="77EE346E"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396" w:type="dxa"/>
            <w:tcBorders>
              <w:top w:val="nil"/>
              <w:left w:val="nil"/>
              <w:bottom w:val="nil"/>
              <w:right w:val="single" w:sz="12" w:space="0" w:color="auto"/>
            </w:tcBorders>
            <w:shd w:val="clear" w:color="auto" w:fill="auto"/>
            <w:noWrap/>
          </w:tcPr>
          <w:p w14:paraId="184B3FE2" w14:textId="2700C3FD"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4" w:type="dxa"/>
            <w:tcBorders>
              <w:top w:val="nil"/>
              <w:left w:val="single" w:sz="12" w:space="0" w:color="auto"/>
              <w:bottom w:val="nil"/>
            </w:tcBorders>
          </w:tcPr>
          <w:p w14:paraId="19DE892F" w14:textId="31F16B5D"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0.034**</w:t>
            </w:r>
          </w:p>
        </w:tc>
        <w:tc>
          <w:tcPr>
            <w:tcW w:w="1390" w:type="dxa"/>
            <w:tcBorders>
              <w:top w:val="nil"/>
              <w:left w:val="nil"/>
              <w:bottom w:val="nil"/>
              <w:right w:val="nil"/>
            </w:tcBorders>
          </w:tcPr>
          <w:p w14:paraId="09419FE0" w14:textId="32F48E4F"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426" w:type="dxa"/>
            <w:tcBorders>
              <w:top w:val="nil"/>
              <w:left w:val="nil"/>
              <w:bottom w:val="nil"/>
            </w:tcBorders>
          </w:tcPr>
          <w:p w14:paraId="359F1903" w14:textId="1E214D29"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r>
      <w:tr w:rsidR="00EE533D" w:rsidRPr="00EE533D" w14:paraId="20EA82FE" w14:textId="77777777" w:rsidTr="00F4319C">
        <w:trPr>
          <w:trHeight w:val="71"/>
        </w:trPr>
        <w:tc>
          <w:tcPr>
            <w:tcW w:w="2806" w:type="dxa"/>
            <w:tcBorders>
              <w:top w:val="nil"/>
              <w:left w:val="nil"/>
              <w:bottom w:val="nil"/>
              <w:right w:val="nil"/>
            </w:tcBorders>
            <w:shd w:val="clear" w:color="auto" w:fill="auto"/>
            <w:noWrap/>
          </w:tcPr>
          <w:p w14:paraId="1B206201" w14:textId="77777777" w:rsidR="00BA5CAA" w:rsidRPr="00EE533D" w:rsidRDefault="00BA5CAA" w:rsidP="00BA5CAA">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45C714B" w14:textId="709CDD2D"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498" w:type="dxa"/>
            <w:tcBorders>
              <w:top w:val="nil"/>
              <w:left w:val="nil"/>
              <w:bottom w:val="nil"/>
              <w:right w:val="nil"/>
            </w:tcBorders>
          </w:tcPr>
          <w:p w14:paraId="2973152D" w14:textId="7D3BF94F"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396" w:type="dxa"/>
            <w:tcBorders>
              <w:top w:val="nil"/>
              <w:left w:val="nil"/>
              <w:bottom w:val="nil"/>
              <w:right w:val="single" w:sz="12" w:space="0" w:color="auto"/>
            </w:tcBorders>
            <w:shd w:val="clear" w:color="auto" w:fill="auto"/>
            <w:noWrap/>
          </w:tcPr>
          <w:p w14:paraId="3F002B66" w14:textId="06A23AB3"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left w:val="single" w:sz="12" w:space="0" w:color="auto"/>
              <w:bottom w:val="nil"/>
            </w:tcBorders>
          </w:tcPr>
          <w:p w14:paraId="048DCFE9" w14:textId="14D99DD2"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390" w:type="dxa"/>
            <w:tcBorders>
              <w:top w:val="nil"/>
              <w:left w:val="nil"/>
              <w:bottom w:val="nil"/>
              <w:right w:val="nil"/>
            </w:tcBorders>
          </w:tcPr>
          <w:p w14:paraId="4F6DC7AE" w14:textId="36DA54B0"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(0.034)</w:t>
            </w:r>
          </w:p>
        </w:tc>
        <w:tc>
          <w:tcPr>
            <w:tcW w:w="1426" w:type="dxa"/>
            <w:tcBorders>
              <w:top w:val="nil"/>
              <w:left w:val="nil"/>
              <w:bottom w:val="nil"/>
            </w:tcBorders>
          </w:tcPr>
          <w:p w14:paraId="4192343B" w14:textId="37815647"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r>
      <w:tr w:rsidR="00EE533D" w:rsidRPr="00EE533D" w14:paraId="211F8FCE" w14:textId="77777777" w:rsidTr="00F4319C">
        <w:trPr>
          <w:trHeight w:val="71"/>
        </w:trPr>
        <w:tc>
          <w:tcPr>
            <w:tcW w:w="2806" w:type="dxa"/>
            <w:tcBorders>
              <w:top w:val="nil"/>
              <w:left w:val="nil"/>
              <w:bottom w:val="nil"/>
              <w:right w:val="nil"/>
            </w:tcBorders>
            <w:shd w:val="clear" w:color="auto" w:fill="auto"/>
            <w:noWrap/>
          </w:tcPr>
          <w:p w14:paraId="5FB00FA8" w14:textId="338286A2" w:rsidR="00BA5CAA" w:rsidRPr="00EE533D" w:rsidRDefault="00BA5CAA" w:rsidP="00BA5CAA">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0558184" w14:textId="28B399A1"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98" w:type="dxa"/>
            <w:tcBorders>
              <w:top w:val="nil"/>
              <w:left w:val="nil"/>
              <w:bottom w:val="nil"/>
              <w:right w:val="nil"/>
            </w:tcBorders>
          </w:tcPr>
          <w:p w14:paraId="6B56647D" w14:textId="28CA591F"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396" w:type="dxa"/>
            <w:tcBorders>
              <w:top w:val="nil"/>
              <w:left w:val="nil"/>
              <w:bottom w:val="nil"/>
              <w:right w:val="single" w:sz="12" w:space="0" w:color="auto"/>
            </w:tcBorders>
            <w:shd w:val="clear" w:color="auto" w:fill="auto"/>
            <w:noWrap/>
          </w:tcPr>
          <w:p w14:paraId="6C5A10CF" w14:textId="56A7AB7C"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5643D819" w14:textId="08C38447"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390" w:type="dxa"/>
            <w:tcBorders>
              <w:top w:val="nil"/>
              <w:left w:val="nil"/>
              <w:bottom w:val="nil"/>
              <w:right w:val="nil"/>
            </w:tcBorders>
          </w:tcPr>
          <w:p w14:paraId="03C61D83" w14:textId="1F4469CF"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426" w:type="dxa"/>
            <w:tcBorders>
              <w:top w:val="nil"/>
              <w:left w:val="nil"/>
              <w:bottom w:val="nil"/>
            </w:tcBorders>
          </w:tcPr>
          <w:p w14:paraId="6266E9AD" w14:textId="60A498B4"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72045767" w14:textId="77777777" w:rsidTr="00F4319C">
        <w:trPr>
          <w:trHeight w:val="71"/>
        </w:trPr>
        <w:tc>
          <w:tcPr>
            <w:tcW w:w="2806" w:type="dxa"/>
            <w:tcBorders>
              <w:top w:val="nil"/>
              <w:left w:val="nil"/>
              <w:bottom w:val="nil"/>
              <w:right w:val="nil"/>
            </w:tcBorders>
            <w:shd w:val="clear" w:color="auto" w:fill="auto"/>
            <w:noWrap/>
          </w:tcPr>
          <w:p w14:paraId="52DC9246" w14:textId="77777777" w:rsidR="00BA5CAA" w:rsidRPr="00EE533D" w:rsidRDefault="00BA5CAA" w:rsidP="00BA5CAA">
            <w:pPr>
              <w:spacing w:after="0"/>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2E4695C" w14:textId="2FE82162"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498" w:type="dxa"/>
            <w:tcBorders>
              <w:top w:val="nil"/>
              <w:left w:val="nil"/>
              <w:bottom w:val="nil"/>
              <w:right w:val="nil"/>
            </w:tcBorders>
          </w:tcPr>
          <w:p w14:paraId="3FAAD7C5" w14:textId="23A3D64C"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(0.037)</w:t>
            </w:r>
          </w:p>
        </w:tc>
        <w:tc>
          <w:tcPr>
            <w:tcW w:w="1396" w:type="dxa"/>
            <w:tcBorders>
              <w:top w:val="nil"/>
              <w:left w:val="nil"/>
              <w:bottom w:val="nil"/>
              <w:right w:val="single" w:sz="12" w:space="0" w:color="auto"/>
            </w:tcBorders>
            <w:shd w:val="clear" w:color="auto" w:fill="auto"/>
            <w:noWrap/>
          </w:tcPr>
          <w:p w14:paraId="18248965" w14:textId="25CC45C3"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4CB79F96" w14:textId="2DD66E40"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390" w:type="dxa"/>
            <w:tcBorders>
              <w:top w:val="nil"/>
              <w:left w:val="nil"/>
              <w:bottom w:val="nil"/>
              <w:right w:val="nil"/>
            </w:tcBorders>
          </w:tcPr>
          <w:p w14:paraId="3B722AAA" w14:textId="21346135"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426" w:type="dxa"/>
            <w:tcBorders>
              <w:top w:val="nil"/>
              <w:left w:val="nil"/>
              <w:bottom w:val="nil"/>
            </w:tcBorders>
          </w:tcPr>
          <w:p w14:paraId="25DB8830" w14:textId="2294A861"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r>
      <w:tr w:rsidR="00EE533D" w:rsidRPr="00EE533D" w14:paraId="1FF5BF98" w14:textId="77777777" w:rsidTr="00F4319C">
        <w:trPr>
          <w:trHeight w:val="71"/>
        </w:trPr>
        <w:tc>
          <w:tcPr>
            <w:tcW w:w="2806" w:type="dxa"/>
            <w:tcBorders>
              <w:top w:val="nil"/>
              <w:left w:val="nil"/>
              <w:bottom w:val="nil"/>
              <w:right w:val="nil"/>
            </w:tcBorders>
            <w:shd w:val="clear" w:color="auto" w:fill="auto"/>
            <w:noWrap/>
          </w:tcPr>
          <w:p w14:paraId="2B99EC93" w14:textId="43BEA31C" w:rsidR="00BA5CAA" w:rsidRPr="00EE533D" w:rsidRDefault="00BA5CAA" w:rsidP="00BA5CAA">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B159B71" w14:textId="3F24E199"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0.364</w:t>
            </w:r>
          </w:p>
        </w:tc>
        <w:tc>
          <w:tcPr>
            <w:tcW w:w="1498" w:type="dxa"/>
            <w:tcBorders>
              <w:top w:val="nil"/>
              <w:left w:val="nil"/>
              <w:bottom w:val="nil"/>
              <w:right w:val="nil"/>
            </w:tcBorders>
          </w:tcPr>
          <w:p w14:paraId="16F9284D" w14:textId="7516A520"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-3.437*</w:t>
            </w:r>
          </w:p>
        </w:tc>
        <w:tc>
          <w:tcPr>
            <w:tcW w:w="1396" w:type="dxa"/>
            <w:tcBorders>
              <w:top w:val="nil"/>
              <w:left w:val="nil"/>
              <w:bottom w:val="nil"/>
              <w:right w:val="single" w:sz="12" w:space="0" w:color="auto"/>
            </w:tcBorders>
            <w:shd w:val="clear" w:color="auto" w:fill="auto"/>
            <w:noWrap/>
          </w:tcPr>
          <w:p w14:paraId="6F8BDB2D" w14:textId="55B16A85"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34" w:type="dxa"/>
            <w:tcBorders>
              <w:top w:val="nil"/>
              <w:left w:val="single" w:sz="12" w:space="0" w:color="auto"/>
              <w:bottom w:val="nil"/>
            </w:tcBorders>
          </w:tcPr>
          <w:p w14:paraId="636438F1" w14:textId="30C334EE"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1.408</w:t>
            </w:r>
          </w:p>
        </w:tc>
        <w:tc>
          <w:tcPr>
            <w:tcW w:w="1390" w:type="dxa"/>
            <w:tcBorders>
              <w:top w:val="nil"/>
              <w:left w:val="nil"/>
              <w:bottom w:val="nil"/>
              <w:right w:val="nil"/>
            </w:tcBorders>
          </w:tcPr>
          <w:p w14:paraId="16E96F76" w14:textId="61A1E786"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0.905</w:t>
            </w:r>
          </w:p>
        </w:tc>
        <w:tc>
          <w:tcPr>
            <w:tcW w:w="1426" w:type="dxa"/>
            <w:tcBorders>
              <w:top w:val="nil"/>
              <w:left w:val="nil"/>
              <w:bottom w:val="nil"/>
            </w:tcBorders>
          </w:tcPr>
          <w:p w14:paraId="1465C9A7" w14:textId="634B0705"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-0.386</w:t>
            </w:r>
          </w:p>
        </w:tc>
      </w:tr>
      <w:tr w:rsidR="00EE533D" w:rsidRPr="00EE533D" w14:paraId="61EC755A" w14:textId="77777777" w:rsidTr="00F4319C">
        <w:trPr>
          <w:trHeight w:val="71"/>
        </w:trPr>
        <w:tc>
          <w:tcPr>
            <w:tcW w:w="2806" w:type="dxa"/>
            <w:tcBorders>
              <w:top w:val="nil"/>
              <w:left w:val="nil"/>
              <w:bottom w:val="nil"/>
              <w:right w:val="nil"/>
            </w:tcBorders>
            <w:shd w:val="clear" w:color="auto" w:fill="auto"/>
            <w:noWrap/>
          </w:tcPr>
          <w:p w14:paraId="31C3FF57" w14:textId="77777777" w:rsidR="00BA5CAA" w:rsidRPr="00EE533D" w:rsidRDefault="00BA5CAA" w:rsidP="00BA5CAA">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7276D45" w14:textId="0919391A"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(3.704)</w:t>
            </w:r>
          </w:p>
        </w:tc>
        <w:tc>
          <w:tcPr>
            <w:tcW w:w="1498" w:type="dxa"/>
            <w:tcBorders>
              <w:top w:val="nil"/>
              <w:left w:val="nil"/>
              <w:bottom w:val="nil"/>
              <w:right w:val="nil"/>
            </w:tcBorders>
          </w:tcPr>
          <w:p w14:paraId="4E97C08A" w14:textId="300C3B08"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(1.844)</w:t>
            </w:r>
          </w:p>
        </w:tc>
        <w:tc>
          <w:tcPr>
            <w:tcW w:w="1396" w:type="dxa"/>
            <w:tcBorders>
              <w:top w:val="nil"/>
              <w:left w:val="nil"/>
              <w:bottom w:val="nil"/>
              <w:right w:val="single" w:sz="12" w:space="0" w:color="auto"/>
            </w:tcBorders>
            <w:shd w:val="clear" w:color="auto" w:fill="auto"/>
            <w:noWrap/>
          </w:tcPr>
          <w:p w14:paraId="2EC24B1F" w14:textId="48160403"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(0.228)</w:t>
            </w:r>
          </w:p>
        </w:tc>
        <w:tc>
          <w:tcPr>
            <w:tcW w:w="1434" w:type="dxa"/>
            <w:tcBorders>
              <w:top w:val="nil"/>
              <w:left w:val="single" w:sz="12" w:space="0" w:color="auto"/>
              <w:bottom w:val="nil"/>
            </w:tcBorders>
          </w:tcPr>
          <w:p w14:paraId="6EC8A7B2" w14:textId="3DAFC5F6"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(1.670)</w:t>
            </w:r>
          </w:p>
        </w:tc>
        <w:tc>
          <w:tcPr>
            <w:tcW w:w="1390" w:type="dxa"/>
            <w:tcBorders>
              <w:top w:val="nil"/>
              <w:left w:val="nil"/>
              <w:bottom w:val="nil"/>
              <w:right w:val="nil"/>
            </w:tcBorders>
          </w:tcPr>
          <w:p w14:paraId="22D643CA" w14:textId="0CA120D7"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(0.633)</w:t>
            </w:r>
          </w:p>
        </w:tc>
        <w:tc>
          <w:tcPr>
            <w:tcW w:w="1426" w:type="dxa"/>
            <w:tcBorders>
              <w:top w:val="nil"/>
              <w:left w:val="nil"/>
              <w:bottom w:val="nil"/>
            </w:tcBorders>
          </w:tcPr>
          <w:p w14:paraId="10F3540F" w14:textId="67F97C73"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(0.362)</w:t>
            </w:r>
          </w:p>
        </w:tc>
      </w:tr>
      <w:tr w:rsidR="00EE533D" w:rsidRPr="00EE533D" w14:paraId="13DFADB9" w14:textId="77777777" w:rsidTr="00F4319C">
        <w:trPr>
          <w:trHeight w:val="71"/>
        </w:trPr>
        <w:tc>
          <w:tcPr>
            <w:tcW w:w="2806" w:type="dxa"/>
            <w:tcBorders>
              <w:top w:val="nil"/>
              <w:left w:val="nil"/>
              <w:bottom w:val="nil"/>
              <w:right w:val="nil"/>
            </w:tcBorders>
            <w:shd w:val="clear" w:color="auto" w:fill="auto"/>
            <w:noWrap/>
          </w:tcPr>
          <w:p w14:paraId="475ED67C" w14:textId="03D7DE18" w:rsidR="00BA5CAA" w:rsidRPr="00EE533D" w:rsidRDefault="00BA5CAA" w:rsidP="00BA5CAA">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C573641" w14:textId="46561CC6"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-0.549</w:t>
            </w:r>
          </w:p>
        </w:tc>
        <w:tc>
          <w:tcPr>
            <w:tcW w:w="1498" w:type="dxa"/>
            <w:tcBorders>
              <w:top w:val="nil"/>
              <w:left w:val="nil"/>
              <w:bottom w:val="nil"/>
              <w:right w:val="nil"/>
            </w:tcBorders>
          </w:tcPr>
          <w:p w14:paraId="58C921F8" w14:textId="799724C1"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-2.336</w:t>
            </w:r>
          </w:p>
        </w:tc>
        <w:tc>
          <w:tcPr>
            <w:tcW w:w="1396" w:type="dxa"/>
            <w:tcBorders>
              <w:top w:val="nil"/>
              <w:left w:val="nil"/>
              <w:bottom w:val="nil"/>
              <w:right w:val="single" w:sz="12" w:space="0" w:color="auto"/>
            </w:tcBorders>
            <w:shd w:val="clear" w:color="auto" w:fill="auto"/>
            <w:noWrap/>
          </w:tcPr>
          <w:p w14:paraId="37291670" w14:textId="18481B75"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434" w:type="dxa"/>
            <w:tcBorders>
              <w:top w:val="nil"/>
              <w:left w:val="single" w:sz="12" w:space="0" w:color="auto"/>
              <w:bottom w:val="nil"/>
            </w:tcBorders>
          </w:tcPr>
          <w:p w14:paraId="3E4E9D61" w14:textId="634B330D"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-7.044*</w:t>
            </w:r>
          </w:p>
        </w:tc>
        <w:tc>
          <w:tcPr>
            <w:tcW w:w="1390" w:type="dxa"/>
            <w:tcBorders>
              <w:top w:val="nil"/>
              <w:left w:val="nil"/>
              <w:bottom w:val="nil"/>
              <w:right w:val="nil"/>
            </w:tcBorders>
          </w:tcPr>
          <w:p w14:paraId="68F87225" w14:textId="2E2B370F"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-4.367*</w:t>
            </w:r>
          </w:p>
        </w:tc>
        <w:tc>
          <w:tcPr>
            <w:tcW w:w="1426" w:type="dxa"/>
            <w:tcBorders>
              <w:top w:val="nil"/>
              <w:left w:val="nil"/>
              <w:bottom w:val="nil"/>
            </w:tcBorders>
          </w:tcPr>
          <w:p w14:paraId="1E3FE277" w14:textId="593001F7"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r>
      <w:tr w:rsidR="00EE533D" w:rsidRPr="00EE533D" w14:paraId="1ED664F2" w14:textId="77777777" w:rsidTr="00F4319C">
        <w:trPr>
          <w:trHeight w:val="71"/>
        </w:trPr>
        <w:tc>
          <w:tcPr>
            <w:tcW w:w="2806" w:type="dxa"/>
            <w:tcBorders>
              <w:top w:val="nil"/>
              <w:left w:val="nil"/>
              <w:bottom w:val="nil"/>
              <w:right w:val="nil"/>
            </w:tcBorders>
            <w:shd w:val="clear" w:color="auto" w:fill="auto"/>
            <w:noWrap/>
          </w:tcPr>
          <w:p w14:paraId="0718586B" w14:textId="77777777" w:rsidR="00BA5CAA" w:rsidRPr="00EE533D" w:rsidRDefault="00BA5CAA" w:rsidP="00BA5CAA">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C04BBEA" w14:textId="1B840D4E"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(1.704)</w:t>
            </w:r>
          </w:p>
        </w:tc>
        <w:tc>
          <w:tcPr>
            <w:tcW w:w="1498" w:type="dxa"/>
            <w:tcBorders>
              <w:top w:val="nil"/>
              <w:left w:val="nil"/>
              <w:bottom w:val="nil"/>
              <w:right w:val="nil"/>
            </w:tcBorders>
          </w:tcPr>
          <w:p w14:paraId="6CA9DEF1" w14:textId="60232527"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(4.981)</w:t>
            </w:r>
          </w:p>
        </w:tc>
        <w:tc>
          <w:tcPr>
            <w:tcW w:w="1396" w:type="dxa"/>
            <w:tcBorders>
              <w:top w:val="nil"/>
              <w:left w:val="nil"/>
              <w:bottom w:val="nil"/>
              <w:right w:val="single" w:sz="12" w:space="0" w:color="auto"/>
            </w:tcBorders>
            <w:shd w:val="clear" w:color="auto" w:fill="auto"/>
            <w:noWrap/>
          </w:tcPr>
          <w:p w14:paraId="4BDAA2B6" w14:textId="4046B43C"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(0.296)</w:t>
            </w:r>
          </w:p>
        </w:tc>
        <w:tc>
          <w:tcPr>
            <w:tcW w:w="1434" w:type="dxa"/>
            <w:tcBorders>
              <w:top w:val="nil"/>
              <w:left w:val="single" w:sz="12" w:space="0" w:color="auto"/>
              <w:bottom w:val="nil"/>
            </w:tcBorders>
          </w:tcPr>
          <w:p w14:paraId="1DA0EDF8" w14:textId="26854C77"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(3.312)</w:t>
            </w:r>
          </w:p>
        </w:tc>
        <w:tc>
          <w:tcPr>
            <w:tcW w:w="1390" w:type="dxa"/>
            <w:tcBorders>
              <w:top w:val="nil"/>
              <w:left w:val="nil"/>
              <w:bottom w:val="nil"/>
              <w:right w:val="nil"/>
            </w:tcBorders>
          </w:tcPr>
          <w:p w14:paraId="41D6125E" w14:textId="5DDA0FE2"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(2.325)</w:t>
            </w:r>
          </w:p>
        </w:tc>
        <w:tc>
          <w:tcPr>
            <w:tcW w:w="1426" w:type="dxa"/>
            <w:tcBorders>
              <w:top w:val="nil"/>
              <w:left w:val="nil"/>
              <w:bottom w:val="nil"/>
            </w:tcBorders>
          </w:tcPr>
          <w:p w14:paraId="4C8B80BB" w14:textId="4B930F15"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(0.296)</w:t>
            </w:r>
          </w:p>
        </w:tc>
      </w:tr>
      <w:tr w:rsidR="00EE533D" w:rsidRPr="00EE533D" w14:paraId="0A8C0000" w14:textId="77777777" w:rsidTr="00F4319C">
        <w:trPr>
          <w:trHeight w:val="71"/>
        </w:trPr>
        <w:tc>
          <w:tcPr>
            <w:tcW w:w="2806" w:type="dxa"/>
            <w:tcBorders>
              <w:top w:val="nil"/>
              <w:left w:val="nil"/>
              <w:bottom w:val="nil"/>
              <w:right w:val="nil"/>
            </w:tcBorders>
            <w:shd w:val="clear" w:color="auto" w:fill="auto"/>
            <w:noWrap/>
          </w:tcPr>
          <w:p w14:paraId="21EB57AE" w14:textId="60383F02" w:rsidR="00BA5CAA" w:rsidRPr="00EE533D" w:rsidRDefault="00BA5CAA" w:rsidP="00BA5CAA">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C8F77CA" w14:textId="67300FD6"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498" w:type="dxa"/>
            <w:tcBorders>
              <w:top w:val="nil"/>
              <w:left w:val="nil"/>
              <w:bottom w:val="nil"/>
              <w:right w:val="nil"/>
            </w:tcBorders>
          </w:tcPr>
          <w:p w14:paraId="06F36876" w14:textId="586FB16B"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-0.224</w:t>
            </w:r>
          </w:p>
        </w:tc>
        <w:tc>
          <w:tcPr>
            <w:tcW w:w="1396" w:type="dxa"/>
            <w:tcBorders>
              <w:top w:val="nil"/>
              <w:left w:val="nil"/>
              <w:bottom w:val="nil"/>
              <w:right w:val="single" w:sz="12" w:space="0" w:color="auto"/>
            </w:tcBorders>
            <w:shd w:val="clear" w:color="auto" w:fill="auto"/>
            <w:noWrap/>
          </w:tcPr>
          <w:p w14:paraId="42FB35CF" w14:textId="32FE65E0"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4" w:type="dxa"/>
            <w:tcBorders>
              <w:top w:val="nil"/>
              <w:left w:val="single" w:sz="12" w:space="0" w:color="auto"/>
              <w:bottom w:val="nil"/>
            </w:tcBorders>
          </w:tcPr>
          <w:p w14:paraId="3A4C0FDB" w14:textId="139841DD"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0.187</w:t>
            </w:r>
          </w:p>
        </w:tc>
        <w:tc>
          <w:tcPr>
            <w:tcW w:w="1390" w:type="dxa"/>
            <w:tcBorders>
              <w:top w:val="nil"/>
              <w:left w:val="nil"/>
              <w:bottom w:val="nil"/>
              <w:right w:val="nil"/>
            </w:tcBorders>
          </w:tcPr>
          <w:p w14:paraId="13090D3E" w14:textId="1231B6F2"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-0.199*</w:t>
            </w:r>
          </w:p>
        </w:tc>
        <w:tc>
          <w:tcPr>
            <w:tcW w:w="1426" w:type="dxa"/>
            <w:tcBorders>
              <w:top w:val="nil"/>
              <w:left w:val="nil"/>
              <w:bottom w:val="nil"/>
            </w:tcBorders>
          </w:tcPr>
          <w:p w14:paraId="5D4DBE57" w14:textId="072EEC6B"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r>
      <w:tr w:rsidR="00EE533D" w:rsidRPr="00EE533D" w14:paraId="42CA1DD7" w14:textId="77777777" w:rsidTr="00F4319C">
        <w:trPr>
          <w:trHeight w:val="71"/>
        </w:trPr>
        <w:tc>
          <w:tcPr>
            <w:tcW w:w="2806" w:type="dxa"/>
            <w:tcBorders>
              <w:top w:val="nil"/>
              <w:left w:val="nil"/>
              <w:bottom w:val="nil"/>
              <w:right w:val="nil"/>
            </w:tcBorders>
            <w:shd w:val="clear" w:color="auto" w:fill="auto"/>
            <w:noWrap/>
          </w:tcPr>
          <w:p w14:paraId="37E8C529" w14:textId="77777777" w:rsidR="00BA5CAA" w:rsidRPr="00EE533D" w:rsidRDefault="00BA5CAA" w:rsidP="00BA5CAA">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7E08278" w14:textId="139A0A9D" w:rsidR="00BA5CAA" w:rsidRPr="00EE533D" w:rsidRDefault="00BA5CAA" w:rsidP="00BA5CAA">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(0.121)</w:t>
            </w:r>
          </w:p>
        </w:tc>
        <w:tc>
          <w:tcPr>
            <w:tcW w:w="1498" w:type="dxa"/>
            <w:tcBorders>
              <w:top w:val="nil"/>
              <w:left w:val="nil"/>
              <w:bottom w:val="nil"/>
              <w:right w:val="nil"/>
            </w:tcBorders>
          </w:tcPr>
          <w:p w14:paraId="7AFA27DB" w14:textId="6A0E6CB6" w:rsidR="00BA5CAA" w:rsidRPr="00EE533D" w:rsidRDefault="00BA5CAA" w:rsidP="00BA5CAA">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(0.242)</w:t>
            </w:r>
          </w:p>
        </w:tc>
        <w:tc>
          <w:tcPr>
            <w:tcW w:w="1396" w:type="dxa"/>
            <w:tcBorders>
              <w:top w:val="nil"/>
              <w:left w:val="nil"/>
              <w:bottom w:val="nil"/>
              <w:right w:val="single" w:sz="12" w:space="0" w:color="auto"/>
            </w:tcBorders>
            <w:shd w:val="clear" w:color="auto" w:fill="auto"/>
            <w:noWrap/>
          </w:tcPr>
          <w:p w14:paraId="69D7FCE9" w14:textId="6D594D12" w:rsidR="00BA5CAA" w:rsidRPr="00EE533D" w:rsidRDefault="00BA5CAA" w:rsidP="00BA5CAA">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434" w:type="dxa"/>
            <w:tcBorders>
              <w:top w:val="nil"/>
              <w:left w:val="single" w:sz="12" w:space="0" w:color="auto"/>
              <w:bottom w:val="nil"/>
            </w:tcBorders>
          </w:tcPr>
          <w:p w14:paraId="1E0E5655" w14:textId="7B882015" w:rsidR="00BA5CAA" w:rsidRPr="00EE533D" w:rsidRDefault="00BA5CAA" w:rsidP="00BA5CAA">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(0.148)</w:t>
            </w:r>
          </w:p>
        </w:tc>
        <w:tc>
          <w:tcPr>
            <w:tcW w:w="1390" w:type="dxa"/>
            <w:tcBorders>
              <w:top w:val="nil"/>
              <w:left w:val="nil"/>
              <w:bottom w:val="nil"/>
              <w:right w:val="nil"/>
            </w:tcBorders>
          </w:tcPr>
          <w:p w14:paraId="2712ACA2" w14:textId="34AFDB31" w:rsidR="00BA5CAA" w:rsidRPr="00EE533D" w:rsidRDefault="00BA5CAA" w:rsidP="00BA5CAA">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(0.096)</w:t>
            </w:r>
          </w:p>
        </w:tc>
        <w:tc>
          <w:tcPr>
            <w:tcW w:w="1426" w:type="dxa"/>
            <w:tcBorders>
              <w:top w:val="nil"/>
              <w:left w:val="nil"/>
              <w:bottom w:val="nil"/>
            </w:tcBorders>
          </w:tcPr>
          <w:p w14:paraId="12758DB5" w14:textId="05FC625A" w:rsidR="00BA5CAA" w:rsidRPr="00EE533D" w:rsidRDefault="00BA5CAA" w:rsidP="00BA5CAA">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(0.042)</w:t>
            </w:r>
          </w:p>
        </w:tc>
      </w:tr>
      <w:tr w:rsidR="00EE533D" w:rsidRPr="00EE533D" w14:paraId="32D90764" w14:textId="77777777" w:rsidTr="00F4319C">
        <w:trPr>
          <w:trHeight w:val="71"/>
        </w:trPr>
        <w:tc>
          <w:tcPr>
            <w:tcW w:w="2806" w:type="dxa"/>
            <w:tcBorders>
              <w:top w:val="nil"/>
              <w:left w:val="nil"/>
              <w:bottom w:val="nil"/>
              <w:right w:val="nil"/>
            </w:tcBorders>
            <w:shd w:val="clear" w:color="auto" w:fill="auto"/>
            <w:noWrap/>
          </w:tcPr>
          <w:p w14:paraId="5EE786B6"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327EA80" w14:textId="7D22A12D"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0.206</w:t>
            </w:r>
          </w:p>
        </w:tc>
        <w:tc>
          <w:tcPr>
            <w:tcW w:w="1498" w:type="dxa"/>
            <w:tcBorders>
              <w:top w:val="nil"/>
              <w:left w:val="nil"/>
              <w:bottom w:val="nil"/>
              <w:right w:val="nil"/>
            </w:tcBorders>
          </w:tcPr>
          <w:p w14:paraId="5D5C3067" w14:textId="5135EF08"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-0.647</w:t>
            </w:r>
          </w:p>
        </w:tc>
        <w:tc>
          <w:tcPr>
            <w:tcW w:w="1396" w:type="dxa"/>
            <w:tcBorders>
              <w:top w:val="nil"/>
              <w:left w:val="nil"/>
              <w:bottom w:val="nil"/>
              <w:right w:val="single" w:sz="12" w:space="0" w:color="auto"/>
            </w:tcBorders>
            <w:shd w:val="clear" w:color="auto" w:fill="auto"/>
            <w:noWrap/>
          </w:tcPr>
          <w:p w14:paraId="34B9BBA8" w14:textId="6E106EF1"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-0.197</w:t>
            </w:r>
          </w:p>
        </w:tc>
        <w:tc>
          <w:tcPr>
            <w:tcW w:w="1434" w:type="dxa"/>
            <w:tcBorders>
              <w:top w:val="nil"/>
              <w:left w:val="single" w:sz="12" w:space="0" w:color="auto"/>
              <w:bottom w:val="nil"/>
            </w:tcBorders>
          </w:tcPr>
          <w:p w14:paraId="5460E682" w14:textId="5F94BC86"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0.262</w:t>
            </w:r>
          </w:p>
        </w:tc>
        <w:tc>
          <w:tcPr>
            <w:tcW w:w="1390" w:type="dxa"/>
            <w:tcBorders>
              <w:top w:val="nil"/>
              <w:left w:val="nil"/>
              <w:bottom w:val="nil"/>
              <w:right w:val="nil"/>
            </w:tcBorders>
          </w:tcPr>
          <w:p w14:paraId="2477F833" w14:textId="79A55EF9"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0.103</w:t>
            </w:r>
          </w:p>
        </w:tc>
        <w:tc>
          <w:tcPr>
            <w:tcW w:w="1426" w:type="dxa"/>
            <w:tcBorders>
              <w:top w:val="nil"/>
              <w:left w:val="nil"/>
              <w:bottom w:val="nil"/>
            </w:tcBorders>
          </w:tcPr>
          <w:p w14:paraId="29797061" w14:textId="30AC5601"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0.075</w:t>
            </w:r>
          </w:p>
        </w:tc>
      </w:tr>
      <w:tr w:rsidR="00EE533D" w:rsidRPr="00EE533D" w14:paraId="46009B8B" w14:textId="77777777" w:rsidTr="00F4319C">
        <w:trPr>
          <w:trHeight w:val="71"/>
        </w:trPr>
        <w:tc>
          <w:tcPr>
            <w:tcW w:w="2806" w:type="dxa"/>
            <w:tcBorders>
              <w:top w:val="nil"/>
              <w:left w:val="nil"/>
              <w:bottom w:val="nil"/>
              <w:right w:val="nil"/>
            </w:tcBorders>
            <w:shd w:val="clear" w:color="auto" w:fill="auto"/>
            <w:noWrap/>
          </w:tcPr>
          <w:p w14:paraId="4AFD4C1D"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25DC4A1" w14:textId="7A673961"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(1.385)</w:t>
            </w:r>
          </w:p>
        </w:tc>
        <w:tc>
          <w:tcPr>
            <w:tcW w:w="1498" w:type="dxa"/>
            <w:tcBorders>
              <w:top w:val="nil"/>
              <w:left w:val="nil"/>
              <w:bottom w:val="nil"/>
              <w:right w:val="nil"/>
            </w:tcBorders>
          </w:tcPr>
          <w:p w14:paraId="124D5B5D" w14:textId="5DE95103"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(1.106)</w:t>
            </w:r>
          </w:p>
        </w:tc>
        <w:tc>
          <w:tcPr>
            <w:tcW w:w="1396" w:type="dxa"/>
            <w:tcBorders>
              <w:top w:val="nil"/>
              <w:left w:val="nil"/>
              <w:bottom w:val="nil"/>
              <w:right w:val="single" w:sz="12" w:space="0" w:color="auto"/>
            </w:tcBorders>
            <w:shd w:val="clear" w:color="auto" w:fill="auto"/>
            <w:noWrap/>
          </w:tcPr>
          <w:p w14:paraId="3CB6B077" w14:textId="54F44980"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(0.184)</w:t>
            </w:r>
          </w:p>
        </w:tc>
        <w:tc>
          <w:tcPr>
            <w:tcW w:w="1434" w:type="dxa"/>
            <w:tcBorders>
              <w:top w:val="nil"/>
              <w:left w:val="single" w:sz="12" w:space="0" w:color="auto"/>
              <w:bottom w:val="nil"/>
            </w:tcBorders>
          </w:tcPr>
          <w:p w14:paraId="479C891E" w14:textId="3F5C4936"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(1.117)</w:t>
            </w:r>
          </w:p>
        </w:tc>
        <w:tc>
          <w:tcPr>
            <w:tcW w:w="1390" w:type="dxa"/>
            <w:tcBorders>
              <w:top w:val="nil"/>
              <w:left w:val="nil"/>
              <w:bottom w:val="nil"/>
              <w:right w:val="nil"/>
            </w:tcBorders>
          </w:tcPr>
          <w:p w14:paraId="5B450D1A" w14:textId="671949D2"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(1.362)</w:t>
            </w:r>
          </w:p>
        </w:tc>
        <w:tc>
          <w:tcPr>
            <w:tcW w:w="1426" w:type="dxa"/>
            <w:tcBorders>
              <w:top w:val="nil"/>
              <w:left w:val="nil"/>
              <w:bottom w:val="nil"/>
            </w:tcBorders>
          </w:tcPr>
          <w:p w14:paraId="03148A0C" w14:textId="2375BA65"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(0.151)</w:t>
            </w:r>
          </w:p>
        </w:tc>
      </w:tr>
      <w:tr w:rsidR="00EE533D" w:rsidRPr="00EE533D" w14:paraId="372F707B" w14:textId="77777777" w:rsidTr="00F4319C">
        <w:trPr>
          <w:trHeight w:val="71"/>
        </w:trPr>
        <w:tc>
          <w:tcPr>
            <w:tcW w:w="2806" w:type="dxa"/>
            <w:tcBorders>
              <w:top w:val="nil"/>
              <w:left w:val="nil"/>
              <w:bottom w:val="nil"/>
              <w:right w:val="nil"/>
            </w:tcBorders>
            <w:shd w:val="clear" w:color="auto" w:fill="auto"/>
            <w:noWrap/>
          </w:tcPr>
          <w:p w14:paraId="205BEB48"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15DF417" w14:textId="20418DF0"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-0.469**</w:t>
            </w:r>
          </w:p>
        </w:tc>
        <w:tc>
          <w:tcPr>
            <w:tcW w:w="1498" w:type="dxa"/>
            <w:tcBorders>
              <w:top w:val="nil"/>
              <w:left w:val="nil"/>
              <w:bottom w:val="nil"/>
              <w:right w:val="nil"/>
            </w:tcBorders>
          </w:tcPr>
          <w:p w14:paraId="0C69BC0C" w14:textId="241BDA57"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-0.113</w:t>
            </w:r>
          </w:p>
        </w:tc>
        <w:tc>
          <w:tcPr>
            <w:tcW w:w="1396" w:type="dxa"/>
            <w:tcBorders>
              <w:top w:val="nil"/>
              <w:left w:val="nil"/>
              <w:bottom w:val="nil"/>
              <w:right w:val="single" w:sz="12" w:space="0" w:color="auto"/>
            </w:tcBorders>
            <w:shd w:val="clear" w:color="auto" w:fill="auto"/>
            <w:noWrap/>
          </w:tcPr>
          <w:p w14:paraId="4F5FD9D9" w14:textId="593B9CC7"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-0.107</w:t>
            </w:r>
          </w:p>
        </w:tc>
        <w:tc>
          <w:tcPr>
            <w:tcW w:w="1434" w:type="dxa"/>
            <w:tcBorders>
              <w:top w:val="nil"/>
              <w:left w:val="single" w:sz="12" w:space="0" w:color="auto"/>
              <w:bottom w:val="nil"/>
            </w:tcBorders>
          </w:tcPr>
          <w:p w14:paraId="2B3535BC" w14:textId="46169662"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0.274</w:t>
            </w:r>
          </w:p>
        </w:tc>
        <w:tc>
          <w:tcPr>
            <w:tcW w:w="1390" w:type="dxa"/>
            <w:tcBorders>
              <w:top w:val="nil"/>
              <w:left w:val="nil"/>
              <w:bottom w:val="nil"/>
              <w:right w:val="nil"/>
            </w:tcBorders>
          </w:tcPr>
          <w:p w14:paraId="335B2BA3" w14:textId="2AC5B684"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-0.497</w:t>
            </w:r>
          </w:p>
        </w:tc>
        <w:tc>
          <w:tcPr>
            <w:tcW w:w="1426" w:type="dxa"/>
            <w:tcBorders>
              <w:top w:val="nil"/>
              <w:left w:val="nil"/>
              <w:bottom w:val="nil"/>
            </w:tcBorders>
          </w:tcPr>
          <w:p w14:paraId="4BA5EAD9" w14:textId="20EDC9CE"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-0.051</w:t>
            </w:r>
          </w:p>
        </w:tc>
      </w:tr>
      <w:tr w:rsidR="00EE533D" w:rsidRPr="00EE533D" w14:paraId="20C517F1" w14:textId="77777777" w:rsidTr="00F4319C">
        <w:trPr>
          <w:trHeight w:val="71"/>
        </w:trPr>
        <w:tc>
          <w:tcPr>
            <w:tcW w:w="2806" w:type="dxa"/>
            <w:tcBorders>
              <w:top w:val="nil"/>
              <w:left w:val="nil"/>
              <w:bottom w:val="nil"/>
              <w:right w:val="nil"/>
            </w:tcBorders>
            <w:shd w:val="clear" w:color="auto" w:fill="auto"/>
            <w:noWrap/>
          </w:tcPr>
          <w:p w14:paraId="31FAFCDF"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4C3B6DB" w14:textId="52CD116C"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(0.162)</w:t>
            </w:r>
          </w:p>
        </w:tc>
        <w:tc>
          <w:tcPr>
            <w:tcW w:w="1498" w:type="dxa"/>
            <w:tcBorders>
              <w:top w:val="nil"/>
              <w:left w:val="nil"/>
              <w:bottom w:val="nil"/>
              <w:right w:val="nil"/>
            </w:tcBorders>
          </w:tcPr>
          <w:p w14:paraId="634A99BE" w14:textId="5A509648"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(0.188)</w:t>
            </w:r>
          </w:p>
        </w:tc>
        <w:tc>
          <w:tcPr>
            <w:tcW w:w="1396" w:type="dxa"/>
            <w:tcBorders>
              <w:top w:val="nil"/>
              <w:left w:val="nil"/>
              <w:bottom w:val="nil"/>
              <w:right w:val="single" w:sz="12" w:space="0" w:color="auto"/>
            </w:tcBorders>
            <w:shd w:val="clear" w:color="auto" w:fill="auto"/>
            <w:noWrap/>
          </w:tcPr>
          <w:p w14:paraId="3FF8F1FA" w14:textId="4926EC7A"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(0.094)</w:t>
            </w:r>
          </w:p>
        </w:tc>
        <w:tc>
          <w:tcPr>
            <w:tcW w:w="1434" w:type="dxa"/>
            <w:tcBorders>
              <w:top w:val="nil"/>
              <w:left w:val="single" w:sz="12" w:space="0" w:color="auto"/>
              <w:bottom w:val="nil"/>
            </w:tcBorders>
          </w:tcPr>
          <w:p w14:paraId="4C67E97F" w14:textId="56504483"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(0.319)</w:t>
            </w:r>
          </w:p>
        </w:tc>
        <w:tc>
          <w:tcPr>
            <w:tcW w:w="1390" w:type="dxa"/>
            <w:tcBorders>
              <w:top w:val="nil"/>
              <w:left w:val="nil"/>
              <w:bottom w:val="nil"/>
              <w:right w:val="nil"/>
            </w:tcBorders>
          </w:tcPr>
          <w:p w14:paraId="497599A2" w14:textId="0B70E01E"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(0.473)</w:t>
            </w:r>
          </w:p>
        </w:tc>
        <w:tc>
          <w:tcPr>
            <w:tcW w:w="1426" w:type="dxa"/>
            <w:tcBorders>
              <w:top w:val="nil"/>
              <w:left w:val="nil"/>
              <w:bottom w:val="nil"/>
            </w:tcBorders>
          </w:tcPr>
          <w:p w14:paraId="3F93B64A" w14:textId="71FC598F"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(0.064)</w:t>
            </w:r>
          </w:p>
        </w:tc>
      </w:tr>
      <w:tr w:rsidR="00EE533D" w:rsidRPr="00EE533D" w14:paraId="085887E9" w14:textId="77777777" w:rsidTr="00F4319C">
        <w:trPr>
          <w:trHeight w:val="71"/>
        </w:trPr>
        <w:tc>
          <w:tcPr>
            <w:tcW w:w="2806" w:type="dxa"/>
            <w:tcBorders>
              <w:top w:val="nil"/>
              <w:left w:val="nil"/>
              <w:bottom w:val="nil"/>
              <w:right w:val="nil"/>
            </w:tcBorders>
            <w:shd w:val="clear" w:color="auto" w:fill="auto"/>
            <w:noWrap/>
          </w:tcPr>
          <w:p w14:paraId="443430F9"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14791AE" w14:textId="4286B18B"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498" w:type="dxa"/>
            <w:tcBorders>
              <w:top w:val="nil"/>
              <w:left w:val="nil"/>
              <w:bottom w:val="nil"/>
              <w:right w:val="nil"/>
            </w:tcBorders>
          </w:tcPr>
          <w:p w14:paraId="51AC9627" w14:textId="2F1400E2"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396" w:type="dxa"/>
            <w:tcBorders>
              <w:top w:val="nil"/>
              <w:left w:val="nil"/>
              <w:bottom w:val="nil"/>
              <w:right w:val="single" w:sz="12" w:space="0" w:color="auto"/>
            </w:tcBorders>
            <w:shd w:val="clear" w:color="auto" w:fill="auto"/>
            <w:noWrap/>
          </w:tcPr>
          <w:p w14:paraId="65093D1E" w14:textId="255226DD"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2E7A97C5" w14:textId="16824095"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390" w:type="dxa"/>
            <w:tcBorders>
              <w:top w:val="nil"/>
              <w:left w:val="nil"/>
              <w:bottom w:val="nil"/>
              <w:right w:val="nil"/>
            </w:tcBorders>
          </w:tcPr>
          <w:p w14:paraId="301D1B50" w14:textId="40D606B0"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26" w:type="dxa"/>
            <w:tcBorders>
              <w:top w:val="nil"/>
              <w:left w:val="nil"/>
              <w:bottom w:val="nil"/>
            </w:tcBorders>
          </w:tcPr>
          <w:p w14:paraId="67AD8F1F" w14:textId="2C34332D"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5093ADF1" w14:textId="77777777" w:rsidTr="00F4319C">
        <w:trPr>
          <w:trHeight w:val="71"/>
        </w:trPr>
        <w:tc>
          <w:tcPr>
            <w:tcW w:w="2806" w:type="dxa"/>
            <w:tcBorders>
              <w:top w:val="nil"/>
              <w:left w:val="nil"/>
              <w:bottom w:val="nil"/>
              <w:right w:val="nil"/>
            </w:tcBorders>
            <w:shd w:val="clear" w:color="auto" w:fill="auto"/>
            <w:noWrap/>
          </w:tcPr>
          <w:p w14:paraId="47629B7C"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2CF3B379" w14:textId="25CCC175"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498" w:type="dxa"/>
            <w:tcBorders>
              <w:top w:val="nil"/>
              <w:left w:val="nil"/>
              <w:bottom w:val="nil"/>
              <w:right w:val="nil"/>
            </w:tcBorders>
          </w:tcPr>
          <w:p w14:paraId="1C38F11E" w14:textId="49E29ED6"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(0.064)</w:t>
            </w:r>
          </w:p>
        </w:tc>
        <w:tc>
          <w:tcPr>
            <w:tcW w:w="1396" w:type="dxa"/>
            <w:tcBorders>
              <w:top w:val="nil"/>
              <w:left w:val="nil"/>
              <w:bottom w:val="nil"/>
              <w:right w:val="single" w:sz="12" w:space="0" w:color="auto"/>
            </w:tcBorders>
            <w:shd w:val="clear" w:color="auto" w:fill="auto"/>
            <w:noWrap/>
          </w:tcPr>
          <w:p w14:paraId="4F86BC4D" w14:textId="5ACD7D13"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left w:val="single" w:sz="12" w:space="0" w:color="auto"/>
              <w:bottom w:val="nil"/>
            </w:tcBorders>
          </w:tcPr>
          <w:p w14:paraId="7EF2BCD8" w14:textId="0792DD94"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(0.053)</w:t>
            </w:r>
          </w:p>
        </w:tc>
        <w:tc>
          <w:tcPr>
            <w:tcW w:w="1390" w:type="dxa"/>
            <w:tcBorders>
              <w:top w:val="nil"/>
              <w:left w:val="nil"/>
              <w:bottom w:val="nil"/>
              <w:right w:val="nil"/>
            </w:tcBorders>
          </w:tcPr>
          <w:p w14:paraId="4143B9BB" w14:textId="67D6D03A"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(0.030)</w:t>
            </w:r>
          </w:p>
        </w:tc>
        <w:tc>
          <w:tcPr>
            <w:tcW w:w="1426" w:type="dxa"/>
            <w:tcBorders>
              <w:top w:val="nil"/>
              <w:left w:val="nil"/>
              <w:bottom w:val="nil"/>
            </w:tcBorders>
          </w:tcPr>
          <w:p w14:paraId="5E392029" w14:textId="75F154B5"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(0.010)</w:t>
            </w:r>
          </w:p>
        </w:tc>
      </w:tr>
      <w:tr w:rsidR="00EE533D" w:rsidRPr="00EE533D" w14:paraId="746F1205" w14:textId="77777777" w:rsidTr="00F4319C">
        <w:trPr>
          <w:trHeight w:val="71"/>
        </w:trPr>
        <w:tc>
          <w:tcPr>
            <w:tcW w:w="2806" w:type="dxa"/>
            <w:tcBorders>
              <w:top w:val="nil"/>
              <w:left w:val="nil"/>
              <w:bottom w:val="nil"/>
              <w:right w:val="nil"/>
            </w:tcBorders>
            <w:shd w:val="clear" w:color="auto" w:fill="auto"/>
            <w:noWrap/>
          </w:tcPr>
          <w:p w14:paraId="4C84E9B7"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206F24A" w14:textId="5D3FD25F"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1.381</w:t>
            </w:r>
          </w:p>
        </w:tc>
        <w:tc>
          <w:tcPr>
            <w:tcW w:w="1498" w:type="dxa"/>
            <w:tcBorders>
              <w:top w:val="nil"/>
              <w:left w:val="nil"/>
              <w:bottom w:val="nil"/>
              <w:right w:val="nil"/>
            </w:tcBorders>
          </w:tcPr>
          <w:p w14:paraId="7F89CE6E" w14:textId="00072415"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1.200</w:t>
            </w:r>
          </w:p>
        </w:tc>
        <w:tc>
          <w:tcPr>
            <w:tcW w:w="1396" w:type="dxa"/>
            <w:tcBorders>
              <w:top w:val="nil"/>
              <w:left w:val="nil"/>
              <w:bottom w:val="nil"/>
              <w:right w:val="single" w:sz="12" w:space="0" w:color="auto"/>
            </w:tcBorders>
            <w:shd w:val="clear" w:color="auto" w:fill="auto"/>
            <w:noWrap/>
          </w:tcPr>
          <w:p w14:paraId="64C15216" w14:textId="706EBF88"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-0.244</w:t>
            </w:r>
          </w:p>
        </w:tc>
        <w:tc>
          <w:tcPr>
            <w:tcW w:w="1434" w:type="dxa"/>
            <w:tcBorders>
              <w:top w:val="nil"/>
              <w:left w:val="single" w:sz="12" w:space="0" w:color="auto"/>
              <w:bottom w:val="nil"/>
            </w:tcBorders>
          </w:tcPr>
          <w:p w14:paraId="67770735" w14:textId="74D82F78"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0.889</w:t>
            </w:r>
          </w:p>
        </w:tc>
        <w:tc>
          <w:tcPr>
            <w:tcW w:w="1390" w:type="dxa"/>
            <w:tcBorders>
              <w:top w:val="nil"/>
              <w:left w:val="nil"/>
              <w:bottom w:val="nil"/>
              <w:right w:val="nil"/>
            </w:tcBorders>
          </w:tcPr>
          <w:p w14:paraId="5C5C67B3" w14:textId="76556E57"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-1.046</w:t>
            </w:r>
          </w:p>
        </w:tc>
        <w:tc>
          <w:tcPr>
            <w:tcW w:w="1426" w:type="dxa"/>
            <w:tcBorders>
              <w:top w:val="nil"/>
              <w:left w:val="nil"/>
              <w:bottom w:val="nil"/>
            </w:tcBorders>
          </w:tcPr>
          <w:p w14:paraId="600329FF" w14:textId="5EA5157E"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0.142</w:t>
            </w:r>
          </w:p>
        </w:tc>
      </w:tr>
      <w:tr w:rsidR="00EE533D" w:rsidRPr="00EE533D" w14:paraId="21B2D748" w14:textId="77777777" w:rsidTr="00F4319C">
        <w:trPr>
          <w:trHeight w:val="71"/>
        </w:trPr>
        <w:tc>
          <w:tcPr>
            <w:tcW w:w="2806" w:type="dxa"/>
            <w:tcBorders>
              <w:top w:val="nil"/>
              <w:left w:val="nil"/>
              <w:bottom w:val="nil"/>
              <w:right w:val="nil"/>
            </w:tcBorders>
            <w:shd w:val="clear" w:color="auto" w:fill="auto"/>
            <w:noWrap/>
          </w:tcPr>
          <w:p w14:paraId="641349B8"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2FFF414" w14:textId="09F2BD86"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(2.313)</w:t>
            </w:r>
          </w:p>
        </w:tc>
        <w:tc>
          <w:tcPr>
            <w:tcW w:w="1498" w:type="dxa"/>
            <w:tcBorders>
              <w:top w:val="nil"/>
              <w:left w:val="nil"/>
              <w:bottom w:val="nil"/>
              <w:right w:val="nil"/>
            </w:tcBorders>
          </w:tcPr>
          <w:p w14:paraId="4043941C" w14:textId="5E547FF9"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(1.526)</w:t>
            </w:r>
          </w:p>
        </w:tc>
        <w:tc>
          <w:tcPr>
            <w:tcW w:w="1396" w:type="dxa"/>
            <w:tcBorders>
              <w:top w:val="nil"/>
              <w:left w:val="nil"/>
              <w:bottom w:val="nil"/>
              <w:right w:val="single" w:sz="12" w:space="0" w:color="auto"/>
            </w:tcBorders>
            <w:shd w:val="clear" w:color="auto" w:fill="auto"/>
            <w:noWrap/>
          </w:tcPr>
          <w:p w14:paraId="7B95BEC6" w14:textId="25BE7F35"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(0.361)</w:t>
            </w:r>
          </w:p>
        </w:tc>
        <w:tc>
          <w:tcPr>
            <w:tcW w:w="1434" w:type="dxa"/>
            <w:tcBorders>
              <w:top w:val="nil"/>
              <w:left w:val="single" w:sz="12" w:space="0" w:color="auto"/>
              <w:bottom w:val="nil"/>
            </w:tcBorders>
          </w:tcPr>
          <w:p w14:paraId="3AC4B282" w14:textId="0E6E27E5"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(1.098)</w:t>
            </w:r>
          </w:p>
        </w:tc>
        <w:tc>
          <w:tcPr>
            <w:tcW w:w="1390" w:type="dxa"/>
            <w:tcBorders>
              <w:top w:val="nil"/>
              <w:left w:val="nil"/>
              <w:bottom w:val="nil"/>
              <w:right w:val="nil"/>
            </w:tcBorders>
          </w:tcPr>
          <w:p w14:paraId="2700F361" w14:textId="375C764F"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(1.192)</w:t>
            </w:r>
          </w:p>
        </w:tc>
        <w:tc>
          <w:tcPr>
            <w:tcW w:w="1426" w:type="dxa"/>
            <w:tcBorders>
              <w:top w:val="nil"/>
              <w:left w:val="nil"/>
              <w:bottom w:val="nil"/>
            </w:tcBorders>
          </w:tcPr>
          <w:p w14:paraId="6A859505" w14:textId="61B0D8A6"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(0.306)</w:t>
            </w:r>
          </w:p>
        </w:tc>
      </w:tr>
      <w:tr w:rsidR="00EE533D" w:rsidRPr="00EE533D" w14:paraId="03F6CEDB" w14:textId="77777777" w:rsidTr="00F4319C">
        <w:trPr>
          <w:trHeight w:val="71"/>
        </w:trPr>
        <w:tc>
          <w:tcPr>
            <w:tcW w:w="2806" w:type="dxa"/>
            <w:tcBorders>
              <w:top w:val="nil"/>
              <w:left w:val="nil"/>
              <w:bottom w:val="nil"/>
              <w:right w:val="nil"/>
            </w:tcBorders>
            <w:shd w:val="clear" w:color="auto" w:fill="auto"/>
            <w:noWrap/>
          </w:tcPr>
          <w:p w14:paraId="64F99F4C"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7612503" w14:textId="7EB9EFD5"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-0.916</w:t>
            </w:r>
          </w:p>
        </w:tc>
        <w:tc>
          <w:tcPr>
            <w:tcW w:w="1498" w:type="dxa"/>
            <w:tcBorders>
              <w:top w:val="nil"/>
              <w:left w:val="nil"/>
              <w:bottom w:val="nil"/>
              <w:right w:val="nil"/>
            </w:tcBorders>
          </w:tcPr>
          <w:p w14:paraId="44D5CE57" w14:textId="39C682E5"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-0.295</w:t>
            </w:r>
          </w:p>
        </w:tc>
        <w:tc>
          <w:tcPr>
            <w:tcW w:w="1396" w:type="dxa"/>
            <w:tcBorders>
              <w:top w:val="nil"/>
              <w:left w:val="nil"/>
              <w:bottom w:val="nil"/>
              <w:right w:val="single" w:sz="12" w:space="0" w:color="auto"/>
            </w:tcBorders>
            <w:shd w:val="clear" w:color="auto" w:fill="auto"/>
            <w:noWrap/>
          </w:tcPr>
          <w:p w14:paraId="5959A8CF" w14:textId="6615024E"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-0.068</w:t>
            </w:r>
          </w:p>
        </w:tc>
        <w:tc>
          <w:tcPr>
            <w:tcW w:w="1434" w:type="dxa"/>
            <w:tcBorders>
              <w:top w:val="nil"/>
              <w:left w:val="single" w:sz="12" w:space="0" w:color="auto"/>
              <w:bottom w:val="nil"/>
            </w:tcBorders>
          </w:tcPr>
          <w:p w14:paraId="5FADF8CB" w14:textId="441822F8"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0.555</w:t>
            </w:r>
          </w:p>
        </w:tc>
        <w:tc>
          <w:tcPr>
            <w:tcW w:w="1390" w:type="dxa"/>
            <w:tcBorders>
              <w:top w:val="nil"/>
              <w:left w:val="nil"/>
              <w:bottom w:val="nil"/>
              <w:right w:val="nil"/>
            </w:tcBorders>
          </w:tcPr>
          <w:p w14:paraId="302E7DA8" w14:textId="0E984E79"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2.367</w:t>
            </w:r>
          </w:p>
        </w:tc>
        <w:tc>
          <w:tcPr>
            <w:tcW w:w="1426" w:type="dxa"/>
            <w:tcBorders>
              <w:top w:val="nil"/>
              <w:left w:val="nil"/>
              <w:bottom w:val="nil"/>
            </w:tcBorders>
          </w:tcPr>
          <w:p w14:paraId="02975DD1" w14:textId="24C0747A"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-0.223</w:t>
            </w:r>
          </w:p>
        </w:tc>
      </w:tr>
      <w:tr w:rsidR="00EE533D" w:rsidRPr="00EE533D" w14:paraId="67A21224" w14:textId="77777777" w:rsidTr="00F4319C">
        <w:trPr>
          <w:trHeight w:val="71"/>
        </w:trPr>
        <w:tc>
          <w:tcPr>
            <w:tcW w:w="2806" w:type="dxa"/>
            <w:tcBorders>
              <w:top w:val="nil"/>
              <w:left w:val="nil"/>
              <w:bottom w:val="nil"/>
              <w:right w:val="nil"/>
            </w:tcBorders>
            <w:shd w:val="clear" w:color="auto" w:fill="auto"/>
            <w:noWrap/>
          </w:tcPr>
          <w:p w14:paraId="2E6A5651"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07E3915" w14:textId="0F16BCA0" w:rsidR="00DC1E6F" w:rsidRPr="00EE533D" w:rsidRDefault="00DC1E6F" w:rsidP="00DC1E6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(0.988)</w:t>
            </w:r>
          </w:p>
        </w:tc>
        <w:tc>
          <w:tcPr>
            <w:tcW w:w="1498" w:type="dxa"/>
            <w:tcBorders>
              <w:top w:val="nil"/>
              <w:left w:val="nil"/>
              <w:bottom w:val="nil"/>
              <w:right w:val="nil"/>
            </w:tcBorders>
          </w:tcPr>
          <w:p w14:paraId="4560B927" w14:textId="4E9C5CB0" w:rsidR="00DC1E6F" w:rsidRPr="00EE533D" w:rsidRDefault="00DC1E6F" w:rsidP="00DC1E6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(0.658)</w:t>
            </w:r>
          </w:p>
        </w:tc>
        <w:tc>
          <w:tcPr>
            <w:tcW w:w="1396" w:type="dxa"/>
            <w:tcBorders>
              <w:top w:val="nil"/>
              <w:left w:val="nil"/>
              <w:bottom w:val="nil"/>
              <w:right w:val="single" w:sz="12" w:space="0" w:color="auto"/>
            </w:tcBorders>
            <w:shd w:val="clear" w:color="auto" w:fill="auto"/>
            <w:noWrap/>
          </w:tcPr>
          <w:p w14:paraId="2AABD926" w14:textId="15E7281C" w:rsidR="00DC1E6F" w:rsidRPr="00EE533D" w:rsidRDefault="00DC1E6F" w:rsidP="00DC1E6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(0.093)</w:t>
            </w:r>
          </w:p>
        </w:tc>
        <w:tc>
          <w:tcPr>
            <w:tcW w:w="1434" w:type="dxa"/>
            <w:tcBorders>
              <w:top w:val="nil"/>
              <w:left w:val="single" w:sz="12" w:space="0" w:color="auto"/>
              <w:bottom w:val="nil"/>
            </w:tcBorders>
          </w:tcPr>
          <w:p w14:paraId="1DB64153" w14:textId="24A6927B" w:rsidR="00DC1E6F" w:rsidRPr="00EE533D" w:rsidRDefault="00DC1E6F" w:rsidP="00DC1E6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(0.510)</w:t>
            </w:r>
          </w:p>
        </w:tc>
        <w:tc>
          <w:tcPr>
            <w:tcW w:w="1390" w:type="dxa"/>
            <w:tcBorders>
              <w:top w:val="nil"/>
              <w:left w:val="nil"/>
              <w:bottom w:val="nil"/>
              <w:right w:val="nil"/>
            </w:tcBorders>
          </w:tcPr>
          <w:p w14:paraId="73F4E1AB" w14:textId="4442E415" w:rsidR="00DC1E6F" w:rsidRPr="00EE533D" w:rsidRDefault="00DC1E6F" w:rsidP="00DC1E6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(1.707)</w:t>
            </w:r>
          </w:p>
        </w:tc>
        <w:tc>
          <w:tcPr>
            <w:tcW w:w="1426" w:type="dxa"/>
            <w:tcBorders>
              <w:top w:val="nil"/>
              <w:left w:val="nil"/>
              <w:bottom w:val="nil"/>
            </w:tcBorders>
          </w:tcPr>
          <w:p w14:paraId="14825921" w14:textId="6662371C" w:rsidR="00DC1E6F" w:rsidRPr="00EE533D" w:rsidRDefault="00DC1E6F" w:rsidP="00DC1E6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(0.242)</w:t>
            </w:r>
          </w:p>
        </w:tc>
      </w:tr>
      <w:tr w:rsidR="00EE533D" w:rsidRPr="00EE533D" w14:paraId="5894A994" w14:textId="77777777" w:rsidTr="00F4319C">
        <w:trPr>
          <w:trHeight w:val="71"/>
        </w:trPr>
        <w:tc>
          <w:tcPr>
            <w:tcW w:w="2806" w:type="dxa"/>
            <w:tcBorders>
              <w:top w:val="nil"/>
              <w:left w:val="nil"/>
              <w:bottom w:val="nil"/>
              <w:right w:val="nil"/>
            </w:tcBorders>
            <w:shd w:val="clear" w:color="auto" w:fill="auto"/>
            <w:noWrap/>
          </w:tcPr>
          <w:p w14:paraId="4F9ED009" w14:textId="77777777" w:rsidR="00DC1E6F" w:rsidRPr="00EE533D" w:rsidRDefault="00DC1E6F" w:rsidP="00DC1E6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1A9FC4C2" w14:textId="68C4387B"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1.178</w:t>
            </w:r>
          </w:p>
        </w:tc>
        <w:tc>
          <w:tcPr>
            <w:tcW w:w="1498" w:type="dxa"/>
            <w:tcBorders>
              <w:top w:val="nil"/>
              <w:left w:val="nil"/>
              <w:bottom w:val="nil"/>
              <w:right w:val="nil"/>
            </w:tcBorders>
          </w:tcPr>
          <w:p w14:paraId="7E4C17FF" w14:textId="05561B29"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59.178**</w:t>
            </w:r>
          </w:p>
        </w:tc>
        <w:tc>
          <w:tcPr>
            <w:tcW w:w="1396" w:type="dxa"/>
            <w:tcBorders>
              <w:top w:val="nil"/>
              <w:left w:val="nil"/>
              <w:bottom w:val="nil"/>
              <w:right w:val="single" w:sz="12" w:space="0" w:color="auto"/>
            </w:tcBorders>
            <w:shd w:val="clear" w:color="auto" w:fill="auto"/>
            <w:noWrap/>
          </w:tcPr>
          <w:p w14:paraId="48418374" w14:textId="252EB1F1"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-0.432</w:t>
            </w:r>
          </w:p>
        </w:tc>
        <w:tc>
          <w:tcPr>
            <w:tcW w:w="1434" w:type="dxa"/>
            <w:tcBorders>
              <w:top w:val="nil"/>
              <w:left w:val="single" w:sz="12" w:space="0" w:color="auto"/>
              <w:bottom w:val="nil"/>
            </w:tcBorders>
          </w:tcPr>
          <w:p w14:paraId="145CCFB0" w14:textId="79BD43CF"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-32.786</w:t>
            </w:r>
          </w:p>
        </w:tc>
        <w:tc>
          <w:tcPr>
            <w:tcW w:w="1390" w:type="dxa"/>
            <w:tcBorders>
              <w:top w:val="nil"/>
              <w:left w:val="nil"/>
              <w:bottom w:val="nil"/>
              <w:right w:val="nil"/>
            </w:tcBorders>
          </w:tcPr>
          <w:p w14:paraId="47983E8C" w14:textId="4CFD4ECA"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12.308</w:t>
            </w:r>
          </w:p>
        </w:tc>
        <w:tc>
          <w:tcPr>
            <w:tcW w:w="1426" w:type="dxa"/>
            <w:tcBorders>
              <w:top w:val="nil"/>
              <w:left w:val="nil"/>
              <w:bottom w:val="nil"/>
            </w:tcBorders>
          </w:tcPr>
          <w:p w14:paraId="36A44FC2" w14:textId="086756A8"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-2.117</w:t>
            </w:r>
          </w:p>
        </w:tc>
      </w:tr>
      <w:tr w:rsidR="00EE533D" w:rsidRPr="00EE533D" w14:paraId="3415B28F" w14:textId="77777777" w:rsidTr="00F4319C">
        <w:trPr>
          <w:trHeight w:val="71"/>
        </w:trPr>
        <w:tc>
          <w:tcPr>
            <w:tcW w:w="2806" w:type="dxa"/>
            <w:tcBorders>
              <w:top w:val="nil"/>
              <w:left w:val="nil"/>
              <w:bottom w:val="nil"/>
              <w:right w:val="nil"/>
            </w:tcBorders>
            <w:shd w:val="clear" w:color="auto" w:fill="auto"/>
            <w:noWrap/>
          </w:tcPr>
          <w:p w14:paraId="5A3A8661" w14:textId="77777777" w:rsidR="00DC1E6F" w:rsidRPr="00EE533D" w:rsidRDefault="00DC1E6F" w:rsidP="00DC1E6F">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12421B7F" w14:textId="27135842"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(15.967)</w:t>
            </w:r>
          </w:p>
        </w:tc>
        <w:tc>
          <w:tcPr>
            <w:tcW w:w="1498" w:type="dxa"/>
            <w:tcBorders>
              <w:top w:val="nil"/>
              <w:left w:val="nil"/>
              <w:bottom w:val="nil"/>
              <w:right w:val="nil"/>
            </w:tcBorders>
          </w:tcPr>
          <w:p w14:paraId="0D258BF7" w14:textId="6FD5EDE8"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(20.206)</w:t>
            </w:r>
          </w:p>
        </w:tc>
        <w:tc>
          <w:tcPr>
            <w:tcW w:w="1396" w:type="dxa"/>
            <w:tcBorders>
              <w:top w:val="nil"/>
              <w:left w:val="nil"/>
              <w:bottom w:val="nil"/>
              <w:right w:val="single" w:sz="12" w:space="0" w:color="auto"/>
            </w:tcBorders>
            <w:shd w:val="clear" w:color="auto" w:fill="auto"/>
            <w:noWrap/>
          </w:tcPr>
          <w:p w14:paraId="74773860" w14:textId="22E98229"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(0.789)</w:t>
            </w:r>
          </w:p>
        </w:tc>
        <w:tc>
          <w:tcPr>
            <w:tcW w:w="1434" w:type="dxa"/>
            <w:tcBorders>
              <w:top w:val="nil"/>
              <w:left w:val="single" w:sz="12" w:space="0" w:color="auto"/>
              <w:bottom w:val="nil"/>
            </w:tcBorders>
          </w:tcPr>
          <w:p w14:paraId="1CBABD2E" w14:textId="0BC73BFE"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(20.788)</w:t>
            </w:r>
          </w:p>
        </w:tc>
        <w:tc>
          <w:tcPr>
            <w:tcW w:w="1390" w:type="dxa"/>
            <w:tcBorders>
              <w:top w:val="nil"/>
              <w:left w:val="nil"/>
              <w:bottom w:val="nil"/>
              <w:right w:val="nil"/>
            </w:tcBorders>
          </w:tcPr>
          <w:p w14:paraId="42F83C64" w14:textId="63D01BA8"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(19.398)</w:t>
            </w:r>
          </w:p>
        </w:tc>
        <w:tc>
          <w:tcPr>
            <w:tcW w:w="1426" w:type="dxa"/>
            <w:tcBorders>
              <w:top w:val="nil"/>
              <w:left w:val="nil"/>
              <w:bottom w:val="nil"/>
            </w:tcBorders>
          </w:tcPr>
          <w:p w14:paraId="4831A863" w14:textId="47CE744D"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(3.516)</w:t>
            </w:r>
          </w:p>
        </w:tc>
      </w:tr>
      <w:tr w:rsidR="00EE533D" w:rsidRPr="00EE533D" w14:paraId="32033701" w14:textId="77777777" w:rsidTr="00F4319C">
        <w:trPr>
          <w:trHeight w:val="71"/>
        </w:trPr>
        <w:tc>
          <w:tcPr>
            <w:tcW w:w="2806" w:type="dxa"/>
            <w:tcBorders>
              <w:top w:val="nil"/>
              <w:left w:val="nil"/>
              <w:bottom w:val="nil"/>
              <w:right w:val="nil"/>
            </w:tcBorders>
            <w:shd w:val="clear" w:color="auto" w:fill="auto"/>
            <w:noWrap/>
            <w:vAlign w:val="bottom"/>
          </w:tcPr>
          <w:p w14:paraId="3F6FF490"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505FF45" w14:textId="683DE1D7"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0.375</w:t>
            </w:r>
          </w:p>
        </w:tc>
        <w:tc>
          <w:tcPr>
            <w:tcW w:w="1498" w:type="dxa"/>
            <w:tcBorders>
              <w:top w:val="nil"/>
              <w:left w:val="nil"/>
              <w:bottom w:val="nil"/>
              <w:right w:val="nil"/>
            </w:tcBorders>
          </w:tcPr>
          <w:p w14:paraId="121ED46F" w14:textId="13445A85"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-0.539**</w:t>
            </w:r>
          </w:p>
        </w:tc>
        <w:tc>
          <w:tcPr>
            <w:tcW w:w="1396" w:type="dxa"/>
            <w:tcBorders>
              <w:top w:val="nil"/>
              <w:left w:val="nil"/>
              <w:bottom w:val="nil"/>
              <w:right w:val="single" w:sz="12" w:space="0" w:color="auto"/>
            </w:tcBorders>
            <w:shd w:val="clear" w:color="auto" w:fill="auto"/>
            <w:noWrap/>
          </w:tcPr>
          <w:p w14:paraId="43C85C0C" w14:textId="09EEB118"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78801B43" w14:textId="7254C2B1"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390" w:type="dxa"/>
            <w:tcBorders>
              <w:top w:val="nil"/>
              <w:left w:val="nil"/>
              <w:bottom w:val="nil"/>
              <w:right w:val="nil"/>
            </w:tcBorders>
          </w:tcPr>
          <w:p w14:paraId="65A2D08C" w14:textId="6A03FF2E"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-0.293</w:t>
            </w:r>
          </w:p>
        </w:tc>
        <w:tc>
          <w:tcPr>
            <w:tcW w:w="1426" w:type="dxa"/>
            <w:tcBorders>
              <w:top w:val="nil"/>
              <w:left w:val="nil"/>
              <w:bottom w:val="nil"/>
            </w:tcBorders>
          </w:tcPr>
          <w:p w14:paraId="32278AC3" w14:textId="543DE97C"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r>
      <w:tr w:rsidR="00EE533D" w:rsidRPr="00EE533D" w14:paraId="6C3F8996" w14:textId="77777777" w:rsidTr="00F4319C">
        <w:trPr>
          <w:trHeight w:val="71"/>
        </w:trPr>
        <w:tc>
          <w:tcPr>
            <w:tcW w:w="2806" w:type="dxa"/>
            <w:tcBorders>
              <w:top w:val="nil"/>
              <w:left w:val="nil"/>
              <w:bottom w:val="nil"/>
              <w:right w:val="nil"/>
            </w:tcBorders>
            <w:shd w:val="clear" w:color="auto" w:fill="auto"/>
            <w:noWrap/>
            <w:vAlign w:val="bottom"/>
          </w:tcPr>
          <w:p w14:paraId="4061E4E0"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696321B" w14:textId="510A5793"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(0.376)</w:t>
            </w:r>
          </w:p>
        </w:tc>
        <w:tc>
          <w:tcPr>
            <w:tcW w:w="1498" w:type="dxa"/>
            <w:tcBorders>
              <w:top w:val="nil"/>
              <w:left w:val="nil"/>
              <w:bottom w:val="nil"/>
              <w:right w:val="nil"/>
            </w:tcBorders>
          </w:tcPr>
          <w:p w14:paraId="4B0CE949" w14:textId="52A06FC0"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(0.166)</w:t>
            </w:r>
          </w:p>
        </w:tc>
        <w:tc>
          <w:tcPr>
            <w:tcW w:w="1396" w:type="dxa"/>
            <w:tcBorders>
              <w:top w:val="nil"/>
              <w:left w:val="nil"/>
              <w:bottom w:val="nil"/>
              <w:right w:val="single" w:sz="12" w:space="0" w:color="auto"/>
            </w:tcBorders>
            <w:shd w:val="clear" w:color="auto" w:fill="auto"/>
            <w:noWrap/>
          </w:tcPr>
          <w:p w14:paraId="495E6731" w14:textId="4DB74F22"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34" w:type="dxa"/>
            <w:tcBorders>
              <w:top w:val="nil"/>
              <w:left w:val="single" w:sz="12" w:space="0" w:color="auto"/>
              <w:bottom w:val="nil"/>
            </w:tcBorders>
          </w:tcPr>
          <w:p w14:paraId="45A99C31" w14:textId="6768C797"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390" w:type="dxa"/>
            <w:tcBorders>
              <w:top w:val="nil"/>
              <w:left w:val="nil"/>
              <w:bottom w:val="nil"/>
              <w:right w:val="nil"/>
            </w:tcBorders>
          </w:tcPr>
          <w:p w14:paraId="16D9D207" w14:textId="42167B29"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(0.173)</w:t>
            </w:r>
          </w:p>
        </w:tc>
        <w:tc>
          <w:tcPr>
            <w:tcW w:w="1426" w:type="dxa"/>
            <w:tcBorders>
              <w:top w:val="nil"/>
              <w:left w:val="nil"/>
              <w:bottom w:val="nil"/>
            </w:tcBorders>
          </w:tcPr>
          <w:p w14:paraId="3D5B224C" w14:textId="058C07B6"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(0.031)</w:t>
            </w:r>
          </w:p>
        </w:tc>
      </w:tr>
      <w:tr w:rsidR="00EE533D" w:rsidRPr="00EE533D" w14:paraId="210C0B82" w14:textId="77777777" w:rsidTr="00F4319C">
        <w:trPr>
          <w:trHeight w:val="71"/>
        </w:trPr>
        <w:tc>
          <w:tcPr>
            <w:tcW w:w="2806" w:type="dxa"/>
            <w:tcBorders>
              <w:top w:val="nil"/>
              <w:left w:val="nil"/>
              <w:bottom w:val="nil"/>
              <w:right w:val="nil"/>
            </w:tcBorders>
            <w:shd w:val="clear" w:color="auto" w:fill="auto"/>
            <w:noWrap/>
            <w:vAlign w:val="bottom"/>
          </w:tcPr>
          <w:p w14:paraId="5C8E2060"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37CD778" w14:textId="5E877832"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-0.700*</w:t>
            </w:r>
          </w:p>
        </w:tc>
        <w:tc>
          <w:tcPr>
            <w:tcW w:w="1498" w:type="dxa"/>
            <w:tcBorders>
              <w:top w:val="nil"/>
              <w:left w:val="nil"/>
              <w:bottom w:val="nil"/>
              <w:right w:val="nil"/>
            </w:tcBorders>
          </w:tcPr>
          <w:p w14:paraId="7762F334" w14:textId="3F10B303"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0.024</w:t>
            </w:r>
          </w:p>
        </w:tc>
        <w:tc>
          <w:tcPr>
            <w:tcW w:w="1396" w:type="dxa"/>
            <w:tcBorders>
              <w:top w:val="nil"/>
              <w:left w:val="nil"/>
              <w:bottom w:val="nil"/>
              <w:right w:val="single" w:sz="12" w:space="0" w:color="auto"/>
            </w:tcBorders>
            <w:shd w:val="clear" w:color="auto" w:fill="auto"/>
            <w:noWrap/>
          </w:tcPr>
          <w:p w14:paraId="2A18FF36" w14:textId="4D4026C1"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left w:val="single" w:sz="12" w:space="0" w:color="auto"/>
              <w:bottom w:val="nil"/>
            </w:tcBorders>
          </w:tcPr>
          <w:p w14:paraId="1C03950F" w14:textId="0A07C951"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-0.309***</w:t>
            </w:r>
          </w:p>
        </w:tc>
        <w:tc>
          <w:tcPr>
            <w:tcW w:w="1390" w:type="dxa"/>
            <w:tcBorders>
              <w:top w:val="nil"/>
              <w:left w:val="nil"/>
              <w:bottom w:val="nil"/>
              <w:right w:val="nil"/>
            </w:tcBorders>
          </w:tcPr>
          <w:p w14:paraId="507A1D24" w14:textId="3969BF5E"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-0.576</w:t>
            </w:r>
          </w:p>
        </w:tc>
        <w:tc>
          <w:tcPr>
            <w:tcW w:w="1426" w:type="dxa"/>
            <w:tcBorders>
              <w:top w:val="nil"/>
              <w:left w:val="nil"/>
              <w:bottom w:val="nil"/>
            </w:tcBorders>
          </w:tcPr>
          <w:p w14:paraId="77BCCCDC" w14:textId="18631DE6"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r>
      <w:tr w:rsidR="00EE533D" w:rsidRPr="00EE533D" w14:paraId="550331CC" w14:textId="77777777" w:rsidTr="00F4319C">
        <w:trPr>
          <w:trHeight w:val="71"/>
        </w:trPr>
        <w:tc>
          <w:tcPr>
            <w:tcW w:w="2806" w:type="dxa"/>
            <w:tcBorders>
              <w:top w:val="nil"/>
              <w:left w:val="nil"/>
              <w:bottom w:val="nil"/>
              <w:right w:val="nil"/>
            </w:tcBorders>
            <w:shd w:val="clear" w:color="auto" w:fill="auto"/>
            <w:noWrap/>
            <w:vAlign w:val="bottom"/>
          </w:tcPr>
          <w:p w14:paraId="6622502B"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4D6A6892" w14:textId="71DB9C6B"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(0.336)</w:t>
            </w:r>
          </w:p>
        </w:tc>
        <w:tc>
          <w:tcPr>
            <w:tcW w:w="1498" w:type="dxa"/>
            <w:tcBorders>
              <w:top w:val="nil"/>
              <w:left w:val="nil"/>
              <w:bottom w:val="nil"/>
              <w:right w:val="nil"/>
            </w:tcBorders>
          </w:tcPr>
          <w:p w14:paraId="063A98E9" w14:textId="2EEA72E5"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(0.165)</w:t>
            </w:r>
          </w:p>
        </w:tc>
        <w:tc>
          <w:tcPr>
            <w:tcW w:w="1396" w:type="dxa"/>
            <w:tcBorders>
              <w:top w:val="nil"/>
              <w:left w:val="nil"/>
              <w:bottom w:val="nil"/>
              <w:right w:val="single" w:sz="12" w:space="0" w:color="auto"/>
            </w:tcBorders>
            <w:shd w:val="clear" w:color="auto" w:fill="auto"/>
            <w:noWrap/>
          </w:tcPr>
          <w:p w14:paraId="1108DD64" w14:textId="71217B81"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34" w:type="dxa"/>
            <w:tcBorders>
              <w:top w:val="nil"/>
              <w:left w:val="single" w:sz="12" w:space="0" w:color="auto"/>
              <w:bottom w:val="nil"/>
            </w:tcBorders>
          </w:tcPr>
          <w:p w14:paraId="1C220864" w14:textId="1148A027"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(0.083)</w:t>
            </w:r>
          </w:p>
        </w:tc>
        <w:tc>
          <w:tcPr>
            <w:tcW w:w="1390" w:type="dxa"/>
            <w:tcBorders>
              <w:top w:val="nil"/>
              <w:left w:val="nil"/>
              <w:bottom w:val="nil"/>
              <w:right w:val="nil"/>
            </w:tcBorders>
          </w:tcPr>
          <w:p w14:paraId="60A8AD9B" w14:textId="41958B85"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(0.335)</w:t>
            </w:r>
          </w:p>
        </w:tc>
        <w:tc>
          <w:tcPr>
            <w:tcW w:w="1426" w:type="dxa"/>
            <w:tcBorders>
              <w:top w:val="nil"/>
              <w:left w:val="nil"/>
              <w:bottom w:val="nil"/>
            </w:tcBorders>
          </w:tcPr>
          <w:p w14:paraId="421905E0" w14:textId="6D364C67"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r>
      <w:tr w:rsidR="00EE533D" w:rsidRPr="00EE533D" w14:paraId="14F56B56" w14:textId="77777777" w:rsidTr="00F4319C">
        <w:trPr>
          <w:trHeight w:val="71"/>
        </w:trPr>
        <w:tc>
          <w:tcPr>
            <w:tcW w:w="2806" w:type="dxa"/>
            <w:tcBorders>
              <w:top w:val="nil"/>
              <w:left w:val="nil"/>
              <w:bottom w:val="nil"/>
              <w:right w:val="nil"/>
            </w:tcBorders>
            <w:shd w:val="clear" w:color="auto" w:fill="auto"/>
            <w:noWrap/>
            <w:vAlign w:val="bottom"/>
          </w:tcPr>
          <w:p w14:paraId="769A4DA0"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18A0F042" w14:textId="3286346A"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48.292</w:t>
            </w:r>
          </w:p>
        </w:tc>
        <w:tc>
          <w:tcPr>
            <w:tcW w:w="1498" w:type="dxa"/>
            <w:tcBorders>
              <w:top w:val="nil"/>
              <w:left w:val="nil"/>
              <w:bottom w:val="nil"/>
              <w:right w:val="nil"/>
            </w:tcBorders>
          </w:tcPr>
          <w:p w14:paraId="712DD4A3" w14:textId="434C727B"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-527.906**</w:t>
            </w:r>
          </w:p>
        </w:tc>
        <w:tc>
          <w:tcPr>
            <w:tcW w:w="1396" w:type="dxa"/>
            <w:tcBorders>
              <w:top w:val="nil"/>
              <w:left w:val="nil"/>
              <w:bottom w:val="nil"/>
              <w:right w:val="single" w:sz="12" w:space="0" w:color="auto"/>
            </w:tcBorders>
            <w:shd w:val="clear" w:color="auto" w:fill="auto"/>
            <w:noWrap/>
          </w:tcPr>
          <w:p w14:paraId="0643680E" w14:textId="6D9484E9"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9.035</w:t>
            </w:r>
          </w:p>
        </w:tc>
        <w:tc>
          <w:tcPr>
            <w:tcW w:w="1434" w:type="dxa"/>
            <w:tcBorders>
              <w:top w:val="nil"/>
              <w:left w:val="single" w:sz="12" w:space="0" w:color="auto"/>
              <w:bottom w:val="nil"/>
            </w:tcBorders>
          </w:tcPr>
          <w:p w14:paraId="62FB97DB" w14:textId="43C59821"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438.440*</w:t>
            </w:r>
          </w:p>
        </w:tc>
        <w:tc>
          <w:tcPr>
            <w:tcW w:w="1390" w:type="dxa"/>
            <w:tcBorders>
              <w:top w:val="nil"/>
              <w:left w:val="nil"/>
              <w:bottom w:val="nil"/>
              <w:right w:val="nil"/>
            </w:tcBorders>
          </w:tcPr>
          <w:p w14:paraId="68FDA44B" w14:textId="11CBC897"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-41.029</w:t>
            </w:r>
          </w:p>
        </w:tc>
        <w:tc>
          <w:tcPr>
            <w:tcW w:w="1426" w:type="dxa"/>
            <w:tcBorders>
              <w:top w:val="nil"/>
              <w:left w:val="nil"/>
              <w:bottom w:val="nil"/>
            </w:tcBorders>
          </w:tcPr>
          <w:p w14:paraId="6594B520" w14:textId="5AF7C490"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19.844</w:t>
            </w:r>
          </w:p>
        </w:tc>
      </w:tr>
      <w:tr w:rsidR="00EE533D" w:rsidRPr="00EE533D" w14:paraId="62C9F632" w14:textId="77777777" w:rsidTr="00F4319C">
        <w:trPr>
          <w:trHeight w:val="71"/>
        </w:trPr>
        <w:tc>
          <w:tcPr>
            <w:tcW w:w="2806" w:type="dxa"/>
            <w:tcBorders>
              <w:top w:val="nil"/>
              <w:left w:val="nil"/>
              <w:bottom w:val="single" w:sz="12" w:space="0" w:color="auto"/>
              <w:right w:val="nil"/>
            </w:tcBorders>
            <w:shd w:val="clear" w:color="auto" w:fill="auto"/>
            <w:noWrap/>
            <w:vAlign w:val="bottom"/>
          </w:tcPr>
          <w:p w14:paraId="26238C7F"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single" w:sz="12" w:space="0" w:color="auto"/>
              <w:right w:val="nil"/>
            </w:tcBorders>
            <w:shd w:val="clear" w:color="auto" w:fill="auto"/>
            <w:noWrap/>
          </w:tcPr>
          <w:p w14:paraId="3CD1BE33" w14:textId="2B52D3BB" w:rsidR="00DC1E6F" w:rsidRPr="00EE533D" w:rsidRDefault="00DC1E6F" w:rsidP="00DC1E6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(160.527)</w:t>
            </w:r>
          </w:p>
        </w:tc>
        <w:tc>
          <w:tcPr>
            <w:tcW w:w="1498" w:type="dxa"/>
            <w:tcBorders>
              <w:top w:val="nil"/>
              <w:left w:val="nil"/>
              <w:bottom w:val="single" w:sz="12" w:space="0" w:color="auto"/>
              <w:right w:val="nil"/>
            </w:tcBorders>
          </w:tcPr>
          <w:p w14:paraId="557A911A" w14:textId="211A2989" w:rsidR="00DC1E6F" w:rsidRPr="00EE533D" w:rsidRDefault="00DC1E6F" w:rsidP="00DC1E6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(175.791)</w:t>
            </w:r>
          </w:p>
        </w:tc>
        <w:tc>
          <w:tcPr>
            <w:tcW w:w="1396" w:type="dxa"/>
            <w:tcBorders>
              <w:top w:val="nil"/>
              <w:left w:val="nil"/>
              <w:bottom w:val="single" w:sz="12" w:space="0" w:color="auto"/>
              <w:right w:val="single" w:sz="12" w:space="0" w:color="auto"/>
            </w:tcBorders>
            <w:shd w:val="clear" w:color="auto" w:fill="auto"/>
            <w:noWrap/>
          </w:tcPr>
          <w:p w14:paraId="5A1D85D5" w14:textId="4B4690B6" w:rsidR="00DC1E6F" w:rsidRPr="00EE533D" w:rsidRDefault="00DC1E6F" w:rsidP="00DC1E6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(9.502)</w:t>
            </w:r>
          </w:p>
        </w:tc>
        <w:tc>
          <w:tcPr>
            <w:tcW w:w="1434" w:type="dxa"/>
            <w:tcBorders>
              <w:top w:val="nil"/>
              <w:left w:val="single" w:sz="12" w:space="0" w:color="auto"/>
              <w:bottom w:val="single" w:sz="12" w:space="0" w:color="auto"/>
            </w:tcBorders>
          </w:tcPr>
          <w:p w14:paraId="39A43218" w14:textId="110750D1" w:rsidR="00DC1E6F" w:rsidRPr="00EE533D" w:rsidRDefault="00DC1E6F" w:rsidP="00DC1E6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(213.191)</w:t>
            </w:r>
          </w:p>
        </w:tc>
        <w:tc>
          <w:tcPr>
            <w:tcW w:w="1390" w:type="dxa"/>
            <w:tcBorders>
              <w:top w:val="nil"/>
              <w:left w:val="nil"/>
              <w:bottom w:val="single" w:sz="12" w:space="0" w:color="auto"/>
              <w:right w:val="nil"/>
            </w:tcBorders>
          </w:tcPr>
          <w:p w14:paraId="6B2283E7" w14:textId="7777E428" w:rsidR="00DC1E6F" w:rsidRPr="00EE533D" w:rsidRDefault="00DC1E6F" w:rsidP="00DC1E6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(197.464)</w:t>
            </w:r>
          </w:p>
        </w:tc>
        <w:tc>
          <w:tcPr>
            <w:tcW w:w="1426" w:type="dxa"/>
            <w:tcBorders>
              <w:top w:val="nil"/>
              <w:left w:val="nil"/>
              <w:bottom w:val="single" w:sz="12" w:space="0" w:color="auto"/>
            </w:tcBorders>
          </w:tcPr>
          <w:p w14:paraId="262B362C" w14:textId="2D8A1B72" w:rsidR="00DC1E6F" w:rsidRPr="00EE533D" w:rsidRDefault="00DC1E6F" w:rsidP="00DC1E6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(32.009)</w:t>
            </w:r>
          </w:p>
        </w:tc>
      </w:tr>
      <w:tr w:rsidR="00EE533D" w:rsidRPr="00EE533D" w14:paraId="561F043F" w14:textId="77777777" w:rsidTr="00F4319C">
        <w:trPr>
          <w:trHeight w:val="104"/>
        </w:trPr>
        <w:tc>
          <w:tcPr>
            <w:tcW w:w="2806" w:type="dxa"/>
            <w:tcBorders>
              <w:top w:val="single" w:sz="12" w:space="0" w:color="auto"/>
              <w:left w:val="nil"/>
              <w:right w:val="nil"/>
            </w:tcBorders>
            <w:shd w:val="clear" w:color="auto" w:fill="auto"/>
            <w:noWrap/>
            <w:vAlign w:val="bottom"/>
          </w:tcPr>
          <w:p w14:paraId="78F6CF8D"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 xml:space="preserve">Observations </w:t>
            </w:r>
          </w:p>
        </w:tc>
        <w:tc>
          <w:tcPr>
            <w:tcW w:w="1417" w:type="dxa"/>
            <w:tcBorders>
              <w:top w:val="single" w:sz="12" w:space="0" w:color="auto"/>
              <w:left w:val="nil"/>
              <w:right w:val="nil"/>
            </w:tcBorders>
            <w:shd w:val="clear" w:color="auto" w:fill="auto"/>
            <w:noWrap/>
          </w:tcPr>
          <w:p w14:paraId="2F8549F0" w14:textId="3EAFA4C0"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3450</w:t>
            </w:r>
          </w:p>
        </w:tc>
        <w:tc>
          <w:tcPr>
            <w:tcW w:w="1498" w:type="dxa"/>
            <w:tcBorders>
              <w:top w:val="single" w:sz="12" w:space="0" w:color="auto"/>
              <w:left w:val="nil"/>
              <w:right w:val="nil"/>
            </w:tcBorders>
          </w:tcPr>
          <w:p w14:paraId="27723D74" w14:textId="6376C074"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754</w:t>
            </w:r>
          </w:p>
        </w:tc>
        <w:tc>
          <w:tcPr>
            <w:tcW w:w="1396" w:type="dxa"/>
            <w:tcBorders>
              <w:top w:val="single" w:sz="12" w:space="0" w:color="auto"/>
              <w:left w:val="nil"/>
              <w:right w:val="single" w:sz="12" w:space="0" w:color="auto"/>
            </w:tcBorders>
            <w:shd w:val="clear" w:color="auto" w:fill="auto"/>
            <w:noWrap/>
          </w:tcPr>
          <w:p w14:paraId="64AC46A2" w14:textId="77C9C862"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233</w:t>
            </w:r>
          </w:p>
        </w:tc>
        <w:tc>
          <w:tcPr>
            <w:tcW w:w="1434" w:type="dxa"/>
            <w:tcBorders>
              <w:top w:val="single" w:sz="12" w:space="0" w:color="auto"/>
              <w:left w:val="single" w:sz="12" w:space="0" w:color="auto"/>
            </w:tcBorders>
          </w:tcPr>
          <w:p w14:paraId="401E973C" w14:textId="4F30413C"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3206</w:t>
            </w:r>
          </w:p>
        </w:tc>
        <w:tc>
          <w:tcPr>
            <w:tcW w:w="1390" w:type="dxa"/>
            <w:tcBorders>
              <w:top w:val="single" w:sz="12" w:space="0" w:color="auto"/>
              <w:left w:val="nil"/>
              <w:right w:val="nil"/>
            </w:tcBorders>
          </w:tcPr>
          <w:p w14:paraId="709C9F3A" w14:textId="7F2E5CBB"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630</w:t>
            </w:r>
          </w:p>
        </w:tc>
        <w:tc>
          <w:tcPr>
            <w:tcW w:w="1426" w:type="dxa"/>
            <w:tcBorders>
              <w:top w:val="single" w:sz="12" w:space="0" w:color="auto"/>
              <w:left w:val="nil"/>
            </w:tcBorders>
          </w:tcPr>
          <w:p w14:paraId="43956A62" w14:textId="4AE74699"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149</w:t>
            </w:r>
          </w:p>
        </w:tc>
      </w:tr>
      <w:tr w:rsidR="00EE533D" w:rsidRPr="00EE533D" w14:paraId="181164CF" w14:textId="77777777" w:rsidTr="00F4319C">
        <w:trPr>
          <w:trHeight w:val="104"/>
        </w:trPr>
        <w:tc>
          <w:tcPr>
            <w:tcW w:w="2806" w:type="dxa"/>
            <w:tcBorders>
              <w:left w:val="nil"/>
              <w:right w:val="nil"/>
            </w:tcBorders>
            <w:shd w:val="clear" w:color="auto" w:fill="auto"/>
            <w:noWrap/>
            <w:vAlign w:val="bottom"/>
          </w:tcPr>
          <w:p w14:paraId="7EF2CC22"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Firms</w:t>
            </w:r>
          </w:p>
        </w:tc>
        <w:tc>
          <w:tcPr>
            <w:tcW w:w="1417" w:type="dxa"/>
            <w:tcBorders>
              <w:left w:val="nil"/>
              <w:right w:val="nil"/>
            </w:tcBorders>
            <w:shd w:val="clear" w:color="auto" w:fill="auto"/>
            <w:noWrap/>
          </w:tcPr>
          <w:p w14:paraId="438E4018" w14:textId="1217BD4F"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875</w:t>
            </w:r>
          </w:p>
        </w:tc>
        <w:tc>
          <w:tcPr>
            <w:tcW w:w="1498" w:type="dxa"/>
            <w:tcBorders>
              <w:left w:val="nil"/>
              <w:right w:val="nil"/>
            </w:tcBorders>
          </w:tcPr>
          <w:p w14:paraId="433DA96B" w14:textId="5907501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209</w:t>
            </w:r>
          </w:p>
        </w:tc>
        <w:tc>
          <w:tcPr>
            <w:tcW w:w="1396" w:type="dxa"/>
            <w:tcBorders>
              <w:left w:val="nil"/>
              <w:right w:val="single" w:sz="12" w:space="0" w:color="auto"/>
            </w:tcBorders>
            <w:shd w:val="clear" w:color="auto" w:fill="auto"/>
            <w:noWrap/>
          </w:tcPr>
          <w:p w14:paraId="2F993966" w14:textId="5BD8B083"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65</w:t>
            </w:r>
          </w:p>
        </w:tc>
        <w:tc>
          <w:tcPr>
            <w:tcW w:w="1434" w:type="dxa"/>
            <w:tcBorders>
              <w:left w:val="single" w:sz="12" w:space="0" w:color="auto"/>
            </w:tcBorders>
          </w:tcPr>
          <w:p w14:paraId="243BDB7E" w14:textId="2F410C81"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1071</w:t>
            </w:r>
          </w:p>
        </w:tc>
        <w:tc>
          <w:tcPr>
            <w:tcW w:w="1390" w:type="dxa"/>
            <w:tcBorders>
              <w:left w:val="nil"/>
              <w:right w:val="nil"/>
            </w:tcBorders>
          </w:tcPr>
          <w:p w14:paraId="276037A8" w14:textId="4FEB94F3"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237</w:t>
            </w:r>
          </w:p>
        </w:tc>
        <w:tc>
          <w:tcPr>
            <w:tcW w:w="1426" w:type="dxa"/>
            <w:tcBorders>
              <w:left w:val="nil"/>
            </w:tcBorders>
          </w:tcPr>
          <w:p w14:paraId="3143FB6D" w14:textId="6769549E"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61</w:t>
            </w:r>
          </w:p>
        </w:tc>
      </w:tr>
      <w:tr w:rsidR="00EE533D" w:rsidRPr="00EE533D" w14:paraId="3383C541" w14:textId="77777777" w:rsidTr="00F4319C">
        <w:trPr>
          <w:trHeight w:val="104"/>
        </w:trPr>
        <w:tc>
          <w:tcPr>
            <w:tcW w:w="2806" w:type="dxa"/>
            <w:tcBorders>
              <w:left w:val="nil"/>
              <w:right w:val="nil"/>
            </w:tcBorders>
            <w:shd w:val="clear" w:color="auto" w:fill="auto"/>
            <w:noWrap/>
            <w:vAlign w:val="bottom"/>
          </w:tcPr>
          <w:p w14:paraId="6E55155D" w14:textId="77777777"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Within-R</w:t>
            </w:r>
          </w:p>
        </w:tc>
        <w:tc>
          <w:tcPr>
            <w:tcW w:w="1417" w:type="dxa"/>
            <w:tcBorders>
              <w:left w:val="nil"/>
              <w:right w:val="nil"/>
            </w:tcBorders>
            <w:shd w:val="clear" w:color="auto" w:fill="auto"/>
            <w:noWrap/>
          </w:tcPr>
          <w:p w14:paraId="51218B84" w14:textId="04D3EC8F"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498" w:type="dxa"/>
            <w:tcBorders>
              <w:left w:val="nil"/>
              <w:right w:val="nil"/>
            </w:tcBorders>
          </w:tcPr>
          <w:p w14:paraId="0EF2352D" w14:textId="5BB028C4"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0.100</w:t>
            </w:r>
          </w:p>
        </w:tc>
        <w:tc>
          <w:tcPr>
            <w:tcW w:w="1396" w:type="dxa"/>
            <w:tcBorders>
              <w:left w:val="nil"/>
              <w:right w:val="single" w:sz="12" w:space="0" w:color="auto"/>
            </w:tcBorders>
            <w:shd w:val="clear" w:color="auto" w:fill="auto"/>
            <w:noWrap/>
          </w:tcPr>
          <w:p w14:paraId="7CEEBA3D" w14:textId="250DE27E"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0.263</w:t>
            </w:r>
          </w:p>
        </w:tc>
        <w:tc>
          <w:tcPr>
            <w:tcW w:w="1434" w:type="dxa"/>
            <w:tcBorders>
              <w:left w:val="single" w:sz="12" w:space="0" w:color="auto"/>
            </w:tcBorders>
          </w:tcPr>
          <w:p w14:paraId="6D6BAD85" w14:textId="1D34277E"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390" w:type="dxa"/>
            <w:tcBorders>
              <w:left w:val="nil"/>
              <w:right w:val="nil"/>
            </w:tcBorders>
          </w:tcPr>
          <w:p w14:paraId="56ECAECB" w14:textId="2D8227E4"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c>
          <w:tcPr>
            <w:tcW w:w="1426" w:type="dxa"/>
            <w:tcBorders>
              <w:left w:val="nil"/>
            </w:tcBorders>
          </w:tcPr>
          <w:p w14:paraId="50FA75BD" w14:textId="5BD23E36" w:rsidR="00DC1E6F" w:rsidRPr="00EE533D" w:rsidRDefault="00DC1E6F" w:rsidP="00DC1E6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0.268</w:t>
            </w:r>
          </w:p>
        </w:tc>
      </w:tr>
      <w:tr w:rsidR="00EE533D" w:rsidRPr="00EE533D" w14:paraId="71684734" w14:textId="77777777" w:rsidTr="00F4319C">
        <w:trPr>
          <w:trHeight w:val="104"/>
        </w:trPr>
        <w:tc>
          <w:tcPr>
            <w:tcW w:w="2806" w:type="dxa"/>
            <w:tcBorders>
              <w:left w:val="nil"/>
              <w:right w:val="nil"/>
            </w:tcBorders>
            <w:shd w:val="clear" w:color="auto" w:fill="auto"/>
            <w:noWrap/>
            <w:vAlign w:val="bottom"/>
          </w:tcPr>
          <w:p w14:paraId="6133102D"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and firm effects</w:t>
            </w:r>
          </w:p>
        </w:tc>
        <w:tc>
          <w:tcPr>
            <w:tcW w:w="1417" w:type="dxa"/>
            <w:tcBorders>
              <w:left w:val="nil"/>
              <w:right w:val="nil"/>
            </w:tcBorders>
            <w:shd w:val="clear" w:color="auto" w:fill="auto"/>
            <w:noWrap/>
            <w:vAlign w:val="bottom"/>
          </w:tcPr>
          <w:p w14:paraId="7F0065B6"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98" w:type="dxa"/>
            <w:tcBorders>
              <w:left w:val="nil"/>
              <w:right w:val="nil"/>
            </w:tcBorders>
            <w:vAlign w:val="bottom"/>
          </w:tcPr>
          <w:p w14:paraId="4D4AEF60"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6" w:type="dxa"/>
            <w:tcBorders>
              <w:left w:val="nil"/>
              <w:right w:val="single" w:sz="12" w:space="0" w:color="auto"/>
            </w:tcBorders>
            <w:shd w:val="clear" w:color="auto" w:fill="auto"/>
            <w:noWrap/>
            <w:vAlign w:val="bottom"/>
          </w:tcPr>
          <w:p w14:paraId="4ECE243E"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34" w:type="dxa"/>
            <w:tcBorders>
              <w:left w:val="single" w:sz="12" w:space="0" w:color="auto"/>
            </w:tcBorders>
            <w:vAlign w:val="bottom"/>
          </w:tcPr>
          <w:p w14:paraId="55514DB7"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390" w:type="dxa"/>
            <w:tcBorders>
              <w:left w:val="nil"/>
              <w:right w:val="nil"/>
            </w:tcBorders>
            <w:vAlign w:val="bottom"/>
          </w:tcPr>
          <w:p w14:paraId="2B1F549A"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1426" w:type="dxa"/>
            <w:tcBorders>
              <w:left w:val="nil"/>
            </w:tcBorders>
            <w:vAlign w:val="bottom"/>
          </w:tcPr>
          <w:p w14:paraId="6BFD59BB" w14:textId="77777777" w:rsidR="00352AF3" w:rsidRPr="00EE533D" w:rsidRDefault="00352AF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0502CB63" w14:textId="77777777" w:rsidTr="00595D11">
        <w:trPr>
          <w:trHeight w:val="421"/>
        </w:trPr>
        <w:tc>
          <w:tcPr>
            <w:tcW w:w="11367" w:type="dxa"/>
            <w:gridSpan w:val="7"/>
            <w:tcBorders>
              <w:top w:val="single" w:sz="12" w:space="0" w:color="auto"/>
              <w:left w:val="nil"/>
            </w:tcBorders>
            <w:shd w:val="clear" w:color="auto" w:fill="auto"/>
            <w:noWrap/>
          </w:tcPr>
          <w:p w14:paraId="488081DD" w14:textId="77777777" w:rsidR="00352AF3" w:rsidRPr="00EE533D" w:rsidRDefault="00352AF3" w:rsidP="00595D11">
            <w:pPr>
              <w:spacing w:after="0"/>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a panel regression approach with time effects and firms’ fixed effects. </w:t>
            </w:r>
            <w:r w:rsidRPr="00EE533D">
              <w:rPr>
                <w:rFonts w:ascii="Times New Roman" w:eastAsia="Times New Roman" w:hAnsi="Times New Roman" w:cs="Times New Roman"/>
                <w:sz w:val="14"/>
                <w:szCs w:val="14"/>
                <w:lang w:val="en-GB" w:eastAsia="el-GR"/>
              </w:rPr>
              <w:t>Standard errors clustered at industry level</w:t>
            </w:r>
            <w:r w:rsidRPr="00EE533D">
              <w:rPr>
                <w:rFonts w:ascii="Times New Roman" w:eastAsia="Times New Roman" w:hAnsi="Times New Roman" w:cs="Times New Roman"/>
                <w:sz w:val="14"/>
                <w:szCs w:val="14"/>
                <w:lang w:val="en-GB"/>
              </w:rPr>
              <w:t xml:space="preserve"> are reported in parentheses. * indicates significance at the 10% level, ** at the 5% level and *** at the 1% level.</w:t>
            </w:r>
          </w:p>
        </w:tc>
      </w:tr>
    </w:tbl>
    <w:p w14:paraId="7108E1BB" w14:textId="54E94380" w:rsidR="00352AF3" w:rsidRPr="00EE533D" w:rsidRDefault="00352AF3" w:rsidP="007467F2">
      <w:pPr>
        <w:spacing w:line="259" w:lineRule="auto"/>
        <w:rPr>
          <w:rFonts w:asciiTheme="majorBidi" w:hAnsiTheme="majorBidi" w:cstheme="majorBidi"/>
          <w:sz w:val="24"/>
          <w:szCs w:val="24"/>
          <w:lang w:val="en-GB"/>
        </w:rPr>
      </w:pPr>
    </w:p>
    <w:p w14:paraId="13CF676F" w14:textId="77777777" w:rsidR="00352AF3" w:rsidRPr="00EE533D" w:rsidRDefault="00352AF3">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p w14:paraId="7B144D60" w14:textId="77777777" w:rsidR="007467F2" w:rsidRPr="00EE533D" w:rsidRDefault="007467F2" w:rsidP="007467F2">
      <w:pPr>
        <w:spacing w:line="259" w:lineRule="auto"/>
        <w:rPr>
          <w:rFonts w:asciiTheme="majorBidi" w:hAnsiTheme="majorBidi" w:cstheme="majorBidi"/>
          <w:sz w:val="24"/>
          <w:szCs w:val="24"/>
          <w:lang w:val="en-GB"/>
        </w:rPr>
        <w:sectPr w:rsidR="007467F2" w:rsidRPr="00EE533D" w:rsidSect="007467F2">
          <w:pgSz w:w="16838" w:h="11906" w:orient="landscape" w:code="9"/>
          <w:pgMar w:top="1412" w:right="1412" w:bottom="1412" w:left="1412" w:header="709" w:footer="709" w:gutter="0"/>
          <w:cols w:space="708"/>
          <w:docGrid w:linePitch="360"/>
        </w:sectPr>
      </w:pP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399"/>
        <w:gridCol w:w="27"/>
      </w:tblGrid>
      <w:tr w:rsidR="00EE533D" w:rsidRPr="00EE533D" w14:paraId="0B6098A1" w14:textId="77777777" w:rsidTr="007467F2">
        <w:trPr>
          <w:trHeight w:val="68"/>
        </w:trPr>
        <w:tc>
          <w:tcPr>
            <w:tcW w:w="11367" w:type="dxa"/>
            <w:gridSpan w:val="8"/>
            <w:tcBorders>
              <w:left w:val="nil"/>
              <w:right w:val="nil"/>
            </w:tcBorders>
            <w:shd w:val="clear" w:color="auto" w:fill="auto"/>
            <w:noWrap/>
            <w:vAlign w:val="bottom"/>
          </w:tcPr>
          <w:p w14:paraId="46DC456F" w14:textId="6A143DE2" w:rsidR="007467F2" w:rsidRPr="00EE533D" w:rsidRDefault="007467F2" w:rsidP="007467F2">
            <w:pPr>
              <w:spacing w:after="0" w:line="240" w:lineRule="auto"/>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 xml:space="preserve">Table </w:t>
            </w:r>
            <w:r w:rsidR="002A23F2" w:rsidRPr="00EE533D">
              <w:rPr>
                <w:rFonts w:ascii="Times New Roman" w:eastAsia="Times New Roman" w:hAnsi="Times New Roman" w:cs="Times New Roman"/>
                <w:b/>
                <w:sz w:val="16"/>
                <w:szCs w:val="16"/>
                <w:lang w:val="en-GB"/>
              </w:rPr>
              <w:t>9</w:t>
            </w:r>
            <w:r w:rsidRPr="00EE533D">
              <w:rPr>
                <w:rFonts w:ascii="Times New Roman" w:eastAsia="Times New Roman" w:hAnsi="Times New Roman" w:cs="Times New Roman"/>
                <w:b/>
                <w:sz w:val="16"/>
                <w:szCs w:val="16"/>
                <w:lang w:val="en-GB"/>
              </w:rPr>
              <w:t>. Institutional quality and corporate recycling performance. A dynamic panel approach</w:t>
            </w:r>
          </w:p>
        </w:tc>
      </w:tr>
      <w:tr w:rsidR="00EE533D" w:rsidRPr="00EE533D" w14:paraId="52FA5917" w14:textId="77777777" w:rsidTr="007467F2">
        <w:trPr>
          <w:trHeight w:val="20"/>
        </w:trPr>
        <w:tc>
          <w:tcPr>
            <w:tcW w:w="2806" w:type="dxa"/>
            <w:tcBorders>
              <w:left w:val="nil"/>
              <w:right w:val="nil"/>
            </w:tcBorders>
            <w:shd w:val="clear" w:color="auto" w:fill="auto"/>
            <w:noWrap/>
            <w:vAlign w:val="bottom"/>
          </w:tcPr>
          <w:p w14:paraId="13CC2225" w14:textId="77777777" w:rsidR="007467F2" w:rsidRPr="00EE533D" w:rsidRDefault="007467F2" w:rsidP="007467F2">
            <w:pPr>
              <w:spacing w:after="0" w:line="240" w:lineRule="auto"/>
              <w:jc w:val="right"/>
              <w:rPr>
                <w:rFonts w:ascii="Times New Roman" w:eastAsia="Calibri" w:hAnsi="Times New Roman" w:cs="Times New Roman"/>
                <w:b/>
                <w:sz w:val="16"/>
                <w:szCs w:val="16"/>
                <w:lang w:val="en-GB"/>
              </w:rPr>
            </w:pPr>
            <w:r w:rsidRPr="00EE533D">
              <w:rPr>
                <w:rFonts w:ascii="Times New Roman" w:eastAsia="Calibri" w:hAnsi="Times New Roman" w:cs="Times New Roman"/>
                <w:b/>
                <w:sz w:val="16"/>
                <w:szCs w:val="16"/>
                <w:lang w:val="en-GB"/>
              </w:rPr>
              <w:t>Dependent variable:</w:t>
            </w:r>
          </w:p>
        </w:tc>
        <w:tc>
          <w:tcPr>
            <w:tcW w:w="1417" w:type="dxa"/>
            <w:tcBorders>
              <w:left w:val="nil"/>
              <w:bottom w:val="single" w:sz="12" w:space="0" w:color="auto"/>
              <w:right w:val="nil"/>
            </w:tcBorders>
            <w:shd w:val="clear" w:color="auto" w:fill="auto"/>
            <w:noWrap/>
          </w:tcPr>
          <w:p w14:paraId="1946AE20"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4792BC72"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Waste</w:t>
            </w:r>
          </w:p>
        </w:tc>
        <w:tc>
          <w:tcPr>
            <w:tcW w:w="1498" w:type="dxa"/>
            <w:tcBorders>
              <w:left w:val="nil"/>
              <w:bottom w:val="single" w:sz="12" w:space="0" w:color="auto"/>
              <w:right w:val="nil"/>
            </w:tcBorders>
          </w:tcPr>
          <w:p w14:paraId="63542B71"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2F137993"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Water</w:t>
            </w:r>
          </w:p>
        </w:tc>
        <w:tc>
          <w:tcPr>
            <w:tcW w:w="1396" w:type="dxa"/>
            <w:tcBorders>
              <w:left w:val="nil"/>
              <w:bottom w:val="single" w:sz="12" w:space="0" w:color="auto"/>
              <w:right w:val="single" w:sz="12" w:space="0" w:color="auto"/>
            </w:tcBorders>
            <w:shd w:val="clear" w:color="auto" w:fill="auto"/>
            <w:noWrap/>
          </w:tcPr>
          <w:p w14:paraId="192BC8FB"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3FCA1116"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Paper</w:t>
            </w:r>
          </w:p>
        </w:tc>
        <w:tc>
          <w:tcPr>
            <w:tcW w:w="1434" w:type="dxa"/>
            <w:tcBorders>
              <w:left w:val="single" w:sz="12" w:space="0" w:color="auto"/>
              <w:bottom w:val="single" w:sz="12" w:space="0" w:color="auto"/>
            </w:tcBorders>
          </w:tcPr>
          <w:p w14:paraId="45FE52E8"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48BF66EC"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Waste</w:t>
            </w:r>
          </w:p>
        </w:tc>
        <w:tc>
          <w:tcPr>
            <w:tcW w:w="1390" w:type="dxa"/>
            <w:tcBorders>
              <w:left w:val="nil"/>
              <w:bottom w:val="single" w:sz="12" w:space="0" w:color="auto"/>
              <w:right w:val="nil"/>
            </w:tcBorders>
          </w:tcPr>
          <w:p w14:paraId="71DC4100"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29B691F7"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Water</w:t>
            </w:r>
          </w:p>
        </w:tc>
        <w:tc>
          <w:tcPr>
            <w:tcW w:w="1426" w:type="dxa"/>
            <w:gridSpan w:val="2"/>
            <w:tcBorders>
              <w:left w:val="nil"/>
              <w:bottom w:val="single" w:sz="12" w:space="0" w:color="auto"/>
              <w:right w:val="nil"/>
            </w:tcBorders>
          </w:tcPr>
          <w:p w14:paraId="5C0A7909" w14:textId="77777777" w:rsidR="007467F2" w:rsidRPr="00EE533D" w:rsidRDefault="007467F2" w:rsidP="007467F2">
            <w:pPr>
              <w:spacing w:after="0" w:line="240" w:lineRule="auto"/>
              <w:jc w:val="center"/>
              <w:rPr>
                <w:rFonts w:ascii="Times New Roman" w:hAnsi="Times New Roman" w:cs="Times New Roman"/>
                <w:b/>
                <w:bCs/>
                <w:sz w:val="16"/>
                <w:szCs w:val="16"/>
                <w:lang w:val="en-GB"/>
              </w:rPr>
            </w:pPr>
          </w:p>
          <w:p w14:paraId="18D232FA" w14:textId="77777777" w:rsidR="007467F2" w:rsidRPr="00EE533D" w:rsidRDefault="007467F2" w:rsidP="007467F2">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Paper</w:t>
            </w:r>
          </w:p>
        </w:tc>
      </w:tr>
      <w:tr w:rsidR="00EE533D" w:rsidRPr="00EE533D" w14:paraId="6E3F5B48" w14:textId="77777777" w:rsidTr="007467F2">
        <w:trPr>
          <w:trHeight w:val="20"/>
        </w:trPr>
        <w:tc>
          <w:tcPr>
            <w:tcW w:w="2806" w:type="dxa"/>
            <w:tcBorders>
              <w:left w:val="nil"/>
              <w:bottom w:val="single" w:sz="12" w:space="0" w:color="auto"/>
              <w:right w:val="nil"/>
            </w:tcBorders>
            <w:shd w:val="clear" w:color="auto" w:fill="auto"/>
            <w:noWrap/>
            <w:vAlign w:val="bottom"/>
          </w:tcPr>
          <w:p w14:paraId="6938B101" w14:textId="77777777" w:rsidR="007467F2" w:rsidRPr="00EE533D" w:rsidRDefault="007467F2" w:rsidP="007467F2">
            <w:pPr>
              <w:spacing w:after="0" w:line="240" w:lineRule="auto"/>
              <w:jc w:val="center"/>
              <w:rPr>
                <w:rFonts w:ascii="Times New Roman" w:eastAsia="Calibri" w:hAnsi="Times New Roman" w:cs="Times New Roman"/>
                <w:b/>
                <w:sz w:val="16"/>
                <w:szCs w:val="16"/>
                <w:lang w:val="en-GB"/>
              </w:rPr>
            </w:pPr>
            <w:r w:rsidRPr="00EE533D">
              <w:rPr>
                <w:rFonts w:ascii="Times New Roman" w:eastAsia="Calibri" w:hAnsi="Times New Roman" w:cs="Times New Roman"/>
                <w:b/>
                <w:sz w:val="16"/>
                <w:szCs w:val="16"/>
                <w:lang w:val="en-GB"/>
              </w:rPr>
              <w:t>Variables</w:t>
            </w:r>
          </w:p>
        </w:tc>
        <w:tc>
          <w:tcPr>
            <w:tcW w:w="1417" w:type="dxa"/>
            <w:tcBorders>
              <w:left w:val="nil"/>
              <w:bottom w:val="single" w:sz="12" w:space="0" w:color="auto"/>
              <w:right w:val="nil"/>
            </w:tcBorders>
            <w:shd w:val="clear" w:color="auto" w:fill="auto"/>
            <w:noWrap/>
            <w:vAlign w:val="bottom"/>
          </w:tcPr>
          <w:p w14:paraId="3EEB518C" w14:textId="77777777" w:rsidR="007467F2" w:rsidRPr="00EE533D" w:rsidRDefault="007467F2" w:rsidP="007467F2">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b/>
                <w:sz w:val="16"/>
                <w:szCs w:val="16"/>
                <w:lang w:val="en-GB"/>
              </w:rPr>
              <w:t>(1)</w:t>
            </w:r>
          </w:p>
        </w:tc>
        <w:tc>
          <w:tcPr>
            <w:tcW w:w="1498" w:type="dxa"/>
            <w:tcBorders>
              <w:left w:val="nil"/>
              <w:bottom w:val="single" w:sz="12" w:space="0" w:color="auto"/>
              <w:right w:val="nil"/>
            </w:tcBorders>
            <w:vAlign w:val="bottom"/>
          </w:tcPr>
          <w:p w14:paraId="64A44E0F" w14:textId="77777777" w:rsidR="007467F2" w:rsidRPr="00EE533D" w:rsidRDefault="007467F2" w:rsidP="007467F2">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(2)</w:t>
            </w:r>
          </w:p>
        </w:tc>
        <w:tc>
          <w:tcPr>
            <w:tcW w:w="1396" w:type="dxa"/>
            <w:tcBorders>
              <w:left w:val="nil"/>
              <w:bottom w:val="single" w:sz="12" w:space="0" w:color="auto"/>
              <w:right w:val="single" w:sz="12" w:space="0" w:color="auto"/>
            </w:tcBorders>
            <w:shd w:val="clear" w:color="auto" w:fill="auto"/>
            <w:noWrap/>
            <w:vAlign w:val="bottom"/>
          </w:tcPr>
          <w:p w14:paraId="0E538C5D" w14:textId="77777777" w:rsidR="007467F2" w:rsidRPr="00EE533D" w:rsidRDefault="007467F2" w:rsidP="007467F2">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(3)</w:t>
            </w:r>
          </w:p>
        </w:tc>
        <w:tc>
          <w:tcPr>
            <w:tcW w:w="1434" w:type="dxa"/>
            <w:tcBorders>
              <w:left w:val="single" w:sz="12" w:space="0" w:color="auto"/>
              <w:bottom w:val="single" w:sz="12" w:space="0" w:color="auto"/>
            </w:tcBorders>
            <w:vAlign w:val="bottom"/>
          </w:tcPr>
          <w:p w14:paraId="363C8961" w14:textId="77777777" w:rsidR="007467F2" w:rsidRPr="00EE533D" w:rsidRDefault="007467F2" w:rsidP="007467F2">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(4)</w:t>
            </w:r>
          </w:p>
        </w:tc>
        <w:tc>
          <w:tcPr>
            <w:tcW w:w="1390" w:type="dxa"/>
            <w:tcBorders>
              <w:left w:val="nil"/>
              <w:bottom w:val="single" w:sz="12" w:space="0" w:color="auto"/>
              <w:right w:val="nil"/>
            </w:tcBorders>
            <w:vAlign w:val="bottom"/>
          </w:tcPr>
          <w:p w14:paraId="4B6F0D8D" w14:textId="77777777" w:rsidR="007467F2" w:rsidRPr="00EE533D" w:rsidRDefault="007467F2" w:rsidP="007467F2">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(5)</w:t>
            </w:r>
          </w:p>
        </w:tc>
        <w:tc>
          <w:tcPr>
            <w:tcW w:w="1426" w:type="dxa"/>
            <w:gridSpan w:val="2"/>
            <w:tcBorders>
              <w:left w:val="nil"/>
              <w:bottom w:val="single" w:sz="12" w:space="0" w:color="auto"/>
              <w:right w:val="nil"/>
            </w:tcBorders>
            <w:vAlign w:val="bottom"/>
          </w:tcPr>
          <w:p w14:paraId="7E67C6B7" w14:textId="77777777" w:rsidR="007467F2" w:rsidRPr="00EE533D" w:rsidRDefault="007467F2" w:rsidP="007467F2">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(6)</w:t>
            </w:r>
          </w:p>
        </w:tc>
      </w:tr>
      <w:tr w:rsidR="00EE533D" w:rsidRPr="00EE533D" w14:paraId="7C956024" w14:textId="77777777" w:rsidTr="007467F2">
        <w:trPr>
          <w:trHeight w:val="20"/>
        </w:trPr>
        <w:tc>
          <w:tcPr>
            <w:tcW w:w="2806" w:type="dxa"/>
            <w:tcBorders>
              <w:top w:val="nil"/>
              <w:left w:val="nil"/>
              <w:bottom w:val="nil"/>
              <w:right w:val="nil"/>
            </w:tcBorders>
            <w:shd w:val="clear" w:color="auto" w:fill="auto"/>
            <w:noWrap/>
          </w:tcPr>
          <w:p w14:paraId="0F9DBC4A" w14:textId="77777777" w:rsidR="00FF6DC9" w:rsidRPr="00EE533D" w:rsidRDefault="00FF6DC9" w:rsidP="00FF6DC9">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Lagged dependent variable</w:t>
            </w:r>
          </w:p>
        </w:tc>
        <w:tc>
          <w:tcPr>
            <w:tcW w:w="1417" w:type="dxa"/>
            <w:tcBorders>
              <w:top w:val="nil"/>
              <w:left w:val="nil"/>
              <w:bottom w:val="nil"/>
              <w:right w:val="nil"/>
            </w:tcBorders>
            <w:shd w:val="clear" w:color="auto" w:fill="auto"/>
            <w:noWrap/>
          </w:tcPr>
          <w:p w14:paraId="314D2259" w14:textId="7A248940"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0.735***</w:t>
            </w:r>
          </w:p>
        </w:tc>
        <w:tc>
          <w:tcPr>
            <w:tcW w:w="1498" w:type="dxa"/>
            <w:tcBorders>
              <w:top w:val="nil"/>
              <w:left w:val="nil"/>
              <w:bottom w:val="nil"/>
              <w:right w:val="nil"/>
            </w:tcBorders>
          </w:tcPr>
          <w:p w14:paraId="772B8466" w14:textId="6055C522"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0.825***</w:t>
            </w:r>
          </w:p>
        </w:tc>
        <w:tc>
          <w:tcPr>
            <w:tcW w:w="1396" w:type="dxa"/>
            <w:tcBorders>
              <w:top w:val="nil"/>
              <w:left w:val="nil"/>
              <w:bottom w:val="nil"/>
              <w:right w:val="single" w:sz="12" w:space="0" w:color="auto"/>
            </w:tcBorders>
            <w:shd w:val="clear" w:color="auto" w:fill="auto"/>
            <w:noWrap/>
          </w:tcPr>
          <w:p w14:paraId="5B83359D" w14:textId="0BEBD95D"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0.809***</w:t>
            </w:r>
          </w:p>
        </w:tc>
        <w:tc>
          <w:tcPr>
            <w:tcW w:w="1434" w:type="dxa"/>
            <w:tcBorders>
              <w:top w:val="nil"/>
              <w:left w:val="single" w:sz="12" w:space="0" w:color="auto"/>
              <w:bottom w:val="nil"/>
            </w:tcBorders>
          </w:tcPr>
          <w:p w14:paraId="53ACABEA" w14:textId="136B722E"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0.747***</w:t>
            </w:r>
          </w:p>
        </w:tc>
        <w:tc>
          <w:tcPr>
            <w:tcW w:w="1390" w:type="dxa"/>
            <w:tcBorders>
              <w:top w:val="nil"/>
              <w:left w:val="nil"/>
              <w:bottom w:val="nil"/>
              <w:right w:val="nil"/>
            </w:tcBorders>
          </w:tcPr>
          <w:p w14:paraId="224C0EB8" w14:textId="7B28F305"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0.841***</w:t>
            </w:r>
          </w:p>
        </w:tc>
        <w:tc>
          <w:tcPr>
            <w:tcW w:w="1426" w:type="dxa"/>
            <w:gridSpan w:val="2"/>
            <w:tcBorders>
              <w:top w:val="nil"/>
              <w:left w:val="nil"/>
              <w:bottom w:val="nil"/>
              <w:right w:val="nil"/>
            </w:tcBorders>
          </w:tcPr>
          <w:p w14:paraId="5ADD7319" w14:textId="32DB366E"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0.837***</w:t>
            </w:r>
          </w:p>
        </w:tc>
      </w:tr>
      <w:tr w:rsidR="00EE533D" w:rsidRPr="00EE533D" w14:paraId="0222A966" w14:textId="77777777" w:rsidTr="007467F2">
        <w:trPr>
          <w:trHeight w:val="20"/>
        </w:trPr>
        <w:tc>
          <w:tcPr>
            <w:tcW w:w="2806" w:type="dxa"/>
            <w:tcBorders>
              <w:top w:val="nil"/>
              <w:left w:val="nil"/>
              <w:bottom w:val="nil"/>
              <w:right w:val="nil"/>
            </w:tcBorders>
            <w:shd w:val="clear" w:color="auto" w:fill="auto"/>
            <w:noWrap/>
          </w:tcPr>
          <w:p w14:paraId="09965206" w14:textId="77777777" w:rsidR="00FF6DC9" w:rsidRPr="00EE533D" w:rsidRDefault="00FF6DC9" w:rsidP="00FF6DC9">
            <w:pPr>
              <w:spacing w:after="0" w:line="240" w:lineRule="auto"/>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6D556EA" w14:textId="4ACE4EB6"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(0.089)</w:t>
            </w:r>
          </w:p>
        </w:tc>
        <w:tc>
          <w:tcPr>
            <w:tcW w:w="1498" w:type="dxa"/>
            <w:tcBorders>
              <w:top w:val="nil"/>
              <w:left w:val="nil"/>
              <w:bottom w:val="nil"/>
              <w:right w:val="nil"/>
            </w:tcBorders>
          </w:tcPr>
          <w:p w14:paraId="21744BB1" w14:textId="288EA518"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396" w:type="dxa"/>
            <w:tcBorders>
              <w:top w:val="nil"/>
              <w:left w:val="nil"/>
              <w:bottom w:val="nil"/>
              <w:right w:val="single" w:sz="12" w:space="0" w:color="auto"/>
            </w:tcBorders>
            <w:shd w:val="clear" w:color="auto" w:fill="auto"/>
            <w:noWrap/>
          </w:tcPr>
          <w:p w14:paraId="0588825F" w14:textId="22798667"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(0.251)</w:t>
            </w:r>
          </w:p>
        </w:tc>
        <w:tc>
          <w:tcPr>
            <w:tcW w:w="1434" w:type="dxa"/>
            <w:tcBorders>
              <w:top w:val="nil"/>
              <w:left w:val="single" w:sz="12" w:space="0" w:color="auto"/>
              <w:bottom w:val="nil"/>
            </w:tcBorders>
          </w:tcPr>
          <w:p w14:paraId="60FE2B69" w14:textId="5C72E7E8"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(0.089)</w:t>
            </w:r>
          </w:p>
        </w:tc>
        <w:tc>
          <w:tcPr>
            <w:tcW w:w="1390" w:type="dxa"/>
            <w:tcBorders>
              <w:top w:val="nil"/>
              <w:left w:val="nil"/>
              <w:bottom w:val="nil"/>
              <w:right w:val="nil"/>
            </w:tcBorders>
          </w:tcPr>
          <w:p w14:paraId="11D43E21" w14:textId="4FF902EB"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(0.091)</w:t>
            </w:r>
          </w:p>
        </w:tc>
        <w:tc>
          <w:tcPr>
            <w:tcW w:w="1426" w:type="dxa"/>
            <w:gridSpan w:val="2"/>
            <w:tcBorders>
              <w:top w:val="nil"/>
              <w:left w:val="nil"/>
              <w:bottom w:val="nil"/>
              <w:right w:val="nil"/>
            </w:tcBorders>
          </w:tcPr>
          <w:p w14:paraId="16602972" w14:textId="3BD73642"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(0.193)</w:t>
            </w:r>
          </w:p>
        </w:tc>
      </w:tr>
      <w:tr w:rsidR="00EE533D" w:rsidRPr="00EE533D" w14:paraId="70CA9F76" w14:textId="77777777" w:rsidTr="007467F2">
        <w:trPr>
          <w:trHeight w:val="20"/>
        </w:trPr>
        <w:tc>
          <w:tcPr>
            <w:tcW w:w="2806" w:type="dxa"/>
            <w:tcBorders>
              <w:top w:val="nil"/>
              <w:left w:val="nil"/>
              <w:bottom w:val="nil"/>
              <w:right w:val="nil"/>
            </w:tcBorders>
            <w:shd w:val="clear" w:color="auto" w:fill="auto"/>
            <w:noWrap/>
          </w:tcPr>
          <w:p w14:paraId="06C95D43" w14:textId="64B38CEA"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60B9773" w14:textId="6555ACA7"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-7.075</w:t>
            </w:r>
          </w:p>
        </w:tc>
        <w:tc>
          <w:tcPr>
            <w:tcW w:w="1498" w:type="dxa"/>
            <w:tcBorders>
              <w:top w:val="nil"/>
              <w:left w:val="nil"/>
              <w:bottom w:val="nil"/>
              <w:right w:val="nil"/>
            </w:tcBorders>
          </w:tcPr>
          <w:p w14:paraId="35BE0BE2" w14:textId="402B41CE"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-3.933</w:t>
            </w:r>
          </w:p>
        </w:tc>
        <w:tc>
          <w:tcPr>
            <w:tcW w:w="1396" w:type="dxa"/>
            <w:tcBorders>
              <w:top w:val="nil"/>
              <w:left w:val="nil"/>
              <w:bottom w:val="nil"/>
              <w:right w:val="single" w:sz="12" w:space="0" w:color="auto"/>
            </w:tcBorders>
            <w:shd w:val="clear" w:color="auto" w:fill="auto"/>
            <w:noWrap/>
          </w:tcPr>
          <w:p w14:paraId="56DAA40F" w14:textId="48991084"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0.635</w:t>
            </w:r>
          </w:p>
        </w:tc>
        <w:tc>
          <w:tcPr>
            <w:tcW w:w="1434" w:type="dxa"/>
            <w:tcBorders>
              <w:top w:val="nil"/>
              <w:left w:val="single" w:sz="12" w:space="0" w:color="auto"/>
              <w:bottom w:val="nil"/>
            </w:tcBorders>
          </w:tcPr>
          <w:p w14:paraId="1CD4ADD1" w14:textId="78F88DC1"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-2.423</w:t>
            </w:r>
          </w:p>
        </w:tc>
        <w:tc>
          <w:tcPr>
            <w:tcW w:w="1390" w:type="dxa"/>
            <w:tcBorders>
              <w:top w:val="nil"/>
              <w:left w:val="nil"/>
              <w:bottom w:val="nil"/>
              <w:right w:val="nil"/>
            </w:tcBorders>
          </w:tcPr>
          <w:p w14:paraId="261CE0A7" w14:textId="5E00842D"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2.396</w:t>
            </w:r>
          </w:p>
        </w:tc>
        <w:tc>
          <w:tcPr>
            <w:tcW w:w="1426" w:type="dxa"/>
            <w:gridSpan w:val="2"/>
            <w:tcBorders>
              <w:top w:val="nil"/>
              <w:left w:val="nil"/>
              <w:bottom w:val="nil"/>
              <w:right w:val="nil"/>
            </w:tcBorders>
          </w:tcPr>
          <w:p w14:paraId="3CE32336" w14:textId="0627D8E8"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0.740</w:t>
            </w:r>
          </w:p>
        </w:tc>
      </w:tr>
      <w:tr w:rsidR="00EE533D" w:rsidRPr="00EE533D" w14:paraId="21EC36BA" w14:textId="77777777" w:rsidTr="007467F2">
        <w:trPr>
          <w:trHeight w:val="20"/>
        </w:trPr>
        <w:tc>
          <w:tcPr>
            <w:tcW w:w="2806" w:type="dxa"/>
            <w:tcBorders>
              <w:top w:val="nil"/>
              <w:left w:val="nil"/>
              <w:bottom w:val="nil"/>
              <w:right w:val="nil"/>
            </w:tcBorders>
            <w:shd w:val="clear" w:color="auto" w:fill="auto"/>
            <w:noWrap/>
          </w:tcPr>
          <w:p w14:paraId="285471B2"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4A9A8F02" w14:textId="41F16780"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(6.060)</w:t>
            </w:r>
          </w:p>
        </w:tc>
        <w:tc>
          <w:tcPr>
            <w:tcW w:w="1498" w:type="dxa"/>
            <w:tcBorders>
              <w:top w:val="nil"/>
              <w:left w:val="nil"/>
              <w:bottom w:val="nil"/>
              <w:right w:val="nil"/>
            </w:tcBorders>
          </w:tcPr>
          <w:p w14:paraId="266D154C" w14:textId="0F6AA351"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(8.561)</w:t>
            </w:r>
          </w:p>
        </w:tc>
        <w:tc>
          <w:tcPr>
            <w:tcW w:w="1396" w:type="dxa"/>
            <w:tcBorders>
              <w:top w:val="nil"/>
              <w:left w:val="nil"/>
              <w:bottom w:val="nil"/>
              <w:right w:val="single" w:sz="12" w:space="0" w:color="auto"/>
            </w:tcBorders>
            <w:shd w:val="clear" w:color="auto" w:fill="auto"/>
            <w:noWrap/>
          </w:tcPr>
          <w:p w14:paraId="41D6C8B8" w14:textId="1429F2AE"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(0.777)</w:t>
            </w:r>
          </w:p>
        </w:tc>
        <w:tc>
          <w:tcPr>
            <w:tcW w:w="1434" w:type="dxa"/>
            <w:tcBorders>
              <w:top w:val="nil"/>
              <w:left w:val="single" w:sz="12" w:space="0" w:color="auto"/>
              <w:bottom w:val="nil"/>
            </w:tcBorders>
          </w:tcPr>
          <w:p w14:paraId="67DF18F4" w14:textId="6DDB8245"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(6.743)</w:t>
            </w:r>
          </w:p>
        </w:tc>
        <w:tc>
          <w:tcPr>
            <w:tcW w:w="1390" w:type="dxa"/>
            <w:tcBorders>
              <w:top w:val="nil"/>
              <w:left w:val="nil"/>
              <w:bottom w:val="nil"/>
              <w:right w:val="nil"/>
            </w:tcBorders>
          </w:tcPr>
          <w:p w14:paraId="74CD27DF" w14:textId="335C890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(6.175)</w:t>
            </w:r>
          </w:p>
        </w:tc>
        <w:tc>
          <w:tcPr>
            <w:tcW w:w="1426" w:type="dxa"/>
            <w:gridSpan w:val="2"/>
            <w:tcBorders>
              <w:top w:val="nil"/>
              <w:left w:val="nil"/>
              <w:bottom w:val="nil"/>
              <w:right w:val="nil"/>
            </w:tcBorders>
          </w:tcPr>
          <w:p w14:paraId="7D7F910A" w14:textId="596C538B"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(0.763)</w:t>
            </w:r>
          </w:p>
        </w:tc>
      </w:tr>
      <w:tr w:rsidR="00EE533D" w:rsidRPr="00EE533D" w14:paraId="75903722" w14:textId="77777777" w:rsidTr="007467F2">
        <w:trPr>
          <w:trHeight w:val="20"/>
        </w:trPr>
        <w:tc>
          <w:tcPr>
            <w:tcW w:w="2806" w:type="dxa"/>
            <w:tcBorders>
              <w:top w:val="nil"/>
              <w:left w:val="nil"/>
              <w:bottom w:val="nil"/>
              <w:right w:val="nil"/>
            </w:tcBorders>
            <w:shd w:val="clear" w:color="auto" w:fill="auto"/>
            <w:noWrap/>
          </w:tcPr>
          <w:p w14:paraId="7DFC4E6A" w14:textId="2DD6CB49"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3593856" w14:textId="1656894D"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12.682*</w:t>
            </w:r>
          </w:p>
        </w:tc>
        <w:tc>
          <w:tcPr>
            <w:tcW w:w="1498" w:type="dxa"/>
            <w:tcBorders>
              <w:top w:val="nil"/>
              <w:left w:val="nil"/>
              <w:bottom w:val="nil"/>
              <w:right w:val="nil"/>
            </w:tcBorders>
          </w:tcPr>
          <w:p w14:paraId="20D31096" w14:textId="2EE01529"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-4.376</w:t>
            </w:r>
          </w:p>
        </w:tc>
        <w:tc>
          <w:tcPr>
            <w:tcW w:w="1396" w:type="dxa"/>
            <w:tcBorders>
              <w:top w:val="nil"/>
              <w:left w:val="nil"/>
              <w:bottom w:val="nil"/>
              <w:right w:val="single" w:sz="12" w:space="0" w:color="auto"/>
            </w:tcBorders>
            <w:shd w:val="clear" w:color="auto" w:fill="auto"/>
            <w:noWrap/>
          </w:tcPr>
          <w:p w14:paraId="5C30200F" w14:textId="279CEA5B"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0.268</w:t>
            </w:r>
          </w:p>
        </w:tc>
        <w:tc>
          <w:tcPr>
            <w:tcW w:w="1434" w:type="dxa"/>
            <w:tcBorders>
              <w:top w:val="nil"/>
              <w:left w:val="single" w:sz="12" w:space="0" w:color="auto"/>
              <w:bottom w:val="nil"/>
            </w:tcBorders>
          </w:tcPr>
          <w:p w14:paraId="3D4AC9EC" w14:textId="1275842B"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16.924**</w:t>
            </w:r>
          </w:p>
        </w:tc>
        <w:tc>
          <w:tcPr>
            <w:tcW w:w="1390" w:type="dxa"/>
            <w:tcBorders>
              <w:top w:val="nil"/>
              <w:left w:val="nil"/>
              <w:bottom w:val="nil"/>
              <w:right w:val="nil"/>
            </w:tcBorders>
          </w:tcPr>
          <w:p w14:paraId="793140D7" w14:textId="04BD2B73"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-2.752</w:t>
            </w:r>
          </w:p>
        </w:tc>
        <w:tc>
          <w:tcPr>
            <w:tcW w:w="1426" w:type="dxa"/>
            <w:gridSpan w:val="2"/>
            <w:tcBorders>
              <w:top w:val="nil"/>
              <w:left w:val="nil"/>
              <w:bottom w:val="nil"/>
              <w:right w:val="nil"/>
            </w:tcBorders>
          </w:tcPr>
          <w:p w14:paraId="71917DB3" w14:textId="5B12782A"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-0.465</w:t>
            </w:r>
          </w:p>
        </w:tc>
      </w:tr>
      <w:tr w:rsidR="00EE533D" w:rsidRPr="00EE533D" w14:paraId="5D5B52DF" w14:textId="77777777" w:rsidTr="007467F2">
        <w:trPr>
          <w:trHeight w:val="20"/>
        </w:trPr>
        <w:tc>
          <w:tcPr>
            <w:tcW w:w="2806" w:type="dxa"/>
            <w:tcBorders>
              <w:top w:val="nil"/>
              <w:left w:val="nil"/>
              <w:bottom w:val="nil"/>
              <w:right w:val="nil"/>
            </w:tcBorders>
            <w:shd w:val="clear" w:color="auto" w:fill="auto"/>
            <w:noWrap/>
          </w:tcPr>
          <w:p w14:paraId="389FFDFA"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CDF2593" w14:textId="6782F962"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(7.430)</w:t>
            </w:r>
          </w:p>
        </w:tc>
        <w:tc>
          <w:tcPr>
            <w:tcW w:w="1498" w:type="dxa"/>
            <w:tcBorders>
              <w:top w:val="nil"/>
              <w:left w:val="nil"/>
              <w:bottom w:val="nil"/>
              <w:right w:val="nil"/>
            </w:tcBorders>
          </w:tcPr>
          <w:p w14:paraId="47B17CBA" w14:textId="4EEA43FD"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(5.382)</w:t>
            </w:r>
          </w:p>
        </w:tc>
        <w:tc>
          <w:tcPr>
            <w:tcW w:w="1396" w:type="dxa"/>
            <w:tcBorders>
              <w:top w:val="nil"/>
              <w:left w:val="nil"/>
              <w:bottom w:val="nil"/>
              <w:right w:val="single" w:sz="12" w:space="0" w:color="auto"/>
            </w:tcBorders>
            <w:shd w:val="clear" w:color="auto" w:fill="auto"/>
            <w:noWrap/>
          </w:tcPr>
          <w:p w14:paraId="7F0ABD04" w14:textId="6F28246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(0.825)</w:t>
            </w:r>
          </w:p>
        </w:tc>
        <w:tc>
          <w:tcPr>
            <w:tcW w:w="1434" w:type="dxa"/>
            <w:tcBorders>
              <w:top w:val="nil"/>
              <w:left w:val="single" w:sz="12" w:space="0" w:color="auto"/>
              <w:bottom w:val="nil"/>
            </w:tcBorders>
          </w:tcPr>
          <w:p w14:paraId="5A022D4D" w14:textId="78780D43"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(8.061)</w:t>
            </w:r>
          </w:p>
        </w:tc>
        <w:tc>
          <w:tcPr>
            <w:tcW w:w="1390" w:type="dxa"/>
            <w:tcBorders>
              <w:top w:val="nil"/>
              <w:left w:val="nil"/>
              <w:bottom w:val="nil"/>
              <w:right w:val="nil"/>
            </w:tcBorders>
          </w:tcPr>
          <w:p w14:paraId="2090BDB7" w14:textId="4910FAA8"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(5.373)</w:t>
            </w:r>
          </w:p>
        </w:tc>
        <w:tc>
          <w:tcPr>
            <w:tcW w:w="1426" w:type="dxa"/>
            <w:gridSpan w:val="2"/>
            <w:tcBorders>
              <w:top w:val="nil"/>
              <w:left w:val="nil"/>
              <w:bottom w:val="nil"/>
              <w:right w:val="nil"/>
            </w:tcBorders>
          </w:tcPr>
          <w:p w14:paraId="6BCAC7AE" w14:textId="09E85344"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(1.006)</w:t>
            </w:r>
          </w:p>
        </w:tc>
      </w:tr>
      <w:tr w:rsidR="00EE533D" w:rsidRPr="00EE533D" w14:paraId="08320526" w14:textId="77777777" w:rsidTr="007467F2">
        <w:trPr>
          <w:trHeight w:val="20"/>
        </w:trPr>
        <w:tc>
          <w:tcPr>
            <w:tcW w:w="2806" w:type="dxa"/>
            <w:tcBorders>
              <w:top w:val="nil"/>
              <w:left w:val="nil"/>
              <w:bottom w:val="nil"/>
              <w:right w:val="nil"/>
            </w:tcBorders>
            <w:shd w:val="clear" w:color="auto" w:fill="auto"/>
            <w:noWrap/>
          </w:tcPr>
          <w:p w14:paraId="13872E2C" w14:textId="017BBD62"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4031CCF" w14:textId="1BD05B6B"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7.662**</w:t>
            </w:r>
          </w:p>
        </w:tc>
        <w:tc>
          <w:tcPr>
            <w:tcW w:w="1498" w:type="dxa"/>
            <w:tcBorders>
              <w:top w:val="nil"/>
              <w:left w:val="nil"/>
              <w:bottom w:val="nil"/>
              <w:right w:val="nil"/>
            </w:tcBorders>
          </w:tcPr>
          <w:p w14:paraId="46750E56" w14:textId="4A74C1C2"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-3.001</w:t>
            </w:r>
          </w:p>
        </w:tc>
        <w:tc>
          <w:tcPr>
            <w:tcW w:w="1396" w:type="dxa"/>
            <w:tcBorders>
              <w:top w:val="nil"/>
              <w:left w:val="nil"/>
              <w:bottom w:val="nil"/>
              <w:right w:val="single" w:sz="12" w:space="0" w:color="auto"/>
            </w:tcBorders>
            <w:shd w:val="clear" w:color="auto" w:fill="auto"/>
            <w:noWrap/>
          </w:tcPr>
          <w:p w14:paraId="13B3CA9E" w14:textId="59CEF6BC"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34" w:type="dxa"/>
            <w:tcBorders>
              <w:top w:val="nil"/>
              <w:left w:val="single" w:sz="12" w:space="0" w:color="auto"/>
              <w:bottom w:val="nil"/>
            </w:tcBorders>
          </w:tcPr>
          <w:p w14:paraId="7370CCE9" w14:textId="10D02230"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9.468**</w:t>
            </w:r>
          </w:p>
        </w:tc>
        <w:tc>
          <w:tcPr>
            <w:tcW w:w="1390" w:type="dxa"/>
            <w:tcBorders>
              <w:top w:val="nil"/>
              <w:left w:val="nil"/>
              <w:bottom w:val="nil"/>
              <w:right w:val="nil"/>
            </w:tcBorders>
          </w:tcPr>
          <w:p w14:paraId="49720BB8" w14:textId="235B5F6D"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-3.071</w:t>
            </w:r>
          </w:p>
        </w:tc>
        <w:tc>
          <w:tcPr>
            <w:tcW w:w="1426" w:type="dxa"/>
            <w:gridSpan w:val="2"/>
            <w:tcBorders>
              <w:top w:val="nil"/>
              <w:left w:val="nil"/>
              <w:bottom w:val="nil"/>
              <w:right w:val="nil"/>
            </w:tcBorders>
          </w:tcPr>
          <w:p w14:paraId="37385C19" w14:textId="60F736DA"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r>
      <w:tr w:rsidR="00EE533D" w:rsidRPr="00EE533D" w14:paraId="4FABF4AC" w14:textId="77777777" w:rsidTr="007467F2">
        <w:trPr>
          <w:trHeight w:val="20"/>
        </w:trPr>
        <w:tc>
          <w:tcPr>
            <w:tcW w:w="2806" w:type="dxa"/>
            <w:tcBorders>
              <w:top w:val="nil"/>
              <w:left w:val="nil"/>
              <w:bottom w:val="nil"/>
              <w:right w:val="nil"/>
            </w:tcBorders>
            <w:shd w:val="clear" w:color="auto" w:fill="auto"/>
            <w:noWrap/>
          </w:tcPr>
          <w:p w14:paraId="01FC4306"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45A3E3D8" w14:textId="6A19D774"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(3.784)</w:t>
            </w:r>
          </w:p>
        </w:tc>
        <w:tc>
          <w:tcPr>
            <w:tcW w:w="1498" w:type="dxa"/>
            <w:tcBorders>
              <w:top w:val="nil"/>
              <w:left w:val="nil"/>
              <w:bottom w:val="nil"/>
              <w:right w:val="nil"/>
            </w:tcBorders>
          </w:tcPr>
          <w:p w14:paraId="3B68A4D2" w14:textId="3E649C4D"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(3.827)</w:t>
            </w:r>
          </w:p>
        </w:tc>
        <w:tc>
          <w:tcPr>
            <w:tcW w:w="1396" w:type="dxa"/>
            <w:tcBorders>
              <w:top w:val="nil"/>
              <w:left w:val="nil"/>
              <w:bottom w:val="nil"/>
              <w:right w:val="single" w:sz="12" w:space="0" w:color="auto"/>
            </w:tcBorders>
            <w:shd w:val="clear" w:color="auto" w:fill="auto"/>
            <w:noWrap/>
          </w:tcPr>
          <w:p w14:paraId="3887E47B" w14:textId="3B48E033"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(0.397)</w:t>
            </w:r>
          </w:p>
        </w:tc>
        <w:tc>
          <w:tcPr>
            <w:tcW w:w="1434" w:type="dxa"/>
            <w:tcBorders>
              <w:top w:val="nil"/>
              <w:left w:val="single" w:sz="12" w:space="0" w:color="auto"/>
              <w:bottom w:val="nil"/>
            </w:tcBorders>
          </w:tcPr>
          <w:p w14:paraId="50551481" w14:textId="2D4F6ACB"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(4.020)</w:t>
            </w:r>
          </w:p>
        </w:tc>
        <w:tc>
          <w:tcPr>
            <w:tcW w:w="1390" w:type="dxa"/>
            <w:tcBorders>
              <w:top w:val="nil"/>
              <w:left w:val="nil"/>
              <w:bottom w:val="nil"/>
              <w:right w:val="nil"/>
            </w:tcBorders>
          </w:tcPr>
          <w:p w14:paraId="6B008030" w14:textId="2F540713"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(3.592)</w:t>
            </w:r>
          </w:p>
        </w:tc>
        <w:tc>
          <w:tcPr>
            <w:tcW w:w="1426" w:type="dxa"/>
            <w:gridSpan w:val="2"/>
            <w:tcBorders>
              <w:top w:val="nil"/>
              <w:left w:val="nil"/>
              <w:bottom w:val="nil"/>
              <w:right w:val="nil"/>
            </w:tcBorders>
          </w:tcPr>
          <w:p w14:paraId="0D429DCA" w14:textId="2AD5C89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(0.367)</w:t>
            </w:r>
          </w:p>
        </w:tc>
      </w:tr>
      <w:tr w:rsidR="00EE533D" w:rsidRPr="00EE533D" w14:paraId="3467935E" w14:textId="77777777" w:rsidTr="007467F2">
        <w:trPr>
          <w:trHeight w:val="20"/>
        </w:trPr>
        <w:tc>
          <w:tcPr>
            <w:tcW w:w="2806" w:type="dxa"/>
            <w:tcBorders>
              <w:top w:val="nil"/>
              <w:left w:val="nil"/>
              <w:bottom w:val="nil"/>
              <w:right w:val="nil"/>
            </w:tcBorders>
            <w:shd w:val="clear" w:color="auto" w:fill="auto"/>
            <w:noWrap/>
          </w:tcPr>
          <w:p w14:paraId="12D63D5C" w14:textId="0ADB5EA9"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FFCA1DA" w14:textId="73EFE3CE"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-3.097</w:t>
            </w:r>
          </w:p>
        </w:tc>
        <w:tc>
          <w:tcPr>
            <w:tcW w:w="1498" w:type="dxa"/>
            <w:tcBorders>
              <w:top w:val="nil"/>
              <w:left w:val="nil"/>
              <w:bottom w:val="nil"/>
              <w:right w:val="nil"/>
            </w:tcBorders>
          </w:tcPr>
          <w:p w14:paraId="59DA0135" w14:textId="77B8C10A"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-12.595</w:t>
            </w:r>
          </w:p>
        </w:tc>
        <w:tc>
          <w:tcPr>
            <w:tcW w:w="1396" w:type="dxa"/>
            <w:tcBorders>
              <w:top w:val="nil"/>
              <w:left w:val="nil"/>
              <w:bottom w:val="nil"/>
              <w:right w:val="single" w:sz="12" w:space="0" w:color="auto"/>
            </w:tcBorders>
            <w:shd w:val="clear" w:color="auto" w:fill="auto"/>
            <w:noWrap/>
          </w:tcPr>
          <w:p w14:paraId="1B6D465E" w14:textId="7881D5F8"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0.260</w:t>
            </w:r>
          </w:p>
        </w:tc>
        <w:tc>
          <w:tcPr>
            <w:tcW w:w="1434" w:type="dxa"/>
            <w:tcBorders>
              <w:top w:val="nil"/>
              <w:left w:val="single" w:sz="12" w:space="0" w:color="auto"/>
              <w:bottom w:val="nil"/>
            </w:tcBorders>
          </w:tcPr>
          <w:p w14:paraId="4A313E25" w14:textId="6938BD61"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-11.623</w:t>
            </w:r>
          </w:p>
        </w:tc>
        <w:tc>
          <w:tcPr>
            <w:tcW w:w="1390" w:type="dxa"/>
            <w:tcBorders>
              <w:top w:val="nil"/>
              <w:left w:val="nil"/>
              <w:bottom w:val="nil"/>
              <w:right w:val="nil"/>
            </w:tcBorders>
          </w:tcPr>
          <w:p w14:paraId="5E29DB8B" w14:textId="09CFC12C"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-10.338</w:t>
            </w:r>
          </w:p>
        </w:tc>
        <w:tc>
          <w:tcPr>
            <w:tcW w:w="1426" w:type="dxa"/>
            <w:gridSpan w:val="2"/>
            <w:tcBorders>
              <w:top w:val="nil"/>
              <w:left w:val="nil"/>
              <w:bottom w:val="nil"/>
              <w:right w:val="nil"/>
            </w:tcBorders>
          </w:tcPr>
          <w:p w14:paraId="06D855FE" w14:textId="64179A71"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-0.056</w:t>
            </w:r>
          </w:p>
        </w:tc>
      </w:tr>
      <w:tr w:rsidR="00EE533D" w:rsidRPr="00EE533D" w14:paraId="48CB2014" w14:textId="77777777" w:rsidTr="007467F2">
        <w:trPr>
          <w:trHeight w:val="71"/>
        </w:trPr>
        <w:tc>
          <w:tcPr>
            <w:tcW w:w="2806" w:type="dxa"/>
            <w:tcBorders>
              <w:top w:val="nil"/>
              <w:left w:val="nil"/>
              <w:bottom w:val="nil"/>
              <w:right w:val="nil"/>
            </w:tcBorders>
            <w:shd w:val="clear" w:color="auto" w:fill="auto"/>
            <w:noWrap/>
          </w:tcPr>
          <w:p w14:paraId="048D496E"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3B46B0FE" w14:textId="5337437D"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(7.357)</w:t>
            </w:r>
          </w:p>
        </w:tc>
        <w:tc>
          <w:tcPr>
            <w:tcW w:w="1498" w:type="dxa"/>
            <w:tcBorders>
              <w:top w:val="nil"/>
              <w:left w:val="nil"/>
              <w:bottom w:val="nil"/>
              <w:right w:val="nil"/>
            </w:tcBorders>
          </w:tcPr>
          <w:p w14:paraId="2200C44F" w14:textId="4723326E"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(7.880)</w:t>
            </w:r>
          </w:p>
        </w:tc>
        <w:tc>
          <w:tcPr>
            <w:tcW w:w="1396" w:type="dxa"/>
            <w:tcBorders>
              <w:top w:val="nil"/>
              <w:left w:val="nil"/>
              <w:bottom w:val="nil"/>
              <w:right w:val="single" w:sz="12" w:space="0" w:color="auto"/>
            </w:tcBorders>
            <w:shd w:val="clear" w:color="auto" w:fill="auto"/>
            <w:noWrap/>
          </w:tcPr>
          <w:p w14:paraId="1277E1D8" w14:textId="71D8A5D8"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(0.671)</w:t>
            </w:r>
          </w:p>
        </w:tc>
        <w:tc>
          <w:tcPr>
            <w:tcW w:w="1434" w:type="dxa"/>
            <w:tcBorders>
              <w:top w:val="nil"/>
              <w:left w:val="single" w:sz="12" w:space="0" w:color="auto"/>
              <w:bottom w:val="nil"/>
            </w:tcBorders>
          </w:tcPr>
          <w:p w14:paraId="1C1FD877" w14:textId="4B85B302"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(7.914)</w:t>
            </w:r>
          </w:p>
        </w:tc>
        <w:tc>
          <w:tcPr>
            <w:tcW w:w="1390" w:type="dxa"/>
            <w:tcBorders>
              <w:top w:val="nil"/>
              <w:left w:val="nil"/>
              <w:bottom w:val="nil"/>
              <w:right w:val="nil"/>
            </w:tcBorders>
          </w:tcPr>
          <w:p w14:paraId="0CBFFB2A" w14:textId="72ECCB7B"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(7.061)</w:t>
            </w:r>
          </w:p>
        </w:tc>
        <w:tc>
          <w:tcPr>
            <w:tcW w:w="1426" w:type="dxa"/>
            <w:gridSpan w:val="2"/>
            <w:tcBorders>
              <w:top w:val="nil"/>
              <w:left w:val="nil"/>
              <w:bottom w:val="nil"/>
              <w:right w:val="nil"/>
            </w:tcBorders>
          </w:tcPr>
          <w:p w14:paraId="3C133AFF" w14:textId="1FDE1010"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(0.675)</w:t>
            </w:r>
          </w:p>
        </w:tc>
      </w:tr>
      <w:tr w:rsidR="00EE533D" w:rsidRPr="00EE533D" w14:paraId="2E3C7D67" w14:textId="77777777" w:rsidTr="007467F2">
        <w:trPr>
          <w:trHeight w:val="71"/>
        </w:trPr>
        <w:tc>
          <w:tcPr>
            <w:tcW w:w="2806" w:type="dxa"/>
            <w:tcBorders>
              <w:top w:val="nil"/>
              <w:left w:val="nil"/>
              <w:bottom w:val="nil"/>
              <w:right w:val="nil"/>
            </w:tcBorders>
            <w:shd w:val="clear" w:color="auto" w:fill="auto"/>
            <w:noWrap/>
          </w:tcPr>
          <w:p w14:paraId="339A7822" w14:textId="398C515E"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7FF7429" w14:textId="23A90C07"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-11.324</w:t>
            </w:r>
          </w:p>
        </w:tc>
        <w:tc>
          <w:tcPr>
            <w:tcW w:w="1498" w:type="dxa"/>
            <w:tcBorders>
              <w:top w:val="nil"/>
              <w:left w:val="nil"/>
              <w:bottom w:val="nil"/>
              <w:right w:val="nil"/>
            </w:tcBorders>
          </w:tcPr>
          <w:p w14:paraId="2E18317F" w14:textId="3E2DBA71"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3.704</w:t>
            </w:r>
          </w:p>
        </w:tc>
        <w:tc>
          <w:tcPr>
            <w:tcW w:w="1396" w:type="dxa"/>
            <w:tcBorders>
              <w:top w:val="nil"/>
              <w:left w:val="nil"/>
              <w:bottom w:val="nil"/>
              <w:right w:val="single" w:sz="12" w:space="0" w:color="auto"/>
            </w:tcBorders>
            <w:shd w:val="clear" w:color="auto" w:fill="auto"/>
            <w:noWrap/>
          </w:tcPr>
          <w:p w14:paraId="712F9E7D" w14:textId="3A3496A6"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-0.527</w:t>
            </w:r>
          </w:p>
        </w:tc>
        <w:tc>
          <w:tcPr>
            <w:tcW w:w="1434" w:type="dxa"/>
            <w:tcBorders>
              <w:top w:val="nil"/>
              <w:left w:val="single" w:sz="12" w:space="0" w:color="auto"/>
              <w:bottom w:val="nil"/>
            </w:tcBorders>
          </w:tcPr>
          <w:p w14:paraId="4AE01AF2" w14:textId="17125AED"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-15.521*</w:t>
            </w:r>
          </w:p>
        </w:tc>
        <w:tc>
          <w:tcPr>
            <w:tcW w:w="1390" w:type="dxa"/>
            <w:tcBorders>
              <w:top w:val="nil"/>
              <w:left w:val="nil"/>
              <w:bottom w:val="nil"/>
              <w:right w:val="nil"/>
            </w:tcBorders>
          </w:tcPr>
          <w:p w14:paraId="1276815F" w14:textId="75A11781"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3.555</w:t>
            </w:r>
          </w:p>
        </w:tc>
        <w:tc>
          <w:tcPr>
            <w:tcW w:w="1426" w:type="dxa"/>
            <w:gridSpan w:val="2"/>
            <w:tcBorders>
              <w:top w:val="nil"/>
              <w:left w:val="nil"/>
              <w:bottom w:val="nil"/>
              <w:right w:val="nil"/>
            </w:tcBorders>
          </w:tcPr>
          <w:p w14:paraId="674DC99D" w14:textId="3369BECA"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0.200</w:t>
            </w:r>
          </w:p>
        </w:tc>
      </w:tr>
      <w:tr w:rsidR="00EE533D" w:rsidRPr="00EE533D" w14:paraId="56634CC8" w14:textId="77777777" w:rsidTr="007467F2">
        <w:trPr>
          <w:trHeight w:val="71"/>
        </w:trPr>
        <w:tc>
          <w:tcPr>
            <w:tcW w:w="2806" w:type="dxa"/>
            <w:tcBorders>
              <w:top w:val="nil"/>
              <w:left w:val="nil"/>
              <w:bottom w:val="nil"/>
              <w:right w:val="nil"/>
            </w:tcBorders>
            <w:shd w:val="clear" w:color="auto" w:fill="auto"/>
            <w:noWrap/>
          </w:tcPr>
          <w:p w14:paraId="61A3AB70"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EF4CB6A" w14:textId="00064527"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(8.779)</w:t>
            </w:r>
          </w:p>
        </w:tc>
        <w:tc>
          <w:tcPr>
            <w:tcW w:w="1498" w:type="dxa"/>
            <w:tcBorders>
              <w:top w:val="nil"/>
              <w:left w:val="nil"/>
              <w:bottom w:val="nil"/>
              <w:right w:val="nil"/>
            </w:tcBorders>
          </w:tcPr>
          <w:p w14:paraId="702C98A4" w14:textId="5427632E"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(8.572)</w:t>
            </w:r>
          </w:p>
        </w:tc>
        <w:tc>
          <w:tcPr>
            <w:tcW w:w="1396" w:type="dxa"/>
            <w:tcBorders>
              <w:top w:val="nil"/>
              <w:left w:val="nil"/>
              <w:bottom w:val="nil"/>
              <w:right w:val="single" w:sz="12" w:space="0" w:color="auto"/>
            </w:tcBorders>
            <w:shd w:val="clear" w:color="auto" w:fill="auto"/>
            <w:noWrap/>
          </w:tcPr>
          <w:p w14:paraId="79E8C46F" w14:textId="65A89345"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(0.894)</w:t>
            </w:r>
          </w:p>
        </w:tc>
        <w:tc>
          <w:tcPr>
            <w:tcW w:w="1434" w:type="dxa"/>
            <w:tcBorders>
              <w:top w:val="nil"/>
              <w:left w:val="single" w:sz="12" w:space="0" w:color="auto"/>
              <w:bottom w:val="nil"/>
            </w:tcBorders>
          </w:tcPr>
          <w:p w14:paraId="71C4D613" w14:textId="11FEE95F"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(9.011)</w:t>
            </w:r>
          </w:p>
        </w:tc>
        <w:tc>
          <w:tcPr>
            <w:tcW w:w="1390" w:type="dxa"/>
            <w:tcBorders>
              <w:top w:val="nil"/>
              <w:left w:val="nil"/>
              <w:bottom w:val="nil"/>
              <w:right w:val="nil"/>
            </w:tcBorders>
          </w:tcPr>
          <w:p w14:paraId="27558B91" w14:textId="216B13DF"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(7.513)</w:t>
            </w:r>
          </w:p>
        </w:tc>
        <w:tc>
          <w:tcPr>
            <w:tcW w:w="1426" w:type="dxa"/>
            <w:gridSpan w:val="2"/>
            <w:tcBorders>
              <w:top w:val="nil"/>
              <w:left w:val="nil"/>
              <w:bottom w:val="nil"/>
              <w:right w:val="nil"/>
            </w:tcBorders>
          </w:tcPr>
          <w:p w14:paraId="17D80C79" w14:textId="4E55B113"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(1.255)</w:t>
            </w:r>
          </w:p>
        </w:tc>
      </w:tr>
      <w:tr w:rsidR="00EE533D" w:rsidRPr="00EE533D" w14:paraId="512D2771" w14:textId="77777777" w:rsidTr="007467F2">
        <w:trPr>
          <w:trHeight w:val="71"/>
        </w:trPr>
        <w:tc>
          <w:tcPr>
            <w:tcW w:w="2806" w:type="dxa"/>
            <w:tcBorders>
              <w:top w:val="nil"/>
              <w:left w:val="nil"/>
              <w:bottom w:val="nil"/>
              <w:right w:val="nil"/>
            </w:tcBorders>
            <w:shd w:val="clear" w:color="auto" w:fill="auto"/>
            <w:noWrap/>
          </w:tcPr>
          <w:p w14:paraId="3A8571CB" w14:textId="28969148"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C6B4A1F" w14:textId="5986EF75"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-0.903</w:t>
            </w:r>
          </w:p>
        </w:tc>
        <w:tc>
          <w:tcPr>
            <w:tcW w:w="1498" w:type="dxa"/>
            <w:tcBorders>
              <w:top w:val="nil"/>
              <w:left w:val="nil"/>
              <w:bottom w:val="nil"/>
              <w:right w:val="nil"/>
            </w:tcBorders>
          </w:tcPr>
          <w:p w14:paraId="2B0744C8" w14:textId="330897A6"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4.447</w:t>
            </w:r>
          </w:p>
        </w:tc>
        <w:tc>
          <w:tcPr>
            <w:tcW w:w="1396" w:type="dxa"/>
            <w:tcBorders>
              <w:top w:val="nil"/>
              <w:left w:val="nil"/>
              <w:bottom w:val="nil"/>
              <w:right w:val="single" w:sz="12" w:space="0" w:color="auto"/>
            </w:tcBorders>
            <w:shd w:val="clear" w:color="auto" w:fill="auto"/>
            <w:noWrap/>
          </w:tcPr>
          <w:p w14:paraId="50E66500" w14:textId="22CAA78E"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4" w:type="dxa"/>
            <w:tcBorders>
              <w:top w:val="nil"/>
              <w:left w:val="single" w:sz="12" w:space="0" w:color="auto"/>
              <w:bottom w:val="nil"/>
            </w:tcBorders>
          </w:tcPr>
          <w:p w14:paraId="31BDA19E" w14:textId="1BB9059B"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-0.819</w:t>
            </w:r>
          </w:p>
        </w:tc>
        <w:tc>
          <w:tcPr>
            <w:tcW w:w="1390" w:type="dxa"/>
            <w:tcBorders>
              <w:top w:val="nil"/>
              <w:left w:val="nil"/>
              <w:bottom w:val="nil"/>
              <w:right w:val="nil"/>
            </w:tcBorders>
          </w:tcPr>
          <w:p w14:paraId="52EE0476" w14:textId="684FC92B"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1.769</w:t>
            </w:r>
          </w:p>
        </w:tc>
        <w:tc>
          <w:tcPr>
            <w:tcW w:w="1426" w:type="dxa"/>
            <w:gridSpan w:val="2"/>
            <w:tcBorders>
              <w:top w:val="nil"/>
              <w:left w:val="nil"/>
              <w:bottom w:val="nil"/>
              <w:right w:val="nil"/>
            </w:tcBorders>
          </w:tcPr>
          <w:p w14:paraId="102E0972" w14:textId="144F44E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-0.100</w:t>
            </w:r>
          </w:p>
        </w:tc>
      </w:tr>
      <w:tr w:rsidR="00EE533D" w:rsidRPr="00EE533D" w14:paraId="631AF9DF" w14:textId="77777777" w:rsidTr="007467F2">
        <w:trPr>
          <w:trHeight w:val="71"/>
        </w:trPr>
        <w:tc>
          <w:tcPr>
            <w:tcW w:w="2806" w:type="dxa"/>
            <w:tcBorders>
              <w:top w:val="nil"/>
              <w:left w:val="nil"/>
              <w:bottom w:val="nil"/>
              <w:right w:val="nil"/>
            </w:tcBorders>
            <w:shd w:val="clear" w:color="auto" w:fill="auto"/>
            <w:noWrap/>
          </w:tcPr>
          <w:p w14:paraId="4C4EE966"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A5CD59C" w14:textId="0DDA0E65"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(2.748)</w:t>
            </w:r>
          </w:p>
        </w:tc>
        <w:tc>
          <w:tcPr>
            <w:tcW w:w="1498" w:type="dxa"/>
            <w:tcBorders>
              <w:top w:val="nil"/>
              <w:left w:val="nil"/>
              <w:bottom w:val="nil"/>
              <w:right w:val="nil"/>
            </w:tcBorders>
          </w:tcPr>
          <w:p w14:paraId="267B7633" w14:textId="65CC704A"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(5.757)</w:t>
            </w:r>
          </w:p>
        </w:tc>
        <w:tc>
          <w:tcPr>
            <w:tcW w:w="1396" w:type="dxa"/>
            <w:tcBorders>
              <w:top w:val="nil"/>
              <w:left w:val="nil"/>
              <w:bottom w:val="nil"/>
              <w:right w:val="single" w:sz="12" w:space="0" w:color="auto"/>
            </w:tcBorders>
            <w:shd w:val="clear" w:color="auto" w:fill="auto"/>
            <w:noWrap/>
          </w:tcPr>
          <w:p w14:paraId="697242AA" w14:textId="6FB6D36C"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(0.243)</w:t>
            </w:r>
          </w:p>
        </w:tc>
        <w:tc>
          <w:tcPr>
            <w:tcW w:w="1434" w:type="dxa"/>
            <w:tcBorders>
              <w:top w:val="nil"/>
              <w:left w:val="single" w:sz="12" w:space="0" w:color="auto"/>
              <w:bottom w:val="nil"/>
            </w:tcBorders>
          </w:tcPr>
          <w:p w14:paraId="5F74602D" w14:textId="369A3028"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(2.847)</w:t>
            </w:r>
          </w:p>
        </w:tc>
        <w:tc>
          <w:tcPr>
            <w:tcW w:w="1390" w:type="dxa"/>
            <w:tcBorders>
              <w:top w:val="nil"/>
              <w:left w:val="nil"/>
              <w:bottom w:val="nil"/>
              <w:right w:val="nil"/>
            </w:tcBorders>
          </w:tcPr>
          <w:p w14:paraId="0E9A982F" w14:textId="3DE59FD4"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(3.839)</w:t>
            </w:r>
          </w:p>
        </w:tc>
        <w:tc>
          <w:tcPr>
            <w:tcW w:w="1426" w:type="dxa"/>
            <w:gridSpan w:val="2"/>
            <w:tcBorders>
              <w:top w:val="nil"/>
              <w:left w:val="nil"/>
              <w:bottom w:val="nil"/>
              <w:right w:val="nil"/>
            </w:tcBorders>
          </w:tcPr>
          <w:p w14:paraId="5BCD03E3" w14:textId="5816FC2A"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(0.272)</w:t>
            </w:r>
          </w:p>
        </w:tc>
      </w:tr>
      <w:tr w:rsidR="00EE533D" w:rsidRPr="00EE533D" w14:paraId="09399C26" w14:textId="77777777" w:rsidTr="007467F2">
        <w:trPr>
          <w:trHeight w:val="71"/>
        </w:trPr>
        <w:tc>
          <w:tcPr>
            <w:tcW w:w="2806" w:type="dxa"/>
            <w:tcBorders>
              <w:top w:val="nil"/>
              <w:left w:val="nil"/>
              <w:bottom w:val="nil"/>
              <w:right w:val="nil"/>
            </w:tcBorders>
            <w:shd w:val="clear" w:color="auto" w:fill="auto"/>
            <w:noWrap/>
          </w:tcPr>
          <w:p w14:paraId="1CF0DB1F" w14:textId="2B823556"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F12F872" w14:textId="65BCA72D"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0.033</w:t>
            </w:r>
          </w:p>
        </w:tc>
        <w:tc>
          <w:tcPr>
            <w:tcW w:w="1498" w:type="dxa"/>
            <w:tcBorders>
              <w:top w:val="nil"/>
              <w:left w:val="nil"/>
              <w:bottom w:val="nil"/>
              <w:right w:val="nil"/>
            </w:tcBorders>
          </w:tcPr>
          <w:p w14:paraId="75D2127D" w14:textId="1D909E91"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396" w:type="dxa"/>
            <w:tcBorders>
              <w:top w:val="nil"/>
              <w:left w:val="nil"/>
              <w:bottom w:val="nil"/>
              <w:right w:val="single" w:sz="12" w:space="0" w:color="auto"/>
            </w:tcBorders>
            <w:shd w:val="clear" w:color="auto" w:fill="auto"/>
            <w:noWrap/>
          </w:tcPr>
          <w:p w14:paraId="171C46E4" w14:textId="70B8C6B9"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32D84782"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2E3C2649"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5495931D"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3F5CB69A" w14:textId="77777777" w:rsidTr="007467F2">
        <w:trPr>
          <w:trHeight w:val="71"/>
        </w:trPr>
        <w:tc>
          <w:tcPr>
            <w:tcW w:w="2806" w:type="dxa"/>
            <w:tcBorders>
              <w:top w:val="nil"/>
              <w:left w:val="nil"/>
              <w:bottom w:val="nil"/>
              <w:right w:val="nil"/>
            </w:tcBorders>
            <w:shd w:val="clear" w:color="auto" w:fill="auto"/>
            <w:noWrap/>
          </w:tcPr>
          <w:p w14:paraId="022824C4"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9172734" w14:textId="2A151384"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(0.022)</w:t>
            </w:r>
          </w:p>
        </w:tc>
        <w:tc>
          <w:tcPr>
            <w:tcW w:w="1498" w:type="dxa"/>
            <w:tcBorders>
              <w:top w:val="nil"/>
              <w:left w:val="nil"/>
              <w:bottom w:val="nil"/>
              <w:right w:val="nil"/>
            </w:tcBorders>
          </w:tcPr>
          <w:p w14:paraId="6847D1FA" w14:textId="121D40D7"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(0.038)</w:t>
            </w:r>
          </w:p>
        </w:tc>
        <w:tc>
          <w:tcPr>
            <w:tcW w:w="1396" w:type="dxa"/>
            <w:tcBorders>
              <w:top w:val="nil"/>
              <w:left w:val="nil"/>
              <w:bottom w:val="nil"/>
              <w:right w:val="single" w:sz="12" w:space="0" w:color="auto"/>
            </w:tcBorders>
            <w:shd w:val="clear" w:color="auto" w:fill="auto"/>
            <w:noWrap/>
          </w:tcPr>
          <w:p w14:paraId="264F5DBB" w14:textId="352F1494"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4DCB96B7"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1661C4C6"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3FC68EAF"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71FABC81" w14:textId="77777777" w:rsidTr="007467F2">
        <w:trPr>
          <w:trHeight w:val="71"/>
        </w:trPr>
        <w:tc>
          <w:tcPr>
            <w:tcW w:w="2806" w:type="dxa"/>
            <w:tcBorders>
              <w:top w:val="nil"/>
              <w:left w:val="nil"/>
              <w:bottom w:val="nil"/>
              <w:right w:val="nil"/>
            </w:tcBorders>
            <w:shd w:val="clear" w:color="auto" w:fill="auto"/>
            <w:noWrap/>
          </w:tcPr>
          <w:p w14:paraId="62D6026B" w14:textId="180E3D3F" w:rsidR="00FF6DC9" w:rsidRPr="00EE533D" w:rsidRDefault="00FF6DC9" w:rsidP="00FF6DC9">
            <w:pPr>
              <w:spacing w:after="0"/>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7279FDB" w14:textId="1A2C44C7"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-0.025</w:t>
            </w:r>
          </w:p>
        </w:tc>
        <w:tc>
          <w:tcPr>
            <w:tcW w:w="1498" w:type="dxa"/>
            <w:tcBorders>
              <w:top w:val="nil"/>
              <w:left w:val="nil"/>
              <w:bottom w:val="nil"/>
              <w:right w:val="nil"/>
            </w:tcBorders>
          </w:tcPr>
          <w:p w14:paraId="562C7E5B" w14:textId="3F58D75C"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396" w:type="dxa"/>
            <w:tcBorders>
              <w:top w:val="nil"/>
              <w:left w:val="nil"/>
              <w:bottom w:val="nil"/>
              <w:right w:val="single" w:sz="12" w:space="0" w:color="auto"/>
            </w:tcBorders>
            <w:shd w:val="clear" w:color="auto" w:fill="auto"/>
            <w:noWrap/>
          </w:tcPr>
          <w:p w14:paraId="03F8552F" w14:textId="25BF5303"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68E8A3AB"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3FDBCEC8"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6E98AB91"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3AC40F34" w14:textId="77777777" w:rsidTr="007467F2">
        <w:trPr>
          <w:trHeight w:val="71"/>
        </w:trPr>
        <w:tc>
          <w:tcPr>
            <w:tcW w:w="2806" w:type="dxa"/>
            <w:tcBorders>
              <w:top w:val="nil"/>
              <w:left w:val="nil"/>
              <w:bottom w:val="nil"/>
              <w:right w:val="nil"/>
            </w:tcBorders>
            <w:shd w:val="clear" w:color="auto" w:fill="auto"/>
            <w:noWrap/>
          </w:tcPr>
          <w:p w14:paraId="3B1E912E" w14:textId="77777777" w:rsidR="00FF6DC9" w:rsidRPr="00EE533D" w:rsidRDefault="00FF6DC9" w:rsidP="00FF6DC9">
            <w:pPr>
              <w:spacing w:after="0"/>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1EB47658" w14:textId="3614A26E"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c>
          <w:tcPr>
            <w:tcW w:w="1498" w:type="dxa"/>
            <w:tcBorders>
              <w:top w:val="nil"/>
              <w:left w:val="nil"/>
              <w:bottom w:val="nil"/>
              <w:right w:val="nil"/>
            </w:tcBorders>
          </w:tcPr>
          <w:p w14:paraId="0C2CBF46" w14:textId="5F279E2D"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(0.052)</w:t>
            </w:r>
          </w:p>
        </w:tc>
        <w:tc>
          <w:tcPr>
            <w:tcW w:w="1396" w:type="dxa"/>
            <w:tcBorders>
              <w:top w:val="nil"/>
              <w:left w:val="nil"/>
              <w:bottom w:val="nil"/>
              <w:right w:val="single" w:sz="12" w:space="0" w:color="auto"/>
            </w:tcBorders>
            <w:shd w:val="clear" w:color="auto" w:fill="auto"/>
            <w:noWrap/>
          </w:tcPr>
          <w:p w14:paraId="2BB2A7D7" w14:textId="3662D0FC"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4" w:type="dxa"/>
            <w:tcBorders>
              <w:top w:val="nil"/>
              <w:left w:val="single" w:sz="12" w:space="0" w:color="auto"/>
              <w:bottom w:val="nil"/>
            </w:tcBorders>
          </w:tcPr>
          <w:p w14:paraId="7FDD9A8D"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37EFCF2"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69BAB524"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1AF7350E" w14:textId="77777777" w:rsidTr="007467F2">
        <w:trPr>
          <w:trHeight w:val="71"/>
        </w:trPr>
        <w:tc>
          <w:tcPr>
            <w:tcW w:w="2806" w:type="dxa"/>
            <w:tcBorders>
              <w:top w:val="nil"/>
              <w:left w:val="nil"/>
              <w:bottom w:val="nil"/>
              <w:right w:val="nil"/>
            </w:tcBorders>
            <w:shd w:val="clear" w:color="auto" w:fill="auto"/>
            <w:noWrap/>
          </w:tcPr>
          <w:p w14:paraId="0E8811AA" w14:textId="27B437EE"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51A5D15" w14:textId="534EAA8A"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2.252</w:t>
            </w:r>
          </w:p>
        </w:tc>
        <w:tc>
          <w:tcPr>
            <w:tcW w:w="1498" w:type="dxa"/>
            <w:tcBorders>
              <w:top w:val="nil"/>
              <w:left w:val="nil"/>
              <w:bottom w:val="nil"/>
              <w:right w:val="nil"/>
            </w:tcBorders>
          </w:tcPr>
          <w:p w14:paraId="2F71BC8E" w14:textId="417EF4D6"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0.929</w:t>
            </w:r>
          </w:p>
        </w:tc>
        <w:tc>
          <w:tcPr>
            <w:tcW w:w="1396" w:type="dxa"/>
            <w:tcBorders>
              <w:top w:val="nil"/>
              <w:left w:val="nil"/>
              <w:bottom w:val="nil"/>
              <w:right w:val="single" w:sz="12" w:space="0" w:color="auto"/>
            </w:tcBorders>
            <w:shd w:val="clear" w:color="auto" w:fill="auto"/>
            <w:noWrap/>
          </w:tcPr>
          <w:p w14:paraId="395B69D4" w14:textId="5A4FFFF8"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434" w:type="dxa"/>
            <w:tcBorders>
              <w:top w:val="nil"/>
              <w:left w:val="single" w:sz="12" w:space="0" w:color="auto"/>
              <w:bottom w:val="nil"/>
            </w:tcBorders>
          </w:tcPr>
          <w:p w14:paraId="02F7C67B"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68615B3"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10FB7D00"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46EB0AD7" w14:textId="77777777" w:rsidTr="007467F2">
        <w:trPr>
          <w:trHeight w:val="71"/>
        </w:trPr>
        <w:tc>
          <w:tcPr>
            <w:tcW w:w="2806" w:type="dxa"/>
            <w:tcBorders>
              <w:top w:val="nil"/>
              <w:left w:val="nil"/>
              <w:bottom w:val="nil"/>
              <w:right w:val="nil"/>
            </w:tcBorders>
            <w:shd w:val="clear" w:color="auto" w:fill="auto"/>
            <w:noWrap/>
          </w:tcPr>
          <w:p w14:paraId="18BB1B93"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D1DA6CD" w14:textId="23F69872"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(3.379)</w:t>
            </w:r>
          </w:p>
        </w:tc>
        <w:tc>
          <w:tcPr>
            <w:tcW w:w="1498" w:type="dxa"/>
            <w:tcBorders>
              <w:top w:val="nil"/>
              <w:left w:val="nil"/>
              <w:bottom w:val="nil"/>
              <w:right w:val="nil"/>
            </w:tcBorders>
          </w:tcPr>
          <w:p w14:paraId="5594DC7D" w14:textId="13917BFC"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(2.600)</w:t>
            </w:r>
          </w:p>
        </w:tc>
        <w:tc>
          <w:tcPr>
            <w:tcW w:w="1396" w:type="dxa"/>
            <w:tcBorders>
              <w:top w:val="nil"/>
              <w:left w:val="nil"/>
              <w:bottom w:val="nil"/>
              <w:right w:val="single" w:sz="12" w:space="0" w:color="auto"/>
            </w:tcBorders>
            <w:shd w:val="clear" w:color="auto" w:fill="auto"/>
            <w:noWrap/>
          </w:tcPr>
          <w:p w14:paraId="4ADB9554" w14:textId="074BA0DE"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(0.346)</w:t>
            </w:r>
          </w:p>
        </w:tc>
        <w:tc>
          <w:tcPr>
            <w:tcW w:w="1434" w:type="dxa"/>
            <w:tcBorders>
              <w:top w:val="nil"/>
              <w:left w:val="single" w:sz="12" w:space="0" w:color="auto"/>
              <w:bottom w:val="nil"/>
            </w:tcBorders>
          </w:tcPr>
          <w:p w14:paraId="64FCA343"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4B1022D2"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4514B831"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13D09155" w14:textId="77777777" w:rsidTr="007467F2">
        <w:trPr>
          <w:trHeight w:val="71"/>
        </w:trPr>
        <w:tc>
          <w:tcPr>
            <w:tcW w:w="2806" w:type="dxa"/>
            <w:tcBorders>
              <w:top w:val="nil"/>
              <w:left w:val="nil"/>
              <w:bottom w:val="nil"/>
              <w:right w:val="nil"/>
            </w:tcBorders>
            <w:shd w:val="clear" w:color="auto" w:fill="auto"/>
            <w:noWrap/>
          </w:tcPr>
          <w:p w14:paraId="420BA82E" w14:textId="6D70EC6C"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43FD0E4" w14:textId="3E9C43B5"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-2.163</w:t>
            </w:r>
          </w:p>
        </w:tc>
        <w:tc>
          <w:tcPr>
            <w:tcW w:w="1498" w:type="dxa"/>
            <w:tcBorders>
              <w:top w:val="nil"/>
              <w:left w:val="nil"/>
              <w:bottom w:val="nil"/>
              <w:right w:val="nil"/>
            </w:tcBorders>
          </w:tcPr>
          <w:p w14:paraId="2F3D8F0D" w14:textId="6CFA0F8A"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2.609</w:t>
            </w:r>
          </w:p>
        </w:tc>
        <w:tc>
          <w:tcPr>
            <w:tcW w:w="1396" w:type="dxa"/>
            <w:tcBorders>
              <w:top w:val="nil"/>
              <w:left w:val="nil"/>
              <w:bottom w:val="nil"/>
              <w:right w:val="single" w:sz="12" w:space="0" w:color="auto"/>
            </w:tcBorders>
            <w:shd w:val="clear" w:color="auto" w:fill="auto"/>
            <w:noWrap/>
          </w:tcPr>
          <w:p w14:paraId="67A59F7E" w14:textId="5430F663"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0.189</w:t>
            </w:r>
          </w:p>
        </w:tc>
        <w:tc>
          <w:tcPr>
            <w:tcW w:w="1434" w:type="dxa"/>
            <w:tcBorders>
              <w:top w:val="nil"/>
              <w:left w:val="single" w:sz="12" w:space="0" w:color="auto"/>
              <w:bottom w:val="nil"/>
            </w:tcBorders>
          </w:tcPr>
          <w:p w14:paraId="57E48056"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41C3BBB"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7A2C62A0"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21BF89A2" w14:textId="77777777" w:rsidTr="007467F2">
        <w:trPr>
          <w:trHeight w:val="71"/>
        </w:trPr>
        <w:tc>
          <w:tcPr>
            <w:tcW w:w="2806" w:type="dxa"/>
            <w:tcBorders>
              <w:top w:val="nil"/>
              <w:left w:val="nil"/>
              <w:bottom w:val="nil"/>
              <w:right w:val="nil"/>
            </w:tcBorders>
            <w:shd w:val="clear" w:color="auto" w:fill="auto"/>
            <w:noWrap/>
          </w:tcPr>
          <w:p w14:paraId="4364316F"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75C95B11" w14:textId="593DD546"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(1.745)</w:t>
            </w:r>
          </w:p>
        </w:tc>
        <w:tc>
          <w:tcPr>
            <w:tcW w:w="1498" w:type="dxa"/>
            <w:tcBorders>
              <w:top w:val="nil"/>
              <w:left w:val="nil"/>
              <w:bottom w:val="nil"/>
              <w:right w:val="nil"/>
            </w:tcBorders>
          </w:tcPr>
          <w:p w14:paraId="48B7A305" w14:textId="10AFCE0C"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(4.495)</w:t>
            </w:r>
          </w:p>
        </w:tc>
        <w:tc>
          <w:tcPr>
            <w:tcW w:w="1396" w:type="dxa"/>
            <w:tcBorders>
              <w:top w:val="nil"/>
              <w:left w:val="nil"/>
              <w:bottom w:val="nil"/>
              <w:right w:val="single" w:sz="12" w:space="0" w:color="auto"/>
            </w:tcBorders>
            <w:shd w:val="clear" w:color="auto" w:fill="auto"/>
            <w:noWrap/>
          </w:tcPr>
          <w:p w14:paraId="47F5DCCB" w14:textId="2CB78C6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(0.201)</w:t>
            </w:r>
          </w:p>
        </w:tc>
        <w:tc>
          <w:tcPr>
            <w:tcW w:w="1434" w:type="dxa"/>
            <w:tcBorders>
              <w:top w:val="nil"/>
              <w:left w:val="single" w:sz="12" w:space="0" w:color="auto"/>
              <w:bottom w:val="nil"/>
            </w:tcBorders>
          </w:tcPr>
          <w:p w14:paraId="3E2439C1" w14:textId="7777777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0EC86B12" w14:textId="7777777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39C04FBB" w14:textId="7777777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2FED9FC4" w14:textId="77777777" w:rsidTr="007467F2">
        <w:trPr>
          <w:trHeight w:val="71"/>
        </w:trPr>
        <w:tc>
          <w:tcPr>
            <w:tcW w:w="2806" w:type="dxa"/>
            <w:tcBorders>
              <w:top w:val="nil"/>
              <w:left w:val="nil"/>
              <w:bottom w:val="nil"/>
              <w:right w:val="nil"/>
            </w:tcBorders>
            <w:shd w:val="clear" w:color="auto" w:fill="auto"/>
            <w:noWrap/>
          </w:tcPr>
          <w:p w14:paraId="4C0FD761" w14:textId="29ADF867"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6C681AD" w14:textId="18934AAE"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0.419</w:t>
            </w:r>
          </w:p>
        </w:tc>
        <w:tc>
          <w:tcPr>
            <w:tcW w:w="1498" w:type="dxa"/>
            <w:tcBorders>
              <w:top w:val="nil"/>
              <w:left w:val="nil"/>
              <w:bottom w:val="nil"/>
              <w:right w:val="nil"/>
            </w:tcBorders>
          </w:tcPr>
          <w:p w14:paraId="586990BB" w14:textId="65A4AC35"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-0.132</w:t>
            </w:r>
          </w:p>
        </w:tc>
        <w:tc>
          <w:tcPr>
            <w:tcW w:w="1396" w:type="dxa"/>
            <w:tcBorders>
              <w:top w:val="nil"/>
              <w:left w:val="nil"/>
              <w:bottom w:val="nil"/>
              <w:right w:val="single" w:sz="12" w:space="0" w:color="auto"/>
            </w:tcBorders>
            <w:shd w:val="clear" w:color="auto" w:fill="auto"/>
            <w:noWrap/>
          </w:tcPr>
          <w:p w14:paraId="64E22954" w14:textId="796F5387"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4" w:type="dxa"/>
            <w:tcBorders>
              <w:top w:val="nil"/>
              <w:left w:val="single" w:sz="12" w:space="0" w:color="auto"/>
              <w:bottom w:val="nil"/>
            </w:tcBorders>
          </w:tcPr>
          <w:p w14:paraId="53585BB9" w14:textId="04D4B872" w:rsidR="00FF6DC9" w:rsidRPr="00EE533D" w:rsidRDefault="00FF6DC9" w:rsidP="00FF6DC9">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nil"/>
              <w:bottom w:val="nil"/>
              <w:right w:val="nil"/>
            </w:tcBorders>
          </w:tcPr>
          <w:p w14:paraId="7FC3AABC" w14:textId="6FB49114" w:rsidR="00FF6DC9" w:rsidRPr="00EE533D" w:rsidRDefault="00FF6DC9" w:rsidP="00FF6DC9">
            <w:pPr>
              <w:tabs>
                <w:tab w:val="decimal" w:pos="482"/>
              </w:tabs>
              <w:spacing w:after="0" w:line="240" w:lineRule="auto"/>
              <w:rPr>
                <w:rFonts w:ascii="Times New Roman" w:hAnsi="Times New Roman" w:cs="Times New Roman"/>
                <w:sz w:val="14"/>
                <w:szCs w:val="14"/>
                <w:lang w:val="en-GB"/>
              </w:rPr>
            </w:pPr>
          </w:p>
        </w:tc>
        <w:tc>
          <w:tcPr>
            <w:tcW w:w="1426" w:type="dxa"/>
            <w:gridSpan w:val="2"/>
            <w:tcBorders>
              <w:top w:val="nil"/>
              <w:left w:val="nil"/>
              <w:bottom w:val="nil"/>
              <w:right w:val="nil"/>
            </w:tcBorders>
          </w:tcPr>
          <w:p w14:paraId="1079E908" w14:textId="7D2E97C9" w:rsidR="00FF6DC9" w:rsidRPr="00EE533D" w:rsidRDefault="00FF6DC9" w:rsidP="00FF6DC9">
            <w:pPr>
              <w:tabs>
                <w:tab w:val="decimal" w:pos="520"/>
              </w:tabs>
              <w:spacing w:after="0" w:line="240" w:lineRule="auto"/>
              <w:rPr>
                <w:rFonts w:ascii="Times New Roman" w:hAnsi="Times New Roman" w:cs="Times New Roman"/>
                <w:sz w:val="14"/>
                <w:szCs w:val="14"/>
                <w:lang w:val="en-GB"/>
              </w:rPr>
            </w:pPr>
          </w:p>
        </w:tc>
      </w:tr>
      <w:tr w:rsidR="00EE533D" w:rsidRPr="00EE533D" w14:paraId="35D04611" w14:textId="77777777" w:rsidTr="007467F2">
        <w:trPr>
          <w:trHeight w:val="71"/>
        </w:trPr>
        <w:tc>
          <w:tcPr>
            <w:tcW w:w="2806" w:type="dxa"/>
            <w:tcBorders>
              <w:top w:val="nil"/>
              <w:left w:val="nil"/>
              <w:bottom w:val="nil"/>
              <w:right w:val="nil"/>
            </w:tcBorders>
            <w:shd w:val="clear" w:color="auto" w:fill="auto"/>
            <w:noWrap/>
          </w:tcPr>
          <w:p w14:paraId="4A16DD19" w14:textId="6B07768B"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A2CD914" w14:textId="3EE45FEC"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(0.326)</w:t>
            </w:r>
          </w:p>
        </w:tc>
        <w:tc>
          <w:tcPr>
            <w:tcW w:w="1498" w:type="dxa"/>
            <w:tcBorders>
              <w:top w:val="nil"/>
              <w:left w:val="nil"/>
              <w:bottom w:val="nil"/>
              <w:right w:val="nil"/>
            </w:tcBorders>
          </w:tcPr>
          <w:p w14:paraId="5590BBAA" w14:textId="5A40C091"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(0.257)</w:t>
            </w:r>
          </w:p>
        </w:tc>
        <w:tc>
          <w:tcPr>
            <w:tcW w:w="1396" w:type="dxa"/>
            <w:tcBorders>
              <w:top w:val="nil"/>
              <w:left w:val="nil"/>
              <w:bottom w:val="nil"/>
              <w:right w:val="single" w:sz="12" w:space="0" w:color="auto"/>
            </w:tcBorders>
            <w:shd w:val="clear" w:color="auto" w:fill="auto"/>
            <w:noWrap/>
          </w:tcPr>
          <w:p w14:paraId="2C7C5C13" w14:textId="012860BB"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434" w:type="dxa"/>
            <w:tcBorders>
              <w:top w:val="nil"/>
              <w:left w:val="single" w:sz="12" w:space="0" w:color="auto"/>
              <w:bottom w:val="nil"/>
            </w:tcBorders>
          </w:tcPr>
          <w:p w14:paraId="39E50D49" w14:textId="7F81ED08" w:rsidR="00FF6DC9" w:rsidRPr="00EE533D" w:rsidRDefault="00FF6DC9" w:rsidP="00FF6DC9">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nil"/>
              <w:bottom w:val="nil"/>
              <w:right w:val="nil"/>
            </w:tcBorders>
          </w:tcPr>
          <w:p w14:paraId="233B6ED5" w14:textId="366F4537" w:rsidR="00FF6DC9" w:rsidRPr="00EE533D" w:rsidRDefault="00FF6DC9" w:rsidP="00FF6DC9">
            <w:pPr>
              <w:tabs>
                <w:tab w:val="decimal" w:pos="482"/>
              </w:tabs>
              <w:spacing w:after="0" w:line="240" w:lineRule="auto"/>
              <w:rPr>
                <w:rFonts w:ascii="Times New Roman" w:hAnsi="Times New Roman" w:cs="Times New Roman"/>
                <w:sz w:val="14"/>
                <w:szCs w:val="14"/>
                <w:lang w:val="en-GB"/>
              </w:rPr>
            </w:pPr>
          </w:p>
        </w:tc>
        <w:tc>
          <w:tcPr>
            <w:tcW w:w="1426" w:type="dxa"/>
            <w:gridSpan w:val="2"/>
            <w:tcBorders>
              <w:top w:val="nil"/>
              <w:left w:val="nil"/>
              <w:bottom w:val="nil"/>
              <w:right w:val="nil"/>
            </w:tcBorders>
          </w:tcPr>
          <w:p w14:paraId="3A179588" w14:textId="65BF2BD1" w:rsidR="00FF6DC9" w:rsidRPr="00EE533D" w:rsidRDefault="00FF6DC9" w:rsidP="00FF6DC9">
            <w:pPr>
              <w:tabs>
                <w:tab w:val="decimal" w:pos="520"/>
              </w:tabs>
              <w:spacing w:after="0" w:line="240" w:lineRule="auto"/>
              <w:rPr>
                <w:rFonts w:ascii="Times New Roman" w:hAnsi="Times New Roman" w:cs="Times New Roman"/>
                <w:sz w:val="14"/>
                <w:szCs w:val="14"/>
                <w:lang w:val="en-GB"/>
              </w:rPr>
            </w:pPr>
          </w:p>
        </w:tc>
      </w:tr>
      <w:tr w:rsidR="00EE533D" w:rsidRPr="00EE533D" w14:paraId="1B673BE4" w14:textId="77777777" w:rsidTr="007467F2">
        <w:trPr>
          <w:trHeight w:val="71"/>
        </w:trPr>
        <w:tc>
          <w:tcPr>
            <w:tcW w:w="2806" w:type="dxa"/>
            <w:tcBorders>
              <w:top w:val="nil"/>
              <w:left w:val="nil"/>
              <w:bottom w:val="nil"/>
              <w:right w:val="nil"/>
            </w:tcBorders>
            <w:shd w:val="clear" w:color="auto" w:fill="auto"/>
            <w:noWrap/>
          </w:tcPr>
          <w:p w14:paraId="121CD4D8" w14:textId="07E4F39F"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Debt/Assets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71E0DB3"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570084D0"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49F3F1E9"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2E944306" w14:textId="23BD2F63"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-0.043</w:t>
            </w:r>
          </w:p>
        </w:tc>
        <w:tc>
          <w:tcPr>
            <w:tcW w:w="1390" w:type="dxa"/>
            <w:tcBorders>
              <w:top w:val="nil"/>
              <w:left w:val="nil"/>
              <w:bottom w:val="nil"/>
              <w:right w:val="nil"/>
            </w:tcBorders>
          </w:tcPr>
          <w:p w14:paraId="08DC0CAF" w14:textId="5735A6C6"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26" w:type="dxa"/>
            <w:gridSpan w:val="2"/>
            <w:tcBorders>
              <w:top w:val="nil"/>
              <w:left w:val="nil"/>
              <w:bottom w:val="nil"/>
              <w:right w:val="nil"/>
            </w:tcBorders>
          </w:tcPr>
          <w:p w14:paraId="7CDF3E55" w14:textId="384CFB23"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r>
      <w:tr w:rsidR="00EE533D" w:rsidRPr="00EE533D" w14:paraId="3E629701" w14:textId="77777777" w:rsidTr="007467F2">
        <w:trPr>
          <w:trHeight w:val="71"/>
        </w:trPr>
        <w:tc>
          <w:tcPr>
            <w:tcW w:w="2806" w:type="dxa"/>
            <w:tcBorders>
              <w:top w:val="nil"/>
              <w:left w:val="nil"/>
              <w:bottom w:val="nil"/>
              <w:right w:val="nil"/>
            </w:tcBorders>
            <w:shd w:val="clear" w:color="auto" w:fill="auto"/>
            <w:noWrap/>
          </w:tcPr>
          <w:p w14:paraId="62715ACA" w14:textId="185BA178"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31B4E3BB"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3914970"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77BB129E"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5EC63BCC" w14:textId="6BA0CB50"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390" w:type="dxa"/>
            <w:tcBorders>
              <w:top w:val="nil"/>
              <w:left w:val="nil"/>
              <w:bottom w:val="nil"/>
              <w:right w:val="nil"/>
            </w:tcBorders>
          </w:tcPr>
          <w:p w14:paraId="75F0D972" w14:textId="518FF436"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(0.173)</w:t>
            </w:r>
          </w:p>
        </w:tc>
        <w:tc>
          <w:tcPr>
            <w:tcW w:w="1426" w:type="dxa"/>
            <w:gridSpan w:val="2"/>
            <w:tcBorders>
              <w:top w:val="nil"/>
              <w:left w:val="nil"/>
              <w:bottom w:val="nil"/>
              <w:right w:val="nil"/>
            </w:tcBorders>
          </w:tcPr>
          <w:p w14:paraId="33D2F089" w14:textId="6DC0F79C"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324378ED" w14:textId="77777777" w:rsidTr="007467F2">
        <w:trPr>
          <w:trHeight w:val="71"/>
        </w:trPr>
        <w:tc>
          <w:tcPr>
            <w:tcW w:w="2806" w:type="dxa"/>
            <w:tcBorders>
              <w:top w:val="nil"/>
              <w:left w:val="nil"/>
              <w:bottom w:val="nil"/>
              <w:right w:val="nil"/>
            </w:tcBorders>
            <w:shd w:val="clear" w:color="auto" w:fill="auto"/>
            <w:noWrap/>
          </w:tcPr>
          <w:p w14:paraId="6747D608" w14:textId="7562D534"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EBITDA/Revenue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9EAD47C"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50E6823F"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61F85A0"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725623B0" w14:textId="4654B6A5"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0.275</w:t>
            </w:r>
          </w:p>
        </w:tc>
        <w:tc>
          <w:tcPr>
            <w:tcW w:w="1390" w:type="dxa"/>
            <w:tcBorders>
              <w:top w:val="nil"/>
              <w:left w:val="nil"/>
              <w:bottom w:val="nil"/>
              <w:right w:val="nil"/>
            </w:tcBorders>
          </w:tcPr>
          <w:p w14:paraId="6DA40B99" w14:textId="1AC01D98"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426" w:type="dxa"/>
            <w:gridSpan w:val="2"/>
            <w:tcBorders>
              <w:top w:val="nil"/>
              <w:left w:val="nil"/>
              <w:bottom w:val="nil"/>
              <w:right w:val="nil"/>
            </w:tcBorders>
          </w:tcPr>
          <w:p w14:paraId="495DE5BE" w14:textId="37EA4CDC"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r>
      <w:tr w:rsidR="00EE533D" w:rsidRPr="00EE533D" w14:paraId="44E1AA8A" w14:textId="77777777" w:rsidTr="007467F2">
        <w:trPr>
          <w:trHeight w:val="71"/>
        </w:trPr>
        <w:tc>
          <w:tcPr>
            <w:tcW w:w="2806" w:type="dxa"/>
            <w:tcBorders>
              <w:top w:val="nil"/>
              <w:left w:val="nil"/>
              <w:bottom w:val="nil"/>
              <w:right w:val="nil"/>
            </w:tcBorders>
            <w:shd w:val="clear" w:color="auto" w:fill="auto"/>
            <w:noWrap/>
          </w:tcPr>
          <w:p w14:paraId="6182D9D6" w14:textId="0E4E2C86"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73EBDA5B"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3A24B950"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2DE60D67"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6D9CEC00" w14:textId="59406D8B"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(0.218)</w:t>
            </w:r>
          </w:p>
        </w:tc>
        <w:tc>
          <w:tcPr>
            <w:tcW w:w="1390" w:type="dxa"/>
            <w:tcBorders>
              <w:top w:val="nil"/>
              <w:left w:val="nil"/>
              <w:bottom w:val="nil"/>
              <w:right w:val="nil"/>
            </w:tcBorders>
          </w:tcPr>
          <w:p w14:paraId="3816B60F" w14:textId="6CA5E682"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(0.084)</w:t>
            </w:r>
          </w:p>
        </w:tc>
        <w:tc>
          <w:tcPr>
            <w:tcW w:w="1426" w:type="dxa"/>
            <w:gridSpan w:val="2"/>
            <w:tcBorders>
              <w:top w:val="nil"/>
              <w:left w:val="nil"/>
              <w:bottom w:val="nil"/>
              <w:right w:val="nil"/>
            </w:tcBorders>
          </w:tcPr>
          <w:p w14:paraId="5A53333E" w14:textId="282AD617"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(0.011)</w:t>
            </w:r>
          </w:p>
        </w:tc>
      </w:tr>
      <w:tr w:rsidR="00EE533D" w:rsidRPr="00EE533D" w14:paraId="7CD249B4" w14:textId="77777777" w:rsidTr="007467F2">
        <w:trPr>
          <w:trHeight w:val="71"/>
        </w:trPr>
        <w:tc>
          <w:tcPr>
            <w:tcW w:w="2806" w:type="dxa"/>
            <w:tcBorders>
              <w:top w:val="nil"/>
              <w:left w:val="nil"/>
              <w:bottom w:val="nil"/>
              <w:right w:val="nil"/>
            </w:tcBorders>
            <w:shd w:val="clear" w:color="auto" w:fill="auto"/>
            <w:noWrap/>
          </w:tcPr>
          <w:p w14:paraId="205841E2" w14:textId="6B9A1FCD"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Quick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4E43518"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1D5CA2F"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1BA5FA4"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55F3E613" w14:textId="2D0DA72D"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0.287</w:t>
            </w:r>
          </w:p>
        </w:tc>
        <w:tc>
          <w:tcPr>
            <w:tcW w:w="1390" w:type="dxa"/>
            <w:tcBorders>
              <w:top w:val="nil"/>
              <w:left w:val="nil"/>
              <w:bottom w:val="nil"/>
              <w:right w:val="nil"/>
            </w:tcBorders>
          </w:tcPr>
          <w:p w14:paraId="08CE5C65" w14:textId="651ECD1E"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2.746</w:t>
            </w:r>
          </w:p>
        </w:tc>
        <w:tc>
          <w:tcPr>
            <w:tcW w:w="1426" w:type="dxa"/>
            <w:gridSpan w:val="2"/>
            <w:tcBorders>
              <w:top w:val="nil"/>
              <w:left w:val="nil"/>
              <w:bottom w:val="nil"/>
              <w:right w:val="nil"/>
            </w:tcBorders>
          </w:tcPr>
          <w:p w14:paraId="6FBB3AF9" w14:textId="1D8BDD9B"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0.041</w:t>
            </w:r>
          </w:p>
        </w:tc>
      </w:tr>
      <w:tr w:rsidR="00EE533D" w:rsidRPr="00EE533D" w14:paraId="1903E83D" w14:textId="77777777" w:rsidTr="007467F2">
        <w:trPr>
          <w:trHeight w:val="71"/>
        </w:trPr>
        <w:tc>
          <w:tcPr>
            <w:tcW w:w="2806" w:type="dxa"/>
            <w:tcBorders>
              <w:top w:val="nil"/>
              <w:left w:val="nil"/>
              <w:bottom w:val="nil"/>
              <w:right w:val="nil"/>
            </w:tcBorders>
            <w:shd w:val="clear" w:color="auto" w:fill="auto"/>
            <w:noWrap/>
          </w:tcPr>
          <w:p w14:paraId="2A628A49" w14:textId="680EBF6F"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15FCACB"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2F39107"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050FBE18"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47FC5EA2" w14:textId="247C4D66"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(2.918)</w:t>
            </w:r>
          </w:p>
        </w:tc>
        <w:tc>
          <w:tcPr>
            <w:tcW w:w="1390" w:type="dxa"/>
            <w:tcBorders>
              <w:top w:val="nil"/>
              <w:left w:val="nil"/>
              <w:bottom w:val="nil"/>
              <w:right w:val="nil"/>
            </w:tcBorders>
          </w:tcPr>
          <w:p w14:paraId="37C7445E" w14:textId="7E66778D"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(2.002)</w:t>
            </w:r>
          </w:p>
        </w:tc>
        <w:tc>
          <w:tcPr>
            <w:tcW w:w="1426" w:type="dxa"/>
            <w:gridSpan w:val="2"/>
            <w:tcBorders>
              <w:top w:val="nil"/>
              <w:left w:val="nil"/>
              <w:bottom w:val="nil"/>
              <w:right w:val="nil"/>
            </w:tcBorders>
          </w:tcPr>
          <w:p w14:paraId="7296A9FB" w14:textId="3313E63A"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(0.400)</w:t>
            </w:r>
          </w:p>
        </w:tc>
      </w:tr>
      <w:tr w:rsidR="00EE533D" w:rsidRPr="00EE533D" w14:paraId="12A6930A" w14:textId="77777777" w:rsidTr="007467F2">
        <w:trPr>
          <w:trHeight w:val="71"/>
        </w:trPr>
        <w:tc>
          <w:tcPr>
            <w:tcW w:w="2806" w:type="dxa"/>
            <w:tcBorders>
              <w:top w:val="nil"/>
              <w:left w:val="nil"/>
              <w:bottom w:val="nil"/>
              <w:right w:val="nil"/>
            </w:tcBorders>
            <w:shd w:val="clear" w:color="auto" w:fill="auto"/>
            <w:noWrap/>
          </w:tcPr>
          <w:p w14:paraId="1E1BDA2D" w14:textId="12C2FBAE"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Ln(Capitalization)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D8DB103"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2FCC9090"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55D2C14C"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114E6A69" w14:textId="1D74134B"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-1.133</w:t>
            </w:r>
          </w:p>
        </w:tc>
        <w:tc>
          <w:tcPr>
            <w:tcW w:w="1390" w:type="dxa"/>
            <w:tcBorders>
              <w:top w:val="nil"/>
              <w:left w:val="nil"/>
              <w:bottom w:val="nil"/>
              <w:right w:val="nil"/>
            </w:tcBorders>
          </w:tcPr>
          <w:p w14:paraId="085503E8" w14:textId="0914DE05"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-0.424</w:t>
            </w:r>
          </w:p>
        </w:tc>
        <w:tc>
          <w:tcPr>
            <w:tcW w:w="1426" w:type="dxa"/>
            <w:gridSpan w:val="2"/>
            <w:tcBorders>
              <w:top w:val="nil"/>
              <w:left w:val="nil"/>
              <w:bottom w:val="nil"/>
              <w:right w:val="nil"/>
            </w:tcBorders>
          </w:tcPr>
          <w:p w14:paraId="408392E1" w14:textId="00961B05"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0.030</w:t>
            </w:r>
          </w:p>
        </w:tc>
      </w:tr>
      <w:tr w:rsidR="00EE533D" w:rsidRPr="00EE533D" w14:paraId="652D278C" w14:textId="77777777" w:rsidTr="007467F2">
        <w:trPr>
          <w:trHeight w:val="71"/>
        </w:trPr>
        <w:tc>
          <w:tcPr>
            <w:tcW w:w="2806" w:type="dxa"/>
            <w:tcBorders>
              <w:top w:val="nil"/>
              <w:left w:val="nil"/>
              <w:bottom w:val="nil"/>
              <w:right w:val="nil"/>
            </w:tcBorders>
            <w:shd w:val="clear" w:color="auto" w:fill="auto"/>
            <w:noWrap/>
          </w:tcPr>
          <w:p w14:paraId="1B639D2F"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791D08A"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FFA2E61"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0BD1F677"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10E8E1B0" w14:textId="199740F2"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(1.988)</w:t>
            </w:r>
          </w:p>
        </w:tc>
        <w:tc>
          <w:tcPr>
            <w:tcW w:w="1390" w:type="dxa"/>
            <w:tcBorders>
              <w:top w:val="nil"/>
              <w:left w:val="nil"/>
              <w:bottom w:val="nil"/>
              <w:right w:val="nil"/>
            </w:tcBorders>
          </w:tcPr>
          <w:p w14:paraId="5126E817" w14:textId="5AA34B3F"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(2.488)</w:t>
            </w:r>
          </w:p>
        </w:tc>
        <w:tc>
          <w:tcPr>
            <w:tcW w:w="1426" w:type="dxa"/>
            <w:gridSpan w:val="2"/>
            <w:tcBorders>
              <w:top w:val="nil"/>
              <w:left w:val="nil"/>
              <w:bottom w:val="nil"/>
              <w:right w:val="nil"/>
            </w:tcBorders>
          </w:tcPr>
          <w:p w14:paraId="5CA29B50" w14:textId="458A923B"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(0.304)</w:t>
            </w:r>
          </w:p>
        </w:tc>
      </w:tr>
      <w:tr w:rsidR="00EE533D" w:rsidRPr="00EE533D" w14:paraId="69019274" w14:textId="77777777" w:rsidTr="007467F2">
        <w:trPr>
          <w:trHeight w:val="71"/>
        </w:trPr>
        <w:tc>
          <w:tcPr>
            <w:tcW w:w="2806" w:type="dxa"/>
            <w:tcBorders>
              <w:top w:val="nil"/>
              <w:left w:val="nil"/>
              <w:bottom w:val="nil"/>
              <w:right w:val="nil"/>
            </w:tcBorders>
            <w:shd w:val="clear" w:color="auto" w:fill="auto"/>
            <w:noWrap/>
          </w:tcPr>
          <w:p w14:paraId="10531DBF" w14:textId="5D3DED98"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Tobin’s Q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FA8F3D7"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6F9F5592"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4EA2B368"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52C96FE0" w14:textId="7018B799"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-1.780</w:t>
            </w:r>
          </w:p>
        </w:tc>
        <w:tc>
          <w:tcPr>
            <w:tcW w:w="1390" w:type="dxa"/>
            <w:tcBorders>
              <w:top w:val="nil"/>
              <w:left w:val="nil"/>
              <w:bottom w:val="nil"/>
              <w:right w:val="nil"/>
            </w:tcBorders>
          </w:tcPr>
          <w:p w14:paraId="14D5CF13" w14:textId="7F48646F"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-2.304</w:t>
            </w:r>
          </w:p>
        </w:tc>
        <w:tc>
          <w:tcPr>
            <w:tcW w:w="1426" w:type="dxa"/>
            <w:gridSpan w:val="2"/>
            <w:tcBorders>
              <w:top w:val="nil"/>
              <w:left w:val="nil"/>
              <w:bottom w:val="nil"/>
              <w:right w:val="nil"/>
            </w:tcBorders>
          </w:tcPr>
          <w:p w14:paraId="6975D88D" w14:textId="17420045"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0.030</w:t>
            </w:r>
          </w:p>
        </w:tc>
      </w:tr>
      <w:tr w:rsidR="00EE533D" w:rsidRPr="00EE533D" w14:paraId="5A97AE44" w14:textId="77777777" w:rsidTr="007467F2">
        <w:trPr>
          <w:trHeight w:val="71"/>
        </w:trPr>
        <w:tc>
          <w:tcPr>
            <w:tcW w:w="2806" w:type="dxa"/>
            <w:tcBorders>
              <w:top w:val="nil"/>
              <w:left w:val="nil"/>
              <w:bottom w:val="nil"/>
              <w:right w:val="nil"/>
            </w:tcBorders>
            <w:shd w:val="clear" w:color="auto" w:fill="auto"/>
            <w:noWrap/>
          </w:tcPr>
          <w:p w14:paraId="7C5C684B"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01A04A1" w14:textId="77777777" w:rsidR="00FF6DC9" w:rsidRPr="00EE533D" w:rsidRDefault="00FF6DC9" w:rsidP="00FF6DC9">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1303FE0" w14:textId="77777777" w:rsidR="00FF6DC9" w:rsidRPr="00EE533D" w:rsidRDefault="00FF6DC9" w:rsidP="00FF6DC9">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30F2E5F" w14:textId="77777777" w:rsidR="00FF6DC9" w:rsidRPr="00EE533D" w:rsidRDefault="00FF6DC9" w:rsidP="00FF6DC9">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6872CAFD" w14:textId="5A1119FA"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(2.061)</w:t>
            </w:r>
          </w:p>
        </w:tc>
        <w:tc>
          <w:tcPr>
            <w:tcW w:w="1390" w:type="dxa"/>
            <w:tcBorders>
              <w:top w:val="nil"/>
              <w:left w:val="nil"/>
              <w:bottom w:val="nil"/>
              <w:right w:val="nil"/>
            </w:tcBorders>
          </w:tcPr>
          <w:p w14:paraId="16E22E38" w14:textId="5D1E6D86"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(3.073)</w:t>
            </w:r>
          </w:p>
        </w:tc>
        <w:tc>
          <w:tcPr>
            <w:tcW w:w="1426" w:type="dxa"/>
            <w:gridSpan w:val="2"/>
            <w:tcBorders>
              <w:top w:val="nil"/>
              <w:left w:val="nil"/>
              <w:bottom w:val="nil"/>
              <w:right w:val="nil"/>
            </w:tcBorders>
          </w:tcPr>
          <w:p w14:paraId="7E13D9CE" w14:textId="735CA87C"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(0.209)</w:t>
            </w:r>
          </w:p>
        </w:tc>
      </w:tr>
      <w:tr w:rsidR="00EE533D" w:rsidRPr="00EE533D" w14:paraId="2ABF48FB" w14:textId="77777777" w:rsidTr="007467F2">
        <w:trPr>
          <w:trHeight w:val="71"/>
        </w:trPr>
        <w:tc>
          <w:tcPr>
            <w:tcW w:w="2806" w:type="dxa"/>
            <w:tcBorders>
              <w:top w:val="nil"/>
              <w:left w:val="nil"/>
              <w:bottom w:val="nil"/>
              <w:right w:val="nil"/>
            </w:tcBorders>
            <w:shd w:val="clear" w:color="auto" w:fill="auto"/>
            <w:noWrap/>
          </w:tcPr>
          <w:p w14:paraId="45F12EEC" w14:textId="3C1E68DC"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0A1E781" w14:textId="5E35C8B1"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-0.701</w:t>
            </w:r>
          </w:p>
        </w:tc>
        <w:tc>
          <w:tcPr>
            <w:tcW w:w="1498" w:type="dxa"/>
            <w:tcBorders>
              <w:top w:val="nil"/>
              <w:left w:val="nil"/>
              <w:bottom w:val="nil"/>
              <w:right w:val="nil"/>
            </w:tcBorders>
          </w:tcPr>
          <w:p w14:paraId="6E3B1C8C" w14:textId="38E499CA"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0.964</w:t>
            </w:r>
          </w:p>
        </w:tc>
        <w:tc>
          <w:tcPr>
            <w:tcW w:w="1396" w:type="dxa"/>
            <w:tcBorders>
              <w:top w:val="nil"/>
              <w:left w:val="nil"/>
              <w:bottom w:val="nil"/>
              <w:right w:val="single" w:sz="12" w:space="0" w:color="auto"/>
            </w:tcBorders>
            <w:shd w:val="clear" w:color="auto" w:fill="auto"/>
            <w:noWrap/>
          </w:tcPr>
          <w:p w14:paraId="6CC31B25" w14:textId="78BC3583"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-0.320</w:t>
            </w:r>
          </w:p>
        </w:tc>
        <w:tc>
          <w:tcPr>
            <w:tcW w:w="1434" w:type="dxa"/>
            <w:tcBorders>
              <w:top w:val="nil"/>
              <w:left w:val="single" w:sz="12" w:space="0" w:color="auto"/>
              <w:bottom w:val="nil"/>
            </w:tcBorders>
          </w:tcPr>
          <w:p w14:paraId="13F5570D" w14:textId="77C92557"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0.681</w:t>
            </w:r>
          </w:p>
        </w:tc>
        <w:tc>
          <w:tcPr>
            <w:tcW w:w="1390" w:type="dxa"/>
            <w:tcBorders>
              <w:top w:val="nil"/>
              <w:left w:val="nil"/>
              <w:bottom w:val="nil"/>
              <w:right w:val="nil"/>
            </w:tcBorders>
          </w:tcPr>
          <w:p w14:paraId="461943E5" w14:textId="75847391"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-0.236</w:t>
            </w:r>
          </w:p>
        </w:tc>
        <w:tc>
          <w:tcPr>
            <w:tcW w:w="1426" w:type="dxa"/>
            <w:gridSpan w:val="2"/>
            <w:tcBorders>
              <w:top w:val="nil"/>
              <w:left w:val="nil"/>
              <w:bottom w:val="nil"/>
              <w:right w:val="nil"/>
            </w:tcBorders>
          </w:tcPr>
          <w:p w14:paraId="524E8E8B" w14:textId="778CFAA8"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0.066</w:t>
            </w:r>
          </w:p>
        </w:tc>
      </w:tr>
      <w:tr w:rsidR="00EE533D" w:rsidRPr="00EE533D" w14:paraId="51A4A4B6" w14:textId="77777777" w:rsidTr="007467F2">
        <w:trPr>
          <w:trHeight w:val="71"/>
        </w:trPr>
        <w:tc>
          <w:tcPr>
            <w:tcW w:w="2806" w:type="dxa"/>
            <w:tcBorders>
              <w:top w:val="nil"/>
              <w:left w:val="nil"/>
              <w:bottom w:val="nil"/>
              <w:right w:val="nil"/>
            </w:tcBorders>
            <w:shd w:val="clear" w:color="auto" w:fill="auto"/>
            <w:noWrap/>
          </w:tcPr>
          <w:p w14:paraId="075FA0E6"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7AAC579D" w14:textId="179E99D3"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(2.497)</w:t>
            </w:r>
          </w:p>
        </w:tc>
        <w:tc>
          <w:tcPr>
            <w:tcW w:w="1498" w:type="dxa"/>
            <w:tcBorders>
              <w:top w:val="nil"/>
              <w:left w:val="nil"/>
              <w:bottom w:val="nil"/>
              <w:right w:val="nil"/>
            </w:tcBorders>
          </w:tcPr>
          <w:p w14:paraId="40AA2DDA" w14:textId="586B07CE"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(2.465)</w:t>
            </w:r>
          </w:p>
        </w:tc>
        <w:tc>
          <w:tcPr>
            <w:tcW w:w="1396" w:type="dxa"/>
            <w:tcBorders>
              <w:top w:val="nil"/>
              <w:left w:val="nil"/>
              <w:bottom w:val="nil"/>
              <w:right w:val="single" w:sz="12" w:space="0" w:color="auto"/>
            </w:tcBorders>
            <w:shd w:val="clear" w:color="auto" w:fill="auto"/>
            <w:noWrap/>
          </w:tcPr>
          <w:p w14:paraId="5BADDBEF" w14:textId="223E21FE"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(0.310)</w:t>
            </w:r>
          </w:p>
        </w:tc>
        <w:tc>
          <w:tcPr>
            <w:tcW w:w="1434" w:type="dxa"/>
            <w:tcBorders>
              <w:top w:val="nil"/>
              <w:left w:val="single" w:sz="12" w:space="0" w:color="auto"/>
              <w:bottom w:val="nil"/>
            </w:tcBorders>
          </w:tcPr>
          <w:p w14:paraId="37DB5490" w14:textId="1A7CF734"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(2.561)</w:t>
            </w:r>
          </w:p>
        </w:tc>
        <w:tc>
          <w:tcPr>
            <w:tcW w:w="1390" w:type="dxa"/>
            <w:tcBorders>
              <w:top w:val="nil"/>
              <w:left w:val="nil"/>
              <w:bottom w:val="nil"/>
              <w:right w:val="nil"/>
            </w:tcBorders>
          </w:tcPr>
          <w:p w14:paraId="7447F200" w14:textId="53F31A3C"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(2.080)</w:t>
            </w:r>
          </w:p>
        </w:tc>
        <w:tc>
          <w:tcPr>
            <w:tcW w:w="1426" w:type="dxa"/>
            <w:gridSpan w:val="2"/>
            <w:tcBorders>
              <w:top w:val="nil"/>
              <w:left w:val="nil"/>
              <w:bottom w:val="nil"/>
              <w:right w:val="nil"/>
            </w:tcBorders>
          </w:tcPr>
          <w:p w14:paraId="071BD41A" w14:textId="79240E7D"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(0.338)</w:t>
            </w:r>
          </w:p>
        </w:tc>
      </w:tr>
      <w:tr w:rsidR="00EE533D" w:rsidRPr="00EE533D" w14:paraId="32C1EFD2" w14:textId="77777777" w:rsidTr="007467F2">
        <w:trPr>
          <w:trHeight w:val="71"/>
        </w:trPr>
        <w:tc>
          <w:tcPr>
            <w:tcW w:w="2806" w:type="dxa"/>
            <w:tcBorders>
              <w:top w:val="nil"/>
              <w:left w:val="nil"/>
              <w:bottom w:val="nil"/>
              <w:right w:val="nil"/>
            </w:tcBorders>
            <w:shd w:val="clear" w:color="auto" w:fill="auto"/>
            <w:noWrap/>
          </w:tcPr>
          <w:p w14:paraId="344FCDF5" w14:textId="75A98AEC"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49D02CC" w14:textId="6A1B0498"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0.877</w:t>
            </w:r>
          </w:p>
        </w:tc>
        <w:tc>
          <w:tcPr>
            <w:tcW w:w="1498" w:type="dxa"/>
            <w:tcBorders>
              <w:top w:val="nil"/>
              <w:left w:val="nil"/>
              <w:bottom w:val="nil"/>
              <w:right w:val="nil"/>
            </w:tcBorders>
          </w:tcPr>
          <w:p w14:paraId="4681414C" w14:textId="02801F0B"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-0.385</w:t>
            </w:r>
          </w:p>
        </w:tc>
        <w:tc>
          <w:tcPr>
            <w:tcW w:w="1396" w:type="dxa"/>
            <w:tcBorders>
              <w:top w:val="nil"/>
              <w:left w:val="nil"/>
              <w:bottom w:val="nil"/>
              <w:right w:val="single" w:sz="12" w:space="0" w:color="auto"/>
            </w:tcBorders>
            <w:shd w:val="clear" w:color="auto" w:fill="auto"/>
            <w:noWrap/>
          </w:tcPr>
          <w:p w14:paraId="67B2DDBE" w14:textId="3C7A1CFD"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34" w:type="dxa"/>
            <w:tcBorders>
              <w:top w:val="nil"/>
              <w:left w:val="single" w:sz="12" w:space="0" w:color="auto"/>
              <w:bottom w:val="nil"/>
            </w:tcBorders>
          </w:tcPr>
          <w:p w14:paraId="53F1B9C2" w14:textId="57E7533B"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1.619***</w:t>
            </w:r>
          </w:p>
        </w:tc>
        <w:tc>
          <w:tcPr>
            <w:tcW w:w="1390" w:type="dxa"/>
            <w:tcBorders>
              <w:top w:val="nil"/>
              <w:left w:val="nil"/>
              <w:bottom w:val="nil"/>
              <w:right w:val="nil"/>
            </w:tcBorders>
          </w:tcPr>
          <w:p w14:paraId="7B702B5A" w14:textId="661FB05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0.244</w:t>
            </w:r>
          </w:p>
        </w:tc>
        <w:tc>
          <w:tcPr>
            <w:tcW w:w="1426" w:type="dxa"/>
            <w:gridSpan w:val="2"/>
            <w:tcBorders>
              <w:top w:val="nil"/>
              <w:left w:val="nil"/>
              <w:bottom w:val="nil"/>
              <w:right w:val="nil"/>
            </w:tcBorders>
          </w:tcPr>
          <w:p w14:paraId="193C20C5" w14:textId="2F8148A8"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r>
      <w:tr w:rsidR="00EE533D" w:rsidRPr="00EE533D" w14:paraId="21397D45" w14:textId="77777777" w:rsidTr="007467F2">
        <w:trPr>
          <w:trHeight w:val="71"/>
        </w:trPr>
        <w:tc>
          <w:tcPr>
            <w:tcW w:w="2806" w:type="dxa"/>
            <w:tcBorders>
              <w:top w:val="nil"/>
              <w:left w:val="nil"/>
              <w:bottom w:val="nil"/>
              <w:right w:val="nil"/>
            </w:tcBorders>
            <w:shd w:val="clear" w:color="auto" w:fill="auto"/>
            <w:noWrap/>
          </w:tcPr>
          <w:p w14:paraId="551A255A"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717D445" w14:textId="0BEFD039"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(0.617)</w:t>
            </w:r>
          </w:p>
        </w:tc>
        <w:tc>
          <w:tcPr>
            <w:tcW w:w="1498" w:type="dxa"/>
            <w:tcBorders>
              <w:top w:val="nil"/>
              <w:left w:val="nil"/>
              <w:bottom w:val="nil"/>
              <w:right w:val="nil"/>
            </w:tcBorders>
          </w:tcPr>
          <w:p w14:paraId="18374E75" w14:textId="375D95C7"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(0.674)</w:t>
            </w:r>
          </w:p>
        </w:tc>
        <w:tc>
          <w:tcPr>
            <w:tcW w:w="1396" w:type="dxa"/>
            <w:tcBorders>
              <w:top w:val="nil"/>
              <w:left w:val="nil"/>
              <w:bottom w:val="nil"/>
              <w:right w:val="single" w:sz="12" w:space="0" w:color="auto"/>
            </w:tcBorders>
            <w:shd w:val="clear" w:color="auto" w:fill="auto"/>
            <w:noWrap/>
          </w:tcPr>
          <w:p w14:paraId="1CC9ADDB" w14:textId="092827F1"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34" w:type="dxa"/>
            <w:tcBorders>
              <w:top w:val="nil"/>
              <w:left w:val="single" w:sz="12" w:space="0" w:color="auto"/>
              <w:bottom w:val="nil"/>
            </w:tcBorders>
          </w:tcPr>
          <w:p w14:paraId="001F6BC0" w14:textId="10899559"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(0.628)</w:t>
            </w:r>
          </w:p>
        </w:tc>
        <w:tc>
          <w:tcPr>
            <w:tcW w:w="1390" w:type="dxa"/>
            <w:tcBorders>
              <w:top w:val="nil"/>
              <w:left w:val="nil"/>
              <w:bottom w:val="nil"/>
              <w:right w:val="nil"/>
            </w:tcBorders>
          </w:tcPr>
          <w:p w14:paraId="50755946" w14:textId="09B6679E"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(0.515)</w:t>
            </w:r>
          </w:p>
        </w:tc>
        <w:tc>
          <w:tcPr>
            <w:tcW w:w="1426" w:type="dxa"/>
            <w:gridSpan w:val="2"/>
            <w:tcBorders>
              <w:top w:val="nil"/>
              <w:left w:val="nil"/>
              <w:bottom w:val="nil"/>
              <w:right w:val="nil"/>
            </w:tcBorders>
          </w:tcPr>
          <w:p w14:paraId="40EEB8EF" w14:textId="02401288"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(0.071)</w:t>
            </w:r>
          </w:p>
        </w:tc>
      </w:tr>
      <w:tr w:rsidR="00EE533D" w:rsidRPr="00EE533D" w14:paraId="28BCE3ED" w14:textId="77777777" w:rsidTr="007467F2">
        <w:trPr>
          <w:trHeight w:val="71"/>
        </w:trPr>
        <w:tc>
          <w:tcPr>
            <w:tcW w:w="2806" w:type="dxa"/>
            <w:tcBorders>
              <w:top w:val="nil"/>
              <w:left w:val="nil"/>
              <w:bottom w:val="nil"/>
              <w:right w:val="nil"/>
            </w:tcBorders>
            <w:shd w:val="clear" w:color="auto" w:fill="auto"/>
            <w:noWrap/>
          </w:tcPr>
          <w:p w14:paraId="0934B418" w14:textId="0443791F"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5EDB37E" w14:textId="6490FEB9"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98" w:type="dxa"/>
            <w:tcBorders>
              <w:top w:val="nil"/>
              <w:left w:val="nil"/>
              <w:bottom w:val="nil"/>
              <w:right w:val="nil"/>
            </w:tcBorders>
          </w:tcPr>
          <w:p w14:paraId="4B0BBA25" w14:textId="2988E590"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0.069</w:t>
            </w:r>
          </w:p>
        </w:tc>
        <w:tc>
          <w:tcPr>
            <w:tcW w:w="1396" w:type="dxa"/>
            <w:tcBorders>
              <w:top w:val="nil"/>
              <w:left w:val="nil"/>
              <w:bottom w:val="nil"/>
              <w:right w:val="single" w:sz="12" w:space="0" w:color="auto"/>
            </w:tcBorders>
            <w:shd w:val="clear" w:color="auto" w:fill="auto"/>
            <w:noWrap/>
          </w:tcPr>
          <w:p w14:paraId="1BF10153" w14:textId="03DB7D70"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34" w:type="dxa"/>
            <w:tcBorders>
              <w:top w:val="nil"/>
              <w:left w:val="single" w:sz="12" w:space="0" w:color="auto"/>
              <w:bottom w:val="nil"/>
            </w:tcBorders>
          </w:tcPr>
          <w:p w14:paraId="07CC8581" w14:textId="6F13A2A0"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0.112</w:t>
            </w:r>
          </w:p>
        </w:tc>
        <w:tc>
          <w:tcPr>
            <w:tcW w:w="1390" w:type="dxa"/>
            <w:tcBorders>
              <w:top w:val="nil"/>
              <w:left w:val="nil"/>
              <w:bottom w:val="nil"/>
              <w:right w:val="nil"/>
            </w:tcBorders>
          </w:tcPr>
          <w:p w14:paraId="4C2A49C1" w14:textId="5F52CF4F"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26" w:type="dxa"/>
            <w:gridSpan w:val="2"/>
            <w:tcBorders>
              <w:top w:val="nil"/>
              <w:left w:val="nil"/>
              <w:bottom w:val="nil"/>
              <w:right w:val="nil"/>
            </w:tcBorders>
          </w:tcPr>
          <w:p w14:paraId="0D5C4B2E" w14:textId="06E7EBEF"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r>
      <w:tr w:rsidR="00EE533D" w:rsidRPr="00EE533D" w14:paraId="02129DBA" w14:textId="77777777" w:rsidTr="007467F2">
        <w:trPr>
          <w:trHeight w:val="71"/>
        </w:trPr>
        <w:tc>
          <w:tcPr>
            <w:tcW w:w="2806" w:type="dxa"/>
            <w:tcBorders>
              <w:top w:val="nil"/>
              <w:left w:val="nil"/>
              <w:bottom w:val="nil"/>
              <w:right w:val="nil"/>
            </w:tcBorders>
            <w:shd w:val="clear" w:color="auto" w:fill="auto"/>
            <w:noWrap/>
          </w:tcPr>
          <w:p w14:paraId="7180C81F"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748A42F9" w14:textId="1667E70A"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(0.093)</w:t>
            </w:r>
          </w:p>
        </w:tc>
        <w:tc>
          <w:tcPr>
            <w:tcW w:w="1498" w:type="dxa"/>
            <w:tcBorders>
              <w:top w:val="nil"/>
              <w:left w:val="nil"/>
              <w:bottom w:val="nil"/>
              <w:right w:val="nil"/>
            </w:tcBorders>
          </w:tcPr>
          <w:p w14:paraId="77383214" w14:textId="2B172AB3"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(0.092)</w:t>
            </w:r>
          </w:p>
        </w:tc>
        <w:tc>
          <w:tcPr>
            <w:tcW w:w="1396" w:type="dxa"/>
            <w:tcBorders>
              <w:top w:val="nil"/>
              <w:left w:val="nil"/>
              <w:bottom w:val="nil"/>
              <w:right w:val="single" w:sz="12" w:space="0" w:color="auto"/>
            </w:tcBorders>
            <w:shd w:val="clear" w:color="auto" w:fill="auto"/>
            <w:noWrap/>
          </w:tcPr>
          <w:p w14:paraId="41E6318F" w14:textId="32CDD41E"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34" w:type="dxa"/>
            <w:tcBorders>
              <w:top w:val="nil"/>
              <w:left w:val="single" w:sz="12" w:space="0" w:color="auto"/>
              <w:bottom w:val="nil"/>
            </w:tcBorders>
          </w:tcPr>
          <w:p w14:paraId="37082460" w14:textId="0A52E853"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(0.096)</w:t>
            </w:r>
          </w:p>
        </w:tc>
        <w:tc>
          <w:tcPr>
            <w:tcW w:w="1390" w:type="dxa"/>
            <w:tcBorders>
              <w:top w:val="nil"/>
              <w:left w:val="nil"/>
              <w:bottom w:val="nil"/>
              <w:right w:val="nil"/>
            </w:tcBorders>
          </w:tcPr>
          <w:p w14:paraId="4E684028" w14:textId="29A769FB"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(0.081)</w:t>
            </w:r>
          </w:p>
        </w:tc>
        <w:tc>
          <w:tcPr>
            <w:tcW w:w="1426" w:type="dxa"/>
            <w:gridSpan w:val="2"/>
            <w:tcBorders>
              <w:top w:val="nil"/>
              <w:left w:val="nil"/>
              <w:bottom w:val="nil"/>
              <w:right w:val="nil"/>
            </w:tcBorders>
          </w:tcPr>
          <w:p w14:paraId="10720ABD" w14:textId="16999402"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(0.012)</w:t>
            </w:r>
          </w:p>
        </w:tc>
      </w:tr>
      <w:tr w:rsidR="00EE533D" w:rsidRPr="00EE533D" w14:paraId="430080D1" w14:textId="77777777" w:rsidTr="007467F2">
        <w:trPr>
          <w:trHeight w:val="71"/>
        </w:trPr>
        <w:tc>
          <w:tcPr>
            <w:tcW w:w="2806" w:type="dxa"/>
            <w:tcBorders>
              <w:top w:val="nil"/>
              <w:left w:val="nil"/>
              <w:bottom w:val="nil"/>
              <w:right w:val="nil"/>
            </w:tcBorders>
            <w:shd w:val="clear" w:color="auto" w:fill="auto"/>
            <w:noWrap/>
          </w:tcPr>
          <w:p w14:paraId="1F398A5E" w14:textId="2B8A57A1"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D7DE88D" w14:textId="1D4F5A7E"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498" w:type="dxa"/>
            <w:tcBorders>
              <w:top w:val="nil"/>
              <w:left w:val="nil"/>
              <w:bottom w:val="nil"/>
              <w:right w:val="nil"/>
            </w:tcBorders>
          </w:tcPr>
          <w:p w14:paraId="624F671A" w14:textId="084F5437"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-0.869</w:t>
            </w:r>
          </w:p>
        </w:tc>
        <w:tc>
          <w:tcPr>
            <w:tcW w:w="1396" w:type="dxa"/>
            <w:tcBorders>
              <w:top w:val="nil"/>
              <w:left w:val="nil"/>
              <w:bottom w:val="nil"/>
              <w:right w:val="single" w:sz="12" w:space="0" w:color="auto"/>
            </w:tcBorders>
            <w:shd w:val="clear" w:color="auto" w:fill="auto"/>
            <w:noWrap/>
          </w:tcPr>
          <w:p w14:paraId="1B333048" w14:textId="665E7D8C"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0.157</w:t>
            </w:r>
          </w:p>
        </w:tc>
        <w:tc>
          <w:tcPr>
            <w:tcW w:w="1434" w:type="dxa"/>
            <w:tcBorders>
              <w:top w:val="nil"/>
              <w:left w:val="single" w:sz="12" w:space="0" w:color="auto"/>
              <w:bottom w:val="nil"/>
            </w:tcBorders>
          </w:tcPr>
          <w:p w14:paraId="15CFF9D9" w14:textId="1CCFD1B1"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-1.364</w:t>
            </w:r>
          </w:p>
        </w:tc>
        <w:tc>
          <w:tcPr>
            <w:tcW w:w="1390" w:type="dxa"/>
            <w:tcBorders>
              <w:top w:val="nil"/>
              <w:left w:val="nil"/>
              <w:bottom w:val="nil"/>
              <w:right w:val="nil"/>
            </w:tcBorders>
          </w:tcPr>
          <w:p w14:paraId="66B0BC71" w14:textId="6BAC3948"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0.219</w:t>
            </w:r>
          </w:p>
        </w:tc>
        <w:tc>
          <w:tcPr>
            <w:tcW w:w="1426" w:type="dxa"/>
            <w:gridSpan w:val="2"/>
            <w:tcBorders>
              <w:top w:val="nil"/>
              <w:left w:val="nil"/>
              <w:bottom w:val="nil"/>
              <w:right w:val="nil"/>
            </w:tcBorders>
          </w:tcPr>
          <w:p w14:paraId="253A2740" w14:textId="491E7205"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0.089</w:t>
            </w:r>
          </w:p>
        </w:tc>
      </w:tr>
      <w:tr w:rsidR="00EE533D" w:rsidRPr="00EE533D" w14:paraId="01277AAA" w14:textId="77777777" w:rsidTr="007467F2">
        <w:trPr>
          <w:trHeight w:val="71"/>
        </w:trPr>
        <w:tc>
          <w:tcPr>
            <w:tcW w:w="2806" w:type="dxa"/>
            <w:tcBorders>
              <w:top w:val="nil"/>
              <w:left w:val="nil"/>
              <w:bottom w:val="nil"/>
              <w:right w:val="nil"/>
            </w:tcBorders>
            <w:shd w:val="clear" w:color="auto" w:fill="auto"/>
            <w:noWrap/>
          </w:tcPr>
          <w:p w14:paraId="055A9F1B"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09685BC" w14:textId="52034D35" w:rsidR="00FF6DC9" w:rsidRPr="00EE533D" w:rsidRDefault="00FF6DC9" w:rsidP="00FF6DC9">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(2.018)</w:t>
            </w:r>
          </w:p>
        </w:tc>
        <w:tc>
          <w:tcPr>
            <w:tcW w:w="1498" w:type="dxa"/>
            <w:tcBorders>
              <w:top w:val="nil"/>
              <w:left w:val="nil"/>
              <w:bottom w:val="nil"/>
              <w:right w:val="nil"/>
            </w:tcBorders>
          </w:tcPr>
          <w:p w14:paraId="2995363E" w14:textId="63B5D2ED" w:rsidR="00FF6DC9" w:rsidRPr="00EE533D" w:rsidRDefault="00FF6DC9" w:rsidP="00FF6DC9">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(1.987)</w:t>
            </w:r>
          </w:p>
        </w:tc>
        <w:tc>
          <w:tcPr>
            <w:tcW w:w="1396" w:type="dxa"/>
            <w:tcBorders>
              <w:top w:val="nil"/>
              <w:left w:val="nil"/>
              <w:bottom w:val="nil"/>
              <w:right w:val="single" w:sz="12" w:space="0" w:color="auto"/>
            </w:tcBorders>
            <w:shd w:val="clear" w:color="auto" w:fill="auto"/>
            <w:noWrap/>
          </w:tcPr>
          <w:p w14:paraId="5C4EC429" w14:textId="5169C4C9" w:rsidR="00FF6DC9" w:rsidRPr="00EE533D" w:rsidRDefault="00FF6DC9" w:rsidP="00FF6DC9">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(0.258)</w:t>
            </w:r>
          </w:p>
        </w:tc>
        <w:tc>
          <w:tcPr>
            <w:tcW w:w="1434" w:type="dxa"/>
            <w:tcBorders>
              <w:top w:val="nil"/>
              <w:left w:val="single" w:sz="12" w:space="0" w:color="auto"/>
              <w:bottom w:val="nil"/>
            </w:tcBorders>
          </w:tcPr>
          <w:p w14:paraId="54C843DB" w14:textId="30091531" w:rsidR="00FF6DC9" w:rsidRPr="00EE533D" w:rsidRDefault="00FF6DC9" w:rsidP="00FF6DC9">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(2.021)</w:t>
            </w:r>
          </w:p>
        </w:tc>
        <w:tc>
          <w:tcPr>
            <w:tcW w:w="1390" w:type="dxa"/>
            <w:tcBorders>
              <w:top w:val="nil"/>
              <w:left w:val="nil"/>
              <w:bottom w:val="nil"/>
              <w:right w:val="nil"/>
            </w:tcBorders>
          </w:tcPr>
          <w:p w14:paraId="21DFFA62" w14:textId="677EB770" w:rsidR="00FF6DC9" w:rsidRPr="00EE533D" w:rsidRDefault="00FF6DC9" w:rsidP="00FF6DC9">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(1.772)</w:t>
            </w:r>
          </w:p>
        </w:tc>
        <w:tc>
          <w:tcPr>
            <w:tcW w:w="1426" w:type="dxa"/>
            <w:gridSpan w:val="2"/>
            <w:tcBorders>
              <w:top w:val="nil"/>
              <w:left w:val="nil"/>
              <w:bottom w:val="nil"/>
              <w:right w:val="nil"/>
            </w:tcBorders>
          </w:tcPr>
          <w:p w14:paraId="28954291" w14:textId="03503E33" w:rsidR="00FF6DC9" w:rsidRPr="00EE533D" w:rsidRDefault="00FF6DC9" w:rsidP="00FF6DC9">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(0.327)</w:t>
            </w:r>
          </w:p>
        </w:tc>
      </w:tr>
      <w:tr w:rsidR="00EE533D" w:rsidRPr="00EE533D" w14:paraId="02719FC5" w14:textId="77777777" w:rsidTr="007467F2">
        <w:trPr>
          <w:trHeight w:val="71"/>
        </w:trPr>
        <w:tc>
          <w:tcPr>
            <w:tcW w:w="2806" w:type="dxa"/>
            <w:tcBorders>
              <w:top w:val="nil"/>
              <w:left w:val="nil"/>
              <w:bottom w:val="nil"/>
              <w:right w:val="nil"/>
            </w:tcBorders>
            <w:shd w:val="clear" w:color="auto" w:fill="auto"/>
            <w:noWrap/>
          </w:tcPr>
          <w:p w14:paraId="35878EBE" w14:textId="2E21B8D6"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C7BDE39" w14:textId="16BAD838"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1.517</w:t>
            </w:r>
          </w:p>
        </w:tc>
        <w:tc>
          <w:tcPr>
            <w:tcW w:w="1498" w:type="dxa"/>
            <w:tcBorders>
              <w:top w:val="nil"/>
              <w:left w:val="nil"/>
              <w:bottom w:val="nil"/>
              <w:right w:val="nil"/>
            </w:tcBorders>
          </w:tcPr>
          <w:p w14:paraId="27090A53" w14:textId="080BDEB4"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-2.278</w:t>
            </w:r>
          </w:p>
        </w:tc>
        <w:tc>
          <w:tcPr>
            <w:tcW w:w="1396" w:type="dxa"/>
            <w:tcBorders>
              <w:top w:val="nil"/>
              <w:left w:val="nil"/>
              <w:bottom w:val="nil"/>
              <w:right w:val="single" w:sz="12" w:space="0" w:color="auto"/>
            </w:tcBorders>
            <w:shd w:val="clear" w:color="auto" w:fill="auto"/>
            <w:noWrap/>
          </w:tcPr>
          <w:p w14:paraId="20DDCEEC" w14:textId="117C6A27"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0.133</w:t>
            </w:r>
          </w:p>
        </w:tc>
        <w:tc>
          <w:tcPr>
            <w:tcW w:w="1434" w:type="dxa"/>
            <w:tcBorders>
              <w:top w:val="nil"/>
              <w:left w:val="single" w:sz="12" w:space="0" w:color="auto"/>
              <w:bottom w:val="nil"/>
            </w:tcBorders>
          </w:tcPr>
          <w:p w14:paraId="7857F31F" w14:textId="102DBF34"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-0.251</w:t>
            </w:r>
          </w:p>
        </w:tc>
        <w:tc>
          <w:tcPr>
            <w:tcW w:w="1390" w:type="dxa"/>
            <w:tcBorders>
              <w:top w:val="nil"/>
              <w:left w:val="nil"/>
              <w:bottom w:val="nil"/>
              <w:right w:val="nil"/>
            </w:tcBorders>
          </w:tcPr>
          <w:p w14:paraId="6116DFB9" w14:textId="7A5F001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-0.783</w:t>
            </w:r>
          </w:p>
        </w:tc>
        <w:tc>
          <w:tcPr>
            <w:tcW w:w="1426" w:type="dxa"/>
            <w:gridSpan w:val="2"/>
            <w:tcBorders>
              <w:top w:val="nil"/>
              <w:left w:val="nil"/>
              <w:bottom w:val="nil"/>
              <w:right w:val="nil"/>
            </w:tcBorders>
          </w:tcPr>
          <w:p w14:paraId="4591B8F6" w14:textId="15A20C19"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-0.101</w:t>
            </w:r>
          </w:p>
        </w:tc>
      </w:tr>
      <w:tr w:rsidR="00EE533D" w:rsidRPr="00EE533D" w14:paraId="5AD87A8E" w14:textId="77777777" w:rsidTr="007467F2">
        <w:trPr>
          <w:trHeight w:val="71"/>
        </w:trPr>
        <w:tc>
          <w:tcPr>
            <w:tcW w:w="2806" w:type="dxa"/>
            <w:tcBorders>
              <w:top w:val="nil"/>
              <w:left w:val="nil"/>
              <w:bottom w:val="nil"/>
              <w:right w:val="nil"/>
            </w:tcBorders>
            <w:shd w:val="clear" w:color="auto" w:fill="auto"/>
            <w:noWrap/>
          </w:tcPr>
          <w:p w14:paraId="5C0AF958"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C0C8854" w14:textId="5D557A86"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(1.913)</w:t>
            </w:r>
          </w:p>
        </w:tc>
        <w:tc>
          <w:tcPr>
            <w:tcW w:w="1498" w:type="dxa"/>
            <w:tcBorders>
              <w:top w:val="nil"/>
              <w:left w:val="nil"/>
              <w:bottom w:val="nil"/>
              <w:right w:val="nil"/>
            </w:tcBorders>
          </w:tcPr>
          <w:p w14:paraId="77D6C372" w14:textId="461AD7A3"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(3.477)</w:t>
            </w:r>
          </w:p>
        </w:tc>
        <w:tc>
          <w:tcPr>
            <w:tcW w:w="1396" w:type="dxa"/>
            <w:tcBorders>
              <w:top w:val="nil"/>
              <w:left w:val="nil"/>
              <w:bottom w:val="nil"/>
              <w:right w:val="single" w:sz="12" w:space="0" w:color="auto"/>
            </w:tcBorders>
            <w:shd w:val="clear" w:color="auto" w:fill="auto"/>
            <w:noWrap/>
          </w:tcPr>
          <w:p w14:paraId="0514F0D1" w14:textId="47A92576"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(0.246)</w:t>
            </w:r>
          </w:p>
        </w:tc>
        <w:tc>
          <w:tcPr>
            <w:tcW w:w="1434" w:type="dxa"/>
            <w:tcBorders>
              <w:top w:val="nil"/>
              <w:left w:val="single" w:sz="12" w:space="0" w:color="auto"/>
              <w:bottom w:val="nil"/>
            </w:tcBorders>
          </w:tcPr>
          <w:p w14:paraId="0F6733E8" w14:textId="78664458"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(1.977)</w:t>
            </w:r>
          </w:p>
        </w:tc>
        <w:tc>
          <w:tcPr>
            <w:tcW w:w="1390" w:type="dxa"/>
            <w:tcBorders>
              <w:top w:val="nil"/>
              <w:left w:val="nil"/>
              <w:bottom w:val="nil"/>
              <w:right w:val="nil"/>
            </w:tcBorders>
          </w:tcPr>
          <w:p w14:paraId="053F04AE" w14:textId="1B8F59CD"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(2.841)</w:t>
            </w:r>
          </w:p>
        </w:tc>
        <w:tc>
          <w:tcPr>
            <w:tcW w:w="1426" w:type="dxa"/>
            <w:gridSpan w:val="2"/>
            <w:tcBorders>
              <w:top w:val="nil"/>
              <w:left w:val="nil"/>
              <w:bottom w:val="nil"/>
              <w:right w:val="nil"/>
            </w:tcBorders>
          </w:tcPr>
          <w:p w14:paraId="5DA33FEE" w14:textId="4B3A9A87"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(0.489)</w:t>
            </w:r>
          </w:p>
        </w:tc>
      </w:tr>
      <w:tr w:rsidR="00EE533D" w:rsidRPr="00EE533D" w14:paraId="595465F7" w14:textId="77777777" w:rsidTr="007467F2">
        <w:trPr>
          <w:trHeight w:val="71"/>
        </w:trPr>
        <w:tc>
          <w:tcPr>
            <w:tcW w:w="2806" w:type="dxa"/>
            <w:tcBorders>
              <w:top w:val="nil"/>
              <w:left w:val="nil"/>
              <w:bottom w:val="nil"/>
              <w:right w:val="nil"/>
            </w:tcBorders>
            <w:shd w:val="clear" w:color="auto" w:fill="auto"/>
            <w:noWrap/>
          </w:tcPr>
          <w:p w14:paraId="3DE28568" w14:textId="0A96BD95" w:rsidR="00FF6DC9" w:rsidRPr="00EE533D" w:rsidRDefault="00FF6DC9" w:rsidP="00FF6DC9">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3624CF3B" w14:textId="3C82E6F2"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7.618*</w:t>
            </w:r>
          </w:p>
        </w:tc>
        <w:tc>
          <w:tcPr>
            <w:tcW w:w="1498" w:type="dxa"/>
            <w:tcBorders>
              <w:top w:val="nil"/>
              <w:left w:val="nil"/>
              <w:bottom w:val="nil"/>
              <w:right w:val="nil"/>
            </w:tcBorders>
          </w:tcPr>
          <w:p w14:paraId="3D2EEC37" w14:textId="038B4354"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10.348</w:t>
            </w:r>
          </w:p>
        </w:tc>
        <w:tc>
          <w:tcPr>
            <w:tcW w:w="1396" w:type="dxa"/>
            <w:tcBorders>
              <w:top w:val="nil"/>
              <w:left w:val="nil"/>
              <w:bottom w:val="nil"/>
              <w:right w:val="single" w:sz="12" w:space="0" w:color="auto"/>
            </w:tcBorders>
            <w:shd w:val="clear" w:color="auto" w:fill="auto"/>
            <w:noWrap/>
          </w:tcPr>
          <w:p w14:paraId="4C28D564" w14:textId="4A0701F2"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-0.560</w:t>
            </w:r>
          </w:p>
        </w:tc>
        <w:tc>
          <w:tcPr>
            <w:tcW w:w="1434" w:type="dxa"/>
            <w:tcBorders>
              <w:top w:val="nil"/>
              <w:left w:val="single" w:sz="12" w:space="0" w:color="auto"/>
              <w:bottom w:val="nil"/>
            </w:tcBorders>
          </w:tcPr>
          <w:p w14:paraId="558F4E3E" w14:textId="18C34A94"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6.999*</w:t>
            </w:r>
          </w:p>
        </w:tc>
        <w:tc>
          <w:tcPr>
            <w:tcW w:w="1390" w:type="dxa"/>
            <w:tcBorders>
              <w:top w:val="nil"/>
              <w:left w:val="nil"/>
              <w:bottom w:val="nil"/>
              <w:right w:val="nil"/>
            </w:tcBorders>
          </w:tcPr>
          <w:p w14:paraId="75B99675" w14:textId="7CB3E9F0"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6.337</w:t>
            </w:r>
          </w:p>
        </w:tc>
        <w:tc>
          <w:tcPr>
            <w:tcW w:w="1426" w:type="dxa"/>
            <w:gridSpan w:val="2"/>
            <w:tcBorders>
              <w:top w:val="nil"/>
              <w:left w:val="nil"/>
              <w:bottom w:val="nil"/>
              <w:right w:val="nil"/>
            </w:tcBorders>
          </w:tcPr>
          <w:p w14:paraId="6BCE02F5" w14:textId="523B6C7E"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-0.409</w:t>
            </w:r>
          </w:p>
        </w:tc>
      </w:tr>
      <w:tr w:rsidR="00EE533D" w:rsidRPr="00EE533D" w14:paraId="26B8B602" w14:textId="77777777" w:rsidTr="007467F2">
        <w:trPr>
          <w:trHeight w:val="71"/>
        </w:trPr>
        <w:tc>
          <w:tcPr>
            <w:tcW w:w="2806" w:type="dxa"/>
            <w:tcBorders>
              <w:top w:val="nil"/>
              <w:left w:val="nil"/>
              <w:bottom w:val="nil"/>
              <w:right w:val="nil"/>
            </w:tcBorders>
            <w:shd w:val="clear" w:color="auto" w:fill="auto"/>
            <w:noWrap/>
          </w:tcPr>
          <w:p w14:paraId="15D8A367" w14:textId="77777777" w:rsidR="00FF6DC9" w:rsidRPr="00EE533D" w:rsidRDefault="00FF6DC9" w:rsidP="00FF6DC9">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330164C2" w14:textId="507AD08F"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(4.360)</w:t>
            </w:r>
          </w:p>
        </w:tc>
        <w:tc>
          <w:tcPr>
            <w:tcW w:w="1498" w:type="dxa"/>
            <w:tcBorders>
              <w:top w:val="nil"/>
              <w:left w:val="nil"/>
              <w:bottom w:val="nil"/>
              <w:right w:val="nil"/>
            </w:tcBorders>
          </w:tcPr>
          <w:p w14:paraId="5783451C" w14:textId="1CC98828"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(9.966)</w:t>
            </w:r>
          </w:p>
        </w:tc>
        <w:tc>
          <w:tcPr>
            <w:tcW w:w="1396" w:type="dxa"/>
            <w:tcBorders>
              <w:top w:val="nil"/>
              <w:left w:val="nil"/>
              <w:bottom w:val="nil"/>
              <w:right w:val="single" w:sz="12" w:space="0" w:color="auto"/>
            </w:tcBorders>
            <w:shd w:val="clear" w:color="auto" w:fill="auto"/>
            <w:noWrap/>
          </w:tcPr>
          <w:p w14:paraId="61FF2CD2" w14:textId="13F5C43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(0.971)</w:t>
            </w:r>
          </w:p>
        </w:tc>
        <w:tc>
          <w:tcPr>
            <w:tcW w:w="1434" w:type="dxa"/>
            <w:tcBorders>
              <w:top w:val="nil"/>
              <w:left w:val="single" w:sz="12" w:space="0" w:color="auto"/>
              <w:bottom w:val="nil"/>
            </w:tcBorders>
          </w:tcPr>
          <w:p w14:paraId="1567527A" w14:textId="30D39C8F"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(4.075)</w:t>
            </w:r>
          </w:p>
        </w:tc>
        <w:tc>
          <w:tcPr>
            <w:tcW w:w="1390" w:type="dxa"/>
            <w:tcBorders>
              <w:top w:val="nil"/>
              <w:left w:val="nil"/>
              <w:bottom w:val="nil"/>
              <w:right w:val="nil"/>
            </w:tcBorders>
          </w:tcPr>
          <w:p w14:paraId="37D3D229" w14:textId="0018CDF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(7.510)</w:t>
            </w:r>
          </w:p>
        </w:tc>
        <w:tc>
          <w:tcPr>
            <w:tcW w:w="1426" w:type="dxa"/>
            <w:gridSpan w:val="2"/>
            <w:tcBorders>
              <w:top w:val="nil"/>
              <w:left w:val="nil"/>
              <w:bottom w:val="nil"/>
              <w:right w:val="nil"/>
            </w:tcBorders>
          </w:tcPr>
          <w:p w14:paraId="54323F71" w14:textId="3448459C"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(1.631)</w:t>
            </w:r>
          </w:p>
        </w:tc>
      </w:tr>
      <w:tr w:rsidR="00EE533D" w:rsidRPr="00EE533D" w14:paraId="5A659518" w14:textId="77777777" w:rsidTr="007467F2">
        <w:trPr>
          <w:trHeight w:val="71"/>
        </w:trPr>
        <w:tc>
          <w:tcPr>
            <w:tcW w:w="2806" w:type="dxa"/>
            <w:tcBorders>
              <w:top w:val="nil"/>
              <w:left w:val="nil"/>
              <w:bottom w:val="nil"/>
              <w:right w:val="nil"/>
            </w:tcBorders>
            <w:shd w:val="clear" w:color="auto" w:fill="auto"/>
            <w:noWrap/>
            <w:vAlign w:val="bottom"/>
          </w:tcPr>
          <w:p w14:paraId="172B2A0B" w14:textId="44AE944B"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DF8AE20" w14:textId="1487C0B4"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-0.533</w:t>
            </w:r>
          </w:p>
        </w:tc>
        <w:tc>
          <w:tcPr>
            <w:tcW w:w="1498" w:type="dxa"/>
            <w:tcBorders>
              <w:top w:val="nil"/>
              <w:left w:val="nil"/>
              <w:bottom w:val="nil"/>
              <w:right w:val="nil"/>
            </w:tcBorders>
          </w:tcPr>
          <w:p w14:paraId="783D026C" w14:textId="737B120F"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0.905</w:t>
            </w:r>
          </w:p>
        </w:tc>
        <w:tc>
          <w:tcPr>
            <w:tcW w:w="1396" w:type="dxa"/>
            <w:tcBorders>
              <w:top w:val="nil"/>
              <w:left w:val="nil"/>
              <w:bottom w:val="nil"/>
              <w:right w:val="single" w:sz="12" w:space="0" w:color="auto"/>
            </w:tcBorders>
            <w:shd w:val="clear" w:color="auto" w:fill="auto"/>
            <w:noWrap/>
          </w:tcPr>
          <w:p w14:paraId="5792F2BA" w14:textId="27A76C6B"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434" w:type="dxa"/>
            <w:tcBorders>
              <w:top w:val="nil"/>
              <w:left w:val="single" w:sz="12" w:space="0" w:color="auto"/>
              <w:bottom w:val="nil"/>
            </w:tcBorders>
          </w:tcPr>
          <w:p w14:paraId="3B76AF66" w14:textId="367001FC"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-1.041*</w:t>
            </w:r>
          </w:p>
        </w:tc>
        <w:tc>
          <w:tcPr>
            <w:tcW w:w="1390" w:type="dxa"/>
            <w:tcBorders>
              <w:top w:val="nil"/>
              <w:left w:val="nil"/>
              <w:bottom w:val="nil"/>
              <w:right w:val="nil"/>
            </w:tcBorders>
          </w:tcPr>
          <w:p w14:paraId="5333B020" w14:textId="2B557257"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0.846</w:t>
            </w:r>
          </w:p>
        </w:tc>
        <w:tc>
          <w:tcPr>
            <w:tcW w:w="1426" w:type="dxa"/>
            <w:gridSpan w:val="2"/>
            <w:tcBorders>
              <w:top w:val="nil"/>
              <w:left w:val="nil"/>
              <w:bottom w:val="nil"/>
              <w:right w:val="nil"/>
            </w:tcBorders>
          </w:tcPr>
          <w:p w14:paraId="00F88DD3" w14:textId="71A0B7CE"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r>
      <w:tr w:rsidR="00EE533D" w:rsidRPr="00EE533D" w14:paraId="0A6E5713" w14:textId="77777777" w:rsidTr="007467F2">
        <w:trPr>
          <w:trHeight w:val="71"/>
        </w:trPr>
        <w:tc>
          <w:tcPr>
            <w:tcW w:w="2806" w:type="dxa"/>
            <w:tcBorders>
              <w:top w:val="nil"/>
              <w:left w:val="nil"/>
              <w:bottom w:val="nil"/>
              <w:right w:val="nil"/>
            </w:tcBorders>
            <w:shd w:val="clear" w:color="auto" w:fill="auto"/>
            <w:noWrap/>
            <w:vAlign w:val="bottom"/>
          </w:tcPr>
          <w:p w14:paraId="06159177"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47A35B6" w14:textId="0D42B63C"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(0.688)</w:t>
            </w:r>
          </w:p>
        </w:tc>
        <w:tc>
          <w:tcPr>
            <w:tcW w:w="1498" w:type="dxa"/>
            <w:tcBorders>
              <w:top w:val="nil"/>
              <w:left w:val="nil"/>
              <w:bottom w:val="nil"/>
              <w:right w:val="nil"/>
            </w:tcBorders>
          </w:tcPr>
          <w:p w14:paraId="5F6B326D" w14:textId="1FA9CED6"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(0.664)</w:t>
            </w:r>
          </w:p>
        </w:tc>
        <w:tc>
          <w:tcPr>
            <w:tcW w:w="1396" w:type="dxa"/>
            <w:tcBorders>
              <w:top w:val="nil"/>
              <w:left w:val="nil"/>
              <w:bottom w:val="nil"/>
              <w:right w:val="single" w:sz="12" w:space="0" w:color="auto"/>
            </w:tcBorders>
            <w:shd w:val="clear" w:color="auto" w:fill="auto"/>
            <w:noWrap/>
          </w:tcPr>
          <w:p w14:paraId="2E7A58FD" w14:textId="0AE5A62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c>
          <w:tcPr>
            <w:tcW w:w="1434" w:type="dxa"/>
            <w:tcBorders>
              <w:top w:val="nil"/>
              <w:left w:val="single" w:sz="12" w:space="0" w:color="auto"/>
              <w:bottom w:val="nil"/>
            </w:tcBorders>
          </w:tcPr>
          <w:p w14:paraId="26B4B023" w14:textId="63FB8809"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(0.624)</w:t>
            </w:r>
          </w:p>
        </w:tc>
        <w:tc>
          <w:tcPr>
            <w:tcW w:w="1390" w:type="dxa"/>
            <w:tcBorders>
              <w:top w:val="nil"/>
              <w:left w:val="nil"/>
              <w:bottom w:val="nil"/>
              <w:right w:val="nil"/>
            </w:tcBorders>
          </w:tcPr>
          <w:p w14:paraId="7CD5FA77" w14:textId="36E7F063"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(0.687)</w:t>
            </w:r>
          </w:p>
        </w:tc>
        <w:tc>
          <w:tcPr>
            <w:tcW w:w="1426" w:type="dxa"/>
            <w:gridSpan w:val="2"/>
            <w:tcBorders>
              <w:top w:val="nil"/>
              <w:left w:val="nil"/>
              <w:bottom w:val="nil"/>
              <w:right w:val="nil"/>
            </w:tcBorders>
          </w:tcPr>
          <w:p w14:paraId="37F69992" w14:textId="783216FF"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r>
      <w:tr w:rsidR="00EE533D" w:rsidRPr="00EE533D" w14:paraId="37E00585" w14:textId="77777777" w:rsidTr="007467F2">
        <w:trPr>
          <w:trHeight w:val="71"/>
        </w:trPr>
        <w:tc>
          <w:tcPr>
            <w:tcW w:w="2806" w:type="dxa"/>
            <w:tcBorders>
              <w:top w:val="nil"/>
              <w:left w:val="nil"/>
              <w:bottom w:val="nil"/>
              <w:right w:val="nil"/>
            </w:tcBorders>
            <w:shd w:val="clear" w:color="auto" w:fill="auto"/>
            <w:noWrap/>
            <w:vAlign w:val="bottom"/>
          </w:tcPr>
          <w:p w14:paraId="460F2FFF" w14:textId="439EE082"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FB11709" w14:textId="531D31DE"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-0.143</w:t>
            </w:r>
          </w:p>
        </w:tc>
        <w:tc>
          <w:tcPr>
            <w:tcW w:w="1498" w:type="dxa"/>
            <w:tcBorders>
              <w:top w:val="nil"/>
              <w:left w:val="nil"/>
              <w:bottom w:val="nil"/>
              <w:right w:val="nil"/>
            </w:tcBorders>
          </w:tcPr>
          <w:p w14:paraId="57CDA676" w14:textId="34106DB1"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-0.375</w:t>
            </w:r>
          </w:p>
        </w:tc>
        <w:tc>
          <w:tcPr>
            <w:tcW w:w="1396" w:type="dxa"/>
            <w:tcBorders>
              <w:top w:val="nil"/>
              <w:left w:val="nil"/>
              <w:bottom w:val="nil"/>
              <w:right w:val="single" w:sz="12" w:space="0" w:color="auto"/>
            </w:tcBorders>
            <w:shd w:val="clear" w:color="auto" w:fill="auto"/>
            <w:noWrap/>
          </w:tcPr>
          <w:p w14:paraId="0777CFD1" w14:textId="23861CB2"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4" w:type="dxa"/>
            <w:tcBorders>
              <w:top w:val="nil"/>
              <w:left w:val="single" w:sz="12" w:space="0" w:color="auto"/>
              <w:bottom w:val="nil"/>
            </w:tcBorders>
          </w:tcPr>
          <w:p w14:paraId="1A6C3B54" w14:textId="59BBF518"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-0.242</w:t>
            </w:r>
          </w:p>
        </w:tc>
        <w:tc>
          <w:tcPr>
            <w:tcW w:w="1390" w:type="dxa"/>
            <w:tcBorders>
              <w:top w:val="nil"/>
              <w:left w:val="nil"/>
              <w:bottom w:val="nil"/>
              <w:right w:val="nil"/>
            </w:tcBorders>
          </w:tcPr>
          <w:p w14:paraId="452CB40C" w14:textId="658D1A55"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-0.155</w:t>
            </w:r>
          </w:p>
        </w:tc>
        <w:tc>
          <w:tcPr>
            <w:tcW w:w="1426" w:type="dxa"/>
            <w:gridSpan w:val="2"/>
            <w:tcBorders>
              <w:top w:val="nil"/>
              <w:left w:val="nil"/>
              <w:bottom w:val="nil"/>
              <w:right w:val="nil"/>
            </w:tcBorders>
          </w:tcPr>
          <w:p w14:paraId="5F04027B" w14:textId="1233F8A9"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r>
      <w:tr w:rsidR="00EE533D" w:rsidRPr="00EE533D" w14:paraId="7D27529C" w14:textId="77777777" w:rsidTr="007467F2">
        <w:trPr>
          <w:trHeight w:val="71"/>
        </w:trPr>
        <w:tc>
          <w:tcPr>
            <w:tcW w:w="2806" w:type="dxa"/>
            <w:tcBorders>
              <w:top w:val="nil"/>
              <w:left w:val="nil"/>
              <w:bottom w:val="nil"/>
              <w:right w:val="nil"/>
            </w:tcBorders>
            <w:shd w:val="clear" w:color="auto" w:fill="auto"/>
            <w:noWrap/>
            <w:vAlign w:val="bottom"/>
          </w:tcPr>
          <w:p w14:paraId="28409B2E"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18E01B6" w14:textId="1BF40E9D"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(0.154)</w:t>
            </w:r>
          </w:p>
        </w:tc>
        <w:tc>
          <w:tcPr>
            <w:tcW w:w="1498" w:type="dxa"/>
            <w:tcBorders>
              <w:top w:val="nil"/>
              <w:left w:val="nil"/>
              <w:bottom w:val="nil"/>
              <w:right w:val="nil"/>
            </w:tcBorders>
          </w:tcPr>
          <w:p w14:paraId="4FE48054" w14:textId="6E0ADE88"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(0.627)</w:t>
            </w:r>
          </w:p>
        </w:tc>
        <w:tc>
          <w:tcPr>
            <w:tcW w:w="1396" w:type="dxa"/>
            <w:tcBorders>
              <w:top w:val="nil"/>
              <w:left w:val="nil"/>
              <w:bottom w:val="nil"/>
              <w:right w:val="single" w:sz="12" w:space="0" w:color="auto"/>
            </w:tcBorders>
            <w:shd w:val="clear" w:color="auto" w:fill="auto"/>
            <w:noWrap/>
          </w:tcPr>
          <w:p w14:paraId="0C1BEEDC" w14:textId="7621DF8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c>
          <w:tcPr>
            <w:tcW w:w="1434" w:type="dxa"/>
            <w:tcBorders>
              <w:top w:val="nil"/>
              <w:left w:val="single" w:sz="12" w:space="0" w:color="auto"/>
              <w:bottom w:val="nil"/>
            </w:tcBorders>
          </w:tcPr>
          <w:p w14:paraId="26A72752" w14:textId="4D49A860"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(0.165)</w:t>
            </w:r>
          </w:p>
        </w:tc>
        <w:tc>
          <w:tcPr>
            <w:tcW w:w="1390" w:type="dxa"/>
            <w:tcBorders>
              <w:top w:val="nil"/>
              <w:left w:val="nil"/>
              <w:bottom w:val="nil"/>
              <w:right w:val="nil"/>
            </w:tcBorders>
          </w:tcPr>
          <w:p w14:paraId="759C2D82" w14:textId="653404C6"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(0.568)</w:t>
            </w:r>
          </w:p>
        </w:tc>
        <w:tc>
          <w:tcPr>
            <w:tcW w:w="1426" w:type="dxa"/>
            <w:gridSpan w:val="2"/>
            <w:tcBorders>
              <w:top w:val="nil"/>
              <w:left w:val="nil"/>
              <w:bottom w:val="nil"/>
              <w:right w:val="nil"/>
            </w:tcBorders>
          </w:tcPr>
          <w:p w14:paraId="038AC153" w14:textId="24C66DFA"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(0.054)</w:t>
            </w:r>
          </w:p>
        </w:tc>
      </w:tr>
      <w:tr w:rsidR="00EE533D" w:rsidRPr="00EE533D" w14:paraId="067C3178" w14:textId="77777777" w:rsidTr="007467F2">
        <w:trPr>
          <w:trHeight w:val="71"/>
        </w:trPr>
        <w:tc>
          <w:tcPr>
            <w:tcW w:w="2806" w:type="dxa"/>
            <w:tcBorders>
              <w:top w:val="nil"/>
              <w:left w:val="nil"/>
              <w:bottom w:val="nil"/>
              <w:right w:val="nil"/>
            </w:tcBorders>
            <w:shd w:val="clear" w:color="auto" w:fill="auto"/>
            <w:noWrap/>
            <w:vAlign w:val="bottom"/>
          </w:tcPr>
          <w:p w14:paraId="6899131F" w14:textId="44E9261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537F6E31" w14:textId="336EF629"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-52.642</w:t>
            </w:r>
          </w:p>
        </w:tc>
        <w:tc>
          <w:tcPr>
            <w:tcW w:w="1498" w:type="dxa"/>
            <w:tcBorders>
              <w:top w:val="nil"/>
              <w:left w:val="nil"/>
              <w:bottom w:val="nil"/>
              <w:right w:val="nil"/>
            </w:tcBorders>
          </w:tcPr>
          <w:p w14:paraId="5AB33726" w14:textId="16223C48"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-106.527</w:t>
            </w:r>
          </w:p>
        </w:tc>
        <w:tc>
          <w:tcPr>
            <w:tcW w:w="1396" w:type="dxa"/>
            <w:tcBorders>
              <w:top w:val="nil"/>
              <w:left w:val="nil"/>
              <w:bottom w:val="nil"/>
              <w:right w:val="single" w:sz="12" w:space="0" w:color="auto"/>
            </w:tcBorders>
            <w:shd w:val="clear" w:color="auto" w:fill="auto"/>
            <w:noWrap/>
          </w:tcPr>
          <w:p w14:paraId="2857957B" w14:textId="591E0C65"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4.264</w:t>
            </w:r>
          </w:p>
        </w:tc>
        <w:tc>
          <w:tcPr>
            <w:tcW w:w="1434" w:type="dxa"/>
            <w:tcBorders>
              <w:top w:val="nil"/>
              <w:left w:val="single" w:sz="12" w:space="0" w:color="auto"/>
              <w:bottom w:val="nil"/>
            </w:tcBorders>
          </w:tcPr>
          <w:p w14:paraId="430E6002" w14:textId="24B753E6"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-58.438*</w:t>
            </w:r>
          </w:p>
        </w:tc>
        <w:tc>
          <w:tcPr>
            <w:tcW w:w="1390" w:type="dxa"/>
            <w:tcBorders>
              <w:top w:val="nil"/>
              <w:left w:val="nil"/>
              <w:bottom w:val="nil"/>
              <w:right w:val="nil"/>
            </w:tcBorders>
          </w:tcPr>
          <w:p w14:paraId="1985FBC7" w14:textId="15AFC43C"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-51.608</w:t>
            </w:r>
          </w:p>
        </w:tc>
        <w:tc>
          <w:tcPr>
            <w:tcW w:w="1426" w:type="dxa"/>
            <w:gridSpan w:val="2"/>
            <w:tcBorders>
              <w:top w:val="nil"/>
              <w:left w:val="nil"/>
              <w:bottom w:val="nil"/>
              <w:right w:val="nil"/>
            </w:tcBorders>
          </w:tcPr>
          <w:p w14:paraId="4418CCF8" w14:textId="333825FB"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4.095</w:t>
            </w:r>
          </w:p>
        </w:tc>
      </w:tr>
      <w:tr w:rsidR="00EE533D" w:rsidRPr="00EE533D" w14:paraId="1059DEA1" w14:textId="77777777" w:rsidTr="007467F2">
        <w:trPr>
          <w:trHeight w:val="71"/>
        </w:trPr>
        <w:tc>
          <w:tcPr>
            <w:tcW w:w="2806" w:type="dxa"/>
            <w:tcBorders>
              <w:top w:val="nil"/>
              <w:left w:val="nil"/>
              <w:bottom w:val="single" w:sz="12" w:space="0" w:color="auto"/>
              <w:right w:val="nil"/>
            </w:tcBorders>
            <w:shd w:val="clear" w:color="auto" w:fill="auto"/>
            <w:noWrap/>
            <w:vAlign w:val="bottom"/>
          </w:tcPr>
          <w:p w14:paraId="6582873B"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single" w:sz="12" w:space="0" w:color="auto"/>
              <w:right w:val="nil"/>
            </w:tcBorders>
            <w:shd w:val="clear" w:color="auto" w:fill="auto"/>
            <w:noWrap/>
          </w:tcPr>
          <w:p w14:paraId="5B8ADCF1" w14:textId="391E3472" w:rsidR="00FF6DC9" w:rsidRPr="00EE533D" w:rsidRDefault="00FF6DC9" w:rsidP="00FF6DC9">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(38.660)</w:t>
            </w:r>
          </w:p>
        </w:tc>
        <w:tc>
          <w:tcPr>
            <w:tcW w:w="1498" w:type="dxa"/>
            <w:tcBorders>
              <w:top w:val="nil"/>
              <w:left w:val="nil"/>
              <w:bottom w:val="single" w:sz="12" w:space="0" w:color="auto"/>
              <w:right w:val="nil"/>
            </w:tcBorders>
          </w:tcPr>
          <w:p w14:paraId="794AE2B6" w14:textId="58A4E99C" w:rsidR="00FF6DC9" w:rsidRPr="00EE533D" w:rsidRDefault="00FF6DC9" w:rsidP="00FF6DC9">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(107.751)</w:t>
            </w:r>
          </w:p>
        </w:tc>
        <w:tc>
          <w:tcPr>
            <w:tcW w:w="1396" w:type="dxa"/>
            <w:tcBorders>
              <w:top w:val="nil"/>
              <w:left w:val="nil"/>
              <w:bottom w:val="single" w:sz="12" w:space="0" w:color="auto"/>
              <w:right w:val="single" w:sz="12" w:space="0" w:color="auto"/>
            </w:tcBorders>
            <w:shd w:val="clear" w:color="auto" w:fill="auto"/>
            <w:noWrap/>
          </w:tcPr>
          <w:p w14:paraId="48E8662A" w14:textId="0B0BD7BF" w:rsidR="00FF6DC9" w:rsidRPr="00EE533D" w:rsidRDefault="00FF6DC9" w:rsidP="00FF6DC9">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(8.354)</w:t>
            </w:r>
          </w:p>
        </w:tc>
        <w:tc>
          <w:tcPr>
            <w:tcW w:w="1434" w:type="dxa"/>
            <w:tcBorders>
              <w:top w:val="nil"/>
              <w:left w:val="single" w:sz="12" w:space="0" w:color="auto"/>
              <w:bottom w:val="single" w:sz="12" w:space="0" w:color="auto"/>
            </w:tcBorders>
          </w:tcPr>
          <w:p w14:paraId="16A43174" w14:textId="3B5CAEED" w:rsidR="00FF6DC9" w:rsidRPr="00EE533D" w:rsidRDefault="00FF6DC9" w:rsidP="00FF6DC9">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(35.486)</w:t>
            </w:r>
          </w:p>
        </w:tc>
        <w:tc>
          <w:tcPr>
            <w:tcW w:w="1390" w:type="dxa"/>
            <w:tcBorders>
              <w:top w:val="nil"/>
              <w:left w:val="nil"/>
              <w:bottom w:val="single" w:sz="12" w:space="0" w:color="auto"/>
              <w:right w:val="nil"/>
            </w:tcBorders>
          </w:tcPr>
          <w:p w14:paraId="3409DA9A" w14:textId="044F69EA" w:rsidR="00FF6DC9" w:rsidRPr="00EE533D" w:rsidRDefault="00FF6DC9" w:rsidP="00FF6DC9">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(72.615)</w:t>
            </w:r>
          </w:p>
        </w:tc>
        <w:tc>
          <w:tcPr>
            <w:tcW w:w="1426" w:type="dxa"/>
            <w:gridSpan w:val="2"/>
            <w:tcBorders>
              <w:top w:val="nil"/>
              <w:left w:val="nil"/>
              <w:bottom w:val="single" w:sz="12" w:space="0" w:color="auto"/>
              <w:right w:val="nil"/>
            </w:tcBorders>
          </w:tcPr>
          <w:p w14:paraId="791406E8" w14:textId="6CB5089D" w:rsidR="00FF6DC9" w:rsidRPr="00EE533D" w:rsidRDefault="00FF6DC9" w:rsidP="00FF6DC9">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(12.757)</w:t>
            </w:r>
          </w:p>
        </w:tc>
      </w:tr>
      <w:tr w:rsidR="00EE533D" w:rsidRPr="00EE533D" w14:paraId="4DBBB5FF" w14:textId="77777777" w:rsidTr="007467F2">
        <w:trPr>
          <w:trHeight w:val="104"/>
        </w:trPr>
        <w:tc>
          <w:tcPr>
            <w:tcW w:w="2806" w:type="dxa"/>
            <w:tcBorders>
              <w:top w:val="single" w:sz="12" w:space="0" w:color="auto"/>
              <w:left w:val="nil"/>
              <w:right w:val="nil"/>
            </w:tcBorders>
            <w:shd w:val="clear" w:color="auto" w:fill="auto"/>
            <w:noWrap/>
            <w:vAlign w:val="bottom"/>
          </w:tcPr>
          <w:p w14:paraId="62BE9323"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Observations </w:t>
            </w:r>
          </w:p>
        </w:tc>
        <w:tc>
          <w:tcPr>
            <w:tcW w:w="1417" w:type="dxa"/>
            <w:tcBorders>
              <w:top w:val="single" w:sz="12" w:space="0" w:color="auto"/>
              <w:left w:val="nil"/>
              <w:right w:val="nil"/>
            </w:tcBorders>
            <w:shd w:val="clear" w:color="auto" w:fill="auto"/>
            <w:noWrap/>
          </w:tcPr>
          <w:p w14:paraId="441F9EF3" w14:textId="19209C3B"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6747</w:t>
            </w:r>
          </w:p>
        </w:tc>
        <w:tc>
          <w:tcPr>
            <w:tcW w:w="1498" w:type="dxa"/>
            <w:tcBorders>
              <w:top w:val="single" w:sz="12" w:space="0" w:color="auto"/>
              <w:left w:val="nil"/>
              <w:right w:val="nil"/>
            </w:tcBorders>
          </w:tcPr>
          <w:p w14:paraId="0C21A613" w14:textId="5958F6E1"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1310</w:t>
            </w:r>
          </w:p>
        </w:tc>
        <w:tc>
          <w:tcPr>
            <w:tcW w:w="1396" w:type="dxa"/>
            <w:tcBorders>
              <w:top w:val="single" w:sz="12" w:space="0" w:color="auto"/>
              <w:left w:val="nil"/>
              <w:right w:val="single" w:sz="12" w:space="0" w:color="auto"/>
            </w:tcBorders>
            <w:shd w:val="clear" w:color="auto" w:fill="auto"/>
            <w:noWrap/>
          </w:tcPr>
          <w:p w14:paraId="01ECD98F" w14:textId="463B2DB5"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353</w:t>
            </w:r>
          </w:p>
        </w:tc>
        <w:tc>
          <w:tcPr>
            <w:tcW w:w="1434" w:type="dxa"/>
            <w:tcBorders>
              <w:top w:val="single" w:sz="12" w:space="0" w:color="auto"/>
              <w:left w:val="single" w:sz="12" w:space="0" w:color="auto"/>
            </w:tcBorders>
          </w:tcPr>
          <w:p w14:paraId="7662EE54" w14:textId="5911EFB4"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6717</w:t>
            </w:r>
          </w:p>
        </w:tc>
        <w:tc>
          <w:tcPr>
            <w:tcW w:w="1390" w:type="dxa"/>
            <w:tcBorders>
              <w:top w:val="single" w:sz="12" w:space="0" w:color="auto"/>
              <w:left w:val="nil"/>
              <w:right w:val="nil"/>
            </w:tcBorders>
          </w:tcPr>
          <w:p w14:paraId="4C5E133D" w14:textId="61B15CB9"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1308</w:t>
            </w:r>
          </w:p>
        </w:tc>
        <w:tc>
          <w:tcPr>
            <w:tcW w:w="1426" w:type="dxa"/>
            <w:gridSpan w:val="2"/>
            <w:tcBorders>
              <w:top w:val="single" w:sz="12" w:space="0" w:color="auto"/>
              <w:left w:val="nil"/>
              <w:right w:val="nil"/>
            </w:tcBorders>
          </w:tcPr>
          <w:p w14:paraId="5014EC57" w14:textId="48387C1E"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353</w:t>
            </w:r>
          </w:p>
        </w:tc>
      </w:tr>
      <w:tr w:rsidR="00EE533D" w:rsidRPr="00EE533D" w14:paraId="016E6C45" w14:textId="77777777" w:rsidTr="007467F2">
        <w:trPr>
          <w:trHeight w:val="104"/>
        </w:trPr>
        <w:tc>
          <w:tcPr>
            <w:tcW w:w="2806" w:type="dxa"/>
            <w:tcBorders>
              <w:left w:val="nil"/>
              <w:right w:val="nil"/>
            </w:tcBorders>
            <w:shd w:val="clear" w:color="auto" w:fill="auto"/>
            <w:noWrap/>
            <w:vAlign w:val="bottom"/>
          </w:tcPr>
          <w:p w14:paraId="3541E329" w14:textId="77777777" w:rsidR="00FF6DC9" w:rsidRPr="00EE533D" w:rsidRDefault="00FF6DC9" w:rsidP="00FF6DC9">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Firms</w:t>
            </w:r>
          </w:p>
        </w:tc>
        <w:tc>
          <w:tcPr>
            <w:tcW w:w="1417" w:type="dxa"/>
            <w:tcBorders>
              <w:left w:val="nil"/>
              <w:right w:val="nil"/>
            </w:tcBorders>
            <w:shd w:val="clear" w:color="auto" w:fill="auto"/>
            <w:noWrap/>
          </w:tcPr>
          <w:p w14:paraId="3BB46879" w14:textId="52118313"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1087</w:t>
            </w:r>
          </w:p>
        </w:tc>
        <w:tc>
          <w:tcPr>
            <w:tcW w:w="1498" w:type="dxa"/>
            <w:tcBorders>
              <w:left w:val="nil"/>
              <w:right w:val="nil"/>
            </w:tcBorders>
          </w:tcPr>
          <w:p w14:paraId="1318B5DD" w14:textId="61FBAA73"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271</w:t>
            </w:r>
          </w:p>
        </w:tc>
        <w:tc>
          <w:tcPr>
            <w:tcW w:w="1396" w:type="dxa"/>
            <w:tcBorders>
              <w:left w:val="nil"/>
              <w:right w:val="single" w:sz="12" w:space="0" w:color="auto"/>
            </w:tcBorders>
            <w:shd w:val="clear" w:color="auto" w:fill="auto"/>
            <w:noWrap/>
          </w:tcPr>
          <w:p w14:paraId="360592D6" w14:textId="7D9556B4"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82</w:t>
            </w:r>
          </w:p>
        </w:tc>
        <w:tc>
          <w:tcPr>
            <w:tcW w:w="1434" w:type="dxa"/>
            <w:tcBorders>
              <w:left w:val="single" w:sz="12" w:space="0" w:color="auto"/>
            </w:tcBorders>
          </w:tcPr>
          <w:p w14:paraId="0EDEF463" w14:textId="6EE17E89"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1076</w:t>
            </w:r>
          </w:p>
        </w:tc>
        <w:tc>
          <w:tcPr>
            <w:tcW w:w="1390" w:type="dxa"/>
            <w:tcBorders>
              <w:left w:val="nil"/>
              <w:right w:val="nil"/>
            </w:tcBorders>
          </w:tcPr>
          <w:p w14:paraId="1A5228DF" w14:textId="7C50D1A1"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269</w:t>
            </w:r>
          </w:p>
        </w:tc>
        <w:tc>
          <w:tcPr>
            <w:tcW w:w="1426" w:type="dxa"/>
            <w:gridSpan w:val="2"/>
            <w:tcBorders>
              <w:left w:val="nil"/>
              <w:right w:val="nil"/>
            </w:tcBorders>
          </w:tcPr>
          <w:p w14:paraId="5CF6C19C" w14:textId="3069E25C" w:rsidR="00FF6DC9" w:rsidRPr="00EE533D" w:rsidRDefault="00FF6DC9" w:rsidP="00FF6DC9">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81</w:t>
            </w:r>
          </w:p>
        </w:tc>
      </w:tr>
      <w:tr w:rsidR="00EE533D" w:rsidRPr="00EE533D" w14:paraId="7A5DD746" w14:textId="77777777" w:rsidTr="007467F2">
        <w:trPr>
          <w:trHeight w:val="104"/>
        </w:trPr>
        <w:tc>
          <w:tcPr>
            <w:tcW w:w="2806" w:type="dxa"/>
            <w:tcBorders>
              <w:left w:val="nil"/>
              <w:right w:val="nil"/>
            </w:tcBorders>
            <w:shd w:val="clear" w:color="auto" w:fill="auto"/>
            <w:noWrap/>
            <w:vAlign w:val="bottom"/>
          </w:tcPr>
          <w:p w14:paraId="043C4A71"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Number of instruments</w:t>
            </w:r>
          </w:p>
        </w:tc>
        <w:tc>
          <w:tcPr>
            <w:tcW w:w="1417" w:type="dxa"/>
            <w:tcBorders>
              <w:left w:val="nil"/>
              <w:right w:val="nil"/>
            </w:tcBorders>
            <w:shd w:val="clear" w:color="auto" w:fill="auto"/>
            <w:noWrap/>
            <w:vAlign w:val="bottom"/>
          </w:tcPr>
          <w:p w14:paraId="18008D72"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98" w:type="dxa"/>
            <w:tcBorders>
              <w:left w:val="nil"/>
              <w:right w:val="nil"/>
            </w:tcBorders>
            <w:vAlign w:val="bottom"/>
          </w:tcPr>
          <w:p w14:paraId="683F1CD2" w14:textId="5EF33694"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396" w:type="dxa"/>
            <w:tcBorders>
              <w:left w:val="nil"/>
              <w:right w:val="single" w:sz="12" w:space="0" w:color="auto"/>
            </w:tcBorders>
            <w:shd w:val="clear" w:color="auto" w:fill="auto"/>
            <w:noWrap/>
            <w:vAlign w:val="bottom"/>
          </w:tcPr>
          <w:p w14:paraId="58418D05" w14:textId="02A9C77D"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34" w:type="dxa"/>
            <w:tcBorders>
              <w:left w:val="single" w:sz="12" w:space="0" w:color="auto"/>
            </w:tcBorders>
            <w:vAlign w:val="bottom"/>
          </w:tcPr>
          <w:p w14:paraId="65CBD7F9" w14:textId="75DFEB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390" w:type="dxa"/>
            <w:tcBorders>
              <w:left w:val="nil"/>
              <w:right w:val="nil"/>
            </w:tcBorders>
            <w:vAlign w:val="bottom"/>
          </w:tcPr>
          <w:p w14:paraId="58295F85" w14:textId="390CD13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26" w:type="dxa"/>
            <w:gridSpan w:val="2"/>
            <w:tcBorders>
              <w:left w:val="nil"/>
              <w:right w:val="nil"/>
            </w:tcBorders>
            <w:vAlign w:val="bottom"/>
          </w:tcPr>
          <w:p w14:paraId="46425904" w14:textId="2D4F54B2"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w:t>
            </w:r>
            <w:r w:rsidR="0014306A" w:rsidRPr="00EE533D">
              <w:rPr>
                <w:rFonts w:ascii="Times New Roman" w:eastAsia="Times New Roman" w:hAnsi="Times New Roman" w:cs="Times New Roman"/>
                <w:sz w:val="16"/>
                <w:szCs w:val="16"/>
                <w:lang w:val="en-GB"/>
              </w:rPr>
              <w:t>5</w:t>
            </w:r>
          </w:p>
        </w:tc>
      </w:tr>
      <w:tr w:rsidR="00EE533D" w:rsidRPr="00EE533D" w14:paraId="023B4E61" w14:textId="77777777" w:rsidTr="007467F2">
        <w:trPr>
          <w:trHeight w:val="104"/>
        </w:trPr>
        <w:tc>
          <w:tcPr>
            <w:tcW w:w="2806" w:type="dxa"/>
            <w:tcBorders>
              <w:left w:val="nil"/>
              <w:right w:val="nil"/>
            </w:tcBorders>
            <w:shd w:val="clear" w:color="auto" w:fill="auto"/>
            <w:noWrap/>
            <w:vAlign w:val="bottom"/>
          </w:tcPr>
          <w:p w14:paraId="7D189D0D"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AR(1)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344DE90B" w14:textId="77777777"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498" w:type="dxa"/>
            <w:tcBorders>
              <w:left w:val="nil"/>
              <w:right w:val="nil"/>
            </w:tcBorders>
          </w:tcPr>
          <w:p w14:paraId="2BF22570" w14:textId="77777777"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396" w:type="dxa"/>
            <w:tcBorders>
              <w:left w:val="nil"/>
              <w:right w:val="single" w:sz="12" w:space="0" w:color="auto"/>
            </w:tcBorders>
            <w:shd w:val="clear" w:color="auto" w:fill="auto"/>
            <w:noWrap/>
          </w:tcPr>
          <w:p w14:paraId="0392F662" w14:textId="324666F9"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0.141</w:t>
            </w:r>
          </w:p>
        </w:tc>
        <w:tc>
          <w:tcPr>
            <w:tcW w:w="1434" w:type="dxa"/>
            <w:tcBorders>
              <w:left w:val="single" w:sz="12" w:space="0" w:color="auto"/>
            </w:tcBorders>
          </w:tcPr>
          <w:p w14:paraId="3802C606" w14:textId="77777777"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390" w:type="dxa"/>
            <w:tcBorders>
              <w:left w:val="nil"/>
              <w:right w:val="nil"/>
            </w:tcBorders>
          </w:tcPr>
          <w:p w14:paraId="5D73A567" w14:textId="2AE60078"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w:t>
            </w:r>
            <w:r w:rsidR="0014306A" w:rsidRPr="00EE533D">
              <w:rPr>
                <w:rFonts w:ascii="Times New Roman" w:hAnsi="Times New Roman" w:cs="Times New Roman"/>
                <w:sz w:val="16"/>
                <w:szCs w:val="16"/>
                <w:lang w:val="en-GB"/>
              </w:rPr>
              <w:t>0</w:t>
            </w:r>
          </w:p>
        </w:tc>
        <w:tc>
          <w:tcPr>
            <w:tcW w:w="1426" w:type="dxa"/>
            <w:gridSpan w:val="2"/>
            <w:tcBorders>
              <w:left w:val="nil"/>
              <w:right w:val="nil"/>
            </w:tcBorders>
          </w:tcPr>
          <w:p w14:paraId="389D365D" w14:textId="682B46D0"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663ABC" w:rsidRPr="00EE533D">
              <w:rPr>
                <w:rFonts w:ascii="Times New Roman" w:hAnsi="Times New Roman" w:cs="Times New Roman"/>
                <w:sz w:val="16"/>
                <w:szCs w:val="16"/>
                <w:lang w:val="en-GB"/>
              </w:rPr>
              <w:t>128</w:t>
            </w:r>
          </w:p>
        </w:tc>
      </w:tr>
      <w:tr w:rsidR="00EE533D" w:rsidRPr="00EE533D" w14:paraId="1BCDAA9C" w14:textId="77777777" w:rsidTr="007467F2">
        <w:trPr>
          <w:trHeight w:val="104"/>
        </w:trPr>
        <w:tc>
          <w:tcPr>
            <w:tcW w:w="2806" w:type="dxa"/>
            <w:tcBorders>
              <w:left w:val="nil"/>
              <w:right w:val="nil"/>
            </w:tcBorders>
            <w:shd w:val="clear" w:color="auto" w:fill="auto"/>
            <w:noWrap/>
            <w:vAlign w:val="bottom"/>
          </w:tcPr>
          <w:p w14:paraId="383A8261"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AR(2)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37A8A459" w14:textId="6F3FECDC"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0.652</w:t>
            </w:r>
          </w:p>
        </w:tc>
        <w:tc>
          <w:tcPr>
            <w:tcW w:w="1498" w:type="dxa"/>
            <w:tcBorders>
              <w:left w:val="nil"/>
              <w:right w:val="nil"/>
            </w:tcBorders>
          </w:tcPr>
          <w:p w14:paraId="5BB5C465" w14:textId="0BB7963B"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0.181</w:t>
            </w:r>
          </w:p>
        </w:tc>
        <w:tc>
          <w:tcPr>
            <w:tcW w:w="1396" w:type="dxa"/>
            <w:tcBorders>
              <w:left w:val="nil"/>
              <w:right w:val="single" w:sz="12" w:space="0" w:color="auto"/>
            </w:tcBorders>
            <w:shd w:val="clear" w:color="auto" w:fill="auto"/>
            <w:noWrap/>
          </w:tcPr>
          <w:p w14:paraId="673C3D44" w14:textId="2BDE72E4"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0.294</w:t>
            </w:r>
          </w:p>
        </w:tc>
        <w:tc>
          <w:tcPr>
            <w:tcW w:w="1434" w:type="dxa"/>
            <w:tcBorders>
              <w:left w:val="single" w:sz="12" w:space="0" w:color="auto"/>
            </w:tcBorders>
          </w:tcPr>
          <w:p w14:paraId="0D074D19" w14:textId="3A6D424A"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0.556</w:t>
            </w:r>
          </w:p>
        </w:tc>
        <w:tc>
          <w:tcPr>
            <w:tcW w:w="1390" w:type="dxa"/>
            <w:tcBorders>
              <w:left w:val="nil"/>
              <w:right w:val="nil"/>
            </w:tcBorders>
          </w:tcPr>
          <w:p w14:paraId="6C256111" w14:textId="6A239563"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14306A" w:rsidRPr="00EE533D">
              <w:rPr>
                <w:rFonts w:ascii="Times New Roman" w:hAnsi="Times New Roman" w:cs="Times New Roman"/>
                <w:sz w:val="16"/>
                <w:szCs w:val="16"/>
                <w:lang w:val="en-GB"/>
              </w:rPr>
              <w:t>244</w:t>
            </w:r>
          </w:p>
        </w:tc>
        <w:tc>
          <w:tcPr>
            <w:tcW w:w="1426" w:type="dxa"/>
            <w:gridSpan w:val="2"/>
            <w:tcBorders>
              <w:left w:val="nil"/>
              <w:right w:val="nil"/>
            </w:tcBorders>
          </w:tcPr>
          <w:p w14:paraId="7109B0B9" w14:textId="40821E4E"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663ABC" w:rsidRPr="00EE533D">
              <w:rPr>
                <w:rFonts w:ascii="Times New Roman" w:hAnsi="Times New Roman" w:cs="Times New Roman"/>
                <w:sz w:val="16"/>
                <w:szCs w:val="16"/>
                <w:lang w:val="en-GB"/>
              </w:rPr>
              <w:t>294</w:t>
            </w:r>
          </w:p>
        </w:tc>
      </w:tr>
      <w:tr w:rsidR="00EE533D" w:rsidRPr="00EE533D" w14:paraId="5EB7B0E3" w14:textId="77777777" w:rsidTr="007467F2">
        <w:trPr>
          <w:trHeight w:val="104"/>
        </w:trPr>
        <w:tc>
          <w:tcPr>
            <w:tcW w:w="2806" w:type="dxa"/>
            <w:tcBorders>
              <w:left w:val="nil"/>
              <w:right w:val="nil"/>
            </w:tcBorders>
            <w:shd w:val="clear" w:color="auto" w:fill="auto"/>
            <w:noWrap/>
            <w:vAlign w:val="bottom"/>
          </w:tcPr>
          <w:p w14:paraId="3C16F0D3"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AR(3)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5721936F" w14:textId="09D6E019"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0.842</w:t>
            </w:r>
          </w:p>
        </w:tc>
        <w:tc>
          <w:tcPr>
            <w:tcW w:w="1498" w:type="dxa"/>
            <w:tcBorders>
              <w:left w:val="nil"/>
              <w:right w:val="nil"/>
            </w:tcBorders>
          </w:tcPr>
          <w:p w14:paraId="3E21FFC9" w14:textId="7803562C"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0.786</w:t>
            </w:r>
          </w:p>
        </w:tc>
        <w:tc>
          <w:tcPr>
            <w:tcW w:w="1396" w:type="dxa"/>
            <w:tcBorders>
              <w:left w:val="nil"/>
              <w:right w:val="single" w:sz="12" w:space="0" w:color="auto"/>
            </w:tcBorders>
            <w:shd w:val="clear" w:color="auto" w:fill="auto"/>
            <w:noWrap/>
          </w:tcPr>
          <w:p w14:paraId="395EA287" w14:textId="3AFD7098"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0.293</w:t>
            </w:r>
          </w:p>
        </w:tc>
        <w:tc>
          <w:tcPr>
            <w:tcW w:w="1434" w:type="dxa"/>
            <w:tcBorders>
              <w:left w:val="single" w:sz="12" w:space="0" w:color="auto"/>
            </w:tcBorders>
          </w:tcPr>
          <w:p w14:paraId="7E8DED15" w14:textId="532EBB92"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0.707</w:t>
            </w:r>
          </w:p>
        </w:tc>
        <w:tc>
          <w:tcPr>
            <w:tcW w:w="1390" w:type="dxa"/>
            <w:tcBorders>
              <w:left w:val="nil"/>
              <w:right w:val="nil"/>
            </w:tcBorders>
          </w:tcPr>
          <w:p w14:paraId="25CD28E1" w14:textId="1A351281"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14306A" w:rsidRPr="00EE533D">
              <w:rPr>
                <w:rFonts w:ascii="Times New Roman" w:hAnsi="Times New Roman" w:cs="Times New Roman"/>
                <w:sz w:val="16"/>
                <w:szCs w:val="16"/>
                <w:lang w:val="en-GB"/>
              </w:rPr>
              <w:t>871</w:t>
            </w:r>
          </w:p>
        </w:tc>
        <w:tc>
          <w:tcPr>
            <w:tcW w:w="1426" w:type="dxa"/>
            <w:gridSpan w:val="2"/>
            <w:tcBorders>
              <w:left w:val="nil"/>
              <w:right w:val="nil"/>
            </w:tcBorders>
          </w:tcPr>
          <w:p w14:paraId="4AA60918" w14:textId="778C178E"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663ABC" w:rsidRPr="00EE533D">
              <w:rPr>
                <w:rFonts w:ascii="Times New Roman" w:hAnsi="Times New Roman" w:cs="Times New Roman"/>
                <w:sz w:val="16"/>
                <w:szCs w:val="16"/>
                <w:lang w:val="en-GB"/>
              </w:rPr>
              <w:t>319</w:t>
            </w:r>
          </w:p>
        </w:tc>
      </w:tr>
      <w:tr w:rsidR="00EE533D" w:rsidRPr="00EE533D" w14:paraId="2BE0F95A" w14:textId="77777777" w:rsidTr="007467F2">
        <w:trPr>
          <w:trHeight w:val="104"/>
        </w:trPr>
        <w:tc>
          <w:tcPr>
            <w:tcW w:w="2806" w:type="dxa"/>
            <w:tcBorders>
              <w:left w:val="nil"/>
              <w:right w:val="nil"/>
            </w:tcBorders>
            <w:shd w:val="clear" w:color="auto" w:fill="auto"/>
            <w:noWrap/>
            <w:vAlign w:val="bottom"/>
          </w:tcPr>
          <w:p w14:paraId="4809E622"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Hansen test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3ECE6EE2" w14:textId="2CB59616"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0.144</w:t>
            </w:r>
          </w:p>
        </w:tc>
        <w:tc>
          <w:tcPr>
            <w:tcW w:w="1498" w:type="dxa"/>
            <w:tcBorders>
              <w:left w:val="nil"/>
              <w:right w:val="nil"/>
            </w:tcBorders>
          </w:tcPr>
          <w:p w14:paraId="1080A75A" w14:textId="0EE2780B"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0.645</w:t>
            </w:r>
          </w:p>
        </w:tc>
        <w:tc>
          <w:tcPr>
            <w:tcW w:w="1396" w:type="dxa"/>
            <w:tcBorders>
              <w:left w:val="nil"/>
              <w:right w:val="single" w:sz="12" w:space="0" w:color="auto"/>
            </w:tcBorders>
            <w:shd w:val="clear" w:color="auto" w:fill="auto"/>
            <w:noWrap/>
          </w:tcPr>
          <w:p w14:paraId="32A0D39B" w14:textId="3715F8A3"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0.675</w:t>
            </w:r>
          </w:p>
        </w:tc>
        <w:tc>
          <w:tcPr>
            <w:tcW w:w="1434" w:type="dxa"/>
            <w:tcBorders>
              <w:left w:val="single" w:sz="12" w:space="0" w:color="auto"/>
            </w:tcBorders>
          </w:tcPr>
          <w:p w14:paraId="5EE2A5B7" w14:textId="1D270E3C"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0.366</w:t>
            </w:r>
          </w:p>
        </w:tc>
        <w:tc>
          <w:tcPr>
            <w:tcW w:w="1390" w:type="dxa"/>
            <w:tcBorders>
              <w:left w:val="nil"/>
              <w:right w:val="nil"/>
            </w:tcBorders>
          </w:tcPr>
          <w:p w14:paraId="37FC5777" w14:textId="0BA43354"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14306A" w:rsidRPr="00EE533D">
              <w:rPr>
                <w:rFonts w:ascii="Times New Roman" w:hAnsi="Times New Roman" w:cs="Times New Roman"/>
                <w:sz w:val="16"/>
                <w:szCs w:val="16"/>
                <w:lang w:val="en-GB"/>
              </w:rPr>
              <w:t>593</w:t>
            </w:r>
          </w:p>
        </w:tc>
        <w:tc>
          <w:tcPr>
            <w:tcW w:w="1426" w:type="dxa"/>
            <w:gridSpan w:val="2"/>
            <w:tcBorders>
              <w:left w:val="nil"/>
              <w:right w:val="nil"/>
            </w:tcBorders>
          </w:tcPr>
          <w:p w14:paraId="66B43EFA" w14:textId="66B3F03E" w:rsidR="00275EBC" w:rsidRPr="00EE533D" w:rsidRDefault="00275EBC" w:rsidP="00275EB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663ABC" w:rsidRPr="00EE533D">
              <w:rPr>
                <w:rFonts w:ascii="Times New Roman" w:hAnsi="Times New Roman" w:cs="Times New Roman"/>
                <w:sz w:val="16"/>
                <w:szCs w:val="16"/>
                <w:lang w:val="en-GB"/>
              </w:rPr>
              <w:t>871</w:t>
            </w:r>
          </w:p>
        </w:tc>
      </w:tr>
      <w:tr w:rsidR="00EE533D" w:rsidRPr="00EE533D" w14:paraId="6354F92D" w14:textId="77777777" w:rsidTr="007467F2">
        <w:trPr>
          <w:trHeight w:val="104"/>
        </w:trPr>
        <w:tc>
          <w:tcPr>
            <w:tcW w:w="2806" w:type="dxa"/>
            <w:tcBorders>
              <w:left w:val="nil"/>
              <w:right w:val="nil"/>
            </w:tcBorders>
            <w:shd w:val="clear" w:color="auto" w:fill="auto"/>
            <w:noWrap/>
            <w:vAlign w:val="bottom"/>
          </w:tcPr>
          <w:p w14:paraId="70CAC730"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Hansen test excluding group</w:t>
            </w:r>
          </w:p>
        </w:tc>
        <w:tc>
          <w:tcPr>
            <w:tcW w:w="1417" w:type="dxa"/>
            <w:tcBorders>
              <w:left w:val="nil"/>
              <w:right w:val="nil"/>
            </w:tcBorders>
            <w:shd w:val="clear" w:color="auto" w:fill="auto"/>
            <w:noWrap/>
            <w:vAlign w:val="bottom"/>
          </w:tcPr>
          <w:p w14:paraId="2E485FF2" w14:textId="562EDA75"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98" w:type="dxa"/>
            <w:tcBorders>
              <w:left w:val="nil"/>
              <w:right w:val="nil"/>
            </w:tcBorders>
            <w:vAlign w:val="bottom"/>
          </w:tcPr>
          <w:p w14:paraId="299582C9"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396" w:type="dxa"/>
            <w:tcBorders>
              <w:left w:val="nil"/>
              <w:right w:val="single" w:sz="12" w:space="0" w:color="auto"/>
            </w:tcBorders>
            <w:shd w:val="clear" w:color="auto" w:fill="auto"/>
            <w:noWrap/>
            <w:vAlign w:val="bottom"/>
          </w:tcPr>
          <w:p w14:paraId="67C71183"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34" w:type="dxa"/>
            <w:tcBorders>
              <w:left w:val="single" w:sz="12" w:space="0" w:color="auto"/>
            </w:tcBorders>
            <w:vAlign w:val="bottom"/>
          </w:tcPr>
          <w:p w14:paraId="5AF7CD24"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390" w:type="dxa"/>
            <w:tcBorders>
              <w:left w:val="nil"/>
              <w:right w:val="nil"/>
            </w:tcBorders>
            <w:vAlign w:val="bottom"/>
          </w:tcPr>
          <w:p w14:paraId="6F85D643"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26" w:type="dxa"/>
            <w:gridSpan w:val="2"/>
            <w:tcBorders>
              <w:left w:val="nil"/>
              <w:right w:val="nil"/>
            </w:tcBorders>
            <w:vAlign w:val="bottom"/>
          </w:tcPr>
          <w:p w14:paraId="7C79AFAA"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r>
      <w:tr w:rsidR="00EE533D" w:rsidRPr="00EE533D" w14:paraId="2045ED2D" w14:textId="77777777" w:rsidTr="007467F2">
        <w:trPr>
          <w:trHeight w:val="104"/>
        </w:trPr>
        <w:tc>
          <w:tcPr>
            <w:tcW w:w="2806" w:type="dxa"/>
            <w:tcBorders>
              <w:left w:val="nil"/>
              <w:right w:val="nil"/>
            </w:tcBorders>
            <w:shd w:val="clear" w:color="auto" w:fill="auto"/>
            <w:noWrap/>
            <w:vAlign w:val="bottom"/>
          </w:tcPr>
          <w:p w14:paraId="4DE82D41" w14:textId="77777777"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Difference (null H = exogenous)</w:t>
            </w:r>
          </w:p>
        </w:tc>
        <w:tc>
          <w:tcPr>
            <w:tcW w:w="1417" w:type="dxa"/>
            <w:tcBorders>
              <w:left w:val="nil"/>
              <w:right w:val="nil"/>
            </w:tcBorders>
            <w:shd w:val="clear" w:color="auto" w:fill="auto"/>
            <w:noWrap/>
            <w:vAlign w:val="bottom"/>
          </w:tcPr>
          <w:p w14:paraId="5F1D04C2" w14:textId="3DF85B62"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0.144</w:t>
            </w:r>
          </w:p>
        </w:tc>
        <w:tc>
          <w:tcPr>
            <w:tcW w:w="1498" w:type="dxa"/>
            <w:tcBorders>
              <w:left w:val="nil"/>
              <w:right w:val="nil"/>
            </w:tcBorders>
            <w:vAlign w:val="bottom"/>
          </w:tcPr>
          <w:p w14:paraId="774C60C3" w14:textId="05ADBE6B"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0.645</w:t>
            </w:r>
          </w:p>
        </w:tc>
        <w:tc>
          <w:tcPr>
            <w:tcW w:w="1396" w:type="dxa"/>
            <w:tcBorders>
              <w:left w:val="nil"/>
              <w:right w:val="single" w:sz="12" w:space="0" w:color="auto"/>
            </w:tcBorders>
            <w:shd w:val="clear" w:color="auto" w:fill="auto"/>
            <w:noWrap/>
            <w:vAlign w:val="bottom"/>
          </w:tcPr>
          <w:p w14:paraId="48291452" w14:textId="1860B104"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0.675</w:t>
            </w:r>
          </w:p>
        </w:tc>
        <w:tc>
          <w:tcPr>
            <w:tcW w:w="1434" w:type="dxa"/>
            <w:tcBorders>
              <w:left w:val="single" w:sz="12" w:space="0" w:color="auto"/>
            </w:tcBorders>
            <w:vAlign w:val="bottom"/>
          </w:tcPr>
          <w:p w14:paraId="6AFD74D0" w14:textId="4BEF36C9"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0.366</w:t>
            </w:r>
          </w:p>
        </w:tc>
        <w:tc>
          <w:tcPr>
            <w:tcW w:w="1390" w:type="dxa"/>
            <w:tcBorders>
              <w:left w:val="nil"/>
              <w:right w:val="nil"/>
            </w:tcBorders>
            <w:vAlign w:val="bottom"/>
          </w:tcPr>
          <w:p w14:paraId="18774667" w14:textId="2367EABD"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14306A" w:rsidRPr="00EE533D">
              <w:rPr>
                <w:rFonts w:ascii="Times New Roman" w:eastAsia="Times New Roman" w:hAnsi="Times New Roman" w:cs="Times New Roman"/>
                <w:sz w:val="16"/>
                <w:szCs w:val="16"/>
                <w:lang w:val="en-GB"/>
              </w:rPr>
              <w:t>5</w:t>
            </w:r>
            <w:r w:rsidRPr="00EE533D">
              <w:rPr>
                <w:rFonts w:ascii="Times New Roman" w:eastAsia="Times New Roman" w:hAnsi="Times New Roman" w:cs="Times New Roman"/>
                <w:sz w:val="16"/>
                <w:szCs w:val="16"/>
                <w:lang w:val="en-GB"/>
              </w:rPr>
              <w:t>9</w:t>
            </w:r>
            <w:r w:rsidR="0014306A" w:rsidRPr="00EE533D">
              <w:rPr>
                <w:rFonts w:ascii="Times New Roman" w:eastAsia="Times New Roman" w:hAnsi="Times New Roman" w:cs="Times New Roman"/>
                <w:sz w:val="16"/>
                <w:szCs w:val="16"/>
                <w:lang w:val="en-GB"/>
              </w:rPr>
              <w:t>3</w:t>
            </w:r>
          </w:p>
        </w:tc>
        <w:tc>
          <w:tcPr>
            <w:tcW w:w="1426" w:type="dxa"/>
            <w:gridSpan w:val="2"/>
            <w:tcBorders>
              <w:left w:val="nil"/>
              <w:right w:val="nil"/>
            </w:tcBorders>
            <w:vAlign w:val="bottom"/>
          </w:tcPr>
          <w:p w14:paraId="32D49431" w14:textId="2C25BFF4" w:rsidR="00275EBC" w:rsidRPr="00EE533D" w:rsidRDefault="00275EBC" w:rsidP="00275EB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663ABC" w:rsidRPr="00EE533D">
              <w:rPr>
                <w:rFonts w:ascii="Times New Roman" w:eastAsia="Times New Roman" w:hAnsi="Times New Roman" w:cs="Times New Roman"/>
                <w:sz w:val="16"/>
                <w:szCs w:val="16"/>
                <w:lang w:val="en-GB"/>
              </w:rPr>
              <w:t>871</w:t>
            </w:r>
          </w:p>
        </w:tc>
      </w:tr>
      <w:tr w:rsidR="00EE533D" w:rsidRPr="00EE533D" w14:paraId="1F63C0FF" w14:textId="77777777" w:rsidTr="007467F2">
        <w:trPr>
          <w:gridAfter w:val="1"/>
          <w:wAfter w:w="27" w:type="dxa"/>
          <w:trHeight w:val="421"/>
        </w:trPr>
        <w:tc>
          <w:tcPr>
            <w:tcW w:w="11340" w:type="dxa"/>
            <w:gridSpan w:val="7"/>
            <w:tcBorders>
              <w:top w:val="single" w:sz="12" w:space="0" w:color="auto"/>
              <w:left w:val="nil"/>
              <w:right w:val="nil"/>
            </w:tcBorders>
            <w:shd w:val="clear" w:color="auto" w:fill="auto"/>
            <w:noWrap/>
            <w:vAlign w:val="bottom"/>
          </w:tcPr>
          <w:p w14:paraId="35A894DD" w14:textId="77777777" w:rsidR="00275EBC" w:rsidRPr="00EE533D" w:rsidRDefault="00275EBC" w:rsidP="00275EBC">
            <w:pPr>
              <w:spacing w:after="0"/>
              <w:jc w:val="both"/>
              <w:rPr>
                <w:rFonts w:ascii="Times New Roman" w:eastAsia="Times New Roman" w:hAnsi="Times New Roman" w:cs="Times New Roman"/>
                <w:sz w:val="16"/>
                <w:szCs w:val="16"/>
                <w:lang w:val="en-GB" w:eastAsia="el-GR"/>
              </w:rPr>
            </w:pPr>
            <w:r w:rsidRPr="00EE533D">
              <w:rPr>
                <w:rFonts w:ascii="Times New Roman" w:eastAsia="Times New Roman" w:hAnsi="Times New Roman" w:cs="Times New Roman"/>
                <w:b/>
                <w:sz w:val="16"/>
                <w:szCs w:val="16"/>
                <w:lang w:val="en-GB"/>
              </w:rPr>
              <w:t>Notes</w:t>
            </w:r>
            <w:r w:rsidRPr="00EE533D">
              <w:rPr>
                <w:rFonts w:ascii="Times New Roman" w:eastAsia="Times New Roman" w:hAnsi="Times New Roman" w:cs="Times New Roman"/>
                <w:sz w:val="16"/>
                <w:szCs w:val="16"/>
                <w:lang w:val="en-GB"/>
              </w:rPr>
              <w:t>: Coefficients are estimated using a GMM (Generalized Method of Moments) system method with robust standard errors corrected for finite sample bias and time effects. Instruments were collapsed. The table reports the two-step estimation. Hansen test excluding group (Difference (null H = exogenous)) examines the validity (the exogeneity) of our instrument subset used in the level equation. Robust s</w:t>
            </w:r>
            <w:r w:rsidRPr="00EE533D">
              <w:rPr>
                <w:rFonts w:ascii="Times New Roman" w:eastAsia="Times New Roman" w:hAnsi="Times New Roman" w:cs="Times New Roman"/>
                <w:sz w:val="16"/>
                <w:szCs w:val="16"/>
                <w:lang w:val="en-GB" w:eastAsia="el-GR"/>
              </w:rPr>
              <w:t xml:space="preserve">tandard errors </w:t>
            </w:r>
            <w:r w:rsidRPr="00EE533D">
              <w:rPr>
                <w:rFonts w:ascii="Times New Roman" w:eastAsia="Times New Roman" w:hAnsi="Times New Roman" w:cs="Times New Roman"/>
                <w:sz w:val="16"/>
                <w:szCs w:val="16"/>
                <w:lang w:val="en-GB"/>
              </w:rPr>
              <w:t>are reported in parentheses. * indicates significance at the 10% level, ** at the 5% level and *** at the 1% level.</w:t>
            </w:r>
          </w:p>
        </w:tc>
      </w:tr>
    </w:tbl>
    <w:p w14:paraId="50EFC0E4" w14:textId="0B607AE2" w:rsidR="005A6142" w:rsidRPr="00EE533D" w:rsidRDefault="005A6142" w:rsidP="007467F2">
      <w:pPr>
        <w:spacing w:line="259" w:lineRule="auto"/>
        <w:rPr>
          <w:rFonts w:asciiTheme="majorBidi" w:hAnsiTheme="majorBidi" w:cstheme="majorBidi"/>
          <w:sz w:val="24"/>
          <w:szCs w:val="24"/>
          <w:lang w:val="en-GB"/>
        </w:rPr>
      </w:pPr>
    </w:p>
    <w:p w14:paraId="0F56F99C" w14:textId="77777777" w:rsidR="005A6142" w:rsidRPr="00EE533D" w:rsidRDefault="005A614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806"/>
        <w:gridCol w:w="1417"/>
        <w:gridCol w:w="1498"/>
        <w:gridCol w:w="1396"/>
        <w:gridCol w:w="1434"/>
        <w:gridCol w:w="1390"/>
        <w:gridCol w:w="1399"/>
        <w:gridCol w:w="27"/>
      </w:tblGrid>
      <w:tr w:rsidR="00EE533D" w:rsidRPr="00EE533D" w14:paraId="0FF8D74A" w14:textId="77777777" w:rsidTr="00F4319C">
        <w:trPr>
          <w:trHeight w:val="68"/>
        </w:trPr>
        <w:tc>
          <w:tcPr>
            <w:tcW w:w="11367" w:type="dxa"/>
            <w:gridSpan w:val="8"/>
            <w:tcBorders>
              <w:left w:val="nil"/>
              <w:right w:val="nil"/>
            </w:tcBorders>
            <w:shd w:val="clear" w:color="auto" w:fill="auto"/>
            <w:noWrap/>
            <w:vAlign w:val="bottom"/>
          </w:tcPr>
          <w:p w14:paraId="4DFA220B" w14:textId="4A712080" w:rsidR="005A6142" w:rsidRPr="00EE533D" w:rsidRDefault="005A6142" w:rsidP="00F4319C">
            <w:pPr>
              <w:spacing w:after="0" w:line="240" w:lineRule="auto"/>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Table 10. Institutional quality and corporate recycling performance. A dynamic panel approach with alternative institutional variables</w:t>
            </w:r>
          </w:p>
        </w:tc>
      </w:tr>
      <w:tr w:rsidR="00EE533D" w:rsidRPr="00EE533D" w14:paraId="47526D0E" w14:textId="77777777" w:rsidTr="00F4319C">
        <w:trPr>
          <w:trHeight w:val="20"/>
        </w:trPr>
        <w:tc>
          <w:tcPr>
            <w:tcW w:w="2806" w:type="dxa"/>
            <w:tcBorders>
              <w:left w:val="nil"/>
              <w:right w:val="nil"/>
            </w:tcBorders>
            <w:shd w:val="clear" w:color="auto" w:fill="auto"/>
            <w:noWrap/>
            <w:vAlign w:val="bottom"/>
          </w:tcPr>
          <w:p w14:paraId="5867FCCF" w14:textId="77777777" w:rsidR="005A6142" w:rsidRPr="00EE533D" w:rsidRDefault="005A6142" w:rsidP="00F4319C">
            <w:pPr>
              <w:spacing w:after="0" w:line="240" w:lineRule="auto"/>
              <w:jc w:val="right"/>
              <w:rPr>
                <w:rFonts w:ascii="Times New Roman" w:eastAsia="Calibri" w:hAnsi="Times New Roman" w:cs="Times New Roman"/>
                <w:b/>
                <w:sz w:val="16"/>
                <w:szCs w:val="16"/>
                <w:lang w:val="en-GB"/>
              </w:rPr>
            </w:pPr>
            <w:r w:rsidRPr="00EE533D">
              <w:rPr>
                <w:rFonts w:ascii="Times New Roman" w:eastAsia="Calibri" w:hAnsi="Times New Roman" w:cs="Times New Roman"/>
                <w:b/>
                <w:sz w:val="16"/>
                <w:szCs w:val="16"/>
                <w:lang w:val="en-GB"/>
              </w:rPr>
              <w:t>Dependent variable:</w:t>
            </w:r>
          </w:p>
        </w:tc>
        <w:tc>
          <w:tcPr>
            <w:tcW w:w="1417" w:type="dxa"/>
            <w:tcBorders>
              <w:left w:val="nil"/>
              <w:bottom w:val="single" w:sz="12" w:space="0" w:color="auto"/>
              <w:right w:val="nil"/>
            </w:tcBorders>
            <w:shd w:val="clear" w:color="auto" w:fill="auto"/>
            <w:noWrap/>
          </w:tcPr>
          <w:p w14:paraId="285A839E"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337805E3"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Waste</w:t>
            </w:r>
          </w:p>
        </w:tc>
        <w:tc>
          <w:tcPr>
            <w:tcW w:w="1498" w:type="dxa"/>
            <w:tcBorders>
              <w:left w:val="nil"/>
              <w:bottom w:val="single" w:sz="12" w:space="0" w:color="auto"/>
              <w:right w:val="nil"/>
            </w:tcBorders>
          </w:tcPr>
          <w:p w14:paraId="1E86A5DE"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2E95E54E"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Water</w:t>
            </w:r>
          </w:p>
        </w:tc>
        <w:tc>
          <w:tcPr>
            <w:tcW w:w="1396" w:type="dxa"/>
            <w:tcBorders>
              <w:left w:val="nil"/>
              <w:bottom w:val="single" w:sz="12" w:space="0" w:color="auto"/>
              <w:right w:val="single" w:sz="12" w:space="0" w:color="auto"/>
            </w:tcBorders>
            <w:shd w:val="clear" w:color="auto" w:fill="auto"/>
            <w:noWrap/>
          </w:tcPr>
          <w:p w14:paraId="478AA8E4"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2D7E1E94"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Paper</w:t>
            </w:r>
          </w:p>
        </w:tc>
        <w:tc>
          <w:tcPr>
            <w:tcW w:w="1434" w:type="dxa"/>
            <w:tcBorders>
              <w:left w:val="single" w:sz="12" w:space="0" w:color="auto"/>
              <w:bottom w:val="single" w:sz="12" w:space="0" w:color="auto"/>
            </w:tcBorders>
          </w:tcPr>
          <w:p w14:paraId="5A67CEE2"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5B789A01"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Waste</w:t>
            </w:r>
          </w:p>
        </w:tc>
        <w:tc>
          <w:tcPr>
            <w:tcW w:w="1390" w:type="dxa"/>
            <w:tcBorders>
              <w:left w:val="nil"/>
              <w:bottom w:val="single" w:sz="12" w:space="0" w:color="auto"/>
              <w:right w:val="nil"/>
            </w:tcBorders>
          </w:tcPr>
          <w:p w14:paraId="3CB8F367"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1E5E847F"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Water</w:t>
            </w:r>
          </w:p>
        </w:tc>
        <w:tc>
          <w:tcPr>
            <w:tcW w:w="1426" w:type="dxa"/>
            <w:gridSpan w:val="2"/>
            <w:tcBorders>
              <w:left w:val="nil"/>
              <w:bottom w:val="single" w:sz="12" w:space="0" w:color="auto"/>
              <w:right w:val="nil"/>
            </w:tcBorders>
          </w:tcPr>
          <w:p w14:paraId="2B0DB9F4" w14:textId="77777777" w:rsidR="005A6142" w:rsidRPr="00EE533D" w:rsidRDefault="005A6142" w:rsidP="00F4319C">
            <w:pPr>
              <w:spacing w:after="0" w:line="240" w:lineRule="auto"/>
              <w:jc w:val="center"/>
              <w:rPr>
                <w:rFonts w:ascii="Times New Roman" w:hAnsi="Times New Roman" w:cs="Times New Roman"/>
                <w:b/>
                <w:bCs/>
                <w:sz w:val="16"/>
                <w:szCs w:val="16"/>
                <w:lang w:val="en-GB"/>
              </w:rPr>
            </w:pPr>
          </w:p>
          <w:p w14:paraId="48A399DC" w14:textId="77777777" w:rsidR="005A6142" w:rsidRPr="00EE533D" w:rsidRDefault="005A6142" w:rsidP="00F4319C">
            <w:pPr>
              <w:spacing w:after="0" w:line="240" w:lineRule="auto"/>
              <w:jc w:val="center"/>
              <w:rPr>
                <w:rFonts w:ascii="Times New Roman" w:eastAsia="Times New Roman" w:hAnsi="Times New Roman" w:cs="Times New Roman"/>
                <w:b/>
                <w:bCs/>
                <w:sz w:val="16"/>
                <w:szCs w:val="16"/>
                <w:lang w:val="en-GB"/>
              </w:rPr>
            </w:pPr>
            <w:r w:rsidRPr="00EE533D">
              <w:rPr>
                <w:rFonts w:ascii="Times New Roman" w:hAnsi="Times New Roman" w:cs="Times New Roman"/>
                <w:b/>
                <w:bCs/>
                <w:sz w:val="16"/>
                <w:szCs w:val="16"/>
                <w:lang w:val="en-GB"/>
              </w:rPr>
              <w:t>Recycled Paper</w:t>
            </w:r>
          </w:p>
        </w:tc>
      </w:tr>
      <w:tr w:rsidR="00EE533D" w:rsidRPr="00EE533D" w14:paraId="24D85415" w14:textId="77777777" w:rsidTr="00F4319C">
        <w:trPr>
          <w:trHeight w:val="20"/>
        </w:trPr>
        <w:tc>
          <w:tcPr>
            <w:tcW w:w="2806" w:type="dxa"/>
            <w:tcBorders>
              <w:left w:val="nil"/>
              <w:bottom w:val="single" w:sz="12" w:space="0" w:color="auto"/>
              <w:right w:val="nil"/>
            </w:tcBorders>
            <w:shd w:val="clear" w:color="auto" w:fill="auto"/>
            <w:noWrap/>
            <w:vAlign w:val="bottom"/>
          </w:tcPr>
          <w:p w14:paraId="402E8DA6" w14:textId="77777777" w:rsidR="005A6142" w:rsidRPr="00EE533D" w:rsidRDefault="005A6142" w:rsidP="00F4319C">
            <w:pPr>
              <w:spacing w:after="0" w:line="240" w:lineRule="auto"/>
              <w:jc w:val="center"/>
              <w:rPr>
                <w:rFonts w:ascii="Times New Roman" w:eastAsia="Calibri" w:hAnsi="Times New Roman" w:cs="Times New Roman"/>
                <w:b/>
                <w:sz w:val="16"/>
                <w:szCs w:val="16"/>
                <w:lang w:val="en-GB"/>
              </w:rPr>
            </w:pPr>
            <w:r w:rsidRPr="00EE533D">
              <w:rPr>
                <w:rFonts w:ascii="Times New Roman" w:eastAsia="Calibri" w:hAnsi="Times New Roman" w:cs="Times New Roman"/>
                <w:b/>
                <w:sz w:val="16"/>
                <w:szCs w:val="16"/>
                <w:lang w:val="en-GB"/>
              </w:rPr>
              <w:t>Variables</w:t>
            </w:r>
          </w:p>
        </w:tc>
        <w:tc>
          <w:tcPr>
            <w:tcW w:w="1417" w:type="dxa"/>
            <w:tcBorders>
              <w:left w:val="nil"/>
              <w:bottom w:val="single" w:sz="12" w:space="0" w:color="auto"/>
              <w:right w:val="nil"/>
            </w:tcBorders>
            <w:shd w:val="clear" w:color="auto" w:fill="auto"/>
            <w:noWrap/>
            <w:vAlign w:val="bottom"/>
          </w:tcPr>
          <w:p w14:paraId="54FCF1CB"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b/>
                <w:sz w:val="16"/>
                <w:szCs w:val="16"/>
                <w:lang w:val="en-GB"/>
              </w:rPr>
              <w:t>(1)</w:t>
            </w:r>
          </w:p>
        </w:tc>
        <w:tc>
          <w:tcPr>
            <w:tcW w:w="1498" w:type="dxa"/>
            <w:tcBorders>
              <w:left w:val="nil"/>
              <w:bottom w:val="single" w:sz="12" w:space="0" w:color="auto"/>
              <w:right w:val="nil"/>
            </w:tcBorders>
            <w:vAlign w:val="bottom"/>
          </w:tcPr>
          <w:p w14:paraId="06D4E672" w14:textId="77777777" w:rsidR="005A6142" w:rsidRPr="00EE533D" w:rsidRDefault="005A6142" w:rsidP="00F4319C">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(2)</w:t>
            </w:r>
          </w:p>
        </w:tc>
        <w:tc>
          <w:tcPr>
            <w:tcW w:w="1396" w:type="dxa"/>
            <w:tcBorders>
              <w:left w:val="nil"/>
              <w:bottom w:val="single" w:sz="12" w:space="0" w:color="auto"/>
              <w:right w:val="single" w:sz="12" w:space="0" w:color="auto"/>
            </w:tcBorders>
            <w:shd w:val="clear" w:color="auto" w:fill="auto"/>
            <w:noWrap/>
            <w:vAlign w:val="bottom"/>
          </w:tcPr>
          <w:p w14:paraId="309953E5" w14:textId="77777777" w:rsidR="005A6142" w:rsidRPr="00EE533D" w:rsidRDefault="005A6142" w:rsidP="00F4319C">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(3)</w:t>
            </w:r>
          </w:p>
        </w:tc>
        <w:tc>
          <w:tcPr>
            <w:tcW w:w="1434" w:type="dxa"/>
            <w:tcBorders>
              <w:left w:val="single" w:sz="12" w:space="0" w:color="auto"/>
              <w:bottom w:val="single" w:sz="12" w:space="0" w:color="auto"/>
            </w:tcBorders>
            <w:vAlign w:val="bottom"/>
          </w:tcPr>
          <w:p w14:paraId="05343FAD" w14:textId="77777777" w:rsidR="005A6142" w:rsidRPr="00EE533D" w:rsidRDefault="005A6142" w:rsidP="00F4319C">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(4)</w:t>
            </w:r>
          </w:p>
        </w:tc>
        <w:tc>
          <w:tcPr>
            <w:tcW w:w="1390" w:type="dxa"/>
            <w:tcBorders>
              <w:left w:val="nil"/>
              <w:bottom w:val="single" w:sz="12" w:space="0" w:color="auto"/>
              <w:right w:val="nil"/>
            </w:tcBorders>
            <w:vAlign w:val="bottom"/>
          </w:tcPr>
          <w:p w14:paraId="407B8E43" w14:textId="77777777" w:rsidR="005A6142" w:rsidRPr="00EE533D" w:rsidRDefault="005A6142" w:rsidP="00F4319C">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(5)</w:t>
            </w:r>
          </w:p>
        </w:tc>
        <w:tc>
          <w:tcPr>
            <w:tcW w:w="1426" w:type="dxa"/>
            <w:gridSpan w:val="2"/>
            <w:tcBorders>
              <w:left w:val="nil"/>
              <w:bottom w:val="single" w:sz="12" w:space="0" w:color="auto"/>
              <w:right w:val="nil"/>
            </w:tcBorders>
            <w:vAlign w:val="bottom"/>
          </w:tcPr>
          <w:p w14:paraId="5F0D85F1" w14:textId="77777777" w:rsidR="005A6142" w:rsidRPr="00EE533D" w:rsidRDefault="005A6142" w:rsidP="00F4319C">
            <w:pPr>
              <w:spacing w:after="0" w:line="240" w:lineRule="auto"/>
              <w:jc w:val="center"/>
              <w:rPr>
                <w:rFonts w:ascii="Times New Roman" w:eastAsia="Times New Roman" w:hAnsi="Times New Roman" w:cs="Times New Roman"/>
                <w:b/>
                <w:sz w:val="16"/>
                <w:szCs w:val="16"/>
                <w:lang w:val="en-GB"/>
              </w:rPr>
            </w:pPr>
            <w:r w:rsidRPr="00EE533D">
              <w:rPr>
                <w:rFonts w:ascii="Times New Roman" w:eastAsia="Times New Roman" w:hAnsi="Times New Roman" w:cs="Times New Roman"/>
                <w:b/>
                <w:sz w:val="16"/>
                <w:szCs w:val="16"/>
                <w:lang w:val="en-GB"/>
              </w:rPr>
              <w:t>(6)</w:t>
            </w:r>
          </w:p>
        </w:tc>
      </w:tr>
      <w:tr w:rsidR="00EE533D" w:rsidRPr="00EE533D" w14:paraId="3684B3C7" w14:textId="77777777" w:rsidTr="00F4319C">
        <w:trPr>
          <w:trHeight w:val="20"/>
        </w:trPr>
        <w:tc>
          <w:tcPr>
            <w:tcW w:w="2806" w:type="dxa"/>
            <w:tcBorders>
              <w:top w:val="nil"/>
              <w:left w:val="nil"/>
              <w:bottom w:val="nil"/>
              <w:right w:val="nil"/>
            </w:tcBorders>
            <w:shd w:val="clear" w:color="auto" w:fill="auto"/>
            <w:noWrap/>
          </w:tcPr>
          <w:p w14:paraId="1A1E61D4" w14:textId="77777777" w:rsidR="007D3955" w:rsidRPr="00EE533D" w:rsidRDefault="007D3955" w:rsidP="007D3955">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Lagged dependent variable</w:t>
            </w:r>
          </w:p>
        </w:tc>
        <w:tc>
          <w:tcPr>
            <w:tcW w:w="1417" w:type="dxa"/>
            <w:tcBorders>
              <w:top w:val="nil"/>
              <w:left w:val="nil"/>
              <w:bottom w:val="nil"/>
              <w:right w:val="nil"/>
            </w:tcBorders>
            <w:shd w:val="clear" w:color="auto" w:fill="auto"/>
            <w:noWrap/>
          </w:tcPr>
          <w:p w14:paraId="1A9BBE56" w14:textId="24203261"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0.549***</w:t>
            </w:r>
          </w:p>
        </w:tc>
        <w:tc>
          <w:tcPr>
            <w:tcW w:w="1498" w:type="dxa"/>
            <w:tcBorders>
              <w:top w:val="nil"/>
              <w:left w:val="nil"/>
              <w:bottom w:val="nil"/>
              <w:right w:val="nil"/>
            </w:tcBorders>
          </w:tcPr>
          <w:p w14:paraId="63E1A52F" w14:textId="7222E9C0"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0.860***</w:t>
            </w:r>
          </w:p>
        </w:tc>
        <w:tc>
          <w:tcPr>
            <w:tcW w:w="1396" w:type="dxa"/>
            <w:tcBorders>
              <w:top w:val="nil"/>
              <w:left w:val="nil"/>
              <w:bottom w:val="nil"/>
              <w:right w:val="single" w:sz="12" w:space="0" w:color="auto"/>
            </w:tcBorders>
            <w:shd w:val="clear" w:color="auto" w:fill="auto"/>
            <w:noWrap/>
          </w:tcPr>
          <w:p w14:paraId="628AE1E6" w14:textId="63ABA21D"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0.820***</w:t>
            </w:r>
          </w:p>
        </w:tc>
        <w:tc>
          <w:tcPr>
            <w:tcW w:w="1434" w:type="dxa"/>
            <w:tcBorders>
              <w:top w:val="nil"/>
              <w:left w:val="single" w:sz="12" w:space="0" w:color="auto"/>
              <w:bottom w:val="nil"/>
            </w:tcBorders>
          </w:tcPr>
          <w:p w14:paraId="05092EFE" w14:textId="5402F1F8"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0.542***</w:t>
            </w:r>
          </w:p>
        </w:tc>
        <w:tc>
          <w:tcPr>
            <w:tcW w:w="1390" w:type="dxa"/>
            <w:tcBorders>
              <w:top w:val="nil"/>
              <w:left w:val="nil"/>
              <w:bottom w:val="nil"/>
              <w:right w:val="nil"/>
            </w:tcBorders>
          </w:tcPr>
          <w:p w14:paraId="4C5C721B" w14:textId="5B04073E"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0.851***</w:t>
            </w:r>
          </w:p>
        </w:tc>
        <w:tc>
          <w:tcPr>
            <w:tcW w:w="1426" w:type="dxa"/>
            <w:gridSpan w:val="2"/>
            <w:tcBorders>
              <w:top w:val="nil"/>
              <w:left w:val="nil"/>
              <w:bottom w:val="nil"/>
              <w:right w:val="nil"/>
            </w:tcBorders>
          </w:tcPr>
          <w:p w14:paraId="1192599E" w14:textId="678409E8"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0.539***</w:t>
            </w:r>
          </w:p>
        </w:tc>
      </w:tr>
      <w:tr w:rsidR="00EE533D" w:rsidRPr="00EE533D" w14:paraId="3E39D7BE" w14:textId="77777777" w:rsidTr="00F4319C">
        <w:trPr>
          <w:trHeight w:val="20"/>
        </w:trPr>
        <w:tc>
          <w:tcPr>
            <w:tcW w:w="2806" w:type="dxa"/>
            <w:tcBorders>
              <w:top w:val="nil"/>
              <w:left w:val="nil"/>
              <w:bottom w:val="nil"/>
              <w:right w:val="nil"/>
            </w:tcBorders>
            <w:shd w:val="clear" w:color="auto" w:fill="auto"/>
            <w:noWrap/>
          </w:tcPr>
          <w:p w14:paraId="1BF1A7AC" w14:textId="77777777" w:rsidR="007D3955" w:rsidRPr="00EE533D" w:rsidRDefault="007D3955" w:rsidP="007D3955">
            <w:pPr>
              <w:spacing w:after="0" w:line="240" w:lineRule="auto"/>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0BA24D0" w14:textId="08D96321"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498" w:type="dxa"/>
            <w:tcBorders>
              <w:top w:val="nil"/>
              <w:left w:val="nil"/>
              <w:bottom w:val="nil"/>
              <w:right w:val="nil"/>
            </w:tcBorders>
          </w:tcPr>
          <w:p w14:paraId="2023034D" w14:textId="5F469652"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(0.097)</w:t>
            </w:r>
          </w:p>
        </w:tc>
        <w:tc>
          <w:tcPr>
            <w:tcW w:w="1396" w:type="dxa"/>
            <w:tcBorders>
              <w:top w:val="nil"/>
              <w:left w:val="nil"/>
              <w:bottom w:val="nil"/>
              <w:right w:val="single" w:sz="12" w:space="0" w:color="auto"/>
            </w:tcBorders>
            <w:shd w:val="clear" w:color="auto" w:fill="auto"/>
            <w:noWrap/>
          </w:tcPr>
          <w:p w14:paraId="7A425C3D" w14:textId="050F7EBD"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(0.225)</w:t>
            </w:r>
          </w:p>
        </w:tc>
        <w:tc>
          <w:tcPr>
            <w:tcW w:w="1434" w:type="dxa"/>
            <w:tcBorders>
              <w:top w:val="nil"/>
              <w:left w:val="single" w:sz="12" w:space="0" w:color="auto"/>
              <w:bottom w:val="nil"/>
            </w:tcBorders>
          </w:tcPr>
          <w:p w14:paraId="5ED983FF" w14:textId="7D09F57E"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390" w:type="dxa"/>
            <w:tcBorders>
              <w:top w:val="nil"/>
              <w:left w:val="nil"/>
              <w:bottom w:val="nil"/>
              <w:right w:val="nil"/>
            </w:tcBorders>
          </w:tcPr>
          <w:p w14:paraId="59A9C6F2" w14:textId="02BA0454"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426" w:type="dxa"/>
            <w:gridSpan w:val="2"/>
            <w:tcBorders>
              <w:top w:val="nil"/>
              <w:left w:val="nil"/>
              <w:bottom w:val="nil"/>
              <w:right w:val="nil"/>
            </w:tcBorders>
          </w:tcPr>
          <w:p w14:paraId="61420EAC" w14:textId="27C6D2A1"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(0.207)</w:t>
            </w:r>
          </w:p>
        </w:tc>
      </w:tr>
      <w:tr w:rsidR="00EE533D" w:rsidRPr="00EE533D" w14:paraId="23E2B067" w14:textId="77777777" w:rsidTr="00F4319C">
        <w:trPr>
          <w:trHeight w:val="20"/>
        </w:trPr>
        <w:tc>
          <w:tcPr>
            <w:tcW w:w="2806" w:type="dxa"/>
            <w:tcBorders>
              <w:top w:val="nil"/>
              <w:left w:val="nil"/>
              <w:bottom w:val="nil"/>
              <w:right w:val="nil"/>
            </w:tcBorders>
            <w:shd w:val="clear" w:color="auto" w:fill="auto"/>
            <w:noWrap/>
          </w:tcPr>
          <w:p w14:paraId="4C166625" w14:textId="2F415693"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Executive Constraints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2597648" w14:textId="2365033F"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-0.791**</w:t>
            </w:r>
          </w:p>
        </w:tc>
        <w:tc>
          <w:tcPr>
            <w:tcW w:w="1498" w:type="dxa"/>
            <w:tcBorders>
              <w:top w:val="nil"/>
              <w:left w:val="nil"/>
              <w:bottom w:val="nil"/>
              <w:right w:val="nil"/>
            </w:tcBorders>
          </w:tcPr>
          <w:p w14:paraId="0D1B5DA9" w14:textId="587C940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0.248</w:t>
            </w:r>
          </w:p>
        </w:tc>
        <w:tc>
          <w:tcPr>
            <w:tcW w:w="1396" w:type="dxa"/>
            <w:tcBorders>
              <w:top w:val="nil"/>
              <w:left w:val="nil"/>
              <w:bottom w:val="nil"/>
              <w:right w:val="single" w:sz="12" w:space="0" w:color="auto"/>
            </w:tcBorders>
            <w:shd w:val="clear" w:color="auto" w:fill="auto"/>
            <w:noWrap/>
          </w:tcPr>
          <w:p w14:paraId="6DE4C407" w14:textId="3DF2B8C4"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434" w:type="dxa"/>
            <w:tcBorders>
              <w:top w:val="nil"/>
              <w:left w:val="single" w:sz="12" w:space="0" w:color="auto"/>
              <w:bottom w:val="nil"/>
            </w:tcBorders>
          </w:tcPr>
          <w:p w14:paraId="7C41441D" w14:textId="5C8D55EC"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-0.677**</w:t>
            </w:r>
          </w:p>
        </w:tc>
        <w:tc>
          <w:tcPr>
            <w:tcW w:w="1390" w:type="dxa"/>
            <w:tcBorders>
              <w:top w:val="nil"/>
              <w:left w:val="nil"/>
              <w:bottom w:val="nil"/>
              <w:right w:val="nil"/>
            </w:tcBorders>
          </w:tcPr>
          <w:p w14:paraId="6EDF0B3D" w14:textId="15CDDFEF"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426" w:type="dxa"/>
            <w:gridSpan w:val="2"/>
            <w:tcBorders>
              <w:top w:val="nil"/>
              <w:left w:val="nil"/>
              <w:bottom w:val="nil"/>
              <w:right w:val="nil"/>
            </w:tcBorders>
          </w:tcPr>
          <w:p w14:paraId="7DBF02FD" w14:textId="2D8E9B86"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r>
      <w:tr w:rsidR="00EE533D" w:rsidRPr="00EE533D" w14:paraId="38552DCD" w14:textId="77777777" w:rsidTr="00F4319C">
        <w:trPr>
          <w:trHeight w:val="20"/>
        </w:trPr>
        <w:tc>
          <w:tcPr>
            <w:tcW w:w="2806" w:type="dxa"/>
            <w:tcBorders>
              <w:top w:val="nil"/>
              <w:left w:val="nil"/>
              <w:bottom w:val="nil"/>
              <w:right w:val="nil"/>
            </w:tcBorders>
            <w:shd w:val="clear" w:color="auto" w:fill="auto"/>
            <w:noWrap/>
          </w:tcPr>
          <w:p w14:paraId="4A962912" w14:textId="77777777"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7DB28694" w14:textId="0A61F98C"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(0.316)</w:t>
            </w:r>
          </w:p>
        </w:tc>
        <w:tc>
          <w:tcPr>
            <w:tcW w:w="1498" w:type="dxa"/>
            <w:tcBorders>
              <w:top w:val="nil"/>
              <w:left w:val="nil"/>
              <w:bottom w:val="nil"/>
              <w:right w:val="nil"/>
            </w:tcBorders>
          </w:tcPr>
          <w:p w14:paraId="44E1E350" w14:textId="376A3D3F"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(0.327)</w:t>
            </w:r>
          </w:p>
        </w:tc>
        <w:tc>
          <w:tcPr>
            <w:tcW w:w="1396" w:type="dxa"/>
            <w:tcBorders>
              <w:top w:val="nil"/>
              <w:left w:val="nil"/>
              <w:bottom w:val="nil"/>
              <w:right w:val="single" w:sz="12" w:space="0" w:color="auto"/>
            </w:tcBorders>
            <w:shd w:val="clear" w:color="auto" w:fill="auto"/>
            <w:noWrap/>
          </w:tcPr>
          <w:p w14:paraId="28DA3E2B" w14:textId="3224211C"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434" w:type="dxa"/>
            <w:tcBorders>
              <w:top w:val="nil"/>
              <w:left w:val="single" w:sz="12" w:space="0" w:color="auto"/>
              <w:bottom w:val="nil"/>
            </w:tcBorders>
          </w:tcPr>
          <w:p w14:paraId="578FC3BF" w14:textId="215FE52A"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(0.295)</w:t>
            </w:r>
          </w:p>
        </w:tc>
        <w:tc>
          <w:tcPr>
            <w:tcW w:w="1390" w:type="dxa"/>
            <w:tcBorders>
              <w:top w:val="nil"/>
              <w:left w:val="nil"/>
              <w:bottom w:val="nil"/>
              <w:right w:val="nil"/>
            </w:tcBorders>
          </w:tcPr>
          <w:p w14:paraId="41556535" w14:textId="2072163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(0.272)</w:t>
            </w:r>
          </w:p>
        </w:tc>
        <w:tc>
          <w:tcPr>
            <w:tcW w:w="1426" w:type="dxa"/>
            <w:gridSpan w:val="2"/>
            <w:tcBorders>
              <w:top w:val="nil"/>
              <w:left w:val="nil"/>
              <w:bottom w:val="nil"/>
              <w:right w:val="nil"/>
            </w:tcBorders>
          </w:tcPr>
          <w:p w14:paraId="04186E89" w14:textId="18A7C41E"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(0.037)</w:t>
            </w:r>
          </w:p>
        </w:tc>
      </w:tr>
      <w:tr w:rsidR="00EE533D" w:rsidRPr="00EE533D" w14:paraId="1FADEA8D" w14:textId="77777777" w:rsidTr="00F4319C">
        <w:trPr>
          <w:trHeight w:val="20"/>
        </w:trPr>
        <w:tc>
          <w:tcPr>
            <w:tcW w:w="2806" w:type="dxa"/>
            <w:tcBorders>
              <w:top w:val="nil"/>
              <w:left w:val="nil"/>
              <w:bottom w:val="nil"/>
              <w:right w:val="nil"/>
            </w:tcBorders>
            <w:shd w:val="clear" w:color="auto" w:fill="auto"/>
            <w:noWrap/>
          </w:tcPr>
          <w:p w14:paraId="36CAD582" w14:textId="4C3BDAAF" w:rsidR="007D3955" w:rsidRPr="00EE533D" w:rsidRDefault="007D3955" w:rsidP="007D3955">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Accountability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E6DB35F" w14:textId="74359FE2"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0.443**</w:t>
            </w:r>
          </w:p>
        </w:tc>
        <w:tc>
          <w:tcPr>
            <w:tcW w:w="1498" w:type="dxa"/>
            <w:tcBorders>
              <w:top w:val="nil"/>
              <w:left w:val="nil"/>
              <w:bottom w:val="nil"/>
              <w:right w:val="nil"/>
            </w:tcBorders>
          </w:tcPr>
          <w:p w14:paraId="71870080" w14:textId="66BAF1A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-0.123</w:t>
            </w:r>
          </w:p>
        </w:tc>
        <w:tc>
          <w:tcPr>
            <w:tcW w:w="1396" w:type="dxa"/>
            <w:tcBorders>
              <w:top w:val="nil"/>
              <w:left w:val="nil"/>
              <w:bottom w:val="nil"/>
              <w:right w:val="single" w:sz="12" w:space="0" w:color="auto"/>
            </w:tcBorders>
            <w:shd w:val="clear" w:color="auto" w:fill="auto"/>
            <w:noWrap/>
          </w:tcPr>
          <w:p w14:paraId="632B2928" w14:textId="76155119"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4" w:type="dxa"/>
            <w:tcBorders>
              <w:top w:val="nil"/>
              <w:left w:val="single" w:sz="12" w:space="0" w:color="auto"/>
              <w:bottom w:val="nil"/>
            </w:tcBorders>
          </w:tcPr>
          <w:p w14:paraId="09D6CAB6" w14:textId="4F9D97DB"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0.488***</w:t>
            </w:r>
          </w:p>
        </w:tc>
        <w:tc>
          <w:tcPr>
            <w:tcW w:w="1390" w:type="dxa"/>
            <w:tcBorders>
              <w:top w:val="nil"/>
              <w:left w:val="nil"/>
              <w:bottom w:val="nil"/>
              <w:right w:val="nil"/>
            </w:tcBorders>
          </w:tcPr>
          <w:p w14:paraId="102B602B" w14:textId="44B67AF6"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0.040</w:t>
            </w:r>
          </w:p>
        </w:tc>
        <w:tc>
          <w:tcPr>
            <w:tcW w:w="1426" w:type="dxa"/>
            <w:gridSpan w:val="2"/>
            <w:tcBorders>
              <w:top w:val="nil"/>
              <w:left w:val="nil"/>
              <w:bottom w:val="nil"/>
              <w:right w:val="nil"/>
            </w:tcBorders>
          </w:tcPr>
          <w:p w14:paraId="6B150000" w14:textId="0F6F3EE0"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r>
      <w:tr w:rsidR="00EE533D" w:rsidRPr="00EE533D" w14:paraId="2EC53937" w14:textId="77777777" w:rsidTr="00F4319C">
        <w:trPr>
          <w:trHeight w:val="20"/>
        </w:trPr>
        <w:tc>
          <w:tcPr>
            <w:tcW w:w="2806" w:type="dxa"/>
            <w:tcBorders>
              <w:top w:val="nil"/>
              <w:left w:val="nil"/>
              <w:bottom w:val="nil"/>
              <w:right w:val="nil"/>
            </w:tcBorders>
            <w:shd w:val="clear" w:color="auto" w:fill="auto"/>
            <w:noWrap/>
          </w:tcPr>
          <w:p w14:paraId="6E0BE216" w14:textId="77777777" w:rsidR="007D3955" w:rsidRPr="00EE533D" w:rsidRDefault="007D3955" w:rsidP="007D3955">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8ED4F0A" w14:textId="5CE3BFD4"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(0.172)</w:t>
            </w:r>
          </w:p>
        </w:tc>
        <w:tc>
          <w:tcPr>
            <w:tcW w:w="1498" w:type="dxa"/>
            <w:tcBorders>
              <w:top w:val="nil"/>
              <w:left w:val="nil"/>
              <w:bottom w:val="nil"/>
              <w:right w:val="nil"/>
            </w:tcBorders>
          </w:tcPr>
          <w:p w14:paraId="22FE25F3" w14:textId="2EDBB286"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(0.177)</w:t>
            </w:r>
          </w:p>
        </w:tc>
        <w:tc>
          <w:tcPr>
            <w:tcW w:w="1396" w:type="dxa"/>
            <w:tcBorders>
              <w:top w:val="nil"/>
              <w:left w:val="nil"/>
              <w:bottom w:val="nil"/>
              <w:right w:val="single" w:sz="12" w:space="0" w:color="auto"/>
            </w:tcBorders>
            <w:shd w:val="clear" w:color="auto" w:fill="auto"/>
            <w:noWrap/>
          </w:tcPr>
          <w:p w14:paraId="0B02A3A9" w14:textId="2209925F"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34" w:type="dxa"/>
            <w:tcBorders>
              <w:top w:val="nil"/>
              <w:left w:val="single" w:sz="12" w:space="0" w:color="auto"/>
              <w:bottom w:val="nil"/>
            </w:tcBorders>
          </w:tcPr>
          <w:p w14:paraId="7F4D4FB3" w14:textId="30F334D6"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(0.177)</w:t>
            </w:r>
          </w:p>
        </w:tc>
        <w:tc>
          <w:tcPr>
            <w:tcW w:w="1390" w:type="dxa"/>
            <w:tcBorders>
              <w:top w:val="nil"/>
              <w:left w:val="nil"/>
              <w:bottom w:val="nil"/>
              <w:right w:val="nil"/>
            </w:tcBorders>
          </w:tcPr>
          <w:p w14:paraId="53F786E7" w14:textId="69FF8338"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(0.176)</w:t>
            </w:r>
          </w:p>
        </w:tc>
        <w:tc>
          <w:tcPr>
            <w:tcW w:w="1426" w:type="dxa"/>
            <w:gridSpan w:val="2"/>
            <w:tcBorders>
              <w:top w:val="nil"/>
              <w:left w:val="nil"/>
              <w:bottom w:val="nil"/>
              <w:right w:val="nil"/>
            </w:tcBorders>
          </w:tcPr>
          <w:p w14:paraId="59FF35F1" w14:textId="34A1AEBF"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r>
      <w:tr w:rsidR="00EE533D" w:rsidRPr="00EE533D" w14:paraId="090A5277" w14:textId="77777777" w:rsidTr="00F4319C">
        <w:trPr>
          <w:trHeight w:val="20"/>
        </w:trPr>
        <w:tc>
          <w:tcPr>
            <w:tcW w:w="2806" w:type="dxa"/>
            <w:tcBorders>
              <w:top w:val="nil"/>
              <w:left w:val="nil"/>
              <w:bottom w:val="nil"/>
              <w:right w:val="nil"/>
            </w:tcBorders>
            <w:shd w:val="clear" w:color="auto" w:fill="auto"/>
            <w:noWrap/>
          </w:tcPr>
          <w:p w14:paraId="5F30C493" w14:textId="44741500" w:rsidR="007D3955" w:rsidRPr="00EE533D" w:rsidRDefault="007D3955" w:rsidP="007D3955">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(Legatum)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CF2342F" w14:textId="20CC750B"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0.713**</w:t>
            </w:r>
          </w:p>
        </w:tc>
        <w:tc>
          <w:tcPr>
            <w:tcW w:w="1498" w:type="dxa"/>
            <w:tcBorders>
              <w:top w:val="nil"/>
              <w:left w:val="nil"/>
              <w:bottom w:val="nil"/>
              <w:right w:val="nil"/>
            </w:tcBorders>
          </w:tcPr>
          <w:p w14:paraId="22C8E7C9" w14:textId="0E5D26AB"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-0.470</w:t>
            </w:r>
          </w:p>
        </w:tc>
        <w:tc>
          <w:tcPr>
            <w:tcW w:w="1396" w:type="dxa"/>
            <w:tcBorders>
              <w:top w:val="nil"/>
              <w:left w:val="nil"/>
              <w:bottom w:val="nil"/>
              <w:right w:val="single" w:sz="12" w:space="0" w:color="auto"/>
            </w:tcBorders>
            <w:shd w:val="clear" w:color="auto" w:fill="auto"/>
            <w:noWrap/>
          </w:tcPr>
          <w:p w14:paraId="1070D57A" w14:textId="0DB28658"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34" w:type="dxa"/>
            <w:tcBorders>
              <w:top w:val="nil"/>
              <w:left w:val="single" w:sz="12" w:space="0" w:color="auto"/>
              <w:bottom w:val="nil"/>
            </w:tcBorders>
          </w:tcPr>
          <w:p w14:paraId="53BA596C" w14:textId="556CFBC6"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0.648**</w:t>
            </w:r>
          </w:p>
        </w:tc>
        <w:tc>
          <w:tcPr>
            <w:tcW w:w="1390" w:type="dxa"/>
            <w:tcBorders>
              <w:top w:val="nil"/>
              <w:left w:val="nil"/>
              <w:bottom w:val="nil"/>
              <w:right w:val="nil"/>
            </w:tcBorders>
          </w:tcPr>
          <w:p w14:paraId="2F05759A" w14:textId="150A08F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-0.400</w:t>
            </w:r>
          </w:p>
        </w:tc>
        <w:tc>
          <w:tcPr>
            <w:tcW w:w="1426" w:type="dxa"/>
            <w:gridSpan w:val="2"/>
            <w:tcBorders>
              <w:top w:val="nil"/>
              <w:left w:val="nil"/>
              <w:bottom w:val="nil"/>
              <w:right w:val="nil"/>
            </w:tcBorders>
          </w:tcPr>
          <w:p w14:paraId="7F7D67F6" w14:textId="2D3F75F5"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r>
      <w:tr w:rsidR="00EE533D" w:rsidRPr="00EE533D" w14:paraId="1F42484C" w14:textId="77777777" w:rsidTr="00F4319C">
        <w:trPr>
          <w:trHeight w:val="20"/>
        </w:trPr>
        <w:tc>
          <w:tcPr>
            <w:tcW w:w="2806" w:type="dxa"/>
            <w:tcBorders>
              <w:top w:val="nil"/>
              <w:left w:val="nil"/>
              <w:bottom w:val="nil"/>
              <w:right w:val="nil"/>
            </w:tcBorders>
            <w:shd w:val="clear" w:color="auto" w:fill="auto"/>
            <w:noWrap/>
          </w:tcPr>
          <w:p w14:paraId="6C0A49B6" w14:textId="77777777" w:rsidR="007D3955" w:rsidRPr="00EE533D" w:rsidRDefault="007D3955" w:rsidP="007D3955">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61BACAF1" w14:textId="7F19474C"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(0.343)</w:t>
            </w:r>
          </w:p>
        </w:tc>
        <w:tc>
          <w:tcPr>
            <w:tcW w:w="1498" w:type="dxa"/>
            <w:tcBorders>
              <w:top w:val="nil"/>
              <w:left w:val="nil"/>
              <w:bottom w:val="nil"/>
              <w:right w:val="nil"/>
            </w:tcBorders>
          </w:tcPr>
          <w:p w14:paraId="56087B42" w14:textId="7F0932CA"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(0.412)</w:t>
            </w:r>
          </w:p>
        </w:tc>
        <w:tc>
          <w:tcPr>
            <w:tcW w:w="1396" w:type="dxa"/>
            <w:tcBorders>
              <w:top w:val="nil"/>
              <w:left w:val="nil"/>
              <w:bottom w:val="nil"/>
              <w:right w:val="single" w:sz="12" w:space="0" w:color="auto"/>
            </w:tcBorders>
            <w:shd w:val="clear" w:color="auto" w:fill="auto"/>
            <w:noWrap/>
          </w:tcPr>
          <w:p w14:paraId="1E6D688C" w14:textId="3ABD5084"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434" w:type="dxa"/>
            <w:tcBorders>
              <w:top w:val="nil"/>
              <w:left w:val="single" w:sz="12" w:space="0" w:color="auto"/>
              <w:bottom w:val="nil"/>
            </w:tcBorders>
          </w:tcPr>
          <w:p w14:paraId="665086F8" w14:textId="5E8BC25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(0.304)</w:t>
            </w:r>
          </w:p>
        </w:tc>
        <w:tc>
          <w:tcPr>
            <w:tcW w:w="1390" w:type="dxa"/>
            <w:tcBorders>
              <w:top w:val="nil"/>
              <w:left w:val="nil"/>
              <w:bottom w:val="nil"/>
              <w:right w:val="nil"/>
            </w:tcBorders>
          </w:tcPr>
          <w:p w14:paraId="3A56B634" w14:textId="7820570D"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(0.422)</w:t>
            </w:r>
          </w:p>
        </w:tc>
        <w:tc>
          <w:tcPr>
            <w:tcW w:w="1426" w:type="dxa"/>
            <w:gridSpan w:val="2"/>
            <w:tcBorders>
              <w:top w:val="nil"/>
              <w:left w:val="nil"/>
              <w:bottom w:val="nil"/>
              <w:right w:val="nil"/>
            </w:tcBorders>
          </w:tcPr>
          <w:p w14:paraId="2B98C820" w14:textId="3FF34866"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r>
      <w:tr w:rsidR="00EE533D" w:rsidRPr="00EE533D" w14:paraId="4E6EF44A" w14:textId="77777777" w:rsidTr="00F4319C">
        <w:trPr>
          <w:trHeight w:val="20"/>
        </w:trPr>
        <w:tc>
          <w:tcPr>
            <w:tcW w:w="2806" w:type="dxa"/>
            <w:tcBorders>
              <w:top w:val="nil"/>
              <w:left w:val="nil"/>
              <w:bottom w:val="nil"/>
              <w:right w:val="nil"/>
            </w:tcBorders>
            <w:shd w:val="clear" w:color="auto" w:fill="auto"/>
            <w:noWrap/>
          </w:tcPr>
          <w:p w14:paraId="4CDC48D3" w14:textId="34567B24" w:rsidR="007D3955" w:rsidRPr="00EE533D" w:rsidRDefault="007D3955" w:rsidP="007D3955">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Integrity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9E2AFDA" w14:textId="28D34511"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0.144</w:t>
            </w:r>
          </w:p>
        </w:tc>
        <w:tc>
          <w:tcPr>
            <w:tcW w:w="1498" w:type="dxa"/>
            <w:tcBorders>
              <w:top w:val="nil"/>
              <w:left w:val="nil"/>
              <w:bottom w:val="nil"/>
              <w:right w:val="nil"/>
            </w:tcBorders>
          </w:tcPr>
          <w:p w14:paraId="488118EF" w14:textId="3A1A7775"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0.131</w:t>
            </w:r>
          </w:p>
        </w:tc>
        <w:tc>
          <w:tcPr>
            <w:tcW w:w="1396" w:type="dxa"/>
            <w:tcBorders>
              <w:top w:val="nil"/>
              <w:left w:val="nil"/>
              <w:bottom w:val="nil"/>
              <w:right w:val="single" w:sz="12" w:space="0" w:color="auto"/>
            </w:tcBorders>
            <w:shd w:val="clear" w:color="auto" w:fill="auto"/>
            <w:noWrap/>
          </w:tcPr>
          <w:p w14:paraId="1BA66164" w14:textId="65C5B381"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58F307A1" w14:textId="2C6B0E3F"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1390" w:type="dxa"/>
            <w:tcBorders>
              <w:top w:val="nil"/>
              <w:left w:val="nil"/>
              <w:bottom w:val="nil"/>
              <w:right w:val="nil"/>
            </w:tcBorders>
          </w:tcPr>
          <w:p w14:paraId="7E787E35" w14:textId="1A90A90A"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0.488</w:t>
            </w:r>
          </w:p>
        </w:tc>
        <w:tc>
          <w:tcPr>
            <w:tcW w:w="1426" w:type="dxa"/>
            <w:gridSpan w:val="2"/>
            <w:tcBorders>
              <w:top w:val="nil"/>
              <w:left w:val="nil"/>
              <w:bottom w:val="nil"/>
              <w:right w:val="nil"/>
            </w:tcBorders>
          </w:tcPr>
          <w:p w14:paraId="6F8EA579" w14:textId="4E7AC9EC"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-0.067</w:t>
            </w:r>
          </w:p>
        </w:tc>
      </w:tr>
      <w:tr w:rsidR="00EE533D" w:rsidRPr="00EE533D" w14:paraId="2FE5012B" w14:textId="77777777" w:rsidTr="00F4319C">
        <w:trPr>
          <w:trHeight w:val="71"/>
        </w:trPr>
        <w:tc>
          <w:tcPr>
            <w:tcW w:w="2806" w:type="dxa"/>
            <w:tcBorders>
              <w:top w:val="nil"/>
              <w:left w:val="nil"/>
              <w:bottom w:val="nil"/>
              <w:right w:val="nil"/>
            </w:tcBorders>
            <w:shd w:val="clear" w:color="auto" w:fill="auto"/>
            <w:noWrap/>
          </w:tcPr>
          <w:p w14:paraId="119E92ED" w14:textId="77777777" w:rsidR="007D3955" w:rsidRPr="00EE533D" w:rsidRDefault="007D3955" w:rsidP="007D3955">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0B7751FC" w14:textId="62A0026A"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(0.359)</w:t>
            </w:r>
          </w:p>
        </w:tc>
        <w:tc>
          <w:tcPr>
            <w:tcW w:w="1498" w:type="dxa"/>
            <w:tcBorders>
              <w:top w:val="nil"/>
              <w:left w:val="nil"/>
              <w:bottom w:val="nil"/>
              <w:right w:val="nil"/>
            </w:tcBorders>
          </w:tcPr>
          <w:p w14:paraId="7B90F9C0" w14:textId="48B338D0"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(0.529)</w:t>
            </w:r>
          </w:p>
        </w:tc>
        <w:tc>
          <w:tcPr>
            <w:tcW w:w="1396" w:type="dxa"/>
            <w:tcBorders>
              <w:top w:val="nil"/>
              <w:left w:val="nil"/>
              <w:bottom w:val="nil"/>
              <w:right w:val="single" w:sz="12" w:space="0" w:color="auto"/>
            </w:tcBorders>
            <w:shd w:val="clear" w:color="auto" w:fill="auto"/>
            <w:noWrap/>
          </w:tcPr>
          <w:p w14:paraId="03CA265A" w14:textId="30150806"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c>
          <w:tcPr>
            <w:tcW w:w="1434" w:type="dxa"/>
            <w:tcBorders>
              <w:top w:val="nil"/>
              <w:left w:val="single" w:sz="12" w:space="0" w:color="auto"/>
              <w:bottom w:val="nil"/>
            </w:tcBorders>
          </w:tcPr>
          <w:p w14:paraId="7D2DF7E0" w14:textId="34C489DB"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(0.386)</w:t>
            </w:r>
          </w:p>
        </w:tc>
        <w:tc>
          <w:tcPr>
            <w:tcW w:w="1390" w:type="dxa"/>
            <w:tcBorders>
              <w:top w:val="nil"/>
              <w:left w:val="nil"/>
              <w:bottom w:val="nil"/>
              <w:right w:val="nil"/>
            </w:tcBorders>
          </w:tcPr>
          <w:p w14:paraId="678B3A84" w14:textId="017B3FDE"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(0.522)</w:t>
            </w:r>
          </w:p>
        </w:tc>
        <w:tc>
          <w:tcPr>
            <w:tcW w:w="1426" w:type="dxa"/>
            <w:gridSpan w:val="2"/>
            <w:tcBorders>
              <w:top w:val="nil"/>
              <w:left w:val="nil"/>
              <w:bottom w:val="nil"/>
              <w:right w:val="nil"/>
            </w:tcBorders>
          </w:tcPr>
          <w:p w14:paraId="6350DAC1" w14:textId="75AE2E5D"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(0.067)</w:t>
            </w:r>
          </w:p>
        </w:tc>
      </w:tr>
      <w:tr w:rsidR="00EE533D" w:rsidRPr="00EE533D" w14:paraId="32B6FE03" w14:textId="77777777" w:rsidTr="00F4319C">
        <w:trPr>
          <w:trHeight w:val="71"/>
        </w:trPr>
        <w:tc>
          <w:tcPr>
            <w:tcW w:w="2806" w:type="dxa"/>
            <w:tcBorders>
              <w:top w:val="nil"/>
              <w:left w:val="nil"/>
              <w:bottom w:val="nil"/>
              <w:right w:val="nil"/>
            </w:tcBorders>
            <w:shd w:val="clear" w:color="auto" w:fill="auto"/>
            <w:noWrap/>
          </w:tcPr>
          <w:p w14:paraId="7F6AAD67" w14:textId="74BEDB42" w:rsidR="007D3955" w:rsidRPr="00EE533D" w:rsidRDefault="007D3955" w:rsidP="007D3955">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(Legatum)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A8B4001" w14:textId="43392C24"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-0.370</w:t>
            </w:r>
          </w:p>
        </w:tc>
        <w:tc>
          <w:tcPr>
            <w:tcW w:w="1498" w:type="dxa"/>
            <w:tcBorders>
              <w:top w:val="nil"/>
              <w:left w:val="nil"/>
              <w:bottom w:val="nil"/>
              <w:right w:val="nil"/>
            </w:tcBorders>
          </w:tcPr>
          <w:p w14:paraId="0B233C4F" w14:textId="75E5CC3E"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0.429</w:t>
            </w:r>
          </w:p>
        </w:tc>
        <w:tc>
          <w:tcPr>
            <w:tcW w:w="1396" w:type="dxa"/>
            <w:tcBorders>
              <w:top w:val="nil"/>
              <w:left w:val="nil"/>
              <w:bottom w:val="nil"/>
              <w:right w:val="single" w:sz="12" w:space="0" w:color="auto"/>
            </w:tcBorders>
            <w:shd w:val="clear" w:color="auto" w:fill="auto"/>
            <w:noWrap/>
          </w:tcPr>
          <w:p w14:paraId="61CD6349" w14:textId="2A1C4F39"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1F66D764" w14:textId="05635203"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-0.407</w:t>
            </w:r>
          </w:p>
        </w:tc>
        <w:tc>
          <w:tcPr>
            <w:tcW w:w="1390" w:type="dxa"/>
            <w:tcBorders>
              <w:top w:val="nil"/>
              <w:left w:val="nil"/>
              <w:bottom w:val="nil"/>
              <w:right w:val="nil"/>
            </w:tcBorders>
          </w:tcPr>
          <w:p w14:paraId="4761D212" w14:textId="1D49B0EA"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0.226</w:t>
            </w:r>
          </w:p>
        </w:tc>
        <w:tc>
          <w:tcPr>
            <w:tcW w:w="1426" w:type="dxa"/>
            <w:gridSpan w:val="2"/>
            <w:tcBorders>
              <w:top w:val="nil"/>
              <w:left w:val="nil"/>
              <w:bottom w:val="nil"/>
              <w:right w:val="nil"/>
            </w:tcBorders>
          </w:tcPr>
          <w:p w14:paraId="0EC4E5F7" w14:textId="48C16631"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0.051</w:t>
            </w:r>
          </w:p>
        </w:tc>
      </w:tr>
      <w:tr w:rsidR="00EE533D" w:rsidRPr="00EE533D" w14:paraId="7E05BCEC" w14:textId="77777777" w:rsidTr="00F4319C">
        <w:trPr>
          <w:trHeight w:val="71"/>
        </w:trPr>
        <w:tc>
          <w:tcPr>
            <w:tcW w:w="2806" w:type="dxa"/>
            <w:tcBorders>
              <w:top w:val="nil"/>
              <w:left w:val="nil"/>
              <w:bottom w:val="nil"/>
              <w:right w:val="nil"/>
            </w:tcBorders>
            <w:shd w:val="clear" w:color="auto" w:fill="auto"/>
            <w:noWrap/>
          </w:tcPr>
          <w:p w14:paraId="313B854B" w14:textId="77777777" w:rsidR="007D3955" w:rsidRPr="00EE533D" w:rsidRDefault="007D3955" w:rsidP="007D3955">
            <w:pPr>
              <w:spacing w:after="0"/>
              <w:jc w:val="center"/>
              <w:rPr>
                <w:rFonts w:ascii="Times New Roman" w:hAnsi="Times New Roman" w:cs="Times New Roman"/>
                <w:sz w:val="14"/>
                <w:szCs w:val="14"/>
                <w:lang w:val="en-GB"/>
              </w:rPr>
            </w:pPr>
          </w:p>
        </w:tc>
        <w:tc>
          <w:tcPr>
            <w:tcW w:w="1417" w:type="dxa"/>
            <w:tcBorders>
              <w:top w:val="nil"/>
              <w:left w:val="nil"/>
              <w:bottom w:val="nil"/>
              <w:right w:val="nil"/>
            </w:tcBorders>
            <w:shd w:val="clear" w:color="auto" w:fill="auto"/>
            <w:noWrap/>
          </w:tcPr>
          <w:p w14:paraId="53755DAB" w14:textId="7438991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(0.322)</w:t>
            </w:r>
          </w:p>
        </w:tc>
        <w:tc>
          <w:tcPr>
            <w:tcW w:w="1498" w:type="dxa"/>
            <w:tcBorders>
              <w:top w:val="nil"/>
              <w:left w:val="nil"/>
              <w:bottom w:val="nil"/>
              <w:right w:val="nil"/>
            </w:tcBorders>
          </w:tcPr>
          <w:p w14:paraId="589757A4" w14:textId="365541AD"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(0.364)</w:t>
            </w:r>
          </w:p>
        </w:tc>
        <w:tc>
          <w:tcPr>
            <w:tcW w:w="1396" w:type="dxa"/>
            <w:tcBorders>
              <w:top w:val="nil"/>
              <w:left w:val="nil"/>
              <w:bottom w:val="nil"/>
              <w:right w:val="single" w:sz="12" w:space="0" w:color="auto"/>
            </w:tcBorders>
            <w:shd w:val="clear" w:color="auto" w:fill="auto"/>
            <w:noWrap/>
          </w:tcPr>
          <w:p w14:paraId="410A0558" w14:textId="5406B7AB"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434" w:type="dxa"/>
            <w:tcBorders>
              <w:top w:val="nil"/>
              <w:left w:val="single" w:sz="12" w:space="0" w:color="auto"/>
              <w:bottom w:val="nil"/>
            </w:tcBorders>
          </w:tcPr>
          <w:p w14:paraId="387BE7D9" w14:textId="25099879"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(0.335)</w:t>
            </w:r>
          </w:p>
        </w:tc>
        <w:tc>
          <w:tcPr>
            <w:tcW w:w="1390" w:type="dxa"/>
            <w:tcBorders>
              <w:top w:val="nil"/>
              <w:left w:val="nil"/>
              <w:bottom w:val="nil"/>
              <w:right w:val="nil"/>
            </w:tcBorders>
          </w:tcPr>
          <w:p w14:paraId="047A325F" w14:textId="1D8F0BE4"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(0.397)</w:t>
            </w:r>
          </w:p>
        </w:tc>
        <w:tc>
          <w:tcPr>
            <w:tcW w:w="1426" w:type="dxa"/>
            <w:gridSpan w:val="2"/>
            <w:tcBorders>
              <w:top w:val="nil"/>
              <w:left w:val="nil"/>
              <w:bottom w:val="nil"/>
              <w:right w:val="nil"/>
            </w:tcBorders>
          </w:tcPr>
          <w:p w14:paraId="5EEB2560" w14:textId="78562A6A"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r>
      <w:tr w:rsidR="00EE533D" w:rsidRPr="00EE533D" w14:paraId="548D65A0" w14:textId="77777777" w:rsidTr="00F4319C">
        <w:trPr>
          <w:trHeight w:val="71"/>
        </w:trPr>
        <w:tc>
          <w:tcPr>
            <w:tcW w:w="2806" w:type="dxa"/>
            <w:tcBorders>
              <w:top w:val="nil"/>
              <w:left w:val="nil"/>
              <w:bottom w:val="nil"/>
              <w:right w:val="nil"/>
            </w:tcBorders>
            <w:shd w:val="clear" w:color="auto" w:fill="auto"/>
            <w:noWrap/>
          </w:tcPr>
          <w:p w14:paraId="3D2D9CE6" w14:textId="58EE623E"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(Legatum)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19E90471" w14:textId="2C62714C"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-0.107</w:t>
            </w:r>
          </w:p>
        </w:tc>
        <w:tc>
          <w:tcPr>
            <w:tcW w:w="1498" w:type="dxa"/>
            <w:tcBorders>
              <w:top w:val="nil"/>
              <w:left w:val="nil"/>
              <w:bottom w:val="nil"/>
              <w:right w:val="nil"/>
            </w:tcBorders>
          </w:tcPr>
          <w:p w14:paraId="1B5C1136" w14:textId="5FDD6487"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-0.574</w:t>
            </w:r>
          </w:p>
        </w:tc>
        <w:tc>
          <w:tcPr>
            <w:tcW w:w="1396" w:type="dxa"/>
            <w:tcBorders>
              <w:top w:val="nil"/>
              <w:left w:val="nil"/>
              <w:bottom w:val="nil"/>
              <w:right w:val="single" w:sz="12" w:space="0" w:color="auto"/>
            </w:tcBorders>
            <w:shd w:val="clear" w:color="auto" w:fill="auto"/>
            <w:noWrap/>
          </w:tcPr>
          <w:p w14:paraId="360CF3E6" w14:textId="35AF76CC"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-0.042</w:t>
            </w:r>
          </w:p>
        </w:tc>
        <w:tc>
          <w:tcPr>
            <w:tcW w:w="1434" w:type="dxa"/>
            <w:tcBorders>
              <w:top w:val="nil"/>
              <w:left w:val="single" w:sz="12" w:space="0" w:color="auto"/>
              <w:bottom w:val="nil"/>
            </w:tcBorders>
          </w:tcPr>
          <w:p w14:paraId="29F589A2" w14:textId="2467BBB9"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-0.208</w:t>
            </w:r>
          </w:p>
        </w:tc>
        <w:tc>
          <w:tcPr>
            <w:tcW w:w="1390" w:type="dxa"/>
            <w:tcBorders>
              <w:top w:val="nil"/>
              <w:left w:val="nil"/>
              <w:bottom w:val="nil"/>
              <w:right w:val="nil"/>
            </w:tcBorders>
          </w:tcPr>
          <w:p w14:paraId="4BADE5D7" w14:textId="29A9AB60"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-0.437</w:t>
            </w:r>
          </w:p>
        </w:tc>
        <w:tc>
          <w:tcPr>
            <w:tcW w:w="1426" w:type="dxa"/>
            <w:gridSpan w:val="2"/>
            <w:tcBorders>
              <w:top w:val="nil"/>
              <w:left w:val="nil"/>
              <w:bottom w:val="nil"/>
              <w:right w:val="nil"/>
            </w:tcBorders>
          </w:tcPr>
          <w:p w14:paraId="695748B6" w14:textId="0B51C55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-0.070</w:t>
            </w:r>
          </w:p>
        </w:tc>
      </w:tr>
      <w:tr w:rsidR="00EE533D" w:rsidRPr="00EE533D" w14:paraId="2E7C40E9" w14:textId="77777777" w:rsidTr="00F4319C">
        <w:trPr>
          <w:trHeight w:val="71"/>
        </w:trPr>
        <w:tc>
          <w:tcPr>
            <w:tcW w:w="2806" w:type="dxa"/>
            <w:tcBorders>
              <w:top w:val="nil"/>
              <w:left w:val="nil"/>
              <w:bottom w:val="nil"/>
              <w:right w:val="nil"/>
            </w:tcBorders>
            <w:shd w:val="clear" w:color="auto" w:fill="auto"/>
            <w:noWrap/>
          </w:tcPr>
          <w:p w14:paraId="4F80A076"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1498B9F1" w14:textId="028F4822"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(0.555)</w:t>
            </w:r>
          </w:p>
        </w:tc>
        <w:tc>
          <w:tcPr>
            <w:tcW w:w="1498" w:type="dxa"/>
            <w:tcBorders>
              <w:top w:val="nil"/>
              <w:left w:val="nil"/>
              <w:bottom w:val="nil"/>
              <w:right w:val="nil"/>
            </w:tcBorders>
          </w:tcPr>
          <w:p w14:paraId="42221BAE" w14:textId="15A6B220"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(0.697)</w:t>
            </w:r>
          </w:p>
        </w:tc>
        <w:tc>
          <w:tcPr>
            <w:tcW w:w="1396" w:type="dxa"/>
            <w:tcBorders>
              <w:top w:val="nil"/>
              <w:left w:val="nil"/>
              <w:bottom w:val="nil"/>
              <w:right w:val="single" w:sz="12" w:space="0" w:color="auto"/>
            </w:tcBorders>
            <w:shd w:val="clear" w:color="auto" w:fill="auto"/>
            <w:noWrap/>
          </w:tcPr>
          <w:p w14:paraId="318CC6D7" w14:textId="6BCA9700"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434" w:type="dxa"/>
            <w:tcBorders>
              <w:top w:val="nil"/>
              <w:left w:val="single" w:sz="12" w:space="0" w:color="auto"/>
              <w:bottom w:val="nil"/>
            </w:tcBorders>
          </w:tcPr>
          <w:p w14:paraId="00B4FDC7" w14:textId="3482434E"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(0.564)</w:t>
            </w:r>
          </w:p>
        </w:tc>
        <w:tc>
          <w:tcPr>
            <w:tcW w:w="1390" w:type="dxa"/>
            <w:tcBorders>
              <w:top w:val="nil"/>
              <w:left w:val="nil"/>
              <w:bottom w:val="nil"/>
              <w:right w:val="nil"/>
            </w:tcBorders>
          </w:tcPr>
          <w:p w14:paraId="3A785C56" w14:textId="761E1C38"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(0.689)</w:t>
            </w:r>
          </w:p>
        </w:tc>
        <w:tc>
          <w:tcPr>
            <w:tcW w:w="1426" w:type="dxa"/>
            <w:gridSpan w:val="2"/>
            <w:tcBorders>
              <w:top w:val="nil"/>
              <w:left w:val="nil"/>
              <w:bottom w:val="nil"/>
              <w:right w:val="nil"/>
            </w:tcBorders>
          </w:tcPr>
          <w:p w14:paraId="367B2D0E" w14:textId="7C316F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(0.052)</w:t>
            </w:r>
          </w:p>
        </w:tc>
      </w:tr>
      <w:tr w:rsidR="00EE533D" w:rsidRPr="00EE533D" w14:paraId="246677E6" w14:textId="77777777" w:rsidTr="00F4319C">
        <w:trPr>
          <w:trHeight w:val="71"/>
        </w:trPr>
        <w:tc>
          <w:tcPr>
            <w:tcW w:w="2806" w:type="dxa"/>
            <w:tcBorders>
              <w:top w:val="nil"/>
              <w:left w:val="nil"/>
              <w:bottom w:val="nil"/>
              <w:right w:val="nil"/>
            </w:tcBorders>
            <w:shd w:val="clear" w:color="auto" w:fill="auto"/>
            <w:noWrap/>
          </w:tcPr>
          <w:p w14:paraId="6FD307C7"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DDE5508" w14:textId="5C80F2C2"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98" w:type="dxa"/>
            <w:tcBorders>
              <w:top w:val="nil"/>
              <w:left w:val="nil"/>
              <w:bottom w:val="nil"/>
              <w:right w:val="nil"/>
            </w:tcBorders>
          </w:tcPr>
          <w:p w14:paraId="2570D193" w14:textId="16C4B643"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396" w:type="dxa"/>
            <w:tcBorders>
              <w:top w:val="nil"/>
              <w:left w:val="nil"/>
              <w:bottom w:val="nil"/>
              <w:right w:val="single" w:sz="12" w:space="0" w:color="auto"/>
            </w:tcBorders>
            <w:shd w:val="clear" w:color="auto" w:fill="auto"/>
            <w:noWrap/>
          </w:tcPr>
          <w:p w14:paraId="7424BAAF" w14:textId="377E9066"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left w:val="single" w:sz="12" w:space="0" w:color="auto"/>
              <w:bottom w:val="nil"/>
            </w:tcBorders>
          </w:tcPr>
          <w:p w14:paraId="401AB3F3"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5B764C2A"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6454CDC2"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5A14723A" w14:textId="77777777" w:rsidTr="00F4319C">
        <w:trPr>
          <w:trHeight w:val="71"/>
        </w:trPr>
        <w:tc>
          <w:tcPr>
            <w:tcW w:w="2806" w:type="dxa"/>
            <w:tcBorders>
              <w:top w:val="nil"/>
              <w:left w:val="nil"/>
              <w:bottom w:val="nil"/>
              <w:right w:val="nil"/>
            </w:tcBorders>
            <w:shd w:val="clear" w:color="auto" w:fill="auto"/>
            <w:noWrap/>
          </w:tcPr>
          <w:p w14:paraId="0A128607"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3AC7B5C" w14:textId="15112222"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498" w:type="dxa"/>
            <w:tcBorders>
              <w:top w:val="nil"/>
              <w:left w:val="nil"/>
              <w:bottom w:val="nil"/>
              <w:right w:val="nil"/>
            </w:tcBorders>
          </w:tcPr>
          <w:p w14:paraId="0B053079" w14:textId="23BD62E8"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c>
          <w:tcPr>
            <w:tcW w:w="1396" w:type="dxa"/>
            <w:tcBorders>
              <w:top w:val="nil"/>
              <w:left w:val="nil"/>
              <w:bottom w:val="nil"/>
              <w:right w:val="single" w:sz="12" w:space="0" w:color="auto"/>
            </w:tcBorders>
            <w:shd w:val="clear" w:color="auto" w:fill="auto"/>
            <w:noWrap/>
          </w:tcPr>
          <w:p w14:paraId="61214056" w14:textId="0632303F"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4" w:type="dxa"/>
            <w:tcBorders>
              <w:top w:val="nil"/>
              <w:left w:val="single" w:sz="12" w:space="0" w:color="auto"/>
              <w:bottom w:val="nil"/>
            </w:tcBorders>
          </w:tcPr>
          <w:p w14:paraId="53AE0DCA"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5753E376"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484A00FB"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5D333C23" w14:textId="77777777" w:rsidTr="00F4319C">
        <w:trPr>
          <w:trHeight w:val="71"/>
        </w:trPr>
        <w:tc>
          <w:tcPr>
            <w:tcW w:w="2806" w:type="dxa"/>
            <w:tcBorders>
              <w:top w:val="nil"/>
              <w:left w:val="nil"/>
              <w:bottom w:val="nil"/>
              <w:right w:val="nil"/>
            </w:tcBorders>
            <w:shd w:val="clear" w:color="auto" w:fill="auto"/>
            <w:noWrap/>
          </w:tcPr>
          <w:p w14:paraId="5D6EFB20" w14:textId="77777777" w:rsidR="007D3955" w:rsidRPr="00EE533D" w:rsidRDefault="007D3955" w:rsidP="007D3955">
            <w:pPr>
              <w:spacing w:after="0"/>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5A4F596" w14:textId="77B155C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0.047</w:t>
            </w:r>
          </w:p>
        </w:tc>
        <w:tc>
          <w:tcPr>
            <w:tcW w:w="1498" w:type="dxa"/>
            <w:tcBorders>
              <w:top w:val="nil"/>
              <w:left w:val="nil"/>
              <w:bottom w:val="nil"/>
              <w:right w:val="nil"/>
            </w:tcBorders>
          </w:tcPr>
          <w:p w14:paraId="246E31BE" w14:textId="4E06B21A"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396" w:type="dxa"/>
            <w:tcBorders>
              <w:top w:val="nil"/>
              <w:left w:val="nil"/>
              <w:bottom w:val="nil"/>
              <w:right w:val="single" w:sz="12" w:space="0" w:color="auto"/>
            </w:tcBorders>
            <w:shd w:val="clear" w:color="auto" w:fill="auto"/>
            <w:noWrap/>
          </w:tcPr>
          <w:p w14:paraId="32770CFB" w14:textId="6E8F0E8F"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1C39D38D"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1757DF2"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436D8FD2"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698A5E70" w14:textId="77777777" w:rsidTr="00F4319C">
        <w:trPr>
          <w:trHeight w:val="71"/>
        </w:trPr>
        <w:tc>
          <w:tcPr>
            <w:tcW w:w="2806" w:type="dxa"/>
            <w:tcBorders>
              <w:top w:val="nil"/>
              <w:left w:val="nil"/>
              <w:bottom w:val="nil"/>
              <w:right w:val="nil"/>
            </w:tcBorders>
            <w:shd w:val="clear" w:color="auto" w:fill="auto"/>
            <w:noWrap/>
          </w:tcPr>
          <w:p w14:paraId="1196E42F" w14:textId="77777777" w:rsidR="007D3955" w:rsidRPr="00EE533D" w:rsidRDefault="007D3955" w:rsidP="007D3955">
            <w:pPr>
              <w:spacing w:after="0"/>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4BC8DE7" w14:textId="71375669"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(0.108)</w:t>
            </w:r>
          </w:p>
        </w:tc>
        <w:tc>
          <w:tcPr>
            <w:tcW w:w="1498" w:type="dxa"/>
            <w:tcBorders>
              <w:top w:val="nil"/>
              <w:left w:val="nil"/>
              <w:bottom w:val="nil"/>
              <w:right w:val="nil"/>
            </w:tcBorders>
          </w:tcPr>
          <w:p w14:paraId="309CC4EA" w14:textId="2109E98E"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(0.045)</w:t>
            </w:r>
          </w:p>
        </w:tc>
        <w:tc>
          <w:tcPr>
            <w:tcW w:w="1396" w:type="dxa"/>
            <w:tcBorders>
              <w:top w:val="nil"/>
              <w:left w:val="nil"/>
              <w:bottom w:val="nil"/>
              <w:right w:val="single" w:sz="12" w:space="0" w:color="auto"/>
            </w:tcBorders>
            <w:shd w:val="clear" w:color="auto" w:fill="auto"/>
            <w:noWrap/>
          </w:tcPr>
          <w:p w14:paraId="093B115D" w14:textId="1C258417"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4" w:type="dxa"/>
            <w:tcBorders>
              <w:top w:val="nil"/>
              <w:left w:val="single" w:sz="12" w:space="0" w:color="auto"/>
              <w:bottom w:val="nil"/>
            </w:tcBorders>
          </w:tcPr>
          <w:p w14:paraId="3A15D3C9"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26A85EE"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7BA0F956"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10EA62E6" w14:textId="77777777" w:rsidTr="00F4319C">
        <w:trPr>
          <w:trHeight w:val="71"/>
        </w:trPr>
        <w:tc>
          <w:tcPr>
            <w:tcW w:w="2806" w:type="dxa"/>
            <w:tcBorders>
              <w:top w:val="nil"/>
              <w:left w:val="nil"/>
              <w:bottom w:val="nil"/>
              <w:right w:val="nil"/>
            </w:tcBorders>
            <w:shd w:val="clear" w:color="auto" w:fill="auto"/>
            <w:noWrap/>
          </w:tcPr>
          <w:p w14:paraId="7C55D4D0"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3D21F82" w14:textId="1CB8DA55"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-0.947</w:t>
            </w:r>
          </w:p>
        </w:tc>
        <w:tc>
          <w:tcPr>
            <w:tcW w:w="1498" w:type="dxa"/>
            <w:tcBorders>
              <w:top w:val="nil"/>
              <w:left w:val="nil"/>
              <w:bottom w:val="nil"/>
              <w:right w:val="nil"/>
            </w:tcBorders>
          </w:tcPr>
          <w:p w14:paraId="2F0F8017" w14:textId="654417C8"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0.534</w:t>
            </w:r>
          </w:p>
        </w:tc>
        <w:tc>
          <w:tcPr>
            <w:tcW w:w="1396" w:type="dxa"/>
            <w:tcBorders>
              <w:top w:val="nil"/>
              <w:left w:val="nil"/>
              <w:bottom w:val="nil"/>
              <w:right w:val="single" w:sz="12" w:space="0" w:color="auto"/>
            </w:tcBorders>
            <w:shd w:val="clear" w:color="auto" w:fill="auto"/>
            <w:noWrap/>
          </w:tcPr>
          <w:p w14:paraId="00B1BF3C" w14:textId="4836912F"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-0.175</w:t>
            </w:r>
          </w:p>
        </w:tc>
        <w:tc>
          <w:tcPr>
            <w:tcW w:w="1434" w:type="dxa"/>
            <w:tcBorders>
              <w:top w:val="nil"/>
              <w:left w:val="single" w:sz="12" w:space="0" w:color="auto"/>
              <w:bottom w:val="nil"/>
            </w:tcBorders>
          </w:tcPr>
          <w:p w14:paraId="3E022236"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72E73B0C"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2BD120F7"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600C3D16" w14:textId="77777777" w:rsidTr="00F4319C">
        <w:trPr>
          <w:trHeight w:val="71"/>
        </w:trPr>
        <w:tc>
          <w:tcPr>
            <w:tcW w:w="2806" w:type="dxa"/>
            <w:tcBorders>
              <w:top w:val="nil"/>
              <w:left w:val="nil"/>
              <w:bottom w:val="nil"/>
              <w:right w:val="nil"/>
            </w:tcBorders>
            <w:shd w:val="clear" w:color="auto" w:fill="auto"/>
            <w:noWrap/>
          </w:tcPr>
          <w:p w14:paraId="0AE0C9C1"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6CA8AD6E" w14:textId="107CDA30"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(5.642)</w:t>
            </w:r>
          </w:p>
        </w:tc>
        <w:tc>
          <w:tcPr>
            <w:tcW w:w="1498" w:type="dxa"/>
            <w:tcBorders>
              <w:top w:val="nil"/>
              <w:left w:val="nil"/>
              <w:bottom w:val="nil"/>
              <w:right w:val="nil"/>
            </w:tcBorders>
          </w:tcPr>
          <w:p w14:paraId="1E123745" w14:textId="2DE9B643"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(2.532)</w:t>
            </w:r>
          </w:p>
        </w:tc>
        <w:tc>
          <w:tcPr>
            <w:tcW w:w="1396" w:type="dxa"/>
            <w:tcBorders>
              <w:top w:val="nil"/>
              <w:left w:val="nil"/>
              <w:bottom w:val="nil"/>
              <w:right w:val="single" w:sz="12" w:space="0" w:color="auto"/>
            </w:tcBorders>
            <w:shd w:val="clear" w:color="auto" w:fill="auto"/>
            <w:noWrap/>
          </w:tcPr>
          <w:p w14:paraId="3BDF1188" w14:textId="38B040AE"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(0.272)</w:t>
            </w:r>
          </w:p>
        </w:tc>
        <w:tc>
          <w:tcPr>
            <w:tcW w:w="1434" w:type="dxa"/>
            <w:tcBorders>
              <w:top w:val="nil"/>
              <w:left w:val="single" w:sz="12" w:space="0" w:color="auto"/>
              <w:bottom w:val="nil"/>
            </w:tcBorders>
          </w:tcPr>
          <w:p w14:paraId="77B06279"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44BEB484"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63200FD5"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2837B881" w14:textId="77777777" w:rsidTr="00F4319C">
        <w:trPr>
          <w:trHeight w:val="71"/>
        </w:trPr>
        <w:tc>
          <w:tcPr>
            <w:tcW w:w="2806" w:type="dxa"/>
            <w:tcBorders>
              <w:top w:val="nil"/>
              <w:left w:val="nil"/>
              <w:bottom w:val="nil"/>
              <w:right w:val="nil"/>
            </w:tcBorders>
            <w:shd w:val="clear" w:color="auto" w:fill="auto"/>
            <w:noWrap/>
          </w:tcPr>
          <w:p w14:paraId="5090659C"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4E96EBBC" w14:textId="1E45BCF4"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-0.910</w:t>
            </w:r>
          </w:p>
        </w:tc>
        <w:tc>
          <w:tcPr>
            <w:tcW w:w="1498" w:type="dxa"/>
            <w:tcBorders>
              <w:top w:val="nil"/>
              <w:left w:val="nil"/>
              <w:bottom w:val="nil"/>
              <w:right w:val="nil"/>
            </w:tcBorders>
          </w:tcPr>
          <w:p w14:paraId="0EDE71E1" w14:textId="51C0D36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1.119</w:t>
            </w:r>
          </w:p>
        </w:tc>
        <w:tc>
          <w:tcPr>
            <w:tcW w:w="1396" w:type="dxa"/>
            <w:tcBorders>
              <w:top w:val="nil"/>
              <w:left w:val="nil"/>
              <w:bottom w:val="nil"/>
              <w:right w:val="single" w:sz="12" w:space="0" w:color="auto"/>
            </w:tcBorders>
            <w:shd w:val="clear" w:color="auto" w:fill="auto"/>
            <w:noWrap/>
          </w:tcPr>
          <w:p w14:paraId="06C36B68" w14:textId="7E0F70DD"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-0.134</w:t>
            </w:r>
          </w:p>
        </w:tc>
        <w:tc>
          <w:tcPr>
            <w:tcW w:w="1434" w:type="dxa"/>
            <w:tcBorders>
              <w:top w:val="nil"/>
              <w:left w:val="single" w:sz="12" w:space="0" w:color="auto"/>
              <w:bottom w:val="nil"/>
            </w:tcBorders>
          </w:tcPr>
          <w:p w14:paraId="11FC1DC5"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100ECFC2"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2344FA01"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06FFC18F" w14:textId="77777777" w:rsidTr="00F4319C">
        <w:trPr>
          <w:trHeight w:val="71"/>
        </w:trPr>
        <w:tc>
          <w:tcPr>
            <w:tcW w:w="2806" w:type="dxa"/>
            <w:tcBorders>
              <w:top w:val="nil"/>
              <w:left w:val="nil"/>
              <w:bottom w:val="nil"/>
              <w:right w:val="nil"/>
            </w:tcBorders>
            <w:shd w:val="clear" w:color="auto" w:fill="auto"/>
            <w:noWrap/>
          </w:tcPr>
          <w:p w14:paraId="7CADF2EB"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384D1B35" w14:textId="44B5D10D"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(2.078)</w:t>
            </w:r>
          </w:p>
        </w:tc>
        <w:tc>
          <w:tcPr>
            <w:tcW w:w="1498" w:type="dxa"/>
            <w:tcBorders>
              <w:top w:val="nil"/>
              <w:left w:val="nil"/>
              <w:bottom w:val="nil"/>
              <w:right w:val="nil"/>
            </w:tcBorders>
          </w:tcPr>
          <w:p w14:paraId="01198139" w14:textId="3F993252"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(2.954)</w:t>
            </w:r>
          </w:p>
        </w:tc>
        <w:tc>
          <w:tcPr>
            <w:tcW w:w="1396" w:type="dxa"/>
            <w:tcBorders>
              <w:top w:val="nil"/>
              <w:left w:val="nil"/>
              <w:bottom w:val="nil"/>
              <w:right w:val="single" w:sz="12" w:space="0" w:color="auto"/>
            </w:tcBorders>
            <w:shd w:val="clear" w:color="auto" w:fill="auto"/>
            <w:noWrap/>
          </w:tcPr>
          <w:p w14:paraId="4A7F0754" w14:textId="04775901"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(0.285)</w:t>
            </w:r>
          </w:p>
        </w:tc>
        <w:tc>
          <w:tcPr>
            <w:tcW w:w="1434" w:type="dxa"/>
            <w:tcBorders>
              <w:top w:val="nil"/>
              <w:left w:val="single" w:sz="12" w:space="0" w:color="auto"/>
              <w:bottom w:val="nil"/>
            </w:tcBorders>
          </w:tcPr>
          <w:p w14:paraId="0648EE06" w14:textId="77777777"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p>
        </w:tc>
        <w:tc>
          <w:tcPr>
            <w:tcW w:w="1390" w:type="dxa"/>
            <w:tcBorders>
              <w:top w:val="nil"/>
              <w:left w:val="nil"/>
              <w:bottom w:val="nil"/>
              <w:right w:val="nil"/>
            </w:tcBorders>
          </w:tcPr>
          <w:p w14:paraId="36E00637" w14:textId="7777777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p>
        </w:tc>
        <w:tc>
          <w:tcPr>
            <w:tcW w:w="1426" w:type="dxa"/>
            <w:gridSpan w:val="2"/>
            <w:tcBorders>
              <w:top w:val="nil"/>
              <w:left w:val="nil"/>
              <w:bottom w:val="nil"/>
              <w:right w:val="nil"/>
            </w:tcBorders>
          </w:tcPr>
          <w:p w14:paraId="4B5B41FF" w14:textId="7777777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p>
        </w:tc>
      </w:tr>
      <w:tr w:rsidR="00EE533D" w:rsidRPr="00EE533D" w14:paraId="2952D845" w14:textId="77777777" w:rsidTr="00F4319C">
        <w:trPr>
          <w:trHeight w:val="71"/>
        </w:trPr>
        <w:tc>
          <w:tcPr>
            <w:tcW w:w="2806" w:type="dxa"/>
            <w:tcBorders>
              <w:top w:val="nil"/>
              <w:left w:val="nil"/>
              <w:bottom w:val="nil"/>
              <w:right w:val="nil"/>
            </w:tcBorders>
            <w:shd w:val="clear" w:color="auto" w:fill="auto"/>
            <w:noWrap/>
          </w:tcPr>
          <w:p w14:paraId="1CB15056"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5963AE5C" w14:textId="5980E1EB"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0.543</w:t>
            </w:r>
          </w:p>
        </w:tc>
        <w:tc>
          <w:tcPr>
            <w:tcW w:w="1498" w:type="dxa"/>
            <w:tcBorders>
              <w:top w:val="nil"/>
              <w:left w:val="nil"/>
              <w:bottom w:val="nil"/>
              <w:right w:val="nil"/>
            </w:tcBorders>
          </w:tcPr>
          <w:p w14:paraId="6024E553" w14:textId="6B642802"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396" w:type="dxa"/>
            <w:tcBorders>
              <w:top w:val="nil"/>
              <w:left w:val="nil"/>
              <w:bottom w:val="nil"/>
              <w:right w:val="single" w:sz="12" w:space="0" w:color="auto"/>
            </w:tcBorders>
            <w:shd w:val="clear" w:color="auto" w:fill="auto"/>
            <w:noWrap/>
          </w:tcPr>
          <w:p w14:paraId="027E7C32" w14:textId="0178D73B"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-0.011</w:t>
            </w:r>
          </w:p>
        </w:tc>
        <w:tc>
          <w:tcPr>
            <w:tcW w:w="1434" w:type="dxa"/>
            <w:tcBorders>
              <w:top w:val="nil"/>
              <w:left w:val="single" w:sz="12" w:space="0" w:color="auto"/>
              <w:bottom w:val="nil"/>
            </w:tcBorders>
          </w:tcPr>
          <w:p w14:paraId="496F31E0" w14:textId="77777777" w:rsidR="007D3955" w:rsidRPr="00EE533D" w:rsidRDefault="007D3955" w:rsidP="007D3955">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nil"/>
              <w:bottom w:val="nil"/>
              <w:right w:val="nil"/>
            </w:tcBorders>
          </w:tcPr>
          <w:p w14:paraId="49D9428E" w14:textId="77777777" w:rsidR="007D3955" w:rsidRPr="00EE533D" w:rsidRDefault="007D3955" w:rsidP="007D3955">
            <w:pPr>
              <w:tabs>
                <w:tab w:val="decimal" w:pos="482"/>
              </w:tabs>
              <w:spacing w:after="0" w:line="240" w:lineRule="auto"/>
              <w:rPr>
                <w:rFonts w:ascii="Times New Roman" w:hAnsi="Times New Roman" w:cs="Times New Roman"/>
                <w:sz w:val="14"/>
                <w:szCs w:val="14"/>
                <w:lang w:val="en-GB"/>
              </w:rPr>
            </w:pPr>
          </w:p>
        </w:tc>
        <w:tc>
          <w:tcPr>
            <w:tcW w:w="1426" w:type="dxa"/>
            <w:gridSpan w:val="2"/>
            <w:tcBorders>
              <w:top w:val="nil"/>
              <w:left w:val="nil"/>
              <w:bottom w:val="nil"/>
              <w:right w:val="nil"/>
            </w:tcBorders>
          </w:tcPr>
          <w:p w14:paraId="2EDB2CCF" w14:textId="77777777" w:rsidR="007D3955" w:rsidRPr="00EE533D" w:rsidRDefault="007D3955" w:rsidP="007D3955">
            <w:pPr>
              <w:tabs>
                <w:tab w:val="decimal" w:pos="520"/>
              </w:tabs>
              <w:spacing w:after="0" w:line="240" w:lineRule="auto"/>
              <w:rPr>
                <w:rFonts w:ascii="Times New Roman" w:hAnsi="Times New Roman" w:cs="Times New Roman"/>
                <w:sz w:val="14"/>
                <w:szCs w:val="14"/>
                <w:lang w:val="en-GB"/>
              </w:rPr>
            </w:pPr>
          </w:p>
        </w:tc>
      </w:tr>
      <w:tr w:rsidR="00EE533D" w:rsidRPr="00EE533D" w14:paraId="2B03BF32" w14:textId="77777777" w:rsidTr="00F4319C">
        <w:trPr>
          <w:trHeight w:val="71"/>
        </w:trPr>
        <w:tc>
          <w:tcPr>
            <w:tcW w:w="2806" w:type="dxa"/>
            <w:tcBorders>
              <w:top w:val="nil"/>
              <w:left w:val="nil"/>
              <w:bottom w:val="nil"/>
              <w:right w:val="nil"/>
            </w:tcBorders>
            <w:shd w:val="clear" w:color="auto" w:fill="auto"/>
            <w:noWrap/>
          </w:tcPr>
          <w:p w14:paraId="6A3F8516"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1E19BC6" w14:textId="6DC9D9EB"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(0.521)</w:t>
            </w:r>
          </w:p>
        </w:tc>
        <w:tc>
          <w:tcPr>
            <w:tcW w:w="1498" w:type="dxa"/>
            <w:tcBorders>
              <w:top w:val="nil"/>
              <w:left w:val="nil"/>
              <w:bottom w:val="nil"/>
              <w:right w:val="nil"/>
            </w:tcBorders>
          </w:tcPr>
          <w:p w14:paraId="6721BB4B" w14:textId="3EC2BBD4"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(0.199)</w:t>
            </w:r>
          </w:p>
        </w:tc>
        <w:tc>
          <w:tcPr>
            <w:tcW w:w="1396" w:type="dxa"/>
            <w:tcBorders>
              <w:top w:val="nil"/>
              <w:left w:val="nil"/>
              <w:bottom w:val="nil"/>
              <w:right w:val="single" w:sz="12" w:space="0" w:color="auto"/>
            </w:tcBorders>
            <w:shd w:val="clear" w:color="auto" w:fill="auto"/>
            <w:noWrap/>
          </w:tcPr>
          <w:p w14:paraId="141B0736" w14:textId="27C57383"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434" w:type="dxa"/>
            <w:tcBorders>
              <w:top w:val="nil"/>
              <w:left w:val="single" w:sz="12" w:space="0" w:color="auto"/>
              <w:bottom w:val="nil"/>
            </w:tcBorders>
          </w:tcPr>
          <w:p w14:paraId="6BF069B9" w14:textId="77777777" w:rsidR="007D3955" w:rsidRPr="00EE533D" w:rsidRDefault="007D3955" w:rsidP="007D3955">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nil"/>
              <w:bottom w:val="nil"/>
              <w:right w:val="nil"/>
            </w:tcBorders>
          </w:tcPr>
          <w:p w14:paraId="0114C683" w14:textId="77777777" w:rsidR="007D3955" w:rsidRPr="00EE533D" w:rsidRDefault="007D3955" w:rsidP="007D3955">
            <w:pPr>
              <w:tabs>
                <w:tab w:val="decimal" w:pos="482"/>
              </w:tabs>
              <w:spacing w:after="0" w:line="240" w:lineRule="auto"/>
              <w:rPr>
                <w:rFonts w:ascii="Times New Roman" w:hAnsi="Times New Roman" w:cs="Times New Roman"/>
                <w:sz w:val="14"/>
                <w:szCs w:val="14"/>
                <w:lang w:val="en-GB"/>
              </w:rPr>
            </w:pPr>
          </w:p>
        </w:tc>
        <w:tc>
          <w:tcPr>
            <w:tcW w:w="1426" w:type="dxa"/>
            <w:gridSpan w:val="2"/>
            <w:tcBorders>
              <w:top w:val="nil"/>
              <w:left w:val="nil"/>
              <w:bottom w:val="nil"/>
              <w:right w:val="nil"/>
            </w:tcBorders>
          </w:tcPr>
          <w:p w14:paraId="15103D13" w14:textId="77777777" w:rsidR="007D3955" w:rsidRPr="00EE533D" w:rsidRDefault="007D3955" w:rsidP="007D3955">
            <w:pPr>
              <w:tabs>
                <w:tab w:val="decimal" w:pos="520"/>
              </w:tabs>
              <w:spacing w:after="0" w:line="240" w:lineRule="auto"/>
              <w:rPr>
                <w:rFonts w:ascii="Times New Roman" w:hAnsi="Times New Roman" w:cs="Times New Roman"/>
                <w:sz w:val="14"/>
                <w:szCs w:val="14"/>
                <w:lang w:val="en-GB"/>
              </w:rPr>
            </w:pPr>
          </w:p>
        </w:tc>
      </w:tr>
      <w:tr w:rsidR="00EE533D" w:rsidRPr="00EE533D" w14:paraId="7E93E39D" w14:textId="77777777" w:rsidTr="00F4319C">
        <w:trPr>
          <w:trHeight w:val="71"/>
        </w:trPr>
        <w:tc>
          <w:tcPr>
            <w:tcW w:w="2806" w:type="dxa"/>
            <w:tcBorders>
              <w:top w:val="nil"/>
              <w:left w:val="nil"/>
              <w:bottom w:val="nil"/>
              <w:right w:val="nil"/>
            </w:tcBorders>
            <w:shd w:val="clear" w:color="auto" w:fill="auto"/>
            <w:noWrap/>
          </w:tcPr>
          <w:p w14:paraId="49CAB678"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Debt/Assets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0C6FEDD"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6D2C173C"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4F84466B"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208E525C" w14:textId="1137B462"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-0.124</w:t>
            </w:r>
          </w:p>
        </w:tc>
        <w:tc>
          <w:tcPr>
            <w:tcW w:w="1390" w:type="dxa"/>
            <w:tcBorders>
              <w:top w:val="nil"/>
              <w:left w:val="nil"/>
              <w:bottom w:val="nil"/>
              <w:right w:val="nil"/>
            </w:tcBorders>
          </w:tcPr>
          <w:p w14:paraId="0EFA64F2" w14:textId="763B1197"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26" w:type="dxa"/>
            <w:gridSpan w:val="2"/>
            <w:tcBorders>
              <w:top w:val="nil"/>
              <w:left w:val="nil"/>
              <w:bottom w:val="nil"/>
              <w:right w:val="nil"/>
            </w:tcBorders>
          </w:tcPr>
          <w:p w14:paraId="36FF635E" w14:textId="5C58CF49"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-0.006</w:t>
            </w:r>
          </w:p>
        </w:tc>
      </w:tr>
      <w:tr w:rsidR="00EE533D" w:rsidRPr="00EE533D" w14:paraId="77A9DCC9" w14:textId="77777777" w:rsidTr="00F4319C">
        <w:trPr>
          <w:trHeight w:val="71"/>
        </w:trPr>
        <w:tc>
          <w:tcPr>
            <w:tcW w:w="2806" w:type="dxa"/>
            <w:tcBorders>
              <w:top w:val="nil"/>
              <w:left w:val="nil"/>
              <w:bottom w:val="nil"/>
              <w:right w:val="nil"/>
            </w:tcBorders>
            <w:shd w:val="clear" w:color="auto" w:fill="auto"/>
            <w:noWrap/>
          </w:tcPr>
          <w:p w14:paraId="0A8FEF68"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4EE01583"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5A62D4B"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53243C89"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303326A4" w14:textId="00FD44EE"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(0.153)</w:t>
            </w:r>
          </w:p>
        </w:tc>
        <w:tc>
          <w:tcPr>
            <w:tcW w:w="1390" w:type="dxa"/>
            <w:tcBorders>
              <w:top w:val="nil"/>
              <w:left w:val="nil"/>
              <w:bottom w:val="nil"/>
              <w:right w:val="nil"/>
            </w:tcBorders>
          </w:tcPr>
          <w:p w14:paraId="355E375F" w14:textId="28318F44"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(0.160)</w:t>
            </w:r>
          </w:p>
        </w:tc>
        <w:tc>
          <w:tcPr>
            <w:tcW w:w="1426" w:type="dxa"/>
            <w:gridSpan w:val="2"/>
            <w:tcBorders>
              <w:top w:val="nil"/>
              <w:left w:val="nil"/>
              <w:bottom w:val="nil"/>
              <w:right w:val="nil"/>
            </w:tcBorders>
          </w:tcPr>
          <w:p w14:paraId="7A7F1086" w14:textId="33604BC7"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(0.017)</w:t>
            </w:r>
          </w:p>
        </w:tc>
      </w:tr>
      <w:tr w:rsidR="00EE533D" w:rsidRPr="00EE533D" w14:paraId="7887E177" w14:textId="77777777" w:rsidTr="00F4319C">
        <w:trPr>
          <w:trHeight w:val="71"/>
        </w:trPr>
        <w:tc>
          <w:tcPr>
            <w:tcW w:w="2806" w:type="dxa"/>
            <w:tcBorders>
              <w:top w:val="nil"/>
              <w:left w:val="nil"/>
              <w:bottom w:val="nil"/>
              <w:right w:val="nil"/>
            </w:tcBorders>
            <w:shd w:val="clear" w:color="auto" w:fill="auto"/>
            <w:noWrap/>
          </w:tcPr>
          <w:p w14:paraId="4A8811D1"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EBITDA/Revenue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1205012"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2FACB7E1"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1016F773"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5C1FBFE8" w14:textId="31DC3B8C"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-0.089</w:t>
            </w:r>
          </w:p>
        </w:tc>
        <w:tc>
          <w:tcPr>
            <w:tcW w:w="1390" w:type="dxa"/>
            <w:tcBorders>
              <w:top w:val="nil"/>
              <w:left w:val="nil"/>
              <w:bottom w:val="nil"/>
              <w:right w:val="nil"/>
            </w:tcBorders>
          </w:tcPr>
          <w:p w14:paraId="49120BE9" w14:textId="3BFD4750"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26" w:type="dxa"/>
            <w:gridSpan w:val="2"/>
            <w:tcBorders>
              <w:top w:val="nil"/>
              <w:left w:val="nil"/>
              <w:bottom w:val="nil"/>
              <w:right w:val="nil"/>
            </w:tcBorders>
          </w:tcPr>
          <w:p w14:paraId="545FC14F" w14:textId="2FF0F2BE"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-0.008</w:t>
            </w:r>
          </w:p>
        </w:tc>
      </w:tr>
      <w:tr w:rsidR="00EE533D" w:rsidRPr="00EE533D" w14:paraId="4C603E96" w14:textId="77777777" w:rsidTr="00F4319C">
        <w:trPr>
          <w:trHeight w:val="71"/>
        </w:trPr>
        <w:tc>
          <w:tcPr>
            <w:tcW w:w="2806" w:type="dxa"/>
            <w:tcBorders>
              <w:top w:val="nil"/>
              <w:left w:val="nil"/>
              <w:bottom w:val="nil"/>
              <w:right w:val="nil"/>
            </w:tcBorders>
            <w:shd w:val="clear" w:color="auto" w:fill="auto"/>
            <w:noWrap/>
          </w:tcPr>
          <w:p w14:paraId="0FE19668"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5C53D724"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1771653C"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74456A83"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26141AE1" w14:textId="2E5D512B"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(0.356)</w:t>
            </w:r>
          </w:p>
        </w:tc>
        <w:tc>
          <w:tcPr>
            <w:tcW w:w="1390" w:type="dxa"/>
            <w:tcBorders>
              <w:top w:val="nil"/>
              <w:left w:val="nil"/>
              <w:bottom w:val="nil"/>
              <w:right w:val="nil"/>
            </w:tcBorders>
          </w:tcPr>
          <w:p w14:paraId="6C57E3CE" w14:textId="070FB2AB"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(0.080)</w:t>
            </w:r>
          </w:p>
        </w:tc>
        <w:tc>
          <w:tcPr>
            <w:tcW w:w="1426" w:type="dxa"/>
            <w:gridSpan w:val="2"/>
            <w:tcBorders>
              <w:top w:val="nil"/>
              <w:left w:val="nil"/>
              <w:bottom w:val="nil"/>
              <w:right w:val="nil"/>
            </w:tcBorders>
          </w:tcPr>
          <w:p w14:paraId="02CB4D47" w14:textId="1652BCF3"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(0.018)</w:t>
            </w:r>
          </w:p>
        </w:tc>
      </w:tr>
      <w:tr w:rsidR="00EE533D" w:rsidRPr="00EE533D" w14:paraId="2D3972C9" w14:textId="77777777" w:rsidTr="00F4319C">
        <w:trPr>
          <w:trHeight w:val="71"/>
        </w:trPr>
        <w:tc>
          <w:tcPr>
            <w:tcW w:w="2806" w:type="dxa"/>
            <w:tcBorders>
              <w:top w:val="nil"/>
              <w:left w:val="nil"/>
              <w:bottom w:val="nil"/>
              <w:right w:val="nil"/>
            </w:tcBorders>
            <w:shd w:val="clear" w:color="auto" w:fill="auto"/>
            <w:noWrap/>
          </w:tcPr>
          <w:p w14:paraId="234DD743"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Quick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C47FCDA"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70BC3D64"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008C0B76"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17A05129" w14:textId="2713A584"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390" w:type="dxa"/>
            <w:tcBorders>
              <w:top w:val="nil"/>
              <w:left w:val="nil"/>
              <w:bottom w:val="nil"/>
              <w:right w:val="nil"/>
            </w:tcBorders>
          </w:tcPr>
          <w:p w14:paraId="7C565A93" w14:textId="14B9AEFF"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1.831</w:t>
            </w:r>
          </w:p>
        </w:tc>
        <w:tc>
          <w:tcPr>
            <w:tcW w:w="1426" w:type="dxa"/>
            <w:gridSpan w:val="2"/>
            <w:tcBorders>
              <w:top w:val="nil"/>
              <w:left w:val="nil"/>
              <w:bottom w:val="nil"/>
              <w:right w:val="nil"/>
            </w:tcBorders>
          </w:tcPr>
          <w:p w14:paraId="17DDA617" w14:textId="37BCD385"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0.044</w:t>
            </w:r>
          </w:p>
        </w:tc>
      </w:tr>
      <w:tr w:rsidR="00EE533D" w:rsidRPr="00EE533D" w14:paraId="13E0C45D" w14:textId="77777777" w:rsidTr="00F4319C">
        <w:trPr>
          <w:trHeight w:val="71"/>
        </w:trPr>
        <w:tc>
          <w:tcPr>
            <w:tcW w:w="2806" w:type="dxa"/>
            <w:tcBorders>
              <w:top w:val="nil"/>
              <w:left w:val="nil"/>
              <w:bottom w:val="nil"/>
              <w:right w:val="nil"/>
            </w:tcBorders>
            <w:shd w:val="clear" w:color="auto" w:fill="auto"/>
            <w:noWrap/>
          </w:tcPr>
          <w:p w14:paraId="0FF545DD"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4F85F5A4"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612D83EB"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2A2ACB6E"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46CAF481" w14:textId="6A1BF591"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(4.977)</w:t>
            </w:r>
          </w:p>
        </w:tc>
        <w:tc>
          <w:tcPr>
            <w:tcW w:w="1390" w:type="dxa"/>
            <w:tcBorders>
              <w:top w:val="nil"/>
              <w:left w:val="nil"/>
              <w:bottom w:val="nil"/>
              <w:right w:val="nil"/>
            </w:tcBorders>
          </w:tcPr>
          <w:p w14:paraId="7312E5E2" w14:textId="58E12A96"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(2.154)</w:t>
            </w:r>
          </w:p>
        </w:tc>
        <w:tc>
          <w:tcPr>
            <w:tcW w:w="1426" w:type="dxa"/>
            <w:gridSpan w:val="2"/>
            <w:tcBorders>
              <w:top w:val="nil"/>
              <w:left w:val="nil"/>
              <w:bottom w:val="nil"/>
              <w:right w:val="nil"/>
            </w:tcBorders>
          </w:tcPr>
          <w:p w14:paraId="3709F3F5" w14:textId="140A2053"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(0.337)</w:t>
            </w:r>
          </w:p>
        </w:tc>
      </w:tr>
      <w:tr w:rsidR="00EE533D" w:rsidRPr="00EE533D" w14:paraId="184F5FD6" w14:textId="77777777" w:rsidTr="00F4319C">
        <w:trPr>
          <w:trHeight w:val="71"/>
        </w:trPr>
        <w:tc>
          <w:tcPr>
            <w:tcW w:w="2806" w:type="dxa"/>
            <w:tcBorders>
              <w:top w:val="nil"/>
              <w:left w:val="nil"/>
              <w:bottom w:val="nil"/>
              <w:right w:val="nil"/>
            </w:tcBorders>
            <w:shd w:val="clear" w:color="auto" w:fill="auto"/>
            <w:noWrap/>
          </w:tcPr>
          <w:p w14:paraId="30D9ECC4"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Ln(Capitalization)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35CF1E5"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FB8BE1A"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D61B21A"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67FA744C" w14:textId="457BB89B"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1.096</w:t>
            </w:r>
          </w:p>
        </w:tc>
        <w:tc>
          <w:tcPr>
            <w:tcW w:w="1390" w:type="dxa"/>
            <w:tcBorders>
              <w:top w:val="nil"/>
              <w:left w:val="nil"/>
              <w:bottom w:val="nil"/>
              <w:right w:val="nil"/>
            </w:tcBorders>
          </w:tcPr>
          <w:p w14:paraId="0E4C742F" w14:textId="007FEFB4"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-0.218</w:t>
            </w:r>
          </w:p>
        </w:tc>
        <w:tc>
          <w:tcPr>
            <w:tcW w:w="1426" w:type="dxa"/>
            <w:gridSpan w:val="2"/>
            <w:tcBorders>
              <w:top w:val="nil"/>
              <w:left w:val="nil"/>
              <w:bottom w:val="nil"/>
              <w:right w:val="nil"/>
            </w:tcBorders>
          </w:tcPr>
          <w:p w14:paraId="2611EA1F" w14:textId="0458C116"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-0.242</w:t>
            </w:r>
          </w:p>
        </w:tc>
      </w:tr>
      <w:tr w:rsidR="00EE533D" w:rsidRPr="00EE533D" w14:paraId="13E4578B" w14:textId="77777777" w:rsidTr="00F4319C">
        <w:trPr>
          <w:trHeight w:val="71"/>
        </w:trPr>
        <w:tc>
          <w:tcPr>
            <w:tcW w:w="2806" w:type="dxa"/>
            <w:tcBorders>
              <w:top w:val="nil"/>
              <w:left w:val="nil"/>
              <w:bottom w:val="nil"/>
              <w:right w:val="nil"/>
            </w:tcBorders>
            <w:shd w:val="clear" w:color="auto" w:fill="auto"/>
            <w:noWrap/>
          </w:tcPr>
          <w:p w14:paraId="381C4D8A"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30D774D6"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54A9F714"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1778A318"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0A15879E" w14:textId="3D6B2AFC"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(2.067)</w:t>
            </w:r>
          </w:p>
        </w:tc>
        <w:tc>
          <w:tcPr>
            <w:tcW w:w="1390" w:type="dxa"/>
            <w:tcBorders>
              <w:top w:val="nil"/>
              <w:left w:val="nil"/>
              <w:bottom w:val="nil"/>
              <w:right w:val="nil"/>
            </w:tcBorders>
          </w:tcPr>
          <w:p w14:paraId="77007F34" w14:textId="2B409E2B"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(2.320)</w:t>
            </w:r>
          </w:p>
        </w:tc>
        <w:tc>
          <w:tcPr>
            <w:tcW w:w="1426" w:type="dxa"/>
            <w:gridSpan w:val="2"/>
            <w:tcBorders>
              <w:top w:val="nil"/>
              <w:left w:val="nil"/>
              <w:bottom w:val="nil"/>
              <w:right w:val="nil"/>
            </w:tcBorders>
          </w:tcPr>
          <w:p w14:paraId="691CE0AE" w14:textId="5618A1EA"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(0.329)</w:t>
            </w:r>
          </w:p>
        </w:tc>
      </w:tr>
      <w:tr w:rsidR="00EE533D" w:rsidRPr="00EE533D" w14:paraId="290A2692" w14:textId="77777777" w:rsidTr="00F4319C">
        <w:trPr>
          <w:trHeight w:val="71"/>
        </w:trPr>
        <w:tc>
          <w:tcPr>
            <w:tcW w:w="2806" w:type="dxa"/>
            <w:tcBorders>
              <w:top w:val="nil"/>
              <w:left w:val="nil"/>
              <w:bottom w:val="nil"/>
              <w:right w:val="nil"/>
            </w:tcBorders>
            <w:shd w:val="clear" w:color="auto" w:fill="auto"/>
            <w:noWrap/>
          </w:tcPr>
          <w:p w14:paraId="39FF2B4A"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Tobin’s Q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0D2C8DC7"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0147C13F"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8CD38F9"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340F6CF2" w14:textId="025C00CA"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1.687</w:t>
            </w:r>
          </w:p>
        </w:tc>
        <w:tc>
          <w:tcPr>
            <w:tcW w:w="1390" w:type="dxa"/>
            <w:tcBorders>
              <w:top w:val="nil"/>
              <w:left w:val="nil"/>
              <w:bottom w:val="nil"/>
              <w:right w:val="nil"/>
            </w:tcBorders>
          </w:tcPr>
          <w:p w14:paraId="4ED33F9A" w14:textId="1FBF0E25"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-1.426</w:t>
            </w:r>
          </w:p>
        </w:tc>
        <w:tc>
          <w:tcPr>
            <w:tcW w:w="1426" w:type="dxa"/>
            <w:gridSpan w:val="2"/>
            <w:tcBorders>
              <w:top w:val="nil"/>
              <w:left w:val="nil"/>
              <w:bottom w:val="nil"/>
              <w:right w:val="nil"/>
            </w:tcBorders>
          </w:tcPr>
          <w:p w14:paraId="193BDFEC" w14:textId="12680C87"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-0.046</w:t>
            </w:r>
          </w:p>
        </w:tc>
      </w:tr>
      <w:tr w:rsidR="00EE533D" w:rsidRPr="00EE533D" w14:paraId="2022B699" w14:textId="77777777" w:rsidTr="00F4319C">
        <w:trPr>
          <w:trHeight w:val="71"/>
        </w:trPr>
        <w:tc>
          <w:tcPr>
            <w:tcW w:w="2806" w:type="dxa"/>
            <w:tcBorders>
              <w:top w:val="nil"/>
              <w:left w:val="nil"/>
              <w:bottom w:val="nil"/>
              <w:right w:val="nil"/>
            </w:tcBorders>
            <w:shd w:val="clear" w:color="auto" w:fill="auto"/>
            <w:noWrap/>
          </w:tcPr>
          <w:p w14:paraId="05766D9C"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B57A07C" w14:textId="77777777" w:rsidR="007D3955" w:rsidRPr="00EE533D" w:rsidRDefault="007D3955" w:rsidP="007D3955">
            <w:pPr>
              <w:tabs>
                <w:tab w:val="decimal" w:pos="510"/>
              </w:tabs>
              <w:spacing w:after="0" w:line="240" w:lineRule="auto"/>
              <w:rPr>
                <w:rFonts w:ascii="Times New Roman" w:hAnsi="Times New Roman" w:cs="Times New Roman"/>
                <w:sz w:val="14"/>
                <w:szCs w:val="14"/>
                <w:lang w:val="en-GB"/>
              </w:rPr>
            </w:pPr>
          </w:p>
        </w:tc>
        <w:tc>
          <w:tcPr>
            <w:tcW w:w="1498" w:type="dxa"/>
            <w:tcBorders>
              <w:top w:val="nil"/>
              <w:left w:val="nil"/>
              <w:bottom w:val="nil"/>
              <w:right w:val="nil"/>
            </w:tcBorders>
          </w:tcPr>
          <w:p w14:paraId="5BB49255" w14:textId="77777777" w:rsidR="007D3955" w:rsidRPr="00EE533D" w:rsidRDefault="007D3955" w:rsidP="007D3955">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nil"/>
              <w:bottom w:val="nil"/>
              <w:right w:val="single" w:sz="12" w:space="0" w:color="auto"/>
            </w:tcBorders>
            <w:shd w:val="clear" w:color="auto" w:fill="auto"/>
            <w:noWrap/>
          </w:tcPr>
          <w:p w14:paraId="395EA630" w14:textId="77777777" w:rsidR="007D3955" w:rsidRPr="00EE533D" w:rsidRDefault="007D3955" w:rsidP="007D3955">
            <w:pPr>
              <w:tabs>
                <w:tab w:val="decimal" w:pos="490"/>
              </w:tabs>
              <w:spacing w:after="0" w:line="240" w:lineRule="auto"/>
              <w:rPr>
                <w:rFonts w:ascii="Times New Roman" w:hAnsi="Times New Roman" w:cs="Times New Roman"/>
                <w:sz w:val="14"/>
                <w:szCs w:val="14"/>
                <w:lang w:val="en-GB"/>
              </w:rPr>
            </w:pPr>
          </w:p>
        </w:tc>
        <w:tc>
          <w:tcPr>
            <w:tcW w:w="1434" w:type="dxa"/>
            <w:tcBorders>
              <w:top w:val="nil"/>
              <w:left w:val="single" w:sz="12" w:space="0" w:color="auto"/>
              <w:bottom w:val="nil"/>
            </w:tcBorders>
          </w:tcPr>
          <w:p w14:paraId="7F1A5B12" w14:textId="15347CBF"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(2.825)</w:t>
            </w:r>
          </w:p>
        </w:tc>
        <w:tc>
          <w:tcPr>
            <w:tcW w:w="1390" w:type="dxa"/>
            <w:tcBorders>
              <w:top w:val="nil"/>
              <w:left w:val="nil"/>
              <w:bottom w:val="nil"/>
              <w:right w:val="nil"/>
            </w:tcBorders>
          </w:tcPr>
          <w:p w14:paraId="3124C75D" w14:textId="0568D299"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(3.034)</w:t>
            </w:r>
          </w:p>
        </w:tc>
        <w:tc>
          <w:tcPr>
            <w:tcW w:w="1426" w:type="dxa"/>
            <w:gridSpan w:val="2"/>
            <w:tcBorders>
              <w:top w:val="nil"/>
              <w:left w:val="nil"/>
              <w:bottom w:val="nil"/>
              <w:right w:val="nil"/>
            </w:tcBorders>
          </w:tcPr>
          <w:p w14:paraId="6B00FE25" w14:textId="125CE331"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(0.347)</w:t>
            </w:r>
          </w:p>
        </w:tc>
      </w:tr>
      <w:tr w:rsidR="00EE533D" w:rsidRPr="00EE533D" w14:paraId="2E1CA7D7" w14:textId="77777777" w:rsidTr="00F4319C">
        <w:trPr>
          <w:trHeight w:val="71"/>
        </w:trPr>
        <w:tc>
          <w:tcPr>
            <w:tcW w:w="2806" w:type="dxa"/>
            <w:tcBorders>
              <w:top w:val="nil"/>
              <w:left w:val="nil"/>
              <w:bottom w:val="nil"/>
              <w:right w:val="nil"/>
            </w:tcBorders>
            <w:shd w:val="clear" w:color="auto" w:fill="auto"/>
            <w:noWrap/>
          </w:tcPr>
          <w:p w14:paraId="6EC3C772"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7C765A2" w14:textId="47F0DF2B"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-0.684</w:t>
            </w:r>
          </w:p>
        </w:tc>
        <w:tc>
          <w:tcPr>
            <w:tcW w:w="1498" w:type="dxa"/>
            <w:tcBorders>
              <w:top w:val="nil"/>
              <w:left w:val="nil"/>
              <w:bottom w:val="nil"/>
              <w:right w:val="nil"/>
            </w:tcBorders>
          </w:tcPr>
          <w:p w14:paraId="6792F68E" w14:textId="029FB88A"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1.469</w:t>
            </w:r>
          </w:p>
        </w:tc>
        <w:tc>
          <w:tcPr>
            <w:tcW w:w="1396" w:type="dxa"/>
            <w:tcBorders>
              <w:top w:val="nil"/>
              <w:left w:val="nil"/>
              <w:bottom w:val="nil"/>
              <w:right w:val="single" w:sz="12" w:space="0" w:color="auto"/>
            </w:tcBorders>
            <w:shd w:val="clear" w:color="auto" w:fill="auto"/>
            <w:noWrap/>
          </w:tcPr>
          <w:p w14:paraId="0C098559" w14:textId="2D5162B1"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-0.063</w:t>
            </w:r>
          </w:p>
        </w:tc>
        <w:tc>
          <w:tcPr>
            <w:tcW w:w="1434" w:type="dxa"/>
            <w:tcBorders>
              <w:top w:val="nil"/>
              <w:left w:val="single" w:sz="12" w:space="0" w:color="auto"/>
              <w:bottom w:val="nil"/>
            </w:tcBorders>
          </w:tcPr>
          <w:p w14:paraId="644D600D" w14:textId="1744FB3F"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-0.345</w:t>
            </w:r>
          </w:p>
        </w:tc>
        <w:tc>
          <w:tcPr>
            <w:tcW w:w="1390" w:type="dxa"/>
            <w:tcBorders>
              <w:top w:val="nil"/>
              <w:left w:val="nil"/>
              <w:bottom w:val="nil"/>
              <w:right w:val="nil"/>
            </w:tcBorders>
          </w:tcPr>
          <w:p w14:paraId="076ABFD2" w14:textId="34F8714F"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0.632</w:t>
            </w:r>
          </w:p>
        </w:tc>
        <w:tc>
          <w:tcPr>
            <w:tcW w:w="1426" w:type="dxa"/>
            <w:gridSpan w:val="2"/>
            <w:tcBorders>
              <w:top w:val="nil"/>
              <w:left w:val="nil"/>
              <w:bottom w:val="nil"/>
              <w:right w:val="nil"/>
            </w:tcBorders>
          </w:tcPr>
          <w:p w14:paraId="254DA0C0" w14:textId="6D5598B6"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0.322</w:t>
            </w:r>
          </w:p>
        </w:tc>
      </w:tr>
      <w:tr w:rsidR="00EE533D" w:rsidRPr="00EE533D" w14:paraId="693D1C8D" w14:textId="77777777" w:rsidTr="00F4319C">
        <w:trPr>
          <w:trHeight w:val="71"/>
        </w:trPr>
        <w:tc>
          <w:tcPr>
            <w:tcW w:w="2806" w:type="dxa"/>
            <w:tcBorders>
              <w:top w:val="nil"/>
              <w:left w:val="nil"/>
              <w:bottom w:val="nil"/>
              <w:right w:val="nil"/>
            </w:tcBorders>
            <w:shd w:val="clear" w:color="auto" w:fill="auto"/>
            <w:noWrap/>
          </w:tcPr>
          <w:p w14:paraId="1C5F9E87"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1B515618" w14:textId="5FF33681"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(3.403)</w:t>
            </w:r>
          </w:p>
        </w:tc>
        <w:tc>
          <w:tcPr>
            <w:tcW w:w="1498" w:type="dxa"/>
            <w:tcBorders>
              <w:top w:val="nil"/>
              <w:left w:val="nil"/>
              <w:bottom w:val="nil"/>
              <w:right w:val="nil"/>
            </w:tcBorders>
          </w:tcPr>
          <w:p w14:paraId="1A60A146" w14:textId="6D26740D"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(2.202)</w:t>
            </w:r>
          </w:p>
        </w:tc>
        <w:tc>
          <w:tcPr>
            <w:tcW w:w="1396" w:type="dxa"/>
            <w:tcBorders>
              <w:top w:val="nil"/>
              <w:left w:val="nil"/>
              <w:bottom w:val="nil"/>
              <w:right w:val="single" w:sz="12" w:space="0" w:color="auto"/>
            </w:tcBorders>
            <w:shd w:val="clear" w:color="auto" w:fill="auto"/>
            <w:noWrap/>
          </w:tcPr>
          <w:p w14:paraId="0817CA02" w14:textId="45C1E8EC"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(0.359)</w:t>
            </w:r>
          </w:p>
        </w:tc>
        <w:tc>
          <w:tcPr>
            <w:tcW w:w="1434" w:type="dxa"/>
            <w:tcBorders>
              <w:top w:val="nil"/>
              <w:left w:val="single" w:sz="12" w:space="0" w:color="auto"/>
              <w:bottom w:val="nil"/>
            </w:tcBorders>
          </w:tcPr>
          <w:p w14:paraId="13AD5E75" w14:textId="2A26F2C4"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(3.395)</w:t>
            </w:r>
          </w:p>
        </w:tc>
        <w:tc>
          <w:tcPr>
            <w:tcW w:w="1390" w:type="dxa"/>
            <w:tcBorders>
              <w:top w:val="nil"/>
              <w:left w:val="nil"/>
              <w:bottom w:val="nil"/>
              <w:right w:val="nil"/>
            </w:tcBorders>
          </w:tcPr>
          <w:p w14:paraId="7D0D7D06" w14:textId="20CF201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(2.349)</w:t>
            </w:r>
          </w:p>
        </w:tc>
        <w:tc>
          <w:tcPr>
            <w:tcW w:w="1426" w:type="dxa"/>
            <w:gridSpan w:val="2"/>
            <w:tcBorders>
              <w:top w:val="nil"/>
              <w:left w:val="nil"/>
              <w:bottom w:val="nil"/>
              <w:right w:val="nil"/>
            </w:tcBorders>
          </w:tcPr>
          <w:p w14:paraId="09825D2C" w14:textId="4BEBD55C"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(0.466)</w:t>
            </w:r>
          </w:p>
        </w:tc>
      </w:tr>
      <w:tr w:rsidR="00EE533D" w:rsidRPr="00EE533D" w14:paraId="54EF24CD" w14:textId="77777777" w:rsidTr="00F4319C">
        <w:trPr>
          <w:trHeight w:val="71"/>
        </w:trPr>
        <w:tc>
          <w:tcPr>
            <w:tcW w:w="2806" w:type="dxa"/>
            <w:tcBorders>
              <w:top w:val="nil"/>
              <w:left w:val="nil"/>
              <w:bottom w:val="nil"/>
              <w:right w:val="nil"/>
            </w:tcBorders>
            <w:shd w:val="clear" w:color="auto" w:fill="auto"/>
            <w:noWrap/>
          </w:tcPr>
          <w:p w14:paraId="687D3692"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26A367B7" w14:textId="09A6A3E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0.438</w:t>
            </w:r>
          </w:p>
        </w:tc>
        <w:tc>
          <w:tcPr>
            <w:tcW w:w="1498" w:type="dxa"/>
            <w:tcBorders>
              <w:top w:val="nil"/>
              <w:left w:val="nil"/>
              <w:bottom w:val="nil"/>
              <w:right w:val="nil"/>
            </w:tcBorders>
          </w:tcPr>
          <w:p w14:paraId="65CEA7CD" w14:textId="63CB69AE"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-0.351</w:t>
            </w:r>
          </w:p>
        </w:tc>
        <w:tc>
          <w:tcPr>
            <w:tcW w:w="1396" w:type="dxa"/>
            <w:tcBorders>
              <w:top w:val="nil"/>
              <w:left w:val="nil"/>
              <w:bottom w:val="nil"/>
              <w:right w:val="single" w:sz="12" w:space="0" w:color="auto"/>
            </w:tcBorders>
            <w:shd w:val="clear" w:color="auto" w:fill="auto"/>
            <w:noWrap/>
          </w:tcPr>
          <w:p w14:paraId="440858E3" w14:textId="2207DB71"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434" w:type="dxa"/>
            <w:tcBorders>
              <w:top w:val="nil"/>
              <w:left w:val="single" w:sz="12" w:space="0" w:color="auto"/>
              <w:bottom w:val="nil"/>
            </w:tcBorders>
          </w:tcPr>
          <w:p w14:paraId="0F46C825" w14:textId="489C2DBE"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0.411</w:t>
            </w:r>
          </w:p>
        </w:tc>
        <w:tc>
          <w:tcPr>
            <w:tcW w:w="1390" w:type="dxa"/>
            <w:tcBorders>
              <w:top w:val="nil"/>
              <w:left w:val="nil"/>
              <w:bottom w:val="nil"/>
              <w:right w:val="nil"/>
            </w:tcBorders>
          </w:tcPr>
          <w:p w14:paraId="2978F874" w14:textId="00E1302E"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0.358</w:t>
            </w:r>
          </w:p>
        </w:tc>
        <w:tc>
          <w:tcPr>
            <w:tcW w:w="1426" w:type="dxa"/>
            <w:gridSpan w:val="2"/>
            <w:tcBorders>
              <w:top w:val="nil"/>
              <w:left w:val="nil"/>
              <w:bottom w:val="nil"/>
              <w:right w:val="nil"/>
            </w:tcBorders>
          </w:tcPr>
          <w:p w14:paraId="20E038C8" w14:textId="1D6DCF2E"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-0.033</w:t>
            </w:r>
          </w:p>
        </w:tc>
      </w:tr>
      <w:tr w:rsidR="00EE533D" w:rsidRPr="00EE533D" w14:paraId="5848B091" w14:textId="77777777" w:rsidTr="00F4319C">
        <w:trPr>
          <w:trHeight w:val="71"/>
        </w:trPr>
        <w:tc>
          <w:tcPr>
            <w:tcW w:w="2806" w:type="dxa"/>
            <w:tcBorders>
              <w:top w:val="nil"/>
              <w:left w:val="nil"/>
              <w:bottom w:val="nil"/>
              <w:right w:val="nil"/>
            </w:tcBorders>
            <w:shd w:val="clear" w:color="auto" w:fill="auto"/>
            <w:noWrap/>
          </w:tcPr>
          <w:p w14:paraId="7563A5A2"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AD63DE7" w14:textId="78485C8C"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(0.919)</w:t>
            </w:r>
          </w:p>
        </w:tc>
        <w:tc>
          <w:tcPr>
            <w:tcW w:w="1498" w:type="dxa"/>
            <w:tcBorders>
              <w:top w:val="nil"/>
              <w:left w:val="nil"/>
              <w:bottom w:val="nil"/>
              <w:right w:val="nil"/>
            </w:tcBorders>
          </w:tcPr>
          <w:p w14:paraId="581178BF" w14:textId="7EC52C4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(0.616)</w:t>
            </w:r>
          </w:p>
        </w:tc>
        <w:tc>
          <w:tcPr>
            <w:tcW w:w="1396" w:type="dxa"/>
            <w:tcBorders>
              <w:top w:val="nil"/>
              <w:left w:val="nil"/>
              <w:bottom w:val="nil"/>
              <w:right w:val="single" w:sz="12" w:space="0" w:color="auto"/>
            </w:tcBorders>
            <w:shd w:val="clear" w:color="auto" w:fill="auto"/>
            <w:noWrap/>
          </w:tcPr>
          <w:p w14:paraId="31520936" w14:textId="3EF98D92"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(0.048)</w:t>
            </w:r>
          </w:p>
        </w:tc>
        <w:tc>
          <w:tcPr>
            <w:tcW w:w="1434" w:type="dxa"/>
            <w:tcBorders>
              <w:top w:val="nil"/>
              <w:left w:val="single" w:sz="12" w:space="0" w:color="auto"/>
              <w:bottom w:val="nil"/>
            </w:tcBorders>
          </w:tcPr>
          <w:p w14:paraId="33381D95" w14:textId="7E6B67AF"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(0.864)</w:t>
            </w:r>
          </w:p>
        </w:tc>
        <w:tc>
          <w:tcPr>
            <w:tcW w:w="1390" w:type="dxa"/>
            <w:tcBorders>
              <w:top w:val="nil"/>
              <w:left w:val="nil"/>
              <w:bottom w:val="nil"/>
              <w:right w:val="nil"/>
            </w:tcBorders>
          </w:tcPr>
          <w:p w14:paraId="0AD3A31E" w14:textId="331C629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(0.471)</w:t>
            </w:r>
          </w:p>
        </w:tc>
        <w:tc>
          <w:tcPr>
            <w:tcW w:w="1426" w:type="dxa"/>
            <w:gridSpan w:val="2"/>
            <w:tcBorders>
              <w:top w:val="nil"/>
              <w:left w:val="nil"/>
              <w:bottom w:val="nil"/>
              <w:right w:val="nil"/>
            </w:tcBorders>
          </w:tcPr>
          <w:p w14:paraId="74255C09" w14:textId="53FF36E8"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(0.064)</w:t>
            </w:r>
          </w:p>
        </w:tc>
      </w:tr>
      <w:tr w:rsidR="00EE533D" w:rsidRPr="00EE533D" w14:paraId="2C0C21BE" w14:textId="77777777" w:rsidTr="00F4319C">
        <w:trPr>
          <w:trHeight w:val="71"/>
        </w:trPr>
        <w:tc>
          <w:tcPr>
            <w:tcW w:w="2806" w:type="dxa"/>
            <w:tcBorders>
              <w:top w:val="nil"/>
              <w:left w:val="nil"/>
              <w:bottom w:val="nil"/>
              <w:right w:val="nil"/>
            </w:tcBorders>
            <w:shd w:val="clear" w:color="auto" w:fill="auto"/>
            <w:noWrap/>
          </w:tcPr>
          <w:p w14:paraId="77AA88B5"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44B8661" w14:textId="36C62F47"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0.049</w:t>
            </w:r>
          </w:p>
        </w:tc>
        <w:tc>
          <w:tcPr>
            <w:tcW w:w="1498" w:type="dxa"/>
            <w:tcBorders>
              <w:top w:val="nil"/>
              <w:left w:val="nil"/>
              <w:bottom w:val="nil"/>
              <w:right w:val="nil"/>
            </w:tcBorders>
          </w:tcPr>
          <w:p w14:paraId="406F368B" w14:textId="50954A7D"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396" w:type="dxa"/>
            <w:tcBorders>
              <w:top w:val="nil"/>
              <w:left w:val="nil"/>
              <w:bottom w:val="nil"/>
              <w:right w:val="single" w:sz="12" w:space="0" w:color="auto"/>
            </w:tcBorders>
            <w:shd w:val="clear" w:color="auto" w:fill="auto"/>
            <w:noWrap/>
          </w:tcPr>
          <w:p w14:paraId="058C3D47" w14:textId="5B3E44A0"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left w:val="single" w:sz="12" w:space="0" w:color="auto"/>
              <w:bottom w:val="nil"/>
            </w:tcBorders>
          </w:tcPr>
          <w:p w14:paraId="70178AE8" w14:textId="46F060EB"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390" w:type="dxa"/>
            <w:tcBorders>
              <w:top w:val="nil"/>
              <w:left w:val="nil"/>
              <w:bottom w:val="nil"/>
              <w:right w:val="nil"/>
            </w:tcBorders>
          </w:tcPr>
          <w:p w14:paraId="5238D660" w14:textId="6A195A5A"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-0.066</w:t>
            </w:r>
          </w:p>
        </w:tc>
        <w:tc>
          <w:tcPr>
            <w:tcW w:w="1426" w:type="dxa"/>
            <w:gridSpan w:val="2"/>
            <w:tcBorders>
              <w:top w:val="nil"/>
              <w:left w:val="nil"/>
              <w:bottom w:val="nil"/>
              <w:right w:val="nil"/>
            </w:tcBorders>
          </w:tcPr>
          <w:p w14:paraId="6984F086" w14:textId="0C53CD75"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0.016</w:t>
            </w:r>
          </w:p>
        </w:tc>
      </w:tr>
      <w:tr w:rsidR="00EE533D" w:rsidRPr="00EE533D" w14:paraId="2A41C761" w14:textId="77777777" w:rsidTr="00F4319C">
        <w:trPr>
          <w:trHeight w:val="71"/>
        </w:trPr>
        <w:tc>
          <w:tcPr>
            <w:tcW w:w="2806" w:type="dxa"/>
            <w:tcBorders>
              <w:top w:val="nil"/>
              <w:left w:val="nil"/>
              <w:bottom w:val="nil"/>
              <w:right w:val="nil"/>
            </w:tcBorders>
            <w:shd w:val="clear" w:color="auto" w:fill="auto"/>
            <w:noWrap/>
          </w:tcPr>
          <w:p w14:paraId="6877406D"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41EF7D99" w14:textId="6FF55FC9"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(0.118)</w:t>
            </w:r>
          </w:p>
        </w:tc>
        <w:tc>
          <w:tcPr>
            <w:tcW w:w="1498" w:type="dxa"/>
            <w:tcBorders>
              <w:top w:val="nil"/>
              <w:left w:val="nil"/>
              <w:bottom w:val="nil"/>
              <w:right w:val="nil"/>
            </w:tcBorders>
          </w:tcPr>
          <w:p w14:paraId="1BB234EB" w14:textId="4E97884D"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(0.069)</w:t>
            </w:r>
          </w:p>
        </w:tc>
        <w:tc>
          <w:tcPr>
            <w:tcW w:w="1396" w:type="dxa"/>
            <w:tcBorders>
              <w:top w:val="nil"/>
              <w:left w:val="nil"/>
              <w:bottom w:val="nil"/>
              <w:right w:val="single" w:sz="12" w:space="0" w:color="auto"/>
            </w:tcBorders>
            <w:shd w:val="clear" w:color="auto" w:fill="auto"/>
            <w:noWrap/>
          </w:tcPr>
          <w:p w14:paraId="1EA4E926" w14:textId="1E131CA0"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4" w:type="dxa"/>
            <w:tcBorders>
              <w:top w:val="nil"/>
              <w:left w:val="single" w:sz="12" w:space="0" w:color="auto"/>
              <w:bottom w:val="nil"/>
            </w:tcBorders>
          </w:tcPr>
          <w:p w14:paraId="37911F1D" w14:textId="079AC60F"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(0.113)</w:t>
            </w:r>
          </w:p>
        </w:tc>
        <w:tc>
          <w:tcPr>
            <w:tcW w:w="1390" w:type="dxa"/>
            <w:tcBorders>
              <w:top w:val="nil"/>
              <w:left w:val="nil"/>
              <w:bottom w:val="nil"/>
              <w:right w:val="nil"/>
            </w:tcBorders>
          </w:tcPr>
          <w:p w14:paraId="556359E0" w14:textId="1DB69BDA"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26" w:type="dxa"/>
            <w:gridSpan w:val="2"/>
            <w:tcBorders>
              <w:top w:val="nil"/>
              <w:left w:val="nil"/>
              <w:bottom w:val="nil"/>
              <w:right w:val="nil"/>
            </w:tcBorders>
          </w:tcPr>
          <w:p w14:paraId="5F7BC502" w14:textId="009B0EB4"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(0.012)</w:t>
            </w:r>
          </w:p>
        </w:tc>
      </w:tr>
      <w:tr w:rsidR="00EE533D" w:rsidRPr="00EE533D" w14:paraId="693C0175" w14:textId="77777777" w:rsidTr="00F4319C">
        <w:trPr>
          <w:trHeight w:val="71"/>
        </w:trPr>
        <w:tc>
          <w:tcPr>
            <w:tcW w:w="2806" w:type="dxa"/>
            <w:tcBorders>
              <w:top w:val="nil"/>
              <w:left w:val="nil"/>
              <w:bottom w:val="nil"/>
              <w:right w:val="nil"/>
            </w:tcBorders>
            <w:shd w:val="clear" w:color="auto" w:fill="auto"/>
            <w:noWrap/>
          </w:tcPr>
          <w:p w14:paraId="388A8C10"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362C01A7" w14:textId="40E5FF50"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-1.248</w:t>
            </w:r>
          </w:p>
        </w:tc>
        <w:tc>
          <w:tcPr>
            <w:tcW w:w="1498" w:type="dxa"/>
            <w:tcBorders>
              <w:top w:val="nil"/>
              <w:left w:val="nil"/>
              <w:bottom w:val="nil"/>
              <w:right w:val="nil"/>
            </w:tcBorders>
          </w:tcPr>
          <w:p w14:paraId="51483437" w14:textId="23EE7A52"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-0.121</w:t>
            </w:r>
          </w:p>
        </w:tc>
        <w:tc>
          <w:tcPr>
            <w:tcW w:w="1396" w:type="dxa"/>
            <w:tcBorders>
              <w:top w:val="nil"/>
              <w:left w:val="nil"/>
              <w:bottom w:val="nil"/>
              <w:right w:val="single" w:sz="12" w:space="0" w:color="auto"/>
            </w:tcBorders>
            <w:shd w:val="clear" w:color="auto" w:fill="auto"/>
            <w:noWrap/>
          </w:tcPr>
          <w:p w14:paraId="5A0805EF" w14:textId="753C730B"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-0.081</w:t>
            </w:r>
          </w:p>
        </w:tc>
        <w:tc>
          <w:tcPr>
            <w:tcW w:w="1434" w:type="dxa"/>
            <w:tcBorders>
              <w:top w:val="nil"/>
              <w:left w:val="single" w:sz="12" w:space="0" w:color="auto"/>
              <w:bottom w:val="nil"/>
            </w:tcBorders>
          </w:tcPr>
          <w:p w14:paraId="00D88782" w14:textId="16B88BA8"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-1.637</w:t>
            </w:r>
          </w:p>
        </w:tc>
        <w:tc>
          <w:tcPr>
            <w:tcW w:w="1390" w:type="dxa"/>
            <w:tcBorders>
              <w:top w:val="nil"/>
              <w:left w:val="nil"/>
              <w:bottom w:val="nil"/>
              <w:right w:val="nil"/>
            </w:tcBorders>
          </w:tcPr>
          <w:p w14:paraId="0DD32600" w14:textId="6295652A"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1.624</w:t>
            </w:r>
          </w:p>
        </w:tc>
        <w:tc>
          <w:tcPr>
            <w:tcW w:w="1426" w:type="dxa"/>
            <w:gridSpan w:val="2"/>
            <w:tcBorders>
              <w:top w:val="nil"/>
              <w:left w:val="nil"/>
              <w:bottom w:val="nil"/>
              <w:right w:val="nil"/>
            </w:tcBorders>
          </w:tcPr>
          <w:p w14:paraId="78658213" w14:textId="56CAA9F8"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-0.161</w:t>
            </w:r>
          </w:p>
        </w:tc>
      </w:tr>
      <w:tr w:rsidR="00EE533D" w:rsidRPr="00EE533D" w14:paraId="3267017B" w14:textId="77777777" w:rsidTr="00F4319C">
        <w:trPr>
          <w:trHeight w:val="71"/>
        </w:trPr>
        <w:tc>
          <w:tcPr>
            <w:tcW w:w="2806" w:type="dxa"/>
            <w:tcBorders>
              <w:top w:val="nil"/>
              <w:left w:val="nil"/>
              <w:bottom w:val="nil"/>
              <w:right w:val="nil"/>
            </w:tcBorders>
            <w:shd w:val="clear" w:color="auto" w:fill="auto"/>
            <w:noWrap/>
          </w:tcPr>
          <w:p w14:paraId="3E10D2F9"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67A82C2" w14:textId="43C58997" w:rsidR="007D3955" w:rsidRPr="00EE533D" w:rsidRDefault="007D3955" w:rsidP="007D3955">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(2.174)</w:t>
            </w:r>
          </w:p>
        </w:tc>
        <w:tc>
          <w:tcPr>
            <w:tcW w:w="1498" w:type="dxa"/>
            <w:tcBorders>
              <w:top w:val="nil"/>
              <w:left w:val="nil"/>
              <w:bottom w:val="nil"/>
              <w:right w:val="nil"/>
            </w:tcBorders>
          </w:tcPr>
          <w:p w14:paraId="44F72052" w14:textId="7FC031AF" w:rsidR="007D3955" w:rsidRPr="00EE533D" w:rsidRDefault="007D3955" w:rsidP="007D3955">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(1.558)</w:t>
            </w:r>
          </w:p>
        </w:tc>
        <w:tc>
          <w:tcPr>
            <w:tcW w:w="1396" w:type="dxa"/>
            <w:tcBorders>
              <w:top w:val="nil"/>
              <w:left w:val="nil"/>
              <w:bottom w:val="nil"/>
              <w:right w:val="single" w:sz="12" w:space="0" w:color="auto"/>
            </w:tcBorders>
            <w:shd w:val="clear" w:color="auto" w:fill="auto"/>
            <w:noWrap/>
          </w:tcPr>
          <w:p w14:paraId="579FCD71" w14:textId="0BE572C4" w:rsidR="007D3955" w:rsidRPr="00EE533D" w:rsidRDefault="007D3955" w:rsidP="007D3955">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(0.249)</w:t>
            </w:r>
          </w:p>
        </w:tc>
        <w:tc>
          <w:tcPr>
            <w:tcW w:w="1434" w:type="dxa"/>
            <w:tcBorders>
              <w:top w:val="nil"/>
              <w:left w:val="single" w:sz="12" w:space="0" w:color="auto"/>
              <w:bottom w:val="nil"/>
            </w:tcBorders>
          </w:tcPr>
          <w:p w14:paraId="28995838" w14:textId="01C81842" w:rsidR="007D3955" w:rsidRPr="00EE533D" w:rsidRDefault="007D3955" w:rsidP="007D3955">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(2.407)</w:t>
            </w:r>
          </w:p>
        </w:tc>
        <w:tc>
          <w:tcPr>
            <w:tcW w:w="1390" w:type="dxa"/>
            <w:tcBorders>
              <w:top w:val="nil"/>
              <w:left w:val="nil"/>
              <w:bottom w:val="nil"/>
              <w:right w:val="nil"/>
            </w:tcBorders>
          </w:tcPr>
          <w:p w14:paraId="1DDA32F7" w14:textId="55369F50" w:rsidR="007D3955" w:rsidRPr="00EE533D" w:rsidRDefault="007D3955" w:rsidP="007D3955">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(1.711)</w:t>
            </w:r>
          </w:p>
        </w:tc>
        <w:tc>
          <w:tcPr>
            <w:tcW w:w="1426" w:type="dxa"/>
            <w:gridSpan w:val="2"/>
            <w:tcBorders>
              <w:top w:val="nil"/>
              <w:left w:val="nil"/>
              <w:bottom w:val="nil"/>
              <w:right w:val="nil"/>
            </w:tcBorders>
          </w:tcPr>
          <w:p w14:paraId="56E1E04E" w14:textId="014FECCC" w:rsidR="007D3955" w:rsidRPr="00EE533D" w:rsidRDefault="007D3955" w:rsidP="007D3955">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(0.403)</w:t>
            </w:r>
          </w:p>
        </w:tc>
      </w:tr>
      <w:tr w:rsidR="00EE533D" w:rsidRPr="00EE533D" w14:paraId="727B0537" w14:textId="77777777" w:rsidTr="00F4319C">
        <w:trPr>
          <w:trHeight w:val="71"/>
        </w:trPr>
        <w:tc>
          <w:tcPr>
            <w:tcW w:w="2806" w:type="dxa"/>
            <w:tcBorders>
              <w:top w:val="nil"/>
              <w:left w:val="nil"/>
              <w:bottom w:val="nil"/>
              <w:right w:val="nil"/>
            </w:tcBorders>
            <w:shd w:val="clear" w:color="auto" w:fill="auto"/>
            <w:noWrap/>
          </w:tcPr>
          <w:p w14:paraId="34B089CD"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3A34733" w14:textId="045D5A6D"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0.425</w:t>
            </w:r>
          </w:p>
        </w:tc>
        <w:tc>
          <w:tcPr>
            <w:tcW w:w="1498" w:type="dxa"/>
            <w:tcBorders>
              <w:top w:val="nil"/>
              <w:left w:val="nil"/>
              <w:bottom w:val="nil"/>
              <w:right w:val="nil"/>
            </w:tcBorders>
          </w:tcPr>
          <w:p w14:paraId="59EF658A" w14:textId="42EED6BB"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1.030</w:t>
            </w:r>
          </w:p>
        </w:tc>
        <w:tc>
          <w:tcPr>
            <w:tcW w:w="1396" w:type="dxa"/>
            <w:tcBorders>
              <w:top w:val="nil"/>
              <w:left w:val="nil"/>
              <w:bottom w:val="nil"/>
              <w:right w:val="single" w:sz="12" w:space="0" w:color="auto"/>
            </w:tcBorders>
            <w:shd w:val="clear" w:color="auto" w:fill="auto"/>
            <w:noWrap/>
          </w:tcPr>
          <w:p w14:paraId="50173C45" w14:textId="13799F6F"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-0.215</w:t>
            </w:r>
          </w:p>
        </w:tc>
        <w:tc>
          <w:tcPr>
            <w:tcW w:w="1434" w:type="dxa"/>
            <w:tcBorders>
              <w:top w:val="nil"/>
              <w:left w:val="single" w:sz="12" w:space="0" w:color="auto"/>
              <w:bottom w:val="nil"/>
            </w:tcBorders>
          </w:tcPr>
          <w:p w14:paraId="266FF471" w14:textId="08D8D98A"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0.498</w:t>
            </w:r>
          </w:p>
        </w:tc>
        <w:tc>
          <w:tcPr>
            <w:tcW w:w="1390" w:type="dxa"/>
            <w:tcBorders>
              <w:top w:val="nil"/>
              <w:left w:val="nil"/>
              <w:bottom w:val="nil"/>
              <w:right w:val="nil"/>
            </w:tcBorders>
          </w:tcPr>
          <w:p w14:paraId="30015091" w14:textId="5D9D3F45"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0.148</w:t>
            </w:r>
          </w:p>
        </w:tc>
        <w:tc>
          <w:tcPr>
            <w:tcW w:w="1426" w:type="dxa"/>
            <w:gridSpan w:val="2"/>
            <w:tcBorders>
              <w:top w:val="nil"/>
              <w:left w:val="nil"/>
              <w:bottom w:val="nil"/>
              <w:right w:val="nil"/>
            </w:tcBorders>
          </w:tcPr>
          <w:p w14:paraId="3D7CA963" w14:textId="015B9E6B"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-0.511</w:t>
            </w:r>
          </w:p>
        </w:tc>
      </w:tr>
      <w:tr w:rsidR="00EE533D" w:rsidRPr="00EE533D" w14:paraId="67B3B73E" w14:textId="77777777" w:rsidTr="00F4319C">
        <w:trPr>
          <w:trHeight w:val="71"/>
        </w:trPr>
        <w:tc>
          <w:tcPr>
            <w:tcW w:w="2806" w:type="dxa"/>
            <w:tcBorders>
              <w:top w:val="nil"/>
              <w:left w:val="nil"/>
              <w:bottom w:val="nil"/>
              <w:right w:val="nil"/>
            </w:tcBorders>
            <w:shd w:val="clear" w:color="auto" w:fill="auto"/>
            <w:noWrap/>
          </w:tcPr>
          <w:p w14:paraId="74840F68"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094FEF83" w14:textId="50A56F62"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(1.953)</w:t>
            </w:r>
          </w:p>
        </w:tc>
        <w:tc>
          <w:tcPr>
            <w:tcW w:w="1498" w:type="dxa"/>
            <w:tcBorders>
              <w:top w:val="nil"/>
              <w:left w:val="nil"/>
              <w:bottom w:val="nil"/>
              <w:right w:val="nil"/>
            </w:tcBorders>
          </w:tcPr>
          <w:p w14:paraId="5AA42943" w14:textId="4F41C8B9"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(3.191)</w:t>
            </w:r>
          </w:p>
        </w:tc>
        <w:tc>
          <w:tcPr>
            <w:tcW w:w="1396" w:type="dxa"/>
            <w:tcBorders>
              <w:top w:val="nil"/>
              <w:left w:val="nil"/>
              <w:bottom w:val="nil"/>
              <w:right w:val="single" w:sz="12" w:space="0" w:color="auto"/>
            </w:tcBorders>
            <w:shd w:val="clear" w:color="auto" w:fill="auto"/>
            <w:noWrap/>
          </w:tcPr>
          <w:p w14:paraId="66CFE3C7" w14:textId="02030C00"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(0.278)</w:t>
            </w:r>
          </w:p>
        </w:tc>
        <w:tc>
          <w:tcPr>
            <w:tcW w:w="1434" w:type="dxa"/>
            <w:tcBorders>
              <w:top w:val="nil"/>
              <w:left w:val="single" w:sz="12" w:space="0" w:color="auto"/>
              <w:bottom w:val="nil"/>
            </w:tcBorders>
          </w:tcPr>
          <w:p w14:paraId="50622D79" w14:textId="1A4C4476"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(2.002)</w:t>
            </w:r>
          </w:p>
        </w:tc>
        <w:tc>
          <w:tcPr>
            <w:tcW w:w="1390" w:type="dxa"/>
            <w:tcBorders>
              <w:top w:val="nil"/>
              <w:left w:val="nil"/>
              <w:bottom w:val="nil"/>
              <w:right w:val="nil"/>
            </w:tcBorders>
          </w:tcPr>
          <w:p w14:paraId="61774F2D" w14:textId="2AA1FEAA"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(3.496)</w:t>
            </w:r>
          </w:p>
        </w:tc>
        <w:tc>
          <w:tcPr>
            <w:tcW w:w="1426" w:type="dxa"/>
            <w:gridSpan w:val="2"/>
            <w:tcBorders>
              <w:top w:val="nil"/>
              <w:left w:val="nil"/>
              <w:bottom w:val="nil"/>
              <w:right w:val="nil"/>
            </w:tcBorders>
          </w:tcPr>
          <w:p w14:paraId="3925517B" w14:textId="39C82EE5"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(0.370)</w:t>
            </w:r>
          </w:p>
        </w:tc>
      </w:tr>
      <w:tr w:rsidR="00EE533D" w:rsidRPr="00EE533D" w14:paraId="53C04387" w14:textId="77777777" w:rsidTr="00F4319C">
        <w:trPr>
          <w:trHeight w:val="71"/>
        </w:trPr>
        <w:tc>
          <w:tcPr>
            <w:tcW w:w="2806" w:type="dxa"/>
            <w:tcBorders>
              <w:top w:val="nil"/>
              <w:left w:val="nil"/>
              <w:bottom w:val="nil"/>
              <w:right w:val="nil"/>
            </w:tcBorders>
            <w:shd w:val="clear" w:color="auto" w:fill="auto"/>
            <w:noWrap/>
          </w:tcPr>
          <w:p w14:paraId="7489C460" w14:textId="77777777" w:rsidR="007D3955" w:rsidRPr="00EE533D" w:rsidRDefault="007D3955" w:rsidP="007D3955">
            <w:pPr>
              <w:spacing w:after="0"/>
              <w:jc w:val="center"/>
              <w:rPr>
                <w:rFonts w:ascii="Times New Roman" w:hAnsi="Times New Roman" w:cs="Times New Roman"/>
                <w:sz w:val="16"/>
                <w:szCs w:val="16"/>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417" w:type="dxa"/>
            <w:tcBorders>
              <w:top w:val="nil"/>
              <w:left w:val="nil"/>
              <w:bottom w:val="nil"/>
              <w:right w:val="nil"/>
            </w:tcBorders>
            <w:shd w:val="clear" w:color="auto" w:fill="auto"/>
            <w:noWrap/>
          </w:tcPr>
          <w:p w14:paraId="643F8491" w14:textId="766139D1"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1.984</w:t>
            </w:r>
          </w:p>
        </w:tc>
        <w:tc>
          <w:tcPr>
            <w:tcW w:w="1498" w:type="dxa"/>
            <w:tcBorders>
              <w:top w:val="nil"/>
              <w:left w:val="nil"/>
              <w:bottom w:val="nil"/>
              <w:right w:val="nil"/>
            </w:tcBorders>
          </w:tcPr>
          <w:p w14:paraId="73CDABE1" w14:textId="4C21ACFF"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1.567</w:t>
            </w:r>
          </w:p>
        </w:tc>
        <w:tc>
          <w:tcPr>
            <w:tcW w:w="1396" w:type="dxa"/>
            <w:tcBorders>
              <w:top w:val="nil"/>
              <w:left w:val="nil"/>
              <w:bottom w:val="nil"/>
              <w:right w:val="single" w:sz="12" w:space="0" w:color="auto"/>
            </w:tcBorders>
            <w:shd w:val="clear" w:color="auto" w:fill="auto"/>
            <w:noWrap/>
          </w:tcPr>
          <w:p w14:paraId="3447C496" w14:textId="093B41B1"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0.770</w:t>
            </w:r>
          </w:p>
        </w:tc>
        <w:tc>
          <w:tcPr>
            <w:tcW w:w="1434" w:type="dxa"/>
            <w:tcBorders>
              <w:top w:val="nil"/>
              <w:left w:val="single" w:sz="12" w:space="0" w:color="auto"/>
              <w:bottom w:val="nil"/>
            </w:tcBorders>
          </w:tcPr>
          <w:p w14:paraId="404D6D0F" w14:textId="491879D1"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1.324</w:t>
            </w:r>
          </w:p>
        </w:tc>
        <w:tc>
          <w:tcPr>
            <w:tcW w:w="1390" w:type="dxa"/>
            <w:tcBorders>
              <w:top w:val="nil"/>
              <w:left w:val="nil"/>
              <w:bottom w:val="nil"/>
              <w:right w:val="nil"/>
            </w:tcBorders>
          </w:tcPr>
          <w:p w14:paraId="755DA59F" w14:textId="4668A24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-1.667</w:t>
            </w:r>
          </w:p>
        </w:tc>
        <w:tc>
          <w:tcPr>
            <w:tcW w:w="1426" w:type="dxa"/>
            <w:gridSpan w:val="2"/>
            <w:tcBorders>
              <w:top w:val="nil"/>
              <w:left w:val="nil"/>
              <w:bottom w:val="nil"/>
              <w:right w:val="nil"/>
            </w:tcBorders>
          </w:tcPr>
          <w:p w14:paraId="24A7C86A" w14:textId="3D20665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1.010</w:t>
            </w:r>
          </w:p>
        </w:tc>
      </w:tr>
      <w:tr w:rsidR="00EE533D" w:rsidRPr="00EE533D" w14:paraId="69B4CCF2" w14:textId="77777777" w:rsidTr="00F4319C">
        <w:trPr>
          <w:trHeight w:val="71"/>
        </w:trPr>
        <w:tc>
          <w:tcPr>
            <w:tcW w:w="2806" w:type="dxa"/>
            <w:tcBorders>
              <w:top w:val="nil"/>
              <w:left w:val="nil"/>
              <w:bottom w:val="nil"/>
              <w:right w:val="nil"/>
            </w:tcBorders>
            <w:shd w:val="clear" w:color="auto" w:fill="auto"/>
            <w:noWrap/>
          </w:tcPr>
          <w:p w14:paraId="11EB74A7" w14:textId="77777777" w:rsidR="007D3955" w:rsidRPr="00EE533D" w:rsidRDefault="007D3955" w:rsidP="007D3955">
            <w:pPr>
              <w:spacing w:after="0"/>
              <w:jc w:val="center"/>
              <w:rPr>
                <w:rFonts w:ascii="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10E6DFA5" w14:textId="5073C2E3"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(6.064)</w:t>
            </w:r>
          </w:p>
        </w:tc>
        <w:tc>
          <w:tcPr>
            <w:tcW w:w="1498" w:type="dxa"/>
            <w:tcBorders>
              <w:top w:val="nil"/>
              <w:left w:val="nil"/>
              <w:bottom w:val="nil"/>
              <w:right w:val="nil"/>
            </w:tcBorders>
          </w:tcPr>
          <w:p w14:paraId="041E8088" w14:textId="4D78ADCB"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(8.343)</w:t>
            </w:r>
          </w:p>
        </w:tc>
        <w:tc>
          <w:tcPr>
            <w:tcW w:w="1396" w:type="dxa"/>
            <w:tcBorders>
              <w:top w:val="nil"/>
              <w:left w:val="nil"/>
              <w:bottom w:val="nil"/>
              <w:right w:val="single" w:sz="12" w:space="0" w:color="auto"/>
            </w:tcBorders>
            <w:shd w:val="clear" w:color="auto" w:fill="auto"/>
            <w:noWrap/>
          </w:tcPr>
          <w:p w14:paraId="21358EBD" w14:textId="6701F619"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(0.588)</w:t>
            </w:r>
          </w:p>
        </w:tc>
        <w:tc>
          <w:tcPr>
            <w:tcW w:w="1434" w:type="dxa"/>
            <w:tcBorders>
              <w:top w:val="nil"/>
              <w:left w:val="single" w:sz="12" w:space="0" w:color="auto"/>
              <w:bottom w:val="nil"/>
            </w:tcBorders>
          </w:tcPr>
          <w:p w14:paraId="1EB1BE61" w14:textId="47D50088"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(6.798)</w:t>
            </w:r>
          </w:p>
        </w:tc>
        <w:tc>
          <w:tcPr>
            <w:tcW w:w="1390" w:type="dxa"/>
            <w:tcBorders>
              <w:top w:val="nil"/>
              <w:left w:val="nil"/>
              <w:bottom w:val="nil"/>
              <w:right w:val="nil"/>
            </w:tcBorders>
          </w:tcPr>
          <w:p w14:paraId="23E16149" w14:textId="0A81249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(6.868)</w:t>
            </w:r>
          </w:p>
        </w:tc>
        <w:tc>
          <w:tcPr>
            <w:tcW w:w="1426" w:type="dxa"/>
            <w:gridSpan w:val="2"/>
            <w:tcBorders>
              <w:top w:val="nil"/>
              <w:left w:val="nil"/>
              <w:bottom w:val="nil"/>
              <w:right w:val="nil"/>
            </w:tcBorders>
          </w:tcPr>
          <w:p w14:paraId="185E0364" w14:textId="101C8E0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(1.060)</w:t>
            </w:r>
          </w:p>
        </w:tc>
      </w:tr>
      <w:tr w:rsidR="00EE533D" w:rsidRPr="00EE533D" w14:paraId="5B1AE623" w14:textId="77777777" w:rsidTr="00F4319C">
        <w:trPr>
          <w:trHeight w:val="71"/>
        </w:trPr>
        <w:tc>
          <w:tcPr>
            <w:tcW w:w="2806" w:type="dxa"/>
            <w:tcBorders>
              <w:top w:val="nil"/>
              <w:left w:val="nil"/>
              <w:bottom w:val="nil"/>
              <w:right w:val="nil"/>
            </w:tcBorders>
            <w:shd w:val="clear" w:color="auto" w:fill="auto"/>
            <w:noWrap/>
            <w:vAlign w:val="bottom"/>
          </w:tcPr>
          <w:p w14:paraId="582753E7"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77CAA5A6" w14:textId="2788A715"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-0.784</w:t>
            </w:r>
          </w:p>
        </w:tc>
        <w:tc>
          <w:tcPr>
            <w:tcW w:w="1498" w:type="dxa"/>
            <w:tcBorders>
              <w:top w:val="nil"/>
              <w:left w:val="nil"/>
              <w:bottom w:val="nil"/>
              <w:right w:val="nil"/>
            </w:tcBorders>
          </w:tcPr>
          <w:p w14:paraId="3441BE40" w14:textId="56672EE0"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0.378</w:t>
            </w:r>
          </w:p>
        </w:tc>
        <w:tc>
          <w:tcPr>
            <w:tcW w:w="1396" w:type="dxa"/>
            <w:tcBorders>
              <w:top w:val="nil"/>
              <w:left w:val="nil"/>
              <w:bottom w:val="nil"/>
              <w:right w:val="single" w:sz="12" w:space="0" w:color="auto"/>
            </w:tcBorders>
            <w:shd w:val="clear" w:color="auto" w:fill="auto"/>
            <w:noWrap/>
          </w:tcPr>
          <w:p w14:paraId="592C7B49" w14:textId="38A1408E"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4" w:type="dxa"/>
            <w:tcBorders>
              <w:top w:val="nil"/>
              <w:left w:val="single" w:sz="12" w:space="0" w:color="auto"/>
              <w:bottom w:val="nil"/>
            </w:tcBorders>
          </w:tcPr>
          <w:p w14:paraId="1A8277CA" w14:textId="4692AED1"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-0.511</w:t>
            </w:r>
          </w:p>
        </w:tc>
        <w:tc>
          <w:tcPr>
            <w:tcW w:w="1390" w:type="dxa"/>
            <w:tcBorders>
              <w:top w:val="nil"/>
              <w:left w:val="nil"/>
              <w:bottom w:val="nil"/>
              <w:right w:val="nil"/>
            </w:tcBorders>
          </w:tcPr>
          <w:p w14:paraId="1A3A32D0" w14:textId="101E3806"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0.457</w:t>
            </w:r>
          </w:p>
        </w:tc>
        <w:tc>
          <w:tcPr>
            <w:tcW w:w="1426" w:type="dxa"/>
            <w:gridSpan w:val="2"/>
            <w:tcBorders>
              <w:top w:val="nil"/>
              <w:left w:val="nil"/>
              <w:bottom w:val="nil"/>
              <w:right w:val="nil"/>
            </w:tcBorders>
          </w:tcPr>
          <w:p w14:paraId="45BC1267" w14:textId="31EA36B2"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0.067</w:t>
            </w:r>
          </w:p>
        </w:tc>
      </w:tr>
      <w:tr w:rsidR="00EE533D" w:rsidRPr="00EE533D" w14:paraId="478D85FC" w14:textId="77777777" w:rsidTr="00F4319C">
        <w:trPr>
          <w:trHeight w:val="71"/>
        </w:trPr>
        <w:tc>
          <w:tcPr>
            <w:tcW w:w="2806" w:type="dxa"/>
            <w:tcBorders>
              <w:top w:val="nil"/>
              <w:left w:val="nil"/>
              <w:bottom w:val="nil"/>
              <w:right w:val="nil"/>
            </w:tcBorders>
            <w:shd w:val="clear" w:color="auto" w:fill="auto"/>
            <w:noWrap/>
            <w:vAlign w:val="bottom"/>
          </w:tcPr>
          <w:p w14:paraId="31FBBC0F"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216A6225" w14:textId="3BD47284"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(0.486)</w:t>
            </w:r>
          </w:p>
        </w:tc>
        <w:tc>
          <w:tcPr>
            <w:tcW w:w="1498" w:type="dxa"/>
            <w:tcBorders>
              <w:top w:val="nil"/>
              <w:left w:val="nil"/>
              <w:bottom w:val="nil"/>
              <w:right w:val="nil"/>
            </w:tcBorders>
          </w:tcPr>
          <w:p w14:paraId="0943DEFD" w14:textId="2FC63228"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(0.555)</w:t>
            </w:r>
          </w:p>
        </w:tc>
        <w:tc>
          <w:tcPr>
            <w:tcW w:w="1396" w:type="dxa"/>
            <w:tcBorders>
              <w:top w:val="nil"/>
              <w:left w:val="nil"/>
              <w:bottom w:val="nil"/>
              <w:right w:val="single" w:sz="12" w:space="0" w:color="auto"/>
            </w:tcBorders>
            <w:shd w:val="clear" w:color="auto" w:fill="auto"/>
            <w:noWrap/>
          </w:tcPr>
          <w:p w14:paraId="0BCE5692" w14:textId="5F00F9E6"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(0.040)</w:t>
            </w:r>
          </w:p>
        </w:tc>
        <w:tc>
          <w:tcPr>
            <w:tcW w:w="1434" w:type="dxa"/>
            <w:tcBorders>
              <w:top w:val="nil"/>
              <w:left w:val="single" w:sz="12" w:space="0" w:color="auto"/>
              <w:bottom w:val="nil"/>
            </w:tcBorders>
          </w:tcPr>
          <w:p w14:paraId="05DBDD88" w14:textId="1BF893AE"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(0.546)</w:t>
            </w:r>
          </w:p>
        </w:tc>
        <w:tc>
          <w:tcPr>
            <w:tcW w:w="1390" w:type="dxa"/>
            <w:tcBorders>
              <w:top w:val="nil"/>
              <w:left w:val="nil"/>
              <w:bottom w:val="nil"/>
              <w:right w:val="nil"/>
            </w:tcBorders>
          </w:tcPr>
          <w:p w14:paraId="5ECE709D" w14:textId="62871CC5"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(0.640)</w:t>
            </w:r>
          </w:p>
        </w:tc>
        <w:tc>
          <w:tcPr>
            <w:tcW w:w="1426" w:type="dxa"/>
            <w:gridSpan w:val="2"/>
            <w:tcBorders>
              <w:top w:val="nil"/>
              <w:left w:val="nil"/>
              <w:bottom w:val="nil"/>
              <w:right w:val="nil"/>
            </w:tcBorders>
          </w:tcPr>
          <w:p w14:paraId="30C31871" w14:textId="463325BC"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r>
      <w:tr w:rsidR="00EE533D" w:rsidRPr="00EE533D" w14:paraId="36BA3E11" w14:textId="77777777" w:rsidTr="00F4319C">
        <w:trPr>
          <w:trHeight w:val="71"/>
        </w:trPr>
        <w:tc>
          <w:tcPr>
            <w:tcW w:w="2806" w:type="dxa"/>
            <w:tcBorders>
              <w:top w:val="nil"/>
              <w:left w:val="nil"/>
              <w:bottom w:val="nil"/>
              <w:right w:val="nil"/>
            </w:tcBorders>
            <w:shd w:val="clear" w:color="auto" w:fill="auto"/>
            <w:noWrap/>
            <w:vAlign w:val="bottom"/>
          </w:tcPr>
          <w:p w14:paraId="1B59F3B5"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417" w:type="dxa"/>
            <w:tcBorders>
              <w:top w:val="nil"/>
              <w:left w:val="nil"/>
              <w:bottom w:val="nil"/>
              <w:right w:val="nil"/>
            </w:tcBorders>
            <w:shd w:val="clear" w:color="auto" w:fill="auto"/>
            <w:noWrap/>
          </w:tcPr>
          <w:p w14:paraId="64E73474" w14:textId="0A4257C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-0.352**</w:t>
            </w:r>
          </w:p>
        </w:tc>
        <w:tc>
          <w:tcPr>
            <w:tcW w:w="1498" w:type="dxa"/>
            <w:tcBorders>
              <w:top w:val="nil"/>
              <w:left w:val="nil"/>
              <w:bottom w:val="nil"/>
              <w:right w:val="nil"/>
            </w:tcBorders>
          </w:tcPr>
          <w:p w14:paraId="14D42DD8" w14:textId="64A4D3D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-0.533</w:t>
            </w:r>
          </w:p>
        </w:tc>
        <w:tc>
          <w:tcPr>
            <w:tcW w:w="1396" w:type="dxa"/>
            <w:tcBorders>
              <w:top w:val="nil"/>
              <w:left w:val="nil"/>
              <w:bottom w:val="nil"/>
              <w:right w:val="single" w:sz="12" w:space="0" w:color="auto"/>
            </w:tcBorders>
            <w:shd w:val="clear" w:color="auto" w:fill="auto"/>
            <w:noWrap/>
          </w:tcPr>
          <w:p w14:paraId="2AEF79EF" w14:textId="2D57DD64"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434" w:type="dxa"/>
            <w:tcBorders>
              <w:top w:val="nil"/>
              <w:left w:val="single" w:sz="12" w:space="0" w:color="auto"/>
              <w:bottom w:val="nil"/>
            </w:tcBorders>
          </w:tcPr>
          <w:p w14:paraId="40257DB9" w14:textId="6E33E7A8"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-0.406**</w:t>
            </w:r>
          </w:p>
        </w:tc>
        <w:tc>
          <w:tcPr>
            <w:tcW w:w="1390" w:type="dxa"/>
            <w:tcBorders>
              <w:top w:val="nil"/>
              <w:left w:val="nil"/>
              <w:bottom w:val="nil"/>
              <w:right w:val="nil"/>
            </w:tcBorders>
          </w:tcPr>
          <w:p w14:paraId="7954E903" w14:textId="52389B33"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-0.447</w:t>
            </w:r>
          </w:p>
        </w:tc>
        <w:tc>
          <w:tcPr>
            <w:tcW w:w="1426" w:type="dxa"/>
            <w:gridSpan w:val="2"/>
            <w:tcBorders>
              <w:top w:val="nil"/>
              <w:left w:val="nil"/>
              <w:bottom w:val="nil"/>
              <w:right w:val="nil"/>
            </w:tcBorders>
          </w:tcPr>
          <w:p w14:paraId="497C0AE1" w14:textId="7CFE5FD7"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r>
      <w:tr w:rsidR="00EE533D" w:rsidRPr="00EE533D" w14:paraId="7E78A25D" w14:textId="77777777" w:rsidTr="00F4319C">
        <w:trPr>
          <w:trHeight w:val="71"/>
        </w:trPr>
        <w:tc>
          <w:tcPr>
            <w:tcW w:w="2806" w:type="dxa"/>
            <w:tcBorders>
              <w:top w:val="nil"/>
              <w:left w:val="nil"/>
              <w:bottom w:val="nil"/>
              <w:right w:val="nil"/>
            </w:tcBorders>
            <w:shd w:val="clear" w:color="auto" w:fill="auto"/>
            <w:noWrap/>
            <w:vAlign w:val="bottom"/>
          </w:tcPr>
          <w:p w14:paraId="21EBF456"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nil"/>
              <w:right w:val="nil"/>
            </w:tcBorders>
            <w:shd w:val="clear" w:color="auto" w:fill="auto"/>
            <w:noWrap/>
          </w:tcPr>
          <w:p w14:paraId="740938C4" w14:textId="7F5E9223"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(0.177)</w:t>
            </w:r>
          </w:p>
        </w:tc>
        <w:tc>
          <w:tcPr>
            <w:tcW w:w="1498" w:type="dxa"/>
            <w:tcBorders>
              <w:top w:val="nil"/>
              <w:left w:val="nil"/>
              <w:bottom w:val="nil"/>
              <w:right w:val="nil"/>
            </w:tcBorders>
          </w:tcPr>
          <w:p w14:paraId="20D3B9E1" w14:textId="6859C251"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(0.515)</w:t>
            </w:r>
          </w:p>
        </w:tc>
        <w:tc>
          <w:tcPr>
            <w:tcW w:w="1396" w:type="dxa"/>
            <w:tcBorders>
              <w:top w:val="nil"/>
              <w:left w:val="nil"/>
              <w:bottom w:val="nil"/>
              <w:right w:val="single" w:sz="12" w:space="0" w:color="auto"/>
            </w:tcBorders>
            <w:shd w:val="clear" w:color="auto" w:fill="auto"/>
            <w:noWrap/>
          </w:tcPr>
          <w:p w14:paraId="758EBE2F" w14:textId="1F291B4B"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c>
          <w:tcPr>
            <w:tcW w:w="1434" w:type="dxa"/>
            <w:tcBorders>
              <w:top w:val="nil"/>
              <w:left w:val="single" w:sz="12" w:space="0" w:color="auto"/>
              <w:bottom w:val="nil"/>
            </w:tcBorders>
          </w:tcPr>
          <w:p w14:paraId="0022FBED" w14:textId="763CC78A"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(0.183)</w:t>
            </w:r>
          </w:p>
        </w:tc>
        <w:tc>
          <w:tcPr>
            <w:tcW w:w="1390" w:type="dxa"/>
            <w:tcBorders>
              <w:top w:val="nil"/>
              <w:left w:val="nil"/>
              <w:bottom w:val="nil"/>
              <w:right w:val="nil"/>
            </w:tcBorders>
          </w:tcPr>
          <w:p w14:paraId="59276779" w14:textId="2237DC4D"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(0.612)</w:t>
            </w:r>
          </w:p>
        </w:tc>
        <w:tc>
          <w:tcPr>
            <w:tcW w:w="1426" w:type="dxa"/>
            <w:gridSpan w:val="2"/>
            <w:tcBorders>
              <w:top w:val="nil"/>
              <w:left w:val="nil"/>
              <w:bottom w:val="nil"/>
              <w:right w:val="nil"/>
            </w:tcBorders>
          </w:tcPr>
          <w:p w14:paraId="57B96586" w14:textId="4E1EF178"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(0.031)</w:t>
            </w:r>
          </w:p>
        </w:tc>
      </w:tr>
      <w:tr w:rsidR="00EE533D" w:rsidRPr="00EE533D" w14:paraId="34ECAE4B" w14:textId="77777777" w:rsidTr="00F4319C">
        <w:trPr>
          <w:trHeight w:val="71"/>
        </w:trPr>
        <w:tc>
          <w:tcPr>
            <w:tcW w:w="2806" w:type="dxa"/>
            <w:tcBorders>
              <w:top w:val="nil"/>
              <w:left w:val="nil"/>
              <w:bottom w:val="nil"/>
              <w:right w:val="nil"/>
            </w:tcBorders>
            <w:shd w:val="clear" w:color="auto" w:fill="auto"/>
            <w:noWrap/>
            <w:vAlign w:val="bottom"/>
          </w:tcPr>
          <w:p w14:paraId="74F9BE12"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4"/>
                <w:szCs w:val="14"/>
                <w:lang w:val="en-GB"/>
              </w:rPr>
              <w:t>Intercept</w:t>
            </w:r>
          </w:p>
        </w:tc>
        <w:tc>
          <w:tcPr>
            <w:tcW w:w="1417" w:type="dxa"/>
            <w:tcBorders>
              <w:top w:val="nil"/>
              <w:left w:val="nil"/>
              <w:bottom w:val="nil"/>
              <w:right w:val="nil"/>
            </w:tcBorders>
            <w:shd w:val="clear" w:color="auto" w:fill="auto"/>
            <w:noWrap/>
          </w:tcPr>
          <w:p w14:paraId="2BFDB525" w14:textId="0993C68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3.835</w:t>
            </w:r>
          </w:p>
        </w:tc>
        <w:tc>
          <w:tcPr>
            <w:tcW w:w="1498" w:type="dxa"/>
            <w:tcBorders>
              <w:top w:val="nil"/>
              <w:left w:val="nil"/>
              <w:bottom w:val="nil"/>
              <w:right w:val="nil"/>
            </w:tcBorders>
          </w:tcPr>
          <w:p w14:paraId="3F1B28FA" w14:textId="5B286D9C"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-0.884</w:t>
            </w:r>
          </w:p>
        </w:tc>
        <w:tc>
          <w:tcPr>
            <w:tcW w:w="1396" w:type="dxa"/>
            <w:tcBorders>
              <w:top w:val="nil"/>
              <w:left w:val="nil"/>
              <w:bottom w:val="nil"/>
              <w:right w:val="single" w:sz="12" w:space="0" w:color="auto"/>
            </w:tcBorders>
            <w:shd w:val="clear" w:color="auto" w:fill="auto"/>
            <w:noWrap/>
          </w:tcPr>
          <w:p w14:paraId="0FFFE52D" w14:textId="19C2503C"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-3.271</w:t>
            </w:r>
          </w:p>
        </w:tc>
        <w:tc>
          <w:tcPr>
            <w:tcW w:w="1434" w:type="dxa"/>
            <w:tcBorders>
              <w:top w:val="nil"/>
              <w:left w:val="single" w:sz="12" w:space="0" w:color="auto"/>
              <w:bottom w:val="nil"/>
            </w:tcBorders>
          </w:tcPr>
          <w:p w14:paraId="6707A778" w14:textId="094F8710"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-0.661</w:t>
            </w:r>
          </w:p>
        </w:tc>
        <w:tc>
          <w:tcPr>
            <w:tcW w:w="1390" w:type="dxa"/>
            <w:tcBorders>
              <w:top w:val="nil"/>
              <w:left w:val="nil"/>
              <w:bottom w:val="nil"/>
              <w:right w:val="nil"/>
            </w:tcBorders>
          </w:tcPr>
          <w:p w14:paraId="2BB0824F" w14:textId="6B3DE9DF"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20.515</w:t>
            </w:r>
          </w:p>
        </w:tc>
        <w:tc>
          <w:tcPr>
            <w:tcW w:w="1426" w:type="dxa"/>
            <w:gridSpan w:val="2"/>
            <w:tcBorders>
              <w:top w:val="nil"/>
              <w:left w:val="nil"/>
              <w:bottom w:val="nil"/>
              <w:right w:val="nil"/>
            </w:tcBorders>
          </w:tcPr>
          <w:p w14:paraId="2D83D0C4" w14:textId="1EC27C50"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-0.957</w:t>
            </w:r>
          </w:p>
        </w:tc>
      </w:tr>
      <w:tr w:rsidR="00EE533D" w:rsidRPr="00EE533D" w14:paraId="4775A6EC" w14:textId="77777777" w:rsidTr="00F4319C">
        <w:trPr>
          <w:trHeight w:val="71"/>
        </w:trPr>
        <w:tc>
          <w:tcPr>
            <w:tcW w:w="2806" w:type="dxa"/>
            <w:tcBorders>
              <w:top w:val="nil"/>
              <w:left w:val="nil"/>
              <w:bottom w:val="single" w:sz="12" w:space="0" w:color="auto"/>
              <w:right w:val="nil"/>
            </w:tcBorders>
            <w:shd w:val="clear" w:color="auto" w:fill="auto"/>
            <w:noWrap/>
            <w:vAlign w:val="bottom"/>
          </w:tcPr>
          <w:p w14:paraId="76E74AD6"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p>
        </w:tc>
        <w:tc>
          <w:tcPr>
            <w:tcW w:w="1417" w:type="dxa"/>
            <w:tcBorders>
              <w:top w:val="nil"/>
              <w:left w:val="nil"/>
              <w:bottom w:val="single" w:sz="12" w:space="0" w:color="auto"/>
              <w:right w:val="nil"/>
            </w:tcBorders>
            <w:shd w:val="clear" w:color="auto" w:fill="auto"/>
            <w:noWrap/>
          </w:tcPr>
          <w:p w14:paraId="222EDA8C" w14:textId="6010CDEE" w:rsidR="007D3955" w:rsidRPr="00EE533D" w:rsidRDefault="007D3955" w:rsidP="007D3955">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(40.158)</w:t>
            </w:r>
          </w:p>
        </w:tc>
        <w:tc>
          <w:tcPr>
            <w:tcW w:w="1498" w:type="dxa"/>
            <w:tcBorders>
              <w:top w:val="nil"/>
              <w:left w:val="nil"/>
              <w:bottom w:val="single" w:sz="12" w:space="0" w:color="auto"/>
              <w:right w:val="nil"/>
            </w:tcBorders>
          </w:tcPr>
          <w:p w14:paraId="7A82E86D" w14:textId="77DA1922" w:rsidR="007D3955" w:rsidRPr="00EE533D" w:rsidRDefault="007D3955" w:rsidP="007D3955">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(53.817)</w:t>
            </w:r>
          </w:p>
        </w:tc>
        <w:tc>
          <w:tcPr>
            <w:tcW w:w="1396" w:type="dxa"/>
            <w:tcBorders>
              <w:top w:val="nil"/>
              <w:left w:val="nil"/>
              <w:bottom w:val="single" w:sz="12" w:space="0" w:color="auto"/>
              <w:right w:val="single" w:sz="12" w:space="0" w:color="auto"/>
            </w:tcBorders>
            <w:shd w:val="clear" w:color="auto" w:fill="auto"/>
            <w:noWrap/>
          </w:tcPr>
          <w:p w14:paraId="0B1B86F3" w14:textId="62B01818" w:rsidR="007D3955" w:rsidRPr="00EE533D" w:rsidRDefault="007D3955" w:rsidP="007D3955">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(3.674)</w:t>
            </w:r>
          </w:p>
        </w:tc>
        <w:tc>
          <w:tcPr>
            <w:tcW w:w="1434" w:type="dxa"/>
            <w:tcBorders>
              <w:top w:val="nil"/>
              <w:left w:val="single" w:sz="12" w:space="0" w:color="auto"/>
              <w:bottom w:val="single" w:sz="12" w:space="0" w:color="auto"/>
            </w:tcBorders>
          </w:tcPr>
          <w:p w14:paraId="3A14DABD" w14:textId="4A18FE0E" w:rsidR="007D3955" w:rsidRPr="00EE533D" w:rsidRDefault="007D3955" w:rsidP="007D3955">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(40.772)</w:t>
            </w:r>
          </w:p>
        </w:tc>
        <w:tc>
          <w:tcPr>
            <w:tcW w:w="1390" w:type="dxa"/>
            <w:tcBorders>
              <w:top w:val="nil"/>
              <w:left w:val="nil"/>
              <w:bottom w:val="single" w:sz="12" w:space="0" w:color="auto"/>
              <w:right w:val="nil"/>
            </w:tcBorders>
          </w:tcPr>
          <w:p w14:paraId="4D1862EB" w14:textId="4D41F027" w:rsidR="007D3955" w:rsidRPr="00EE533D" w:rsidRDefault="007D3955" w:rsidP="007D3955">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(51.235)</w:t>
            </w:r>
          </w:p>
        </w:tc>
        <w:tc>
          <w:tcPr>
            <w:tcW w:w="1426" w:type="dxa"/>
            <w:gridSpan w:val="2"/>
            <w:tcBorders>
              <w:top w:val="nil"/>
              <w:left w:val="nil"/>
              <w:bottom w:val="single" w:sz="12" w:space="0" w:color="auto"/>
              <w:right w:val="nil"/>
            </w:tcBorders>
          </w:tcPr>
          <w:p w14:paraId="3B97BE8B" w14:textId="20753EAA" w:rsidR="007D3955" w:rsidRPr="00EE533D" w:rsidRDefault="007D3955" w:rsidP="007D3955">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(7.028)</w:t>
            </w:r>
          </w:p>
        </w:tc>
      </w:tr>
      <w:tr w:rsidR="00EE533D" w:rsidRPr="00EE533D" w14:paraId="48CBE811" w14:textId="77777777" w:rsidTr="00F4319C">
        <w:trPr>
          <w:trHeight w:val="104"/>
        </w:trPr>
        <w:tc>
          <w:tcPr>
            <w:tcW w:w="2806" w:type="dxa"/>
            <w:tcBorders>
              <w:top w:val="single" w:sz="12" w:space="0" w:color="auto"/>
              <w:left w:val="nil"/>
              <w:right w:val="nil"/>
            </w:tcBorders>
            <w:shd w:val="clear" w:color="auto" w:fill="auto"/>
            <w:noWrap/>
            <w:vAlign w:val="bottom"/>
          </w:tcPr>
          <w:p w14:paraId="07919011"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Observations </w:t>
            </w:r>
          </w:p>
        </w:tc>
        <w:tc>
          <w:tcPr>
            <w:tcW w:w="1417" w:type="dxa"/>
            <w:tcBorders>
              <w:top w:val="single" w:sz="12" w:space="0" w:color="auto"/>
              <w:left w:val="nil"/>
              <w:right w:val="nil"/>
            </w:tcBorders>
            <w:shd w:val="clear" w:color="auto" w:fill="auto"/>
            <w:noWrap/>
          </w:tcPr>
          <w:p w14:paraId="765097F7" w14:textId="72FC6DDC"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6747</w:t>
            </w:r>
          </w:p>
        </w:tc>
        <w:tc>
          <w:tcPr>
            <w:tcW w:w="1498" w:type="dxa"/>
            <w:tcBorders>
              <w:top w:val="single" w:sz="12" w:space="0" w:color="auto"/>
              <w:left w:val="nil"/>
              <w:right w:val="nil"/>
            </w:tcBorders>
          </w:tcPr>
          <w:p w14:paraId="0CE2DCFD" w14:textId="40FAFB84"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1310</w:t>
            </w:r>
          </w:p>
        </w:tc>
        <w:tc>
          <w:tcPr>
            <w:tcW w:w="1396" w:type="dxa"/>
            <w:tcBorders>
              <w:top w:val="single" w:sz="12" w:space="0" w:color="auto"/>
              <w:left w:val="nil"/>
              <w:right w:val="single" w:sz="12" w:space="0" w:color="auto"/>
            </w:tcBorders>
            <w:shd w:val="clear" w:color="auto" w:fill="auto"/>
            <w:noWrap/>
          </w:tcPr>
          <w:p w14:paraId="76448BEE" w14:textId="633B6E10"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353</w:t>
            </w:r>
          </w:p>
        </w:tc>
        <w:tc>
          <w:tcPr>
            <w:tcW w:w="1434" w:type="dxa"/>
            <w:tcBorders>
              <w:top w:val="single" w:sz="12" w:space="0" w:color="auto"/>
              <w:left w:val="single" w:sz="12" w:space="0" w:color="auto"/>
            </w:tcBorders>
          </w:tcPr>
          <w:p w14:paraId="3EB9283D" w14:textId="11F1366D"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6717</w:t>
            </w:r>
          </w:p>
        </w:tc>
        <w:tc>
          <w:tcPr>
            <w:tcW w:w="1390" w:type="dxa"/>
            <w:tcBorders>
              <w:top w:val="single" w:sz="12" w:space="0" w:color="auto"/>
              <w:left w:val="nil"/>
              <w:right w:val="nil"/>
            </w:tcBorders>
          </w:tcPr>
          <w:p w14:paraId="604992E3" w14:textId="391C569C"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1308</w:t>
            </w:r>
          </w:p>
        </w:tc>
        <w:tc>
          <w:tcPr>
            <w:tcW w:w="1426" w:type="dxa"/>
            <w:gridSpan w:val="2"/>
            <w:tcBorders>
              <w:top w:val="single" w:sz="12" w:space="0" w:color="auto"/>
              <w:left w:val="nil"/>
              <w:right w:val="nil"/>
            </w:tcBorders>
          </w:tcPr>
          <w:p w14:paraId="0194E96F" w14:textId="43C89517"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353</w:t>
            </w:r>
          </w:p>
        </w:tc>
      </w:tr>
      <w:tr w:rsidR="00EE533D" w:rsidRPr="00EE533D" w14:paraId="1AE3E59A" w14:textId="77777777" w:rsidTr="00F4319C">
        <w:trPr>
          <w:trHeight w:val="104"/>
        </w:trPr>
        <w:tc>
          <w:tcPr>
            <w:tcW w:w="2806" w:type="dxa"/>
            <w:tcBorders>
              <w:left w:val="nil"/>
              <w:right w:val="nil"/>
            </w:tcBorders>
            <w:shd w:val="clear" w:color="auto" w:fill="auto"/>
            <w:noWrap/>
            <w:vAlign w:val="bottom"/>
          </w:tcPr>
          <w:p w14:paraId="5192BC7A" w14:textId="77777777" w:rsidR="007D3955" w:rsidRPr="00EE533D" w:rsidRDefault="007D3955" w:rsidP="007D3955">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Firms</w:t>
            </w:r>
          </w:p>
        </w:tc>
        <w:tc>
          <w:tcPr>
            <w:tcW w:w="1417" w:type="dxa"/>
            <w:tcBorders>
              <w:left w:val="nil"/>
              <w:right w:val="nil"/>
            </w:tcBorders>
            <w:shd w:val="clear" w:color="auto" w:fill="auto"/>
            <w:noWrap/>
          </w:tcPr>
          <w:p w14:paraId="055573A2" w14:textId="55A61EBF"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1087</w:t>
            </w:r>
          </w:p>
        </w:tc>
        <w:tc>
          <w:tcPr>
            <w:tcW w:w="1498" w:type="dxa"/>
            <w:tcBorders>
              <w:left w:val="nil"/>
              <w:right w:val="nil"/>
            </w:tcBorders>
          </w:tcPr>
          <w:p w14:paraId="3A41C320" w14:textId="6A30E8DB"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271</w:t>
            </w:r>
          </w:p>
        </w:tc>
        <w:tc>
          <w:tcPr>
            <w:tcW w:w="1396" w:type="dxa"/>
            <w:tcBorders>
              <w:left w:val="nil"/>
              <w:right w:val="single" w:sz="12" w:space="0" w:color="auto"/>
            </w:tcBorders>
            <w:shd w:val="clear" w:color="auto" w:fill="auto"/>
            <w:noWrap/>
          </w:tcPr>
          <w:p w14:paraId="07E78216" w14:textId="57477044"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82</w:t>
            </w:r>
          </w:p>
        </w:tc>
        <w:tc>
          <w:tcPr>
            <w:tcW w:w="1434" w:type="dxa"/>
            <w:tcBorders>
              <w:left w:val="single" w:sz="12" w:space="0" w:color="auto"/>
            </w:tcBorders>
          </w:tcPr>
          <w:p w14:paraId="57764934" w14:textId="3591D7D6"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1076</w:t>
            </w:r>
          </w:p>
        </w:tc>
        <w:tc>
          <w:tcPr>
            <w:tcW w:w="1390" w:type="dxa"/>
            <w:tcBorders>
              <w:left w:val="nil"/>
              <w:right w:val="nil"/>
            </w:tcBorders>
          </w:tcPr>
          <w:p w14:paraId="6FE3271B" w14:textId="4A56CB02"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269</w:t>
            </w:r>
          </w:p>
        </w:tc>
        <w:tc>
          <w:tcPr>
            <w:tcW w:w="1426" w:type="dxa"/>
            <w:gridSpan w:val="2"/>
            <w:tcBorders>
              <w:left w:val="nil"/>
              <w:right w:val="nil"/>
            </w:tcBorders>
          </w:tcPr>
          <w:p w14:paraId="78602121" w14:textId="47C0124C" w:rsidR="007D3955" w:rsidRPr="00EE533D" w:rsidRDefault="007D3955" w:rsidP="007D3955">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81</w:t>
            </w:r>
          </w:p>
        </w:tc>
      </w:tr>
      <w:tr w:rsidR="00EE533D" w:rsidRPr="00EE533D" w14:paraId="51625F29" w14:textId="77777777" w:rsidTr="00F4319C">
        <w:trPr>
          <w:trHeight w:val="104"/>
        </w:trPr>
        <w:tc>
          <w:tcPr>
            <w:tcW w:w="2806" w:type="dxa"/>
            <w:tcBorders>
              <w:left w:val="nil"/>
              <w:right w:val="nil"/>
            </w:tcBorders>
            <w:shd w:val="clear" w:color="auto" w:fill="auto"/>
            <w:noWrap/>
            <w:vAlign w:val="bottom"/>
          </w:tcPr>
          <w:p w14:paraId="33EC0D1A"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Number of instruments</w:t>
            </w:r>
          </w:p>
        </w:tc>
        <w:tc>
          <w:tcPr>
            <w:tcW w:w="1417" w:type="dxa"/>
            <w:tcBorders>
              <w:left w:val="nil"/>
              <w:right w:val="nil"/>
            </w:tcBorders>
            <w:shd w:val="clear" w:color="auto" w:fill="auto"/>
            <w:noWrap/>
            <w:vAlign w:val="bottom"/>
          </w:tcPr>
          <w:p w14:paraId="01BF7537"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98" w:type="dxa"/>
            <w:tcBorders>
              <w:left w:val="nil"/>
              <w:right w:val="nil"/>
            </w:tcBorders>
            <w:vAlign w:val="bottom"/>
          </w:tcPr>
          <w:p w14:paraId="29007F7F"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396" w:type="dxa"/>
            <w:tcBorders>
              <w:left w:val="nil"/>
              <w:right w:val="single" w:sz="12" w:space="0" w:color="auto"/>
            </w:tcBorders>
            <w:shd w:val="clear" w:color="auto" w:fill="auto"/>
            <w:noWrap/>
            <w:vAlign w:val="bottom"/>
          </w:tcPr>
          <w:p w14:paraId="1327EDAE"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34" w:type="dxa"/>
            <w:tcBorders>
              <w:left w:val="single" w:sz="12" w:space="0" w:color="auto"/>
            </w:tcBorders>
            <w:vAlign w:val="bottom"/>
          </w:tcPr>
          <w:p w14:paraId="7DD5DBB6"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390" w:type="dxa"/>
            <w:tcBorders>
              <w:left w:val="nil"/>
              <w:right w:val="nil"/>
            </w:tcBorders>
            <w:vAlign w:val="bottom"/>
          </w:tcPr>
          <w:p w14:paraId="105ADB78"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46</w:t>
            </w:r>
          </w:p>
        </w:tc>
        <w:tc>
          <w:tcPr>
            <w:tcW w:w="1426" w:type="dxa"/>
            <w:gridSpan w:val="2"/>
            <w:tcBorders>
              <w:left w:val="nil"/>
              <w:right w:val="nil"/>
            </w:tcBorders>
            <w:vAlign w:val="bottom"/>
          </w:tcPr>
          <w:p w14:paraId="08A231EF" w14:textId="65756126"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4</w:t>
            </w:r>
            <w:r w:rsidR="00D47817" w:rsidRPr="00EE533D">
              <w:rPr>
                <w:rFonts w:ascii="Times New Roman" w:eastAsia="Times New Roman" w:hAnsi="Times New Roman" w:cs="Times New Roman"/>
                <w:sz w:val="16"/>
                <w:szCs w:val="16"/>
                <w:lang w:val="en-GB"/>
              </w:rPr>
              <w:t>6</w:t>
            </w:r>
          </w:p>
        </w:tc>
      </w:tr>
      <w:tr w:rsidR="00EE533D" w:rsidRPr="00EE533D" w14:paraId="31A65857" w14:textId="77777777" w:rsidTr="00F4319C">
        <w:trPr>
          <w:trHeight w:val="104"/>
        </w:trPr>
        <w:tc>
          <w:tcPr>
            <w:tcW w:w="2806" w:type="dxa"/>
            <w:tcBorders>
              <w:left w:val="nil"/>
              <w:right w:val="nil"/>
            </w:tcBorders>
            <w:shd w:val="clear" w:color="auto" w:fill="auto"/>
            <w:noWrap/>
            <w:vAlign w:val="bottom"/>
          </w:tcPr>
          <w:p w14:paraId="45E990B8"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AR(1)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2C61C11B" w14:textId="77777777"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498" w:type="dxa"/>
            <w:tcBorders>
              <w:left w:val="nil"/>
              <w:right w:val="nil"/>
            </w:tcBorders>
          </w:tcPr>
          <w:p w14:paraId="3D39EF9E" w14:textId="77777777"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396" w:type="dxa"/>
            <w:tcBorders>
              <w:left w:val="nil"/>
              <w:right w:val="single" w:sz="12" w:space="0" w:color="auto"/>
            </w:tcBorders>
            <w:shd w:val="clear" w:color="auto" w:fill="auto"/>
            <w:noWrap/>
          </w:tcPr>
          <w:p w14:paraId="72AA4CD3" w14:textId="11F5F713"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w:t>
            </w:r>
            <w:r w:rsidR="00415F57" w:rsidRPr="00EE533D">
              <w:rPr>
                <w:rFonts w:ascii="Times New Roman" w:hAnsi="Times New Roman" w:cs="Times New Roman"/>
                <w:sz w:val="16"/>
                <w:szCs w:val="16"/>
                <w:lang w:val="en-GB"/>
              </w:rPr>
              <w:t>26</w:t>
            </w:r>
          </w:p>
        </w:tc>
        <w:tc>
          <w:tcPr>
            <w:tcW w:w="1434" w:type="dxa"/>
            <w:tcBorders>
              <w:left w:val="single" w:sz="12" w:space="0" w:color="auto"/>
            </w:tcBorders>
          </w:tcPr>
          <w:p w14:paraId="0A521EFC" w14:textId="77777777"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390" w:type="dxa"/>
            <w:tcBorders>
              <w:left w:val="nil"/>
              <w:right w:val="nil"/>
            </w:tcBorders>
          </w:tcPr>
          <w:p w14:paraId="0B7B656B" w14:textId="77777777"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0.000</w:t>
            </w:r>
          </w:p>
        </w:tc>
        <w:tc>
          <w:tcPr>
            <w:tcW w:w="1426" w:type="dxa"/>
            <w:gridSpan w:val="2"/>
            <w:tcBorders>
              <w:left w:val="nil"/>
              <w:right w:val="nil"/>
            </w:tcBorders>
          </w:tcPr>
          <w:p w14:paraId="17EE725F" w14:textId="0F15131D"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D47817" w:rsidRPr="00EE533D">
              <w:rPr>
                <w:rFonts w:ascii="Times New Roman" w:hAnsi="Times New Roman" w:cs="Times New Roman"/>
                <w:sz w:val="16"/>
                <w:szCs w:val="16"/>
                <w:lang w:val="en-GB"/>
              </w:rPr>
              <w:t>070</w:t>
            </w:r>
          </w:p>
        </w:tc>
      </w:tr>
      <w:tr w:rsidR="00EE533D" w:rsidRPr="00EE533D" w14:paraId="57901522" w14:textId="77777777" w:rsidTr="00F4319C">
        <w:trPr>
          <w:trHeight w:val="104"/>
        </w:trPr>
        <w:tc>
          <w:tcPr>
            <w:tcW w:w="2806" w:type="dxa"/>
            <w:tcBorders>
              <w:left w:val="nil"/>
              <w:right w:val="nil"/>
            </w:tcBorders>
            <w:shd w:val="clear" w:color="auto" w:fill="auto"/>
            <w:noWrap/>
            <w:vAlign w:val="bottom"/>
          </w:tcPr>
          <w:p w14:paraId="5597D36D"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AR(2)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3C96E3ED" w14:textId="6C31F29A"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7060B5" w:rsidRPr="00EE533D">
              <w:rPr>
                <w:rFonts w:ascii="Times New Roman" w:hAnsi="Times New Roman" w:cs="Times New Roman"/>
                <w:sz w:val="16"/>
                <w:szCs w:val="16"/>
                <w:lang w:val="en-GB"/>
              </w:rPr>
              <w:t>804</w:t>
            </w:r>
          </w:p>
        </w:tc>
        <w:tc>
          <w:tcPr>
            <w:tcW w:w="1498" w:type="dxa"/>
            <w:tcBorders>
              <w:left w:val="nil"/>
              <w:right w:val="nil"/>
            </w:tcBorders>
          </w:tcPr>
          <w:p w14:paraId="03B2C116" w14:textId="6E2E5B86"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0.18</w:t>
            </w:r>
            <w:r w:rsidR="00415F57" w:rsidRPr="00EE533D">
              <w:rPr>
                <w:rFonts w:ascii="Times New Roman" w:hAnsi="Times New Roman" w:cs="Times New Roman"/>
                <w:sz w:val="16"/>
                <w:szCs w:val="16"/>
                <w:lang w:val="en-GB"/>
              </w:rPr>
              <w:t>4</w:t>
            </w:r>
          </w:p>
        </w:tc>
        <w:tc>
          <w:tcPr>
            <w:tcW w:w="1396" w:type="dxa"/>
            <w:tcBorders>
              <w:left w:val="nil"/>
              <w:right w:val="single" w:sz="12" w:space="0" w:color="auto"/>
            </w:tcBorders>
            <w:shd w:val="clear" w:color="auto" w:fill="auto"/>
            <w:noWrap/>
          </w:tcPr>
          <w:p w14:paraId="7BA60F21" w14:textId="34AC7F35"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0.2</w:t>
            </w:r>
            <w:r w:rsidR="00415F57" w:rsidRPr="00EE533D">
              <w:rPr>
                <w:rFonts w:ascii="Times New Roman" w:hAnsi="Times New Roman" w:cs="Times New Roman"/>
                <w:sz w:val="16"/>
                <w:szCs w:val="16"/>
                <w:lang w:val="en-GB"/>
              </w:rPr>
              <w:t>82</w:t>
            </w:r>
          </w:p>
        </w:tc>
        <w:tc>
          <w:tcPr>
            <w:tcW w:w="1434" w:type="dxa"/>
            <w:tcBorders>
              <w:left w:val="single" w:sz="12" w:space="0" w:color="auto"/>
            </w:tcBorders>
          </w:tcPr>
          <w:p w14:paraId="2C9F5049" w14:textId="7469FE5F"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C80041" w:rsidRPr="00EE533D">
              <w:rPr>
                <w:rFonts w:ascii="Times New Roman" w:hAnsi="Times New Roman" w:cs="Times New Roman"/>
                <w:sz w:val="16"/>
                <w:szCs w:val="16"/>
                <w:lang w:val="en-GB"/>
              </w:rPr>
              <w:t>757</w:t>
            </w:r>
          </w:p>
        </w:tc>
        <w:tc>
          <w:tcPr>
            <w:tcW w:w="1390" w:type="dxa"/>
            <w:tcBorders>
              <w:left w:val="nil"/>
              <w:right w:val="nil"/>
            </w:tcBorders>
          </w:tcPr>
          <w:p w14:paraId="76D7DE8D" w14:textId="7EA45976"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0.24</w:t>
            </w:r>
            <w:r w:rsidR="00C80041" w:rsidRPr="00EE533D">
              <w:rPr>
                <w:rFonts w:ascii="Times New Roman" w:hAnsi="Times New Roman" w:cs="Times New Roman"/>
                <w:sz w:val="16"/>
                <w:szCs w:val="16"/>
                <w:lang w:val="en-GB"/>
              </w:rPr>
              <w:t>9</w:t>
            </w:r>
          </w:p>
        </w:tc>
        <w:tc>
          <w:tcPr>
            <w:tcW w:w="1426" w:type="dxa"/>
            <w:gridSpan w:val="2"/>
            <w:tcBorders>
              <w:left w:val="nil"/>
              <w:right w:val="nil"/>
            </w:tcBorders>
          </w:tcPr>
          <w:p w14:paraId="5281C5DA" w14:textId="4A903C51"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D47817" w:rsidRPr="00EE533D">
              <w:rPr>
                <w:rFonts w:ascii="Times New Roman" w:hAnsi="Times New Roman" w:cs="Times New Roman"/>
                <w:sz w:val="16"/>
                <w:szCs w:val="16"/>
                <w:lang w:val="en-GB"/>
              </w:rPr>
              <w:t>672</w:t>
            </w:r>
          </w:p>
        </w:tc>
      </w:tr>
      <w:tr w:rsidR="00EE533D" w:rsidRPr="00EE533D" w14:paraId="2E067283" w14:textId="77777777" w:rsidTr="00F4319C">
        <w:trPr>
          <w:trHeight w:val="104"/>
        </w:trPr>
        <w:tc>
          <w:tcPr>
            <w:tcW w:w="2806" w:type="dxa"/>
            <w:tcBorders>
              <w:left w:val="nil"/>
              <w:right w:val="nil"/>
            </w:tcBorders>
            <w:shd w:val="clear" w:color="auto" w:fill="auto"/>
            <w:noWrap/>
            <w:vAlign w:val="bottom"/>
          </w:tcPr>
          <w:p w14:paraId="4D87AA7E"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 xml:space="preserve"> AR(3)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68A48840" w14:textId="43748FB1"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7060B5" w:rsidRPr="00EE533D">
              <w:rPr>
                <w:rFonts w:ascii="Times New Roman" w:hAnsi="Times New Roman" w:cs="Times New Roman"/>
                <w:sz w:val="16"/>
                <w:szCs w:val="16"/>
                <w:lang w:val="en-GB"/>
              </w:rPr>
              <w:t>908</w:t>
            </w:r>
          </w:p>
        </w:tc>
        <w:tc>
          <w:tcPr>
            <w:tcW w:w="1498" w:type="dxa"/>
            <w:tcBorders>
              <w:left w:val="nil"/>
              <w:right w:val="nil"/>
            </w:tcBorders>
          </w:tcPr>
          <w:p w14:paraId="0B0BEF59" w14:textId="49BA5E03"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415F57" w:rsidRPr="00EE533D">
              <w:rPr>
                <w:rFonts w:ascii="Times New Roman" w:hAnsi="Times New Roman" w:cs="Times New Roman"/>
                <w:sz w:val="16"/>
                <w:szCs w:val="16"/>
                <w:lang w:val="en-GB"/>
              </w:rPr>
              <w:t>864</w:t>
            </w:r>
          </w:p>
        </w:tc>
        <w:tc>
          <w:tcPr>
            <w:tcW w:w="1396" w:type="dxa"/>
            <w:tcBorders>
              <w:left w:val="nil"/>
              <w:right w:val="single" w:sz="12" w:space="0" w:color="auto"/>
            </w:tcBorders>
            <w:shd w:val="clear" w:color="auto" w:fill="auto"/>
            <w:noWrap/>
          </w:tcPr>
          <w:p w14:paraId="63E9D29E" w14:textId="27C1A62D"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415F57" w:rsidRPr="00EE533D">
              <w:rPr>
                <w:rFonts w:ascii="Times New Roman" w:hAnsi="Times New Roman" w:cs="Times New Roman"/>
                <w:sz w:val="16"/>
                <w:szCs w:val="16"/>
                <w:lang w:val="en-GB"/>
              </w:rPr>
              <w:t>302</w:t>
            </w:r>
          </w:p>
        </w:tc>
        <w:tc>
          <w:tcPr>
            <w:tcW w:w="1434" w:type="dxa"/>
            <w:tcBorders>
              <w:left w:val="single" w:sz="12" w:space="0" w:color="auto"/>
            </w:tcBorders>
          </w:tcPr>
          <w:p w14:paraId="1C41D476" w14:textId="24B9E603"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0.70</w:t>
            </w:r>
            <w:r w:rsidR="00C80041" w:rsidRPr="00EE533D">
              <w:rPr>
                <w:rFonts w:ascii="Times New Roman" w:hAnsi="Times New Roman" w:cs="Times New Roman"/>
                <w:sz w:val="16"/>
                <w:szCs w:val="16"/>
                <w:lang w:val="en-GB"/>
              </w:rPr>
              <w:t>4</w:t>
            </w:r>
          </w:p>
        </w:tc>
        <w:tc>
          <w:tcPr>
            <w:tcW w:w="1390" w:type="dxa"/>
            <w:tcBorders>
              <w:left w:val="nil"/>
              <w:right w:val="nil"/>
            </w:tcBorders>
          </w:tcPr>
          <w:p w14:paraId="24807D46" w14:textId="3C706D69"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C80041" w:rsidRPr="00EE533D">
              <w:rPr>
                <w:rFonts w:ascii="Times New Roman" w:hAnsi="Times New Roman" w:cs="Times New Roman"/>
                <w:sz w:val="16"/>
                <w:szCs w:val="16"/>
                <w:lang w:val="en-GB"/>
              </w:rPr>
              <w:t>917</w:t>
            </w:r>
          </w:p>
        </w:tc>
        <w:tc>
          <w:tcPr>
            <w:tcW w:w="1426" w:type="dxa"/>
            <w:gridSpan w:val="2"/>
            <w:tcBorders>
              <w:left w:val="nil"/>
              <w:right w:val="nil"/>
            </w:tcBorders>
          </w:tcPr>
          <w:p w14:paraId="7052A810" w14:textId="43CDA4E7"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D47817" w:rsidRPr="00EE533D">
              <w:rPr>
                <w:rFonts w:ascii="Times New Roman" w:hAnsi="Times New Roman" w:cs="Times New Roman"/>
                <w:sz w:val="16"/>
                <w:szCs w:val="16"/>
                <w:lang w:val="en-GB"/>
              </w:rPr>
              <w:t>544</w:t>
            </w:r>
          </w:p>
        </w:tc>
      </w:tr>
      <w:tr w:rsidR="00EE533D" w:rsidRPr="00EE533D" w14:paraId="776C277E" w14:textId="77777777" w:rsidTr="00F4319C">
        <w:trPr>
          <w:trHeight w:val="104"/>
        </w:trPr>
        <w:tc>
          <w:tcPr>
            <w:tcW w:w="2806" w:type="dxa"/>
            <w:tcBorders>
              <w:left w:val="nil"/>
              <w:right w:val="nil"/>
            </w:tcBorders>
            <w:shd w:val="clear" w:color="auto" w:fill="auto"/>
            <w:noWrap/>
            <w:vAlign w:val="bottom"/>
          </w:tcPr>
          <w:p w14:paraId="4863D971"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Hansen test (</w:t>
            </w:r>
            <w:r w:rsidRPr="00EE533D">
              <w:rPr>
                <w:rFonts w:ascii="Times New Roman" w:eastAsia="Times New Roman" w:hAnsi="Times New Roman" w:cs="Times New Roman"/>
                <w:i/>
                <w:sz w:val="16"/>
                <w:szCs w:val="16"/>
                <w:lang w:val="en-GB"/>
              </w:rPr>
              <w:t>p</w:t>
            </w:r>
            <w:r w:rsidRPr="00EE533D">
              <w:rPr>
                <w:rFonts w:ascii="Times New Roman" w:eastAsia="Times New Roman" w:hAnsi="Times New Roman" w:cs="Times New Roman"/>
                <w:sz w:val="16"/>
                <w:szCs w:val="16"/>
                <w:lang w:val="en-GB"/>
              </w:rPr>
              <w:t>-value)</w:t>
            </w:r>
          </w:p>
        </w:tc>
        <w:tc>
          <w:tcPr>
            <w:tcW w:w="1417" w:type="dxa"/>
            <w:tcBorders>
              <w:left w:val="nil"/>
              <w:right w:val="nil"/>
            </w:tcBorders>
            <w:shd w:val="clear" w:color="auto" w:fill="auto"/>
            <w:noWrap/>
          </w:tcPr>
          <w:p w14:paraId="39999353" w14:textId="0F70E5FF"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7060B5" w:rsidRPr="00EE533D">
              <w:rPr>
                <w:rFonts w:ascii="Times New Roman" w:hAnsi="Times New Roman" w:cs="Times New Roman"/>
                <w:sz w:val="16"/>
                <w:szCs w:val="16"/>
                <w:lang w:val="en-GB"/>
              </w:rPr>
              <w:t>064</w:t>
            </w:r>
          </w:p>
        </w:tc>
        <w:tc>
          <w:tcPr>
            <w:tcW w:w="1498" w:type="dxa"/>
            <w:tcBorders>
              <w:left w:val="nil"/>
              <w:right w:val="nil"/>
            </w:tcBorders>
          </w:tcPr>
          <w:p w14:paraId="53B5B7BC" w14:textId="79472015"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415F57" w:rsidRPr="00EE533D">
              <w:rPr>
                <w:rFonts w:ascii="Times New Roman" w:hAnsi="Times New Roman" w:cs="Times New Roman"/>
                <w:sz w:val="16"/>
                <w:szCs w:val="16"/>
                <w:lang w:val="en-GB"/>
              </w:rPr>
              <w:t>360</w:t>
            </w:r>
          </w:p>
        </w:tc>
        <w:tc>
          <w:tcPr>
            <w:tcW w:w="1396" w:type="dxa"/>
            <w:tcBorders>
              <w:left w:val="nil"/>
              <w:right w:val="single" w:sz="12" w:space="0" w:color="auto"/>
            </w:tcBorders>
            <w:shd w:val="clear" w:color="auto" w:fill="auto"/>
            <w:noWrap/>
          </w:tcPr>
          <w:p w14:paraId="7D56864D" w14:textId="267A3831"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415F57" w:rsidRPr="00EE533D">
              <w:rPr>
                <w:rFonts w:ascii="Times New Roman" w:hAnsi="Times New Roman" w:cs="Times New Roman"/>
                <w:sz w:val="16"/>
                <w:szCs w:val="16"/>
                <w:lang w:val="en-GB"/>
              </w:rPr>
              <w:t>815</w:t>
            </w:r>
          </w:p>
        </w:tc>
        <w:tc>
          <w:tcPr>
            <w:tcW w:w="1434" w:type="dxa"/>
            <w:tcBorders>
              <w:left w:val="single" w:sz="12" w:space="0" w:color="auto"/>
            </w:tcBorders>
          </w:tcPr>
          <w:p w14:paraId="7B6B4476" w14:textId="47CBE0AA"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C80041" w:rsidRPr="00EE533D">
              <w:rPr>
                <w:rFonts w:ascii="Times New Roman" w:hAnsi="Times New Roman" w:cs="Times New Roman"/>
                <w:sz w:val="16"/>
                <w:szCs w:val="16"/>
                <w:lang w:val="en-GB"/>
              </w:rPr>
              <w:t>129</w:t>
            </w:r>
          </w:p>
        </w:tc>
        <w:tc>
          <w:tcPr>
            <w:tcW w:w="1390" w:type="dxa"/>
            <w:tcBorders>
              <w:left w:val="nil"/>
              <w:right w:val="nil"/>
            </w:tcBorders>
          </w:tcPr>
          <w:p w14:paraId="5D2E52E2" w14:textId="30849520"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0.5</w:t>
            </w:r>
            <w:r w:rsidR="00C80041" w:rsidRPr="00EE533D">
              <w:rPr>
                <w:rFonts w:ascii="Times New Roman" w:hAnsi="Times New Roman" w:cs="Times New Roman"/>
                <w:sz w:val="16"/>
                <w:szCs w:val="16"/>
                <w:lang w:val="en-GB"/>
              </w:rPr>
              <w:t>48</w:t>
            </w:r>
          </w:p>
        </w:tc>
        <w:tc>
          <w:tcPr>
            <w:tcW w:w="1426" w:type="dxa"/>
            <w:gridSpan w:val="2"/>
            <w:tcBorders>
              <w:left w:val="nil"/>
              <w:right w:val="nil"/>
            </w:tcBorders>
          </w:tcPr>
          <w:p w14:paraId="552E9738" w14:textId="79431FFD" w:rsidR="005A6142" w:rsidRPr="00EE533D" w:rsidRDefault="005A6142" w:rsidP="00F4319C">
            <w:pPr>
              <w:spacing w:after="0" w:line="240" w:lineRule="auto"/>
              <w:jc w:val="center"/>
              <w:rPr>
                <w:rFonts w:ascii="Times New Roman" w:hAnsi="Times New Roman" w:cs="Times New Roman"/>
                <w:sz w:val="16"/>
                <w:szCs w:val="16"/>
                <w:lang w:val="en-GB"/>
              </w:rPr>
            </w:pPr>
            <w:r w:rsidRPr="00EE533D">
              <w:rPr>
                <w:rFonts w:ascii="Times New Roman" w:hAnsi="Times New Roman" w:cs="Times New Roman"/>
                <w:sz w:val="16"/>
                <w:szCs w:val="16"/>
                <w:lang w:val="en-GB"/>
              </w:rPr>
              <w:t>0.</w:t>
            </w:r>
            <w:r w:rsidR="00D47817" w:rsidRPr="00EE533D">
              <w:rPr>
                <w:rFonts w:ascii="Times New Roman" w:hAnsi="Times New Roman" w:cs="Times New Roman"/>
                <w:sz w:val="16"/>
                <w:szCs w:val="16"/>
                <w:lang w:val="en-GB"/>
              </w:rPr>
              <w:t>964</w:t>
            </w:r>
          </w:p>
        </w:tc>
      </w:tr>
      <w:tr w:rsidR="00EE533D" w:rsidRPr="00EE533D" w14:paraId="59017685" w14:textId="77777777" w:rsidTr="00F4319C">
        <w:trPr>
          <w:trHeight w:val="104"/>
        </w:trPr>
        <w:tc>
          <w:tcPr>
            <w:tcW w:w="2806" w:type="dxa"/>
            <w:tcBorders>
              <w:left w:val="nil"/>
              <w:right w:val="nil"/>
            </w:tcBorders>
            <w:shd w:val="clear" w:color="auto" w:fill="auto"/>
            <w:noWrap/>
            <w:vAlign w:val="bottom"/>
          </w:tcPr>
          <w:p w14:paraId="0B33F90C"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Hansen test excluding group</w:t>
            </w:r>
          </w:p>
        </w:tc>
        <w:tc>
          <w:tcPr>
            <w:tcW w:w="1417" w:type="dxa"/>
            <w:tcBorders>
              <w:left w:val="nil"/>
              <w:right w:val="nil"/>
            </w:tcBorders>
            <w:shd w:val="clear" w:color="auto" w:fill="auto"/>
            <w:noWrap/>
            <w:vAlign w:val="bottom"/>
          </w:tcPr>
          <w:p w14:paraId="63E606F7"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98" w:type="dxa"/>
            <w:tcBorders>
              <w:left w:val="nil"/>
              <w:right w:val="nil"/>
            </w:tcBorders>
            <w:vAlign w:val="bottom"/>
          </w:tcPr>
          <w:p w14:paraId="0AA6281F"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396" w:type="dxa"/>
            <w:tcBorders>
              <w:left w:val="nil"/>
              <w:right w:val="single" w:sz="12" w:space="0" w:color="auto"/>
            </w:tcBorders>
            <w:shd w:val="clear" w:color="auto" w:fill="auto"/>
            <w:noWrap/>
            <w:vAlign w:val="bottom"/>
          </w:tcPr>
          <w:p w14:paraId="235DE071"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34" w:type="dxa"/>
            <w:tcBorders>
              <w:left w:val="single" w:sz="12" w:space="0" w:color="auto"/>
            </w:tcBorders>
            <w:vAlign w:val="bottom"/>
          </w:tcPr>
          <w:p w14:paraId="637804D9"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390" w:type="dxa"/>
            <w:tcBorders>
              <w:left w:val="nil"/>
              <w:right w:val="nil"/>
            </w:tcBorders>
            <w:vAlign w:val="bottom"/>
          </w:tcPr>
          <w:p w14:paraId="0E5EE2B6"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c>
          <w:tcPr>
            <w:tcW w:w="1426" w:type="dxa"/>
            <w:gridSpan w:val="2"/>
            <w:tcBorders>
              <w:left w:val="nil"/>
              <w:right w:val="nil"/>
            </w:tcBorders>
            <w:vAlign w:val="bottom"/>
          </w:tcPr>
          <w:p w14:paraId="692C067A"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w:t>
            </w:r>
          </w:p>
        </w:tc>
      </w:tr>
      <w:tr w:rsidR="00EE533D" w:rsidRPr="00EE533D" w14:paraId="12903E92" w14:textId="77777777" w:rsidTr="00F4319C">
        <w:trPr>
          <w:trHeight w:val="104"/>
        </w:trPr>
        <w:tc>
          <w:tcPr>
            <w:tcW w:w="2806" w:type="dxa"/>
            <w:tcBorders>
              <w:left w:val="nil"/>
              <w:right w:val="nil"/>
            </w:tcBorders>
            <w:shd w:val="clear" w:color="auto" w:fill="auto"/>
            <w:noWrap/>
            <w:vAlign w:val="bottom"/>
          </w:tcPr>
          <w:p w14:paraId="282CC45A" w14:textId="777777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Difference (null H = exogenous)</w:t>
            </w:r>
          </w:p>
        </w:tc>
        <w:tc>
          <w:tcPr>
            <w:tcW w:w="1417" w:type="dxa"/>
            <w:tcBorders>
              <w:left w:val="nil"/>
              <w:right w:val="nil"/>
            </w:tcBorders>
            <w:shd w:val="clear" w:color="auto" w:fill="auto"/>
            <w:noWrap/>
            <w:vAlign w:val="bottom"/>
          </w:tcPr>
          <w:p w14:paraId="58758A15" w14:textId="7AE757CB"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7060B5" w:rsidRPr="00EE533D">
              <w:rPr>
                <w:rFonts w:ascii="Times New Roman" w:eastAsia="Times New Roman" w:hAnsi="Times New Roman" w:cs="Times New Roman"/>
                <w:sz w:val="16"/>
                <w:szCs w:val="16"/>
                <w:lang w:val="en-GB"/>
              </w:rPr>
              <w:t>064</w:t>
            </w:r>
          </w:p>
        </w:tc>
        <w:tc>
          <w:tcPr>
            <w:tcW w:w="1498" w:type="dxa"/>
            <w:tcBorders>
              <w:left w:val="nil"/>
              <w:right w:val="nil"/>
            </w:tcBorders>
            <w:vAlign w:val="bottom"/>
          </w:tcPr>
          <w:p w14:paraId="303F3C38" w14:textId="4669B277"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415F57" w:rsidRPr="00EE533D">
              <w:rPr>
                <w:rFonts w:ascii="Times New Roman" w:eastAsia="Times New Roman" w:hAnsi="Times New Roman" w:cs="Times New Roman"/>
                <w:sz w:val="16"/>
                <w:szCs w:val="16"/>
                <w:lang w:val="en-GB"/>
              </w:rPr>
              <w:t>360</w:t>
            </w:r>
          </w:p>
        </w:tc>
        <w:tc>
          <w:tcPr>
            <w:tcW w:w="1396" w:type="dxa"/>
            <w:tcBorders>
              <w:left w:val="nil"/>
              <w:right w:val="single" w:sz="12" w:space="0" w:color="auto"/>
            </w:tcBorders>
            <w:shd w:val="clear" w:color="auto" w:fill="auto"/>
            <w:noWrap/>
            <w:vAlign w:val="bottom"/>
          </w:tcPr>
          <w:p w14:paraId="04F5FC1A" w14:textId="773CD64F"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415F57" w:rsidRPr="00EE533D">
              <w:rPr>
                <w:rFonts w:ascii="Times New Roman" w:eastAsia="Times New Roman" w:hAnsi="Times New Roman" w:cs="Times New Roman"/>
                <w:sz w:val="16"/>
                <w:szCs w:val="16"/>
                <w:lang w:val="en-GB"/>
              </w:rPr>
              <w:t>81</w:t>
            </w:r>
            <w:r w:rsidRPr="00EE533D">
              <w:rPr>
                <w:rFonts w:ascii="Times New Roman" w:eastAsia="Times New Roman" w:hAnsi="Times New Roman" w:cs="Times New Roman"/>
                <w:sz w:val="16"/>
                <w:szCs w:val="16"/>
                <w:lang w:val="en-GB"/>
              </w:rPr>
              <w:t>5</w:t>
            </w:r>
          </w:p>
        </w:tc>
        <w:tc>
          <w:tcPr>
            <w:tcW w:w="1434" w:type="dxa"/>
            <w:tcBorders>
              <w:left w:val="single" w:sz="12" w:space="0" w:color="auto"/>
            </w:tcBorders>
            <w:vAlign w:val="bottom"/>
          </w:tcPr>
          <w:p w14:paraId="6BD5170F" w14:textId="015441AF"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C80041" w:rsidRPr="00EE533D">
              <w:rPr>
                <w:rFonts w:ascii="Times New Roman" w:eastAsia="Times New Roman" w:hAnsi="Times New Roman" w:cs="Times New Roman"/>
                <w:sz w:val="16"/>
                <w:szCs w:val="16"/>
                <w:lang w:val="en-GB"/>
              </w:rPr>
              <w:t>129</w:t>
            </w:r>
          </w:p>
        </w:tc>
        <w:tc>
          <w:tcPr>
            <w:tcW w:w="1390" w:type="dxa"/>
            <w:tcBorders>
              <w:left w:val="nil"/>
              <w:right w:val="nil"/>
            </w:tcBorders>
            <w:vAlign w:val="bottom"/>
          </w:tcPr>
          <w:p w14:paraId="68E27B54" w14:textId="7EEDD235"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0.5</w:t>
            </w:r>
            <w:r w:rsidR="00C80041" w:rsidRPr="00EE533D">
              <w:rPr>
                <w:rFonts w:ascii="Times New Roman" w:eastAsia="Times New Roman" w:hAnsi="Times New Roman" w:cs="Times New Roman"/>
                <w:sz w:val="16"/>
                <w:szCs w:val="16"/>
                <w:lang w:val="en-GB"/>
              </w:rPr>
              <w:t>48</w:t>
            </w:r>
          </w:p>
        </w:tc>
        <w:tc>
          <w:tcPr>
            <w:tcW w:w="1426" w:type="dxa"/>
            <w:gridSpan w:val="2"/>
            <w:tcBorders>
              <w:left w:val="nil"/>
              <w:right w:val="nil"/>
            </w:tcBorders>
            <w:vAlign w:val="bottom"/>
          </w:tcPr>
          <w:p w14:paraId="53A24079" w14:textId="02BF98D3" w:rsidR="005A6142" w:rsidRPr="00EE533D" w:rsidRDefault="005A6142" w:rsidP="00F4319C">
            <w:pPr>
              <w:spacing w:after="0" w:line="240" w:lineRule="auto"/>
              <w:jc w:val="center"/>
              <w:rPr>
                <w:rFonts w:ascii="Times New Roman" w:eastAsia="Times New Roman" w:hAnsi="Times New Roman" w:cs="Times New Roman"/>
                <w:sz w:val="16"/>
                <w:szCs w:val="16"/>
                <w:lang w:val="en-GB"/>
              </w:rPr>
            </w:pPr>
            <w:r w:rsidRPr="00EE533D">
              <w:rPr>
                <w:rFonts w:ascii="Times New Roman" w:eastAsia="Times New Roman" w:hAnsi="Times New Roman" w:cs="Times New Roman"/>
                <w:sz w:val="16"/>
                <w:szCs w:val="16"/>
                <w:lang w:val="en-GB"/>
              </w:rPr>
              <w:t>0.</w:t>
            </w:r>
            <w:r w:rsidR="00D47817" w:rsidRPr="00EE533D">
              <w:rPr>
                <w:rFonts w:ascii="Times New Roman" w:eastAsia="Times New Roman" w:hAnsi="Times New Roman" w:cs="Times New Roman"/>
                <w:sz w:val="16"/>
                <w:szCs w:val="16"/>
                <w:lang w:val="en-GB"/>
              </w:rPr>
              <w:t>964</w:t>
            </w:r>
          </w:p>
        </w:tc>
      </w:tr>
      <w:tr w:rsidR="00EE533D" w:rsidRPr="00EE533D" w14:paraId="6E9A69FF" w14:textId="77777777" w:rsidTr="00F4319C">
        <w:trPr>
          <w:gridAfter w:val="1"/>
          <w:wAfter w:w="27" w:type="dxa"/>
          <w:trHeight w:val="421"/>
        </w:trPr>
        <w:tc>
          <w:tcPr>
            <w:tcW w:w="11340" w:type="dxa"/>
            <w:gridSpan w:val="7"/>
            <w:tcBorders>
              <w:top w:val="single" w:sz="12" w:space="0" w:color="auto"/>
              <w:left w:val="nil"/>
              <w:right w:val="nil"/>
            </w:tcBorders>
            <w:shd w:val="clear" w:color="auto" w:fill="auto"/>
            <w:noWrap/>
            <w:vAlign w:val="bottom"/>
          </w:tcPr>
          <w:p w14:paraId="42BD2DFF" w14:textId="77777777" w:rsidR="005A6142" w:rsidRPr="00EE533D" w:rsidRDefault="005A6142" w:rsidP="00F4319C">
            <w:pPr>
              <w:spacing w:after="0"/>
              <w:jc w:val="both"/>
              <w:rPr>
                <w:rFonts w:ascii="Times New Roman" w:eastAsia="Times New Roman" w:hAnsi="Times New Roman" w:cs="Times New Roman"/>
                <w:sz w:val="16"/>
                <w:szCs w:val="16"/>
                <w:lang w:val="en-GB" w:eastAsia="el-GR"/>
              </w:rPr>
            </w:pPr>
            <w:r w:rsidRPr="00EE533D">
              <w:rPr>
                <w:rFonts w:ascii="Times New Roman" w:eastAsia="Times New Roman" w:hAnsi="Times New Roman" w:cs="Times New Roman"/>
                <w:b/>
                <w:sz w:val="16"/>
                <w:szCs w:val="16"/>
                <w:lang w:val="en-GB"/>
              </w:rPr>
              <w:t>Notes</w:t>
            </w:r>
            <w:r w:rsidRPr="00EE533D">
              <w:rPr>
                <w:rFonts w:ascii="Times New Roman" w:eastAsia="Times New Roman" w:hAnsi="Times New Roman" w:cs="Times New Roman"/>
                <w:sz w:val="16"/>
                <w:szCs w:val="16"/>
                <w:lang w:val="en-GB"/>
              </w:rPr>
              <w:t>: Coefficients are estimated using a GMM (Generalized Method of Moments) system method with robust standard errors corrected for finite sample bias and time effects. Instruments were collapsed. The table reports the two-step estimation. Hansen test excluding group (Difference (null H = exogenous)) examines the validity (the exogeneity) of our instrument subset used in the level equation. Robust s</w:t>
            </w:r>
            <w:r w:rsidRPr="00EE533D">
              <w:rPr>
                <w:rFonts w:ascii="Times New Roman" w:eastAsia="Times New Roman" w:hAnsi="Times New Roman" w:cs="Times New Roman"/>
                <w:sz w:val="16"/>
                <w:szCs w:val="16"/>
                <w:lang w:val="en-GB" w:eastAsia="el-GR"/>
              </w:rPr>
              <w:t xml:space="preserve">tandard errors </w:t>
            </w:r>
            <w:r w:rsidRPr="00EE533D">
              <w:rPr>
                <w:rFonts w:ascii="Times New Roman" w:eastAsia="Times New Roman" w:hAnsi="Times New Roman" w:cs="Times New Roman"/>
                <w:sz w:val="16"/>
                <w:szCs w:val="16"/>
                <w:lang w:val="en-GB"/>
              </w:rPr>
              <w:t>are reported in parentheses. * indicates significance at the 10% level, ** at the 5% level and *** at the 1% level.</w:t>
            </w:r>
          </w:p>
        </w:tc>
      </w:tr>
    </w:tbl>
    <w:p w14:paraId="54DF08C6" w14:textId="514B691A" w:rsidR="005A6142" w:rsidRPr="00EE533D" w:rsidRDefault="005A6142" w:rsidP="007467F2">
      <w:pPr>
        <w:spacing w:line="259" w:lineRule="auto"/>
        <w:rPr>
          <w:rFonts w:asciiTheme="majorBidi" w:hAnsiTheme="majorBidi" w:cstheme="majorBidi"/>
          <w:sz w:val="24"/>
          <w:szCs w:val="24"/>
          <w:lang w:val="en-GB"/>
        </w:rPr>
      </w:pPr>
    </w:p>
    <w:p w14:paraId="550BFD02" w14:textId="6576D0BB" w:rsidR="00FF17D5" w:rsidRPr="00EE533D" w:rsidRDefault="005A6142">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page" w:horzAnchor="margin" w:tblpXSpec="center" w:tblpY="814"/>
        <w:tblW w:w="11367" w:type="dxa"/>
        <w:tblCellMar>
          <w:left w:w="70" w:type="dxa"/>
          <w:right w:w="70" w:type="dxa"/>
        </w:tblCellMar>
        <w:tblLook w:val="04A0" w:firstRow="1" w:lastRow="0" w:firstColumn="1" w:lastColumn="0" w:noHBand="0" w:noVBand="1"/>
      </w:tblPr>
      <w:tblGrid>
        <w:gridCol w:w="2977"/>
        <w:gridCol w:w="1246"/>
        <w:gridCol w:w="1498"/>
        <w:gridCol w:w="1396"/>
        <w:gridCol w:w="1434"/>
        <w:gridCol w:w="1390"/>
        <w:gridCol w:w="1426"/>
      </w:tblGrid>
      <w:tr w:rsidR="00EE533D" w:rsidRPr="00EE533D" w14:paraId="081AA863" w14:textId="77777777" w:rsidTr="00F4319C">
        <w:trPr>
          <w:trHeight w:val="68"/>
        </w:trPr>
        <w:tc>
          <w:tcPr>
            <w:tcW w:w="11367" w:type="dxa"/>
            <w:gridSpan w:val="7"/>
            <w:tcBorders>
              <w:left w:val="nil"/>
              <w:right w:val="nil"/>
            </w:tcBorders>
            <w:shd w:val="clear" w:color="auto" w:fill="auto"/>
            <w:noWrap/>
            <w:vAlign w:val="bottom"/>
          </w:tcPr>
          <w:p w14:paraId="1C446D1D" w14:textId="70D00FDD" w:rsidR="00FF17D5" w:rsidRPr="00EE533D" w:rsidRDefault="00FF17D5" w:rsidP="00F4319C">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Table 11. Institutional quality and corporate recycling performance</w:t>
            </w:r>
            <w:r w:rsidR="008E0D04" w:rsidRPr="00EE533D">
              <w:rPr>
                <w:rFonts w:ascii="Times New Roman" w:eastAsia="Times New Roman" w:hAnsi="Times New Roman" w:cs="Times New Roman"/>
                <w:b/>
                <w:sz w:val="14"/>
                <w:szCs w:val="14"/>
                <w:lang w:val="en-GB"/>
              </w:rPr>
              <w:t>.</w:t>
            </w:r>
            <w:r w:rsidR="007221DE" w:rsidRPr="00EE533D">
              <w:rPr>
                <w:rFonts w:ascii="Times New Roman" w:eastAsia="Times New Roman" w:hAnsi="Times New Roman" w:cs="Times New Roman"/>
                <w:b/>
                <w:sz w:val="14"/>
                <w:szCs w:val="14"/>
                <w:lang w:val="en-GB"/>
              </w:rPr>
              <w:t xml:space="preserve"> Heckman selection model</w:t>
            </w:r>
          </w:p>
        </w:tc>
      </w:tr>
      <w:tr w:rsidR="00EE533D" w:rsidRPr="00EE533D" w14:paraId="2B75D4F5" w14:textId="77777777" w:rsidTr="005D7CB5">
        <w:trPr>
          <w:trHeight w:val="20"/>
        </w:trPr>
        <w:tc>
          <w:tcPr>
            <w:tcW w:w="2977" w:type="dxa"/>
            <w:tcBorders>
              <w:left w:val="nil"/>
              <w:right w:val="nil"/>
            </w:tcBorders>
            <w:shd w:val="clear" w:color="auto" w:fill="auto"/>
            <w:noWrap/>
            <w:vAlign w:val="bottom"/>
          </w:tcPr>
          <w:p w14:paraId="6E5AC8E1" w14:textId="1242EA86" w:rsidR="00757D35" w:rsidRPr="00EE533D" w:rsidRDefault="00496B09" w:rsidP="00757D35">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Outcome</w:t>
            </w:r>
            <w:r w:rsidR="00251F8F" w:rsidRPr="00EE533D">
              <w:rPr>
                <w:rFonts w:ascii="Times New Roman" w:eastAsia="Calibri" w:hAnsi="Times New Roman" w:cs="Times New Roman"/>
                <w:b/>
                <w:sz w:val="14"/>
                <w:szCs w:val="14"/>
                <w:lang w:val="en-GB"/>
              </w:rPr>
              <w:t>:</w:t>
            </w:r>
          </w:p>
        </w:tc>
        <w:tc>
          <w:tcPr>
            <w:tcW w:w="2744" w:type="dxa"/>
            <w:gridSpan w:val="2"/>
            <w:tcBorders>
              <w:left w:val="nil"/>
              <w:bottom w:val="single" w:sz="12" w:space="0" w:color="auto"/>
              <w:right w:val="single" w:sz="12" w:space="0" w:color="auto"/>
            </w:tcBorders>
            <w:shd w:val="clear" w:color="auto" w:fill="auto"/>
            <w:noWrap/>
          </w:tcPr>
          <w:p w14:paraId="4ACCEE8B" w14:textId="188E2040" w:rsidR="00757D35" w:rsidRPr="00EE533D" w:rsidRDefault="00757D35" w:rsidP="00757D35">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2830" w:type="dxa"/>
            <w:gridSpan w:val="2"/>
            <w:tcBorders>
              <w:left w:val="single" w:sz="12" w:space="0" w:color="auto"/>
              <w:bottom w:val="single" w:sz="12" w:space="0" w:color="auto"/>
              <w:right w:val="single" w:sz="12" w:space="0" w:color="auto"/>
            </w:tcBorders>
            <w:shd w:val="clear" w:color="auto" w:fill="auto"/>
            <w:noWrap/>
          </w:tcPr>
          <w:p w14:paraId="11BAC6E8" w14:textId="350D3BBD" w:rsidR="00757D35" w:rsidRPr="00EE533D" w:rsidRDefault="00757D35" w:rsidP="00757D35">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2816" w:type="dxa"/>
            <w:gridSpan w:val="2"/>
            <w:tcBorders>
              <w:left w:val="single" w:sz="12" w:space="0" w:color="auto"/>
              <w:bottom w:val="single" w:sz="12" w:space="0" w:color="auto"/>
            </w:tcBorders>
          </w:tcPr>
          <w:p w14:paraId="0F61869C" w14:textId="376A1B06" w:rsidR="00757D35" w:rsidRPr="00EE533D" w:rsidRDefault="00757D35" w:rsidP="00757D35">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 xml:space="preserve">Recycled </w:t>
            </w:r>
            <w:r w:rsidR="00E504F0" w:rsidRPr="00EE533D">
              <w:rPr>
                <w:rFonts w:ascii="Times New Roman" w:hAnsi="Times New Roman" w:cs="Times New Roman"/>
                <w:b/>
                <w:bCs/>
                <w:sz w:val="14"/>
                <w:szCs w:val="14"/>
                <w:lang w:val="en-GB"/>
              </w:rPr>
              <w:t>Paper</w:t>
            </w:r>
          </w:p>
        </w:tc>
      </w:tr>
      <w:tr w:rsidR="00EE533D" w:rsidRPr="00EE533D" w14:paraId="5B628E39" w14:textId="77777777" w:rsidTr="005D7CB5">
        <w:trPr>
          <w:trHeight w:val="20"/>
        </w:trPr>
        <w:tc>
          <w:tcPr>
            <w:tcW w:w="2977" w:type="dxa"/>
            <w:tcBorders>
              <w:left w:val="nil"/>
              <w:right w:val="nil"/>
            </w:tcBorders>
            <w:shd w:val="clear" w:color="auto" w:fill="auto"/>
            <w:noWrap/>
            <w:vAlign w:val="bottom"/>
          </w:tcPr>
          <w:p w14:paraId="01BA8FF2" w14:textId="1CF3835A" w:rsidR="00496B09" w:rsidRPr="00EE533D" w:rsidRDefault="00496B09" w:rsidP="00496B09">
            <w:pPr>
              <w:spacing w:after="0" w:line="240" w:lineRule="auto"/>
              <w:jc w:val="right"/>
              <w:rPr>
                <w:rFonts w:ascii="Times New Roman" w:eastAsia="Calibri" w:hAnsi="Times New Roman" w:cs="Times New Roman"/>
                <w:b/>
                <w:sz w:val="14"/>
                <w:szCs w:val="14"/>
                <w:lang w:val="en-GB"/>
              </w:rPr>
            </w:pPr>
          </w:p>
        </w:tc>
        <w:tc>
          <w:tcPr>
            <w:tcW w:w="1246" w:type="dxa"/>
            <w:tcBorders>
              <w:left w:val="nil"/>
              <w:bottom w:val="single" w:sz="12" w:space="0" w:color="auto"/>
              <w:right w:val="nil"/>
            </w:tcBorders>
            <w:shd w:val="clear" w:color="auto" w:fill="auto"/>
            <w:noWrap/>
          </w:tcPr>
          <w:p w14:paraId="6D30F04F" w14:textId="77777777" w:rsidR="00496B09" w:rsidRPr="00EE533D" w:rsidRDefault="00496B09" w:rsidP="00496B09">
            <w:pPr>
              <w:spacing w:after="0" w:line="240" w:lineRule="auto"/>
              <w:jc w:val="center"/>
              <w:rPr>
                <w:rFonts w:ascii="Times New Roman" w:hAnsi="Times New Roman" w:cs="Times New Roman"/>
                <w:b/>
                <w:bCs/>
                <w:sz w:val="14"/>
                <w:szCs w:val="14"/>
                <w:lang w:val="en-GB"/>
              </w:rPr>
            </w:pPr>
          </w:p>
          <w:p w14:paraId="097FE5CA" w14:textId="137939DA"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498" w:type="dxa"/>
            <w:tcBorders>
              <w:left w:val="nil"/>
              <w:bottom w:val="single" w:sz="12" w:space="0" w:color="auto"/>
              <w:right w:val="single" w:sz="12" w:space="0" w:color="auto"/>
            </w:tcBorders>
          </w:tcPr>
          <w:p w14:paraId="4CD28057" w14:textId="77777777"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p>
          <w:p w14:paraId="17AB27DF" w14:textId="4907D711"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c>
          <w:tcPr>
            <w:tcW w:w="1396" w:type="dxa"/>
            <w:tcBorders>
              <w:left w:val="single" w:sz="12" w:space="0" w:color="auto"/>
              <w:bottom w:val="single" w:sz="12" w:space="0" w:color="auto"/>
            </w:tcBorders>
            <w:shd w:val="clear" w:color="auto" w:fill="auto"/>
            <w:noWrap/>
          </w:tcPr>
          <w:p w14:paraId="2E32F6A7" w14:textId="77777777" w:rsidR="00496B09" w:rsidRPr="00EE533D" w:rsidRDefault="00496B09" w:rsidP="00496B09">
            <w:pPr>
              <w:spacing w:after="0" w:line="240" w:lineRule="auto"/>
              <w:jc w:val="center"/>
              <w:rPr>
                <w:rFonts w:ascii="Times New Roman" w:hAnsi="Times New Roman" w:cs="Times New Roman"/>
                <w:b/>
                <w:bCs/>
                <w:sz w:val="14"/>
                <w:szCs w:val="14"/>
                <w:lang w:val="en-GB"/>
              </w:rPr>
            </w:pPr>
          </w:p>
          <w:p w14:paraId="1C2558ED" w14:textId="742D42A0"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434" w:type="dxa"/>
            <w:tcBorders>
              <w:bottom w:val="single" w:sz="12" w:space="0" w:color="auto"/>
              <w:right w:val="single" w:sz="12" w:space="0" w:color="auto"/>
            </w:tcBorders>
          </w:tcPr>
          <w:p w14:paraId="0761EBCA" w14:textId="77777777"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p>
          <w:p w14:paraId="7848BE7E" w14:textId="529F5B01"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c>
          <w:tcPr>
            <w:tcW w:w="1390" w:type="dxa"/>
            <w:tcBorders>
              <w:left w:val="single" w:sz="12" w:space="0" w:color="auto"/>
              <w:bottom w:val="single" w:sz="12" w:space="0" w:color="auto"/>
              <w:right w:val="nil"/>
            </w:tcBorders>
          </w:tcPr>
          <w:p w14:paraId="1E836101" w14:textId="77777777" w:rsidR="00496B09" w:rsidRPr="00EE533D" w:rsidRDefault="00496B09" w:rsidP="00496B09">
            <w:pPr>
              <w:spacing w:after="0" w:line="240" w:lineRule="auto"/>
              <w:jc w:val="center"/>
              <w:rPr>
                <w:rFonts w:ascii="Times New Roman" w:hAnsi="Times New Roman" w:cs="Times New Roman"/>
                <w:b/>
                <w:bCs/>
                <w:sz w:val="14"/>
                <w:szCs w:val="14"/>
                <w:lang w:val="en-GB"/>
              </w:rPr>
            </w:pPr>
          </w:p>
          <w:p w14:paraId="16E3E6EA" w14:textId="312D3509"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426" w:type="dxa"/>
            <w:tcBorders>
              <w:left w:val="nil"/>
              <w:bottom w:val="single" w:sz="12" w:space="0" w:color="auto"/>
            </w:tcBorders>
          </w:tcPr>
          <w:p w14:paraId="2E5873A9" w14:textId="77777777"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p>
          <w:p w14:paraId="685D390D" w14:textId="1259E89F" w:rsidR="00496B09" w:rsidRPr="00EE533D" w:rsidRDefault="00496B09" w:rsidP="00496B09">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r>
      <w:tr w:rsidR="00EE533D" w:rsidRPr="00EE533D" w14:paraId="257FF9B6" w14:textId="77777777" w:rsidTr="005D7CB5">
        <w:trPr>
          <w:trHeight w:val="20"/>
        </w:trPr>
        <w:tc>
          <w:tcPr>
            <w:tcW w:w="2977" w:type="dxa"/>
            <w:tcBorders>
              <w:left w:val="nil"/>
              <w:bottom w:val="single" w:sz="12" w:space="0" w:color="auto"/>
              <w:right w:val="nil"/>
            </w:tcBorders>
            <w:shd w:val="clear" w:color="auto" w:fill="auto"/>
            <w:noWrap/>
            <w:vAlign w:val="bottom"/>
          </w:tcPr>
          <w:p w14:paraId="6EF70D20" w14:textId="77777777" w:rsidR="00496B09" w:rsidRPr="00EE533D" w:rsidRDefault="00496B09" w:rsidP="00496B09">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246" w:type="dxa"/>
            <w:tcBorders>
              <w:left w:val="nil"/>
              <w:bottom w:val="single" w:sz="12" w:space="0" w:color="auto"/>
              <w:right w:val="nil"/>
            </w:tcBorders>
            <w:shd w:val="clear" w:color="auto" w:fill="auto"/>
            <w:noWrap/>
            <w:vAlign w:val="bottom"/>
          </w:tcPr>
          <w:p w14:paraId="16BF7E76" w14:textId="77777777" w:rsidR="00496B09" w:rsidRPr="00EE533D" w:rsidRDefault="00496B09" w:rsidP="00496B09">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498" w:type="dxa"/>
            <w:tcBorders>
              <w:left w:val="nil"/>
              <w:bottom w:val="single" w:sz="12" w:space="0" w:color="auto"/>
              <w:right w:val="single" w:sz="12" w:space="0" w:color="auto"/>
            </w:tcBorders>
            <w:vAlign w:val="bottom"/>
          </w:tcPr>
          <w:p w14:paraId="4B6335D4" w14:textId="77777777" w:rsidR="00496B09" w:rsidRPr="00EE533D" w:rsidRDefault="00496B09" w:rsidP="00496B09">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396" w:type="dxa"/>
            <w:tcBorders>
              <w:left w:val="single" w:sz="12" w:space="0" w:color="auto"/>
              <w:bottom w:val="single" w:sz="12" w:space="0" w:color="auto"/>
            </w:tcBorders>
            <w:shd w:val="clear" w:color="auto" w:fill="auto"/>
            <w:noWrap/>
            <w:vAlign w:val="bottom"/>
          </w:tcPr>
          <w:p w14:paraId="3814F25D" w14:textId="77777777" w:rsidR="00496B09" w:rsidRPr="00EE533D" w:rsidRDefault="00496B09" w:rsidP="00496B09">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34" w:type="dxa"/>
            <w:tcBorders>
              <w:bottom w:val="single" w:sz="12" w:space="0" w:color="auto"/>
              <w:right w:val="single" w:sz="12" w:space="0" w:color="auto"/>
            </w:tcBorders>
            <w:vAlign w:val="bottom"/>
          </w:tcPr>
          <w:p w14:paraId="16A2A64A" w14:textId="77777777" w:rsidR="00496B09" w:rsidRPr="00EE533D" w:rsidRDefault="00496B09" w:rsidP="00496B09">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0" w:type="dxa"/>
            <w:tcBorders>
              <w:left w:val="single" w:sz="12" w:space="0" w:color="auto"/>
              <w:bottom w:val="single" w:sz="12" w:space="0" w:color="auto"/>
              <w:right w:val="nil"/>
            </w:tcBorders>
            <w:vAlign w:val="bottom"/>
          </w:tcPr>
          <w:p w14:paraId="78D229D0" w14:textId="77777777" w:rsidR="00496B09" w:rsidRPr="00EE533D" w:rsidRDefault="00496B09" w:rsidP="00496B09">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26" w:type="dxa"/>
            <w:tcBorders>
              <w:left w:val="nil"/>
              <w:bottom w:val="single" w:sz="12" w:space="0" w:color="auto"/>
            </w:tcBorders>
            <w:vAlign w:val="bottom"/>
          </w:tcPr>
          <w:p w14:paraId="319B14F6" w14:textId="77777777" w:rsidR="00496B09" w:rsidRPr="00EE533D" w:rsidRDefault="00496B09" w:rsidP="00496B09">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48CEAC97" w14:textId="77777777" w:rsidTr="005D7CB5">
        <w:trPr>
          <w:trHeight w:val="20"/>
        </w:trPr>
        <w:tc>
          <w:tcPr>
            <w:tcW w:w="2977" w:type="dxa"/>
            <w:tcBorders>
              <w:top w:val="nil"/>
              <w:left w:val="nil"/>
              <w:bottom w:val="nil"/>
              <w:right w:val="nil"/>
            </w:tcBorders>
            <w:shd w:val="clear" w:color="auto" w:fill="auto"/>
            <w:noWrap/>
          </w:tcPr>
          <w:p w14:paraId="6775DA8D" w14:textId="67C98022"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Consumer Staples</w:t>
            </w:r>
          </w:p>
        </w:tc>
        <w:tc>
          <w:tcPr>
            <w:tcW w:w="1246" w:type="dxa"/>
            <w:tcBorders>
              <w:top w:val="nil"/>
              <w:left w:val="nil"/>
              <w:bottom w:val="nil"/>
              <w:right w:val="nil"/>
            </w:tcBorders>
            <w:shd w:val="clear" w:color="auto" w:fill="auto"/>
            <w:noWrap/>
          </w:tcPr>
          <w:p w14:paraId="2F4E4B09" w14:textId="60C6D0CF"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-0.037</w:t>
            </w:r>
          </w:p>
        </w:tc>
        <w:tc>
          <w:tcPr>
            <w:tcW w:w="1498" w:type="dxa"/>
            <w:tcBorders>
              <w:top w:val="nil"/>
              <w:left w:val="nil"/>
              <w:bottom w:val="nil"/>
              <w:right w:val="single" w:sz="12" w:space="0" w:color="auto"/>
            </w:tcBorders>
          </w:tcPr>
          <w:p w14:paraId="69A15CC0"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6E7032B3" w14:textId="4FA569BB"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0.405***</w:t>
            </w:r>
          </w:p>
        </w:tc>
        <w:tc>
          <w:tcPr>
            <w:tcW w:w="1434" w:type="dxa"/>
            <w:tcBorders>
              <w:top w:val="nil"/>
              <w:bottom w:val="nil"/>
              <w:right w:val="single" w:sz="12" w:space="0" w:color="auto"/>
            </w:tcBorders>
          </w:tcPr>
          <w:p w14:paraId="6155EE04"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38990C5C" w14:textId="277046EC"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-0.338***</w:t>
            </w:r>
          </w:p>
        </w:tc>
        <w:tc>
          <w:tcPr>
            <w:tcW w:w="1426" w:type="dxa"/>
            <w:tcBorders>
              <w:top w:val="nil"/>
              <w:left w:val="nil"/>
              <w:bottom w:val="nil"/>
            </w:tcBorders>
          </w:tcPr>
          <w:p w14:paraId="627BF764"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0433E27A" w14:textId="77777777" w:rsidTr="005D7CB5">
        <w:trPr>
          <w:trHeight w:val="20"/>
        </w:trPr>
        <w:tc>
          <w:tcPr>
            <w:tcW w:w="2977" w:type="dxa"/>
            <w:tcBorders>
              <w:top w:val="nil"/>
              <w:left w:val="nil"/>
              <w:bottom w:val="nil"/>
              <w:right w:val="nil"/>
            </w:tcBorders>
            <w:shd w:val="clear" w:color="auto" w:fill="auto"/>
            <w:noWrap/>
          </w:tcPr>
          <w:p w14:paraId="3BC000F6" w14:textId="3745B916"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4FF1AA9E" w14:textId="46457542"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498" w:type="dxa"/>
            <w:tcBorders>
              <w:top w:val="nil"/>
              <w:left w:val="nil"/>
              <w:bottom w:val="nil"/>
              <w:right w:val="single" w:sz="12" w:space="0" w:color="auto"/>
            </w:tcBorders>
          </w:tcPr>
          <w:p w14:paraId="052B53A8"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6A3508DA" w14:textId="17D60034"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34" w:type="dxa"/>
            <w:tcBorders>
              <w:top w:val="nil"/>
              <w:bottom w:val="nil"/>
              <w:right w:val="single" w:sz="12" w:space="0" w:color="auto"/>
            </w:tcBorders>
          </w:tcPr>
          <w:p w14:paraId="0FA19593"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44F3DDFA" w14:textId="195D8967"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(0.103)</w:t>
            </w:r>
          </w:p>
        </w:tc>
        <w:tc>
          <w:tcPr>
            <w:tcW w:w="1426" w:type="dxa"/>
            <w:tcBorders>
              <w:top w:val="nil"/>
              <w:left w:val="nil"/>
              <w:bottom w:val="nil"/>
            </w:tcBorders>
          </w:tcPr>
          <w:p w14:paraId="5A9794CA"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4C97A92A" w14:textId="77777777" w:rsidTr="005D7CB5">
        <w:trPr>
          <w:trHeight w:val="20"/>
        </w:trPr>
        <w:tc>
          <w:tcPr>
            <w:tcW w:w="2977" w:type="dxa"/>
            <w:tcBorders>
              <w:top w:val="nil"/>
              <w:left w:val="nil"/>
              <w:bottom w:val="nil"/>
              <w:right w:val="nil"/>
            </w:tcBorders>
            <w:shd w:val="clear" w:color="auto" w:fill="auto"/>
            <w:noWrap/>
          </w:tcPr>
          <w:p w14:paraId="558414AC" w14:textId="3352B397"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Materials</w:t>
            </w:r>
          </w:p>
        </w:tc>
        <w:tc>
          <w:tcPr>
            <w:tcW w:w="1246" w:type="dxa"/>
            <w:tcBorders>
              <w:top w:val="nil"/>
              <w:left w:val="nil"/>
              <w:bottom w:val="nil"/>
              <w:right w:val="nil"/>
            </w:tcBorders>
            <w:shd w:val="clear" w:color="auto" w:fill="auto"/>
            <w:noWrap/>
          </w:tcPr>
          <w:p w14:paraId="4719E6B9" w14:textId="71B03991"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-0.078</w:t>
            </w:r>
          </w:p>
        </w:tc>
        <w:tc>
          <w:tcPr>
            <w:tcW w:w="1498" w:type="dxa"/>
            <w:tcBorders>
              <w:top w:val="nil"/>
              <w:left w:val="nil"/>
              <w:bottom w:val="nil"/>
              <w:right w:val="single" w:sz="12" w:space="0" w:color="auto"/>
            </w:tcBorders>
          </w:tcPr>
          <w:p w14:paraId="47B511B0"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0874558C" w14:textId="07D2997F"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-0.755***</w:t>
            </w:r>
          </w:p>
        </w:tc>
        <w:tc>
          <w:tcPr>
            <w:tcW w:w="1434" w:type="dxa"/>
            <w:tcBorders>
              <w:top w:val="nil"/>
              <w:bottom w:val="nil"/>
              <w:right w:val="single" w:sz="12" w:space="0" w:color="auto"/>
            </w:tcBorders>
          </w:tcPr>
          <w:p w14:paraId="72028FB5"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67500744" w14:textId="346CFAB4"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0.887***</w:t>
            </w:r>
          </w:p>
        </w:tc>
        <w:tc>
          <w:tcPr>
            <w:tcW w:w="1426" w:type="dxa"/>
            <w:tcBorders>
              <w:top w:val="nil"/>
              <w:left w:val="nil"/>
              <w:bottom w:val="nil"/>
            </w:tcBorders>
          </w:tcPr>
          <w:p w14:paraId="0433A6EE"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6A26E714" w14:textId="77777777" w:rsidTr="005D7CB5">
        <w:trPr>
          <w:trHeight w:val="20"/>
        </w:trPr>
        <w:tc>
          <w:tcPr>
            <w:tcW w:w="2977" w:type="dxa"/>
            <w:tcBorders>
              <w:top w:val="nil"/>
              <w:left w:val="nil"/>
              <w:bottom w:val="nil"/>
              <w:right w:val="nil"/>
            </w:tcBorders>
            <w:shd w:val="clear" w:color="auto" w:fill="auto"/>
            <w:noWrap/>
          </w:tcPr>
          <w:p w14:paraId="71418CA4" w14:textId="3AA51990"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7ABD6E5B" w14:textId="109D72A7"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(0.081)</w:t>
            </w:r>
          </w:p>
        </w:tc>
        <w:tc>
          <w:tcPr>
            <w:tcW w:w="1498" w:type="dxa"/>
            <w:tcBorders>
              <w:top w:val="nil"/>
              <w:left w:val="nil"/>
              <w:bottom w:val="nil"/>
              <w:right w:val="single" w:sz="12" w:space="0" w:color="auto"/>
            </w:tcBorders>
          </w:tcPr>
          <w:p w14:paraId="503F7FC9"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F161D0F" w14:textId="35573F01"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(0.107)</w:t>
            </w:r>
          </w:p>
        </w:tc>
        <w:tc>
          <w:tcPr>
            <w:tcW w:w="1434" w:type="dxa"/>
            <w:tcBorders>
              <w:top w:val="nil"/>
              <w:bottom w:val="nil"/>
              <w:right w:val="single" w:sz="12" w:space="0" w:color="auto"/>
            </w:tcBorders>
          </w:tcPr>
          <w:p w14:paraId="7E659685"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1A4C76DD" w14:textId="53DA8D67"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(0.097)</w:t>
            </w:r>
          </w:p>
        </w:tc>
        <w:tc>
          <w:tcPr>
            <w:tcW w:w="1426" w:type="dxa"/>
            <w:tcBorders>
              <w:top w:val="nil"/>
              <w:left w:val="nil"/>
              <w:bottom w:val="nil"/>
            </w:tcBorders>
          </w:tcPr>
          <w:p w14:paraId="0278AA38"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5ACE45C6" w14:textId="77777777" w:rsidTr="005D7CB5">
        <w:trPr>
          <w:trHeight w:val="20"/>
        </w:trPr>
        <w:tc>
          <w:tcPr>
            <w:tcW w:w="2977" w:type="dxa"/>
            <w:tcBorders>
              <w:top w:val="nil"/>
              <w:left w:val="nil"/>
              <w:bottom w:val="nil"/>
              <w:right w:val="nil"/>
            </w:tcBorders>
            <w:shd w:val="clear" w:color="auto" w:fill="auto"/>
            <w:noWrap/>
          </w:tcPr>
          <w:p w14:paraId="717BE812" w14:textId="7AEE609A"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Communication</w:t>
            </w:r>
          </w:p>
        </w:tc>
        <w:tc>
          <w:tcPr>
            <w:tcW w:w="1246" w:type="dxa"/>
            <w:tcBorders>
              <w:top w:val="nil"/>
              <w:left w:val="nil"/>
              <w:bottom w:val="nil"/>
              <w:right w:val="nil"/>
            </w:tcBorders>
            <w:shd w:val="clear" w:color="auto" w:fill="auto"/>
            <w:noWrap/>
          </w:tcPr>
          <w:p w14:paraId="3982EA68" w14:textId="034437A1"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0.196**</w:t>
            </w:r>
          </w:p>
        </w:tc>
        <w:tc>
          <w:tcPr>
            <w:tcW w:w="1498" w:type="dxa"/>
            <w:tcBorders>
              <w:top w:val="nil"/>
              <w:left w:val="nil"/>
              <w:bottom w:val="nil"/>
              <w:right w:val="single" w:sz="12" w:space="0" w:color="auto"/>
            </w:tcBorders>
          </w:tcPr>
          <w:p w14:paraId="6E6778F6"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129865C3" w14:textId="6F18E719"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0.202***</w:t>
            </w:r>
          </w:p>
        </w:tc>
        <w:tc>
          <w:tcPr>
            <w:tcW w:w="1434" w:type="dxa"/>
            <w:tcBorders>
              <w:top w:val="nil"/>
              <w:bottom w:val="nil"/>
              <w:right w:val="single" w:sz="12" w:space="0" w:color="auto"/>
            </w:tcBorders>
          </w:tcPr>
          <w:p w14:paraId="7B84AEFF"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2C3A5F94" w14:textId="026F833C"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-0.097</w:t>
            </w:r>
          </w:p>
        </w:tc>
        <w:tc>
          <w:tcPr>
            <w:tcW w:w="1426" w:type="dxa"/>
            <w:tcBorders>
              <w:top w:val="nil"/>
              <w:left w:val="nil"/>
              <w:bottom w:val="nil"/>
            </w:tcBorders>
          </w:tcPr>
          <w:p w14:paraId="56717CD1"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73C912E2" w14:textId="77777777" w:rsidTr="005D7CB5">
        <w:trPr>
          <w:trHeight w:val="20"/>
        </w:trPr>
        <w:tc>
          <w:tcPr>
            <w:tcW w:w="2977" w:type="dxa"/>
            <w:tcBorders>
              <w:top w:val="nil"/>
              <w:left w:val="nil"/>
              <w:bottom w:val="nil"/>
              <w:right w:val="nil"/>
            </w:tcBorders>
            <w:shd w:val="clear" w:color="auto" w:fill="auto"/>
            <w:noWrap/>
          </w:tcPr>
          <w:p w14:paraId="3657B3B1" w14:textId="4BC4133F"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5D956351" w14:textId="6B16CF7C"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(0.077)</w:t>
            </w:r>
          </w:p>
        </w:tc>
        <w:tc>
          <w:tcPr>
            <w:tcW w:w="1498" w:type="dxa"/>
            <w:tcBorders>
              <w:top w:val="nil"/>
              <w:left w:val="nil"/>
              <w:bottom w:val="nil"/>
              <w:right w:val="single" w:sz="12" w:space="0" w:color="auto"/>
            </w:tcBorders>
          </w:tcPr>
          <w:p w14:paraId="47100858"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4D1D03B7" w14:textId="29668CD7"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(0.076)</w:t>
            </w:r>
          </w:p>
        </w:tc>
        <w:tc>
          <w:tcPr>
            <w:tcW w:w="1434" w:type="dxa"/>
            <w:tcBorders>
              <w:top w:val="nil"/>
              <w:bottom w:val="nil"/>
              <w:right w:val="single" w:sz="12" w:space="0" w:color="auto"/>
            </w:tcBorders>
          </w:tcPr>
          <w:p w14:paraId="6D2464F6"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28421745" w14:textId="0B0A4DF9"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(0.127)</w:t>
            </w:r>
          </w:p>
        </w:tc>
        <w:tc>
          <w:tcPr>
            <w:tcW w:w="1426" w:type="dxa"/>
            <w:tcBorders>
              <w:top w:val="nil"/>
              <w:left w:val="nil"/>
              <w:bottom w:val="nil"/>
            </w:tcBorders>
          </w:tcPr>
          <w:p w14:paraId="0A838D1C"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3D34ECB8" w14:textId="77777777" w:rsidTr="005D7CB5">
        <w:trPr>
          <w:trHeight w:val="20"/>
        </w:trPr>
        <w:tc>
          <w:tcPr>
            <w:tcW w:w="2977" w:type="dxa"/>
            <w:tcBorders>
              <w:top w:val="nil"/>
              <w:left w:val="nil"/>
              <w:bottom w:val="nil"/>
              <w:right w:val="nil"/>
            </w:tcBorders>
            <w:shd w:val="clear" w:color="auto" w:fill="auto"/>
            <w:noWrap/>
          </w:tcPr>
          <w:p w14:paraId="03E64C49" w14:textId="22303153"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Information Technology</w:t>
            </w:r>
          </w:p>
        </w:tc>
        <w:tc>
          <w:tcPr>
            <w:tcW w:w="1246" w:type="dxa"/>
            <w:tcBorders>
              <w:top w:val="nil"/>
              <w:left w:val="nil"/>
              <w:bottom w:val="nil"/>
              <w:right w:val="nil"/>
            </w:tcBorders>
            <w:shd w:val="clear" w:color="auto" w:fill="auto"/>
            <w:noWrap/>
          </w:tcPr>
          <w:p w14:paraId="35093A74" w14:textId="6522CA7F"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0.024</w:t>
            </w:r>
          </w:p>
        </w:tc>
        <w:tc>
          <w:tcPr>
            <w:tcW w:w="1498" w:type="dxa"/>
            <w:tcBorders>
              <w:top w:val="nil"/>
              <w:left w:val="nil"/>
              <w:bottom w:val="nil"/>
              <w:right w:val="single" w:sz="12" w:space="0" w:color="auto"/>
            </w:tcBorders>
          </w:tcPr>
          <w:p w14:paraId="3E1434E1"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83D732E" w14:textId="5E35D72A"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-0.350***</w:t>
            </w:r>
          </w:p>
        </w:tc>
        <w:tc>
          <w:tcPr>
            <w:tcW w:w="1434" w:type="dxa"/>
            <w:tcBorders>
              <w:top w:val="nil"/>
              <w:bottom w:val="nil"/>
              <w:right w:val="single" w:sz="12" w:space="0" w:color="auto"/>
            </w:tcBorders>
          </w:tcPr>
          <w:p w14:paraId="58788493"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2282E594" w14:textId="255DED47"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0.223**</w:t>
            </w:r>
          </w:p>
        </w:tc>
        <w:tc>
          <w:tcPr>
            <w:tcW w:w="1426" w:type="dxa"/>
            <w:tcBorders>
              <w:top w:val="nil"/>
              <w:left w:val="nil"/>
              <w:bottom w:val="nil"/>
            </w:tcBorders>
          </w:tcPr>
          <w:p w14:paraId="12AE2101"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0540669C" w14:textId="77777777" w:rsidTr="005D7CB5">
        <w:trPr>
          <w:trHeight w:val="20"/>
        </w:trPr>
        <w:tc>
          <w:tcPr>
            <w:tcW w:w="2977" w:type="dxa"/>
            <w:tcBorders>
              <w:top w:val="nil"/>
              <w:left w:val="nil"/>
              <w:bottom w:val="nil"/>
              <w:right w:val="nil"/>
            </w:tcBorders>
            <w:shd w:val="clear" w:color="auto" w:fill="auto"/>
            <w:noWrap/>
          </w:tcPr>
          <w:p w14:paraId="326A2204" w14:textId="2FC52F27"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2CA7BEC2" w14:textId="02BF640D"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(0.065)</w:t>
            </w:r>
          </w:p>
        </w:tc>
        <w:tc>
          <w:tcPr>
            <w:tcW w:w="1498" w:type="dxa"/>
            <w:tcBorders>
              <w:top w:val="nil"/>
              <w:left w:val="nil"/>
              <w:bottom w:val="nil"/>
              <w:right w:val="single" w:sz="12" w:space="0" w:color="auto"/>
            </w:tcBorders>
          </w:tcPr>
          <w:p w14:paraId="3A4DE102"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58BDDCF9" w14:textId="528C55E6"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434" w:type="dxa"/>
            <w:tcBorders>
              <w:top w:val="nil"/>
              <w:bottom w:val="nil"/>
              <w:right w:val="single" w:sz="12" w:space="0" w:color="auto"/>
            </w:tcBorders>
          </w:tcPr>
          <w:p w14:paraId="06D30EBB"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69E8E057" w14:textId="1F648085"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(0.094)</w:t>
            </w:r>
          </w:p>
        </w:tc>
        <w:tc>
          <w:tcPr>
            <w:tcW w:w="1426" w:type="dxa"/>
            <w:tcBorders>
              <w:top w:val="nil"/>
              <w:left w:val="nil"/>
              <w:bottom w:val="nil"/>
            </w:tcBorders>
          </w:tcPr>
          <w:p w14:paraId="25F36397"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1DF9EB7F" w14:textId="77777777" w:rsidTr="005D7CB5">
        <w:trPr>
          <w:trHeight w:val="20"/>
        </w:trPr>
        <w:tc>
          <w:tcPr>
            <w:tcW w:w="2977" w:type="dxa"/>
            <w:tcBorders>
              <w:top w:val="nil"/>
              <w:left w:val="nil"/>
              <w:bottom w:val="nil"/>
              <w:right w:val="nil"/>
            </w:tcBorders>
            <w:shd w:val="clear" w:color="auto" w:fill="auto"/>
            <w:noWrap/>
          </w:tcPr>
          <w:p w14:paraId="12AD1E7B" w14:textId="36DA2E57"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Consumer Discretionary</w:t>
            </w:r>
          </w:p>
        </w:tc>
        <w:tc>
          <w:tcPr>
            <w:tcW w:w="1246" w:type="dxa"/>
            <w:tcBorders>
              <w:top w:val="nil"/>
              <w:left w:val="nil"/>
              <w:bottom w:val="nil"/>
              <w:right w:val="nil"/>
            </w:tcBorders>
            <w:shd w:val="clear" w:color="auto" w:fill="auto"/>
            <w:noWrap/>
          </w:tcPr>
          <w:p w14:paraId="167703D1" w14:textId="036DE825"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0.096</w:t>
            </w:r>
          </w:p>
        </w:tc>
        <w:tc>
          <w:tcPr>
            <w:tcW w:w="1498" w:type="dxa"/>
            <w:tcBorders>
              <w:top w:val="nil"/>
              <w:left w:val="nil"/>
              <w:bottom w:val="nil"/>
              <w:right w:val="single" w:sz="12" w:space="0" w:color="auto"/>
            </w:tcBorders>
          </w:tcPr>
          <w:p w14:paraId="6EDA2611"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41F33C68" w14:textId="6CC84B1E"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-0.275***</w:t>
            </w:r>
          </w:p>
        </w:tc>
        <w:tc>
          <w:tcPr>
            <w:tcW w:w="1434" w:type="dxa"/>
            <w:tcBorders>
              <w:top w:val="nil"/>
              <w:bottom w:val="nil"/>
              <w:right w:val="single" w:sz="12" w:space="0" w:color="auto"/>
            </w:tcBorders>
          </w:tcPr>
          <w:p w14:paraId="2B6140B8"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4CFC8BA4" w14:textId="6DA340B3"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26" w:type="dxa"/>
            <w:tcBorders>
              <w:top w:val="nil"/>
              <w:left w:val="nil"/>
              <w:bottom w:val="nil"/>
            </w:tcBorders>
          </w:tcPr>
          <w:p w14:paraId="0F85E048"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61A3E7E7" w14:textId="77777777" w:rsidTr="005D7CB5">
        <w:trPr>
          <w:trHeight w:val="20"/>
        </w:trPr>
        <w:tc>
          <w:tcPr>
            <w:tcW w:w="2977" w:type="dxa"/>
            <w:tcBorders>
              <w:top w:val="nil"/>
              <w:left w:val="nil"/>
              <w:bottom w:val="nil"/>
              <w:right w:val="nil"/>
            </w:tcBorders>
            <w:shd w:val="clear" w:color="auto" w:fill="auto"/>
            <w:noWrap/>
          </w:tcPr>
          <w:p w14:paraId="17CC299A" w14:textId="7D9592A3"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0E64B0D8" w14:textId="2A6F875F"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98" w:type="dxa"/>
            <w:tcBorders>
              <w:top w:val="nil"/>
              <w:left w:val="nil"/>
              <w:bottom w:val="nil"/>
              <w:right w:val="single" w:sz="12" w:space="0" w:color="auto"/>
            </w:tcBorders>
          </w:tcPr>
          <w:p w14:paraId="47E11547"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0FA1139" w14:textId="5AF6B3AF"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(0.062)</w:t>
            </w:r>
          </w:p>
        </w:tc>
        <w:tc>
          <w:tcPr>
            <w:tcW w:w="1434" w:type="dxa"/>
            <w:tcBorders>
              <w:top w:val="nil"/>
              <w:bottom w:val="nil"/>
              <w:right w:val="single" w:sz="12" w:space="0" w:color="auto"/>
            </w:tcBorders>
          </w:tcPr>
          <w:p w14:paraId="347375AC"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4C7629A4" w14:textId="2AF5F513"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(0.090)</w:t>
            </w:r>
          </w:p>
        </w:tc>
        <w:tc>
          <w:tcPr>
            <w:tcW w:w="1426" w:type="dxa"/>
            <w:tcBorders>
              <w:top w:val="nil"/>
              <w:left w:val="nil"/>
              <w:bottom w:val="nil"/>
            </w:tcBorders>
          </w:tcPr>
          <w:p w14:paraId="6C285077"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668AC073" w14:textId="77777777" w:rsidTr="005D7CB5">
        <w:trPr>
          <w:trHeight w:val="20"/>
        </w:trPr>
        <w:tc>
          <w:tcPr>
            <w:tcW w:w="2977" w:type="dxa"/>
            <w:tcBorders>
              <w:top w:val="nil"/>
              <w:left w:val="nil"/>
              <w:bottom w:val="nil"/>
              <w:right w:val="nil"/>
            </w:tcBorders>
            <w:shd w:val="clear" w:color="auto" w:fill="auto"/>
            <w:noWrap/>
          </w:tcPr>
          <w:p w14:paraId="680480BA" w14:textId="24BFE047"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Industry</w:t>
            </w:r>
          </w:p>
        </w:tc>
        <w:tc>
          <w:tcPr>
            <w:tcW w:w="1246" w:type="dxa"/>
            <w:tcBorders>
              <w:top w:val="nil"/>
              <w:left w:val="nil"/>
              <w:bottom w:val="nil"/>
              <w:right w:val="nil"/>
            </w:tcBorders>
            <w:shd w:val="clear" w:color="auto" w:fill="auto"/>
            <w:noWrap/>
          </w:tcPr>
          <w:p w14:paraId="0FCB4A6C" w14:textId="13A90D43"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-0.100</w:t>
            </w:r>
          </w:p>
        </w:tc>
        <w:tc>
          <w:tcPr>
            <w:tcW w:w="1498" w:type="dxa"/>
            <w:tcBorders>
              <w:top w:val="nil"/>
              <w:left w:val="nil"/>
              <w:bottom w:val="nil"/>
              <w:right w:val="single" w:sz="12" w:space="0" w:color="auto"/>
            </w:tcBorders>
          </w:tcPr>
          <w:p w14:paraId="04F2C577"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708E0A7E" w14:textId="45582F18"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0.147**</w:t>
            </w:r>
          </w:p>
        </w:tc>
        <w:tc>
          <w:tcPr>
            <w:tcW w:w="1434" w:type="dxa"/>
            <w:tcBorders>
              <w:top w:val="nil"/>
              <w:bottom w:val="nil"/>
              <w:right w:val="single" w:sz="12" w:space="0" w:color="auto"/>
            </w:tcBorders>
          </w:tcPr>
          <w:p w14:paraId="143580AF"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63966541" w14:textId="38C79446"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-0.410***</w:t>
            </w:r>
          </w:p>
        </w:tc>
        <w:tc>
          <w:tcPr>
            <w:tcW w:w="1426" w:type="dxa"/>
            <w:tcBorders>
              <w:top w:val="nil"/>
              <w:left w:val="nil"/>
              <w:bottom w:val="nil"/>
            </w:tcBorders>
          </w:tcPr>
          <w:p w14:paraId="1BB76AD9"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651B766F" w14:textId="77777777" w:rsidTr="005D7CB5">
        <w:trPr>
          <w:trHeight w:val="20"/>
        </w:trPr>
        <w:tc>
          <w:tcPr>
            <w:tcW w:w="2977" w:type="dxa"/>
            <w:tcBorders>
              <w:top w:val="nil"/>
              <w:left w:val="nil"/>
              <w:bottom w:val="nil"/>
              <w:right w:val="nil"/>
            </w:tcBorders>
            <w:shd w:val="clear" w:color="auto" w:fill="auto"/>
            <w:noWrap/>
          </w:tcPr>
          <w:p w14:paraId="7405EFC3" w14:textId="010A3526"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22CC12F0" w14:textId="576E920D"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498" w:type="dxa"/>
            <w:tcBorders>
              <w:top w:val="nil"/>
              <w:left w:val="nil"/>
              <w:bottom w:val="nil"/>
              <w:right w:val="single" w:sz="12" w:space="0" w:color="auto"/>
            </w:tcBorders>
          </w:tcPr>
          <w:p w14:paraId="09FF47D9"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1740E53" w14:textId="6313827C"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(0.070)</w:t>
            </w:r>
          </w:p>
        </w:tc>
        <w:tc>
          <w:tcPr>
            <w:tcW w:w="1434" w:type="dxa"/>
            <w:tcBorders>
              <w:top w:val="nil"/>
              <w:bottom w:val="nil"/>
              <w:right w:val="single" w:sz="12" w:space="0" w:color="auto"/>
            </w:tcBorders>
          </w:tcPr>
          <w:p w14:paraId="7C564C5B"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15BC46D5" w14:textId="5B900803"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(0.127)</w:t>
            </w:r>
          </w:p>
        </w:tc>
        <w:tc>
          <w:tcPr>
            <w:tcW w:w="1426" w:type="dxa"/>
            <w:tcBorders>
              <w:top w:val="nil"/>
              <w:left w:val="nil"/>
              <w:bottom w:val="nil"/>
            </w:tcBorders>
          </w:tcPr>
          <w:p w14:paraId="72F611F2"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790F4DC8" w14:textId="77777777" w:rsidTr="005D7CB5">
        <w:trPr>
          <w:trHeight w:val="20"/>
        </w:trPr>
        <w:tc>
          <w:tcPr>
            <w:tcW w:w="2977" w:type="dxa"/>
            <w:tcBorders>
              <w:top w:val="nil"/>
              <w:left w:val="nil"/>
              <w:bottom w:val="nil"/>
              <w:right w:val="nil"/>
            </w:tcBorders>
            <w:shd w:val="clear" w:color="auto" w:fill="auto"/>
            <w:noWrap/>
          </w:tcPr>
          <w:p w14:paraId="699B7489" w14:textId="50C1A50B"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Energy</w:t>
            </w:r>
          </w:p>
        </w:tc>
        <w:tc>
          <w:tcPr>
            <w:tcW w:w="1246" w:type="dxa"/>
            <w:tcBorders>
              <w:top w:val="nil"/>
              <w:left w:val="nil"/>
              <w:bottom w:val="nil"/>
              <w:right w:val="nil"/>
            </w:tcBorders>
            <w:shd w:val="clear" w:color="auto" w:fill="auto"/>
            <w:noWrap/>
          </w:tcPr>
          <w:p w14:paraId="0BD2A169" w14:textId="47E5E296"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-0.242***</w:t>
            </w:r>
          </w:p>
        </w:tc>
        <w:tc>
          <w:tcPr>
            <w:tcW w:w="1498" w:type="dxa"/>
            <w:tcBorders>
              <w:top w:val="nil"/>
              <w:left w:val="nil"/>
              <w:bottom w:val="nil"/>
              <w:right w:val="single" w:sz="12" w:space="0" w:color="auto"/>
            </w:tcBorders>
          </w:tcPr>
          <w:p w14:paraId="2A86F35E"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163315CC" w14:textId="7E81B5EC"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-0.523***</w:t>
            </w:r>
          </w:p>
        </w:tc>
        <w:tc>
          <w:tcPr>
            <w:tcW w:w="1434" w:type="dxa"/>
            <w:tcBorders>
              <w:top w:val="nil"/>
              <w:bottom w:val="nil"/>
              <w:right w:val="single" w:sz="12" w:space="0" w:color="auto"/>
            </w:tcBorders>
          </w:tcPr>
          <w:p w14:paraId="40D7F2E0"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378D44F5" w14:textId="3F9038FA"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-0.339***</w:t>
            </w:r>
          </w:p>
        </w:tc>
        <w:tc>
          <w:tcPr>
            <w:tcW w:w="1426" w:type="dxa"/>
            <w:tcBorders>
              <w:top w:val="nil"/>
              <w:left w:val="nil"/>
              <w:bottom w:val="nil"/>
            </w:tcBorders>
          </w:tcPr>
          <w:p w14:paraId="419B2CB7"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77B4C137" w14:textId="77777777" w:rsidTr="005D7CB5">
        <w:trPr>
          <w:trHeight w:val="20"/>
        </w:trPr>
        <w:tc>
          <w:tcPr>
            <w:tcW w:w="2977" w:type="dxa"/>
            <w:tcBorders>
              <w:top w:val="nil"/>
              <w:left w:val="nil"/>
              <w:bottom w:val="nil"/>
              <w:right w:val="nil"/>
            </w:tcBorders>
            <w:shd w:val="clear" w:color="auto" w:fill="auto"/>
            <w:noWrap/>
          </w:tcPr>
          <w:p w14:paraId="5B27E1AC" w14:textId="0010C19E"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2409729B" w14:textId="59327F30"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98" w:type="dxa"/>
            <w:tcBorders>
              <w:top w:val="nil"/>
              <w:left w:val="nil"/>
              <w:bottom w:val="nil"/>
              <w:right w:val="single" w:sz="12" w:space="0" w:color="auto"/>
            </w:tcBorders>
          </w:tcPr>
          <w:p w14:paraId="197E6619"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11F92FE" w14:textId="512D07A2"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(0.083)</w:t>
            </w:r>
          </w:p>
        </w:tc>
        <w:tc>
          <w:tcPr>
            <w:tcW w:w="1434" w:type="dxa"/>
            <w:tcBorders>
              <w:top w:val="nil"/>
              <w:bottom w:val="nil"/>
              <w:right w:val="single" w:sz="12" w:space="0" w:color="auto"/>
            </w:tcBorders>
          </w:tcPr>
          <w:p w14:paraId="5356DFCE"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46D4D141" w14:textId="1AE69927"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(0.129)</w:t>
            </w:r>
          </w:p>
        </w:tc>
        <w:tc>
          <w:tcPr>
            <w:tcW w:w="1426" w:type="dxa"/>
            <w:tcBorders>
              <w:top w:val="nil"/>
              <w:left w:val="nil"/>
              <w:bottom w:val="nil"/>
            </w:tcBorders>
          </w:tcPr>
          <w:p w14:paraId="6D6C8845"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1A104D8D" w14:textId="77777777" w:rsidTr="005D7CB5">
        <w:trPr>
          <w:trHeight w:val="20"/>
        </w:trPr>
        <w:tc>
          <w:tcPr>
            <w:tcW w:w="2977" w:type="dxa"/>
            <w:tcBorders>
              <w:top w:val="nil"/>
              <w:left w:val="nil"/>
              <w:bottom w:val="nil"/>
              <w:right w:val="nil"/>
            </w:tcBorders>
            <w:shd w:val="clear" w:color="auto" w:fill="auto"/>
            <w:noWrap/>
          </w:tcPr>
          <w:p w14:paraId="6C654873" w14:textId="1DE08BAA"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Utilities</w:t>
            </w:r>
          </w:p>
        </w:tc>
        <w:tc>
          <w:tcPr>
            <w:tcW w:w="1246" w:type="dxa"/>
            <w:tcBorders>
              <w:top w:val="nil"/>
              <w:left w:val="nil"/>
              <w:bottom w:val="nil"/>
              <w:right w:val="nil"/>
            </w:tcBorders>
            <w:shd w:val="clear" w:color="auto" w:fill="auto"/>
            <w:noWrap/>
          </w:tcPr>
          <w:p w14:paraId="04994C28" w14:textId="01464775"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0.074</w:t>
            </w:r>
          </w:p>
        </w:tc>
        <w:tc>
          <w:tcPr>
            <w:tcW w:w="1498" w:type="dxa"/>
            <w:tcBorders>
              <w:top w:val="nil"/>
              <w:left w:val="nil"/>
              <w:bottom w:val="nil"/>
              <w:right w:val="single" w:sz="12" w:space="0" w:color="auto"/>
            </w:tcBorders>
          </w:tcPr>
          <w:p w14:paraId="080B4F0F"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34E4B297" w14:textId="478AB714"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-0.223***</w:t>
            </w:r>
          </w:p>
        </w:tc>
        <w:tc>
          <w:tcPr>
            <w:tcW w:w="1434" w:type="dxa"/>
            <w:tcBorders>
              <w:top w:val="nil"/>
              <w:bottom w:val="nil"/>
              <w:right w:val="single" w:sz="12" w:space="0" w:color="auto"/>
            </w:tcBorders>
          </w:tcPr>
          <w:p w14:paraId="44A410EA"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6529B47A" w14:textId="1B8E27D7"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-0.114</w:t>
            </w:r>
          </w:p>
        </w:tc>
        <w:tc>
          <w:tcPr>
            <w:tcW w:w="1426" w:type="dxa"/>
            <w:tcBorders>
              <w:top w:val="nil"/>
              <w:left w:val="nil"/>
              <w:bottom w:val="nil"/>
            </w:tcBorders>
          </w:tcPr>
          <w:p w14:paraId="0BFD9380"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1A55B881" w14:textId="77777777" w:rsidTr="005D7CB5">
        <w:trPr>
          <w:trHeight w:val="20"/>
        </w:trPr>
        <w:tc>
          <w:tcPr>
            <w:tcW w:w="2977" w:type="dxa"/>
            <w:tcBorders>
              <w:top w:val="nil"/>
              <w:left w:val="nil"/>
              <w:bottom w:val="nil"/>
              <w:right w:val="nil"/>
            </w:tcBorders>
            <w:shd w:val="clear" w:color="auto" w:fill="auto"/>
            <w:noWrap/>
          </w:tcPr>
          <w:p w14:paraId="7E7BC89A" w14:textId="77777777"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6DCBA67E" w14:textId="00300004"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(0.073)</w:t>
            </w:r>
          </w:p>
        </w:tc>
        <w:tc>
          <w:tcPr>
            <w:tcW w:w="1498" w:type="dxa"/>
            <w:tcBorders>
              <w:top w:val="nil"/>
              <w:left w:val="nil"/>
              <w:bottom w:val="nil"/>
              <w:right w:val="single" w:sz="12" w:space="0" w:color="auto"/>
            </w:tcBorders>
          </w:tcPr>
          <w:p w14:paraId="38BF1501"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15958A21" w14:textId="2F9E6351"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(0.077)</w:t>
            </w:r>
          </w:p>
        </w:tc>
        <w:tc>
          <w:tcPr>
            <w:tcW w:w="1434" w:type="dxa"/>
            <w:tcBorders>
              <w:top w:val="nil"/>
              <w:bottom w:val="nil"/>
              <w:right w:val="single" w:sz="12" w:space="0" w:color="auto"/>
            </w:tcBorders>
          </w:tcPr>
          <w:p w14:paraId="24E0C166"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5D681C60" w14:textId="379B1F33"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(0.116)</w:t>
            </w:r>
          </w:p>
        </w:tc>
        <w:tc>
          <w:tcPr>
            <w:tcW w:w="1426" w:type="dxa"/>
            <w:tcBorders>
              <w:top w:val="nil"/>
              <w:left w:val="nil"/>
              <w:bottom w:val="nil"/>
            </w:tcBorders>
          </w:tcPr>
          <w:p w14:paraId="7E158329"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55D534A9" w14:textId="77777777" w:rsidTr="005D7CB5">
        <w:trPr>
          <w:trHeight w:val="20"/>
        </w:trPr>
        <w:tc>
          <w:tcPr>
            <w:tcW w:w="2977" w:type="dxa"/>
            <w:tcBorders>
              <w:top w:val="nil"/>
              <w:left w:val="nil"/>
              <w:bottom w:val="nil"/>
              <w:right w:val="nil"/>
            </w:tcBorders>
            <w:shd w:val="clear" w:color="auto" w:fill="auto"/>
            <w:noWrap/>
          </w:tcPr>
          <w:p w14:paraId="16D68FF2" w14:textId="651E8938" w:rsidR="00F57A38" w:rsidRPr="00EE533D" w:rsidRDefault="00F57A38" w:rsidP="00F57A38">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Health Care</w:t>
            </w:r>
          </w:p>
        </w:tc>
        <w:tc>
          <w:tcPr>
            <w:tcW w:w="1246" w:type="dxa"/>
            <w:tcBorders>
              <w:top w:val="nil"/>
              <w:left w:val="nil"/>
              <w:bottom w:val="nil"/>
              <w:right w:val="nil"/>
            </w:tcBorders>
            <w:shd w:val="clear" w:color="auto" w:fill="auto"/>
            <w:noWrap/>
          </w:tcPr>
          <w:p w14:paraId="405CEE96" w14:textId="4C7D48E2"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0.156**</w:t>
            </w:r>
          </w:p>
        </w:tc>
        <w:tc>
          <w:tcPr>
            <w:tcW w:w="1498" w:type="dxa"/>
            <w:tcBorders>
              <w:top w:val="nil"/>
              <w:left w:val="nil"/>
              <w:bottom w:val="nil"/>
              <w:right w:val="single" w:sz="12" w:space="0" w:color="auto"/>
            </w:tcBorders>
          </w:tcPr>
          <w:p w14:paraId="4839C8C2"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6BD79344" w14:textId="6A54E73A"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-0.855***</w:t>
            </w:r>
          </w:p>
        </w:tc>
        <w:tc>
          <w:tcPr>
            <w:tcW w:w="1434" w:type="dxa"/>
            <w:tcBorders>
              <w:top w:val="nil"/>
              <w:bottom w:val="nil"/>
              <w:right w:val="single" w:sz="12" w:space="0" w:color="auto"/>
            </w:tcBorders>
          </w:tcPr>
          <w:p w14:paraId="48397AE8"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602D0300" w14:textId="5508B4ED"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0.133</w:t>
            </w:r>
          </w:p>
        </w:tc>
        <w:tc>
          <w:tcPr>
            <w:tcW w:w="1426" w:type="dxa"/>
            <w:tcBorders>
              <w:top w:val="nil"/>
              <w:left w:val="nil"/>
              <w:bottom w:val="nil"/>
            </w:tcBorders>
          </w:tcPr>
          <w:p w14:paraId="39D90658"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11591502" w14:textId="77777777" w:rsidTr="005D7CB5">
        <w:trPr>
          <w:trHeight w:val="20"/>
        </w:trPr>
        <w:tc>
          <w:tcPr>
            <w:tcW w:w="2977" w:type="dxa"/>
            <w:tcBorders>
              <w:top w:val="nil"/>
              <w:left w:val="nil"/>
              <w:bottom w:val="nil"/>
              <w:right w:val="nil"/>
            </w:tcBorders>
            <w:shd w:val="clear" w:color="auto" w:fill="auto"/>
            <w:noWrap/>
          </w:tcPr>
          <w:p w14:paraId="6F52174D" w14:textId="77777777" w:rsidR="00F57A38" w:rsidRPr="00EE533D" w:rsidRDefault="00F57A38" w:rsidP="00F57A38">
            <w:pPr>
              <w:spacing w:after="0" w:line="240" w:lineRule="auto"/>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B54D1FE" w14:textId="7D61EA9D" w:rsidR="00F57A38" w:rsidRPr="00EE533D" w:rsidRDefault="00F57A38" w:rsidP="00F57A38">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98" w:type="dxa"/>
            <w:tcBorders>
              <w:top w:val="nil"/>
              <w:left w:val="nil"/>
              <w:bottom w:val="nil"/>
              <w:right w:val="single" w:sz="12" w:space="0" w:color="auto"/>
            </w:tcBorders>
          </w:tcPr>
          <w:p w14:paraId="4008E234" w14:textId="77777777" w:rsidR="00F57A38" w:rsidRPr="00EE533D" w:rsidRDefault="00F57A38" w:rsidP="00F57A38">
            <w:pPr>
              <w:tabs>
                <w:tab w:val="decimal" w:pos="593"/>
              </w:tabs>
              <w:spacing w:after="0" w:line="240" w:lineRule="auto"/>
              <w:rPr>
                <w:rFonts w:ascii="Times New Roman" w:hAnsi="Times New Roman" w:cs="Times New Roman"/>
                <w:sz w:val="14"/>
                <w:szCs w:val="14"/>
                <w:lang w:val="en-GB"/>
              </w:rPr>
            </w:pPr>
          </w:p>
        </w:tc>
        <w:tc>
          <w:tcPr>
            <w:tcW w:w="1396" w:type="dxa"/>
            <w:tcBorders>
              <w:top w:val="nil"/>
              <w:left w:val="single" w:sz="12" w:space="0" w:color="auto"/>
              <w:bottom w:val="nil"/>
            </w:tcBorders>
            <w:shd w:val="clear" w:color="auto" w:fill="auto"/>
            <w:noWrap/>
          </w:tcPr>
          <w:p w14:paraId="2FDAB211" w14:textId="56377CE0" w:rsidR="00F57A38" w:rsidRPr="00EE533D" w:rsidRDefault="00F57A38" w:rsidP="00F57A38">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(0.079)</w:t>
            </w:r>
          </w:p>
        </w:tc>
        <w:tc>
          <w:tcPr>
            <w:tcW w:w="1434" w:type="dxa"/>
            <w:tcBorders>
              <w:top w:val="nil"/>
              <w:bottom w:val="nil"/>
              <w:right w:val="single" w:sz="12" w:space="0" w:color="auto"/>
            </w:tcBorders>
          </w:tcPr>
          <w:p w14:paraId="73EE1375" w14:textId="77777777" w:rsidR="00F57A38" w:rsidRPr="00EE533D" w:rsidRDefault="00F57A38" w:rsidP="00F57A38">
            <w:pPr>
              <w:tabs>
                <w:tab w:val="decimal" w:pos="527"/>
              </w:tabs>
              <w:spacing w:after="0" w:line="240" w:lineRule="auto"/>
              <w:rPr>
                <w:rFonts w:ascii="Times New Roman" w:hAnsi="Times New Roman" w:cs="Times New Roman"/>
                <w:sz w:val="14"/>
                <w:szCs w:val="14"/>
                <w:lang w:val="en-GB"/>
              </w:rPr>
            </w:pPr>
          </w:p>
        </w:tc>
        <w:tc>
          <w:tcPr>
            <w:tcW w:w="1390" w:type="dxa"/>
            <w:tcBorders>
              <w:top w:val="nil"/>
              <w:left w:val="single" w:sz="12" w:space="0" w:color="auto"/>
              <w:bottom w:val="nil"/>
              <w:right w:val="nil"/>
            </w:tcBorders>
          </w:tcPr>
          <w:p w14:paraId="0F6D752E" w14:textId="4A11DA4A" w:rsidR="00F57A38" w:rsidRPr="00EE533D" w:rsidRDefault="00F57A38" w:rsidP="00F57A38">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(0.118)</w:t>
            </w:r>
          </w:p>
        </w:tc>
        <w:tc>
          <w:tcPr>
            <w:tcW w:w="1426" w:type="dxa"/>
            <w:tcBorders>
              <w:top w:val="nil"/>
              <w:left w:val="nil"/>
              <w:bottom w:val="nil"/>
            </w:tcBorders>
          </w:tcPr>
          <w:p w14:paraId="75351AFB" w14:textId="77777777" w:rsidR="00F57A38" w:rsidRPr="00EE533D" w:rsidRDefault="00F57A38" w:rsidP="00F57A38">
            <w:pPr>
              <w:tabs>
                <w:tab w:val="decimal" w:pos="520"/>
              </w:tabs>
              <w:spacing w:after="0" w:line="240" w:lineRule="auto"/>
              <w:rPr>
                <w:rFonts w:ascii="Times New Roman" w:hAnsi="Times New Roman" w:cs="Times New Roman"/>
                <w:sz w:val="14"/>
                <w:szCs w:val="14"/>
                <w:lang w:val="en-GB"/>
              </w:rPr>
            </w:pPr>
          </w:p>
        </w:tc>
      </w:tr>
      <w:tr w:rsidR="00EE533D" w:rsidRPr="00EE533D" w14:paraId="58A784CC" w14:textId="77777777" w:rsidTr="005D7CB5">
        <w:trPr>
          <w:trHeight w:val="20"/>
        </w:trPr>
        <w:tc>
          <w:tcPr>
            <w:tcW w:w="2977" w:type="dxa"/>
            <w:tcBorders>
              <w:top w:val="nil"/>
              <w:left w:val="nil"/>
              <w:bottom w:val="nil"/>
              <w:right w:val="nil"/>
            </w:tcBorders>
            <w:shd w:val="clear" w:color="auto" w:fill="auto"/>
            <w:noWrap/>
          </w:tcPr>
          <w:p w14:paraId="399B7483" w14:textId="77777777" w:rsidR="00307ECC" w:rsidRPr="00EE533D" w:rsidRDefault="00307ECC" w:rsidP="00307ECC">
            <w:pPr>
              <w:spacing w:after="0" w:line="240" w:lineRule="auto"/>
              <w:jc w:val="center"/>
              <w:rPr>
                <w:rFonts w:ascii="Times New Roman" w:eastAsia="Times New Roman" w:hAnsi="Times New Roman" w:cs="Times New Roman"/>
                <w:sz w:val="14"/>
                <w:szCs w:val="14"/>
                <w:vertAlign w:val="subscript"/>
                <w:lang w:val="en-GB"/>
              </w:rPr>
            </w:pPr>
            <w:r w:rsidRPr="00EE533D">
              <w:rPr>
                <w:rFonts w:ascii="Times New Roman" w:hAnsi="Times New Roman" w:cs="Times New Roman"/>
                <w:sz w:val="14"/>
                <w:szCs w:val="14"/>
                <w:lang w:val="en-GB"/>
              </w:rPr>
              <w:t xml:space="preserve">Control of Corruption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1BD1A4AD" w14:textId="32FF7264"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0.250**</w:t>
            </w:r>
          </w:p>
        </w:tc>
        <w:tc>
          <w:tcPr>
            <w:tcW w:w="1498" w:type="dxa"/>
            <w:tcBorders>
              <w:top w:val="nil"/>
              <w:left w:val="nil"/>
              <w:bottom w:val="nil"/>
              <w:right w:val="single" w:sz="12" w:space="0" w:color="auto"/>
            </w:tcBorders>
          </w:tcPr>
          <w:p w14:paraId="54A74794" w14:textId="28EB465F"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-8.037***</w:t>
            </w:r>
          </w:p>
        </w:tc>
        <w:tc>
          <w:tcPr>
            <w:tcW w:w="1396" w:type="dxa"/>
            <w:tcBorders>
              <w:top w:val="nil"/>
              <w:left w:val="single" w:sz="12" w:space="0" w:color="auto"/>
              <w:bottom w:val="nil"/>
            </w:tcBorders>
            <w:shd w:val="clear" w:color="auto" w:fill="auto"/>
            <w:noWrap/>
          </w:tcPr>
          <w:p w14:paraId="3071E497" w14:textId="0ED89DA6"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0.411***</w:t>
            </w:r>
          </w:p>
        </w:tc>
        <w:tc>
          <w:tcPr>
            <w:tcW w:w="1434" w:type="dxa"/>
            <w:tcBorders>
              <w:top w:val="nil"/>
              <w:bottom w:val="nil"/>
              <w:right w:val="single" w:sz="12" w:space="0" w:color="auto"/>
            </w:tcBorders>
          </w:tcPr>
          <w:p w14:paraId="1C5B36F2" w14:textId="39472D70"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59.795***</w:t>
            </w:r>
          </w:p>
        </w:tc>
        <w:tc>
          <w:tcPr>
            <w:tcW w:w="1390" w:type="dxa"/>
            <w:tcBorders>
              <w:top w:val="nil"/>
              <w:left w:val="single" w:sz="12" w:space="0" w:color="auto"/>
              <w:bottom w:val="nil"/>
              <w:right w:val="nil"/>
            </w:tcBorders>
          </w:tcPr>
          <w:p w14:paraId="72579D54" w14:textId="7B6870C6"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-0.587***</w:t>
            </w:r>
          </w:p>
        </w:tc>
        <w:tc>
          <w:tcPr>
            <w:tcW w:w="1426" w:type="dxa"/>
            <w:tcBorders>
              <w:top w:val="nil"/>
              <w:left w:val="nil"/>
              <w:bottom w:val="nil"/>
            </w:tcBorders>
          </w:tcPr>
          <w:p w14:paraId="263BA14B" w14:textId="6DEB1A6D"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0.459</w:t>
            </w:r>
          </w:p>
        </w:tc>
      </w:tr>
      <w:tr w:rsidR="00EE533D" w:rsidRPr="00EE533D" w14:paraId="534CA7B5" w14:textId="77777777" w:rsidTr="005D7CB5">
        <w:trPr>
          <w:trHeight w:val="20"/>
        </w:trPr>
        <w:tc>
          <w:tcPr>
            <w:tcW w:w="2977" w:type="dxa"/>
            <w:tcBorders>
              <w:top w:val="nil"/>
              <w:left w:val="nil"/>
              <w:bottom w:val="nil"/>
              <w:right w:val="nil"/>
            </w:tcBorders>
            <w:shd w:val="clear" w:color="auto" w:fill="auto"/>
            <w:noWrap/>
          </w:tcPr>
          <w:p w14:paraId="2D9E7C0C"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409AE74" w14:textId="4480B0DF"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(0.102)</w:t>
            </w:r>
          </w:p>
        </w:tc>
        <w:tc>
          <w:tcPr>
            <w:tcW w:w="1498" w:type="dxa"/>
            <w:tcBorders>
              <w:top w:val="nil"/>
              <w:left w:val="nil"/>
              <w:bottom w:val="nil"/>
              <w:right w:val="single" w:sz="12" w:space="0" w:color="auto"/>
            </w:tcBorders>
          </w:tcPr>
          <w:p w14:paraId="727666AA" w14:textId="03D1829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(1.704)</w:t>
            </w:r>
          </w:p>
        </w:tc>
        <w:tc>
          <w:tcPr>
            <w:tcW w:w="1396" w:type="dxa"/>
            <w:tcBorders>
              <w:top w:val="nil"/>
              <w:left w:val="single" w:sz="12" w:space="0" w:color="auto"/>
              <w:bottom w:val="nil"/>
            </w:tcBorders>
            <w:shd w:val="clear" w:color="auto" w:fill="auto"/>
            <w:noWrap/>
          </w:tcPr>
          <w:p w14:paraId="434D6F62" w14:textId="461A8E3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(0.108)</w:t>
            </w:r>
          </w:p>
        </w:tc>
        <w:tc>
          <w:tcPr>
            <w:tcW w:w="1434" w:type="dxa"/>
            <w:tcBorders>
              <w:top w:val="nil"/>
              <w:bottom w:val="nil"/>
              <w:right w:val="single" w:sz="12" w:space="0" w:color="auto"/>
            </w:tcBorders>
          </w:tcPr>
          <w:p w14:paraId="0CB6E489" w14:textId="6F3AE7A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(4.758)</w:t>
            </w:r>
          </w:p>
        </w:tc>
        <w:tc>
          <w:tcPr>
            <w:tcW w:w="1390" w:type="dxa"/>
            <w:tcBorders>
              <w:top w:val="nil"/>
              <w:left w:val="single" w:sz="12" w:space="0" w:color="auto"/>
              <w:bottom w:val="nil"/>
              <w:right w:val="nil"/>
            </w:tcBorders>
          </w:tcPr>
          <w:p w14:paraId="5F6A1EC1" w14:textId="5E0C9EA2"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(0.168)</w:t>
            </w:r>
          </w:p>
        </w:tc>
        <w:tc>
          <w:tcPr>
            <w:tcW w:w="1426" w:type="dxa"/>
            <w:tcBorders>
              <w:top w:val="nil"/>
              <w:left w:val="nil"/>
              <w:bottom w:val="nil"/>
            </w:tcBorders>
          </w:tcPr>
          <w:p w14:paraId="052ABACB" w14:textId="11B15DE3"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(0.550)</w:t>
            </w:r>
          </w:p>
        </w:tc>
      </w:tr>
      <w:tr w:rsidR="00EE533D" w:rsidRPr="00EE533D" w14:paraId="7E767897" w14:textId="77777777" w:rsidTr="005D7CB5">
        <w:trPr>
          <w:trHeight w:val="20"/>
        </w:trPr>
        <w:tc>
          <w:tcPr>
            <w:tcW w:w="2977" w:type="dxa"/>
            <w:tcBorders>
              <w:top w:val="nil"/>
              <w:left w:val="nil"/>
              <w:bottom w:val="nil"/>
              <w:right w:val="nil"/>
            </w:tcBorders>
            <w:shd w:val="clear" w:color="auto" w:fill="auto"/>
            <w:noWrap/>
          </w:tcPr>
          <w:p w14:paraId="3ECA99CE"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7D7B3F83" w14:textId="75982F26"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0.178***</w:t>
            </w:r>
          </w:p>
        </w:tc>
        <w:tc>
          <w:tcPr>
            <w:tcW w:w="1498" w:type="dxa"/>
            <w:tcBorders>
              <w:top w:val="nil"/>
              <w:left w:val="nil"/>
              <w:bottom w:val="nil"/>
              <w:right w:val="single" w:sz="12" w:space="0" w:color="auto"/>
            </w:tcBorders>
          </w:tcPr>
          <w:p w14:paraId="7C406FF5" w14:textId="475D1EDE"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5.983***</w:t>
            </w:r>
          </w:p>
        </w:tc>
        <w:tc>
          <w:tcPr>
            <w:tcW w:w="1396" w:type="dxa"/>
            <w:tcBorders>
              <w:top w:val="nil"/>
              <w:left w:val="single" w:sz="12" w:space="0" w:color="auto"/>
              <w:bottom w:val="nil"/>
            </w:tcBorders>
            <w:shd w:val="clear" w:color="auto" w:fill="auto"/>
            <w:noWrap/>
          </w:tcPr>
          <w:p w14:paraId="4F141572" w14:textId="4BA1AA5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0.317***</w:t>
            </w:r>
          </w:p>
        </w:tc>
        <w:tc>
          <w:tcPr>
            <w:tcW w:w="1434" w:type="dxa"/>
            <w:tcBorders>
              <w:top w:val="nil"/>
              <w:bottom w:val="nil"/>
              <w:right w:val="single" w:sz="12" w:space="0" w:color="auto"/>
            </w:tcBorders>
          </w:tcPr>
          <w:p w14:paraId="5087919A" w14:textId="72E1D81C"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-14.059**</w:t>
            </w:r>
          </w:p>
        </w:tc>
        <w:tc>
          <w:tcPr>
            <w:tcW w:w="1390" w:type="dxa"/>
            <w:tcBorders>
              <w:top w:val="nil"/>
              <w:left w:val="single" w:sz="12" w:space="0" w:color="auto"/>
              <w:bottom w:val="nil"/>
              <w:right w:val="nil"/>
            </w:tcBorders>
          </w:tcPr>
          <w:p w14:paraId="7BE99CF4" w14:textId="067334A6"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0.121</w:t>
            </w:r>
          </w:p>
        </w:tc>
        <w:tc>
          <w:tcPr>
            <w:tcW w:w="1426" w:type="dxa"/>
            <w:tcBorders>
              <w:top w:val="nil"/>
              <w:left w:val="nil"/>
              <w:bottom w:val="nil"/>
            </w:tcBorders>
          </w:tcPr>
          <w:p w14:paraId="4C373EF1" w14:textId="22417A9B"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-2.138***</w:t>
            </w:r>
          </w:p>
        </w:tc>
      </w:tr>
      <w:tr w:rsidR="00EE533D" w:rsidRPr="00EE533D" w14:paraId="03101BF4" w14:textId="77777777" w:rsidTr="005D7CB5">
        <w:trPr>
          <w:trHeight w:val="20"/>
        </w:trPr>
        <w:tc>
          <w:tcPr>
            <w:tcW w:w="2977" w:type="dxa"/>
            <w:tcBorders>
              <w:top w:val="nil"/>
              <w:left w:val="nil"/>
              <w:bottom w:val="nil"/>
              <w:right w:val="nil"/>
            </w:tcBorders>
            <w:shd w:val="clear" w:color="auto" w:fill="auto"/>
            <w:noWrap/>
          </w:tcPr>
          <w:p w14:paraId="21FD3F47"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0B715B8A" w14:textId="73437FC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98" w:type="dxa"/>
            <w:tcBorders>
              <w:top w:val="nil"/>
              <w:left w:val="nil"/>
              <w:bottom w:val="nil"/>
              <w:right w:val="single" w:sz="12" w:space="0" w:color="auto"/>
            </w:tcBorders>
          </w:tcPr>
          <w:p w14:paraId="16D18152" w14:textId="7F68809E"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(2.300)</w:t>
            </w:r>
          </w:p>
        </w:tc>
        <w:tc>
          <w:tcPr>
            <w:tcW w:w="1396" w:type="dxa"/>
            <w:tcBorders>
              <w:top w:val="nil"/>
              <w:left w:val="single" w:sz="12" w:space="0" w:color="auto"/>
              <w:bottom w:val="nil"/>
            </w:tcBorders>
            <w:shd w:val="clear" w:color="auto" w:fill="auto"/>
            <w:noWrap/>
          </w:tcPr>
          <w:p w14:paraId="7E5AE580" w14:textId="0128FF29"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(0.062)</w:t>
            </w:r>
          </w:p>
        </w:tc>
        <w:tc>
          <w:tcPr>
            <w:tcW w:w="1434" w:type="dxa"/>
            <w:tcBorders>
              <w:top w:val="nil"/>
              <w:bottom w:val="nil"/>
              <w:right w:val="single" w:sz="12" w:space="0" w:color="auto"/>
            </w:tcBorders>
          </w:tcPr>
          <w:p w14:paraId="002360FB" w14:textId="147A233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(6.389)</w:t>
            </w:r>
          </w:p>
        </w:tc>
        <w:tc>
          <w:tcPr>
            <w:tcW w:w="1390" w:type="dxa"/>
            <w:tcBorders>
              <w:top w:val="nil"/>
              <w:left w:val="single" w:sz="12" w:space="0" w:color="auto"/>
              <w:bottom w:val="nil"/>
              <w:right w:val="nil"/>
            </w:tcBorders>
          </w:tcPr>
          <w:p w14:paraId="684C2BDD" w14:textId="7325203A"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c>
          <w:tcPr>
            <w:tcW w:w="1426" w:type="dxa"/>
            <w:tcBorders>
              <w:top w:val="nil"/>
              <w:left w:val="nil"/>
              <w:bottom w:val="nil"/>
            </w:tcBorders>
          </w:tcPr>
          <w:p w14:paraId="4D3B9D58" w14:textId="116A7678"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(0.803)</w:t>
            </w:r>
          </w:p>
        </w:tc>
      </w:tr>
      <w:tr w:rsidR="00EE533D" w:rsidRPr="00EE533D" w14:paraId="632A6A1C" w14:textId="77777777" w:rsidTr="005D7CB5">
        <w:trPr>
          <w:trHeight w:val="20"/>
        </w:trPr>
        <w:tc>
          <w:tcPr>
            <w:tcW w:w="2977" w:type="dxa"/>
            <w:tcBorders>
              <w:top w:val="nil"/>
              <w:left w:val="nil"/>
              <w:bottom w:val="nil"/>
              <w:right w:val="nil"/>
            </w:tcBorders>
            <w:shd w:val="clear" w:color="auto" w:fill="auto"/>
            <w:noWrap/>
          </w:tcPr>
          <w:p w14:paraId="1C0D1119"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Stability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3C559B11" w14:textId="72C59CF0"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-0.091</w:t>
            </w:r>
          </w:p>
        </w:tc>
        <w:tc>
          <w:tcPr>
            <w:tcW w:w="1498" w:type="dxa"/>
            <w:tcBorders>
              <w:top w:val="nil"/>
              <w:left w:val="nil"/>
              <w:bottom w:val="nil"/>
              <w:right w:val="single" w:sz="12" w:space="0" w:color="auto"/>
            </w:tcBorders>
          </w:tcPr>
          <w:p w14:paraId="3B2AA162" w14:textId="18D69CF0"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7.793***</w:t>
            </w:r>
          </w:p>
        </w:tc>
        <w:tc>
          <w:tcPr>
            <w:tcW w:w="1396" w:type="dxa"/>
            <w:tcBorders>
              <w:top w:val="nil"/>
              <w:left w:val="single" w:sz="12" w:space="0" w:color="auto"/>
              <w:bottom w:val="nil"/>
            </w:tcBorders>
            <w:shd w:val="clear" w:color="auto" w:fill="auto"/>
            <w:noWrap/>
          </w:tcPr>
          <w:p w14:paraId="6D7E0E02" w14:textId="2D4E27FA"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c>
          <w:tcPr>
            <w:tcW w:w="1434" w:type="dxa"/>
            <w:tcBorders>
              <w:top w:val="nil"/>
              <w:bottom w:val="nil"/>
              <w:right w:val="single" w:sz="12" w:space="0" w:color="auto"/>
            </w:tcBorders>
          </w:tcPr>
          <w:p w14:paraId="17EC41AA" w14:textId="16E9FF97"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-14.050***</w:t>
            </w:r>
          </w:p>
        </w:tc>
        <w:tc>
          <w:tcPr>
            <w:tcW w:w="1390" w:type="dxa"/>
            <w:tcBorders>
              <w:top w:val="nil"/>
              <w:left w:val="single" w:sz="12" w:space="0" w:color="auto"/>
              <w:bottom w:val="nil"/>
              <w:right w:val="nil"/>
            </w:tcBorders>
          </w:tcPr>
          <w:p w14:paraId="5D9FCFA0" w14:textId="572DA868"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0.109</w:t>
            </w:r>
          </w:p>
        </w:tc>
        <w:tc>
          <w:tcPr>
            <w:tcW w:w="1426" w:type="dxa"/>
            <w:tcBorders>
              <w:top w:val="nil"/>
              <w:left w:val="nil"/>
              <w:bottom w:val="nil"/>
            </w:tcBorders>
          </w:tcPr>
          <w:p w14:paraId="56ED2828" w14:textId="513A505A"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-1.619***</w:t>
            </w:r>
          </w:p>
        </w:tc>
      </w:tr>
      <w:tr w:rsidR="00EE533D" w:rsidRPr="00EE533D" w14:paraId="3D341D33" w14:textId="77777777" w:rsidTr="005D7CB5">
        <w:trPr>
          <w:trHeight w:val="20"/>
        </w:trPr>
        <w:tc>
          <w:tcPr>
            <w:tcW w:w="2977" w:type="dxa"/>
            <w:tcBorders>
              <w:top w:val="nil"/>
              <w:left w:val="nil"/>
              <w:bottom w:val="nil"/>
              <w:right w:val="nil"/>
            </w:tcBorders>
            <w:shd w:val="clear" w:color="auto" w:fill="auto"/>
            <w:noWrap/>
          </w:tcPr>
          <w:p w14:paraId="6D359D5E"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CE32040" w14:textId="219EB63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c>
          <w:tcPr>
            <w:tcW w:w="1498" w:type="dxa"/>
            <w:tcBorders>
              <w:top w:val="nil"/>
              <w:left w:val="nil"/>
              <w:bottom w:val="nil"/>
              <w:right w:val="single" w:sz="12" w:space="0" w:color="auto"/>
            </w:tcBorders>
          </w:tcPr>
          <w:p w14:paraId="70590FE3" w14:textId="0E23823F"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(1.303)</w:t>
            </w:r>
          </w:p>
        </w:tc>
        <w:tc>
          <w:tcPr>
            <w:tcW w:w="1396" w:type="dxa"/>
            <w:tcBorders>
              <w:top w:val="nil"/>
              <w:left w:val="single" w:sz="12" w:space="0" w:color="auto"/>
              <w:bottom w:val="nil"/>
            </w:tcBorders>
            <w:shd w:val="clear" w:color="auto" w:fill="auto"/>
            <w:noWrap/>
          </w:tcPr>
          <w:p w14:paraId="23C37319" w14:textId="509079DB"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434" w:type="dxa"/>
            <w:tcBorders>
              <w:top w:val="nil"/>
              <w:bottom w:val="nil"/>
              <w:right w:val="single" w:sz="12" w:space="0" w:color="auto"/>
            </w:tcBorders>
          </w:tcPr>
          <w:p w14:paraId="1C2354D6" w14:textId="389684B2"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(3.632)</w:t>
            </w:r>
          </w:p>
        </w:tc>
        <w:tc>
          <w:tcPr>
            <w:tcW w:w="1390" w:type="dxa"/>
            <w:tcBorders>
              <w:top w:val="nil"/>
              <w:left w:val="single" w:sz="12" w:space="0" w:color="auto"/>
              <w:bottom w:val="nil"/>
              <w:right w:val="nil"/>
            </w:tcBorders>
          </w:tcPr>
          <w:p w14:paraId="127A458D" w14:textId="2C4FA662"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(0.137)</w:t>
            </w:r>
          </w:p>
        </w:tc>
        <w:tc>
          <w:tcPr>
            <w:tcW w:w="1426" w:type="dxa"/>
            <w:tcBorders>
              <w:top w:val="nil"/>
              <w:left w:val="nil"/>
              <w:bottom w:val="nil"/>
            </w:tcBorders>
          </w:tcPr>
          <w:p w14:paraId="77CAE159" w14:textId="5FA8AEF1"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(0.325)</w:t>
            </w:r>
          </w:p>
        </w:tc>
      </w:tr>
      <w:tr w:rsidR="00EE533D" w:rsidRPr="00EE533D" w14:paraId="72FDDB64" w14:textId="77777777" w:rsidTr="005D7CB5">
        <w:trPr>
          <w:trHeight w:val="20"/>
        </w:trPr>
        <w:tc>
          <w:tcPr>
            <w:tcW w:w="2977" w:type="dxa"/>
            <w:tcBorders>
              <w:top w:val="nil"/>
              <w:left w:val="nil"/>
              <w:bottom w:val="nil"/>
              <w:right w:val="nil"/>
            </w:tcBorders>
            <w:shd w:val="clear" w:color="auto" w:fill="auto"/>
            <w:noWrap/>
          </w:tcPr>
          <w:p w14:paraId="13510FC3"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7D66456" w14:textId="74EBE964"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-0.236**</w:t>
            </w:r>
          </w:p>
        </w:tc>
        <w:tc>
          <w:tcPr>
            <w:tcW w:w="1498" w:type="dxa"/>
            <w:tcBorders>
              <w:top w:val="nil"/>
              <w:left w:val="nil"/>
              <w:bottom w:val="nil"/>
              <w:right w:val="single" w:sz="12" w:space="0" w:color="auto"/>
            </w:tcBorders>
          </w:tcPr>
          <w:p w14:paraId="66D40F6E" w14:textId="0CE28A3C"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-4.079*</w:t>
            </w:r>
          </w:p>
        </w:tc>
        <w:tc>
          <w:tcPr>
            <w:tcW w:w="1396" w:type="dxa"/>
            <w:tcBorders>
              <w:top w:val="nil"/>
              <w:left w:val="single" w:sz="12" w:space="0" w:color="auto"/>
              <w:bottom w:val="nil"/>
            </w:tcBorders>
            <w:shd w:val="clear" w:color="auto" w:fill="auto"/>
            <w:noWrap/>
          </w:tcPr>
          <w:p w14:paraId="7060E725" w14:textId="773BE3C5"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0.329***</w:t>
            </w:r>
          </w:p>
        </w:tc>
        <w:tc>
          <w:tcPr>
            <w:tcW w:w="1434" w:type="dxa"/>
            <w:tcBorders>
              <w:top w:val="nil"/>
              <w:bottom w:val="nil"/>
              <w:right w:val="single" w:sz="12" w:space="0" w:color="auto"/>
            </w:tcBorders>
          </w:tcPr>
          <w:p w14:paraId="50905DC4" w14:textId="5C66C20C"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-18.670***</w:t>
            </w:r>
          </w:p>
        </w:tc>
        <w:tc>
          <w:tcPr>
            <w:tcW w:w="1390" w:type="dxa"/>
            <w:tcBorders>
              <w:top w:val="nil"/>
              <w:left w:val="single" w:sz="12" w:space="0" w:color="auto"/>
              <w:bottom w:val="nil"/>
              <w:right w:val="nil"/>
            </w:tcBorders>
          </w:tcPr>
          <w:p w14:paraId="4D6A14A0" w14:textId="7C246060"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0.228</w:t>
            </w:r>
          </w:p>
        </w:tc>
        <w:tc>
          <w:tcPr>
            <w:tcW w:w="1426" w:type="dxa"/>
            <w:tcBorders>
              <w:top w:val="nil"/>
              <w:left w:val="nil"/>
              <w:bottom w:val="nil"/>
            </w:tcBorders>
          </w:tcPr>
          <w:p w14:paraId="79A61198" w14:textId="37B81884"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0.205</w:t>
            </w:r>
          </w:p>
        </w:tc>
      </w:tr>
      <w:tr w:rsidR="00EE533D" w:rsidRPr="00EE533D" w14:paraId="107C18D3" w14:textId="77777777" w:rsidTr="005D7CB5">
        <w:trPr>
          <w:trHeight w:val="71"/>
        </w:trPr>
        <w:tc>
          <w:tcPr>
            <w:tcW w:w="2977" w:type="dxa"/>
            <w:tcBorders>
              <w:top w:val="nil"/>
              <w:left w:val="nil"/>
              <w:bottom w:val="nil"/>
              <w:right w:val="nil"/>
            </w:tcBorders>
            <w:shd w:val="clear" w:color="auto" w:fill="auto"/>
            <w:noWrap/>
          </w:tcPr>
          <w:p w14:paraId="0FD6902E"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565EA23" w14:textId="68382F81"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(0.112)</w:t>
            </w:r>
          </w:p>
        </w:tc>
        <w:tc>
          <w:tcPr>
            <w:tcW w:w="1498" w:type="dxa"/>
            <w:tcBorders>
              <w:top w:val="nil"/>
              <w:left w:val="nil"/>
              <w:bottom w:val="nil"/>
              <w:right w:val="single" w:sz="12" w:space="0" w:color="auto"/>
            </w:tcBorders>
          </w:tcPr>
          <w:p w14:paraId="21D407C0" w14:textId="7C55A03B"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(2.168)</w:t>
            </w:r>
          </w:p>
        </w:tc>
        <w:tc>
          <w:tcPr>
            <w:tcW w:w="1396" w:type="dxa"/>
            <w:tcBorders>
              <w:top w:val="nil"/>
              <w:left w:val="single" w:sz="12" w:space="0" w:color="auto"/>
              <w:bottom w:val="nil"/>
            </w:tcBorders>
            <w:shd w:val="clear" w:color="auto" w:fill="auto"/>
            <w:noWrap/>
          </w:tcPr>
          <w:p w14:paraId="5E3A0BB8" w14:textId="7930B7BE"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(0.117)</w:t>
            </w:r>
          </w:p>
        </w:tc>
        <w:tc>
          <w:tcPr>
            <w:tcW w:w="1434" w:type="dxa"/>
            <w:tcBorders>
              <w:top w:val="nil"/>
              <w:bottom w:val="nil"/>
              <w:right w:val="single" w:sz="12" w:space="0" w:color="auto"/>
            </w:tcBorders>
          </w:tcPr>
          <w:p w14:paraId="73E069CF" w14:textId="46A7E27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(5.578)</w:t>
            </w:r>
          </w:p>
        </w:tc>
        <w:tc>
          <w:tcPr>
            <w:tcW w:w="1390" w:type="dxa"/>
            <w:tcBorders>
              <w:top w:val="nil"/>
              <w:left w:val="single" w:sz="12" w:space="0" w:color="auto"/>
              <w:bottom w:val="nil"/>
              <w:right w:val="nil"/>
            </w:tcBorders>
          </w:tcPr>
          <w:p w14:paraId="03480D7C" w14:textId="774F7194"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(0.181)</w:t>
            </w:r>
          </w:p>
        </w:tc>
        <w:tc>
          <w:tcPr>
            <w:tcW w:w="1426" w:type="dxa"/>
            <w:tcBorders>
              <w:top w:val="nil"/>
              <w:left w:val="nil"/>
              <w:bottom w:val="nil"/>
            </w:tcBorders>
          </w:tcPr>
          <w:p w14:paraId="7E39F515" w14:textId="5EEF5543"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(0.551)</w:t>
            </w:r>
          </w:p>
        </w:tc>
      </w:tr>
      <w:tr w:rsidR="00EE533D" w:rsidRPr="00EE533D" w14:paraId="5AF01880" w14:textId="77777777" w:rsidTr="005D7CB5">
        <w:trPr>
          <w:trHeight w:val="71"/>
        </w:trPr>
        <w:tc>
          <w:tcPr>
            <w:tcW w:w="2977" w:type="dxa"/>
            <w:tcBorders>
              <w:top w:val="nil"/>
              <w:left w:val="nil"/>
              <w:bottom w:val="nil"/>
              <w:right w:val="nil"/>
            </w:tcBorders>
            <w:shd w:val="clear" w:color="auto" w:fill="auto"/>
            <w:noWrap/>
          </w:tcPr>
          <w:p w14:paraId="03D11A51"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07EB49BB" w14:textId="1D0381FD"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0.255***</w:t>
            </w:r>
          </w:p>
        </w:tc>
        <w:tc>
          <w:tcPr>
            <w:tcW w:w="1498" w:type="dxa"/>
            <w:tcBorders>
              <w:top w:val="nil"/>
              <w:left w:val="nil"/>
              <w:bottom w:val="nil"/>
              <w:right w:val="single" w:sz="12" w:space="0" w:color="auto"/>
            </w:tcBorders>
          </w:tcPr>
          <w:p w14:paraId="6878362A" w14:textId="67CBC934"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6.058**</w:t>
            </w:r>
          </w:p>
        </w:tc>
        <w:tc>
          <w:tcPr>
            <w:tcW w:w="1396" w:type="dxa"/>
            <w:tcBorders>
              <w:top w:val="nil"/>
              <w:left w:val="single" w:sz="12" w:space="0" w:color="auto"/>
              <w:bottom w:val="nil"/>
            </w:tcBorders>
            <w:shd w:val="clear" w:color="auto" w:fill="auto"/>
            <w:noWrap/>
          </w:tcPr>
          <w:p w14:paraId="66C2E20A" w14:textId="4948FD4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434" w:type="dxa"/>
            <w:tcBorders>
              <w:top w:val="nil"/>
              <w:bottom w:val="nil"/>
              <w:right w:val="single" w:sz="12" w:space="0" w:color="auto"/>
            </w:tcBorders>
          </w:tcPr>
          <w:p w14:paraId="5D669257" w14:textId="3A367EBC"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-25.255***</w:t>
            </w:r>
          </w:p>
        </w:tc>
        <w:tc>
          <w:tcPr>
            <w:tcW w:w="1390" w:type="dxa"/>
            <w:tcBorders>
              <w:top w:val="nil"/>
              <w:left w:val="single" w:sz="12" w:space="0" w:color="auto"/>
              <w:bottom w:val="nil"/>
              <w:right w:val="nil"/>
            </w:tcBorders>
          </w:tcPr>
          <w:p w14:paraId="43090559" w14:textId="532365E0"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-0.348***</w:t>
            </w:r>
          </w:p>
        </w:tc>
        <w:tc>
          <w:tcPr>
            <w:tcW w:w="1426" w:type="dxa"/>
            <w:tcBorders>
              <w:top w:val="nil"/>
              <w:left w:val="nil"/>
              <w:bottom w:val="nil"/>
            </w:tcBorders>
          </w:tcPr>
          <w:p w14:paraId="4C1EF6D5" w14:textId="00ECB01C"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2.617***</w:t>
            </w:r>
          </w:p>
        </w:tc>
      </w:tr>
      <w:tr w:rsidR="00EE533D" w:rsidRPr="00EE533D" w14:paraId="275BCD8E" w14:textId="77777777" w:rsidTr="005D7CB5">
        <w:trPr>
          <w:trHeight w:val="71"/>
        </w:trPr>
        <w:tc>
          <w:tcPr>
            <w:tcW w:w="2977" w:type="dxa"/>
            <w:tcBorders>
              <w:top w:val="nil"/>
              <w:left w:val="nil"/>
              <w:bottom w:val="nil"/>
              <w:right w:val="nil"/>
            </w:tcBorders>
            <w:shd w:val="clear" w:color="auto" w:fill="auto"/>
            <w:noWrap/>
          </w:tcPr>
          <w:p w14:paraId="47E8DF82"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4BD3657A" w14:textId="1C70DDA6"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(0.043)</w:t>
            </w:r>
          </w:p>
        </w:tc>
        <w:tc>
          <w:tcPr>
            <w:tcW w:w="1498" w:type="dxa"/>
            <w:tcBorders>
              <w:top w:val="nil"/>
              <w:left w:val="nil"/>
              <w:bottom w:val="nil"/>
              <w:right w:val="single" w:sz="12" w:space="0" w:color="auto"/>
            </w:tcBorders>
          </w:tcPr>
          <w:p w14:paraId="07E8DEB4" w14:textId="6C29B3CF"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(2.543)</w:t>
            </w:r>
          </w:p>
        </w:tc>
        <w:tc>
          <w:tcPr>
            <w:tcW w:w="1396" w:type="dxa"/>
            <w:tcBorders>
              <w:top w:val="nil"/>
              <w:left w:val="single" w:sz="12" w:space="0" w:color="auto"/>
              <w:bottom w:val="nil"/>
            </w:tcBorders>
            <w:shd w:val="clear" w:color="auto" w:fill="auto"/>
            <w:noWrap/>
          </w:tcPr>
          <w:p w14:paraId="0BB449A7" w14:textId="42A92F89"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(0.045)</w:t>
            </w:r>
          </w:p>
        </w:tc>
        <w:tc>
          <w:tcPr>
            <w:tcW w:w="1434" w:type="dxa"/>
            <w:tcBorders>
              <w:top w:val="nil"/>
              <w:bottom w:val="nil"/>
              <w:right w:val="single" w:sz="12" w:space="0" w:color="auto"/>
            </w:tcBorders>
          </w:tcPr>
          <w:p w14:paraId="1E7A503B" w14:textId="01B1EC22"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(6.699)</w:t>
            </w:r>
          </w:p>
        </w:tc>
        <w:tc>
          <w:tcPr>
            <w:tcW w:w="1390" w:type="dxa"/>
            <w:tcBorders>
              <w:top w:val="nil"/>
              <w:left w:val="single" w:sz="12" w:space="0" w:color="auto"/>
              <w:bottom w:val="nil"/>
              <w:right w:val="nil"/>
            </w:tcBorders>
          </w:tcPr>
          <w:p w14:paraId="5564A2A0" w14:textId="24B03ED1"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(0.064)</w:t>
            </w:r>
          </w:p>
        </w:tc>
        <w:tc>
          <w:tcPr>
            <w:tcW w:w="1426" w:type="dxa"/>
            <w:tcBorders>
              <w:top w:val="nil"/>
              <w:left w:val="nil"/>
              <w:bottom w:val="nil"/>
            </w:tcBorders>
          </w:tcPr>
          <w:p w14:paraId="10BFC100" w14:textId="380D6A00"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(0.766)</w:t>
            </w:r>
          </w:p>
        </w:tc>
      </w:tr>
      <w:tr w:rsidR="00EE533D" w:rsidRPr="00EE533D" w14:paraId="1F3938EE" w14:textId="77777777" w:rsidTr="005D7CB5">
        <w:trPr>
          <w:trHeight w:val="71"/>
        </w:trPr>
        <w:tc>
          <w:tcPr>
            <w:tcW w:w="2977" w:type="dxa"/>
            <w:tcBorders>
              <w:top w:val="nil"/>
              <w:left w:val="nil"/>
              <w:bottom w:val="nil"/>
              <w:right w:val="nil"/>
            </w:tcBorders>
            <w:shd w:val="clear" w:color="auto" w:fill="auto"/>
            <w:noWrap/>
          </w:tcPr>
          <w:p w14:paraId="07E98F0A"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Voice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6212CEE" w14:textId="183E4140"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98" w:type="dxa"/>
            <w:tcBorders>
              <w:top w:val="nil"/>
              <w:left w:val="nil"/>
              <w:bottom w:val="nil"/>
              <w:right w:val="single" w:sz="12" w:space="0" w:color="auto"/>
            </w:tcBorders>
          </w:tcPr>
          <w:p w14:paraId="61C56613" w14:textId="43EAF21E"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1.124</w:t>
            </w:r>
          </w:p>
        </w:tc>
        <w:tc>
          <w:tcPr>
            <w:tcW w:w="1396" w:type="dxa"/>
            <w:tcBorders>
              <w:top w:val="nil"/>
              <w:left w:val="single" w:sz="12" w:space="0" w:color="auto"/>
              <w:bottom w:val="nil"/>
            </w:tcBorders>
            <w:shd w:val="clear" w:color="auto" w:fill="auto"/>
            <w:noWrap/>
          </w:tcPr>
          <w:p w14:paraId="6CE9C8E8" w14:textId="39CEBADF"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bottom w:val="nil"/>
              <w:right w:val="single" w:sz="12" w:space="0" w:color="auto"/>
            </w:tcBorders>
          </w:tcPr>
          <w:p w14:paraId="5FCD5C99" w14:textId="576630B1"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-4.058</w:t>
            </w:r>
          </w:p>
        </w:tc>
        <w:tc>
          <w:tcPr>
            <w:tcW w:w="1390" w:type="dxa"/>
            <w:tcBorders>
              <w:top w:val="nil"/>
              <w:left w:val="single" w:sz="12" w:space="0" w:color="auto"/>
              <w:bottom w:val="nil"/>
              <w:right w:val="nil"/>
            </w:tcBorders>
          </w:tcPr>
          <w:p w14:paraId="64663E35" w14:textId="312F9DE4"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26" w:type="dxa"/>
            <w:tcBorders>
              <w:top w:val="nil"/>
              <w:left w:val="nil"/>
              <w:bottom w:val="nil"/>
            </w:tcBorders>
          </w:tcPr>
          <w:p w14:paraId="416D7549" w14:textId="53728FEF"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-0.278</w:t>
            </w:r>
          </w:p>
        </w:tc>
      </w:tr>
      <w:tr w:rsidR="00EE533D" w:rsidRPr="00EE533D" w14:paraId="255EDA68" w14:textId="77777777" w:rsidTr="005D7CB5">
        <w:trPr>
          <w:trHeight w:val="71"/>
        </w:trPr>
        <w:tc>
          <w:tcPr>
            <w:tcW w:w="2977" w:type="dxa"/>
            <w:tcBorders>
              <w:top w:val="nil"/>
              <w:left w:val="nil"/>
              <w:bottom w:val="nil"/>
              <w:right w:val="nil"/>
            </w:tcBorders>
            <w:shd w:val="clear" w:color="auto" w:fill="auto"/>
            <w:noWrap/>
          </w:tcPr>
          <w:p w14:paraId="7149B9E8"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46DE302" w14:textId="41DBDC8F"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98" w:type="dxa"/>
            <w:tcBorders>
              <w:top w:val="nil"/>
              <w:left w:val="nil"/>
              <w:bottom w:val="nil"/>
              <w:right w:val="single" w:sz="12" w:space="0" w:color="auto"/>
            </w:tcBorders>
          </w:tcPr>
          <w:p w14:paraId="76AA8297" w14:textId="57329AA7"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(1.080)</w:t>
            </w:r>
          </w:p>
        </w:tc>
        <w:tc>
          <w:tcPr>
            <w:tcW w:w="1396" w:type="dxa"/>
            <w:tcBorders>
              <w:top w:val="nil"/>
              <w:left w:val="single" w:sz="12" w:space="0" w:color="auto"/>
              <w:bottom w:val="nil"/>
            </w:tcBorders>
            <w:shd w:val="clear" w:color="auto" w:fill="auto"/>
            <w:noWrap/>
          </w:tcPr>
          <w:p w14:paraId="0660C3E9" w14:textId="20464B6C"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4" w:type="dxa"/>
            <w:tcBorders>
              <w:top w:val="nil"/>
              <w:bottom w:val="nil"/>
              <w:right w:val="single" w:sz="12" w:space="0" w:color="auto"/>
            </w:tcBorders>
          </w:tcPr>
          <w:p w14:paraId="4948683B" w14:textId="3193A385"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(2.485)</w:t>
            </w:r>
          </w:p>
        </w:tc>
        <w:tc>
          <w:tcPr>
            <w:tcW w:w="1390" w:type="dxa"/>
            <w:tcBorders>
              <w:top w:val="nil"/>
              <w:left w:val="single" w:sz="12" w:space="0" w:color="auto"/>
              <w:bottom w:val="nil"/>
              <w:right w:val="nil"/>
            </w:tcBorders>
          </w:tcPr>
          <w:p w14:paraId="79D38E2D" w14:textId="5F0CC00F"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26" w:type="dxa"/>
            <w:tcBorders>
              <w:top w:val="nil"/>
              <w:left w:val="nil"/>
              <w:bottom w:val="nil"/>
            </w:tcBorders>
          </w:tcPr>
          <w:p w14:paraId="44024005" w14:textId="01E82E27"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(0.296)</w:t>
            </w:r>
          </w:p>
        </w:tc>
      </w:tr>
      <w:tr w:rsidR="00EE533D" w:rsidRPr="00EE533D" w14:paraId="6D60610E" w14:textId="77777777" w:rsidTr="005D7CB5">
        <w:trPr>
          <w:trHeight w:val="71"/>
        </w:trPr>
        <w:tc>
          <w:tcPr>
            <w:tcW w:w="2977" w:type="dxa"/>
            <w:tcBorders>
              <w:top w:val="nil"/>
              <w:left w:val="nil"/>
              <w:bottom w:val="nil"/>
              <w:right w:val="nil"/>
            </w:tcBorders>
            <w:shd w:val="clear" w:color="auto" w:fill="auto"/>
            <w:noWrap/>
          </w:tcPr>
          <w:p w14:paraId="42ED9269"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F169CB0" w14:textId="364ED3E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98" w:type="dxa"/>
            <w:tcBorders>
              <w:top w:val="nil"/>
              <w:left w:val="nil"/>
              <w:bottom w:val="nil"/>
              <w:right w:val="single" w:sz="12" w:space="0" w:color="auto"/>
            </w:tcBorders>
          </w:tcPr>
          <w:p w14:paraId="1185DDEA" w14:textId="528394E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396" w:type="dxa"/>
            <w:tcBorders>
              <w:top w:val="nil"/>
              <w:left w:val="single" w:sz="12" w:space="0" w:color="auto"/>
              <w:bottom w:val="nil"/>
            </w:tcBorders>
            <w:shd w:val="clear" w:color="auto" w:fill="auto"/>
            <w:noWrap/>
          </w:tcPr>
          <w:p w14:paraId="579F028B" w14:textId="7400A3E7"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bottom w:val="nil"/>
              <w:right w:val="single" w:sz="12" w:space="0" w:color="auto"/>
            </w:tcBorders>
          </w:tcPr>
          <w:p w14:paraId="0A31729B" w14:textId="58EB415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0.018</w:t>
            </w:r>
          </w:p>
        </w:tc>
        <w:tc>
          <w:tcPr>
            <w:tcW w:w="1390" w:type="dxa"/>
            <w:tcBorders>
              <w:top w:val="nil"/>
              <w:left w:val="single" w:sz="12" w:space="0" w:color="auto"/>
              <w:bottom w:val="nil"/>
              <w:right w:val="nil"/>
            </w:tcBorders>
          </w:tcPr>
          <w:p w14:paraId="26064B33" w14:textId="787718C4"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26" w:type="dxa"/>
            <w:tcBorders>
              <w:top w:val="nil"/>
              <w:left w:val="nil"/>
              <w:bottom w:val="nil"/>
            </w:tcBorders>
          </w:tcPr>
          <w:p w14:paraId="5A7FA16B" w14:textId="6DE59BAE"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r>
      <w:tr w:rsidR="00EE533D" w:rsidRPr="00EE533D" w14:paraId="0F36AE40" w14:textId="77777777" w:rsidTr="005D7CB5">
        <w:trPr>
          <w:trHeight w:val="71"/>
        </w:trPr>
        <w:tc>
          <w:tcPr>
            <w:tcW w:w="2977" w:type="dxa"/>
            <w:tcBorders>
              <w:top w:val="nil"/>
              <w:left w:val="nil"/>
              <w:bottom w:val="nil"/>
              <w:right w:val="nil"/>
            </w:tcBorders>
            <w:shd w:val="clear" w:color="auto" w:fill="auto"/>
            <w:noWrap/>
          </w:tcPr>
          <w:p w14:paraId="25785877"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14E682CF" w14:textId="560E1C47"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98" w:type="dxa"/>
            <w:tcBorders>
              <w:top w:val="nil"/>
              <w:left w:val="nil"/>
              <w:bottom w:val="nil"/>
              <w:right w:val="single" w:sz="12" w:space="0" w:color="auto"/>
            </w:tcBorders>
          </w:tcPr>
          <w:p w14:paraId="6A34EDCD" w14:textId="48224D77"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396" w:type="dxa"/>
            <w:tcBorders>
              <w:top w:val="nil"/>
              <w:left w:val="single" w:sz="12" w:space="0" w:color="auto"/>
              <w:bottom w:val="nil"/>
            </w:tcBorders>
            <w:shd w:val="clear" w:color="auto" w:fill="auto"/>
            <w:noWrap/>
          </w:tcPr>
          <w:p w14:paraId="0B93D0EE" w14:textId="331C80E0"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bottom w:val="nil"/>
              <w:right w:val="single" w:sz="12" w:space="0" w:color="auto"/>
            </w:tcBorders>
          </w:tcPr>
          <w:p w14:paraId="40C2ECD0" w14:textId="79D99EFE"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c>
          <w:tcPr>
            <w:tcW w:w="1390" w:type="dxa"/>
            <w:tcBorders>
              <w:top w:val="nil"/>
              <w:left w:val="single" w:sz="12" w:space="0" w:color="auto"/>
              <w:bottom w:val="nil"/>
              <w:right w:val="nil"/>
            </w:tcBorders>
          </w:tcPr>
          <w:p w14:paraId="1103C3CD" w14:textId="2DE8E1B3"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26" w:type="dxa"/>
            <w:tcBorders>
              <w:top w:val="nil"/>
              <w:left w:val="nil"/>
              <w:bottom w:val="nil"/>
            </w:tcBorders>
          </w:tcPr>
          <w:p w14:paraId="587B59F3" w14:textId="35F33866"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44586326" w14:textId="77777777" w:rsidTr="005D7CB5">
        <w:trPr>
          <w:trHeight w:val="71"/>
        </w:trPr>
        <w:tc>
          <w:tcPr>
            <w:tcW w:w="2977" w:type="dxa"/>
            <w:tcBorders>
              <w:top w:val="nil"/>
              <w:left w:val="nil"/>
              <w:bottom w:val="nil"/>
              <w:right w:val="nil"/>
            </w:tcBorders>
            <w:shd w:val="clear" w:color="auto" w:fill="auto"/>
            <w:noWrap/>
          </w:tcPr>
          <w:p w14:paraId="3FC7811A" w14:textId="77777777" w:rsidR="00307ECC" w:rsidRPr="00EE533D" w:rsidRDefault="00307ECC" w:rsidP="00307ECC">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63B09098" w14:textId="4FD313D3"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0.061</w:t>
            </w:r>
          </w:p>
        </w:tc>
        <w:tc>
          <w:tcPr>
            <w:tcW w:w="1498" w:type="dxa"/>
            <w:tcBorders>
              <w:top w:val="nil"/>
              <w:left w:val="nil"/>
              <w:bottom w:val="nil"/>
              <w:right w:val="single" w:sz="12" w:space="0" w:color="auto"/>
            </w:tcBorders>
          </w:tcPr>
          <w:p w14:paraId="07A8025F" w14:textId="6EC80BBF"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-0.102***</w:t>
            </w:r>
          </w:p>
        </w:tc>
        <w:tc>
          <w:tcPr>
            <w:tcW w:w="1396" w:type="dxa"/>
            <w:tcBorders>
              <w:top w:val="nil"/>
              <w:left w:val="single" w:sz="12" w:space="0" w:color="auto"/>
              <w:bottom w:val="nil"/>
            </w:tcBorders>
            <w:shd w:val="clear" w:color="auto" w:fill="auto"/>
            <w:noWrap/>
          </w:tcPr>
          <w:p w14:paraId="536FA03F" w14:textId="0B5E0707"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0.090*</w:t>
            </w:r>
          </w:p>
        </w:tc>
        <w:tc>
          <w:tcPr>
            <w:tcW w:w="1434" w:type="dxa"/>
            <w:tcBorders>
              <w:top w:val="nil"/>
              <w:bottom w:val="nil"/>
              <w:right w:val="single" w:sz="12" w:space="0" w:color="auto"/>
            </w:tcBorders>
          </w:tcPr>
          <w:p w14:paraId="7C637164" w14:textId="45223F96"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0.170**</w:t>
            </w:r>
          </w:p>
        </w:tc>
        <w:tc>
          <w:tcPr>
            <w:tcW w:w="1390" w:type="dxa"/>
            <w:tcBorders>
              <w:top w:val="nil"/>
              <w:left w:val="single" w:sz="12" w:space="0" w:color="auto"/>
              <w:bottom w:val="nil"/>
              <w:right w:val="nil"/>
            </w:tcBorders>
          </w:tcPr>
          <w:p w14:paraId="0E0207BC" w14:textId="32C7F5D5"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-0.137*</w:t>
            </w:r>
          </w:p>
        </w:tc>
        <w:tc>
          <w:tcPr>
            <w:tcW w:w="1426" w:type="dxa"/>
            <w:tcBorders>
              <w:top w:val="nil"/>
              <w:left w:val="nil"/>
              <w:bottom w:val="nil"/>
            </w:tcBorders>
          </w:tcPr>
          <w:p w14:paraId="7EEF7B41" w14:textId="52BD37A7"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r>
      <w:tr w:rsidR="00EE533D" w:rsidRPr="00EE533D" w14:paraId="025D415E" w14:textId="77777777" w:rsidTr="005D7CB5">
        <w:trPr>
          <w:trHeight w:val="71"/>
        </w:trPr>
        <w:tc>
          <w:tcPr>
            <w:tcW w:w="2977" w:type="dxa"/>
            <w:tcBorders>
              <w:top w:val="nil"/>
              <w:left w:val="nil"/>
              <w:bottom w:val="nil"/>
              <w:right w:val="nil"/>
            </w:tcBorders>
            <w:shd w:val="clear" w:color="auto" w:fill="auto"/>
            <w:noWrap/>
          </w:tcPr>
          <w:p w14:paraId="0DE0906F" w14:textId="77777777" w:rsidR="00307ECC" w:rsidRPr="00EE533D" w:rsidRDefault="00307ECC" w:rsidP="00307ECC">
            <w:pPr>
              <w:spacing w:after="0"/>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7B11ADD0" w14:textId="42767AD8"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498" w:type="dxa"/>
            <w:tcBorders>
              <w:top w:val="nil"/>
              <w:left w:val="nil"/>
              <w:bottom w:val="nil"/>
              <w:right w:val="single" w:sz="12" w:space="0" w:color="auto"/>
            </w:tcBorders>
          </w:tcPr>
          <w:p w14:paraId="70460D4E" w14:textId="073136DA"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c>
          <w:tcPr>
            <w:tcW w:w="1396" w:type="dxa"/>
            <w:tcBorders>
              <w:top w:val="nil"/>
              <w:left w:val="single" w:sz="12" w:space="0" w:color="auto"/>
              <w:bottom w:val="nil"/>
            </w:tcBorders>
            <w:shd w:val="clear" w:color="auto" w:fill="auto"/>
            <w:noWrap/>
          </w:tcPr>
          <w:p w14:paraId="4A795635" w14:textId="088847A4"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(0.046)</w:t>
            </w:r>
          </w:p>
        </w:tc>
        <w:tc>
          <w:tcPr>
            <w:tcW w:w="1434" w:type="dxa"/>
            <w:tcBorders>
              <w:top w:val="nil"/>
              <w:bottom w:val="nil"/>
              <w:right w:val="single" w:sz="12" w:space="0" w:color="auto"/>
            </w:tcBorders>
          </w:tcPr>
          <w:p w14:paraId="2BED063F" w14:textId="477721EC"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(0.076)</w:t>
            </w:r>
          </w:p>
        </w:tc>
        <w:tc>
          <w:tcPr>
            <w:tcW w:w="1390" w:type="dxa"/>
            <w:tcBorders>
              <w:top w:val="nil"/>
              <w:left w:val="single" w:sz="12" w:space="0" w:color="auto"/>
              <w:bottom w:val="nil"/>
              <w:right w:val="nil"/>
            </w:tcBorders>
          </w:tcPr>
          <w:p w14:paraId="3F15744E" w14:textId="6985835E"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(0.073)</w:t>
            </w:r>
          </w:p>
        </w:tc>
        <w:tc>
          <w:tcPr>
            <w:tcW w:w="1426" w:type="dxa"/>
            <w:tcBorders>
              <w:top w:val="nil"/>
              <w:left w:val="nil"/>
              <w:bottom w:val="nil"/>
            </w:tcBorders>
          </w:tcPr>
          <w:p w14:paraId="351BB0E0" w14:textId="47A44387"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r>
      <w:tr w:rsidR="00EE533D" w:rsidRPr="00EE533D" w14:paraId="0C47160B" w14:textId="77777777" w:rsidTr="005D7CB5">
        <w:trPr>
          <w:trHeight w:val="71"/>
        </w:trPr>
        <w:tc>
          <w:tcPr>
            <w:tcW w:w="2977" w:type="dxa"/>
            <w:tcBorders>
              <w:top w:val="nil"/>
              <w:left w:val="nil"/>
              <w:bottom w:val="nil"/>
              <w:right w:val="nil"/>
            </w:tcBorders>
            <w:shd w:val="clear" w:color="auto" w:fill="auto"/>
            <w:noWrap/>
          </w:tcPr>
          <w:p w14:paraId="4EA16B45"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19D11C8" w14:textId="5BDCE22A"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0.183***</w:t>
            </w:r>
          </w:p>
        </w:tc>
        <w:tc>
          <w:tcPr>
            <w:tcW w:w="1498" w:type="dxa"/>
            <w:tcBorders>
              <w:top w:val="nil"/>
              <w:left w:val="nil"/>
              <w:bottom w:val="nil"/>
              <w:right w:val="single" w:sz="12" w:space="0" w:color="auto"/>
            </w:tcBorders>
          </w:tcPr>
          <w:p w14:paraId="21BFFCBA" w14:textId="78BE5F2F"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-7.916***</w:t>
            </w:r>
          </w:p>
        </w:tc>
        <w:tc>
          <w:tcPr>
            <w:tcW w:w="1396" w:type="dxa"/>
            <w:tcBorders>
              <w:top w:val="nil"/>
              <w:left w:val="single" w:sz="12" w:space="0" w:color="auto"/>
              <w:bottom w:val="nil"/>
            </w:tcBorders>
            <w:shd w:val="clear" w:color="auto" w:fill="auto"/>
            <w:noWrap/>
          </w:tcPr>
          <w:p w14:paraId="5D4F2198" w14:textId="49CD8667"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0.225***</w:t>
            </w:r>
          </w:p>
        </w:tc>
        <w:tc>
          <w:tcPr>
            <w:tcW w:w="1434" w:type="dxa"/>
            <w:tcBorders>
              <w:top w:val="nil"/>
              <w:bottom w:val="nil"/>
              <w:right w:val="single" w:sz="12" w:space="0" w:color="auto"/>
            </w:tcBorders>
          </w:tcPr>
          <w:p w14:paraId="3FC89CA2" w14:textId="50B43439"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2.806</w:t>
            </w:r>
          </w:p>
        </w:tc>
        <w:tc>
          <w:tcPr>
            <w:tcW w:w="1390" w:type="dxa"/>
            <w:tcBorders>
              <w:top w:val="nil"/>
              <w:left w:val="single" w:sz="12" w:space="0" w:color="auto"/>
              <w:bottom w:val="nil"/>
              <w:right w:val="nil"/>
            </w:tcBorders>
          </w:tcPr>
          <w:p w14:paraId="0E2DD995" w14:textId="1E986BB6"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c>
          <w:tcPr>
            <w:tcW w:w="1426" w:type="dxa"/>
            <w:tcBorders>
              <w:top w:val="nil"/>
              <w:left w:val="nil"/>
              <w:bottom w:val="nil"/>
            </w:tcBorders>
          </w:tcPr>
          <w:p w14:paraId="1000DDBB" w14:textId="637A992D"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-0.209</w:t>
            </w:r>
          </w:p>
        </w:tc>
      </w:tr>
      <w:tr w:rsidR="00EE533D" w:rsidRPr="00EE533D" w14:paraId="0D500FA5" w14:textId="77777777" w:rsidTr="005D7CB5">
        <w:trPr>
          <w:trHeight w:val="71"/>
        </w:trPr>
        <w:tc>
          <w:tcPr>
            <w:tcW w:w="2977" w:type="dxa"/>
            <w:tcBorders>
              <w:top w:val="nil"/>
              <w:left w:val="nil"/>
              <w:bottom w:val="nil"/>
              <w:right w:val="nil"/>
            </w:tcBorders>
            <w:shd w:val="clear" w:color="auto" w:fill="auto"/>
            <w:noWrap/>
          </w:tcPr>
          <w:p w14:paraId="1E2565EF"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1BC455AC" w14:textId="1E2001D6"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98" w:type="dxa"/>
            <w:tcBorders>
              <w:top w:val="nil"/>
              <w:left w:val="nil"/>
              <w:bottom w:val="nil"/>
              <w:right w:val="single" w:sz="12" w:space="0" w:color="auto"/>
            </w:tcBorders>
          </w:tcPr>
          <w:p w14:paraId="561764C6" w14:textId="22641095"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(0.988)</w:t>
            </w:r>
          </w:p>
        </w:tc>
        <w:tc>
          <w:tcPr>
            <w:tcW w:w="1396" w:type="dxa"/>
            <w:tcBorders>
              <w:top w:val="nil"/>
              <w:left w:val="single" w:sz="12" w:space="0" w:color="auto"/>
              <w:bottom w:val="nil"/>
            </w:tcBorders>
            <w:shd w:val="clear" w:color="auto" w:fill="auto"/>
            <w:noWrap/>
          </w:tcPr>
          <w:p w14:paraId="5A81F019" w14:textId="4FE12C40"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34" w:type="dxa"/>
            <w:tcBorders>
              <w:top w:val="nil"/>
              <w:bottom w:val="nil"/>
              <w:right w:val="single" w:sz="12" w:space="0" w:color="auto"/>
            </w:tcBorders>
          </w:tcPr>
          <w:p w14:paraId="45E4C5B3" w14:textId="53DF062D"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(2.569)</w:t>
            </w:r>
          </w:p>
        </w:tc>
        <w:tc>
          <w:tcPr>
            <w:tcW w:w="1390" w:type="dxa"/>
            <w:tcBorders>
              <w:top w:val="nil"/>
              <w:left w:val="single" w:sz="12" w:space="0" w:color="auto"/>
              <w:bottom w:val="nil"/>
              <w:right w:val="nil"/>
            </w:tcBorders>
          </w:tcPr>
          <w:p w14:paraId="74813CF7" w14:textId="4A49E561"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426" w:type="dxa"/>
            <w:tcBorders>
              <w:top w:val="nil"/>
              <w:left w:val="nil"/>
              <w:bottom w:val="nil"/>
            </w:tcBorders>
          </w:tcPr>
          <w:p w14:paraId="1D0CC0E0" w14:textId="1F4138E1"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(0.320)</w:t>
            </w:r>
          </w:p>
        </w:tc>
      </w:tr>
      <w:tr w:rsidR="00EE533D" w:rsidRPr="00EE533D" w14:paraId="1B81046A" w14:textId="77777777" w:rsidTr="005D7CB5">
        <w:trPr>
          <w:trHeight w:val="71"/>
        </w:trPr>
        <w:tc>
          <w:tcPr>
            <w:tcW w:w="2977" w:type="dxa"/>
            <w:tcBorders>
              <w:top w:val="nil"/>
              <w:left w:val="nil"/>
              <w:bottom w:val="nil"/>
              <w:right w:val="nil"/>
            </w:tcBorders>
            <w:shd w:val="clear" w:color="auto" w:fill="auto"/>
            <w:noWrap/>
          </w:tcPr>
          <w:p w14:paraId="5374DE3E"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457EDE4B" w14:textId="2976ED5C"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c>
          <w:tcPr>
            <w:tcW w:w="1498" w:type="dxa"/>
            <w:tcBorders>
              <w:top w:val="nil"/>
              <w:left w:val="nil"/>
              <w:bottom w:val="nil"/>
              <w:right w:val="single" w:sz="12" w:space="0" w:color="auto"/>
            </w:tcBorders>
          </w:tcPr>
          <w:p w14:paraId="2F22C10F" w14:textId="7EFC90CA"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-0.845**</w:t>
            </w:r>
          </w:p>
        </w:tc>
        <w:tc>
          <w:tcPr>
            <w:tcW w:w="1396" w:type="dxa"/>
            <w:tcBorders>
              <w:top w:val="nil"/>
              <w:left w:val="single" w:sz="12" w:space="0" w:color="auto"/>
              <w:bottom w:val="nil"/>
            </w:tcBorders>
            <w:shd w:val="clear" w:color="auto" w:fill="auto"/>
            <w:noWrap/>
          </w:tcPr>
          <w:p w14:paraId="63551FCF" w14:textId="123346C9"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bottom w:val="nil"/>
              <w:right w:val="single" w:sz="12" w:space="0" w:color="auto"/>
            </w:tcBorders>
          </w:tcPr>
          <w:p w14:paraId="53B22D5A" w14:textId="55AACCD7"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-7.187***</w:t>
            </w:r>
          </w:p>
        </w:tc>
        <w:tc>
          <w:tcPr>
            <w:tcW w:w="1390" w:type="dxa"/>
            <w:tcBorders>
              <w:top w:val="nil"/>
              <w:left w:val="single" w:sz="12" w:space="0" w:color="auto"/>
              <w:bottom w:val="nil"/>
              <w:right w:val="nil"/>
            </w:tcBorders>
          </w:tcPr>
          <w:p w14:paraId="7582B7C6" w14:textId="4440189D"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26" w:type="dxa"/>
            <w:tcBorders>
              <w:top w:val="nil"/>
              <w:left w:val="nil"/>
              <w:bottom w:val="nil"/>
            </w:tcBorders>
          </w:tcPr>
          <w:p w14:paraId="32D11E37" w14:textId="5921527A"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0.187**</w:t>
            </w:r>
          </w:p>
        </w:tc>
      </w:tr>
      <w:tr w:rsidR="00EE533D" w:rsidRPr="00EE533D" w14:paraId="1C4493B5" w14:textId="77777777" w:rsidTr="005D7CB5">
        <w:trPr>
          <w:trHeight w:val="71"/>
        </w:trPr>
        <w:tc>
          <w:tcPr>
            <w:tcW w:w="2977" w:type="dxa"/>
            <w:tcBorders>
              <w:top w:val="nil"/>
              <w:left w:val="nil"/>
              <w:bottom w:val="nil"/>
              <w:right w:val="nil"/>
            </w:tcBorders>
            <w:shd w:val="clear" w:color="auto" w:fill="auto"/>
            <w:noWrap/>
          </w:tcPr>
          <w:p w14:paraId="3F932795"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0B624723" w14:textId="11B49D0A"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98" w:type="dxa"/>
            <w:tcBorders>
              <w:top w:val="nil"/>
              <w:left w:val="nil"/>
              <w:bottom w:val="nil"/>
              <w:right w:val="single" w:sz="12" w:space="0" w:color="auto"/>
            </w:tcBorders>
          </w:tcPr>
          <w:p w14:paraId="544FD28B" w14:textId="0099AE89"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(0.380)</w:t>
            </w:r>
          </w:p>
        </w:tc>
        <w:tc>
          <w:tcPr>
            <w:tcW w:w="1396" w:type="dxa"/>
            <w:tcBorders>
              <w:top w:val="nil"/>
              <w:left w:val="single" w:sz="12" w:space="0" w:color="auto"/>
              <w:bottom w:val="nil"/>
            </w:tcBorders>
            <w:shd w:val="clear" w:color="auto" w:fill="auto"/>
            <w:noWrap/>
          </w:tcPr>
          <w:p w14:paraId="154D0D9E" w14:textId="36BB37E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4" w:type="dxa"/>
            <w:tcBorders>
              <w:top w:val="nil"/>
              <w:bottom w:val="nil"/>
              <w:right w:val="single" w:sz="12" w:space="0" w:color="auto"/>
            </w:tcBorders>
          </w:tcPr>
          <w:p w14:paraId="4810282F" w14:textId="3D58F13B"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(1.034)</w:t>
            </w:r>
          </w:p>
        </w:tc>
        <w:tc>
          <w:tcPr>
            <w:tcW w:w="1390" w:type="dxa"/>
            <w:tcBorders>
              <w:top w:val="nil"/>
              <w:left w:val="single" w:sz="12" w:space="0" w:color="auto"/>
              <w:bottom w:val="nil"/>
              <w:right w:val="nil"/>
            </w:tcBorders>
          </w:tcPr>
          <w:p w14:paraId="2EE27F59" w14:textId="30595C66"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26" w:type="dxa"/>
            <w:tcBorders>
              <w:top w:val="nil"/>
              <w:left w:val="nil"/>
              <w:bottom w:val="nil"/>
            </w:tcBorders>
          </w:tcPr>
          <w:p w14:paraId="423C3EDE" w14:textId="5874E34E"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(0.092)</w:t>
            </w:r>
          </w:p>
        </w:tc>
      </w:tr>
      <w:tr w:rsidR="00EE533D" w:rsidRPr="00EE533D" w14:paraId="212B9C53" w14:textId="77777777" w:rsidTr="005D7CB5">
        <w:trPr>
          <w:trHeight w:val="71"/>
        </w:trPr>
        <w:tc>
          <w:tcPr>
            <w:tcW w:w="2977" w:type="dxa"/>
            <w:tcBorders>
              <w:top w:val="nil"/>
              <w:left w:val="nil"/>
              <w:bottom w:val="nil"/>
              <w:right w:val="nil"/>
            </w:tcBorders>
            <w:shd w:val="clear" w:color="auto" w:fill="auto"/>
            <w:noWrap/>
          </w:tcPr>
          <w:p w14:paraId="0DE33E0E"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61D05482" w14:textId="6CB1CDC6"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-0.049</w:t>
            </w:r>
          </w:p>
        </w:tc>
        <w:tc>
          <w:tcPr>
            <w:tcW w:w="1498" w:type="dxa"/>
            <w:tcBorders>
              <w:top w:val="nil"/>
              <w:left w:val="nil"/>
              <w:bottom w:val="nil"/>
              <w:right w:val="single" w:sz="12" w:space="0" w:color="auto"/>
            </w:tcBorders>
          </w:tcPr>
          <w:p w14:paraId="1046ECA0" w14:textId="26719F65"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0.786***</w:t>
            </w:r>
          </w:p>
        </w:tc>
        <w:tc>
          <w:tcPr>
            <w:tcW w:w="1396" w:type="dxa"/>
            <w:tcBorders>
              <w:top w:val="nil"/>
              <w:left w:val="single" w:sz="12" w:space="0" w:color="auto"/>
              <w:bottom w:val="nil"/>
            </w:tcBorders>
            <w:shd w:val="clear" w:color="auto" w:fill="auto"/>
            <w:noWrap/>
          </w:tcPr>
          <w:p w14:paraId="0BF07119" w14:textId="6243CB34"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4" w:type="dxa"/>
            <w:tcBorders>
              <w:top w:val="nil"/>
              <w:bottom w:val="nil"/>
              <w:right w:val="single" w:sz="12" w:space="0" w:color="auto"/>
            </w:tcBorders>
          </w:tcPr>
          <w:p w14:paraId="222F7DB0" w14:textId="4BB94F5B"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-0.848***</w:t>
            </w:r>
          </w:p>
        </w:tc>
        <w:tc>
          <w:tcPr>
            <w:tcW w:w="1390" w:type="dxa"/>
            <w:tcBorders>
              <w:top w:val="nil"/>
              <w:left w:val="single" w:sz="12" w:space="0" w:color="auto"/>
              <w:bottom w:val="nil"/>
              <w:right w:val="nil"/>
            </w:tcBorders>
          </w:tcPr>
          <w:p w14:paraId="12F585DB" w14:textId="31D3F808"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426" w:type="dxa"/>
            <w:tcBorders>
              <w:top w:val="nil"/>
              <w:left w:val="nil"/>
              <w:bottom w:val="nil"/>
            </w:tcBorders>
          </w:tcPr>
          <w:p w14:paraId="701CEFE2" w14:textId="35A2D854"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0.131***</w:t>
            </w:r>
          </w:p>
        </w:tc>
      </w:tr>
      <w:tr w:rsidR="00EE533D" w:rsidRPr="00EE533D" w14:paraId="63B16C02" w14:textId="77777777" w:rsidTr="005D7CB5">
        <w:trPr>
          <w:trHeight w:val="71"/>
        </w:trPr>
        <w:tc>
          <w:tcPr>
            <w:tcW w:w="2977" w:type="dxa"/>
            <w:tcBorders>
              <w:top w:val="nil"/>
              <w:left w:val="nil"/>
              <w:bottom w:val="nil"/>
              <w:right w:val="nil"/>
            </w:tcBorders>
            <w:shd w:val="clear" w:color="auto" w:fill="auto"/>
            <w:noWrap/>
          </w:tcPr>
          <w:p w14:paraId="2118F34C"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553A679A" w14:textId="59DA4B77"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498" w:type="dxa"/>
            <w:tcBorders>
              <w:top w:val="nil"/>
              <w:left w:val="nil"/>
              <w:bottom w:val="nil"/>
              <w:right w:val="single" w:sz="12" w:space="0" w:color="auto"/>
            </w:tcBorders>
          </w:tcPr>
          <w:p w14:paraId="3CA5533D" w14:textId="4D7F0F5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(0.090)</w:t>
            </w:r>
          </w:p>
        </w:tc>
        <w:tc>
          <w:tcPr>
            <w:tcW w:w="1396" w:type="dxa"/>
            <w:tcBorders>
              <w:top w:val="nil"/>
              <w:left w:val="single" w:sz="12" w:space="0" w:color="auto"/>
              <w:bottom w:val="nil"/>
            </w:tcBorders>
            <w:shd w:val="clear" w:color="auto" w:fill="auto"/>
            <w:noWrap/>
          </w:tcPr>
          <w:p w14:paraId="2D773243" w14:textId="2E726811"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434" w:type="dxa"/>
            <w:tcBorders>
              <w:top w:val="nil"/>
              <w:bottom w:val="nil"/>
              <w:right w:val="single" w:sz="12" w:space="0" w:color="auto"/>
            </w:tcBorders>
          </w:tcPr>
          <w:p w14:paraId="50D00BC8" w14:textId="15DA89C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(0.228)</w:t>
            </w:r>
          </w:p>
        </w:tc>
        <w:tc>
          <w:tcPr>
            <w:tcW w:w="1390" w:type="dxa"/>
            <w:tcBorders>
              <w:top w:val="nil"/>
              <w:left w:val="single" w:sz="12" w:space="0" w:color="auto"/>
              <w:bottom w:val="nil"/>
              <w:right w:val="nil"/>
            </w:tcBorders>
          </w:tcPr>
          <w:p w14:paraId="5860D085" w14:textId="29DF4D14"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426" w:type="dxa"/>
            <w:tcBorders>
              <w:top w:val="nil"/>
              <w:left w:val="nil"/>
              <w:bottom w:val="nil"/>
            </w:tcBorders>
          </w:tcPr>
          <w:p w14:paraId="152C687E" w14:textId="372689EC"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r>
      <w:tr w:rsidR="00EE533D" w:rsidRPr="00EE533D" w14:paraId="32013FD9" w14:textId="77777777" w:rsidTr="005D7CB5">
        <w:trPr>
          <w:trHeight w:val="71"/>
        </w:trPr>
        <w:tc>
          <w:tcPr>
            <w:tcW w:w="2977" w:type="dxa"/>
            <w:tcBorders>
              <w:top w:val="nil"/>
              <w:left w:val="nil"/>
              <w:bottom w:val="nil"/>
              <w:right w:val="nil"/>
            </w:tcBorders>
            <w:shd w:val="clear" w:color="auto" w:fill="auto"/>
            <w:noWrap/>
          </w:tcPr>
          <w:p w14:paraId="28897872"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3CDE8096" w14:textId="268DFB6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0.024***</w:t>
            </w:r>
          </w:p>
        </w:tc>
        <w:tc>
          <w:tcPr>
            <w:tcW w:w="1498" w:type="dxa"/>
            <w:tcBorders>
              <w:top w:val="nil"/>
              <w:left w:val="nil"/>
              <w:bottom w:val="nil"/>
              <w:right w:val="single" w:sz="12" w:space="0" w:color="auto"/>
            </w:tcBorders>
          </w:tcPr>
          <w:p w14:paraId="3EF7C5CC" w14:textId="1E7BC396"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7.772***</w:t>
            </w:r>
          </w:p>
        </w:tc>
        <w:tc>
          <w:tcPr>
            <w:tcW w:w="1396" w:type="dxa"/>
            <w:tcBorders>
              <w:top w:val="nil"/>
              <w:left w:val="single" w:sz="12" w:space="0" w:color="auto"/>
              <w:bottom w:val="nil"/>
            </w:tcBorders>
            <w:shd w:val="clear" w:color="auto" w:fill="auto"/>
            <w:noWrap/>
          </w:tcPr>
          <w:p w14:paraId="426BEBA4" w14:textId="760F2D1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434" w:type="dxa"/>
            <w:tcBorders>
              <w:top w:val="nil"/>
              <w:bottom w:val="nil"/>
              <w:right w:val="single" w:sz="12" w:space="0" w:color="auto"/>
            </w:tcBorders>
          </w:tcPr>
          <w:p w14:paraId="413BC5D3" w14:textId="2F9CF5CE"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4.424*</w:t>
            </w:r>
          </w:p>
        </w:tc>
        <w:tc>
          <w:tcPr>
            <w:tcW w:w="1390" w:type="dxa"/>
            <w:tcBorders>
              <w:top w:val="nil"/>
              <w:left w:val="single" w:sz="12" w:space="0" w:color="auto"/>
              <w:bottom w:val="nil"/>
              <w:right w:val="nil"/>
            </w:tcBorders>
          </w:tcPr>
          <w:p w14:paraId="2D2101ED" w14:textId="772FBEC2"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0.022**</w:t>
            </w:r>
          </w:p>
        </w:tc>
        <w:tc>
          <w:tcPr>
            <w:tcW w:w="1426" w:type="dxa"/>
            <w:tcBorders>
              <w:top w:val="nil"/>
              <w:left w:val="nil"/>
              <w:bottom w:val="nil"/>
            </w:tcBorders>
          </w:tcPr>
          <w:p w14:paraId="6653A581" w14:textId="1AE6E8B3"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-0.400*</w:t>
            </w:r>
          </w:p>
        </w:tc>
      </w:tr>
      <w:tr w:rsidR="00EE533D" w:rsidRPr="00EE533D" w14:paraId="098D31B6" w14:textId="77777777" w:rsidTr="005D7CB5">
        <w:trPr>
          <w:trHeight w:val="71"/>
        </w:trPr>
        <w:tc>
          <w:tcPr>
            <w:tcW w:w="2977" w:type="dxa"/>
            <w:tcBorders>
              <w:top w:val="nil"/>
              <w:left w:val="nil"/>
              <w:bottom w:val="nil"/>
              <w:right w:val="nil"/>
            </w:tcBorders>
            <w:shd w:val="clear" w:color="auto" w:fill="auto"/>
            <w:noWrap/>
          </w:tcPr>
          <w:p w14:paraId="74FB3694"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6469C84B" w14:textId="2FF2A331"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98" w:type="dxa"/>
            <w:tcBorders>
              <w:top w:val="nil"/>
              <w:left w:val="nil"/>
              <w:bottom w:val="nil"/>
              <w:right w:val="single" w:sz="12" w:space="0" w:color="auto"/>
            </w:tcBorders>
          </w:tcPr>
          <w:p w14:paraId="4935E141" w14:textId="0D0B2291"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(0.903)</w:t>
            </w:r>
          </w:p>
        </w:tc>
        <w:tc>
          <w:tcPr>
            <w:tcW w:w="1396" w:type="dxa"/>
            <w:tcBorders>
              <w:top w:val="nil"/>
              <w:left w:val="single" w:sz="12" w:space="0" w:color="auto"/>
              <w:bottom w:val="nil"/>
            </w:tcBorders>
            <w:shd w:val="clear" w:color="auto" w:fill="auto"/>
            <w:noWrap/>
          </w:tcPr>
          <w:p w14:paraId="330F45B1" w14:textId="3F42A2AD"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4" w:type="dxa"/>
            <w:tcBorders>
              <w:top w:val="nil"/>
              <w:bottom w:val="nil"/>
              <w:right w:val="single" w:sz="12" w:space="0" w:color="auto"/>
            </w:tcBorders>
          </w:tcPr>
          <w:p w14:paraId="6BF1714A" w14:textId="0148A3A2"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(2.336)</w:t>
            </w:r>
          </w:p>
        </w:tc>
        <w:tc>
          <w:tcPr>
            <w:tcW w:w="1390" w:type="dxa"/>
            <w:tcBorders>
              <w:top w:val="nil"/>
              <w:left w:val="single" w:sz="12" w:space="0" w:color="auto"/>
              <w:bottom w:val="nil"/>
              <w:right w:val="nil"/>
            </w:tcBorders>
          </w:tcPr>
          <w:p w14:paraId="2894037E" w14:textId="4A00C972"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26" w:type="dxa"/>
            <w:tcBorders>
              <w:top w:val="nil"/>
              <w:left w:val="nil"/>
              <w:bottom w:val="nil"/>
            </w:tcBorders>
          </w:tcPr>
          <w:p w14:paraId="5156C9EC" w14:textId="06EE3CCC"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(0.235)</w:t>
            </w:r>
          </w:p>
        </w:tc>
      </w:tr>
      <w:tr w:rsidR="00EE533D" w:rsidRPr="00EE533D" w14:paraId="2A76BC31" w14:textId="77777777" w:rsidTr="005D7CB5">
        <w:trPr>
          <w:trHeight w:val="71"/>
        </w:trPr>
        <w:tc>
          <w:tcPr>
            <w:tcW w:w="2977" w:type="dxa"/>
            <w:tcBorders>
              <w:top w:val="nil"/>
              <w:left w:val="nil"/>
              <w:bottom w:val="nil"/>
              <w:right w:val="nil"/>
            </w:tcBorders>
            <w:shd w:val="clear" w:color="auto" w:fill="auto"/>
            <w:noWrap/>
          </w:tcPr>
          <w:p w14:paraId="08B8D7D5"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363CA926" w14:textId="0A6B638C"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98" w:type="dxa"/>
            <w:tcBorders>
              <w:top w:val="nil"/>
              <w:left w:val="nil"/>
              <w:bottom w:val="nil"/>
              <w:right w:val="single" w:sz="12" w:space="0" w:color="auto"/>
            </w:tcBorders>
          </w:tcPr>
          <w:p w14:paraId="5031D512" w14:textId="7F39DCAE"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0.488***</w:t>
            </w:r>
          </w:p>
        </w:tc>
        <w:tc>
          <w:tcPr>
            <w:tcW w:w="1396" w:type="dxa"/>
            <w:tcBorders>
              <w:top w:val="nil"/>
              <w:left w:val="single" w:sz="12" w:space="0" w:color="auto"/>
              <w:bottom w:val="nil"/>
            </w:tcBorders>
            <w:shd w:val="clear" w:color="auto" w:fill="auto"/>
            <w:noWrap/>
          </w:tcPr>
          <w:p w14:paraId="22C7EB35" w14:textId="7A67AB79"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4" w:type="dxa"/>
            <w:tcBorders>
              <w:top w:val="nil"/>
              <w:bottom w:val="nil"/>
              <w:right w:val="single" w:sz="12" w:space="0" w:color="auto"/>
            </w:tcBorders>
          </w:tcPr>
          <w:p w14:paraId="6A9717A9" w14:textId="33B8788D"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0.609*</w:t>
            </w:r>
          </w:p>
        </w:tc>
        <w:tc>
          <w:tcPr>
            <w:tcW w:w="1390" w:type="dxa"/>
            <w:tcBorders>
              <w:top w:val="nil"/>
              <w:left w:val="single" w:sz="12" w:space="0" w:color="auto"/>
              <w:bottom w:val="nil"/>
              <w:right w:val="nil"/>
            </w:tcBorders>
          </w:tcPr>
          <w:p w14:paraId="41738C34" w14:textId="0D2B2B03"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26" w:type="dxa"/>
            <w:tcBorders>
              <w:top w:val="nil"/>
              <w:left w:val="nil"/>
              <w:bottom w:val="nil"/>
            </w:tcBorders>
          </w:tcPr>
          <w:p w14:paraId="08D6909E" w14:textId="7E9D6BB6"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-0.076*</w:t>
            </w:r>
          </w:p>
        </w:tc>
      </w:tr>
      <w:tr w:rsidR="00EE533D" w:rsidRPr="00EE533D" w14:paraId="4651C8F5" w14:textId="77777777" w:rsidTr="005D7CB5">
        <w:trPr>
          <w:trHeight w:val="71"/>
        </w:trPr>
        <w:tc>
          <w:tcPr>
            <w:tcW w:w="2977" w:type="dxa"/>
            <w:tcBorders>
              <w:top w:val="nil"/>
              <w:left w:val="nil"/>
              <w:bottom w:val="nil"/>
              <w:right w:val="nil"/>
            </w:tcBorders>
            <w:shd w:val="clear" w:color="auto" w:fill="auto"/>
            <w:noWrap/>
          </w:tcPr>
          <w:p w14:paraId="281E5F85"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3043423E" w14:textId="54D6B60B"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98" w:type="dxa"/>
            <w:tcBorders>
              <w:top w:val="nil"/>
              <w:left w:val="nil"/>
              <w:bottom w:val="nil"/>
              <w:right w:val="single" w:sz="12" w:space="0" w:color="auto"/>
            </w:tcBorders>
          </w:tcPr>
          <w:p w14:paraId="1F50FE98" w14:textId="69D3EE67"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(0.139)</w:t>
            </w:r>
          </w:p>
        </w:tc>
        <w:tc>
          <w:tcPr>
            <w:tcW w:w="1396" w:type="dxa"/>
            <w:tcBorders>
              <w:top w:val="nil"/>
              <w:left w:val="single" w:sz="12" w:space="0" w:color="auto"/>
              <w:bottom w:val="nil"/>
            </w:tcBorders>
            <w:shd w:val="clear" w:color="auto" w:fill="auto"/>
            <w:noWrap/>
          </w:tcPr>
          <w:p w14:paraId="0143DE4C" w14:textId="762A3EFC"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4" w:type="dxa"/>
            <w:tcBorders>
              <w:top w:val="nil"/>
              <w:bottom w:val="nil"/>
              <w:right w:val="single" w:sz="12" w:space="0" w:color="auto"/>
            </w:tcBorders>
          </w:tcPr>
          <w:p w14:paraId="23B3AB41" w14:textId="568D792E"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(0.355)</w:t>
            </w:r>
          </w:p>
        </w:tc>
        <w:tc>
          <w:tcPr>
            <w:tcW w:w="1390" w:type="dxa"/>
            <w:tcBorders>
              <w:top w:val="nil"/>
              <w:left w:val="single" w:sz="12" w:space="0" w:color="auto"/>
              <w:bottom w:val="nil"/>
              <w:right w:val="nil"/>
            </w:tcBorders>
          </w:tcPr>
          <w:p w14:paraId="3EBDA572" w14:textId="2DD7D5D9"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26" w:type="dxa"/>
            <w:tcBorders>
              <w:top w:val="nil"/>
              <w:left w:val="nil"/>
              <w:bottom w:val="nil"/>
            </w:tcBorders>
          </w:tcPr>
          <w:p w14:paraId="0C80DAAD" w14:textId="68AE186F"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(0.043)</w:t>
            </w:r>
          </w:p>
        </w:tc>
      </w:tr>
      <w:tr w:rsidR="00EE533D" w:rsidRPr="00EE533D" w14:paraId="65BB47C9" w14:textId="77777777" w:rsidTr="005D7CB5">
        <w:trPr>
          <w:trHeight w:val="71"/>
        </w:trPr>
        <w:tc>
          <w:tcPr>
            <w:tcW w:w="2977" w:type="dxa"/>
            <w:tcBorders>
              <w:top w:val="nil"/>
              <w:left w:val="nil"/>
              <w:bottom w:val="nil"/>
              <w:right w:val="nil"/>
            </w:tcBorders>
            <w:shd w:val="clear" w:color="auto" w:fill="auto"/>
            <w:noWrap/>
          </w:tcPr>
          <w:p w14:paraId="4A973BFD"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6E542B6" w14:textId="4C12A913"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0.139***</w:t>
            </w:r>
          </w:p>
        </w:tc>
        <w:tc>
          <w:tcPr>
            <w:tcW w:w="1498" w:type="dxa"/>
            <w:tcBorders>
              <w:top w:val="nil"/>
              <w:left w:val="nil"/>
              <w:bottom w:val="nil"/>
              <w:right w:val="single" w:sz="12" w:space="0" w:color="auto"/>
            </w:tcBorders>
          </w:tcPr>
          <w:p w14:paraId="443D05E0" w14:textId="026DD48A"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-0.095***</w:t>
            </w:r>
          </w:p>
        </w:tc>
        <w:tc>
          <w:tcPr>
            <w:tcW w:w="1396" w:type="dxa"/>
            <w:tcBorders>
              <w:top w:val="nil"/>
              <w:left w:val="single" w:sz="12" w:space="0" w:color="auto"/>
              <w:bottom w:val="nil"/>
            </w:tcBorders>
            <w:shd w:val="clear" w:color="auto" w:fill="auto"/>
            <w:noWrap/>
          </w:tcPr>
          <w:p w14:paraId="74174055" w14:textId="4DBF3777"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0.306***</w:t>
            </w:r>
          </w:p>
        </w:tc>
        <w:tc>
          <w:tcPr>
            <w:tcW w:w="1434" w:type="dxa"/>
            <w:tcBorders>
              <w:top w:val="nil"/>
              <w:bottom w:val="nil"/>
              <w:right w:val="single" w:sz="12" w:space="0" w:color="auto"/>
            </w:tcBorders>
          </w:tcPr>
          <w:p w14:paraId="3B0BF48A" w14:textId="1146733B"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-0.118**</w:t>
            </w:r>
          </w:p>
        </w:tc>
        <w:tc>
          <w:tcPr>
            <w:tcW w:w="1390" w:type="dxa"/>
            <w:tcBorders>
              <w:top w:val="nil"/>
              <w:left w:val="single" w:sz="12" w:space="0" w:color="auto"/>
              <w:bottom w:val="nil"/>
              <w:right w:val="nil"/>
            </w:tcBorders>
          </w:tcPr>
          <w:p w14:paraId="54B12F1E" w14:textId="76E88B31"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0.297***</w:t>
            </w:r>
          </w:p>
        </w:tc>
        <w:tc>
          <w:tcPr>
            <w:tcW w:w="1426" w:type="dxa"/>
            <w:tcBorders>
              <w:top w:val="nil"/>
              <w:left w:val="nil"/>
              <w:bottom w:val="nil"/>
            </w:tcBorders>
          </w:tcPr>
          <w:p w14:paraId="2C697BB3" w14:textId="75EA7D4E"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r>
      <w:tr w:rsidR="00EE533D" w:rsidRPr="00EE533D" w14:paraId="4F504939" w14:textId="77777777" w:rsidTr="005D7CB5">
        <w:trPr>
          <w:trHeight w:val="71"/>
        </w:trPr>
        <w:tc>
          <w:tcPr>
            <w:tcW w:w="2977" w:type="dxa"/>
            <w:tcBorders>
              <w:top w:val="nil"/>
              <w:left w:val="nil"/>
              <w:bottom w:val="nil"/>
              <w:right w:val="nil"/>
            </w:tcBorders>
            <w:shd w:val="clear" w:color="auto" w:fill="auto"/>
            <w:noWrap/>
          </w:tcPr>
          <w:p w14:paraId="5CBDC7FA"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77ADB97A" w14:textId="02ED1905"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498" w:type="dxa"/>
            <w:tcBorders>
              <w:top w:val="nil"/>
              <w:left w:val="nil"/>
              <w:bottom w:val="nil"/>
              <w:right w:val="single" w:sz="12" w:space="0" w:color="auto"/>
            </w:tcBorders>
          </w:tcPr>
          <w:p w14:paraId="5EB18098" w14:textId="4A7F73EB"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396" w:type="dxa"/>
            <w:tcBorders>
              <w:top w:val="nil"/>
              <w:left w:val="single" w:sz="12" w:space="0" w:color="auto"/>
              <w:bottom w:val="nil"/>
            </w:tcBorders>
            <w:shd w:val="clear" w:color="auto" w:fill="auto"/>
            <w:noWrap/>
          </w:tcPr>
          <w:p w14:paraId="5A9F2A0C" w14:textId="3BBFBC0E"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(0.038)</w:t>
            </w:r>
          </w:p>
        </w:tc>
        <w:tc>
          <w:tcPr>
            <w:tcW w:w="1434" w:type="dxa"/>
            <w:tcBorders>
              <w:top w:val="nil"/>
              <w:bottom w:val="nil"/>
              <w:right w:val="single" w:sz="12" w:space="0" w:color="auto"/>
            </w:tcBorders>
          </w:tcPr>
          <w:p w14:paraId="271CFE9B" w14:textId="03F591FC"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390" w:type="dxa"/>
            <w:tcBorders>
              <w:top w:val="nil"/>
              <w:left w:val="single" w:sz="12" w:space="0" w:color="auto"/>
              <w:bottom w:val="nil"/>
              <w:right w:val="nil"/>
            </w:tcBorders>
          </w:tcPr>
          <w:p w14:paraId="1E603788" w14:textId="32BB80E4"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(0.057)</w:t>
            </w:r>
          </w:p>
        </w:tc>
        <w:tc>
          <w:tcPr>
            <w:tcW w:w="1426" w:type="dxa"/>
            <w:tcBorders>
              <w:top w:val="nil"/>
              <w:left w:val="nil"/>
              <w:bottom w:val="nil"/>
            </w:tcBorders>
          </w:tcPr>
          <w:p w14:paraId="6C3F3139" w14:textId="138795EB"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(0.005)</w:t>
            </w:r>
          </w:p>
        </w:tc>
      </w:tr>
      <w:tr w:rsidR="00EE533D" w:rsidRPr="00EE533D" w14:paraId="72F5CC65" w14:textId="77777777" w:rsidTr="005D7CB5">
        <w:trPr>
          <w:trHeight w:val="71"/>
        </w:trPr>
        <w:tc>
          <w:tcPr>
            <w:tcW w:w="2977" w:type="dxa"/>
            <w:tcBorders>
              <w:top w:val="nil"/>
              <w:left w:val="nil"/>
              <w:bottom w:val="nil"/>
              <w:right w:val="nil"/>
            </w:tcBorders>
            <w:shd w:val="clear" w:color="auto" w:fill="auto"/>
            <w:noWrap/>
          </w:tcPr>
          <w:p w14:paraId="5615F0BD"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22C1651E" w14:textId="5CE5837F"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0.079**</w:t>
            </w:r>
          </w:p>
        </w:tc>
        <w:tc>
          <w:tcPr>
            <w:tcW w:w="1498" w:type="dxa"/>
            <w:tcBorders>
              <w:top w:val="nil"/>
              <w:left w:val="nil"/>
              <w:bottom w:val="nil"/>
              <w:right w:val="single" w:sz="12" w:space="0" w:color="auto"/>
            </w:tcBorders>
          </w:tcPr>
          <w:p w14:paraId="7050FD4C" w14:textId="168EEAA6"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-9.952***</w:t>
            </w:r>
          </w:p>
        </w:tc>
        <w:tc>
          <w:tcPr>
            <w:tcW w:w="1396" w:type="dxa"/>
            <w:tcBorders>
              <w:top w:val="nil"/>
              <w:left w:val="single" w:sz="12" w:space="0" w:color="auto"/>
              <w:bottom w:val="nil"/>
            </w:tcBorders>
            <w:shd w:val="clear" w:color="auto" w:fill="auto"/>
            <w:noWrap/>
          </w:tcPr>
          <w:p w14:paraId="6E123ECC" w14:textId="459E272C"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0.031</w:t>
            </w:r>
          </w:p>
        </w:tc>
        <w:tc>
          <w:tcPr>
            <w:tcW w:w="1434" w:type="dxa"/>
            <w:tcBorders>
              <w:top w:val="nil"/>
              <w:bottom w:val="nil"/>
              <w:right w:val="single" w:sz="12" w:space="0" w:color="auto"/>
            </w:tcBorders>
          </w:tcPr>
          <w:p w14:paraId="4D00116B" w14:textId="11F9DF92"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-7.333***</w:t>
            </w:r>
          </w:p>
        </w:tc>
        <w:tc>
          <w:tcPr>
            <w:tcW w:w="1390" w:type="dxa"/>
            <w:tcBorders>
              <w:top w:val="nil"/>
              <w:left w:val="single" w:sz="12" w:space="0" w:color="auto"/>
              <w:bottom w:val="nil"/>
              <w:right w:val="nil"/>
            </w:tcBorders>
          </w:tcPr>
          <w:p w14:paraId="16A912B6" w14:textId="39ACB8BB"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426" w:type="dxa"/>
            <w:tcBorders>
              <w:top w:val="nil"/>
              <w:left w:val="nil"/>
              <w:bottom w:val="nil"/>
            </w:tcBorders>
          </w:tcPr>
          <w:p w14:paraId="6F3F859D" w14:textId="31F17391"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-0.363</w:t>
            </w:r>
          </w:p>
        </w:tc>
      </w:tr>
      <w:tr w:rsidR="00EE533D" w:rsidRPr="00EE533D" w14:paraId="761ED3CE" w14:textId="77777777" w:rsidTr="005D7CB5">
        <w:trPr>
          <w:trHeight w:val="71"/>
        </w:trPr>
        <w:tc>
          <w:tcPr>
            <w:tcW w:w="2977" w:type="dxa"/>
            <w:tcBorders>
              <w:top w:val="nil"/>
              <w:left w:val="nil"/>
              <w:bottom w:val="nil"/>
              <w:right w:val="nil"/>
            </w:tcBorders>
            <w:shd w:val="clear" w:color="auto" w:fill="auto"/>
            <w:noWrap/>
          </w:tcPr>
          <w:p w14:paraId="5AAF4257"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1090E2FE" w14:textId="6BF27F32" w:rsidR="00307ECC" w:rsidRPr="00EE533D" w:rsidRDefault="00307ECC" w:rsidP="00307ECC">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(0.036)</w:t>
            </w:r>
          </w:p>
        </w:tc>
        <w:tc>
          <w:tcPr>
            <w:tcW w:w="1498" w:type="dxa"/>
            <w:tcBorders>
              <w:top w:val="nil"/>
              <w:left w:val="nil"/>
              <w:bottom w:val="nil"/>
              <w:right w:val="single" w:sz="12" w:space="0" w:color="auto"/>
            </w:tcBorders>
          </w:tcPr>
          <w:p w14:paraId="2160E685" w14:textId="03CC987B" w:rsidR="00307ECC" w:rsidRPr="00EE533D" w:rsidRDefault="00307ECC" w:rsidP="00307ECC">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(0.812)</w:t>
            </w:r>
          </w:p>
        </w:tc>
        <w:tc>
          <w:tcPr>
            <w:tcW w:w="1396" w:type="dxa"/>
            <w:tcBorders>
              <w:top w:val="nil"/>
              <w:left w:val="single" w:sz="12" w:space="0" w:color="auto"/>
              <w:bottom w:val="nil"/>
            </w:tcBorders>
            <w:shd w:val="clear" w:color="auto" w:fill="auto"/>
            <w:noWrap/>
          </w:tcPr>
          <w:p w14:paraId="1D78314B" w14:textId="5F51A4C4" w:rsidR="00307ECC" w:rsidRPr="00EE533D" w:rsidRDefault="00307ECC" w:rsidP="00307ECC">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434" w:type="dxa"/>
            <w:tcBorders>
              <w:top w:val="nil"/>
              <w:bottom w:val="nil"/>
              <w:right w:val="single" w:sz="12" w:space="0" w:color="auto"/>
            </w:tcBorders>
          </w:tcPr>
          <w:p w14:paraId="2707CDD5" w14:textId="0F3F42DB" w:rsidR="00307ECC" w:rsidRPr="00EE533D" w:rsidRDefault="00307ECC" w:rsidP="00307ECC">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(2.303)</w:t>
            </w:r>
          </w:p>
        </w:tc>
        <w:tc>
          <w:tcPr>
            <w:tcW w:w="1390" w:type="dxa"/>
            <w:tcBorders>
              <w:top w:val="nil"/>
              <w:left w:val="single" w:sz="12" w:space="0" w:color="auto"/>
              <w:bottom w:val="nil"/>
              <w:right w:val="nil"/>
            </w:tcBorders>
          </w:tcPr>
          <w:p w14:paraId="71703812" w14:textId="1F5E0F6C" w:rsidR="00307ECC" w:rsidRPr="00EE533D" w:rsidRDefault="00307ECC" w:rsidP="00307ECC">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(0.054)</w:t>
            </w:r>
          </w:p>
        </w:tc>
        <w:tc>
          <w:tcPr>
            <w:tcW w:w="1426" w:type="dxa"/>
            <w:tcBorders>
              <w:top w:val="nil"/>
              <w:left w:val="nil"/>
              <w:bottom w:val="nil"/>
            </w:tcBorders>
          </w:tcPr>
          <w:p w14:paraId="7924069E" w14:textId="5A8DB1E1" w:rsidR="00307ECC" w:rsidRPr="00EE533D" w:rsidRDefault="00307ECC" w:rsidP="00307ECC">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(0.226)</w:t>
            </w:r>
          </w:p>
        </w:tc>
      </w:tr>
      <w:tr w:rsidR="00EE533D" w:rsidRPr="00EE533D" w14:paraId="1FADE262" w14:textId="77777777" w:rsidTr="005D7CB5">
        <w:trPr>
          <w:trHeight w:val="71"/>
        </w:trPr>
        <w:tc>
          <w:tcPr>
            <w:tcW w:w="2977" w:type="dxa"/>
            <w:tcBorders>
              <w:top w:val="nil"/>
              <w:left w:val="nil"/>
              <w:bottom w:val="nil"/>
              <w:right w:val="nil"/>
            </w:tcBorders>
            <w:shd w:val="clear" w:color="auto" w:fill="auto"/>
            <w:noWrap/>
          </w:tcPr>
          <w:p w14:paraId="17B08225"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697D861A" w14:textId="0352E864"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-0.312***</w:t>
            </w:r>
          </w:p>
        </w:tc>
        <w:tc>
          <w:tcPr>
            <w:tcW w:w="1498" w:type="dxa"/>
            <w:tcBorders>
              <w:top w:val="nil"/>
              <w:left w:val="nil"/>
              <w:bottom w:val="nil"/>
              <w:right w:val="single" w:sz="12" w:space="0" w:color="auto"/>
            </w:tcBorders>
          </w:tcPr>
          <w:p w14:paraId="0F8E8A49" w14:textId="0629B2F9"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1.833**</w:t>
            </w:r>
          </w:p>
        </w:tc>
        <w:tc>
          <w:tcPr>
            <w:tcW w:w="1396" w:type="dxa"/>
            <w:tcBorders>
              <w:top w:val="nil"/>
              <w:left w:val="single" w:sz="12" w:space="0" w:color="auto"/>
              <w:bottom w:val="nil"/>
            </w:tcBorders>
            <w:shd w:val="clear" w:color="auto" w:fill="auto"/>
            <w:noWrap/>
          </w:tcPr>
          <w:p w14:paraId="6A5BC924" w14:textId="37454DF4"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-0.211***</w:t>
            </w:r>
          </w:p>
        </w:tc>
        <w:tc>
          <w:tcPr>
            <w:tcW w:w="1434" w:type="dxa"/>
            <w:tcBorders>
              <w:top w:val="nil"/>
              <w:bottom w:val="nil"/>
              <w:right w:val="single" w:sz="12" w:space="0" w:color="auto"/>
            </w:tcBorders>
          </w:tcPr>
          <w:p w14:paraId="5E4053E0" w14:textId="259ADAE0"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-1.191</w:t>
            </w:r>
          </w:p>
        </w:tc>
        <w:tc>
          <w:tcPr>
            <w:tcW w:w="1390" w:type="dxa"/>
            <w:tcBorders>
              <w:top w:val="nil"/>
              <w:left w:val="single" w:sz="12" w:space="0" w:color="auto"/>
              <w:bottom w:val="nil"/>
              <w:right w:val="nil"/>
            </w:tcBorders>
          </w:tcPr>
          <w:p w14:paraId="64DEA47F" w14:textId="0332C0DE"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0.309***</w:t>
            </w:r>
          </w:p>
        </w:tc>
        <w:tc>
          <w:tcPr>
            <w:tcW w:w="1426" w:type="dxa"/>
            <w:tcBorders>
              <w:top w:val="nil"/>
              <w:left w:val="nil"/>
              <w:bottom w:val="nil"/>
            </w:tcBorders>
          </w:tcPr>
          <w:p w14:paraId="4C597A19" w14:textId="29F9347F"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-0.454**</w:t>
            </w:r>
          </w:p>
        </w:tc>
      </w:tr>
      <w:tr w:rsidR="00EE533D" w:rsidRPr="00EE533D" w14:paraId="35FCFAB1" w14:textId="77777777" w:rsidTr="005D7CB5">
        <w:trPr>
          <w:trHeight w:val="71"/>
        </w:trPr>
        <w:tc>
          <w:tcPr>
            <w:tcW w:w="2977" w:type="dxa"/>
            <w:tcBorders>
              <w:top w:val="nil"/>
              <w:left w:val="nil"/>
              <w:bottom w:val="nil"/>
              <w:right w:val="nil"/>
            </w:tcBorders>
            <w:shd w:val="clear" w:color="auto" w:fill="auto"/>
            <w:noWrap/>
          </w:tcPr>
          <w:p w14:paraId="6CD28026"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628B14A2" w14:textId="76DFAAAD"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(0.050)</w:t>
            </w:r>
          </w:p>
        </w:tc>
        <w:tc>
          <w:tcPr>
            <w:tcW w:w="1498" w:type="dxa"/>
            <w:tcBorders>
              <w:top w:val="nil"/>
              <w:left w:val="nil"/>
              <w:bottom w:val="nil"/>
              <w:right w:val="single" w:sz="12" w:space="0" w:color="auto"/>
            </w:tcBorders>
          </w:tcPr>
          <w:p w14:paraId="0CA37B2C" w14:textId="563C584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(0.783)</w:t>
            </w:r>
          </w:p>
        </w:tc>
        <w:tc>
          <w:tcPr>
            <w:tcW w:w="1396" w:type="dxa"/>
            <w:tcBorders>
              <w:top w:val="nil"/>
              <w:left w:val="single" w:sz="12" w:space="0" w:color="auto"/>
              <w:bottom w:val="nil"/>
            </w:tcBorders>
            <w:shd w:val="clear" w:color="auto" w:fill="auto"/>
            <w:noWrap/>
          </w:tcPr>
          <w:p w14:paraId="76B9052C" w14:textId="52876913"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(0.052)</w:t>
            </w:r>
          </w:p>
        </w:tc>
        <w:tc>
          <w:tcPr>
            <w:tcW w:w="1434" w:type="dxa"/>
            <w:tcBorders>
              <w:top w:val="nil"/>
              <w:bottom w:val="nil"/>
              <w:right w:val="single" w:sz="12" w:space="0" w:color="auto"/>
            </w:tcBorders>
          </w:tcPr>
          <w:p w14:paraId="3308600C" w14:textId="5CCE6A7F"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(2.274)</w:t>
            </w:r>
          </w:p>
        </w:tc>
        <w:tc>
          <w:tcPr>
            <w:tcW w:w="1390" w:type="dxa"/>
            <w:tcBorders>
              <w:top w:val="nil"/>
              <w:left w:val="single" w:sz="12" w:space="0" w:color="auto"/>
              <w:bottom w:val="nil"/>
              <w:right w:val="nil"/>
            </w:tcBorders>
          </w:tcPr>
          <w:p w14:paraId="635977F6" w14:textId="08D9ED8B"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(0.080)</w:t>
            </w:r>
          </w:p>
        </w:tc>
        <w:tc>
          <w:tcPr>
            <w:tcW w:w="1426" w:type="dxa"/>
            <w:tcBorders>
              <w:top w:val="nil"/>
              <w:left w:val="nil"/>
              <w:bottom w:val="nil"/>
            </w:tcBorders>
          </w:tcPr>
          <w:p w14:paraId="7A5BFCC5" w14:textId="6CBF3F0D"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(0.199)</w:t>
            </w:r>
          </w:p>
        </w:tc>
      </w:tr>
      <w:tr w:rsidR="00EE533D" w:rsidRPr="00EE533D" w14:paraId="76E68414" w14:textId="77777777" w:rsidTr="005D7CB5">
        <w:trPr>
          <w:trHeight w:val="71"/>
        </w:trPr>
        <w:tc>
          <w:tcPr>
            <w:tcW w:w="2977" w:type="dxa"/>
            <w:tcBorders>
              <w:top w:val="nil"/>
              <w:left w:val="nil"/>
              <w:bottom w:val="nil"/>
              <w:right w:val="nil"/>
            </w:tcBorders>
            <w:shd w:val="clear" w:color="auto" w:fill="auto"/>
            <w:noWrap/>
          </w:tcPr>
          <w:p w14:paraId="452A2C25" w14:textId="77777777" w:rsidR="00307ECC" w:rsidRPr="00EE533D" w:rsidRDefault="00307ECC" w:rsidP="00307ECC">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246" w:type="dxa"/>
            <w:tcBorders>
              <w:top w:val="nil"/>
              <w:left w:val="nil"/>
              <w:bottom w:val="nil"/>
              <w:right w:val="nil"/>
            </w:tcBorders>
            <w:shd w:val="clear" w:color="auto" w:fill="auto"/>
            <w:noWrap/>
          </w:tcPr>
          <w:p w14:paraId="7DEC6B18" w14:textId="087CFA22"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98" w:type="dxa"/>
            <w:tcBorders>
              <w:top w:val="nil"/>
              <w:left w:val="nil"/>
              <w:bottom w:val="nil"/>
              <w:right w:val="single" w:sz="12" w:space="0" w:color="auto"/>
            </w:tcBorders>
          </w:tcPr>
          <w:p w14:paraId="71D567E2" w14:textId="44532E56"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-0.919</w:t>
            </w:r>
          </w:p>
        </w:tc>
        <w:tc>
          <w:tcPr>
            <w:tcW w:w="1396" w:type="dxa"/>
            <w:tcBorders>
              <w:top w:val="nil"/>
              <w:left w:val="single" w:sz="12" w:space="0" w:color="auto"/>
              <w:bottom w:val="nil"/>
            </w:tcBorders>
            <w:shd w:val="clear" w:color="auto" w:fill="auto"/>
            <w:noWrap/>
          </w:tcPr>
          <w:p w14:paraId="22FF4629" w14:textId="5E703918"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-0.030***</w:t>
            </w:r>
          </w:p>
        </w:tc>
        <w:tc>
          <w:tcPr>
            <w:tcW w:w="1434" w:type="dxa"/>
            <w:tcBorders>
              <w:top w:val="nil"/>
              <w:bottom w:val="nil"/>
              <w:right w:val="single" w:sz="12" w:space="0" w:color="auto"/>
            </w:tcBorders>
          </w:tcPr>
          <w:p w14:paraId="36334C84" w14:textId="0E2C09B2"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11.855***</w:t>
            </w:r>
          </w:p>
        </w:tc>
        <w:tc>
          <w:tcPr>
            <w:tcW w:w="1390" w:type="dxa"/>
            <w:tcBorders>
              <w:top w:val="nil"/>
              <w:left w:val="single" w:sz="12" w:space="0" w:color="auto"/>
              <w:bottom w:val="nil"/>
              <w:right w:val="nil"/>
            </w:tcBorders>
          </w:tcPr>
          <w:p w14:paraId="690B3194" w14:textId="1B5018B1"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-0.025**</w:t>
            </w:r>
          </w:p>
        </w:tc>
        <w:tc>
          <w:tcPr>
            <w:tcW w:w="1426" w:type="dxa"/>
            <w:tcBorders>
              <w:top w:val="nil"/>
              <w:left w:val="nil"/>
              <w:bottom w:val="nil"/>
            </w:tcBorders>
          </w:tcPr>
          <w:p w14:paraId="6D79DB7F" w14:textId="39F3F0EA"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0.219</w:t>
            </w:r>
          </w:p>
        </w:tc>
      </w:tr>
      <w:tr w:rsidR="00EE533D" w:rsidRPr="00EE533D" w14:paraId="06F1C21A" w14:textId="77777777" w:rsidTr="005D7CB5">
        <w:trPr>
          <w:trHeight w:val="71"/>
        </w:trPr>
        <w:tc>
          <w:tcPr>
            <w:tcW w:w="2977" w:type="dxa"/>
            <w:tcBorders>
              <w:top w:val="nil"/>
              <w:left w:val="nil"/>
              <w:bottom w:val="nil"/>
              <w:right w:val="nil"/>
            </w:tcBorders>
            <w:shd w:val="clear" w:color="auto" w:fill="auto"/>
            <w:noWrap/>
          </w:tcPr>
          <w:p w14:paraId="0465F7AB" w14:textId="77777777" w:rsidR="00307ECC" w:rsidRPr="00EE533D" w:rsidRDefault="00307ECC" w:rsidP="00307ECC">
            <w:pPr>
              <w:spacing w:after="0"/>
              <w:jc w:val="center"/>
              <w:rPr>
                <w:rFonts w:ascii="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56DB0D19" w14:textId="093E2247"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98" w:type="dxa"/>
            <w:tcBorders>
              <w:top w:val="nil"/>
              <w:left w:val="nil"/>
              <w:bottom w:val="nil"/>
              <w:right w:val="single" w:sz="12" w:space="0" w:color="auto"/>
            </w:tcBorders>
          </w:tcPr>
          <w:p w14:paraId="2C9257D8" w14:textId="27AE07EE"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(1.157)</w:t>
            </w:r>
          </w:p>
        </w:tc>
        <w:tc>
          <w:tcPr>
            <w:tcW w:w="1396" w:type="dxa"/>
            <w:tcBorders>
              <w:top w:val="nil"/>
              <w:left w:val="single" w:sz="12" w:space="0" w:color="auto"/>
              <w:bottom w:val="nil"/>
            </w:tcBorders>
            <w:shd w:val="clear" w:color="auto" w:fill="auto"/>
            <w:noWrap/>
          </w:tcPr>
          <w:p w14:paraId="0540B232" w14:textId="68CEE3E5"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c>
          <w:tcPr>
            <w:tcW w:w="1434" w:type="dxa"/>
            <w:tcBorders>
              <w:top w:val="nil"/>
              <w:bottom w:val="nil"/>
              <w:right w:val="single" w:sz="12" w:space="0" w:color="auto"/>
            </w:tcBorders>
          </w:tcPr>
          <w:p w14:paraId="1E00C889" w14:textId="2C989394"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(3.041)</w:t>
            </w:r>
          </w:p>
        </w:tc>
        <w:tc>
          <w:tcPr>
            <w:tcW w:w="1390" w:type="dxa"/>
            <w:tcBorders>
              <w:top w:val="nil"/>
              <w:left w:val="single" w:sz="12" w:space="0" w:color="auto"/>
              <w:bottom w:val="nil"/>
              <w:right w:val="nil"/>
            </w:tcBorders>
          </w:tcPr>
          <w:p w14:paraId="1F19F53B" w14:textId="4752C744"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26" w:type="dxa"/>
            <w:tcBorders>
              <w:top w:val="nil"/>
              <w:left w:val="nil"/>
              <w:bottom w:val="nil"/>
            </w:tcBorders>
          </w:tcPr>
          <w:p w14:paraId="41E19A85" w14:textId="40B84C20"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(0.367)</w:t>
            </w:r>
          </w:p>
        </w:tc>
      </w:tr>
      <w:tr w:rsidR="00EE533D" w:rsidRPr="00EE533D" w14:paraId="6ACE0E5A" w14:textId="77777777" w:rsidTr="005D7CB5">
        <w:trPr>
          <w:trHeight w:val="71"/>
        </w:trPr>
        <w:tc>
          <w:tcPr>
            <w:tcW w:w="2977" w:type="dxa"/>
            <w:tcBorders>
              <w:top w:val="nil"/>
              <w:left w:val="nil"/>
              <w:bottom w:val="nil"/>
              <w:right w:val="nil"/>
            </w:tcBorders>
            <w:shd w:val="clear" w:color="auto" w:fill="auto"/>
            <w:noWrap/>
            <w:vAlign w:val="bottom"/>
          </w:tcPr>
          <w:p w14:paraId="03B01480"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150F16B1" w14:textId="6927ACAF"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98" w:type="dxa"/>
            <w:tcBorders>
              <w:top w:val="nil"/>
              <w:left w:val="nil"/>
              <w:bottom w:val="nil"/>
              <w:right w:val="single" w:sz="12" w:space="0" w:color="auto"/>
            </w:tcBorders>
          </w:tcPr>
          <w:p w14:paraId="7EE653DF" w14:textId="07B21618"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-0.286</w:t>
            </w:r>
          </w:p>
        </w:tc>
        <w:tc>
          <w:tcPr>
            <w:tcW w:w="1396" w:type="dxa"/>
            <w:tcBorders>
              <w:top w:val="nil"/>
              <w:left w:val="single" w:sz="12" w:space="0" w:color="auto"/>
              <w:bottom w:val="nil"/>
            </w:tcBorders>
            <w:shd w:val="clear" w:color="auto" w:fill="auto"/>
            <w:noWrap/>
          </w:tcPr>
          <w:p w14:paraId="652C8E77" w14:textId="62EA03EF"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-0.024***</w:t>
            </w:r>
          </w:p>
        </w:tc>
        <w:tc>
          <w:tcPr>
            <w:tcW w:w="1434" w:type="dxa"/>
            <w:tcBorders>
              <w:top w:val="nil"/>
              <w:bottom w:val="nil"/>
              <w:right w:val="single" w:sz="12" w:space="0" w:color="auto"/>
            </w:tcBorders>
          </w:tcPr>
          <w:p w14:paraId="79626031" w14:textId="7ACD74EE"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1.497***</w:t>
            </w:r>
          </w:p>
        </w:tc>
        <w:tc>
          <w:tcPr>
            <w:tcW w:w="1390" w:type="dxa"/>
            <w:tcBorders>
              <w:top w:val="nil"/>
              <w:left w:val="single" w:sz="12" w:space="0" w:color="auto"/>
              <w:bottom w:val="nil"/>
              <w:right w:val="nil"/>
            </w:tcBorders>
          </w:tcPr>
          <w:p w14:paraId="4E112665" w14:textId="7383CB90"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26" w:type="dxa"/>
            <w:tcBorders>
              <w:top w:val="nil"/>
              <w:left w:val="nil"/>
              <w:bottom w:val="nil"/>
            </w:tcBorders>
          </w:tcPr>
          <w:p w14:paraId="02FACE6E" w14:textId="23CF842A"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0.110**</w:t>
            </w:r>
          </w:p>
        </w:tc>
      </w:tr>
      <w:tr w:rsidR="00EE533D" w:rsidRPr="00EE533D" w14:paraId="05E09E06" w14:textId="77777777" w:rsidTr="005D7CB5">
        <w:trPr>
          <w:trHeight w:val="71"/>
        </w:trPr>
        <w:tc>
          <w:tcPr>
            <w:tcW w:w="2977" w:type="dxa"/>
            <w:tcBorders>
              <w:top w:val="nil"/>
              <w:left w:val="nil"/>
              <w:bottom w:val="nil"/>
              <w:right w:val="nil"/>
            </w:tcBorders>
            <w:shd w:val="clear" w:color="auto" w:fill="auto"/>
            <w:noWrap/>
            <w:vAlign w:val="bottom"/>
          </w:tcPr>
          <w:p w14:paraId="7E097BF8"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4CE5D1CE" w14:textId="75F48823"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98" w:type="dxa"/>
            <w:tcBorders>
              <w:top w:val="nil"/>
              <w:left w:val="nil"/>
              <w:bottom w:val="nil"/>
              <w:right w:val="single" w:sz="12" w:space="0" w:color="auto"/>
            </w:tcBorders>
          </w:tcPr>
          <w:p w14:paraId="27AE974A" w14:textId="48EC224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(0.194)</w:t>
            </w:r>
          </w:p>
        </w:tc>
        <w:tc>
          <w:tcPr>
            <w:tcW w:w="1396" w:type="dxa"/>
            <w:tcBorders>
              <w:top w:val="nil"/>
              <w:left w:val="single" w:sz="12" w:space="0" w:color="auto"/>
              <w:bottom w:val="nil"/>
            </w:tcBorders>
            <w:shd w:val="clear" w:color="auto" w:fill="auto"/>
            <w:noWrap/>
          </w:tcPr>
          <w:p w14:paraId="6FEEC859" w14:textId="64F42F86"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4" w:type="dxa"/>
            <w:tcBorders>
              <w:top w:val="nil"/>
              <w:bottom w:val="nil"/>
              <w:right w:val="single" w:sz="12" w:space="0" w:color="auto"/>
            </w:tcBorders>
          </w:tcPr>
          <w:p w14:paraId="3688EFB3" w14:textId="5CD00CD0"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(0.487)</w:t>
            </w:r>
          </w:p>
        </w:tc>
        <w:tc>
          <w:tcPr>
            <w:tcW w:w="1390" w:type="dxa"/>
            <w:tcBorders>
              <w:top w:val="nil"/>
              <w:left w:val="single" w:sz="12" w:space="0" w:color="auto"/>
              <w:bottom w:val="nil"/>
              <w:right w:val="nil"/>
            </w:tcBorders>
          </w:tcPr>
          <w:p w14:paraId="3E607920" w14:textId="0AF0D880"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26" w:type="dxa"/>
            <w:tcBorders>
              <w:top w:val="nil"/>
              <w:left w:val="nil"/>
              <w:bottom w:val="nil"/>
            </w:tcBorders>
          </w:tcPr>
          <w:p w14:paraId="161384F6" w14:textId="1250DA86"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(0.049)</w:t>
            </w:r>
          </w:p>
        </w:tc>
      </w:tr>
      <w:tr w:rsidR="00EE533D" w:rsidRPr="00EE533D" w14:paraId="615A2C56" w14:textId="77777777" w:rsidTr="005D7CB5">
        <w:trPr>
          <w:trHeight w:val="71"/>
        </w:trPr>
        <w:tc>
          <w:tcPr>
            <w:tcW w:w="2977" w:type="dxa"/>
            <w:tcBorders>
              <w:top w:val="nil"/>
              <w:left w:val="nil"/>
              <w:bottom w:val="nil"/>
              <w:right w:val="nil"/>
            </w:tcBorders>
            <w:shd w:val="clear" w:color="auto" w:fill="auto"/>
            <w:noWrap/>
            <w:vAlign w:val="bottom"/>
          </w:tcPr>
          <w:p w14:paraId="151AF8B1"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46" w:type="dxa"/>
            <w:tcBorders>
              <w:top w:val="nil"/>
              <w:left w:val="nil"/>
              <w:bottom w:val="nil"/>
              <w:right w:val="nil"/>
            </w:tcBorders>
            <w:shd w:val="clear" w:color="auto" w:fill="auto"/>
            <w:noWrap/>
          </w:tcPr>
          <w:p w14:paraId="46C34DBB" w14:textId="449C096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0.747*</w:t>
            </w:r>
          </w:p>
        </w:tc>
        <w:tc>
          <w:tcPr>
            <w:tcW w:w="1498" w:type="dxa"/>
            <w:tcBorders>
              <w:top w:val="nil"/>
              <w:left w:val="nil"/>
              <w:bottom w:val="nil"/>
              <w:right w:val="single" w:sz="12" w:space="0" w:color="auto"/>
            </w:tcBorders>
          </w:tcPr>
          <w:p w14:paraId="4D89D7F3" w14:textId="4A9DF4D3"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-0.596***</w:t>
            </w:r>
          </w:p>
        </w:tc>
        <w:tc>
          <w:tcPr>
            <w:tcW w:w="1396" w:type="dxa"/>
            <w:tcBorders>
              <w:top w:val="nil"/>
              <w:left w:val="single" w:sz="12" w:space="0" w:color="auto"/>
              <w:bottom w:val="nil"/>
            </w:tcBorders>
            <w:shd w:val="clear" w:color="auto" w:fill="auto"/>
            <w:noWrap/>
          </w:tcPr>
          <w:p w14:paraId="3C2E5706" w14:textId="78FEAD22"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-1.038**</w:t>
            </w:r>
          </w:p>
        </w:tc>
        <w:tc>
          <w:tcPr>
            <w:tcW w:w="1434" w:type="dxa"/>
            <w:tcBorders>
              <w:top w:val="nil"/>
              <w:bottom w:val="nil"/>
              <w:right w:val="single" w:sz="12" w:space="0" w:color="auto"/>
            </w:tcBorders>
          </w:tcPr>
          <w:p w14:paraId="58CD6189" w14:textId="6EF39F40"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1.543***</w:t>
            </w:r>
          </w:p>
        </w:tc>
        <w:tc>
          <w:tcPr>
            <w:tcW w:w="1390" w:type="dxa"/>
            <w:tcBorders>
              <w:top w:val="nil"/>
              <w:left w:val="single" w:sz="12" w:space="0" w:color="auto"/>
              <w:bottom w:val="nil"/>
              <w:right w:val="nil"/>
            </w:tcBorders>
          </w:tcPr>
          <w:p w14:paraId="5A23B53C" w14:textId="3F5FC1C3"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-4.860***</w:t>
            </w:r>
          </w:p>
        </w:tc>
        <w:tc>
          <w:tcPr>
            <w:tcW w:w="1426" w:type="dxa"/>
            <w:tcBorders>
              <w:top w:val="nil"/>
              <w:left w:val="nil"/>
              <w:bottom w:val="nil"/>
            </w:tcBorders>
          </w:tcPr>
          <w:p w14:paraId="26ECB14A" w14:textId="0B102E1B"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0.043</w:t>
            </w:r>
          </w:p>
        </w:tc>
      </w:tr>
      <w:tr w:rsidR="00EE533D" w:rsidRPr="00EE533D" w14:paraId="14006CAE" w14:textId="77777777" w:rsidTr="005D7CB5">
        <w:trPr>
          <w:trHeight w:val="71"/>
        </w:trPr>
        <w:tc>
          <w:tcPr>
            <w:tcW w:w="2977" w:type="dxa"/>
            <w:tcBorders>
              <w:top w:val="nil"/>
              <w:left w:val="nil"/>
              <w:bottom w:val="nil"/>
              <w:right w:val="nil"/>
            </w:tcBorders>
            <w:shd w:val="clear" w:color="auto" w:fill="auto"/>
            <w:noWrap/>
            <w:vAlign w:val="bottom"/>
          </w:tcPr>
          <w:p w14:paraId="5B63D1E2"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nil"/>
              <w:right w:val="nil"/>
            </w:tcBorders>
            <w:shd w:val="clear" w:color="auto" w:fill="auto"/>
            <w:noWrap/>
          </w:tcPr>
          <w:p w14:paraId="1F77A17F" w14:textId="799BB592"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(0.451)</w:t>
            </w:r>
          </w:p>
        </w:tc>
        <w:tc>
          <w:tcPr>
            <w:tcW w:w="1498" w:type="dxa"/>
            <w:tcBorders>
              <w:top w:val="nil"/>
              <w:left w:val="nil"/>
              <w:bottom w:val="nil"/>
              <w:right w:val="single" w:sz="12" w:space="0" w:color="auto"/>
            </w:tcBorders>
          </w:tcPr>
          <w:p w14:paraId="4B7B492C" w14:textId="54EC2C2D"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(0.099)</w:t>
            </w:r>
          </w:p>
        </w:tc>
        <w:tc>
          <w:tcPr>
            <w:tcW w:w="1396" w:type="dxa"/>
            <w:tcBorders>
              <w:top w:val="nil"/>
              <w:left w:val="single" w:sz="12" w:space="0" w:color="auto"/>
              <w:bottom w:val="nil"/>
            </w:tcBorders>
            <w:shd w:val="clear" w:color="auto" w:fill="auto"/>
            <w:noWrap/>
          </w:tcPr>
          <w:p w14:paraId="53B2F420" w14:textId="3A58164C"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(0.471)</w:t>
            </w:r>
          </w:p>
        </w:tc>
        <w:tc>
          <w:tcPr>
            <w:tcW w:w="1434" w:type="dxa"/>
            <w:tcBorders>
              <w:top w:val="nil"/>
              <w:bottom w:val="nil"/>
              <w:right w:val="single" w:sz="12" w:space="0" w:color="auto"/>
            </w:tcBorders>
          </w:tcPr>
          <w:p w14:paraId="134C52FC" w14:textId="6725C8C9"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(0.403)</w:t>
            </w:r>
          </w:p>
        </w:tc>
        <w:tc>
          <w:tcPr>
            <w:tcW w:w="1390" w:type="dxa"/>
            <w:tcBorders>
              <w:top w:val="nil"/>
              <w:left w:val="single" w:sz="12" w:space="0" w:color="auto"/>
              <w:bottom w:val="nil"/>
              <w:right w:val="nil"/>
            </w:tcBorders>
          </w:tcPr>
          <w:p w14:paraId="72183B7A" w14:textId="2817F6CB"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(0.733)</w:t>
            </w:r>
          </w:p>
        </w:tc>
        <w:tc>
          <w:tcPr>
            <w:tcW w:w="1426" w:type="dxa"/>
            <w:tcBorders>
              <w:top w:val="nil"/>
              <w:left w:val="nil"/>
              <w:bottom w:val="nil"/>
            </w:tcBorders>
          </w:tcPr>
          <w:p w14:paraId="26AE9E6C" w14:textId="5F738BBA"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r>
      <w:tr w:rsidR="00EE533D" w:rsidRPr="00EE533D" w14:paraId="0924FD1E" w14:textId="77777777" w:rsidTr="005D7CB5">
        <w:trPr>
          <w:trHeight w:val="71"/>
        </w:trPr>
        <w:tc>
          <w:tcPr>
            <w:tcW w:w="2977" w:type="dxa"/>
            <w:tcBorders>
              <w:top w:val="nil"/>
              <w:left w:val="nil"/>
              <w:bottom w:val="nil"/>
              <w:right w:val="nil"/>
            </w:tcBorders>
            <w:shd w:val="clear" w:color="auto" w:fill="auto"/>
            <w:noWrap/>
            <w:vAlign w:val="bottom"/>
          </w:tcPr>
          <w:p w14:paraId="6F5601B6"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246" w:type="dxa"/>
            <w:tcBorders>
              <w:top w:val="nil"/>
              <w:left w:val="nil"/>
              <w:bottom w:val="nil"/>
              <w:right w:val="nil"/>
            </w:tcBorders>
            <w:shd w:val="clear" w:color="auto" w:fill="auto"/>
            <w:noWrap/>
          </w:tcPr>
          <w:p w14:paraId="518C8D4A" w14:textId="1E889C2B"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-0.037</w:t>
            </w:r>
          </w:p>
        </w:tc>
        <w:tc>
          <w:tcPr>
            <w:tcW w:w="1498" w:type="dxa"/>
            <w:tcBorders>
              <w:top w:val="nil"/>
              <w:left w:val="nil"/>
              <w:bottom w:val="nil"/>
              <w:right w:val="single" w:sz="12" w:space="0" w:color="auto"/>
            </w:tcBorders>
          </w:tcPr>
          <w:p w14:paraId="1815388F" w14:textId="3792E846"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69.452***</w:t>
            </w:r>
          </w:p>
        </w:tc>
        <w:tc>
          <w:tcPr>
            <w:tcW w:w="1396" w:type="dxa"/>
            <w:tcBorders>
              <w:top w:val="nil"/>
              <w:left w:val="single" w:sz="12" w:space="0" w:color="auto"/>
              <w:bottom w:val="nil"/>
            </w:tcBorders>
            <w:shd w:val="clear" w:color="auto" w:fill="auto"/>
            <w:noWrap/>
          </w:tcPr>
          <w:p w14:paraId="01279647" w14:textId="4C842668"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0.405***</w:t>
            </w:r>
          </w:p>
        </w:tc>
        <w:tc>
          <w:tcPr>
            <w:tcW w:w="1434" w:type="dxa"/>
            <w:tcBorders>
              <w:top w:val="nil"/>
              <w:bottom w:val="nil"/>
              <w:right w:val="single" w:sz="12" w:space="0" w:color="auto"/>
            </w:tcBorders>
          </w:tcPr>
          <w:p w14:paraId="66BCCA7A" w14:textId="768F6B33"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55.683**</w:t>
            </w:r>
          </w:p>
        </w:tc>
        <w:tc>
          <w:tcPr>
            <w:tcW w:w="1390" w:type="dxa"/>
            <w:tcBorders>
              <w:top w:val="nil"/>
              <w:left w:val="single" w:sz="12" w:space="0" w:color="auto"/>
              <w:bottom w:val="nil"/>
              <w:right w:val="nil"/>
            </w:tcBorders>
          </w:tcPr>
          <w:p w14:paraId="73B09C5C" w14:textId="1996398A"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-0.338***</w:t>
            </w:r>
          </w:p>
        </w:tc>
        <w:tc>
          <w:tcPr>
            <w:tcW w:w="1426" w:type="dxa"/>
            <w:tcBorders>
              <w:top w:val="nil"/>
              <w:left w:val="nil"/>
              <w:bottom w:val="nil"/>
            </w:tcBorders>
          </w:tcPr>
          <w:p w14:paraId="596B6C42" w14:textId="7927E0A4"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-4.727</w:t>
            </w:r>
          </w:p>
        </w:tc>
      </w:tr>
      <w:tr w:rsidR="00EE533D" w:rsidRPr="00EE533D" w14:paraId="021AFAE1" w14:textId="77777777" w:rsidTr="005D7CB5">
        <w:trPr>
          <w:trHeight w:val="71"/>
        </w:trPr>
        <w:tc>
          <w:tcPr>
            <w:tcW w:w="2977" w:type="dxa"/>
            <w:tcBorders>
              <w:top w:val="nil"/>
              <w:left w:val="nil"/>
              <w:bottom w:val="single" w:sz="12" w:space="0" w:color="auto"/>
              <w:right w:val="nil"/>
            </w:tcBorders>
            <w:shd w:val="clear" w:color="auto" w:fill="auto"/>
            <w:noWrap/>
            <w:vAlign w:val="bottom"/>
          </w:tcPr>
          <w:p w14:paraId="6B0F12E8" w14:textId="77777777" w:rsidR="00307ECC" w:rsidRPr="00EE533D" w:rsidRDefault="00307ECC" w:rsidP="00307ECC">
            <w:pPr>
              <w:spacing w:after="0" w:line="240" w:lineRule="auto"/>
              <w:jc w:val="center"/>
              <w:rPr>
                <w:rFonts w:ascii="Times New Roman" w:eastAsia="Times New Roman" w:hAnsi="Times New Roman" w:cs="Times New Roman"/>
                <w:sz w:val="14"/>
                <w:szCs w:val="14"/>
                <w:lang w:val="en-GB"/>
              </w:rPr>
            </w:pPr>
          </w:p>
        </w:tc>
        <w:tc>
          <w:tcPr>
            <w:tcW w:w="1246" w:type="dxa"/>
            <w:tcBorders>
              <w:top w:val="nil"/>
              <w:left w:val="nil"/>
              <w:bottom w:val="single" w:sz="12" w:space="0" w:color="auto"/>
              <w:right w:val="nil"/>
            </w:tcBorders>
            <w:shd w:val="clear" w:color="auto" w:fill="auto"/>
            <w:noWrap/>
          </w:tcPr>
          <w:p w14:paraId="3C553229" w14:textId="02029179" w:rsidR="00307ECC" w:rsidRPr="00EE533D" w:rsidRDefault="00307ECC" w:rsidP="00307ECC">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498" w:type="dxa"/>
            <w:tcBorders>
              <w:top w:val="nil"/>
              <w:left w:val="nil"/>
              <w:bottom w:val="single" w:sz="12" w:space="0" w:color="auto"/>
              <w:right w:val="single" w:sz="12" w:space="0" w:color="auto"/>
            </w:tcBorders>
          </w:tcPr>
          <w:p w14:paraId="2B722DAE" w14:textId="18D9CEB7" w:rsidR="00307ECC" w:rsidRPr="00EE533D" w:rsidRDefault="00307ECC" w:rsidP="00307ECC">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(10.708)</w:t>
            </w:r>
          </w:p>
        </w:tc>
        <w:tc>
          <w:tcPr>
            <w:tcW w:w="1396" w:type="dxa"/>
            <w:tcBorders>
              <w:top w:val="nil"/>
              <w:left w:val="single" w:sz="12" w:space="0" w:color="auto"/>
              <w:bottom w:val="single" w:sz="12" w:space="0" w:color="auto"/>
            </w:tcBorders>
            <w:shd w:val="clear" w:color="auto" w:fill="auto"/>
            <w:noWrap/>
          </w:tcPr>
          <w:p w14:paraId="564F3D6F" w14:textId="2C411D3C" w:rsidR="00307ECC" w:rsidRPr="00EE533D" w:rsidRDefault="00307ECC" w:rsidP="00307ECC">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34" w:type="dxa"/>
            <w:tcBorders>
              <w:top w:val="nil"/>
              <w:bottom w:val="single" w:sz="12" w:space="0" w:color="auto"/>
              <w:right w:val="single" w:sz="12" w:space="0" w:color="auto"/>
            </w:tcBorders>
          </w:tcPr>
          <w:p w14:paraId="38F4A145" w14:textId="4E21DF8C" w:rsidR="00307ECC" w:rsidRPr="00EE533D" w:rsidRDefault="00307ECC" w:rsidP="00307ECC">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(27.698)</w:t>
            </w:r>
          </w:p>
        </w:tc>
        <w:tc>
          <w:tcPr>
            <w:tcW w:w="1390" w:type="dxa"/>
            <w:tcBorders>
              <w:top w:val="nil"/>
              <w:left w:val="single" w:sz="12" w:space="0" w:color="auto"/>
              <w:bottom w:val="single" w:sz="12" w:space="0" w:color="auto"/>
              <w:right w:val="nil"/>
            </w:tcBorders>
          </w:tcPr>
          <w:p w14:paraId="1BDB94A8" w14:textId="73FC6A73" w:rsidR="00307ECC" w:rsidRPr="00EE533D" w:rsidRDefault="00307ECC" w:rsidP="00307ECC">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(0.103)</w:t>
            </w:r>
          </w:p>
        </w:tc>
        <w:tc>
          <w:tcPr>
            <w:tcW w:w="1426" w:type="dxa"/>
            <w:tcBorders>
              <w:top w:val="nil"/>
              <w:left w:val="nil"/>
              <w:bottom w:val="single" w:sz="12" w:space="0" w:color="auto"/>
            </w:tcBorders>
          </w:tcPr>
          <w:p w14:paraId="51E2BA89" w14:textId="3A91A594" w:rsidR="00307ECC" w:rsidRPr="00EE533D" w:rsidRDefault="00307ECC" w:rsidP="00307ECC">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(3.571)</w:t>
            </w:r>
          </w:p>
        </w:tc>
      </w:tr>
      <w:tr w:rsidR="00EE533D" w:rsidRPr="00EE533D" w14:paraId="219DC813" w14:textId="77777777" w:rsidTr="00F4319C">
        <w:trPr>
          <w:trHeight w:val="104"/>
        </w:trPr>
        <w:tc>
          <w:tcPr>
            <w:tcW w:w="2977" w:type="dxa"/>
            <w:tcBorders>
              <w:top w:val="single" w:sz="12" w:space="0" w:color="auto"/>
              <w:left w:val="nil"/>
              <w:right w:val="nil"/>
            </w:tcBorders>
            <w:shd w:val="clear" w:color="auto" w:fill="auto"/>
            <w:noWrap/>
            <w:vAlign w:val="bottom"/>
          </w:tcPr>
          <w:p w14:paraId="60174CCC" w14:textId="326D85C0" w:rsidR="002E42CE" w:rsidRPr="00EE533D" w:rsidRDefault="00B14703"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O</w:t>
            </w:r>
            <w:r w:rsidR="002E42CE" w:rsidRPr="00EE533D">
              <w:rPr>
                <w:rFonts w:ascii="Times New Roman" w:eastAsia="Times New Roman" w:hAnsi="Times New Roman" w:cs="Times New Roman"/>
                <w:sz w:val="14"/>
                <w:szCs w:val="14"/>
                <w:lang w:val="en-GB"/>
              </w:rPr>
              <w:t xml:space="preserve">bservations </w:t>
            </w:r>
          </w:p>
        </w:tc>
        <w:tc>
          <w:tcPr>
            <w:tcW w:w="2744" w:type="dxa"/>
            <w:gridSpan w:val="2"/>
            <w:tcBorders>
              <w:top w:val="single" w:sz="12" w:space="0" w:color="auto"/>
              <w:left w:val="nil"/>
              <w:right w:val="single" w:sz="12" w:space="0" w:color="auto"/>
            </w:tcBorders>
            <w:shd w:val="clear" w:color="auto" w:fill="auto"/>
            <w:noWrap/>
          </w:tcPr>
          <w:p w14:paraId="48845851" w14:textId="2E2C4F26"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c>
          <w:tcPr>
            <w:tcW w:w="2830" w:type="dxa"/>
            <w:gridSpan w:val="2"/>
            <w:tcBorders>
              <w:top w:val="single" w:sz="12" w:space="0" w:color="auto"/>
              <w:left w:val="single" w:sz="12" w:space="0" w:color="auto"/>
              <w:right w:val="single" w:sz="12" w:space="0" w:color="auto"/>
            </w:tcBorders>
            <w:shd w:val="clear" w:color="auto" w:fill="auto"/>
            <w:noWrap/>
          </w:tcPr>
          <w:p w14:paraId="786E62C8" w14:textId="16D66091"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c>
          <w:tcPr>
            <w:tcW w:w="2816" w:type="dxa"/>
            <w:gridSpan w:val="2"/>
            <w:tcBorders>
              <w:top w:val="single" w:sz="12" w:space="0" w:color="auto"/>
              <w:left w:val="single" w:sz="12" w:space="0" w:color="auto"/>
            </w:tcBorders>
          </w:tcPr>
          <w:p w14:paraId="0526191B" w14:textId="7B6E06A1"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r>
      <w:tr w:rsidR="00EE533D" w:rsidRPr="00EE533D" w14:paraId="5EA58D49" w14:textId="77777777" w:rsidTr="00F4319C">
        <w:trPr>
          <w:trHeight w:val="104"/>
        </w:trPr>
        <w:tc>
          <w:tcPr>
            <w:tcW w:w="2977" w:type="dxa"/>
            <w:tcBorders>
              <w:left w:val="nil"/>
              <w:right w:val="nil"/>
            </w:tcBorders>
            <w:shd w:val="clear" w:color="auto" w:fill="auto"/>
            <w:noWrap/>
            <w:vAlign w:val="bottom"/>
          </w:tcPr>
          <w:p w14:paraId="3D113B46" w14:textId="777D2897"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Lambda (Inverse of Mill’s ratio) (p-value)</w:t>
            </w:r>
          </w:p>
        </w:tc>
        <w:tc>
          <w:tcPr>
            <w:tcW w:w="2744" w:type="dxa"/>
            <w:gridSpan w:val="2"/>
            <w:tcBorders>
              <w:left w:val="nil"/>
              <w:right w:val="single" w:sz="12" w:space="0" w:color="auto"/>
            </w:tcBorders>
            <w:shd w:val="clear" w:color="auto" w:fill="auto"/>
            <w:noWrap/>
          </w:tcPr>
          <w:p w14:paraId="16AF57FA" w14:textId="3EDF6367"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-3.804 (0.321)</w:t>
            </w:r>
          </w:p>
        </w:tc>
        <w:tc>
          <w:tcPr>
            <w:tcW w:w="2830" w:type="dxa"/>
            <w:gridSpan w:val="2"/>
            <w:tcBorders>
              <w:left w:val="single" w:sz="12" w:space="0" w:color="auto"/>
              <w:right w:val="single" w:sz="12" w:space="0" w:color="auto"/>
            </w:tcBorders>
            <w:shd w:val="clear" w:color="auto" w:fill="auto"/>
            <w:noWrap/>
          </w:tcPr>
          <w:p w14:paraId="1DE07ED7" w14:textId="7432A81C"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w:t>
            </w:r>
            <w:r w:rsidR="00F048FF" w:rsidRPr="00EE533D">
              <w:rPr>
                <w:rFonts w:ascii="Times New Roman" w:hAnsi="Times New Roman" w:cs="Times New Roman"/>
                <w:sz w:val="14"/>
                <w:szCs w:val="14"/>
                <w:lang w:val="en-GB"/>
              </w:rPr>
              <w:t>46</w:t>
            </w:r>
            <w:r w:rsidRPr="00EE533D">
              <w:rPr>
                <w:rFonts w:ascii="Times New Roman" w:hAnsi="Times New Roman" w:cs="Times New Roman"/>
                <w:sz w:val="14"/>
                <w:szCs w:val="14"/>
                <w:lang w:val="en-GB"/>
              </w:rPr>
              <w:t>.</w:t>
            </w:r>
            <w:r w:rsidR="00693D4D" w:rsidRPr="00EE533D">
              <w:rPr>
                <w:rFonts w:ascii="Times New Roman" w:hAnsi="Times New Roman" w:cs="Times New Roman"/>
                <w:sz w:val="14"/>
                <w:szCs w:val="14"/>
                <w:lang w:val="en-GB"/>
              </w:rPr>
              <w:t>460***</w:t>
            </w:r>
            <w:r w:rsidRPr="00EE533D">
              <w:rPr>
                <w:rFonts w:ascii="Times New Roman" w:hAnsi="Times New Roman" w:cs="Times New Roman"/>
                <w:sz w:val="14"/>
                <w:szCs w:val="14"/>
                <w:lang w:val="en-GB"/>
              </w:rPr>
              <w:t xml:space="preserve"> (0.</w:t>
            </w:r>
            <w:r w:rsidR="00693D4D" w:rsidRPr="00EE533D">
              <w:rPr>
                <w:rFonts w:ascii="Times New Roman" w:hAnsi="Times New Roman" w:cs="Times New Roman"/>
                <w:sz w:val="14"/>
                <w:szCs w:val="14"/>
                <w:lang w:val="en-GB"/>
              </w:rPr>
              <w:t>000</w:t>
            </w:r>
            <w:r w:rsidRPr="00EE533D">
              <w:rPr>
                <w:rFonts w:ascii="Times New Roman" w:hAnsi="Times New Roman" w:cs="Times New Roman"/>
                <w:sz w:val="14"/>
                <w:szCs w:val="14"/>
                <w:lang w:val="en-GB"/>
              </w:rPr>
              <w:t>)</w:t>
            </w:r>
          </w:p>
        </w:tc>
        <w:tc>
          <w:tcPr>
            <w:tcW w:w="2816" w:type="dxa"/>
            <w:gridSpan w:val="2"/>
            <w:tcBorders>
              <w:left w:val="single" w:sz="12" w:space="0" w:color="auto"/>
            </w:tcBorders>
          </w:tcPr>
          <w:p w14:paraId="5AEA03ED" w14:textId="6752F4AF" w:rsidR="002E42CE" w:rsidRPr="00EE533D" w:rsidRDefault="00D35F54"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w:t>
            </w:r>
            <w:r w:rsidR="002E42CE" w:rsidRPr="00EE533D">
              <w:rPr>
                <w:rFonts w:ascii="Times New Roman" w:hAnsi="Times New Roman" w:cs="Times New Roman"/>
                <w:sz w:val="14"/>
                <w:szCs w:val="14"/>
                <w:lang w:val="en-GB"/>
              </w:rPr>
              <w:t>.</w:t>
            </w:r>
            <w:r w:rsidRPr="00EE533D">
              <w:rPr>
                <w:rFonts w:ascii="Times New Roman" w:hAnsi="Times New Roman" w:cs="Times New Roman"/>
                <w:sz w:val="14"/>
                <w:szCs w:val="14"/>
                <w:lang w:val="en-GB"/>
              </w:rPr>
              <w:t>510***</w:t>
            </w:r>
            <w:r w:rsidR="002E42CE" w:rsidRPr="00EE533D">
              <w:rPr>
                <w:rFonts w:ascii="Times New Roman" w:hAnsi="Times New Roman" w:cs="Times New Roman"/>
                <w:sz w:val="14"/>
                <w:szCs w:val="14"/>
                <w:lang w:val="en-GB"/>
              </w:rPr>
              <w:t xml:space="preserve"> (0.</w:t>
            </w:r>
            <w:r w:rsidRPr="00EE533D">
              <w:rPr>
                <w:rFonts w:ascii="Times New Roman" w:hAnsi="Times New Roman" w:cs="Times New Roman"/>
                <w:sz w:val="14"/>
                <w:szCs w:val="14"/>
                <w:lang w:val="en-GB"/>
              </w:rPr>
              <w:t>000</w:t>
            </w:r>
            <w:r w:rsidR="002E42CE" w:rsidRPr="00EE533D">
              <w:rPr>
                <w:rFonts w:ascii="Times New Roman" w:hAnsi="Times New Roman" w:cs="Times New Roman"/>
                <w:sz w:val="14"/>
                <w:szCs w:val="14"/>
                <w:lang w:val="en-GB"/>
              </w:rPr>
              <w:t>)</w:t>
            </w:r>
          </w:p>
        </w:tc>
      </w:tr>
      <w:tr w:rsidR="00EE533D" w:rsidRPr="00EE533D" w14:paraId="2269F58D" w14:textId="77777777" w:rsidTr="00F4319C">
        <w:trPr>
          <w:trHeight w:val="104"/>
        </w:trPr>
        <w:tc>
          <w:tcPr>
            <w:tcW w:w="2977" w:type="dxa"/>
            <w:tcBorders>
              <w:left w:val="nil"/>
              <w:right w:val="nil"/>
            </w:tcBorders>
            <w:shd w:val="clear" w:color="auto" w:fill="auto"/>
            <w:noWrap/>
            <w:vAlign w:val="bottom"/>
          </w:tcPr>
          <w:p w14:paraId="102A22D5" w14:textId="0999DE57"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Rho (Variance of errors in outcome equation)</w:t>
            </w:r>
          </w:p>
        </w:tc>
        <w:tc>
          <w:tcPr>
            <w:tcW w:w="2744" w:type="dxa"/>
            <w:gridSpan w:val="2"/>
            <w:tcBorders>
              <w:left w:val="nil"/>
              <w:right w:val="single" w:sz="12" w:space="0" w:color="auto"/>
            </w:tcBorders>
            <w:shd w:val="clear" w:color="auto" w:fill="auto"/>
            <w:noWrap/>
          </w:tcPr>
          <w:p w14:paraId="4475D630" w14:textId="56EA52BD"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-0.126</w:t>
            </w:r>
          </w:p>
        </w:tc>
        <w:tc>
          <w:tcPr>
            <w:tcW w:w="2830" w:type="dxa"/>
            <w:gridSpan w:val="2"/>
            <w:tcBorders>
              <w:left w:val="single" w:sz="12" w:space="0" w:color="auto"/>
              <w:right w:val="single" w:sz="12" w:space="0" w:color="auto"/>
            </w:tcBorders>
            <w:shd w:val="clear" w:color="auto" w:fill="auto"/>
            <w:noWrap/>
          </w:tcPr>
          <w:p w14:paraId="535C67C9" w14:textId="5C12945C"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w:t>
            </w:r>
            <w:r w:rsidR="00693D4D" w:rsidRPr="00EE533D">
              <w:rPr>
                <w:rFonts w:ascii="Times New Roman" w:hAnsi="Times New Roman" w:cs="Times New Roman"/>
                <w:sz w:val="14"/>
                <w:szCs w:val="14"/>
                <w:lang w:val="en-GB"/>
              </w:rPr>
              <w:t>954</w:t>
            </w:r>
          </w:p>
        </w:tc>
        <w:tc>
          <w:tcPr>
            <w:tcW w:w="2816" w:type="dxa"/>
            <w:gridSpan w:val="2"/>
            <w:tcBorders>
              <w:left w:val="single" w:sz="12" w:space="0" w:color="auto"/>
            </w:tcBorders>
          </w:tcPr>
          <w:p w14:paraId="5F823CF9" w14:textId="21B05EAC"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w:t>
            </w:r>
            <w:r w:rsidR="00414A93" w:rsidRPr="00EE533D">
              <w:rPr>
                <w:rFonts w:ascii="Times New Roman" w:hAnsi="Times New Roman" w:cs="Times New Roman"/>
                <w:sz w:val="14"/>
                <w:szCs w:val="14"/>
                <w:lang w:val="en-GB"/>
              </w:rPr>
              <w:t>678</w:t>
            </w:r>
          </w:p>
        </w:tc>
      </w:tr>
      <w:tr w:rsidR="00EE533D" w:rsidRPr="00EE533D" w14:paraId="55E1E0D3" w14:textId="77777777" w:rsidTr="00F4319C">
        <w:trPr>
          <w:trHeight w:val="104"/>
        </w:trPr>
        <w:tc>
          <w:tcPr>
            <w:tcW w:w="2977" w:type="dxa"/>
            <w:tcBorders>
              <w:left w:val="nil"/>
              <w:right w:val="nil"/>
            </w:tcBorders>
            <w:shd w:val="clear" w:color="auto" w:fill="auto"/>
            <w:noWrap/>
            <w:vAlign w:val="bottom"/>
          </w:tcPr>
          <w:p w14:paraId="2E157AA7" w14:textId="7F276674"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Sigma (Covariance of errors in selection function)</w:t>
            </w:r>
          </w:p>
        </w:tc>
        <w:tc>
          <w:tcPr>
            <w:tcW w:w="2744" w:type="dxa"/>
            <w:gridSpan w:val="2"/>
            <w:tcBorders>
              <w:left w:val="nil"/>
              <w:right w:val="single" w:sz="12" w:space="0" w:color="auto"/>
            </w:tcBorders>
            <w:shd w:val="clear" w:color="auto" w:fill="auto"/>
            <w:noWrap/>
            <w:vAlign w:val="bottom"/>
          </w:tcPr>
          <w:p w14:paraId="090F3223" w14:textId="65A1B136" w:rsidR="002E42CE" w:rsidRPr="00EE533D" w:rsidRDefault="002E42CE" w:rsidP="002E42CE">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30.211</w:t>
            </w:r>
          </w:p>
        </w:tc>
        <w:tc>
          <w:tcPr>
            <w:tcW w:w="2830" w:type="dxa"/>
            <w:gridSpan w:val="2"/>
            <w:tcBorders>
              <w:left w:val="single" w:sz="12" w:space="0" w:color="auto"/>
              <w:right w:val="single" w:sz="12" w:space="0" w:color="auto"/>
            </w:tcBorders>
            <w:shd w:val="clear" w:color="auto" w:fill="auto"/>
            <w:noWrap/>
            <w:vAlign w:val="bottom"/>
          </w:tcPr>
          <w:p w14:paraId="3CAB1D7E" w14:textId="1FB0962E" w:rsidR="002E42CE" w:rsidRPr="00EE533D" w:rsidRDefault="00693D4D" w:rsidP="002E42CE">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48</w:t>
            </w:r>
            <w:r w:rsidR="002E42CE" w:rsidRPr="00EE533D">
              <w:rPr>
                <w:rFonts w:ascii="Times New Roman" w:eastAsia="Times New Roman" w:hAnsi="Times New Roman" w:cs="Times New Roman"/>
                <w:sz w:val="14"/>
                <w:szCs w:val="14"/>
                <w:lang w:val="en-GB"/>
              </w:rPr>
              <w:t>.</w:t>
            </w:r>
            <w:r w:rsidRPr="00EE533D">
              <w:rPr>
                <w:rFonts w:ascii="Times New Roman" w:eastAsia="Times New Roman" w:hAnsi="Times New Roman" w:cs="Times New Roman"/>
                <w:sz w:val="14"/>
                <w:szCs w:val="14"/>
                <w:lang w:val="en-GB"/>
              </w:rPr>
              <w:t>681</w:t>
            </w:r>
          </w:p>
        </w:tc>
        <w:tc>
          <w:tcPr>
            <w:tcW w:w="2816" w:type="dxa"/>
            <w:gridSpan w:val="2"/>
            <w:tcBorders>
              <w:left w:val="single" w:sz="12" w:space="0" w:color="auto"/>
            </w:tcBorders>
            <w:vAlign w:val="bottom"/>
          </w:tcPr>
          <w:p w14:paraId="432AA3FC" w14:textId="1D57A7A1" w:rsidR="002E42CE" w:rsidRPr="00EE533D" w:rsidRDefault="00D35F54" w:rsidP="002E42CE">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2</w:t>
            </w:r>
            <w:r w:rsidR="002E42CE" w:rsidRPr="00EE533D">
              <w:rPr>
                <w:rFonts w:ascii="Times New Roman" w:eastAsia="Times New Roman" w:hAnsi="Times New Roman" w:cs="Times New Roman"/>
                <w:sz w:val="14"/>
                <w:szCs w:val="14"/>
                <w:lang w:val="en-GB"/>
              </w:rPr>
              <w:t>.</w:t>
            </w:r>
            <w:r w:rsidRPr="00EE533D">
              <w:rPr>
                <w:rFonts w:ascii="Times New Roman" w:eastAsia="Times New Roman" w:hAnsi="Times New Roman" w:cs="Times New Roman"/>
                <w:sz w:val="14"/>
                <w:szCs w:val="14"/>
                <w:lang w:val="en-GB"/>
              </w:rPr>
              <w:t>226</w:t>
            </w:r>
          </w:p>
        </w:tc>
      </w:tr>
      <w:tr w:rsidR="00EE533D" w:rsidRPr="00EE533D" w14:paraId="5B49D03E" w14:textId="77777777" w:rsidTr="00F4319C">
        <w:trPr>
          <w:trHeight w:val="104"/>
        </w:trPr>
        <w:tc>
          <w:tcPr>
            <w:tcW w:w="2977" w:type="dxa"/>
            <w:tcBorders>
              <w:left w:val="nil"/>
              <w:right w:val="nil"/>
            </w:tcBorders>
            <w:shd w:val="clear" w:color="auto" w:fill="auto"/>
            <w:noWrap/>
            <w:vAlign w:val="bottom"/>
          </w:tcPr>
          <w:p w14:paraId="55FDD493" w14:textId="14399097"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effects</w:t>
            </w:r>
          </w:p>
        </w:tc>
        <w:tc>
          <w:tcPr>
            <w:tcW w:w="2744" w:type="dxa"/>
            <w:gridSpan w:val="2"/>
            <w:tcBorders>
              <w:left w:val="nil"/>
              <w:right w:val="single" w:sz="12" w:space="0" w:color="auto"/>
            </w:tcBorders>
            <w:shd w:val="clear" w:color="auto" w:fill="auto"/>
            <w:noWrap/>
            <w:vAlign w:val="bottom"/>
          </w:tcPr>
          <w:p w14:paraId="3A53490F" w14:textId="6BD123C3"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2830" w:type="dxa"/>
            <w:gridSpan w:val="2"/>
            <w:tcBorders>
              <w:left w:val="single" w:sz="12" w:space="0" w:color="auto"/>
              <w:right w:val="single" w:sz="12" w:space="0" w:color="auto"/>
            </w:tcBorders>
            <w:shd w:val="clear" w:color="auto" w:fill="auto"/>
            <w:noWrap/>
            <w:vAlign w:val="bottom"/>
          </w:tcPr>
          <w:p w14:paraId="69FE2C4C" w14:textId="4E49DAC4"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2816" w:type="dxa"/>
            <w:gridSpan w:val="2"/>
            <w:tcBorders>
              <w:left w:val="single" w:sz="12" w:space="0" w:color="auto"/>
            </w:tcBorders>
            <w:vAlign w:val="bottom"/>
          </w:tcPr>
          <w:p w14:paraId="43061469" w14:textId="4520EBC9" w:rsidR="002E42CE" w:rsidRPr="00EE533D" w:rsidRDefault="002E42CE" w:rsidP="002E42CE">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1801F9F3" w14:textId="77777777" w:rsidTr="00F4319C">
        <w:trPr>
          <w:trHeight w:val="421"/>
        </w:trPr>
        <w:tc>
          <w:tcPr>
            <w:tcW w:w="11367" w:type="dxa"/>
            <w:gridSpan w:val="7"/>
            <w:tcBorders>
              <w:top w:val="single" w:sz="12" w:space="0" w:color="auto"/>
              <w:left w:val="nil"/>
            </w:tcBorders>
            <w:shd w:val="clear" w:color="auto" w:fill="auto"/>
            <w:noWrap/>
          </w:tcPr>
          <w:p w14:paraId="39C6BB08" w14:textId="15538A9C" w:rsidR="002E42CE" w:rsidRPr="00EE533D" w:rsidRDefault="002E42CE" w:rsidP="002E42CE">
            <w:pPr>
              <w:spacing w:after="0"/>
              <w:jc w:val="both"/>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w:t>
            </w:r>
            <w:r w:rsidR="00966AF3" w:rsidRPr="00EE533D">
              <w:rPr>
                <w:rFonts w:ascii="Times New Roman" w:eastAsia="Times New Roman" w:hAnsi="Times New Roman" w:cs="Times New Roman"/>
                <w:sz w:val="14"/>
                <w:szCs w:val="14"/>
                <w:lang w:val="en-GB"/>
              </w:rPr>
              <w:t>the two-step Heckman selection model</w:t>
            </w:r>
            <w:r w:rsidRPr="00EE533D">
              <w:rPr>
                <w:rFonts w:ascii="Times New Roman" w:eastAsia="Times New Roman" w:hAnsi="Times New Roman" w:cs="Times New Roman"/>
                <w:sz w:val="14"/>
                <w:szCs w:val="14"/>
                <w:lang w:val="en-GB"/>
              </w:rPr>
              <w:t xml:space="preserve"> with time effects. </w:t>
            </w:r>
            <w:r w:rsidRPr="00EE533D">
              <w:rPr>
                <w:rFonts w:ascii="Times New Roman" w:eastAsia="Times New Roman" w:hAnsi="Times New Roman" w:cs="Times New Roman"/>
                <w:sz w:val="14"/>
                <w:szCs w:val="14"/>
                <w:lang w:val="en-GB" w:eastAsia="el-GR"/>
              </w:rPr>
              <w:t xml:space="preserve">Standard errors </w:t>
            </w:r>
            <w:r w:rsidRPr="00EE533D">
              <w:rPr>
                <w:rFonts w:ascii="Times New Roman" w:eastAsia="Times New Roman" w:hAnsi="Times New Roman" w:cs="Times New Roman"/>
                <w:sz w:val="14"/>
                <w:szCs w:val="14"/>
                <w:lang w:val="en-GB"/>
              </w:rPr>
              <w:t>are reported in parentheses. * indicates significance at the 10% level, ** at the 5% level and *** at the 1% level.</w:t>
            </w:r>
          </w:p>
        </w:tc>
      </w:tr>
    </w:tbl>
    <w:p w14:paraId="4A381B29" w14:textId="5D3DD4E9" w:rsidR="00D0367D" w:rsidRPr="00EE533D" w:rsidRDefault="00D0367D">
      <w:pPr>
        <w:spacing w:line="259" w:lineRule="auto"/>
        <w:rPr>
          <w:rFonts w:asciiTheme="majorBidi" w:hAnsiTheme="majorBidi" w:cstheme="majorBidi"/>
          <w:sz w:val="24"/>
          <w:szCs w:val="24"/>
          <w:lang w:val="en-GB"/>
        </w:rPr>
      </w:pPr>
    </w:p>
    <w:p w14:paraId="281DC783" w14:textId="77777777" w:rsidR="00D0367D" w:rsidRPr="00EE533D" w:rsidRDefault="00D0367D">
      <w:pPr>
        <w:spacing w:line="259" w:lineRule="auto"/>
        <w:rPr>
          <w:rFonts w:asciiTheme="majorBidi" w:hAnsiTheme="majorBidi" w:cstheme="majorBidi"/>
          <w:sz w:val="24"/>
          <w:szCs w:val="24"/>
          <w:lang w:val="en-GB"/>
        </w:rPr>
      </w:pPr>
      <w:r w:rsidRPr="00EE533D">
        <w:rPr>
          <w:rFonts w:asciiTheme="majorBidi" w:hAnsiTheme="majorBidi" w:cstheme="majorBidi"/>
          <w:sz w:val="24"/>
          <w:szCs w:val="24"/>
          <w:lang w:val="en-GB"/>
        </w:rPr>
        <w:br w:type="page"/>
      </w:r>
    </w:p>
    <w:tbl>
      <w:tblPr>
        <w:tblpPr w:leftFromText="141" w:rightFromText="141" w:vertAnchor="page" w:horzAnchor="margin" w:tblpXSpec="center" w:tblpY="814"/>
        <w:tblW w:w="11427" w:type="dxa"/>
        <w:tblCellMar>
          <w:left w:w="70" w:type="dxa"/>
          <w:right w:w="70" w:type="dxa"/>
        </w:tblCellMar>
        <w:tblLook w:val="04A0" w:firstRow="1" w:lastRow="0" w:firstColumn="1" w:lastColumn="0" w:noHBand="0" w:noVBand="1"/>
      </w:tblPr>
      <w:tblGrid>
        <w:gridCol w:w="2992"/>
        <w:gridCol w:w="1252"/>
        <w:gridCol w:w="1506"/>
        <w:gridCol w:w="1403"/>
        <w:gridCol w:w="1441"/>
        <w:gridCol w:w="1397"/>
        <w:gridCol w:w="1436"/>
      </w:tblGrid>
      <w:tr w:rsidR="00EE533D" w:rsidRPr="00EE533D" w14:paraId="392B21A8" w14:textId="77777777" w:rsidTr="00720701">
        <w:trPr>
          <w:trHeight w:val="76"/>
        </w:trPr>
        <w:tc>
          <w:tcPr>
            <w:tcW w:w="11427" w:type="dxa"/>
            <w:gridSpan w:val="7"/>
            <w:tcBorders>
              <w:left w:val="nil"/>
              <w:right w:val="nil"/>
            </w:tcBorders>
            <w:shd w:val="clear" w:color="auto" w:fill="auto"/>
            <w:noWrap/>
            <w:vAlign w:val="bottom"/>
          </w:tcPr>
          <w:p w14:paraId="197BB067" w14:textId="41BF2563" w:rsidR="00D0367D" w:rsidRPr="00EE533D" w:rsidRDefault="00D0367D" w:rsidP="00F4319C">
            <w:pPr>
              <w:spacing w:after="0" w:line="240" w:lineRule="auto"/>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Table 1</w:t>
            </w:r>
            <w:r w:rsidR="003D6EBD" w:rsidRPr="00EE533D">
              <w:rPr>
                <w:rFonts w:ascii="Times New Roman" w:eastAsia="Times New Roman" w:hAnsi="Times New Roman" w:cs="Times New Roman"/>
                <w:b/>
                <w:sz w:val="14"/>
                <w:szCs w:val="14"/>
                <w:lang w:val="en-GB"/>
              </w:rPr>
              <w:t>2</w:t>
            </w:r>
            <w:r w:rsidRPr="00EE533D">
              <w:rPr>
                <w:rFonts w:ascii="Times New Roman" w:eastAsia="Times New Roman" w:hAnsi="Times New Roman" w:cs="Times New Roman"/>
                <w:b/>
                <w:sz w:val="14"/>
                <w:szCs w:val="14"/>
                <w:lang w:val="en-GB"/>
              </w:rPr>
              <w:t>. Institutional quality and corporate recycling performance. Heckman selection model</w:t>
            </w:r>
            <w:r w:rsidR="003D6EBD" w:rsidRPr="00EE533D">
              <w:rPr>
                <w:rFonts w:ascii="Times New Roman" w:eastAsia="Times New Roman" w:hAnsi="Times New Roman" w:cs="Times New Roman"/>
                <w:b/>
                <w:sz w:val="14"/>
                <w:szCs w:val="14"/>
                <w:lang w:val="en-GB"/>
              </w:rPr>
              <w:t xml:space="preserve"> with alternative institutional variables</w:t>
            </w:r>
          </w:p>
        </w:tc>
      </w:tr>
      <w:tr w:rsidR="00EE533D" w:rsidRPr="00EE533D" w14:paraId="1F76FB86" w14:textId="77777777" w:rsidTr="00720701">
        <w:trPr>
          <w:trHeight w:val="22"/>
        </w:trPr>
        <w:tc>
          <w:tcPr>
            <w:tcW w:w="2992" w:type="dxa"/>
            <w:tcBorders>
              <w:left w:val="nil"/>
              <w:right w:val="nil"/>
            </w:tcBorders>
            <w:shd w:val="clear" w:color="auto" w:fill="auto"/>
            <w:noWrap/>
            <w:vAlign w:val="bottom"/>
          </w:tcPr>
          <w:p w14:paraId="46B6F363" w14:textId="77777777" w:rsidR="00D0367D" w:rsidRPr="00EE533D" w:rsidRDefault="00D0367D" w:rsidP="00F4319C">
            <w:pPr>
              <w:spacing w:after="0" w:line="240" w:lineRule="auto"/>
              <w:jc w:val="right"/>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Outcome:</w:t>
            </w:r>
          </w:p>
        </w:tc>
        <w:tc>
          <w:tcPr>
            <w:tcW w:w="2758" w:type="dxa"/>
            <w:gridSpan w:val="2"/>
            <w:tcBorders>
              <w:left w:val="nil"/>
              <w:bottom w:val="single" w:sz="12" w:space="0" w:color="auto"/>
              <w:right w:val="single" w:sz="12" w:space="0" w:color="auto"/>
            </w:tcBorders>
            <w:shd w:val="clear" w:color="auto" w:fill="auto"/>
            <w:noWrap/>
          </w:tcPr>
          <w:p w14:paraId="73A3F022" w14:textId="77777777" w:rsidR="00D0367D" w:rsidRPr="00EE533D" w:rsidRDefault="00D0367D" w:rsidP="00F4319C">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Recycled Waste</w:t>
            </w:r>
          </w:p>
        </w:tc>
        <w:tc>
          <w:tcPr>
            <w:tcW w:w="2844" w:type="dxa"/>
            <w:gridSpan w:val="2"/>
            <w:tcBorders>
              <w:left w:val="single" w:sz="12" w:space="0" w:color="auto"/>
              <w:bottom w:val="single" w:sz="12" w:space="0" w:color="auto"/>
              <w:right w:val="single" w:sz="12" w:space="0" w:color="auto"/>
            </w:tcBorders>
            <w:shd w:val="clear" w:color="auto" w:fill="auto"/>
            <w:noWrap/>
          </w:tcPr>
          <w:p w14:paraId="73403A04" w14:textId="77777777" w:rsidR="00D0367D" w:rsidRPr="00EE533D" w:rsidRDefault="00D0367D" w:rsidP="00F4319C">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Recycled Water</w:t>
            </w:r>
          </w:p>
        </w:tc>
        <w:tc>
          <w:tcPr>
            <w:tcW w:w="2830" w:type="dxa"/>
            <w:gridSpan w:val="2"/>
            <w:tcBorders>
              <w:left w:val="single" w:sz="12" w:space="0" w:color="auto"/>
              <w:bottom w:val="single" w:sz="12" w:space="0" w:color="auto"/>
            </w:tcBorders>
          </w:tcPr>
          <w:p w14:paraId="01FE9A6D" w14:textId="2021552E" w:rsidR="00D0367D" w:rsidRPr="00EE533D" w:rsidRDefault="00D0367D" w:rsidP="00F4319C">
            <w:pPr>
              <w:spacing w:after="0" w:line="240" w:lineRule="auto"/>
              <w:jc w:val="center"/>
              <w:rPr>
                <w:rFonts w:ascii="Times New Roman" w:hAnsi="Times New Roman" w:cs="Times New Roman"/>
                <w:b/>
                <w:bCs/>
                <w:sz w:val="14"/>
                <w:szCs w:val="14"/>
                <w:lang w:val="en-GB"/>
              </w:rPr>
            </w:pPr>
            <w:r w:rsidRPr="00EE533D">
              <w:rPr>
                <w:rFonts w:ascii="Times New Roman" w:hAnsi="Times New Roman" w:cs="Times New Roman"/>
                <w:b/>
                <w:bCs/>
                <w:sz w:val="14"/>
                <w:szCs w:val="14"/>
                <w:lang w:val="en-GB"/>
              </w:rPr>
              <w:t xml:space="preserve">Recycled </w:t>
            </w:r>
            <w:r w:rsidR="00E504F0" w:rsidRPr="00EE533D">
              <w:rPr>
                <w:rFonts w:ascii="Times New Roman" w:hAnsi="Times New Roman" w:cs="Times New Roman"/>
                <w:b/>
                <w:bCs/>
                <w:sz w:val="14"/>
                <w:szCs w:val="14"/>
                <w:lang w:val="en-GB"/>
              </w:rPr>
              <w:t>Paper</w:t>
            </w:r>
          </w:p>
        </w:tc>
      </w:tr>
      <w:tr w:rsidR="00EE533D" w:rsidRPr="00EE533D" w14:paraId="42962A1D" w14:textId="77777777" w:rsidTr="00720701">
        <w:trPr>
          <w:trHeight w:val="22"/>
        </w:trPr>
        <w:tc>
          <w:tcPr>
            <w:tcW w:w="2992" w:type="dxa"/>
            <w:tcBorders>
              <w:left w:val="nil"/>
              <w:right w:val="nil"/>
            </w:tcBorders>
            <w:shd w:val="clear" w:color="auto" w:fill="auto"/>
            <w:noWrap/>
            <w:vAlign w:val="bottom"/>
          </w:tcPr>
          <w:p w14:paraId="329C18CD" w14:textId="77777777" w:rsidR="00D0367D" w:rsidRPr="00EE533D" w:rsidRDefault="00D0367D" w:rsidP="00F4319C">
            <w:pPr>
              <w:spacing w:after="0" w:line="240" w:lineRule="auto"/>
              <w:jc w:val="right"/>
              <w:rPr>
                <w:rFonts w:ascii="Times New Roman" w:eastAsia="Calibri" w:hAnsi="Times New Roman" w:cs="Times New Roman"/>
                <w:b/>
                <w:sz w:val="14"/>
                <w:szCs w:val="14"/>
                <w:lang w:val="en-GB"/>
              </w:rPr>
            </w:pPr>
          </w:p>
        </w:tc>
        <w:tc>
          <w:tcPr>
            <w:tcW w:w="1252" w:type="dxa"/>
            <w:tcBorders>
              <w:left w:val="nil"/>
              <w:bottom w:val="single" w:sz="12" w:space="0" w:color="auto"/>
              <w:right w:val="nil"/>
            </w:tcBorders>
            <w:shd w:val="clear" w:color="auto" w:fill="auto"/>
            <w:noWrap/>
          </w:tcPr>
          <w:p w14:paraId="29704824" w14:textId="77777777" w:rsidR="00D0367D" w:rsidRPr="00EE533D" w:rsidRDefault="00D0367D" w:rsidP="00F4319C">
            <w:pPr>
              <w:spacing w:after="0" w:line="240" w:lineRule="auto"/>
              <w:jc w:val="center"/>
              <w:rPr>
                <w:rFonts w:ascii="Times New Roman" w:hAnsi="Times New Roman" w:cs="Times New Roman"/>
                <w:b/>
                <w:bCs/>
                <w:sz w:val="14"/>
                <w:szCs w:val="14"/>
                <w:lang w:val="en-GB"/>
              </w:rPr>
            </w:pPr>
          </w:p>
          <w:p w14:paraId="538C547C"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505" w:type="dxa"/>
            <w:tcBorders>
              <w:left w:val="nil"/>
              <w:bottom w:val="single" w:sz="12" w:space="0" w:color="auto"/>
              <w:right w:val="single" w:sz="12" w:space="0" w:color="auto"/>
            </w:tcBorders>
          </w:tcPr>
          <w:p w14:paraId="4991F6DB"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p>
          <w:p w14:paraId="7FB81947"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c>
          <w:tcPr>
            <w:tcW w:w="1403" w:type="dxa"/>
            <w:tcBorders>
              <w:left w:val="single" w:sz="12" w:space="0" w:color="auto"/>
              <w:bottom w:val="single" w:sz="12" w:space="0" w:color="auto"/>
            </w:tcBorders>
            <w:shd w:val="clear" w:color="auto" w:fill="auto"/>
            <w:noWrap/>
          </w:tcPr>
          <w:p w14:paraId="54AEC44F" w14:textId="77777777" w:rsidR="00D0367D" w:rsidRPr="00EE533D" w:rsidRDefault="00D0367D" w:rsidP="00F4319C">
            <w:pPr>
              <w:spacing w:after="0" w:line="240" w:lineRule="auto"/>
              <w:jc w:val="center"/>
              <w:rPr>
                <w:rFonts w:ascii="Times New Roman" w:hAnsi="Times New Roman" w:cs="Times New Roman"/>
                <w:b/>
                <w:bCs/>
                <w:sz w:val="14"/>
                <w:szCs w:val="14"/>
                <w:lang w:val="en-GB"/>
              </w:rPr>
            </w:pPr>
          </w:p>
          <w:p w14:paraId="4FADECEE"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441" w:type="dxa"/>
            <w:tcBorders>
              <w:bottom w:val="single" w:sz="12" w:space="0" w:color="auto"/>
              <w:right w:val="single" w:sz="12" w:space="0" w:color="auto"/>
            </w:tcBorders>
          </w:tcPr>
          <w:p w14:paraId="5E674552"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p>
          <w:p w14:paraId="3ADB32FB"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c>
          <w:tcPr>
            <w:tcW w:w="1397" w:type="dxa"/>
            <w:tcBorders>
              <w:left w:val="single" w:sz="12" w:space="0" w:color="auto"/>
              <w:bottom w:val="single" w:sz="12" w:space="0" w:color="auto"/>
              <w:right w:val="nil"/>
            </w:tcBorders>
          </w:tcPr>
          <w:p w14:paraId="063F9902" w14:textId="77777777" w:rsidR="00D0367D" w:rsidRPr="00EE533D" w:rsidRDefault="00D0367D" w:rsidP="00F4319C">
            <w:pPr>
              <w:spacing w:after="0" w:line="240" w:lineRule="auto"/>
              <w:jc w:val="center"/>
              <w:rPr>
                <w:rFonts w:ascii="Times New Roman" w:hAnsi="Times New Roman" w:cs="Times New Roman"/>
                <w:b/>
                <w:bCs/>
                <w:sz w:val="14"/>
                <w:szCs w:val="14"/>
                <w:lang w:val="en-GB"/>
              </w:rPr>
            </w:pPr>
          </w:p>
          <w:p w14:paraId="50DDA2B0"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Selection Equation</w:t>
            </w:r>
          </w:p>
        </w:tc>
        <w:tc>
          <w:tcPr>
            <w:tcW w:w="1433" w:type="dxa"/>
            <w:tcBorders>
              <w:left w:val="nil"/>
              <w:bottom w:val="single" w:sz="12" w:space="0" w:color="auto"/>
            </w:tcBorders>
          </w:tcPr>
          <w:p w14:paraId="61B72648"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p>
          <w:p w14:paraId="4A448B05" w14:textId="77777777" w:rsidR="00D0367D" w:rsidRPr="00EE533D" w:rsidRDefault="00D0367D" w:rsidP="00F4319C">
            <w:pPr>
              <w:spacing w:after="0" w:line="240" w:lineRule="auto"/>
              <w:jc w:val="center"/>
              <w:rPr>
                <w:rFonts w:ascii="Times New Roman" w:eastAsia="Times New Roman" w:hAnsi="Times New Roman" w:cs="Times New Roman"/>
                <w:b/>
                <w:bCs/>
                <w:sz w:val="14"/>
                <w:szCs w:val="14"/>
                <w:lang w:val="en-GB"/>
              </w:rPr>
            </w:pPr>
            <w:r w:rsidRPr="00EE533D">
              <w:rPr>
                <w:rFonts w:ascii="Times New Roman" w:eastAsia="Times New Roman" w:hAnsi="Times New Roman" w:cs="Times New Roman"/>
                <w:b/>
                <w:bCs/>
                <w:sz w:val="14"/>
                <w:szCs w:val="14"/>
                <w:lang w:val="en-GB"/>
              </w:rPr>
              <w:t>Outcome Equation</w:t>
            </w:r>
          </w:p>
        </w:tc>
      </w:tr>
      <w:tr w:rsidR="00EE533D" w:rsidRPr="00EE533D" w14:paraId="10D40459" w14:textId="77777777" w:rsidTr="00720701">
        <w:trPr>
          <w:trHeight w:val="22"/>
        </w:trPr>
        <w:tc>
          <w:tcPr>
            <w:tcW w:w="2992" w:type="dxa"/>
            <w:tcBorders>
              <w:left w:val="nil"/>
              <w:bottom w:val="single" w:sz="12" w:space="0" w:color="auto"/>
              <w:right w:val="nil"/>
            </w:tcBorders>
            <w:shd w:val="clear" w:color="auto" w:fill="auto"/>
            <w:noWrap/>
            <w:vAlign w:val="bottom"/>
          </w:tcPr>
          <w:p w14:paraId="15DA7893" w14:textId="77777777" w:rsidR="00D0367D" w:rsidRPr="00EE533D" w:rsidRDefault="00D0367D" w:rsidP="00F4319C">
            <w:pPr>
              <w:spacing w:after="0" w:line="240" w:lineRule="auto"/>
              <w:jc w:val="center"/>
              <w:rPr>
                <w:rFonts w:ascii="Times New Roman" w:eastAsia="Calibri" w:hAnsi="Times New Roman" w:cs="Times New Roman"/>
                <w:b/>
                <w:sz w:val="14"/>
                <w:szCs w:val="14"/>
                <w:lang w:val="en-GB"/>
              </w:rPr>
            </w:pPr>
            <w:r w:rsidRPr="00EE533D">
              <w:rPr>
                <w:rFonts w:ascii="Times New Roman" w:eastAsia="Calibri" w:hAnsi="Times New Roman" w:cs="Times New Roman"/>
                <w:b/>
                <w:sz w:val="14"/>
                <w:szCs w:val="14"/>
                <w:lang w:val="en-GB"/>
              </w:rPr>
              <w:t>Variables</w:t>
            </w:r>
          </w:p>
        </w:tc>
        <w:tc>
          <w:tcPr>
            <w:tcW w:w="1252" w:type="dxa"/>
            <w:tcBorders>
              <w:left w:val="nil"/>
              <w:bottom w:val="single" w:sz="12" w:space="0" w:color="auto"/>
              <w:right w:val="nil"/>
            </w:tcBorders>
            <w:shd w:val="clear" w:color="auto" w:fill="auto"/>
            <w:noWrap/>
            <w:vAlign w:val="bottom"/>
          </w:tcPr>
          <w:p w14:paraId="7950514D"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b/>
                <w:sz w:val="14"/>
                <w:szCs w:val="14"/>
                <w:lang w:val="en-GB"/>
              </w:rPr>
              <w:t>(1)</w:t>
            </w:r>
          </w:p>
        </w:tc>
        <w:tc>
          <w:tcPr>
            <w:tcW w:w="1505" w:type="dxa"/>
            <w:tcBorders>
              <w:left w:val="nil"/>
              <w:bottom w:val="single" w:sz="12" w:space="0" w:color="auto"/>
              <w:right w:val="single" w:sz="12" w:space="0" w:color="auto"/>
            </w:tcBorders>
            <w:vAlign w:val="bottom"/>
          </w:tcPr>
          <w:p w14:paraId="194BF621" w14:textId="77777777" w:rsidR="00D0367D" w:rsidRPr="00EE533D" w:rsidRDefault="00D0367D"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(2)</w:t>
            </w:r>
          </w:p>
        </w:tc>
        <w:tc>
          <w:tcPr>
            <w:tcW w:w="1403" w:type="dxa"/>
            <w:tcBorders>
              <w:left w:val="single" w:sz="12" w:space="0" w:color="auto"/>
              <w:bottom w:val="single" w:sz="12" w:space="0" w:color="auto"/>
            </w:tcBorders>
            <w:shd w:val="clear" w:color="auto" w:fill="auto"/>
            <w:noWrap/>
            <w:vAlign w:val="bottom"/>
          </w:tcPr>
          <w:p w14:paraId="122E0CE8" w14:textId="77777777" w:rsidR="00D0367D" w:rsidRPr="00EE533D" w:rsidRDefault="00D0367D"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(3)</w:t>
            </w:r>
          </w:p>
        </w:tc>
        <w:tc>
          <w:tcPr>
            <w:tcW w:w="1441" w:type="dxa"/>
            <w:tcBorders>
              <w:bottom w:val="single" w:sz="12" w:space="0" w:color="auto"/>
              <w:right w:val="single" w:sz="12" w:space="0" w:color="auto"/>
            </w:tcBorders>
            <w:vAlign w:val="bottom"/>
          </w:tcPr>
          <w:p w14:paraId="0BB1ED9C" w14:textId="77777777" w:rsidR="00D0367D" w:rsidRPr="00EE533D" w:rsidRDefault="00D0367D"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(4)</w:t>
            </w:r>
          </w:p>
        </w:tc>
        <w:tc>
          <w:tcPr>
            <w:tcW w:w="1397" w:type="dxa"/>
            <w:tcBorders>
              <w:left w:val="single" w:sz="12" w:space="0" w:color="auto"/>
              <w:bottom w:val="single" w:sz="12" w:space="0" w:color="auto"/>
              <w:right w:val="nil"/>
            </w:tcBorders>
            <w:vAlign w:val="bottom"/>
          </w:tcPr>
          <w:p w14:paraId="43F53E88" w14:textId="77777777" w:rsidR="00D0367D" w:rsidRPr="00EE533D" w:rsidRDefault="00D0367D"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(5)</w:t>
            </w:r>
          </w:p>
        </w:tc>
        <w:tc>
          <w:tcPr>
            <w:tcW w:w="1433" w:type="dxa"/>
            <w:tcBorders>
              <w:left w:val="nil"/>
              <w:bottom w:val="single" w:sz="12" w:space="0" w:color="auto"/>
            </w:tcBorders>
            <w:vAlign w:val="bottom"/>
          </w:tcPr>
          <w:p w14:paraId="326CBE79" w14:textId="77777777" w:rsidR="00D0367D" w:rsidRPr="00EE533D" w:rsidRDefault="00D0367D" w:rsidP="00F4319C">
            <w:pPr>
              <w:spacing w:after="0" w:line="240" w:lineRule="auto"/>
              <w:jc w:val="center"/>
              <w:rPr>
                <w:rFonts w:ascii="Times New Roman" w:eastAsia="Times New Roman" w:hAnsi="Times New Roman" w:cs="Times New Roman"/>
                <w:b/>
                <w:sz w:val="14"/>
                <w:szCs w:val="14"/>
                <w:lang w:val="en-GB"/>
              </w:rPr>
            </w:pPr>
            <w:r w:rsidRPr="00EE533D">
              <w:rPr>
                <w:rFonts w:ascii="Times New Roman" w:eastAsia="Times New Roman" w:hAnsi="Times New Roman" w:cs="Times New Roman"/>
                <w:b/>
                <w:sz w:val="14"/>
                <w:szCs w:val="14"/>
                <w:lang w:val="en-GB"/>
              </w:rPr>
              <w:t>(6)</w:t>
            </w:r>
          </w:p>
        </w:tc>
      </w:tr>
      <w:tr w:rsidR="00EE533D" w:rsidRPr="00EE533D" w14:paraId="75268AD8" w14:textId="77777777" w:rsidTr="00720701">
        <w:trPr>
          <w:trHeight w:val="22"/>
        </w:trPr>
        <w:tc>
          <w:tcPr>
            <w:tcW w:w="2992" w:type="dxa"/>
            <w:tcBorders>
              <w:top w:val="nil"/>
              <w:left w:val="nil"/>
              <w:bottom w:val="nil"/>
              <w:right w:val="nil"/>
            </w:tcBorders>
            <w:shd w:val="clear" w:color="auto" w:fill="auto"/>
            <w:noWrap/>
          </w:tcPr>
          <w:p w14:paraId="30B77C63"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Consumer Staples</w:t>
            </w:r>
          </w:p>
        </w:tc>
        <w:tc>
          <w:tcPr>
            <w:tcW w:w="1252" w:type="dxa"/>
            <w:tcBorders>
              <w:top w:val="nil"/>
              <w:left w:val="nil"/>
              <w:bottom w:val="nil"/>
              <w:right w:val="nil"/>
            </w:tcBorders>
            <w:shd w:val="clear" w:color="auto" w:fill="auto"/>
            <w:noWrap/>
          </w:tcPr>
          <w:p w14:paraId="0A2BA255" w14:textId="52FE2984"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505" w:type="dxa"/>
            <w:tcBorders>
              <w:top w:val="nil"/>
              <w:left w:val="nil"/>
              <w:bottom w:val="nil"/>
              <w:right w:val="single" w:sz="12" w:space="0" w:color="auto"/>
            </w:tcBorders>
          </w:tcPr>
          <w:p w14:paraId="46FF4B7A"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4AFF74CA" w14:textId="0165049C"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0.421***</w:t>
            </w:r>
          </w:p>
        </w:tc>
        <w:tc>
          <w:tcPr>
            <w:tcW w:w="1441" w:type="dxa"/>
            <w:tcBorders>
              <w:top w:val="nil"/>
              <w:bottom w:val="nil"/>
              <w:right w:val="single" w:sz="12" w:space="0" w:color="auto"/>
            </w:tcBorders>
          </w:tcPr>
          <w:p w14:paraId="453051AF"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69BA7A6B" w14:textId="1364788E"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-0.413***</w:t>
            </w:r>
          </w:p>
        </w:tc>
        <w:tc>
          <w:tcPr>
            <w:tcW w:w="1433" w:type="dxa"/>
            <w:tcBorders>
              <w:top w:val="nil"/>
              <w:left w:val="nil"/>
              <w:bottom w:val="nil"/>
            </w:tcBorders>
          </w:tcPr>
          <w:p w14:paraId="31F73E87"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06EAC3D3" w14:textId="77777777" w:rsidTr="00720701">
        <w:trPr>
          <w:trHeight w:val="22"/>
        </w:trPr>
        <w:tc>
          <w:tcPr>
            <w:tcW w:w="2992" w:type="dxa"/>
            <w:tcBorders>
              <w:top w:val="nil"/>
              <w:left w:val="nil"/>
              <w:bottom w:val="nil"/>
              <w:right w:val="nil"/>
            </w:tcBorders>
            <w:shd w:val="clear" w:color="auto" w:fill="auto"/>
            <w:noWrap/>
          </w:tcPr>
          <w:p w14:paraId="62A97D73"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B3E7DB8" w14:textId="321B12CA"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505" w:type="dxa"/>
            <w:tcBorders>
              <w:top w:val="nil"/>
              <w:left w:val="nil"/>
              <w:bottom w:val="nil"/>
              <w:right w:val="single" w:sz="12" w:space="0" w:color="auto"/>
            </w:tcBorders>
          </w:tcPr>
          <w:p w14:paraId="4769C69F"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3FF5A63E" w14:textId="7BC5BBD3"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41" w:type="dxa"/>
            <w:tcBorders>
              <w:top w:val="nil"/>
              <w:bottom w:val="nil"/>
              <w:right w:val="single" w:sz="12" w:space="0" w:color="auto"/>
            </w:tcBorders>
          </w:tcPr>
          <w:p w14:paraId="4DF76241"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26812744" w14:textId="6E9F8FF1"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(0.106)</w:t>
            </w:r>
          </w:p>
        </w:tc>
        <w:tc>
          <w:tcPr>
            <w:tcW w:w="1433" w:type="dxa"/>
            <w:tcBorders>
              <w:top w:val="nil"/>
              <w:left w:val="nil"/>
              <w:bottom w:val="nil"/>
            </w:tcBorders>
          </w:tcPr>
          <w:p w14:paraId="43CC1267"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0E2949F8" w14:textId="77777777" w:rsidTr="00720701">
        <w:trPr>
          <w:trHeight w:val="22"/>
        </w:trPr>
        <w:tc>
          <w:tcPr>
            <w:tcW w:w="2992" w:type="dxa"/>
            <w:tcBorders>
              <w:top w:val="nil"/>
              <w:left w:val="nil"/>
              <w:bottom w:val="nil"/>
              <w:right w:val="nil"/>
            </w:tcBorders>
            <w:shd w:val="clear" w:color="auto" w:fill="auto"/>
            <w:noWrap/>
          </w:tcPr>
          <w:p w14:paraId="77673749"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Materials</w:t>
            </w:r>
          </w:p>
        </w:tc>
        <w:tc>
          <w:tcPr>
            <w:tcW w:w="1252" w:type="dxa"/>
            <w:tcBorders>
              <w:top w:val="nil"/>
              <w:left w:val="nil"/>
              <w:bottom w:val="nil"/>
              <w:right w:val="nil"/>
            </w:tcBorders>
            <w:shd w:val="clear" w:color="auto" w:fill="auto"/>
            <w:noWrap/>
          </w:tcPr>
          <w:p w14:paraId="4DC0F038" w14:textId="228B79E1"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-0.069</w:t>
            </w:r>
          </w:p>
        </w:tc>
        <w:tc>
          <w:tcPr>
            <w:tcW w:w="1505" w:type="dxa"/>
            <w:tcBorders>
              <w:top w:val="nil"/>
              <w:left w:val="nil"/>
              <w:bottom w:val="nil"/>
              <w:right w:val="single" w:sz="12" w:space="0" w:color="auto"/>
            </w:tcBorders>
          </w:tcPr>
          <w:p w14:paraId="7DCC6231"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24DFE771" w14:textId="49D0B910"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-0.703***</w:t>
            </w:r>
          </w:p>
        </w:tc>
        <w:tc>
          <w:tcPr>
            <w:tcW w:w="1441" w:type="dxa"/>
            <w:tcBorders>
              <w:top w:val="nil"/>
              <w:bottom w:val="nil"/>
              <w:right w:val="single" w:sz="12" w:space="0" w:color="auto"/>
            </w:tcBorders>
          </w:tcPr>
          <w:p w14:paraId="3CBE946C"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7650B9D0" w14:textId="1C3B4FB1"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0.828***</w:t>
            </w:r>
          </w:p>
        </w:tc>
        <w:tc>
          <w:tcPr>
            <w:tcW w:w="1433" w:type="dxa"/>
            <w:tcBorders>
              <w:top w:val="nil"/>
              <w:left w:val="nil"/>
              <w:bottom w:val="nil"/>
            </w:tcBorders>
          </w:tcPr>
          <w:p w14:paraId="11F564D0"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39CAB860" w14:textId="77777777" w:rsidTr="00720701">
        <w:trPr>
          <w:trHeight w:val="22"/>
        </w:trPr>
        <w:tc>
          <w:tcPr>
            <w:tcW w:w="2992" w:type="dxa"/>
            <w:tcBorders>
              <w:top w:val="nil"/>
              <w:left w:val="nil"/>
              <w:bottom w:val="nil"/>
              <w:right w:val="nil"/>
            </w:tcBorders>
            <w:shd w:val="clear" w:color="auto" w:fill="auto"/>
            <w:noWrap/>
          </w:tcPr>
          <w:p w14:paraId="610770BB"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757C9444" w14:textId="42063D79"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(0.081)</w:t>
            </w:r>
          </w:p>
        </w:tc>
        <w:tc>
          <w:tcPr>
            <w:tcW w:w="1505" w:type="dxa"/>
            <w:tcBorders>
              <w:top w:val="nil"/>
              <w:left w:val="nil"/>
              <w:bottom w:val="nil"/>
              <w:right w:val="single" w:sz="12" w:space="0" w:color="auto"/>
            </w:tcBorders>
          </w:tcPr>
          <w:p w14:paraId="4750E8D8"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06016EEE" w14:textId="483DB3CE"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(0.107)</w:t>
            </w:r>
          </w:p>
        </w:tc>
        <w:tc>
          <w:tcPr>
            <w:tcW w:w="1441" w:type="dxa"/>
            <w:tcBorders>
              <w:top w:val="nil"/>
              <w:bottom w:val="nil"/>
              <w:right w:val="single" w:sz="12" w:space="0" w:color="auto"/>
            </w:tcBorders>
          </w:tcPr>
          <w:p w14:paraId="00094661"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7EDDA744" w14:textId="3203461A"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(0.098)</w:t>
            </w:r>
          </w:p>
        </w:tc>
        <w:tc>
          <w:tcPr>
            <w:tcW w:w="1433" w:type="dxa"/>
            <w:tcBorders>
              <w:top w:val="nil"/>
              <w:left w:val="nil"/>
              <w:bottom w:val="nil"/>
            </w:tcBorders>
          </w:tcPr>
          <w:p w14:paraId="1866C61B"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7719819D" w14:textId="77777777" w:rsidTr="00720701">
        <w:trPr>
          <w:trHeight w:val="22"/>
        </w:trPr>
        <w:tc>
          <w:tcPr>
            <w:tcW w:w="2992" w:type="dxa"/>
            <w:tcBorders>
              <w:top w:val="nil"/>
              <w:left w:val="nil"/>
              <w:bottom w:val="nil"/>
              <w:right w:val="nil"/>
            </w:tcBorders>
            <w:shd w:val="clear" w:color="auto" w:fill="auto"/>
            <w:noWrap/>
          </w:tcPr>
          <w:p w14:paraId="3110080D"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Communication</w:t>
            </w:r>
          </w:p>
        </w:tc>
        <w:tc>
          <w:tcPr>
            <w:tcW w:w="1252" w:type="dxa"/>
            <w:tcBorders>
              <w:top w:val="nil"/>
              <w:left w:val="nil"/>
              <w:bottom w:val="nil"/>
              <w:right w:val="nil"/>
            </w:tcBorders>
            <w:shd w:val="clear" w:color="auto" w:fill="auto"/>
            <w:noWrap/>
          </w:tcPr>
          <w:p w14:paraId="4F11B802" w14:textId="0563A35A"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0.200***</w:t>
            </w:r>
          </w:p>
        </w:tc>
        <w:tc>
          <w:tcPr>
            <w:tcW w:w="1505" w:type="dxa"/>
            <w:tcBorders>
              <w:top w:val="nil"/>
              <w:left w:val="nil"/>
              <w:bottom w:val="nil"/>
              <w:right w:val="single" w:sz="12" w:space="0" w:color="auto"/>
            </w:tcBorders>
          </w:tcPr>
          <w:p w14:paraId="75CD0408"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5520A8E8" w14:textId="495BA83F"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0.239***</w:t>
            </w:r>
          </w:p>
        </w:tc>
        <w:tc>
          <w:tcPr>
            <w:tcW w:w="1441" w:type="dxa"/>
            <w:tcBorders>
              <w:top w:val="nil"/>
              <w:bottom w:val="nil"/>
              <w:right w:val="single" w:sz="12" w:space="0" w:color="auto"/>
            </w:tcBorders>
          </w:tcPr>
          <w:p w14:paraId="60FCABD0"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58583B1B" w14:textId="52ECFC0A"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-0.225*</w:t>
            </w:r>
          </w:p>
        </w:tc>
        <w:tc>
          <w:tcPr>
            <w:tcW w:w="1433" w:type="dxa"/>
            <w:tcBorders>
              <w:top w:val="nil"/>
              <w:left w:val="nil"/>
              <w:bottom w:val="nil"/>
            </w:tcBorders>
          </w:tcPr>
          <w:p w14:paraId="4BE04DE7"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72E91609" w14:textId="77777777" w:rsidTr="00720701">
        <w:trPr>
          <w:trHeight w:val="22"/>
        </w:trPr>
        <w:tc>
          <w:tcPr>
            <w:tcW w:w="2992" w:type="dxa"/>
            <w:tcBorders>
              <w:top w:val="nil"/>
              <w:left w:val="nil"/>
              <w:bottom w:val="nil"/>
              <w:right w:val="nil"/>
            </w:tcBorders>
            <w:shd w:val="clear" w:color="auto" w:fill="auto"/>
            <w:noWrap/>
          </w:tcPr>
          <w:p w14:paraId="288E570D"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77AE60AA" w14:textId="3E5FD39F"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(0.077)</w:t>
            </w:r>
          </w:p>
        </w:tc>
        <w:tc>
          <w:tcPr>
            <w:tcW w:w="1505" w:type="dxa"/>
            <w:tcBorders>
              <w:top w:val="nil"/>
              <w:left w:val="nil"/>
              <w:bottom w:val="nil"/>
              <w:right w:val="single" w:sz="12" w:space="0" w:color="auto"/>
            </w:tcBorders>
          </w:tcPr>
          <w:p w14:paraId="77BF5CE1"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035B1F26" w14:textId="5AC9EE70"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(0.076)</w:t>
            </w:r>
          </w:p>
        </w:tc>
        <w:tc>
          <w:tcPr>
            <w:tcW w:w="1441" w:type="dxa"/>
            <w:tcBorders>
              <w:top w:val="nil"/>
              <w:bottom w:val="nil"/>
              <w:right w:val="single" w:sz="12" w:space="0" w:color="auto"/>
            </w:tcBorders>
          </w:tcPr>
          <w:p w14:paraId="59C6AE93"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362418F7" w14:textId="283B9286"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(0.131)</w:t>
            </w:r>
          </w:p>
        </w:tc>
        <w:tc>
          <w:tcPr>
            <w:tcW w:w="1433" w:type="dxa"/>
            <w:tcBorders>
              <w:top w:val="nil"/>
              <w:left w:val="nil"/>
              <w:bottom w:val="nil"/>
            </w:tcBorders>
          </w:tcPr>
          <w:p w14:paraId="21DE9439"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3B68AF78" w14:textId="77777777" w:rsidTr="00720701">
        <w:trPr>
          <w:trHeight w:val="22"/>
        </w:trPr>
        <w:tc>
          <w:tcPr>
            <w:tcW w:w="2992" w:type="dxa"/>
            <w:tcBorders>
              <w:top w:val="nil"/>
              <w:left w:val="nil"/>
              <w:bottom w:val="nil"/>
              <w:right w:val="nil"/>
            </w:tcBorders>
            <w:shd w:val="clear" w:color="auto" w:fill="auto"/>
            <w:noWrap/>
          </w:tcPr>
          <w:p w14:paraId="72FF5479"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Information Technology</w:t>
            </w:r>
          </w:p>
        </w:tc>
        <w:tc>
          <w:tcPr>
            <w:tcW w:w="1252" w:type="dxa"/>
            <w:tcBorders>
              <w:top w:val="nil"/>
              <w:left w:val="nil"/>
              <w:bottom w:val="nil"/>
              <w:right w:val="nil"/>
            </w:tcBorders>
            <w:shd w:val="clear" w:color="auto" w:fill="auto"/>
            <w:noWrap/>
          </w:tcPr>
          <w:p w14:paraId="485893E0" w14:textId="0EE62116"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0.017</w:t>
            </w:r>
          </w:p>
        </w:tc>
        <w:tc>
          <w:tcPr>
            <w:tcW w:w="1505" w:type="dxa"/>
            <w:tcBorders>
              <w:top w:val="nil"/>
              <w:left w:val="nil"/>
              <w:bottom w:val="nil"/>
              <w:right w:val="single" w:sz="12" w:space="0" w:color="auto"/>
            </w:tcBorders>
          </w:tcPr>
          <w:p w14:paraId="092DE433"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40983A9D" w14:textId="4B2CD977"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-0.377***</w:t>
            </w:r>
          </w:p>
        </w:tc>
        <w:tc>
          <w:tcPr>
            <w:tcW w:w="1441" w:type="dxa"/>
            <w:tcBorders>
              <w:top w:val="nil"/>
              <w:bottom w:val="nil"/>
              <w:right w:val="single" w:sz="12" w:space="0" w:color="auto"/>
            </w:tcBorders>
          </w:tcPr>
          <w:p w14:paraId="2B0D7AD1"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3F2D7F57" w14:textId="58B01B59"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0.161*</w:t>
            </w:r>
          </w:p>
        </w:tc>
        <w:tc>
          <w:tcPr>
            <w:tcW w:w="1433" w:type="dxa"/>
            <w:tcBorders>
              <w:top w:val="nil"/>
              <w:left w:val="nil"/>
              <w:bottom w:val="nil"/>
            </w:tcBorders>
          </w:tcPr>
          <w:p w14:paraId="4F7AF729"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69224F26" w14:textId="77777777" w:rsidTr="00720701">
        <w:trPr>
          <w:trHeight w:val="22"/>
        </w:trPr>
        <w:tc>
          <w:tcPr>
            <w:tcW w:w="2992" w:type="dxa"/>
            <w:tcBorders>
              <w:top w:val="nil"/>
              <w:left w:val="nil"/>
              <w:bottom w:val="nil"/>
              <w:right w:val="nil"/>
            </w:tcBorders>
            <w:shd w:val="clear" w:color="auto" w:fill="auto"/>
            <w:noWrap/>
          </w:tcPr>
          <w:p w14:paraId="3A2064B0"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07C38277" w14:textId="073FDFFF"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(0.065)</w:t>
            </w:r>
          </w:p>
        </w:tc>
        <w:tc>
          <w:tcPr>
            <w:tcW w:w="1505" w:type="dxa"/>
            <w:tcBorders>
              <w:top w:val="nil"/>
              <w:left w:val="nil"/>
              <w:bottom w:val="nil"/>
              <w:right w:val="single" w:sz="12" w:space="0" w:color="auto"/>
            </w:tcBorders>
          </w:tcPr>
          <w:p w14:paraId="7270D07E"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6CFB53A1" w14:textId="0A8C6FE2"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(0.073)</w:t>
            </w:r>
          </w:p>
        </w:tc>
        <w:tc>
          <w:tcPr>
            <w:tcW w:w="1441" w:type="dxa"/>
            <w:tcBorders>
              <w:top w:val="nil"/>
              <w:bottom w:val="nil"/>
              <w:right w:val="single" w:sz="12" w:space="0" w:color="auto"/>
            </w:tcBorders>
          </w:tcPr>
          <w:p w14:paraId="00C42A06"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008CD644" w14:textId="2668D8EE"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(0.096)</w:t>
            </w:r>
          </w:p>
        </w:tc>
        <w:tc>
          <w:tcPr>
            <w:tcW w:w="1433" w:type="dxa"/>
            <w:tcBorders>
              <w:top w:val="nil"/>
              <w:left w:val="nil"/>
              <w:bottom w:val="nil"/>
            </w:tcBorders>
          </w:tcPr>
          <w:p w14:paraId="36049704"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45A81356" w14:textId="77777777" w:rsidTr="00720701">
        <w:trPr>
          <w:trHeight w:val="22"/>
        </w:trPr>
        <w:tc>
          <w:tcPr>
            <w:tcW w:w="2992" w:type="dxa"/>
            <w:tcBorders>
              <w:top w:val="nil"/>
              <w:left w:val="nil"/>
              <w:bottom w:val="nil"/>
              <w:right w:val="nil"/>
            </w:tcBorders>
            <w:shd w:val="clear" w:color="auto" w:fill="auto"/>
            <w:noWrap/>
          </w:tcPr>
          <w:p w14:paraId="64435C77"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Consumer Discretionary</w:t>
            </w:r>
          </w:p>
        </w:tc>
        <w:tc>
          <w:tcPr>
            <w:tcW w:w="1252" w:type="dxa"/>
            <w:tcBorders>
              <w:top w:val="nil"/>
              <w:left w:val="nil"/>
              <w:bottom w:val="nil"/>
              <w:right w:val="nil"/>
            </w:tcBorders>
            <w:shd w:val="clear" w:color="auto" w:fill="auto"/>
            <w:noWrap/>
          </w:tcPr>
          <w:p w14:paraId="073F1E25" w14:textId="42A29F66"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0.093</w:t>
            </w:r>
          </w:p>
        </w:tc>
        <w:tc>
          <w:tcPr>
            <w:tcW w:w="1505" w:type="dxa"/>
            <w:tcBorders>
              <w:top w:val="nil"/>
              <w:left w:val="nil"/>
              <w:bottom w:val="nil"/>
              <w:right w:val="single" w:sz="12" w:space="0" w:color="auto"/>
            </w:tcBorders>
          </w:tcPr>
          <w:p w14:paraId="1B742DE9"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53120D86" w14:textId="29C18AD9"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-0.263***</w:t>
            </w:r>
          </w:p>
        </w:tc>
        <w:tc>
          <w:tcPr>
            <w:tcW w:w="1441" w:type="dxa"/>
            <w:tcBorders>
              <w:top w:val="nil"/>
              <w:bottom w:val="nil"/>
              <w:right w:val="single" w:sz="12" w:space="0" w:color="auto"/>
            </w:tcBorders>
          </w:tcPr>
          <w:p w14:paraId="769DAB43"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19C02486" w14:textId="617CA84E"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33" w:type="dxa"/>
            <w:tcBorders>
              <w:top w:val="nil"/>
              <w:left w:val="nil"/>
              <w:bottom w:val="nil"/>
            </w:tcBorders>
          </w:tcPr>
          <w:p w14:paraId="7B45F3D4"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1D60BE2D" w14:textId="77777777" w:rsidTr="00720701">
        <w:trPr>
          <w:trHeight w:val="22"/>
        </w:trPr>
        <w:tc>
          <w:tcPr>
            <w:tcW w:w="2992" w:type="dxa"/>
            <w:tcBorders>
              <w:top w:val="nil"/>
              <w:left w:val="nil"/>
              <w:bottom w:val="nil"/>
              <w:right w:val="nil"/>
            </w:tcBorders>
            <w:shd w:val="clear" w:color="auto" w:fill="auto"/>
            <w:noWrap/>
          </w:tcPr>
          <w:p w14:paraId="5BFAA5E1"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39BA8833" w14:textId="25DB38F7"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505" w:type="dxa"/>
            <w:tcBorders>
              <w:top w:val="nil"/>
              <w:left w:val="nil"/>
              <w:bottom w:val="nil"/>
              <w:right w:val="single" w:sz="12" w:space="0" w:color="auto"/>
            </w:tcBorders>
          </w:tcPr>
          <w:p w14:paraId="4407CFBD"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7AB95CE0" w14:textId="55289DCA"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(0.062)</w:t>
            </w:r>
          </w:p>
        </w:tc>
        <w:tc>
          <w:tcPr>
            <w:tcW w:w="1441" w:type="dxa"/>
            <w:tcBorders>
              <w:top w:val="nil"/>
              <w:bottom w:val="nil"/>
              <w:right w:val="single" w:sz="12" w:space="0" w:color="auto"/>
            </w:tcBorders>
          </w:tcPr>
          <w:p w14:paraId="342CE7B3"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39C18E47" w14:textId="0666ABBA"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(0.091)</w:t>
            </w:r>
          </w:p>
        </w:tc>
        <w:tc>
          <w:tcPr>
            <w:tcW w:w="1433" w:type="dxa"/>
            <w:tcBorders>
              <w:top w:val="nil"/>
              <w:left w:val="nil"/>
              <w:bottom w:val="nil"/>
            </w:tcBorders>
          </w:tcPr>
          <w:p w14:paraId="517C01E0"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1455CE1C" w14:textId="77777777" w:rsidTr="00720701">
        <w:trPr>
          <w:trHeight w:val="22"/>
        </w:trPr>
        <w:tc>
          <w:tcPr>
            <w:tcW w:w="2992" w:type="dxa"/>
            <w:tcBorders>
              <w:top w:val="nil"/>
              <w:left w:val="nil"/>
              <w:bottom w:val="nil"/>
              <w:right w:val="nil"/>
            </w:tcBorders>
            <w:shd w:val="clear" w:color="auto" w:fill="auto"/>
            <w:noWrap/>
          </w:tcPr>
          <w:p w14:paraId="236C88FC"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Industry</w:t>
            </w:r>
          </w:p>
        </w:tc>
        <w:tc>
          <w:tcPr>
            <w:tcW w:w="1252" w:type="dxa"/>
            <w:tcBorders>
              <w:top w:val="nil"/>
              <w:left w:val="nil"/>
              <w:bottom w:val="nil"/>
              <w:right w:val="nil"/>
            </w:tcBorders>
            <w:shd w:val="clear" w:color="auto" w:fill="auto"/>
            <w:noWrap/>
          </w:tcPr>
          <w:p w14:paraId="15CFEDB6" w14:textId="3A7F8AFD"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-0.115</w:t>
            </w:r>
          </w:p>
        </w:tc>
        <w:tc>
          <w:tcPr>
            <w:tcW w:w="1505" w:type="dxa"/>
            <w:tcBorders>
              <w:top w:val="nil"/>
              <w:left w:val="nil"/>
              <w:bottom w:val="nil"/>
              <w:right w:val="single" w:sz="12" w:space="0" w:color="auto"/>
            </w:tcBorders>
          </w:tcPr>
          <w:p w14:paraId="64DF2180"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5F152927" w14:textId="5D92FF6B"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0.137*</w:t>
            </w:r>
          </w:p>
        </w:tc>
        <w:tc>
          <w:tcPr>
            <w:tcW w:w="1441" w:type="dxa"/>
            <w:tcBorders>
              <w:top w:val="nil"/>
              <w:bottom w:val="nil"/>
              <w:right w:val="single" w:sz="12" w:space="0" w:color="auto"/>
            </w:tcBorders>
          </w:tcPr>
          <w:p w14:paraId="49D8AE76"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18A9B0EC" w14:textId="63C76711"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-0.491***</w:t>
            </w:r>
          </w:p>
        </w:tc>
        <w:tc>
          <w:tcPr>
            <w:tcW w:w="1433" w:type="dxa"/>
            <w:tcBorders>
              <w:top w:val="nil"/>
              <w:left w:val="nil"/>
              <w:bottom w:val="nil"/>
            </w:tcBorders>
          </w:tcPr>
          <w:p w14:paraId="40F50F39"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191A07AF" w14:textId="77777777" w:rsidTr="00720701">
        <w:trPr>
          <w:trHeight w:val="22"/>
        </w:trPr>
        <w:tc>
          <w:tcPr>
            <w:tcW w:w="2992" w:type="dxa"/>
            <w:tcBorders>
              <w:top w:val="nil"/>
              <w:left w:val="nil"/>
              <w:bottom w:val="nil"/>
              <w:right w:val="nil"/>
            </w:tcBorders>
            <w:shd w:val="clear" w:color="auto" w:fill="auto"/>
            <w:noWrap/>
          </w:tcPr>
          <w:p w14:paraId="3AD0B7D4"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74290792" w14:textId="146EF2F5"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(0.073)</w:t>
            </w:r>
          </w:p>
        </w:tc>
        <w:tc>
          <w:tcPr>
            <w:tcW w:w="1505" w:type="dxa"/>
            <w:tcBorders>
              <w:top w:val="nil"/>
              <w:left w:val="nil"/>
              <w:bottom w:val="nil"/>
              <w:right w:val="single" w:sz="12" w:space="0" w:color="auto"/>
            </w:tcBorders>
          </w:tcPr>
          <w:p w14:paraId="651457C9"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58789BA6" w14:textId="7EA89FBC"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(0.071)</w:t>
            </w:r>
          </w:p>
        </w:tc>
        <w:tc>
          <w:tcPr>
            <w:tcW w:w="1441" w:type="dxa"/>
            <w:tcBorders>
              <w:top w:val="nil"/>
              <w:bottom w:val="nil"/>
              <w:right w:val="single" w:sz="12" w:space="0" w:color="auto"/>
            </w:tcBorders>
          </w:tcPr>
          <w:p w14:paraId="25F82325"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3B69153D" w14:textId="24D0E52C"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(0.130)</w:t>
            </w:r>
          </w:p>
        </w:tc>
        <w:tc>
          <w:tcPr>
            <w:tcW w:w="1433" w:type="dxa"/>
            <w:tcBorders>
              <w:top w:val="nil"/>
              <w:left w:val="nil"/>
              <w:bottom w:val="nil"/>
            </w:tcBorders>
          </w:tcPr>
          <w:p w14:paraId="496093FC"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61C9DDFE" w14:textId="77777777" w:rsidTr="00720701">
        <w:trPr>
          <w:trHeight w:val="22"/>
        </w:trPr>
        <w:tc>
          <w:tcPr>
            <w:tcW w:w="2992" w:type="dxa"/>
            <w:tcBorders>
              <w:top w:val="nil"/>
              <w:left w:val="nil"/>
              <w:bottom w:val="nil"/>
              <w:right w:val="nil"/>
            </w:tcBorders>
            <w:shd w:val="clear" w:color="auto" w:fill="auto"/>
            <w:noWrap/>
          </w:tcPr>
          <w:p w14:paraId="16A595F3"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Energy</w:t>
            </w:r>
          </w:p>
        </w:tc>
        <w:tc>
          <w:tcPr>
            <w:tcW w:w="1252" w:type="dxa"/>
            <w:tcBorders>
              <w:top w:val="nil"/>
              <w:left w:val="nil"/>
              <w:bottom w:val="nil"/>
              <w:right w:val="nil"/>
            </w:tcBorders>
            <w:shd w:val="clear" w:color="auto" w:fill="auto"/>
            <w:noWrap/>
          </w:tcPr>
          <w:p w14:paraId="697648CB" w14:textId="547ABA02"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-0.219***</w:t>
            </w:r>
          </w:p>
        </w:tc>
        <w:tc>
          <w:tcPr>
            <w:tcW w:w="1505" w:type="dxa"/>
            <w:tcBorders>
              <w:top w:val="nil"/>
              <w:left w:val="nil"/>
              <w:bottom w:val="nil"/>
              <w:right w:val="single" w:sz="12" w:space="0" w:color="auto"/>
            </w:tcBorders>
          </w:tcPr>
          <w:p w14:paraId="79D37274"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3FDABCC2" w14:textId="2356F66D"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-0.508***</w:t>
            </w:r>
          </w:p>
        </w:tc>
        <w:tc>
          <w:tcPr>
            <w:tcW w:w="1441" w:type="dxa"/>
            <w:tcBorders>
              <w:top w:val="nil"/>
              <w:bottom w:val="nil"/>
              <w:right w:val="single" w:sz="12" w:space="0" w:color="auto"/>
            </w:tcBorders>
          </w:tcPr>
          <w:p w14:paraId="4588389E"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15F0CC95" w14:textId="4E28E091"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-0.434***</w:t>
            </w:r>
          </w:p>
        </w:tc>
        <w:tc>
          <w:tcPr>
            <w:tcW w:w="1433" w:type="dxa"/>
            <w:tcBorders>
              <w:top w:val="nil"/>
              <w:left w:val="nil"/>
              <w:bottom w:val="nil"/>
            </w:tcBorders>
          </w:tcPr>
          <w:p w14:paraId="51E53909"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069C2F55" w14:textId="77777777" w:rsidTr="00720701">
        <w:trPr>
          <w:trHeight w:val="22"/>
        </w:trPr>
        <w:tc>
          <w:tcPr>
            <w:tcW w:w="2992" w:type="dxa"/>
            <w:tcBorders>
              <w:top w:val="nil"/>
              <w:left w:val="nil"/>
              <w:bottom w:val="nil"/>
              <w:right w:val="nil"/>
            </w:tcBorders>
            <w:shd w:val="clear" w:color="auto" w:fill="auto"/>
            <w:noWrap/>
          </w:tcPr>
          <w:p w14:paraId="18563D4E"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3F7A9F9E" w14:textId="1A85C9F8"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(0.076)</w:t>
            </w:r>
          </w:p>
        </w:tc>
        <w:tc>
          <w:tcPr>
            <w:tcW w:w="1505" w:type="dxa"/>
            <w:tcBorders>
              <w:top w:val="nil"/>
              <w:left w:val="nil"/>
              <w:bottom w:val="nil"/>
              <w:right w:val="single" w:sz="12" w:space="0" w:color="auto"/>
            </w:tcBorders>
          </w:tcPr>
          <w:p w14:paraId="5E4A58C6"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653C7EBE" w14:textId="43131BD7"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(0.085)</w:t>
            </w:r>
          </w:p>
        </w:tc>
        <w:tc>
          <w:tcPr>
            <w:tcW w:w="1441" w:type="dxa"/>
            <w:tcBorders>
              <w:top w:val="nil"/>
              <w:bottom w:val="nil"/>
              <w:right w:val="single" w:sz="12" w:space="0" w:color="auto"/>
            </w:tcBorders>
          </w:tcPr>
          <w:p w14:paraId="5CD71E8E"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43BC1E21" w14:textId="46D21E96"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(0.132)</w:t>
            </w:r>
          </w:p>
        </w:tc>
        <w:tc>
          <w:tcPr>
            <w:tcW w:w="1433" w:type="dxa"/>
            <w:tcBorders>
              <w:top w:val="nil"/>
              <w:left w:val="nil"/>
              <w:bottom w:val="nil"/>
            </w:tcBorders>
          </w:tcPr>
          <w:p w14:paraId="22DCAB16"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4796702A" w14:textId="77777777" w:rsidTr="00720701">
        <w:trPr>
          <w:trHeight w:val="22"/>
        </w:trPr>
        <w:tc>
          <w:tcPr>
            <w:tcW w:w="2992" w:type="dxa"/>
            <w:tcBorders>
              <w:top w:val="nil"/>
              <w:left w:val="nil"/>
              <w:bottom w:val="nil"/>
              <w:right w:val="nil"/>
            </w:tcBorders>
            <w:shd w:val="clear" w:color="auto" w:fill="auto"/>
            <w:noWrap/>
          </w:tcPr>
          <w:p w14:paraId="30D0762B"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Utilities</w:t>
            </w:r>
          </w:p>
        </w:tc>
        <w:tc>
          <w:tcPr>
            <w:tcW w:w="1252" w:type="dxa"/>
            <w:tcBorders>
              <w:top w:val="nil"/>
              <w:left w:val="nil"/>
              <w:bottom w:val="nil"/>
              <w:right w:val="nil"/>
            </w:tcBorders>
            <w:shd w:val="clear" w:color="auto" w:fill="auto"/>
            <w:noWrap/>
          </w:tcPr>
          <w:p w14:paraId="4852227E" w14:textId="72EB1ECC"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0.068</w:t>
            </w:r>
          </w:p>
        </w:tc>
        <w:tc>
          <w:tcPr>
            <w:tcW w:w="1505" w:type="dxa"/>
            <w:tcBorders>
              <w:top w:val="nil"/>
              <w:left w:val="nil"/>
              <w:bottom w:val="nil"/>
              <w:right w:val="single" w:sz="12" w:space="0" w:color="auto"/>
            </w:tcBorders>
          </w:tcPr>
          <w:p w14:paraId="12021192"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7468C0B0" w14:textId="12C96F53"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-0.201***</w:t>
            </w:r>
          </w:p>
        </w:tc>
        <w:tc>
          <w:tcPr>
            <w:tcW w:w="1441" w:type="dxa"/>
            <w:tcBorders>
              <w:top w:val="nil"/>
              <w:bottom w:val="nil"/>
              <w:right w:val="single" w:sz="12" w:space="0" w:color="auto"/>
            </w:tcBorders>
          </w:tcPr>
          <w:p w14:paraId="71B5180B"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4B6864CB" w14:textId="53B752D7"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-0.183</w:t>
            </w:r>
          </w:p>
        </w:tc>
        <w:tc>
          <w:tcPr>
            <w:tcW w:w="1433" w:type="dxa"/>
            <w:tcBorders>
              <w:top w:val="nil"/>
              <w:left w:val="nil"/>
              <w:bottom w:val="nil"/>
            </w:tcBorders>
          </w:tcPr>
          <w:p w14:paraId="7EEF90E4"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03929B6F" w14:textId="77777777" w:rsidTr="00720701">
        <w:trPr>
          <w:trHeight w:val="22"/>
        </w:trPr>
        <w:tc>
          <w:tcPr>
            <w:tcW w:w="2992" w:type="dxa"/>
            <w:tcBorders>
              <w:top w:val="nil"/>
              <w:left w:val="nil"/>
              <w:bottom w:val="nil"/>
              <w:right w:val="nil"/>
            </w:tcBorders>
            <w:shd w:val="clear" w:color="auto" w:fill="auto"/>
            <w:noWrap/>
          </w:tcPr>
          <w:p w14:paraId="7159E67A"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20EBD3C1" w14:textId="21739CBE"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(0.072)</w:t>
            </w:r>
          </w:p>
        </w:tc>
        <w:tc>
          <w:tcPr>
            <w:tcW w:w="1505" w:type="dxa"/>
            <w:tcBorders>
              <w:top w:val="nil"/>
              <w:left w:val="nil"/>
              <w:bottom w:val="nil"/>
              <w:right w:val="single" w:sz="12" w:space="0" w:color="auto"/>
            </w:tcBorders>
          </w:tcPr>
          <w:p w14:paraId="1227494A"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08335BE0" w14:textId="78AD57F9"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(0.077)</w:t>
            </w:r>
          </w:p>
        </w:tc>
        <w:tc>
          <w:tcPr>
            <w:tcW w:w="1441" w:type="dxa"/>
            <w:tcBorders>
              <w:top w:val="nil"/>
              <w:bottom w:val="nil"/>
              <w:right w:val="single" w:sz="12" w:space="0" w:color="auto"/>
            </w:tcBorders>
          </w:tcPr>
          <w:p w14:paraId="3558587F"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1947DBDA" w14:textId="6F04FCC0"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(0.118)</w:t>
            </w:r>
          </w:p>
        </w:tc>
        <w:tc>
          <w:tcPr>
            <w:tcW w:w="1433" w:type="dxa"/>
            <w:tcBorders>
              <w:top w:val="nil"/>
              <w:left w:val="nil"/>
              <w:bottom w:val="nil"/>
            </w:tcBorders>
          </w:tcPr>
          <w:p w14:paraId="74C9FA42"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0237F9C0" w14:textId="77777777" w:rsidTr="00720701">
        <w:trPr>
          <w:trHeight w:val="22"/>
        </w:trPr>
        <w:tc>
          <w:tcPr>
            <w:tcW w:w="2992" w:type="dxa"/>
            <w:tcBorders>
              <w:top w:val="nil"/>
              <w:left w:val="nil"/>
              <w:bottom w:val="nil"/>
              <w:right w:val="nil"/>
            </w:tcBorders>
            <w:shd w:val="clear" w:color="auto" w:fill="auto"/>
            <w:noWrap/>
          </w:tcPr>
          <w:p w14:paraId="2A61A2B4" w14:textId="77777777" w:rsidR="00EA506A" w:rsidRPr="00EE533D" w:rsidRDefault="00EA506A" w:rsidP="00EA506A">
            <w:pPr>
              <w:spacing w:after="0" w:line="240" w:lineRule="auto"/>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Sector: Health Care</w:t>
            </w:r>
          </w:p>
        </w:tc>
        <w:tc>
          <w:tcPr>
            <w:tcW w:w="1252" w:type="dxa"/>
            <w:tcBorders>
              <w:top w:val="nil"/>
              <w:left w:val="nil"/>
              <w:bottom w:val="nil"/>
              <w:right w:val="nil"/>
            </w:tcBorders>
            <w:shd w:val="clear" w:color="auto" w:fill="auto"/>
            <w:noWrap/>
          </w:tcPr>
          <w:p w14:paraId="7EABA1C3" w14:textId="1A76F6AE"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505" w:type="dxa"/>
            <w:tcBorders>
              <w:top w:val="nil"/>
              <w:left w:val="nil"/>
              <w:bottom w:val="nil"/>
              <w:right w:val="single" w:sz="12" w:space="0" w:color="auto"/>
            </w:tcBorders>
          </w:tcPr>
          <w:p w14:paraId="1969B5E5"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0773D601" w14:textId="160EEAAA"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-0.016***</w:t>
            </w:r>
          </w:p>
        </w:tc>
        <w:tc>
          <w:tcPr>
            <w:tcW w:w="1441" w:type="dxa"/>
            <w:tcBorders>
              <w:top w:val="nil"/>
              <w:bottom w:val="nil"/>
              <w:right w:val="single" w:sz="12" w:space="0" w:color="auto"/>
            </w:tcBorders>
          </w:tcPr>
          <w:p w14:paraId="01E5A69B"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62352B4C" w14:textId="090215DB"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3" w:type="dxa"/>
            <w:tcBorders>
              <w:top w:val="nil"/>
              <w:left w:val="nil"/>
              <w:bottom w:val="nil"/>
            </w:tcBorders>
          </w:tcPr>
          <w:p w14:paraId="2CCAFC26"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1109A1CB" w14:textId="77777777" w:rsidTr="00720701">
        <w:trPr>
          <w:trHeight w:val="22"/>
        </w:trPr>
        <w:tc>
          <w:tcPr>
            <w:tcW w:w="2992" w:type="dxa"/>
            <w:tcBorders>
              <w:top w:val="nil"/>
              <w:left w:val="nil"/>
              <w:bottom w:val="nil"/>
              <w:right w:val="nil"/>
            </w:tcBorders>
            <w:shd w:val="clear" w:color="auto" w:fill="auto"/>
            <w:noWrap/>
          </w:tcPr>
          <w:p w14:paraId="3874FA37" w14:textId="77777777" w:rsidR="00EA506A" w:rsidRPr="00EE533D" w:rsidRDefault="00EA506A" w:rsidP="00EA506A">
            <w:pPr>
              <w:spacing w:after="0" w:line="240" w:lineRule="auto"/>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7AAFE40D" w14:textId="5F9D7A7C" w:rsidR="00EA506A" w:rsidRPr="00EE533D" w:rsidRDefault="00EA506A" w:rsidP="00EA506A">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48CCAFEC" w14:textId="77777777" w:rsidR="00EA506A" w:rsidRPr="00EE533D" w:rsidRDefault="00EA506A" w:rsidP="00EA506A">
            <w:pPr>
              <w:tabs>
                <w:tab w:val="decimal" w:pos="593"/>
              </w:tabs>
              <w:spacing w:after="0" w:line="240" w:lineRule="auto"/>
              <w:rPr>
                <w:rFonts w:ascii="Times New Roman" w:hAnsi="Times New Roman" w:cs="Times New Roman"/>
                <w:sz w:val="14"/>
                <w:szCs w:val="14"/>
                <w:lang w:val="en-GB"/>
              </w:rPr>
            </w:pPr>
          </w:p>
        </w:tc>
        <w:tc>
          <w:tcPr>
            <w:tcW w:w="1403" w:type="dxa"/>
            <w:tcBorders>
              <w:top w:val="nil"/>
              <w:left w:val="single" w:sz="12" w:space="0" w:color="auto"/>
              <w:bottom w:val="nil"/>
            </w:tcBorders>
            <w:shd w:val="clear" w:color="auto" w:fill="auto"/>
            <w:noWrap/>
          </w:tcPr>
          <w:p w14:paraId="6F85CB78" w14:textId="0FC8E390" w:rsidR="00EA506A" w:rsidRPr="00EE533D" w:rsidRDefault="00EA506A" w:rsidP="00EA506A">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41" w:type="dxa"/>
            <w:tcBorders>
              <w:top w:val="nil"/>
              <w:bottom w:val="nil"/>
              <w:right w:val="single" w:sz="12" w:space="0" w:color="auto"/>
            </w:tcBorders>
          </w:tcPr>
          <w:p w14:paraId="7ADBB985" w14:textId="77777777" w:rsidR="00EA506A" w:rsidRPr="00EE533D" w:rsidRDefault="00EA506A" w:rsidP="00EA506A">
            <w:pPr>
              <w:tabs>
                <w:tab w:val="decimal" w:pos="527"/>
              </w:tabs>
              <w:spacing w:after="0" w:line="240" w:lineRule="auto"/>
              <w:rPr>
                <w:rFonts w:ascii="Times New Roman" w:hAnsi="Times New Roman" w:cs="Times New Roman"/>
                <w:sz w:val="14"/>
                <w:szCs w:val="14"/>
                <w:lang w:val="en-GB"/>
              </w:rPr>
            </w:pPr>
          </w:p>
        </w:tc>
        <w:tc>
          <w:tcPr>
            <w:tcW w:w="1397" w:type="dxa"/>
            <w:tcBorders>
              <w:top w:val="nil"/>
              <w:left w:val="single" w:sz="12" w:space="0" w:color="auto"/>
              <w:bottom w:val="nil"/>
              <w:right w:val="nil"/>
            </w:tcBorders>
          </w:tcPr>
          <w:p w14:paraId="5A691821" w14:textId="0695351F" w:rsidR="00EA506A" w:rsidRPr="00EE533D" w:rsidRDefault="00EA506A" w:rsidP="00EA506A">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3" w:type="dxa"/>
            <w:tcBorders>
              <w:top w:val="nil"/>
              <w:left w:val="nil"/>
              <w:bottom w:val="nil"/>
            </w:tcBorders>
          </w:tcPr>
          <w:p w14:paraId="0CCF8AB9" w14:textId="77777777" w:rsidR="00EA506A" w:rsidRPr="00EE533D" w:rsidRDefault="00EA506A" w:rsidP="00EA506A">
            <w:pPr>
              <w:tabs>
                <w:tab w:val="decimal" w:pos="520"/>
              </w:tabs>
              <w:spacing w:after="0" w:line="240" w:lineRule="auto"/>
              <w:rPr>
                <w:rFonts w:ascii="Times New Roman" w:hAnsi="Times New Roman" w:cs="Times New Roman"/>
                <w:sz w:val="14"/>
                <w:szCs w:val="14"/>
                <w:lang w:val="en-GB"/>
              </w:rPr>
            </w:pPr>
          </w:p>
        </w:tc>
      </w:tr>
      <w:tr w:rsidR="00EE533D" w:rsidRPr="00EE533D" w14:paraId="4C71E64C" w14:textId="77777777" w:rsidTr="00720701">
        <w:trPr>
          <w:trHeight w:val="22"/>
        </w:trPr>
        <w:tc>
          <w:tcPr>
            <w:tcW w:w="2992" w:type="dxa"/>
            <w:tcBorders>
              <w:top w:val="nil"/>
              <w:left w:val="nil"/>
              <w:bottom w:val="nil"/>
              <w:right w:val="nil"/>
            </w:tcBorders>
            <w:shd w:val="clear" w:color="auto" w:fill="auto"/>
            <w:noWrap/>
          </w:tcPr>
          <w:p w14:paraId="3990A045" w14:textId="554F38CB" w:rsidR="00575BAF" w:rsidRPr="00EE533D" w:rsidRDefault="00575BAF" w:rsidP="00575BAF">
            <w:pPr>
              <w:spacing w:after="0" w:line="240" w:lineRule="auto"/>
              <w:jc w:val="center"/>
              <w:rPr>
                <w:rFonts w:ascii="Times New Roman" w:eastAsia="Times New Roman" w:hAnsi="Times New Roman" w:cs="Times New Roman"/>
                <w:sz w:val="14"/>
                <w:szCs w:val="14"/>
                <w:vertAlign w:val="subscript"/>
                <w:lang w:val="en-GB"/>
              </w:rPr>
            </w:pPr>
            <w:r w:rsidRPr="00EE533D">
              <w:rPr>
                <w:rFonts w:ascii="Times New Roman" w:hAnsi="Times New Roman" w:cs="Times New Roman"/>
                <w:sz w:val="14"/>
                <w:szCs w:val="14"/>
                <w:lang w:val="en-GB"/>
              </w:rPr>
              <w:t xml:space="preserve">Executive Constraints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7C614164" w14:textId="7FF46479"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505" w:type="dxa"/>
            <w:tcBorders>
              <w:top w:val="nil"/>
              <w:left w:val="nil"/>
              <w:bottom w:val="nil"/>
              <w:right w:val="single" w:sz="12" w:space="0" w:color="auto"/>
            </w:tcBorders>
          </w:tcPr>
          <w:p w14:paraId="3A16A0B9" w14:textId="17AD0A8A"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-0.439***</w:t>
            </w:r>
          </w:p>
        </w:tc>
        <w:tc>
          <w:tcPr>
            <w:tcW w:w="1403" w:type="dxa"/>
            <w:tcBorders>
              <w:top w:val="nil"/>
              <w:left w:val="single" w:sz="12" w:space="0" w:color="auto"/>
              <w:bottom w:val="nil"/>
            </w:tcBorders>
            <w:shd w:val="clear" w:color="auto" w:fill="auto"/>
            <w:noWrap/>
          </w:tcPr>
          <w:p w14:paraId="1120BBBE" w14:textId="2048E83C"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41" w:type="dxa"/>
            <w:tcBorders>
              <w:top w:val="nil"/>
              <w:bottom w:val="nil"/>
              <w:right w:val="single" w:sz="12" w:space="0" w:color="auto"/>
            </w:tcBorders>
          </w:tcPr>
          <w:p w14:paraId="2FCF1608" w14:textId="427C9C36"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397" w:type="dxa"/>
            <w:tcBorders>
              <w:top w:val="nil"/>
              <w:left w:val="single" w:sz="12" w:space="0" w:color="auto"/>
              <w:bottom w:val="nil"/>
              <w:right w:val="nil"/>
            </w:tcBorders>
          </w:tcPr>
          <w:p w14:paraId="368CF89D" w14:textId="6323C9F1"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33" w:type="dxa"/>
            <w:tcBorders>
              <w:top w:val="nil"/>
              <w:left w:val="nil"/>
              <w:bottom w:val="nil"/>
            </w:tcBorders>
          </w:tcPr>
          <w:p w14:paraId="592A725B" w14:textId="23900C67"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798DDCB0" w14:textId="77777777" w:rsidTr="00720701">
        <w:trPr>
          <w:trHeight w:val="22"/>
        </w:trPr>
        <w:tc>
          <w:tcPr>
            <w:tcW w:w="2992" w:type="dxa"/>
            <w:tcBorders>
              <w:top w:val="nil"/>
              <w:left w:val="nil"/>
              <w:bottom w:val="nil"/>
              <w:right w:val="nil"/>
            </w:tcBorders>
            <w:shd w:val="clear" w:color="auto" w:fill="auto"/>
            <w:noWrap/>
          </w:tcPr>
          <w:p w14:paraId="489CD843"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44215656" w14:textId="13A3A5F9"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505" w:type="dxa"/>
            <w:tcBorders>
              <w:top w:val="nil"/>
              <w:left w:val="nil"/>
              <w:bottom w:val="nil"/>
              <w:right w:val="single" w:sz="12" w:space="0" w:color="auto"/>
            </w:tcBorders>
          </w:tcPr>
          <w:p w14:paraId="4DF9EC78" w14:textId="36C6F668"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(0.091)</w:t>
            </w:r>
          </w:p>
        </w:tc>
        <w:tc>
          <w:tcPr>
            <w:tcW w:w="1403" w:type="dxa"/>
            <w:tcBorders>
              <w:top w:val="nil"/>
              <w:left w:val="single" w:sz="12" w:space="0" w:color="auto"/>
              <w:bottom w:val="nil"/>
            </w:tcBorders>
            <w:shd w:val="clear" w:color="auto" w:fill="auto"/>
            <w:noWrap/>
          </w:tcPr>
          <w:p w14:paraId="07F19F86" w14:textId="72C13630"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41" w:type="dxa"/>
            <w:tcBorders>
              <w:top w:val="nil"/>
              <w:bottom w:val="nil"/>
              <w:right w:val="single" w:sz="12" w:space="0" w:color="auto"/>
            </w:tcBorders>
          </w:tcPr>
          <w:p w14:paraId="5B8188AE" w14:textId="265F8DB6"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(0.255)</w:t>
            </w:r>
          </w:p>
        </w:tc>
        <w:tc>
          <w:tcPr>
            <w:tcW w:w="1397" w:type="dxa"/>
            <w:tcBorders>
              <w:top w:val="nil"/>
              <w:left w:val="single" w:sz="12" w:space="0" w:color="auto"/>
              <w:bottom w:val="nil"/>
              <w:right w:val="nil"/>
            </w:tcBorders>
          </w:tcPr>
          <w:p w14:paraId="13657379" w14:textId="7B3B2C6B"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33" w:type="dxa"/>
            <w:tcBorders>
              <w:top w:val="nil"/>
              <w:left w:val="nil"/>
              <w:bottom w:val="nil"/>
            </w:tcBorders>
          </w:tcPr>
          <w:p w14:paraId="360BB0E4" w14:textId="5F4870BC"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r>
      <w:tr w:rsidR="00EE533D" w:rsidRPr="00EE533D" w14:paraId="6EF6F942" w14:textId="77777777" w:rsidTr="00720701">
        <w:trPr>
          <w:trHeight w:val="22"/>
        </w:trPr>
        <w:tc>
          <w:tcPr>
            <w:tcW w:w="2992" w:type="dxa"/>
            <w:tcBorders>
              <w:top w:val="nil"/>
              <w:left w:val="nil"/>
              <w:bottom w:val="nil"/>
              <w:right w:val="nil"/>
            </w:tcBorders>
            <w:shd w:val="clear" w:color="auto" w:fill="auto"/>
            <w:noWrap/>
          </w:tcPr>
          <w:p w14:paraId="52583F2D" w14:textId="2454044C"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Political Accountability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1E7C8947" w14:textId="435A011F"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505" w:type="dxa"/>
            <w:tcBorders>
              <w:top w:val="nil"/>
              <w:left w:val="nil"/>
              <w:bottom w:val="nil"/>
              <w:right w:val="single" w:sz="12" w:space="0" w:color="auto"/>
            </w:tcBorders>
          </w:tcPr>
          <w:p w14:paraId="2AAB19CC" w14:textId="1BD9892C"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0.227***</w:t>
            </w:r>
          </w:p>
        </w:tc>
        <w:tc>
          <w:tcPr>
            <w:tcW w:w="1403" w:type="dxa"/>
            <w:tcBorders>
              <w:top w:val="nil"/>
              <w:left w:val="single" w:sz="12" w:space="0" w:color="auto"/>
              <w:bottom w:val="nil"/>
            </w:tcBorders>
            <w:shd w:val="clear" w:color="auto" w:fill="auto"/>
            <w:noWrap/>
          </w:tcPr>
          <w:p w14:paraId="01097903" w14:textId="787B01F2"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0.046***</w:t>
            </w:r>
          </w:p>
        </w:tc>
        <w:tc>
          <w:tcPr>
            <w:tcW w:w="1441" w:type="dxa"/>
            <w:tcBorders>
              <w:top w:val="nil"/>
              <w:bottom w:val="nil"/>
              <w:right w:val="single" w:sz="12" w:space="0" w:color="auto"/>
            </w:tcBorders>
          </w:tcPr>
          <w:p w14:paraId="637409A8" w14:textId="47A3B88B"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-0.379**</w:t>
            </w:r>
          </w:p>
        </w:tc>
        <w:tc>
          <w:tcPr>
            <w:tcW w:w="1397" w:type="dxa"/>
            <w:tcBorders>
              <w:top w:val="nil"/>
              <w:left w:val="single" w:sz="12" w:space="0" w:color="auto"/>
              <w:bottom w:val="nil"/>
              <w:right w:val="nil"/>
            </w:tcBorders>
          </w:tcPr>
          <w:p w14:paraId="75A35A41" w14:textId="073A0ECB"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433" w:type="dxa"/>
            <w:tcBorders>
              <w:top w:val="nil"/>
              <w:left w:val="nil"/>
              <w:bottom w:val="nil"/>
            </w:tcBorders>
          </w:tcPr>
          <w:p w14:paraId="16CA6E52" w14:textId="6C899612"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r>
      <w:tr w:rsidR="00EE533D" w:rsidRPr="00EE533D" w14:paraId="76707252" w14:textId="77777777" w:rsidTr="00720701">
        <w:trPr>
          <w:trHeight w:val="22"/>
        </w:trPr>
        <w:tc>
          <w:tcPr>
            <w:tcW w:w="2992" w:type="dxa"/>
            <w:tcBorders>
              <w:top w:val="nil"/>
              <w:left w:val="nil"/>
              <w:bottom w:val="nil"/>
              <w:right w:val="nil"/>
            </w:tcBorders>
            <w:shd w:val="clear" w:color="auto" w:fill="auto"/>
            <w:noWrap/>
          </w:tcPr>
          <w:p w14:paraId="13C53F08"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10FD8AC" w14:textId="1C5A46DF"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505" w:type="dxa"/>
            <w:tcBorders>
              <w:top w:val="nil"/>
              <w:left w:val="nil"/>
              <w:bottom w:val="nil"/>
              <w:right w:val="single" w:sz="12" w:space="0" w:color="auto"/>
            </w:tcBorders>
          </w:tcPr>
          <w:p w14:paraId="27F7EBE5" w14:textId="7CA776DF"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03" w:type="dxa"/>
            <w:tcBorders>
              <w:top w:val="nil"/>
              <w:left w:val="single" w:sz="12" w:space="0" w:color="auto"/>
              <w:bottom w:val="nil"/>
            </w:tcBorders>
            <w:shd w:val="clear" w:color="auto" w:fill="auto"/>
            <w:noWrap/>
          </w:tcPr>
          <w:p w14:paraId="6D216683" w14:textId="73A4CA8A"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41" w:type="dxa"/>
            <w:tcBorders>
              <w:top w:val="nil"/>
              <w:bottom w:val="nil"/>
              <w:right w:val="single" w:sz="12" w:space="0" w:color="auto"/>
            </w:tcBorders>
          </w:tcPr>
          <w:p w14:paraId="3566A3E1" w14:textId="5ED208CA"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(0.150)</w:t>
            </w:r>
          </w:p>
        </w:tc>
        <w:tc>
          <w:tcPr>
            <w:tcW w:w="1397" w:type="dxa"/>
            <w:tcBorders>
              <w:top w:val="nil"/>
              <w:left w:val="single" w:sz="12" w:space="0" w:color="auto"/>
              <w:bottom w:val="nil"/>
              <w:right w:val="nil"/>
            </w:tcBorders>
          </w:tcPr>
          <w:p w14:paraId="3DA9C4FB" w14:textId="5BA938DA"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3" w:type="dxa"/>
            <w:tcBorders>
              <w:top w:val="nil"/>
              <w:left w:val="nil"/>
              <w:bottom w:val="nil"/>
            </w:tcBorders>
          </w:tcPr>
          <w:p w14:paraId="34F6ADA5" w14:textId="78E2C838"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r>
      <w:tr w:rsidR="00EE533D" w:rsidRPr="00EE533D" w14:paraId="5E36AB72" w14:textId="77777777" w:rsidTr="00720701">
        <w:trPr>
          <w:trHeight w:val="22"/>
        </w:trPr>
        <w:tc>
          <w:tcPr>
            <w:tcW w:w="2992" w:type="dxa"/>
            <w:tcBorders>
              <w:top w:val="nil"/>
              <w:left w:val="nil"/>
              <w:bottom w:val="nil"/>
              <w:right w:val="nil"/>
            </w:tcBorders>
            <w:shd w:val="clear" w:color="auto" w:fill="auto"/>
            <w:noWrap/>
          </w:tcPr>
          <w:p w14:paraId="52DEBCC2" w14:textId="1258D7CF"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Rule of Law (Legatum)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45FC39D0" w14:textId="767EA218"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505" w:type="dxa"/>
            <w:tcBorders>
              <w:top w:val="nil"/>
              <w:left w:val="nil"/>
              <w:bottom w:val="nil"/>
              <w:right w:val="single" w:sz="12" w:space="0" w:color="auto"/>
            </w:tcBorders>
          </w:tcPr>
          <w:p w14:paraId="7842CA82" w14:textId="6BE063F8"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1.306***</w:t>
            </w:r>
          </w:p>
        </w:tc>
        <w:tc>
          <w:tcPr>
            <w:tcW w:w="1403" w:type="dxa"/>
            <w:tcBorders>
              <w:top w:val="nil"/>
              <w:left w:val="single" w:sz="12" w:space="0" w:color="auto"/>
              <w:bottom w:val="nil"/>
            </w:tcBorders>
            <w:shd w:val="clear" w:color="auto" w:fill="auto"/>
            <w:noWrap/>
          </w:tcPr>
          <w:p w14:paraId="355FD749" w14:textId="1F55C018"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c>
          <w:tcPr>
            <w:tcW w:w="1441" w:type="dxa"/>
            <w:tcBorders>
              <w:top w:val="nil"/>
              <w:bottom w:val="nil"/>
              <w:right w:val="single" w:sz="12" w:space="0" w:color="auto"/>
            </w:tcBorders>
          </w:tcPr>
          <w:p w14:paraId="38D2E150" w14:textId="5CD3543D"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-2.075***</w:t>
            </w:r>
          </w:p>
        </w:tc>
        <w:tc>
          <w:tcPr>
            <w:tcW w:w="1397" w:type="dxa"/>
            <w:tcBorders>
              <w:top w:val="nil"/>
              <w:left w:val="single" w:sz="12" w:space="0" w:color="auto"/>
              <w:bottom w:val="nil"/>
              <w:right w:val="nil"/>
            </w:tcBorders>
          </w:tcPr>
          <w:p w14:paraId="0D1A9315" w14:textId="6BDAC4CF"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0.054***</w:t>
            </w:r>
          </w:p>
        </w:tc>
        <w:tc>
          <w:tcPr>
            <w:tcW w:w="1433" w:type="dxa"/>
            <w:tcBorders>
              <w:top w:val="nil"/>
              <w:left w:val="nil"/>
              <w:bottom w:val="nil"/>
            </w:tcBorders>
          </w:tcPr>
          <w:p w14:paraId="4F893803" w14:textId="2AB0541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-0.175***</w:t>
            </w:r>
          </w:p>
        </w:tc>
      </w:tr>
      <w:tr w:rsidR="00EE533D" w:rsidRPr="00EE533D" w14:paraId="39E16697" w14:textId="77777777" w:rsidTr="00720701">
        <w:trPr>
          <w:trHeight w:val="22"/>
        </w:trPr>
        <w:tc>
          <w:tcPr>
            <w:tcW w:w="2992" w:type="dxa"/>
            <w:tcBorders>
              <w:top w:val="nil"/>
              <w:left w:val="nil"/>
              <w:bottom w:val="nil"/>
              <w:right w:val="nil"/>
            </w:tcBorders>
            <w:shd w:val="clear" w:color="auto" w:fill="auto"/>
            <w:noWrap/>
          </w:tcPr>
          <w:p w14:paraId="725C24E1"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53FFBE3A" w14:textId="4CE28D11"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1531A5E4" w14:textId="22D30BFC"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(0.110)</w:t>
            </w:r>
          </w:p>
        </w:tc>
        <w:tc>
          <w:tcPr>
            <w:tcW w:w="1403" w:type="dxa"/>
            <w:tcBorders>
              <w:top w:val="nil"/>
              <w:left w:val="single" w:sz="12" w:space="0" w:color="auto"/>
              <w:bottom w:val="nil"/>
            </w:tcBorders>
            <w:shd w:val="clear" w:color="auto" w:fill="auto"/>
            <w:noWrap/>
          </w:tcPr>
          <w:p w14:paraId="2CB5E81B" w14:textId="08F916B0"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41" w:type="dxa"/>
            <w:tcBorders>
              <w:top w:val="nil"/>
              <w:bottom w:val="nil"/>
              <w:right w:val="single" w:sz="12" w:space="0" w:color="auto"/>
            </w:tcBorders>
          </w:tcPr>
          <w:p w14:paraId="59962A33" w14:textId="493345B9"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(0.294)</w:t>
            </w:r>
          </w:p>
        </w:tc>
        <w:tc>
          <w:tcPr>
            <w:tcW w:w="1397" w:type="dxa"/>
            <w:tcBorders>
              <w:top w:val="nil"/>
              <w:left w:val="single" w:sz="12" w:space="0" w:color="auto"/>
              <w:bottom w:val="nil"/>
              <w:right w:val="nil"/>
            </w:tcBorders>
          </w:tcPr>
          <w:p w14:paraId="70DDD0EC" w14:textId="6CFA3CA6"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3" w:type="dxa"/>
            <w:tcBorders>
              <w:top w:val="nil"/>
              <w:left w:val="nil"/>
              <w:bottom w:val="nil"/>
            </w:tcBorders>
          </w:tcPr>
          <w:p w14:paraId="08A4EB3E" w14:textId="0D440019"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(0.043)</w:t>
            </w:r>
          </w:p>
        </w:tc>
      </w:tr>
      <w:tr w:rsidR="00EE533D" w:rsidRPr="00EE533D" w14:paraId="5B3DFB54" w14:textId="77777777" w:rsidTr="00720701">
        <w:trPr>
          <w:trHeight w:val="22"/>
        </w:trPr>
        <w:tc>
          <w:tcPr>
            <w:tcW w:w="2992" w:type="dxa"/>
            <w:tcBorders>
              <w:top w:val="nil"/>
              <w:left w:val="nil"/>
              <w:bottom w:val="nil"/>
              <w:right w:val="nil"/>
            </w:tcBorders>
            <w:shd w:val="clear" w:color="auto" w:fill="auto"/>
            <w:noWrap/>
          </w:tcPr>
          <w:p w14:paraId="17298A1F" w14:textId="60F96CD1"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Integrity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2FA483E1" w14:textId="0AF43771"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5564268E" w14:textId="56C2ABA2"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-0.595***</w:t>
            </w:r>
          </w:p>
        </w:tc>
        <w:tc>
          <w:tcPr>
            <w:tcW w:w="1403" w:type="dxa"/>
            <w:tcBorders>
              <w:top w:val="nil"/>
              <w:left w:val="single" w:sz="12" w:space="0" w:color="auto"/>
              <w:bottom w:val="nil"/>
            </w:tcBorders>
            <w:shd w:val="clear" w:color="auto" w:fill="auto"/>
            <w:noWrap/>
          </w:tcPr>
          <w:p w14:paraId="7E27EAED" w14:textId="1F024BEB"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-0.012***</w:t>
            </w:r>
          </w:p>
        </w:tc>
        <w:tc>
          <w:tcPr>
            <w:tcW w:w="1441" w:type="dxa"/>
            <w:tcBorders>
              <w:top w:val="nil"/>
              <w:bottom w:val="nil"/>
              <w:right w:val="single" w:sz="12" w:space="0" w:color="auto"/>
            </w:tcBorders>
          </w:tcPr>
          <w:p w14:paraId="5C6C8207" w14:textId="4D152EED"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1.543***</w:t>
            </w:r>
          </w:p>
        </w:tc>
        <w:tc>
          <w:tcPr>
            <w:tcW w:w="1397" w:type="dxa"/>
            <w:tcBorders>
              <w:top w:val="nil"/>
              <w:left w:val="single" w:sz="12" w:space="0" w:color="auto"/>
              <w:bottom w:val="nil"/>
              <w:right w:val="nil"/>
            </w:tcBorders>
          </w:tcPr>
          <w:p w14:paraId="49C5312A" w14:textId="25A09A53"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c>
          <w:tcPr>
            <w:tcW w:w="1433" w:type="dxa"/>
            <w:tcBorders>
              <w:top w:val="nil"/>
              <w:left w:val="nil"/>
              <w:bottom w:val="nil"/>
            </w:tcBorders>
          </w:tcPr>
          <w:p w14:paraId="2CFC044E" w14:textId="0237696C"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0.084***</w:t>
            </w:r>
          </w:p>
        </w:tc>
      </w:tr>
      <w:tr w:rsidR="00EE533D" w:rsidRPr="00EE533D" w14:paraId="19BEBD51" w14:textId="77777777" w:rsidTr="00720701">
        <w:trPr>
          <w:trHeight w:val="80"/>
        </w:trPr>
        <w:tc>
          <w:tcPr>
            <w:tcW w:w="2992" w:type="dxa"/>
            <w:tcBorders>
              <w:top w:val="nil"/>
              <w:left w:val="nil"/>
              <w:bottom w:val="nil"/>
              <w:right w:val="nil"/>
            </w:tcBorders>
            <w:shd w:val="clear" w:color="auto" w:fill="auto"/>
            <w:noWrap/>
          </w:tcPr>
          <w:p w14:paraId="73DF9AEE"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64479F5C" w14:textId="48B2E814"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2AB972DA" w14:textId="695DF9BC"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(0.100)</w:t>
            </w:r>
          </w:p>
        </w:tc>
        <w:tc>
          <w:tcPr>
            <w:tcW w:w="1403" w:type="dxa"/>
            <w:tcBorders>
              <w:top w:val="nil"/>
              <w:left w:val="single" w:sz="12" w:space="0" w:color="auto"/>
              <w:bottom w:val="nil"/>
            </w:tcBorders>
            <w:shd w:val="clear" w:color="auto" w:fill="auto"/>
            <w:noWrap/>
          </w:tcPr>
          <w:p w14:paraId="2777D449" w14:textId="16F061D8"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41" w:type="dxa"/>
            <w:tcBorders>
              <w:top w:val="nil"/>
              <w:bottom w:val="nil"/>
              <w:right w:val="single" w:sz="12" w:space="0" w:color="auto"/>
            </w:tcBorders>
          </w:tcPr>
          <w:p w14:paraId="3B17CC1D" w14:textId="268354B4"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(0.271)</w:t>
            </w:r>
          </w:p>
        </w:tc>
        <w:tc>
          <w:tcPr>
            <w:tcW w:w="1397" w:type="dxa"/>
            <w:tcBorders>
              <w:top w:val="nil"/>
              <w:left w:val="single" w:sz="12" w:space="0" w:color="auto"/>
              <w:bottom w:val="nil"/>
              <w:right w:val="nil"/>
            </w:tcBorders>
          </w:tcPr>
          <w:p w14:paraId="1AFE34FA" w14:textId="32DEA0AB"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3" w:type="dxa"/>
            <w:tcBorders>
              <w:top w:val="nil"/>
              <w:left w:val="nil"/>
              <w:bottom w:val="nil"/>
            </w:tcBorders>
          </w:tcPr>
          <w:p w14:paraId="25431664" w14:textId="3C9A32E3"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r>
      <w:tr w:rsidR="00EE533D" w:rsidRPr="00EE533D" w14:paraId="1357B322" w14:textId="77777777" w:rsidTr="00720701">
        <w:trPr>
          <w:trHeight w:val="80"/>
        </w:trPr>
        <w:tc>
          <w:tcPr>
            <w:tcW w:w="2992" w:type="dxa"/>
            <w:tcBorders>
              <w:top w:val="nil"/>
              <w:left w:val="nil"/>
              <w:bottom w:val="nil"/>
              <w:right w:val="nil"/>
            </w:tcBorders>
            <w:shd w:val="clear" w:color="auto" w:fill="auto"/>
            <w:noWrap/>
          </w:tcPr>
          <w:p w14:paraId="45718EBD" w14:textId="67E13C93"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Government Effectiveness (Legatum)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307DB8FC" w14:textId="0D2D4A73"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505" w:type="dxa"/>
            <w:tcBorders>
              <w:top w:val="nil"/>
              <w:left w:val="nil"/>
              <w:bottom w:val="nil"/>
              <w:right w:val="single" w:sz="12" w:space="0" w:color="auto"/>
            </w:tcBorders>
          </w:tcPr>
          <w:p w14:paraId="622E6A98" w14:textId="74AB462A"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03" w:type="dxa"/>
            <w:tcBorders>
              <w:top w:val="nil"/>
              <w:left w:val="single" w:sz="12" w:space="0" w:color="auto"/>
              <w:bottom w:val="nil"/>
            </w:tcBorders>
            <w:shd w:val="clear" w:color="auto" w:fill="auto"/>
            <w:noWrap/>
          </w:tcPr>
          <w:p w14:paraId="29BC3B43" w14:textId="05E23AE8"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-0.026***</w:t>
            </w:r>
          </w:p>
        </w:tc>
        <w:tc>
          <w:tcPr>
            <w:tcW w:w="1441" w:type="dxa"/>
            <w:tcBorders>
              <w:top w:val="nil"/>
              <w:bottom w:val="nil"/>
              <w:right w:val="single" w:sz="12" w:space="0" w:color="auto"/>
            </w:tcBorders>
          </w:tcPr>
          <w:p w14:paraId="353A3E5A" w14:textId="3CB8E9DE"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0.672***</w:t>
            </w:r>
          </w:p>
        </w:tc>
        <w:tc>
          <w:tcPr>
            <w:tcW w:w="1397" w:type="dxa"/>
            <w:tcBorders>
              <w:top w:val="nil"/>
              <w:left w:val="single" w:sz="12" w:space="0" w:color="auto"/>
              <w:bottom w:val="nil"/>
              <w:right w:val="nil"/>
            </w:tcBorders>
          </w:tcPr>
          <w:p w14:paraId="1676C157" w14:textId="58E83CBD"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3" w:type="dxa"/>
            <w:tcBorders>
              <w:top w:val="nil"/>
              <w:left w:val="nil"/>
              <w:bottom w:val="nil"/>
            </w:tcBorders>
          </w:tcPr>
          <w:p w14:paraId="64E3D462" w14:textId="26769365"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r>
      <w:tr w:rsidR="00EE533D" w:rsidRPr="00EE533D" w14:paraId="37DB3534" w14:textId="77777777" w:rsidTr="00720701">
        <w:trPr>
          <w:trHeight w:val="80"/>
        </w:trPr>
        <w:tc>
          <w:tcPr>
            <w:tcW w:w="2992" w:type="dxa"/>
            <w:tcBorders>
              <w:top w:val="nil"/>
              <w:left w:val="nil"/>
              <w:bottom w:val="nil"/>
              <w:right w:val="nil"/>
            </w:tcBorders>
            <w:shd w:val="clear" w:color="auto" w:fill="auto"/>
            <w:noWrap/>
          </w:tcPr>
          <w:p w14:paraId="267FD8AC"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1A8169A" w14:textId="62B8D245"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505" w:type="dxa"/>
            <w:tcBorders>
              <w:top w:val="nil"/>
              <w:left w:val="nil"/>
              <w:bottom w:val="nil"/>
              <w:right w:val="single" w:sz="12" w:space="0" w:color="auto"/>
            </w:tcBorders>
          </w:tcPr>
          <w:p w14:paraId="7877DCCC" w14:textId="15A712D3"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(0.086)</w:t>
            </w:r>
          </w:p>
        </w:tc>
        <w:tc>
          <w:tcPr>
            <w:tcW w:w="1403" w:type="dxa"/>
            <w:tcBorders>
              <w:top w:val="nil"/>
              <w:left w:val="single" w:sz="12" w:space="0" w:color="auto"/>
              <w:bottom w:val="nil"/>
            </w:tcBorders>
            <w:shd w:val="clear" w:color="auto" w:fill="auto"/>
            <w:noWrap/>
          </w:tcPr>
          <w:p w14:paraId="295E698F" w14:textId="7144407B"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41" w:type="dxa"/>
            <w:tcBorders>
              <w:top w:val="nil"/>
              <w:bottom w:val="nil"/>
              <w:right w:val="single" w:sz="12" w:space="0" w:color="auto"/>
            </w:tcBorders>
          </w:tcPr>
          <w:p w14:paraId="260458B6" w14:textId="5D938C8B"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(0.242)</w:t>
            </w:r>
          </w:p>
        </w:tc>
        <w:tc>
          <w:tcPr>
            <w:tcW w:w="1397" w:type="dxa"/>
            <w:tcBorders>
              <w:top w:val="nil"/>
              <w:left w:val="single" w:sz="12" w:space="0" w:color="auto"/>
              <w:bottom w:val="nil"/>
              <w:right w:val="nil"/>
            </w:tcBorders>
          </w:tcPr>
          <w:p w14:paraId="0FCBF5B8" w14:textId="1F2896AE"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33" w:type="dxa"/>
            <w:tcBorders>
              <w:top w:val="nil"/>
              <w:left w:val="nil"/>
              <w:bottom w:val="nil"/>
            </w:tcBorders>
          </w:tcPr>
          <w:p w14:paraId="1E9E3EC8" w14:textId="02AB2B3F"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r>
      <w:tr w:rsidR="00EE533D" w:rsidRPr="00EE533D" w14:paraId="06691B8C" w14:textId="77777777" w:rsidTr="00720701">
        <w:trPr>
          <w:trHeight w:val="80"/>
        </w:trPr>
        <w:tc>
          <w:tcPr>
            <w:tcW w:w="2992" w:type="dxa"/>
            <w:tcBorders>
              <w:top w:val="nil"/>
              <w:left w:val="nil"/>
              <w:bottom w:val="nil"/>
              <w:right w:val="nil"/>
            </w:tcBorders>
            <w:shd w:val="clear" w:color="auto" w:fill="auto"/>
            <w:noWrap/>
          </w:tcPr>
          <w:p w14:paraId="6F94EEB8" w14:textId="4700337F"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Regulatory Quality (Legatum)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3F96F916" w14:textId="0952D767"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505" w:type="dxa"/>
            <w:tcBorders>
              <w:top w:val="nil"/>
              <w:left w:val="nil"/>
              <w:bottom w:val="nil"/>
              <w:right w:val="single" w:sz="12" w:space="0" w:color="auto"/>
            </w:tcBorders>
          </w:tcPr>
          <w:p w14:paraId="1DDE9EBB" w14:textId="59049F29"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-0.167</w:t>
            </w:r>
          </w:p>
        </w:tc>
        <w:tc>
          <w:tcPr>
            <w:tcW w:w="1403" w:type="dxa"/>
            <w:tcBorders>
              <w:top w:val="nil"/>
              <w:left w:val="single" w:sz="12" w:space="0" w:color="auto"/>
              <w:bottom w:val="nil"/>
            </w:tcBorders>
            <w:shd w:val="clear" w:color="auto" w:fill="auto"/>
            <w:noWrap/>
          </w:tcPr>
          <w:p w14:paraId="007C2854" w14:textId="309079FA"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41" w:type="dxa"/>
            <w:tcBorders>
              <w:top w:val="nil"/>
              <w:bottom w:val="nil"/>
              <w:right w:val="single" w:sz="12" w:space="0" w:color="auto"/>
            </w:tcBorders>
          </w:tcPr>
          <w:p w14:paraId="3623E16D" w14:textId="53E2B9F2"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1.161***</w:t>
            </w:r>
          </w:p>
        </w:tc>
        <w:tc>
          <w:tcPr>
            <w:tcW w:w="1397" w:type="dxa"/>
            <w:tcBorders>
              <w:top w:val="nil"/>
              <w:left w:val="single" w:sz="12" w:space="0" w:color="auto"/>
              <w:bottom w:val="nil"/>
              <w:right w:val="nil"/>
            </w:tcBorders>
          </w:tcPr>
          <w:p w14:paraId="198BF44F" w14:textId="12313A9F"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3" w:type="dxa"/>
            <w:tcBorders>
              <w:top w:val="nil"/>
              <w:left w:val="nil"/>
              <w:bottom w:val="nil"/>
            </w:tcBorders>
          </w:tcPr>
          <w:p w14:paraId="2928343F" w14:textId="46514797"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0.094***</w:t>
            </w:r>
          </w:p>
        </w:tc>
      </w:tr>
      <w:tr w:rsidR="00EE533D" w:rsidRPr="00EE533D" w14:paraId="1D624B29" w14:textId="77777777" w:rsidTr="00720701">
        <w:trPr>
          <w:trHeight w:val="80"/>
        </w:trPr>
        <w:tc>
          <w:tcPr>
            <w:tcW w:w="2992" w:type="dxa"/>
            <w:tcBorders>
              <w:top w:val="nil"/>
              <w:left w:val="nil"/>
              <w:bottom w:val="nil"/>
              <w:right w:val="nil"/>
            </w:tcBorders>
            <w:shd w:val="clear" w:color="auto" w:fill="auto"/>
            <w:noWrap/>
          </w:tcPr>
          <w:p w14:paraId="0952885A"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3E45AAE7" w14:textId="0697FC17"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505" w:type="dxa"/>
            <w:tcBorders>
              <w:top w:val="nil"/>
              <w:left w:val="nil"/>
              <w:bottom w:val="nil"/>
              <w:right w:val="single" w:sz="12" w:space="0" w:color="auto"/>
            </w:tcBorders>
          </w:tcPr>
          <w:p w14:paraId="11BA4154" w14:textId="35D4CC48"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(0.115)</w:t>
            </w:r>
          </w:p>
        </w:tc>
        <w:tc>
          <w:tcPr>
            <w:tcW w:w="1403" w:type="dxa"/>
            <w:tcBorders>
              <w:top w:val="nil"/>
              <w:left w:val="single" w:sz="12" w:space="0" w:color="auto"/>
              <w:bottom w:val="nil"/>
            </w:tcBorders>
            <w:shd w:val="clear" w:color="auto" w:fill="auto"/>
            <w:noWrap/>
          </w:tcPr>
          <w:p w14:paraId="3168EC16" w14:textId="03177857"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41" w:type="dxa"/>
            <w:tcBorders>
              <w:top w:val="nil"/>
              <w:bottom w:val="nil"/>
              <w:right w:val="single" w:sz="12" w:space="0" w:color="auto"/>
            </w:tcBorders>
          </w:tcPr>
          <w:p w14:paraId="2135E727" w14:textId="0C7A582B"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(0.308)</w:t>
            </w:r>
          </w:p>
        </w:tc>
        <w:tc>
          <w:tcPr>
            <w:tcW w:w="1397" w:type="dxa"/>
            <w:tcBorders>
              <w:top w:val="nil"/>
              <w:left w:val="single" w:sz="12" w:space="0" w:color="auto"/>
              <w:bottom w:val="nil"/>
              <w:right w:val="nil"/>
            </w:tcBorders>
          </w:tcPr>
          <w:p w14:paraId="2BF190DF" w14:textId="490E9425"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3" w:type="dxa"/>
            <w:tcBorders>
              <w:top w:val="nil"/>
              <w:left w:val="nil"/>
              <w:bottom w:val="nil"/>
            </w:tcBorders>
          </w:tcPr>
          <w:p w14:paraId="6D4F7C59" w14:textId="6C4884FD"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(0.030)</w:t>
            </w:r>
          </w:p>
        </w:tc>
      </w:tr>
      <w:tr w:rsidR="00EE533D" w:rsidRPr="00EE533D" w14:paraId="5E86F095" w14:textId="77777777" w:rsidTr="00720701">
        <w:trPr>
          <w:trHeight w:val="80"/>
        </w:trPr>
        <w:tc>
          <w:tcPr>
            <w:tcW w:w="2992" w:type="dxa"/>
            <w:tcBorders>
              <w:top w:val="nil"/>
              <w:left w:val="nil"/>
              <w:bottom w:val="nil"/>
              <w:right w:val="nil"/>
            </w:tcBorders>
            <w:shd w:val="clear" w:color="auto" w:fill="auto"/>
            <w:noWrap/>
          </w:tcPr>
          <w:p w14:paraId="5EEA1BDD"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Debt/Equity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563BE16C" w14:textId="3B3C91D0"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505" w:type="dxa"/>
            <w:tcBorders>
              <w:top w:val="nil"/>
              <w:left w:val="nil"/>
              <w:bottom w:val="nil"/>
              <w:right w:val="single" w:sz="12" w:space="0" w:color="auto"/>
            </w:tcBorders>
          </w:tcPr>
          <w:p w14:paraId="5243DAE7" w14:textId="08DEFD79"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403" w:type="dxa"/>
            <w:tcBorders>
              <w:top w:val="nil"/>
              <w:left w:val="single" w:sz="12" w:space="0" w:color="auto"/>
              <w:bottom w:val="nil"/>
            </w:tcBorders>
            <w:shd w:val="clear" w:color="auto" w:fill="auto"/>
            <w:noWrap/>
          </w:tcPr>
          <w:p w14:paraId="1031B4A0" w14:textId="111A9A2C"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41" w:type="dxa"/>
            <w:tcBorders>
              <w:top w:val="nil"/>
              <w:bottom w:val="nil"/>
              <w:right w:val="single" w:sz="12" w:space="0" w:color="auto"/>
            </w:tcBorders>
          </w:tcPr>
          <w:p w14:paraId="5DEB1665" w14:textId="0EBE02F0"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397" w:type="dxa"/>
            <w:tcBorders>
              <w:top w:val="nil"/>
              <w:left w:val="single" w:sz="12" w:space="0" w:color="auto"/>
              <w:bottom w:val="nil"/>
              <w:right w:val="nil"/>
            </w:tcBorders>
          </w:tcPr>
          <w:p w14:paraId="1EC70A58" w14:textId="35E25331"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0.000</w:t>
            </w:r>
          </w:p>
        </w:tc>
        <w:tc>
          <w:tcPr>
            <w:tcW w:w="1433" w:type="dxa"/>
            <w:tcBorders>
              <w:top w:val="nil"/>
              <w:left w:val="nil"/>
              <w:bottom w:val="nil"/>
            </w:tcBorders>
          </w:tcPr>
          <w:p w14:paraId="54E489CA" w14:textId="1234B86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r>
      <w:tr w:rsidR="00EE533D" w:rsidRPr="00EE533D" w14:paraId="3B86A722" w14:textId="77777777" w:rsidTr="00720701">
        <w:trPr>
          <w:trHeight w:val="80"/>
        </w:trPr>
        <w:tc>
          <w:tcPr>
            <w:tcW w:w="2992" w:type="dxa"/>
            <w:tcBorders>
              <w:top w:val="nil"/>
              <w:left w:val="nil"/>
              <w:bottom w:val="nil"/>
              <w:right w:val="nil"/>
            </w:tcBorders>
            <w:shd w:val="clear" w:color="auto" w:fill="auto"/>
            <w:noWrap/>
          </w:tcPr>
          <w:p w14:paraId="79C87B09"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B251297" w14:textId="68315098"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505" w:type="dxa"/>
            <w:tcBorders>
              <w:top w:val="nil"/>
              <w:left w:val="nil"/>
              <w:bottom w:val="nil"/>
              <w:right w:val="single" w:sz="12" w:space="0" w:color="auto"/>
            </w:tcBorders>
          </w:tcPr>
          <w:p w14:paraId="7846EA51" w14:textId="66A3B946"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03" w:type="dxa"/>
            <w:tcBorders>
              <w:top w:val="nil"/>
              <w:left w:val="single" w:sz="12" w:space="0" w:color="auto"/>
              <w:bottom w:val="nil"/>
            </w:tcBorders>
            <w:shd w:val="clear" w:color="auto" w:fill="auto"/>
            <w:noWrap/>
          </w:tcPr>
          <w:p w14:paraId="53981FDC" w14:textId="490DC48D"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41" w:type="dxa"/>
            <w:tcBorders>
              <w:top w:val="nil"/>
              <w:bottom w:val="nil"/>
              <w:right w:val="single" w:sz="12" w:space="0" w:color="auto"/>
            </w:tcBorders>
          </w:tcPr>
          <w:p w14:paraId="0E0B0D45" w14:textId="114316B2"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397" w:type="dxa"/>
            <w:tcBorders>
              <w:top w:val="nil"/>
              <w:left w:val="single" w:sz="12" w:space="0" w:color="auto"/>
              <w:bottom w:val="nil"/>
              <w:right w:val="nil"/>
            </w:tcBorders>
          </w:tcPr>
          <w:p w14:paraId="5908DB71" w14:textId="451FCD37"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c>
          <w:tcPr>
            <w:tcW w:w="1433" w:type="dxa"/>
            <w:tcBorders>
              <w:top w:val="nil"/>
              <w:left w:val="nil"/>
              <w:bottom w:val="nil"/>
            </w:tcBorders>
          </w:tcPr>
          <w:p w14:paraId="43D773EA" w14:textId="7B268532"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(0.002)</w:t>
            </w:r>
          </w:p>
        </w:tc>
      </w:tr>
      <w:tr w:rsidR="00EE533D" w:rsidRPr="00EE533D" w14:paraId="036218A1" w14:textId="77777777" w:rsidTr="00720701">
        <w:trPr>
          <w:trHeight w:val="80"/>
        </w:trPr>
        <w:tc>
          <w:tcPr>
            <w:tcW w:w="2992" w:type="dxa"/>
            <w:tcBorders>
              <w:top w:val="nil"/>
              <w:left w:val="nil"/>
              <w:bottom w:val="nil"/>
              <w:right w:val="nil"/>
            </w:tcBorders>
            <w:shd w:val="clear" w:color="auto" w:fill="auto"/>
            <w:noWrap/>
          </w:tcPr>
          <w:p w14:paraId="37C69600" w14:textId="77777777" w:rsidR="00575BAF" w:rsidRPr="00EE533D" w:rsidRDefault="00575BAF" w:rsidP="00575BAF">
            <w:pPr>
              <w:spacing w:after="0"/>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Sales Growth</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58753EE3" w14:textId="287D54D0"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0.084*</w:t>
            </w:r>
          </w:p>
        </w:tc>
        <w:tc>
          <w:tcPr>
            <w:tcW w:w="1505" w:type="dxa"/>
            <w:tcBorders>
              <w:top w:val="nil"/>
              <w:left w:val="nil"/>
              <w:bottom w:val="nil"/>
              <w:right w:val="single" w:sz="12" w:space="0" w:color="auto"/>
            </w:tcBorders>
          </w:tcPr>
          <w:p w14:paraId="24FA6FD8" w14:textId="6B48CEF0"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-0.093***</w:t>
            </w:r>
          </w:p>
        </w:tc>
        <w:tc>
          <w:tcPr>
            <w:tcW w:w="1403" w:type="dxa"/>
            <w:tcBorders>
              <w:top w:val="nil"/>
              <w:left w:val="single" w:sz="12" w:space="0" w:color="auto"/>
              <w:bottom w:val="nil"/>
            </w:tcBorders>
            <w:shd w:val="clear" w:color="auto" w:fill="auto"/>
            <w:noWrap/>
          </w:tcPr>
          <w:p w14:paraId="36A18218" w14:textId="44B338E5"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0.103**</w:t>
            </w:r>
          </w:p>
        </w:tc>
        <w:tc>
          <w:tcPr>
            <w:tcW w:w="1441" w:type="dxa"/>
            <w:tcBorders>
              <w:top w:val="nil"/>
              <w:bottom w:val="nil"/>
              <w:right w:val="single" w:sz="12" w:space="0" w:color="auto"/>
            </w:tcBorders>
          </w:tcPr>
          <w:p w14:paraId="6D089747" w14:textId="5067B2CB"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0.178**</w:t>
            </w:r>
          </w:p>
        </w:tc>
        <w:tc>
          <w:tcPr>
            <w:tcW w:w="1397" w:type="dxa"/>
            <w:tcBorders>
              <w:top w:val="nil"/>
              <w:left w:val="single" w:sz="12" w:space="0" w:color="auto"/>
              <w:bottom w:val="nil"/>
              <w:right w:val="nil"/>
            </w:tcBorders>
          </w:tcPr>
          <w:p w14:paraId="7DA06059" w14:textId="44A7EFF2"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-0.150**</w:t>
            </w:r>
          </w:p>
        </w:tc>
        <w:tc>
          <w:tcPr>
            <w:tcW w:w="1433" w:type="dxa"/>
            <w:tcBorders>
              <w:top w:val="nil"/>
              <w:left w:val="nil"/>
              <w:bottom w:val="nil"/>
            </w:tcBorders>
          </w:tcPr>
          <w:p w14:paraId="0C9D235B" w14:textId="5942B46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r>
      <w:tr w:rsidR="00EE533D" w:rsidRPr="00EE533D" w14:paraId="1D0973C2" w14:textId="77777777" w:rsidTr="00720701">
        <w:trPr>
          <w:trHeight w:val="80"/>
        </w:trPr>
        <w:tc>
          <w:tcPr>
            <w:tcW w:w="2992" w:type="dxa"/>
            <w:tcBorders>
              <w:top w:val="nil"/>
              <w:left w:val="nil"/>
              <w:bottom w:val="nil"/>
              <w:right w:val="nil"/>
            </w:tcBorders>
            <w:shd w:val="clear" w:color="auto" w:fill="auto"/>
            <w:noWrap/>
          </w:tcPr>
          <w:p w14:paraId="65577F4D" w14:textId="77777777" w:rsidR="00575BAF" w:rsidRPr="00EE533D" w:rsidRDefault="00575BAF" w:rsidP="00575BAF">
            <w:pPr>
              <w:spacing w:after="0"/>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68BB8A42" w14:textId="7BF8F77D"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(0.044)</w:t>
            </w:r>
          </w:p>
        </w:tc>
        <w:tc>
          <w:tcPr>
            <w:tcW w:w="1505" w:type="dxa"/>
            <w:tcBorders>
              <w:top w:val="nil"/>
              <w:left w:val="nil"/>
              <w:bottom w:val="nil"/>
              <w:right w:val="single" w:sz="12" w:space="0" w:color="auto"/>
            </w:tcBorders>
          </w:tcPr>
          <w:p w14:paraId="7DB3E548" w14:textId="6ACA355F"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(0.032)</w:t>
            </w:r>
          </w:p>
        </w:tc>
        <w:tc>
          <w:tcPr>
            <w:tcW w:w="1403" w:type="dxa"/>
            <w:tcBorders>
              <w:top w:val="nil"/>
              <w:left w:val="single" w:sz="12" w:space="0" w:color="auto"/>
              <w:bottom w:val="nil"/>
            </w:tcBorders>
            <w:shd w:val="clear" w:color="auto" w:fill="auto"/>
            <w:noWrap/>
          </w:tcPr>
          <w:p w14:paraId="796FFD27" w14:textId="06CF427E"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(0.046)</w:t>
            </w:r>
          </w:p>
        </w:tc>
        <w:tc>
          <w:tcPr>
            <w:tcW w:w="1441" w:type="dxa"/>
            <w:tcBorders>
              <w:top w:val="nil"/>
              <w:bottom w:val="nil"/>
              <w:right w:val="single" w:sz="12" w:space="0" w:color="auto"/>
            </w:tcBorders>
          </w:tcPr>
          <w:p w14:paraId="584FC710" w14:textId="624D51EA"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(0.076)</w:t>
            </w:r>
          </w:p>
        </w:tc>
        <w:tc>
          <w:tcPr>
            <w:tcW w:w="1397" w:type="dxa"/>
            <w:tcBorders>
              <w:top w:val="nil"/>
              <w:left w:val="single" w:sz="12" w:space="0" w:color="auto"/>
              <w:bottom w:val="nil"/>
              <w:right w:val="nil"/>
            </w:tcBorders>
          </w:tcPr>
          <w:p w14:paraId="0794A16F" w14:textId="7C0CDD3A"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(0.075)</w:t>
            </w:r>
          </w:p>
        </w:tc>
        <w:tc>
          <w:tcPr>
            <w:tcW w:w="1433" w:type="dxa"/>
            <w:tcBorders>
              <w:top w:val="nil"/>
              <w:left w:val="nil"/>
              <w:bottom w:val="nil"/>
            </w:tcBorders>
          </w:tcPr>
          <w:p w14:paraId="6C01D306" w14:textId="1E7D869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(0.009)</w:t>
            </w:r>
          </w:p>
        </w:tc>
      </w:tr>
      <w:tr w:rsidR="00EE533D" w:rsidRPr="00EE533D" w14:paraId="045E0D20" w14:textId="77777777" w:rsidTr="00720701">
        <w:trPr>
          <w:trHeight w:val="80"/>
        </w:trPr>
        <w:tc>
          <w:tcPr>
            <w:tcW w:w="2992" w:type="dxa"/>
            <w:tcBorders>
              <w:top w:val="nil"/>
              <w:left w:val="nil"/>
              <w:bottom w:val="nil"/>
              <w:right w:val="nil"/>
            </w:tcBorders>
            <w:shd w:val="clear" w:color="auto" w:fill="auto"/>
            <w:noWrap/>
          </w:tcPr>
          <w:p w14:paraId="0EAAA695"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Cash Ratio</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43C55215" w14:textId="1964B53C"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0.176***</w:t>
            </w:r>
          </w:p>
        </w:tc>
        <w:tc>
          <w:tcPr>
            <w:tcW w:w="1505" w:type="dxa"/>
            <w:tcBorders>
              <w:top w:val="nil"/>
              <w:left w:val="nil"/>
              <w:bottom w:val="nil"/>
              <w:right w:val="single" w:sz="12" w:space="0" w:color="auto"/>
            </w:tcBorders>
          </w:tcPr>
          <w:p w14:paraId="03EAD310" w14:textId="29B49FDB"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-7.360***</w:t>
            </w:r>
          </w:p>
        </w:tc>
        <w:tc>
          <w:tcPr>
            <w:tcW w:w="1403" w:type="dxa"/>
            <w:tcBorders>
              <w:top w:val="nil"/>
              <w:left w:val="single" w:sz="12" w:space="0" w:color="auto"/>
              <w:bottom w:val="nil"/>
            </w:tcBorders>
            <w:shd w:val="clear" w:color="auto" w:fill="auto"/>
            <w:noWrap/>
          </w:tcPr>
          <w:p w14:paraId="62AFC1B6" w14:textId="40FCD218"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0.215***</w:t>
            </w:r>
          </w:p>
        </w:tc>
        <w:tc>
          <w:tcPr>
            <w:tcW w:w="1441" w:type="dxa"/>
            <w:tcBorders>
              <w:top w:val="nil"/>
              <w:bottom w:val="nil"/>
              <w:right w:val="single" w:sz="12" w:space="0" w:color="auto"/>
            </w:tcBorders>
          </w:tcPr>
          <w:p w14:paraId="0BA7461A" w14:textId="4E11AC21"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0.882</w:t>
            </w:r>
          </w:p>
        </w:tc>
        <w:tc>
          <w:tcPr>
            <w:tcW w:w="1397" w:type="dxa"/>
            <w:tcBorders>
              <w:top w:val="nil"/>
              <w:left w:val="single" w:sz="12" w:space="0" w:color="auto"/>
              <w:bottom w:val="nil"/>
              <w:right w:val="nil"/>
            </w:tcBorders>
          </w:tcPr>
          <w:p w14:paraId="2B3904E6" w14:textId="73E59123"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433" w:type="dxa"/>
            <w:tcBorders>
              <w:top w:val="nil"/>
              <w:left w:val="nil"/>
              <w:bottom w:val="nil"/>
            </w:tcBorders>
          </w:tcPr>
          <w:p w14:paraId="457DC0E6" w14:textId="237CD9DE"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-0.586*</w:t>
            </w:r>
          </w:p>
        </w:tc>
      </w:tr>
      <w:tr w:rsidR="00EE533D" w:rsidRPr="00EE533D" w14:paraId="664EC277" w14:textId="77777777" w:rsidTr="00720701">
        <w:trPr>
          <w:trHeight w:val="80"/>
        </w:trPr>
        <w:tc>
          <w:tcPr>
            <w:tcW w:w="2992" w:type="dxa"/>
            <w:tcBorders>
              <w:top w:val="nil"/>
              <w:left w:val="nil"/>
              <w:bottom w:val="nil"/>
              <w:right w:val="nil"/>
            </w:tcBorders>
            <w:shd w:val="clear" w:color="auto" w:fill="auto"/>
            <w:noWrap/>
          </w:tcPr>
          <w:p w14:paraId="272A48BD"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C353269" w14:textId="7E4260FD"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505" w:type="dxa"/>
            <w:tcBorders>
              <w:top w:val="nil"/>
              <w:left w:val="nil"/>
              <w:bottom w:val="nil"/>
              <w:right w:val="single" w:sz="12" w:space="0" w:color="auto"/>
            </w:tcBorders>
          </w:tcPr>
          <w:p w14:paraId="3FDB9F04" w14:textId="7871D171"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(0.985)</w:t>
            </w:r>
          </w:p>
        </w:tc>
        <w:tc>
          <w:tcPr>
            <w:tcW w:w="1403" w:type="dxa"/>
            <w:tcBorders>
              <w:top w:val="nil"/>
              <w:left w:val="single" w:sz="12" w:space="0" w:color="auto"/>
              <w:bottom w:val="nil"/>
            </w:tcBorders>
            <w:shd w:val="clear" w:color="auto" w:fill="auto"/>
            <w:noWrap/>
          </w:tcPr>
          <w:p w14:paraId="6770311F" w14:textId="3B8FD743"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(0.015)</w:t>
            </w:r>
          </w:p>
        </w:tc>
        <w:tc>
          <w:tcPr>
            <w:tcW w:w="1441" w:type="dxa"/>
            <w:tcBorders>
              <w:top w:val="nil"/>
              <w:bottom w:val="nil"/>
              <w:right w:val="single" w:sz="12" w:space="0" w:color="auto"/>
            </w:tcBorders>
          </w:tcPr>
          <w:p w14:paraId="561955D7" w14:textId="404E0570"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(2.577)</w:t>
            </w:r>
          </w:p>
        </w:tc>
        <w:tc>
          <w:tcPr>
            <w:tcW w:w="1397" w:type="dxa"/>
            <w:tcBorders>
              <w:top w:val="nil"/>
              <w:left w:val="single" w:sz="12" w:space="0" w:color="auto"/>
              <w:bottom w:val="nil"/>
              <w:right w:val="nil"/>
            </w:tcBorders>
          </w:tcPr>
          <w:p w14:paraId="24FF024F" w14:textId="4F731226"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(0.023)</w:t>
            </w:r>
          </w:p>
        </w:tc>
        <w:tc>
          <w:tcPr>
            <w:tcW w:w="1433" w:type="dxa"/>
            <w:tcBorders>
              <w:top w:val="nil"/>
              <w:left w:val="nil"/>
              <w:bottom w:val="nil"/>
            </w:tcBorders>
          </w:tcPr>
          <w:p w14:paraId="66084512" w14:textId="40A475B5"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(0.327)</w:t>
            </w:r>
          </w:p>
        </w:tc>
      </w:tr>
      <w:tr w:rsidR="00EE533D" w:rsidRPr="00EE533D" w14:paraId="2B9EEC5B" w14:textId="77777777" w:rsidTr="00720701">
        <w:trPr>
          <w:trHeight w:val="80"/>
        </w:trPr>
        <w:tc>
          <w:tcPr>
            <w:tcW w:w="2992" w:type="dxa"/>
            <w:tcBorders>
              <w:top w:val="nil"/>
              <w:left w:val="nil"/>
              <w:bottom w:val="nil"/>
              <w:right w:val="nil"/>
            </w:tcBorders>
            <w:shd w:val="clear" w:color="auto" w:fill="auto"/>
            <w:noWrap/>
          </w:tcPr>
          <w:p w14:paraId="768743E4"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Ln(Assets)</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3E447AEA" w14:textId="4BA60A99"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0.021***</w:t>
            </w:r>
          </w:p>
        </w:tc>
        <w:tc>
          <w:tcPr>
            <w:tcW w:w="1505" w:type="dxa"/>
            <w:tcBorders>
              <w:top w:val="nil"/>
              <w:left w:val="nil"/>
              <w:bottom w:val="nil"/>
              <w:right w:val="single" w:sz="12" w:space="0" w:color="auto"/>
            </w:tcBorders>
          </w:tcPr>
          <w:p w14:paraId="642C2ADD" w14:textId="6F0ED04A"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-1.345***</w:t>
            </w:r>
          </w:p>
        </w:tc>
        <w:tc>
          <w:tcPr>
            <w:tcW w:w="1403" w:type="dxa"/>
            <w:tcBorders>
              <w:top w:val="nil"/>
              <w:left w:val="single" w:sz="12" w:space="0" w:color="auto"/>
              <w:bottom w:val="nil"/>
            </w:tcBorders>
            <w:shd w:val="clear" w:color="auto" w:fill="auto"/>
            <w:noWrap/>
          </w:tcPr>
          <w:p w14:paraId="0D75418C" w14:textId="34ED7025"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41" w:type="dxa"/>
            <w:tcBorders>
              <w:top w:val="nil"/>
              <w:bottom w:val="nil"/>
              <w:right w:val="single" w:sz="12" w:space="0" w:color="auto"/>
            </w:tcBorders>
          </w:tcPr>
          <w:p w14:paraId="6660427E" w14:textId="2D7C2CDD"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-6.248***</w:t>
            </w:r>
          </w:p>
        </w:tc>
        <w:tc>
          <w:tcPr>
            <w:tcW w:w="1397" w:type="dxa"/>
            <w:tcBorders>
              <w:top w:val="nil"/>
              <w:left w:val="single" w:sz="12" w:space="0" w:color="auto"/>
              <w:bottom w:val="nil"/>
              <w:right w:val="nil"/>
            </w:tcBorders>
          </w:tcPr>
          <w:p w14:paraId="15E3C32D" w14:textId="78BC235B"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3" w:type="dxa"/>
            <w:tcBorders>
              <w:top w:val="nil"/>
              <w:left w:val="nil"/>
              <w:bottom w:val="nil"/>
            </w:tcBorders>
          </w:tcPr>
          <w:p w14:paraId="5DC3624C" w14:textId="5DA73052"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0.135</w:t>
            </w:r>
          </w:p>
        </w:tc>
      </w:tr>
      <w:tr w:rsidR="00EE533D" w:rsidRPr="00EE533D" w14:paraId="43F2BD58" w14:textId="77777777" w:rsidTr="00720701">
        <w:trPr>
          <w:trHeight w:val="80"/>
        </w:trPr>
        <w:tc>
          <w:tcPr>
            <w:tcW w:w="2992" w:type="dxa"/>
            <w:tcBorders>
              <w:top w:val="nil"/>
              <w:left w:val="nil"/>
              <w:bottom w:val="nil"/>
              <w:right w:val="nil"/>
            </w:tcBorders>
            <w:shd w:val="clear" w:color="auto" w:fill="auto"/>
            <w:noWrap/>
          </w:tcPr>
          <w:p w14:paraId="0ADE245F"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072604AA" w14:textId="38BC3684"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588DB16B" w14:textId="5799F241"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(0.375)</w:t>
            </w:r>
          </w:p>
        </w:tc>
        <w:tc>
          <w:tcPr>
            <w:tcW w:w="1403" w:type="dxa"/>
            <w:tcBorders>
              <w:top w:val="nil"/>
              <w:left w:val="single" w:sz="12" w:space="0" w:color="auto"/>
              <w:bottom w:val="nil"/>
            </w:tcBorders>
            <w:shd w:val="clear" w:color="auto" w:fill="auto"/>
            <w:noWrap/>
          </w:tcPr>
          <w:p w14:paraId="4EDC3089" w14:textId="154603D1"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441" w:type="dxa"/>
            <w:tcBorders>
              <w:top w:val="nil"/>
              <w:bottom w:val="nil"/>
              <w:right w:val="single" w:sz="12" w:space="0" w:color="auto"/>
            </w:tcBorders>
          </w:tcPr>
          <w:p w14:paraId="703EC95D" w14:textId="00818FFD"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(1.019)</w:t>
            </w:r>
          </w:p>
        </w:tc>
        <w:tc>
          <w:tcPr>
            <w:tcW w:w="1397" w:type="dxa"/>
            <w:tcBorders>
              <w:top w:val="nil"/>
              <w:left w:val="single" w:sz="12" w:space="0" w:color="auto"/>
              <w:bottom w:val="nil"/>
              <w:right w:val="nil"/>
            </w:tcBorders>
          </w:tcPr>
          <w:p w14:paraId="33BFED92" w14:textId="34E98082"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33" w:type="dxa"/>
            <w:tcBorders>
              <w:top w:val="nil"/>
              <w:left w:val="nil"/>
              <w:bottom w:val="nil"/>
            </w:tcBorders>
          </w:tcPr>
          <w:p w14:paraId="6509CC62" w14:textId="780D467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(0.098)</w:t>
            </w:r>
          </w:p>
        </w:tc>
      </w:tr>
      <w:tr w:rsidR="00EE533D" w:rsidRPr="00EE533D" w14:paraId="69268C4B" w14:textId="77777777" w:rsidTr="00720701">
        <w:trPr>
          <w:trHeight w:val="80"/>
        </w:trPr>
        <w:tc>
          <w:tcPr>
            <w:tcW w:w="2992" w:type="dxa"/>
            <w:tcBorders>
              <w:top w:val="nil"/>
              <w:left w:val="nil"/>
              <w:bottom w:val="nil"/>
              <w:right w:val="nil"/>
            </w:tcBorders>
            <w:shd w:val="clear" w:color="auto" w:fill="auto"/>
            <w:noWrap/>
          </w:tcPr>
          <w:p w14:paraId="5256A878"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ROA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6189D2B7" w14:textId="18BDF2D7"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-0.097***</w:t>
            </w:r>
          </w:p>
        </w:tc>
        <w:tc>
          <w:tcPr>
            <w:tcW w:w="1505" w:type="dxa"/>
            <w:tcBorders>
              <w:top w:val="nil"/>
              <w:left w:val="nil"/>
              <w:bottom w:val="nil"/>
              <w:right w:val="single" w:sz="12" w:space="0" w:color="auto"/>
            </w:tcBorders>
          </w:tcPr>
          <w:p w14:paraId="7F65AF7C" w14:textId="4B62A402"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0.767***</w:t>
            </w:r>
          </w:p>
        </w:tc>
        <w:tc>
          <w:tcPr>
            <w:tcW w:w="1403" w:type="dxa"/>
            <w:tcBorders>
              <w:top w:val="nil"/>
              <w:left w:val="single" w:sz="12" w:space="0" w:color="auto"/>
              <w:bottom w:val="nil"/>
            </w:tcBorders>
            <w:shd w:val="clear" w:color="auto" w:fill="auto"/>
            <w:noWrap/>
          </w:tcPr>
          <w:p w14:paraId="7B0A35A8" w14:textId="22D0FB0F"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0.056</w:t>
            </w:r>
          </w:p>
        </w:tc>
        <w:tc>
          <w:tcPr>
            <w:tcW w:w="1441" w:type="dxa"/>
            <w:tcBorders>
              <w:top w:val="nil"/>
              <w:bottom w:val="nil"/>
              <w:right w:val="single" w:sz="12" w:space="0" w:color="auto"/>
            </w:tcBorders>
          </w:tcPr>
          <w:p w14:paraId="51B979EC" w14:textId="3BC2E707"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-0.792***</w:t>
            </w:r>
          </w:p>
        </w:tc>
        <w:tc>
          <w:tcPr>
            <w:tcW w:w="1397" w:type="dxa"/>
            <w:tcBorders>
              <w:top w:val="nil"/>
              <w:left w:val="single" w:sz="12" w:space="0" w:color="auto"/>
              <w:bottom w:val="nil"/>
              <w:right w:val="nil"/>
            </w:tcBorders>
          </w:tcPr>
          <w:p w14:paraId="5387315E" w14:textId="2D8489EA"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0.025</w:t>
            </w:r>
          </w:p>
        </w:tc>
        <w:tc>
          <w:tcPr>
            <w:tcW w:w="1433" w:type="dxa"/>
            <w:tcBorders>
              <w:top w:val="nil"/>
              <w:left w:val="nil"/>
              <w:bottom w:val="nil"/>
            </w:tcBorders>
          </w:tcPr>
          <w:p w14:paraId="047DCCCD" w14:textId="2627447A"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0.140***</w:t>
            </w:r>
          </w:p>
        </w:tc>
      </w:tr>
      <w:tr w:rsidR="00EE533D" w:rsidRPr="00EE533D" w14:paraId="4AA155B4" w14:textId="77777777" w:rsidTr="00720701">
        <w:trPr>
          <w:trHeight w:val="80"/>
        </w:trPr>
        <w:tc>
          <w:tcPr>
            <w:tcW w:w="2992" w:type="dxa"/>
            <w:tcBorders>
              <w:top w:val="nil"/>
              <w:left w:val="nil"/>
              <w:bottom w:val="nil"/>
              <w:right w:val="nil"/>
            </w:tcBorders>
            <w:shd w:val="clear" w:color="auto" w:fill="auto"/>
            <w:noWrap/>
          </w:tcPr>
          <w:p w14:paraId="06E0FF74"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00B4AF54" w14:textId="6036F7DB"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(0.038)</w:t>
            </w:r>
          </w:p>
        </w:tc>
        <w:tc>
          <w:tcPr>
            <w:tcW w:w="1505" w:type="dxa"/>
            <w:tcBorders>
              <w:top w:val="nil"/>
              <w:left w:val="nil"/>
              <w:bottom w:val="nil"/>
              <w:right w:val="single" w:sz="12" w:space="0" w:color="auto"/>
            </w:tcBorders>
          </w:tcPr>
          <w:p w14:paraId="2EB6E71C" w14:textId="441C66F1"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(0.089)</w:t>
            </w:r>
          </w:p>
        </w:tc>
        <w:tc>
          <w:tcPr>
            <w:tcW w:w="1403" w:type="dxa"/>
            <w:tcBorders>
              <w:top w:val="nil"/>
              <w:left w:val="single" w:sz="12" w:space="0" w:color="auto"/>
              <w:bottom w:val="nil"/>
            </w:tcBorders>
            <w:shd w:val="clear" w:color="auto" w:fill="auto"/>
            <w:noWrap/>
          </w:tcPr>
          <w:p w14:paraId="39CCDC7D" w14:textId="0F526BB7"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(0.040)</w:t>
            </w:r>
          </w:p>
        </w:tc>
        <w:tc>
          <w:tcPr>
            <w:tcW w:w="1441" w:type="dxa"/>
            <w:tcBorders>
              <w:top w:val="nil"/>
              <w:bottom w:val="nil"/>
              <w:right w:val="single" w:sz="12" w:space="0" w:color="auto"/>
            </w:tcBorders>
          </w:tcPr>
          <w:p w14:paraId="0333790C" w14:textId="29472B96"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(0.227)</w:t>
            </w:r>
          </w:p>
        </w:tc>
        <w:tc>
          <w:tcPr>
            <w:tcW w:w="1397" w:type="dxa"/>
            <w:tcBorders>
              <w:top w:val="nil"/>
              <w:left w:val="single" w:sz="12" w:space="0" w:color="auto"/>
              <w:bottom w:val="nil"/>
              <w:right w:val="nil"/>
            </w:tcBorders>
          </w:tcPr>
          <w:p w14:paraId="68B7840B" w14:textId="64273948"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33" w:type="dxa"/>
            <w:tcBorders>
              <w:top w:val="nil"/>
              <w:left w:val="nil"/>
              <w:bottom w:val="nil"/>
            </w:tcBorders>
          </w:tcPr>
          <w:p w14:paraId="63518D29" w14:textId="4251563F"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(0.027)</w:t>
            </w:r>
          </w:p>
        </w:tc>
      </w:tr>
      <w:tr w:rsidR="00EE533D" w:rsidRPr="00EE533D" w14:paraId="19F880CB" w14:textId="77777777" w:rsidTr="00720701">
        <w:trPr>
          <w:trHeight w:val="80"/>
        </w:trPr>
        <w:tc>
          <w:tcPr>
            <w:tcW w:w="2992" w:type="dxa"/>
            <w:tcBorders>
              <w:top w:val="nil"/>
              <w:left w:val="nil"/>
              <w:bottom w:val="nil"/>
              <w:right w:val="nil"/>
            </w:tcBorders>
            <w:shd w:val="clear" w:color="auto" w:fill="auto"/>
            <w:noWrap/>
          </w:tcPr>
          <w:p w14:paraId="2A61C53D"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CEO Duality</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03D88FC1" w14:textId="2A8F891E"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0.033***</w:t>
            </w:r>
          </w:p>
        </w:tc>
        <w:tc>
          <w:tcPr>
            <w:tcW w:w="1505" w:type="dxa"/>
            <w:tcBorders>
              <w:top w:val="nil"/>
              <w:left w:val="nil"/>
              <w:bottom w:val="nil"/>
              <w:right w:val="single" w:sz="12" w:space="0" w:color="auto"/>
            </w:tcBorders>
          </w:tcPr>
          <w:p w14:paraId="260F8361" w14:textId="498BDD22"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8.151***</w:t>
            </w:r>
          </w:p>
        </w:tc>
        <w:tc>
          <w:tcPr>
            <w:tcW w:w="1403" w:type="dxa"/>
            <w:tcBorders>
              <w:top w:val="nil"/>
              <w:left w:val="single" w:sz="12" w:space="0" w:color="auto"/>
              <w:bottom w:val="nil"/>
            </w:tcBorders>
            <w:shd w:val="clear" w:color="auto" w:fill="auto"/>
            <w:noWrap/>
          </w:tcPr>
          <w:p w14:paraId="3C2FF6C8" w14:textId="2638AA77"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-0.016**</w:t>
            </w:r>
          </w:p>
        </w:tc>
        <w:tc>
          <w:tcPr>
            <w:tcW w:w="1441" w:type="dxa"/>
            <w:tcBorders>
              <w:top w:val="nil"/>
              <w:bottom w:val="nil"/>
              <w:right w:val="single" w:sz="12" w:space="0" w:color="auto"/>
            </w:tcBorders>
          </w:tcPr>
          <w:p w14:paraId="171B28A1" w14:textId="3BE78DFE"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-0.480</w:t>
            </w:r>
          </w:p>
        </w:tc>
        <w:tc>
          <w:tcPr>
            <w:tcW w:w="1397" w:type="dxa"/>
            <w:tcBorders>
              <w:top w:val="nil"/>
              <w:left w:val="single" w:sz="12" w:space="0" w:color="auto"/>
              <w:bottom w:val="nil"/>
              <w:right w:val="nil"/>
            </w:tcBorders>
          </w:tcPr>
          <w:p w14:paraId="07F27764" w14:textId="1465FA1B"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0.014</w:t>
            </w:r>
          </w:p>
        </w:tc>
        <w:tc>
          <w:tcPr>
            <w:tcW w:w="1433" w:type="dxa"/>
            <w:tcBorders>
              <w:top w:val="nil"/>
              <w:left w:val="nil"/>
              <w:bottom w:val="nil"/>
            </w:tcBorders>
          </w:tcPr>
          <w:p w14:paraId="7BDAF511" w14:textId="0BCE5FC5"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-0.388</w:t>
            </w:r>
          </w:p>
        </w:tc>
      </w:tr>
      <w:tr w:rsidR="00EE533D" w:rsidRPr="00EE533D" w14:paraId="2D8A5505" w14:textId="77777777" w:rsidTr="00720701">
        <w:trPr>
          <w:trHeight w:val="80"/>
        </w:trPr>
        <w:tc>
          <w:tcPr>
            <w:tcW w:w="2992" w:type="dxa"/>
            <w:tcBorders>
              <w:top w:val="nil"/>
              <w:left w:val="nil"/>
              <w:bottom w:val="nil"/>
              <w:right w:val="nil"/>
            </w:tcBorders>
            <w:shd w:val="clear" w:color="auto" w:fill="auto"/>
            <w:noWrap/>
          </w:tcPr>
          <w:p w14:paraId="6D71A9B6"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3C888D46" w14:textId="1966FAFD"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505" w:type="dxa"/>
            <w:tcBorders>
              <w:top w:val="nil"/>
              <w:left w:val="nil"/>
              <w:bottom w:val="nil"/>
              <w:right w:val="single" w:sz="12" w:space="0" w:color="auto"/>
            </w:tcBorders>
          </w:tcPr>
          <w:p w14:paraId="5DA08E78" w14:textId="7E98774E"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(0.880)</w:t>
            </w:r>
          </w:p>
        </w:tc>
        <w:tc>
          <w:tcPr>
            <w:tcW w:w="1403" w:type="dxa"/>
            <w:tcBorders>
              <w:top w:val="nil"/>
              <w:left w:val="single" w:sz="12" w:space="0" w:color="auto"/>
              <w:bottom w:val="nil"/>
            </w:tcBorders>
            <w:shd w:val="clear" w:color="auto" w:fill="auto"/>
            <w:noWrap/>
          </w:tcPr>
          <w:p w14:paraId="73867BD7" w14:textId="30AA5729"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41" w:type="dxa"/>
            <w:tcBorders>
              <w:top w:val="nil"/>
              <w:bottom w:val="nil"/>
              <w:right w:val="single" w:sz="12" w:space="0" w:color="auto"/>
            </w:tcBorders>
          </w:tcPr>
          <w:p w14:paraId="0949D6AD" w14:textId="3BDF2DF0"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(2.241)</w:t>
            </w:r>
          </w:p>
        </w:tc>
        <w:tc>
          <w:tcPr>
            <w:tcW w:w="1397" w:type="dxa"/>
            <w:tcBorders>
              <w:top w:val="nil"/>
              <w:left w:val="single" w:sz="12" w:space="0" w:color="auto"/>
              <w:bottom w:val="nil"/>
              <w:right w:val="nil"/>
            </w:tcBorders>
          </w:tcPr>
          <w:p w14:paraId="70BD7027" w14:textId="3F333A50"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(0.010)</w:t>
            </w:r>
          </w:p>
        </w:tc>
        <w:tc>
          <w:tcPr>
            <w:tcW w:w="1433" w:type="dxa"/>
            <w:tcBorders>
              <w:top w:val="nil"/>
              <w:left w:val="nil"/>
              <w:bottom w:val="nil"/>
            </w:tcBorders>
          </w:tcPr>
          <w:p w14:paraId="2E84890C" w14:textId="3F06EF2E"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(0.237)</w:t>
            </w:r>
          </w:p>
        </w:tc>
      </w:tr>
      <w:tr w:rsidR="00EE533D" w:rsidRPr="00EE533D" w14:paraId="22DC8358" w14:textId="77777777" w:rsidTr="00720701">
        <w:trPr>
          <w:trHeight w:val="80"/>
        </w:trPr>
        <w:tc>
          <w:tcPr>
            <w:tcW w:w="2992" w:type="dxa"/>
            <w:tcBorders>
              <w:top w:val="nil"/>
              <w:left w:val="nil"/>
              <w:bottom w:val="nil"/>
              <w:right w:val="nil"/>
            </w:tcBorders>
            <w:shd w:val="clear" w:color="auto" w:fill="auto"/>
            <w:noWrap/>
          </w:tcPr>
          <w:p w14:paraId="2EEC7B7B"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Board Size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4149EF48" w14:textId="7DB1E0B6"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505" w:type="dxa"/>
            <w:tcBorders>
              <w:top w:val="nil"/>
              <w:left w:val="nil"/>
              <w:bottom w:val="nil"/>
              <w:right w:val="single" w:sz="12" w:space="0" w:color="auto"/>
            </w:tcBorders>
          </w:tcPr>
          <w:p w14:paraId="4C6D6F94" w14:textId="5BE97D88"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0.622***</w:t>
            </w:r>
          </w:p>
        </w:tc>
        <w:tc>
          <w:tcPr>
            <w:tcW w:w="1403" w:type="dxa"/>
            <w:tcBorders>
              <w:top w:val="nil"/>
              <w:left w:val="single" w:sz="12" w:space="0" w:color="auto"/>
              <w:bottom w:val="nil"/>
            </w:tcBorders>
            <w:shd w:val="clear" w:color="auto" w:fill="auto"/>
            <w:noWrap/>
          </w:tcPr>
          <w:p w14:paraId="1D5E531D" w14:textId="235517A0"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0.005***</w:t>
            </w:r>
          </w:p>
        </w:tc>
        <w:tc>
          <w:tcPr>
            <w:tcW w:w="1441" w:type="dxa"/>
            <w:tcBorders>
              <w:top w:val="nil"/>
              <w:bottom w:val="nil"/>
              <w:right w:val="single" w:sz="12" w:space="0" w:color="auto"/>
            </w:tcBorders>
          </w:tcPr>
          <w:p w14:paraId="46A74AEA" w14:textId="14294162"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0.153</w:t>
            </w:r>
          </w:p>
        </w:tc>
        <w:tc>
          <w:tcPr>
            <w:tcW w:w="1397" w:type="dxa"/>
            <w:tcBorders>
              <w:top w:val="nil"/>
              <w:left w:val="single" w:sz="12" w:space="0" w:color="auto"/>
              <w:bottom w:val="nil"/>
              <w:right w:val="nil"/>
            </w:tcBorders>
          </w:tcPr>
          <w:p w14:paraId="1AF1C282" w14:textId="5B512896"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3" w:type="dxa"/>
            <w:tcBorders>
              <w:top w:val="nil"/>
              <w:left w:val="nil"/>
              <w:bottom w:val="nil"/>
            </w:tcBorders>
          </w:tcPr>
          <w:p w14:paraId="47BFC45A" w14:textId="48CE9DC5"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-0.073*</w:t>
            </w:r>
          </w:p>
        </w:tc>
      </w:tr>
      <w:tr w:rsidR="00EE533D" w:rsidRPr="00EE533D" w14:paraId="038D0774" w14:textId="77777777" w:rsidTr="00720701">
        <w:trPr>
          <w:trHeight w:val="80"/>
        </w:trPr>
        <w:tc>
          <w:tcPr>
            <w:tcW w:w="2992" w:type="dxa"/>
            <w:tcBorders>
              <w:top w:val="nil"/>
              <w:left w:val="nil"/>
              <w:bottom w:val="nil"/>
              <w:right w:val="nil"/>
            </w:tcBorders>
            <w:shd w:val="clear" w:color="auto" w:fill="auto"/>
            <w:noWrap/>
          </w:tcPr>
          <w:p w14:paraId="00A787DC"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3613C1F0" w14:textId="165E0728"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505" w:type="dxa"/>
            <w:tcBorders>
              <w:top w:val="nil"/>
              <w:left w:val="nil"/>
              <w:bottom w:val="nil"/>
              <w:right w:val="single" w:sz="12" w:space="0" w:color="auto"/>
            </w:tcBorders>
          </w:tcPr>
          <w:p w14:paraId="2F03E4D0" w14:textId="3480EB4F"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(0.141)</w:t>
            </w:r>
          </w:p>
        </w:tc>
        <w:tc>
          <w:tcPr>
            <w:tcW w:w="1403" w:type="dxa"/>
            <w:tcBorders>
              <w:top w:val="nil"/>
              <w:left w:val="single" w:sz="12" w:space="0" w:color="auto"/>
              <w:bottom w:val="nil"/>
            </w:tcBorders>
            <w:shd w:val="clear" w:color="auto" w:fill="auto"/>
            <w:noWrap/>
          </w:tcPr>
          <w:p w14:paraId="436DCF96" w14:textId="26D9D4F9"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41" w:type="dxa"/>
            <w:tcBorders>
              <w:top w:val="nil"/>
              <w:bottom w:val="nil"/>
              <w:right w:val="single" w:sz="12" w:space="0" w:color="auto"/>
            </w:tcBorders>
          </w:tcPr>
          <w:p w14:paraId="66C18708" w14:textId="4CD693C8"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(0.359)</w:t>
            </w:r>
          </w:p>
        </w:tc>
        <w:tc>
          <w:tcPr>
            <w:tcW w:w="1397" w:type="dxa"/>
            <w:tcBorders>
              <w:top w:val="nil"/>
              <w:left w:val="single" w:sz="12" w:space="0" w:color="auto"/>
              <w:bottom w:val="nil"/>
              <w:right w:val="nil"/>
            </w:tcBorders>
          </w:tcPr>
          <w:p w14:paraId="29661A12" w14:textId="2DAF97A2"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433" w:type="dxa"/>
            <w:tcBorders>
              <w:top w:val="nil"/>
              <w:left w:val="nil"/>
              <w:bottom w:val="nil"/>
            </w:tcBorders>
          </w:tcPr>
          <w:p w14:paraId="4D02E80D" w14:textId="199ADC85"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(0.042)</w:t>
            </w:r>
          </w:p>
        </w:tc>
      </w:tr>
      <w:tr w:rsidR="00EE533D" w:rsidRPr="00EE533D" w14:paraId="21AD1C72" w14:textId="77777777" w:rsidTr="00720701">
        <w:trPr>
          <w:trHeight w:val="80"/>
        </w:trPr>
        <w:tc>
          <w:tcPr>
            <w:tcW w:w="2992" w:type="dxa"/>
            <w:tcBorders>
              <w:top w:val="nil"/>
              <w:left w:val="nil"/>
              <w:bottom w:val="nil"/>
              <w:right w:val="nil"/>
            </w:tcBorders>
            <w:shd w:val="clear" w:color="auto" w:fill="auto"/>
            <w:noWrap/>
          </w:tcPr>
          <w:p w14:paraId="5463A09E"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Independent</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0D159F13" w14:textId="6D0B52D5"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0.169***</w:t>
            </w:r>
          </w:p>
        </w:tc>
        <w:tc>
          <w:tcPr>
            <w:tcW w:w="1505" w:type="dxa"/>
            <w:tcBorders>
              <w:top w:val="nil"/>
              <w:left w:val="nil"/>
              <w:bottom w:val="nil"/>
              <w:right w:val="single" w:sz="12" w:space="0" w:color="auto"/>
            </w:tcBorders>
          </w:tcPr>
          <w:p w14:paraId="11844EEF" w14:textId="56E2EA78"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-0.086***</w:t>
            </w:r>
          </w:p>
        </w:tc>
        <w:tc>
          <w:tcPr>
            <w:tcW w:w="1403" w:type="dxa"/>
            <w:tcBorders>
              <w:top w:val="nil"/>
              <w:left w:val="single" w:sz="12" w:space="0" w:color="auto"/>
              <w:bottom w:val="nil"/>
            </w:tcBorders>
            <w:shd w:val="clear" w:color="auto" w:fill="auto"/>
            <w:noWrap/>
          </w:tcPr>
          <w:p w14:paraId="1BD4CEB0" w14:textId="6CBCEF6B"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0.344***</w:t>
            </w:r>
          </w:p>
        </w:tc>
        <w:tc>
          <w:tcPr>
            <w:tcW w:w="1441" w:type="dxa"/>
            <w:tcBorders>
              <w:top w:val="nil"/>
              <w:bottom w:val="nil"/>
              <w:right w:val="single" w:sz="12" w:space="0" w:color="auto"/>
            </w:tcBorders>
          </w:tcPr>
          <w:p w14:paraId="4E0A01B1" w14:textId="42DFF788"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-0.212***</w:t>
            </w:r>
          </w:p>
        </w:tc>
        <w:tc>
          <w:tcPr>
            <w:tcW w:w="1397" w:type="dxa"/>
            <w:tcBorders>
              <w:top w:val="nil"/>
              <w:left w:val="single" w:sz="12" w:space="0" w:color="auto"/>
              <w:bottom w:val="nil"/>
              <w:right w:val="nil"/>
            </w:tcBorders>
          </w:tcPr>
          <w:p w14:paraId="70EFAF47" w14:textId="24A58802"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0.257***</w:t>
            </w:r>
          </w:p>
        </w:tc>
        <w:tc>
          <w:tcPr>
            <w:tcW w:w="1433" w:type="dxa"/>
            <w:tcBorders>
              <w:top w:val="nil"/>
              <w:left w:val="nil"/>
              <w:bottom w:val="nil"/>
            </w:tcBorders>
          </w:tcPr>
          <w:p w14:paraId="362417AD" w14:textId="5FFFE126"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-0.003</w:t>
            </w:r>
          </w:p>
        </w:tc>
      </w:tr>
      <w:tr w:rsidR="00EE533D" w:rsidRPr="00EE533D" w14:paraId="0D257E23" w14:textId="77777777" w:rsidTr="00720701">
        <w:trPr>
          <w:trHeight w:val="80"/>
        </w:trPr>
        <w:tc>
          <w:tcPr>
            <w:tcW w:w="2992" w:type="dxa"/>
            <w:tcBorders>
              <w:top w:val="nil"/>
              <w:left w:val="nil"/>
              <w:bottom w:val="nil"/>
              <w:right w:val="nil"/>
            </w:tcBorders>
            <w:shd w:val="clear" w:color="auto" w:fill="auto"/>
            <w:noWrap/>
          </w:tcPr>
          <w:p w14:paraId="0928F7AA"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03B1FBB8" w14:textId="4C3CCCE1"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(0.039)</w:t>
            </w:r>
          </w:p>
        </w:tc>
        <w:tc>
          <w:tcPr>
            <w:tcW w:w="1505" w:type="dxa"/>
            <w:tcBorders>
              <w:top w:val="nil"/>
              <w:left w:val="nil"/>
              <w:bottom w:val="nil"/>
              <w:right w:val="single" w:sz="12" w:space="0" w:color="auto"/>
            </w:tcBorders>
          </w:tcPr>
          <w:p w14:paraId="5E1275D8" w14:textId="61920430"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(0.019)</w:t>
            </w:r>
          </w:p>
        </w:tc>
        <w:tc>
          <w:tcPr>
            <w:tcW w:w="1403" w:type="dxa"/>
            <w:tcBorders>
              <w:top w:val="nil"/>
              <w:left w:val="single" w:sz="12" w:space="0" w:color="auto"/>
              <w:bottom w:val="nil"/>
            </w:tcBorders>
            <w:shd w:val="clear" w:color="auto" w:fill="auto"/>
            <w:noWrap/>
          </w:tcPr>
          <w:p w14:paraId="053FBB8F" w14:textId="6E6F7CAB"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(0.038)</w:t>
            </w:r>
          </w:p>
        </w:tc>
        <w:tc>
          <w:tcPr>
            <w:tcW w:w="1441" w:type="dxa"/>
            <w:tcBorders>
              <w:top w:val="nil"/>
              <w:bottom w:val="nil"/>
              <w:right w:val="single" w:sz="12" w:space="0" w:color="auto"/>
            </w:tcBorders>
          </w:tcPr>
          <w:p w14:paraId="790B197D" w14:textId="071EF795"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397" w:type="dxa"/>
            <w:tcBorders>
              <w:top w:val="nil"/>
              <w:left w:val="single" w:sz="12" w:space="0" w:color="auto"/>
              <w:bottom w:val="nil"/>
              <w:right w:val="nil"/>
            </w:tcBorders>
          </w:tcPr>
          <w:p w14:paraId="39DDC79F" w14:textId="550CEC6F"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33" w:type="dxa"/>
            <w:tcBorders>
              <w:top w:val="nil"/>
              <w:left w:val="nil"/>
              <w:bottom w:val="nil"/>
            </w:tcBorders>
          </w:tcPr>
          <w:p w14:paraId="0C3FF84E" w14:textId="5EBB97BC"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(0.006)</w:t>
            </w:r>
          </w:p>
        </w:tc>
      </w:tr>
      <w:tr w:rsidR="00EE533D" w:rsidRPr="00EE533D" w14:paraId="01A4F5F9" w14:textId="77777777" w:rsidTr="00720701">
        <w:trPr>
          <w:trHeight w:val="80"/>
        </w:trPr>
        <w:tc>
          <w:tcPr>
            <w:tcW w:w="2992" w:type="dxa"/>
            <w:tcBorders>
              <w:top w:val="nil"/>
              <w:left w:val="nil"/>
              <w:bottom w:val="nil"/>
              <w:right w:val="nil"/>
            </w:tcBorders>
            <w:shd w:val="clear" w:color="auto" w:fill="auto"/>
            <w:noWrap/>
          </w:tcPr>
          <w:p w14:paraId="7264C839"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CSR Committee</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1F6225CD" w14:textId="572275FB"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0.098***</w:t>
            </w:r>
          </w:p>
        </w:tc>
        <w:tc>
          <w:tcPr>
            <w:tcW w:w="1505" w:type="dxa"/>
            <w:tcBorders>
              <w:top w:val="nil"/>
              <w:left w:val="nil"/>
              <w:bottom w:val="nil"/>
              <w:right w:val="single" w:sz="12" w:space="0" w:color="auto"/>
            </w:tcBorders>
          </w:tcPr>
          <w:p w14:paraId="1350DCF4" w14:textId="5215DBE2"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-8.448***</w:t>
            </w:r>
          </w:p>
        </w:tc>
        <w:tc>
          <w:tcPr>
            <w:tcW w:w="1403" w:type="dxa"/>
            <w:tcBorders>
              <w:top w:val="nil"/>
              <w:left w:val="single" w:sz="12" w:space="0" w:color="auto"/>
              <w:bottom w:val="nil"/>
            </w:tcBorders>
            <w:shd w:val="clear" w:color="auto" w:fill="auto"/>
            <w:noWrap/>
          </w:tcPr>
          <w:p w14:paraId="203927F4" w14:textId="3A88AE40"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-0.064*</w:t>
            </w:r>
          </w:p>
        </w:tc>
        <w:tc>
          <w:tcPr>
            <w:tcW w:w="1441" w:type="dxa"/>
            <w:tcBorders>
              <w:top w:val="nil"/>
              <w:bottom w:val="nil"/>
              <w:right w:val="single" w:sz="12" w:space="0" w:color="auto"/>
            </w:tcBorders>
          </w:tcPr>
          <w:p w14:paraId="4BBE6EAB" w14:textId="67337EBC"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-9.783***</w:t>
            </w:r>
          </w:p>
        </w:tc>
        <w:tc>
          <w:tcPr>
            <w:tcW w:w="1397" w:type="dxa"/>
            <w:tcBorders>
              <w:top w:val="nil"/>
              <w:left w:val="single" w:sz="12" w:space="0" w:color="auto"/>
              <w:bottom w:val="nil"/>
              <w:right w:val="nil"/>
            </w:tcBorders>
          </w:tcPr>
          <w:p w14:paraId="63A86458" w14:textId="3CAEDC9E"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-0.061</w:t>
            </w:r>
          </w:p>
        </w:tc>
        <w:tc>
          <w:tcPr>
            <w:tcW w:w="1433" w:type="dxa"/>
            <w:tcBorders>
              <w:top w:val="nil"/>
              <w:left w:val="nil"/>
              <w:bottom w:val="nil"/>
            </w:tcBorders>
          </w:tcPr>
          <w:p w14:paraId="4E1E7616" w14:textId="1A177C94"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-0.236</w:t>
            </w:r>
          </w:p>
        </w:tc>
      </w:tr>
      <w:tr w:rsidR="00EE533D" w:rsidRPr="00EE533D" w14:paraId="11E0C880" w14:textId="77777777" w:rsidTr="00720701">
        <w:trPr>
          <w:trHeight w:val="80"/>
        </w:trPr>
        <w:tc>
          <w:tcPr>
            <w:tcW w:w="2992" w:type="dxa"/>
            <w:tcBorders>
              <w:top w:val="nil"/>
              <w:left w:val="nil"/>
              <w:bottom w:val="nil"/>
              <w:right w:val="nil"/>
            </w:tcBorders>
            <w:shd w:val="clear" w:color="auto" w:fill="auto"/>
            <w:noWrap/>
          </w:tcPr>
          <w:p w14:paraId="307D0BFA"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48414A57" w14:textId="1F2E3358" w:rsidR="00575BAF" w:rsidRPr="00EE533D" w:rsidRDefault="00575BAF" w:rsidP="00575BAF">
            <w:pPr>
              <w:tabs>
                <w:tab w:val="decimal" w:pos="51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(0.035)</w:t>
            </w:r>
          </w:p>
        </w:tc>
        <w:tc>
          <w:tcPr>
            <w:tcW w:w="1505" w:type="dxa"/>
            <w:tcBorders>
              <w:top w:val="nil"/>
              <w:left w:val="nil"/>
              <w:bottom w:val="nil"/>
              <w:right w:val="single" w:sz="12" w:space="0" w:color="auto"/>
            </w:tcBorders>
          </w:tcPr>
          <w:p w14:paraId="0BCDCCC1" w14:textId="66986CCC" w:rsidR="00575BAF" w:rsidRPr="00EE533D" w:rsidRDefault="00575BAF" w:rsidP="00575BAF">
            <w:pPr>
              <w:tabs>
                <w:tab w:val="decimal" w:pos="593"/>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(0.819)</w:t>
            </w:r>
          </w:p>
        </w:tc>
        <w:tc>
          <w:tcPr>
            <w:tcW w:w="1403" w:type="dxa"/>
            <w:tcBorders>
              <w:top w:val="nil"/>
              <w:left w:val="single" w:sz="12" w:space="0" w:color="auto"/>
              <w:bottom w:val="nil"/>
            </w:tcBorders>
            <w:shd w:val="clear" w:color="auto" w:fill="auto"/>
            <w:noWrap/>
          </w:tcPr>
          <w:p w14:paraId="7134BB83" w14:textId="74A4A778" w:rsidR="00575BAF" w:rsidRPr="00EE533D" w:rsidRDefault="00575BAF" w:rsidP="00575BAF">
            <w:pPr>
              <w:tabs>
                <w:tab w:val="decimal" w:pos="49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(0.038)</w:t>
            </w:r>
          </w:p>
        </w:tc>
        <w:tc>
          <w:tcPr>
            <w:tcW w:w="1441" w:type="dxa"/>
            <w:tcBorders>
              <w:top w:val="nil"/>
              <w:bottom w:val="nil"/>
              <w:right w:val="single" w:sz="12" w:space="0" w:color="auto"/>
            </w:tcBorders>
          </w:tcPr>
          <w:p w14:paraId="0F0A81A9" w14:textId="22E8ABFC" w:rsidR="00575BAF" w:rsidRPr="00EE533D" w:rsidRDefault="00575BAF" w:rsidP="00575BAF">
            <w:pPr>
              <w:tabs>
                <w:tab w:val="decimal" w:pos="527"/>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(2.364)</w:t>
            </w:r>
          </w:p>
        </w:tc>
        <w:tc>
          <w:tcPr>
            <w:tcW w:w="1397" w:type="dxa"/>
            <w:tcBorders>
              <w:top w:val="nil"/>
              <w:left w:val="single" w:sz="12" w:space="0" w:color="auto"/>
              <w:bottom w:val="nil"/>
              <w:right w:val="nil"/>
            </w:tcBorders>
          </w:tcPr>
          <w:p w14:paraId="211CE79E" w14:textId="43F0CA48" w:rsidR="00575BAF" w:rsidRPr="00EE533D" w:rsidRDefault="00575BAF" w:rsidP="00575BAF">
            <w:pPr>
              <w:tabs>
                <w:tab w:val="decimal" w:pos="482"/>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(0.053)</w:t>
            </w:r>
          </w:p>
        </w:tc>
        <w:tc>
          <w:tcPr>
            <w:tcW w:w="1433" w:type="dxa"/>
            <w:tcBorders>
              <w:top w:val="nil"/>
              <w:left w:val="nil"/>
              <w:bottom w:val="nil"/>
            </w:tcBorders>
          </w:tcPr>
          <w:p w14:paraId="6CEE6D37" w14:textId="7B46B3A4" w:rsidR="00575BAF" w:rsidRPr="00EE533D" w:rsidRDefault="00575BAF" w:rsidP="00575BAF">
            <w:pPr>
              <w:tabs>
                <w:tab w:val="decimal" w:pos="520"/>
              </w:tabs>
              <w:spacing w:after="0" w:line="240" w:lineRule="auto"/>
              <w:rPr>
                <w:rFonts w:ascii="Times New Roman" w:hAnsi="Times New Roman" w:cs="Times New Roman"/>
                <w:sz w:val="14"/>
                <w:szCs w:val="14"/>
                <w:lang w:val="en-GB"/>
              </w:rPr>
            </w:pPr>
            <w:r w:rsidRPr="00EE533D">
              <w:rPr>
                <w:rFonts w:ascii="Times New Roman" w:hAnsi="Times New Roman" w:cs="Times New Roman"/>
                <w:sz w:val="14"/>
                <w:szCs w:val="14"/>
                <w:lang w:val="en-GB"/>
              </w:rPr>
              <w:t>(0.233)</w:t>
            </w:r>
          </w:p>
        </w:tc>
      </w:tr>
      <w:tr w:rsidR="00EE533D" w:rsidRPr="00EE533D" w14:paraId="1715036C" w14:textId="77777777" w:rsidTr="00720701">
        <w:trPr>
          <w:trHeight w:val="80"/>
        </w:trPr>
        <w:tc>
          <w:tcPr>
            <w:tcW w:w="2992" w:type="dxa"/>
            <w:tcBorders>
              <w:top w:val="nil"/>
              <w:left w:val="nil"/>
              <w:bottom w:val="nil"/>
              <w:right w:val="nil"/>
            </w:tcBorders>
            <w:shd w:val="clear" w:color="auto" w:fill="auto"/>
            <w:noWrap/>
          </w:tcPr>
          <w:p w14:paraId="7778912A"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Temp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67660113" w14:textId="74404E3D"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-0.257***</w:t>
            </w:r>
          </w:p>
        </w:tc>
        <w:tc>
          <w:tcPr>
            <w:tcW w:w="1505" w:type="dxa"/>
            <w:tcBorders>
              <w:top w:val="nil"/>
              <w:left w:val="nil"/>
              <w:bottom w:val="nil"/>
              <w:right w:val="single" w:sz="12" w:space="0" w:color="auto"/>
            </w:tcBorders>
          </w:tcPr>
          <w:p w14:paraId="4F4429D1" w14:textId="173EB010"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1.200</w:t>
            </w:r>
          </w:p>
        </w:tc>
        <w:tc>
          <w:tcPr>
            <w:tcW w:w="1403" w:type="dxa"/>
            <w:tcBorders>
              <w:top w:val="nil"/>
              <w:left w:val="single" w:sz="12" w:space="0" w:color="auto"/>
              <w:bottom w:val="nil"/>
            </w:tcBorders>
            <w:shd w:val="clear" w:color="auto" w:fill="auto"/>
            <w:noWrap/>
          </w:tcPr>
          <w:p w14:paraId="050510B2" w14:textId="482D40BA"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0.043</w:t>
            </w:r>
          </w:p>
        </w:tc>
        <w:tc>
          <w:tcPr>
            <w:tcW w:w="1441" w:type="dxa"/>
            <w:tcBorders>
              <w:top w:val="nil"/>
              <w:bottom w:val="nil"/>
              <w:right w:val="single" w:sz="12" w:space="0" w:color="auto"/>
            </w:tcBorders>
          </w:tcPr>
          <w:p w14:paraId="2E5E2101" w14:textId="40CE9543"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6.194***</w:t>
            </w:r>
          </w:p>
        </w:tc>
        <w:tc>
          <w:tcPr>
            <w:tcW w:w="1397" w:type="dxa"/>
            <w:tcBorders>
              <w:top w:val="nil"/>
              <w:left w:val="single" w:sz="12" w:space="0" w:color="auto"/>
              <w:bottom w:val="nil"/>
              <w:right w:val="nil"/>
            </w:tcBorders>
          </w:tcPr>
          <w:p w14:paraId="6C2500DF" w14:textId="49178EB4"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0.054</w:t>
            </w:r>
          </w:p>
        </w:tc>
        <w:tc>
          <w:tcPr>
            <w:tcW w:w="1433" w:type="dxa"/>
            <w:tcBorders>
              <w:top w:val="nil"/>
              <w:left w:val="nil"/>
              <w:bottom w:val="nil"/>
            </w:tcBorders>
          </w:tcPr>
          <w:p w14:paraId="629F5F39" w14:textId="13921052"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-0.504**</w:t>
            </w:r>
          </w:p>
        </w:tc>
      </w:tr>
      <w:tr w:rsidR="00EE533D" w:rsidRPr="00EE533D" w14:paraId="70387043" w14:textId="77777777" w:rsidTr="00720701">
        <w:trPr>
          <w:trHeight w:val="80"/>
        </w:trPr>
        <w:tc>
          <w:tcPr>
            <w:tcW w:w="2992" w:type="dxa"/>
            <w:tcBorders>
              <w:top w:val="nil"/>
              <w:left w:val="nil"/>
              <w:bottom w:val="nil"/>
              <w:right w:val="nil"/>
            </w:tcBorders>
            <w:shd w:val="clear" w:color="auto" w:fill="auto"/>
            <w:noWrap/>
          </w:tcPr>
          <w:p w14:paraId="1C31076D"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FF69520" w14:textId="2E34EC16"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(0.055)</w:t>
            </w:r>
          </w:p>
        </w:tc>
        <w:tc>
          <w:tcPr>
            <w:tcW w:w="1505" w:type="dxa"/>
            <w:tcBorders>
              <w:top w:val="nil"/>
              <w:left w:val="nil"/>
              <w:bottom w:val="nil"/>
              <w:right w:val="single" w:sz="12" w:space="0" w:color="auto"/>
            </w:tcBorders>
          </w:tcPr>
          <w:p w14:paraId="51C3ACC3" w14:textId="054CDABE"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(0.765)</w:t>
            </w:r>
          </w:p>
        </w:tc>
        <w:tc>
          <w:tcPr>
            <w:tcW w:w="1403" w:type="dxa"/>
            <w:tcBorders>
              <w:top w:val="nil"/>
              <w:left w:val="single" w:sz="12" w:space="0" w:color="auto"/>
              <w:bottom w:val="nil"/>
            </w:tcBorders>
            <w:shd w:val="clear" w:color="auto" w:fill="auto"/>
            <w:noWrap/>
          </w:tcPr>
          <w:p w14:paraId="5AC7A143" w14:textId="580E03DA"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(0.058)</w:t>
            </w:r>
          </w:p>
        </w:tc>
        <w:tc>
          <w:tcPr>
            <w:tcW w:w="1441" w:type="dxa"/>
            <w:tcBorders>
              <w:top w:val="nil"/>
              <w:bottom w:val="nil"/>
              <w:right w:val="single" w:sz="12" w:space="0" w:color="auto"/>
            </w:tcBorders>
          </w:tcPr>
          <w:p w14:paraId="37825AD0" w14:textId="68F7CCD0"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(2.193)</w:t>
            </w:r>
          </w:p>
        </w:tc>
        <w:tc>
          <w:tcPr>
            <w:tcW w:w="1397" w:type="dxa"/>
            <w:tcBorders>
              <w:top w:val="nil"/>
              <w:left w:val="single" w:sz="12" w:space="0" w:color="auto"/>
              <w:bottom w:val="nil"/>
              <w:right w:val="nil"/>
            </w:tcBorders>
          </w:tcPr>
          <w:p w14:paraId="1EE29E61" w14:textId="1C3C4236"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(0.087)</w:t>
            </w:r>
          </w:p>
        </w:tc>
        <w:tc>
          <w:tcPr>
            <w:tcW w:w="1433" w:type="dxa"/>
            <w:tcBorders>
              <w:top w:val="nil"/>
              <w:left w:val="nil"/>
              <w:bottom w:val="nil"/>
            </w:tcBorders>
          </w:tcPr>
          <w:p w14:paraId="76E2A748" w14:textId="5050AC2C"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(0.196)</w:t>
            </w:r>
          </w:p>
        </w:tc>
      </w:tr>
      <w:tr w:rsidR="00EE533D" w:rsidRPr="00EE533D" w14:paraId="6305961B" w14:textId="77777777" w:rsidTr="00720701">
        <w:trPr>
          <w:trHeight w:val="80"/>
        </w:trPr>
        <w:tc>
          <w:tcPr>
            <w:tcW w:w="2992" w:type="dxa"/>
            <w:tcBorders>
              <w:top w:val="nil"/>
              <w:left w:val="nil"/>
              <w:bottom w:val="nil"/>
              <w:right w:val="nil"/>
            </w:tcBorders>
            <w:shd w:val="clear" w:color="auto" w:fill="auto"/>
            <w:noWrap/>
          </w:tcPr>
          <w:p w14:paraId="4037A4F7" w14:textId="77777777" w:rsidR="00575BAF" w:rsidRPr="00EE533D" w:rsidRDefault="00575BAF" w:rsidP="00575BAF">
            <w:pPr>
              <w:spacing w:after="0"/>
              <w:jc w:val="center"/>
              <w:rPr>
                <w:rFonts w:ascii="Times New Roman" w:hAnsi="Times New Roman" w:cs="Times New Roman"/>
                <w:sz w:val="14"/>
                <w:szCs w:val="14"/>
                <w:lang w:val="en-GB"/>
              </w:rPr>
            </w:pPr>
            <w:r w:rsidRPr="00EE533D">
              <w:rPr>
                <w:rFonts w:ascii="Times New Roman" w:hAnsi="Times New Roman" w:cs="Times New Roman"/>
                <w:sz w:val="14"/>
                <w:szCs w:val="14"/>
                <w:lang w:val="en-GB"/>
              </w:rPr>
              <w:t xml:space="preserve">Ln (GDPc </w:t>
            </w:r>
            <w:r w:rsidRPr="00EE533D">
              <w:rPr>
                <w:rFonts w:ascii="Times New Roman" w:hAnsi="Times New Roman" w:cs="Times New Roman"/>
                <w:sz w:val="14"/>
                <w:szCs w:val="14"/>
                <w:vertAlign w:val="subscript"/>
                <w:lang w:val="en-GB"/>
              </w:rPr>
              <w:t>t-1</w:t>
            </w:r>
            <w:r w:rsidRPr="00EE533D">
              <w:rPr>
                <w:rFonts w:ascii="Times New Roman" w:hAnsi="Times New Roman" w:cs="Times New Roman"/>
                <w:sz w:val="14"/>
                <w:szCs w:val="14"/>
                <w:lang w:val="en-GB"/>
              </w:rPr>
              <w:t>)</w:t>
            </w:r>
          </w:p>
        </w:tc>
        <w:tc>
          <w:tcPr>
            <w:tcW w:w="1252" w:type="dxa"/>
            <w:tcBorders>
              <w:top w:val="nil"/>
              <w:left w:val="nil"/>
              <w:bottom w:val="nil"/>
              <w:right w:val="nil"/>
            </w:tcBorders>
            <w:shd w:val="clear" w:color="auto" w:fill="auto"/>
            <w:noWrap/>
          </w:tcPr>
          <w:p w14:paraId="31C05D7D" w14:textId="428B22F9"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-0.077***</w:t>
            </w:r>
          </w:p>
        </w:tc>
        <w:tc>
          <w:tcPr>
            <w:tcW w:w="1505" w:type="dxa"/>
            <w:tcBorders>
              <w:top w:val="nil"/>
              <w:left w:val="nil"/>
              <w:bottom w:val="nil"/>
              <w:right w:val="single" w:sz="12" w:space="0" w:color="auto"/>
            </w:tcBorders>
          </w:tcPr>
          <w:p w14:paraId="3BCF625F" w14:textId="20901590"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1.629</w:t>
            </w:r>
          </w:p>
        </w:tc>
        <w:tc>
          <w:tcPr>
            <w:tcW w:w="1403" w:type="dxa"/>
            <w:tcBorders>
              <w:top w:val="nil"/>
              <w:left w:val="single" w:sz="12" w:space="0" w:color="auto"/>
              <w:bottom w:val="nil"/>
            </w:tcBorders>
            <w:shd w:val="clear" w:color="auto" w:fill="auto"/>
            <w:noWrap/>
          </w:tcPr>
          <w:p w14:paraId="1DFDA7D0" w14:textId="73ACA107"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-0.028***</w:t>
            </w:r>
          </w:p>
        </w:tc>
        <w:tc>
          <w:tcPr>
            <w:tcW w:w="1441" w:type="dxa"/>
            <w:tcBorders>
              <w:top w:val="nil"/>
              <w:bottom w:val="nil"/>
              <w:right w:val="single" w:sz="12" w:space="0" w:color="auto"/>
            </w:tcBorders>
          </w:tcPr>
          <w:p w14:paraId="271B8D1D" w14:textId="15E31CFC"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-10.751***</w:t>
            </w:r>
          </w:p>
        </w:tc>
        <w:tc>
          <w:tcPr>
            <w:tcW w:w="1397" w:type="dxa"/>
            <w:tcBorders>
              <w:top w:val="nil"/>
              <w:left w:val="single" w:sz="12" w:space="0" w:color="auto"/>
              <w:bottom w:val="nil"/>
              <w:right w:val="nil"/>
            </w:tcBorders>
          </w:tcPr>
          <w:p w14:paraId="67014E00" w14:textId="6E653468"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-0.033***</w:t>
            </w:r>
          </w:p>
        </w:tc>
        <w:tc>
          <w:tcPr>
            <w:tcW w:w="1433" w:type="dxa"/>
            <w:tcBorders>
              <w:top w:val="nil"/>
              <w:left w:val="nil"/>
              <w:bottom w:val="nil"/>
            </w:tcBorders>
          </w:tcPr>
          <w:p w14:paraId="381A463E" w14:textId="4510B7F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-0.851**</w:t>
            </w:r>
          </w:p>
        </w:tc>
      </w:tr>
      <w:tr w:rsidR="00EE533D" w:rsidRPr="00EE533D" w14:paraId="4F842ACE" w14:textId="77777777" w:rsidTr="00720701">
        <w:trPr>
          <w:trHeight w:val="80"/>
        </w:trPr>
        <w:tc>
          <w:tcPr>
            <w:tcW w:w="2992" w:type="dxa"/>
            <w:tcBorders>
              <w:top w:val="nil"/>
              <w:left w:val="nil"/>
              <w:bottom w:val="nil"/>
              <w:right w:val="nil"/>
            </w:tcBorders>
            <w:shd w:val="clear" w:color="auto" w:fill="auto"/>
            <w:noWrap/>
          </w:tcPr>
          <w:p w14:paraId="685C84FD" w14:textId="77777777" w:rsidR="00575BAF" w:rsidRPr="00EE533D" w:rsidRDefault="00575BAF" w:rsidP="00575BAF">
            <w:pPr>
              <w:spacing w:after="0"/>
              <w:jc w:val="center"/>
              <w:rPr>
                <w:rFonts w:ascii="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4066CF6D" w14:textId="46326EC5"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505" w:type="dxa"/>
            <w:tcBorders>
              <w:top w:val="nil"/>
              <w:left w:val="nil"/>
              <w:bottom w:val="nil"/>
              <w:right w:val="single" w:sz="12" w:space="0" w:color="auto"/>
            </w:tcBorders>
          </w:tcPr>
          <w:p w14:paraId="4330698E" w14:textId="2D3CABD8"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(1.247)</w:t>
            </w:r>
          </w:p>
        </w:tc>
        <w:tc>
          <w:tcPr>
            <w:tcW w:w="1403" w:type="dxa"/>
            <w:tcBorders>
              <w:top w:val="nil"/>
              <w:left w:val="single" w:sz="12" w:space="0" w:color="auto"/>
              <w:bottom w:val="nil"/>
            </w:tcBorders>
            <w:shd w:val="clear" w:color="auto" w:fill="auto"/>
            <w:noWrap/>
          </w:tcPr>
          <w:p w14:paraId="334E4813" w14:textId="65CFE008"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(0.008)</w:t>
            </w:r>
          </w:p>
        </w:tc>
        <w:tc>
          <w:tcPr>
            <w:tcW w:w="1441" w:type="dxa"/>
            <w:tcBorders>
              <w:top w:val="nil"/>
              <w:bottom w:val="nil"/>
              <w:right w:val="single" w:sz="12" w:space="0" w:color="auto"/>
            </w:tcBorders>
          </w:tcPr>
          <w:p w14:paraId="5D2FD26C" w14:textId="3BD88E85"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(3.283)</w:t>
            </w:r>
          </w:p>
        </w:tc>
        <w:tc>
          <w:tcPr>
            <w:tcW w:w="1397" w:type="dxa"/>
            <w:tcBorders>
              <w:top w:val="nil"/>
              <w:left w:val="single" w:sz="12" w:space="0" w:color="auto"/>
              <w:bottom w:val="nil"/>
              <w:right w:val="nil"/>
            </w:tcBorders>
          </w:tcPr>
          <w:p w14:paraId="0EA86B0E" w14:textId="5EE0C017"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(0.013)</w:t>
            </w:r>
          </w:p>
        </w:tc>
        <w:tc>
          <w:tcPr>
            <w:tcW w:w="1433" w:type="dxa"/>
            <w:tcBorders>
              <w:top w:val="nil"/>
              <w:left w:val="nil"/>
              <w:bottom w:val="nil"/>
            </w:tcBorders>
          </w:tcPr>
          <w:p w14:paraId="6E1FA830" w14:textId="55C551CF"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(0.354)</w:t>
            </w:r>
          </w:p>
        </w:tc>
      </w:tr>
      <w:tr w:rsidR="00EE533D" w:rsidRPr="00EE533D" w14:paraId="5A0F5584" w14:textId="77777777" w:rsidTr="00720701">
        <w:trPr>
          <w:trHeight w:val="80"/>
        </w:trPr>
        <w:tc>
          <w:tcPr>
            <w:tcW w:w="2992" w:type="dxa"/>
            <w:tcBorders>
              <w:top w:val="nil"/>
              <w:left w:val="nil"/>
              <w:bottom w:val="nil"/>
              <w:right w:val="nil"/>
            </w:tcBorders>
            <w:shd w:val="clear" w:color="auto" w:fill="auto"/>
            <w:noWrap/>
            <w:vAlign w:val="bottom"/>
          </w:tcPr>
          <w:p w14:paraId="1C6AF3EF"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 xml:space="preserve">GDPg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4E1CDC29" w14:textId="2E3B4A86"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-0.001</w:t>
            </w:r>
          </w:p>
        </w:tc>
        <w:tc>
          <w:tcPr>
            <w:tcW w:w="1505" w:type="dxa"/>
            <w:tcBorders>
              <w:top w:val="nil"/>
              <w:left w:val="nil"/>
              <w:bottom w:val="nil"/>
              <w:right w:val="single" w:sz="12" w:space="0" w:color="auto"/>
            </w:tcBorders>
          </w:tcPr>
          <w:p w14:paraId="4436DD8C" w14:textId="118CA7D8"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-0.162</w:t>
            </w:r>
          </w:p>
        </w:tc>
        <w:tc>
          <w:tcPr>
            <w:tcW w:w="1403" w:type="dxa"/>
            <w:tcBorders>
              <w:top w:val="nil"/>
              <w:left w:val="single" w:sz="12" w:space="0" w:color="auto"/>
              <w:bottom w:val="nil"/>
            </w:tcBorders>
            <w:shd w:val="clear" w:color="auto" w:fill="auto"/>
            <w:noWrap/>
          </w:tcPr>
          <w:p w14:paraId="07DE16BC" w14:textId="133D0C87"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-0.025***</w:t>
            </w:r>
          </w:p>
        </w:tc>
        <w:tc>
          <w:tcPr>
            <w:tcW w:w="1441" w:type="dxa"/>
            <w:tcBorders>
              <w:top w:val="nil"/>
              <w:bottom w:val="nil"/>
              <w:right w:val="single" w:sz="12" w:space="0" w:color="auto"/>
            </w:tcBorders>
          </w:tcPr>
          <w:p w14:paraId="6E1AD9B9" w14:textId="244C6D69"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1.506***</w:t>
            </w:r>
          </w:p>
        </w:tc>
        <w:tc>
          <w:tcPr>
            <w:tcW w:w="1397" w:type="dxa"/>
            <w:tcBorders>
              <w:top w:val="nil"/>
              <w:left w:val="single" w:sz="12" w:space="0" w:color="auto"/>
              <w:bottom w:val="nil"/>
              <w:right w:val="nil"/>
            </w:tcBorders>
          </w:tcPr>
          <w:p w14:paraId="171F8D97" w14:textId="0C6C9311"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-0.003</w:t>
            </w:r>
          </w:p>
        </w:tc>
        <w:tc>
          <w:tcPr>
            <w:tcW w:w="1433" w:type="dxa"/>
            <w:tcBorders>
              <w:top w:val="nil"/>
              <w:left w:val="nil"/>
              <w:bottom w:val="nil"/>
            </w:tcBorders>
          </w:tcPr>
          <w:p w14:paraId="3087853D" w14:textId="70DA8CEA"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0.061</w:t>
            </w:r>
          </w:p>
        </w:tc>
      </w:tr>
      <w:tr w:rsidR="00EE533D" w:rsidRPr="00EE533D" w14:paraId="292BF5BA" w14:textId="77777777" w:rsidTr="00720701">
        <w:trPr>
          <w:trHeight w:val="80"/>
        </w:trPr>
        <w:tc>
          <w:tcPr>
            <w:tcW w:w="2992" w:type="dxa"/>
            <w:tcBorders>
              <w:top w:val="nil"/>
              <w:left w:val="nil"/>
              <w:bottom w:val="nil"/>
              <w:right w:val="nil"/>
            </w:tcBorders>
            <w:shd w:val="clear" w:color="auto" w:fill="auto"/>
            <w:noWrap/>
            <w:vAlign w:val="bottom"/>
          </w:tcPr>
          <w:p w14:paraId="1950996C"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441A905D" w14:textId="1FEB2364"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(0.004)</w:t>
            </w:r>
          </w:p>
        </w:tc>
        <w:tc>
          <w:tcPr>
            <w:tcW w:w="1505" w:type="dxa"/>
            <w:tcBorders>
              <w:top w:val="nil"/>
              <w:left w:val="nil"/>
              <w:bottom w:val="nil"/>
              <w:right w:val="single" w:sz="12" w:space="0" w:color="auto"/>
            </w:tcBorders>
          </w:tcPr>
          <w:p w14:paraId="4A21083E" w14:textId="646E4EF6"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(0.191)</w:t>
            </w:r>
          </w:p>
        </w:tc>
        <w:tc>
          <w:tcPr>
            <w:tcW w:w="1403" w:type="dxa"/>
            <w:tcBorders>
              <w:top w:val="nil"/>
              <w:left w:val="single" w:sz="12" w:space="0" w:color="auto"/>
              <w:bottom w:val="nil"/>
            </w:tcBorders>
            <w:shd w:val="clear" w:color="auto" w:fill="auto"/>
            <w:noWrap/>
          </w:tcPr>
          <w:p w14:paraId="7045FECC" w14:textId="7C6EC861"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(0.006)</w:t>
            </w:r>
          </w:p>
        </w:tc>
        <w:tc>
          <w:tcPr>
            <w:tcW w:w="1441" w:type="dxa"/>
            <w:tcBorders>
              <w:top w:val="nil"/>
              <w:bottom w:val="nil"/>
              <w:right w:val="single" w:sz="12" w:space="0" w:color="auto"/>
            </w:tcBorders>
          </w:tcPr>
          <w:p w14:paraId="484CD4DD" w14:textId="70615FE9"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(0.458)</w:t>
            </w:r>
          </w:p>
        </w:tc>
        <w:tc>
          <w:tcPr>
            <w:tcW w:w="1397" w:type="dxa"/>
            <w:tcBorders>
              <w:top w:val="nil"/>
              <w:left w:val="single" w:sz="12" w:space="0" w:color="auto"/>
              <w:bottom w:val="nil"/>
              <w:right w:val="nil"/>
            </w:tcBorders>
          </w:tcPr>
          <w:p w14:paraId="468F0CC2" w14:textId="48D8F176"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(0.007)</w:t>
            </w:r>
          </w:p>
        </w:tc>
        <w:tc>
          <w:tcPr>
            <w:tcW w:w="1433" w:type="dxa"/>
            <w:tcBorders>
              <w:top w:val="nil"/>
              <w:left w:val="nil"/>
              <w:bottom w:val="nil"/>
            </w:tcBorders>
          </w:tcPr>
          <w:p w14:paraId="78E94C95" w14:textId="05197868"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(0.049)</w:t>
            </w:r>
          </w:p>
        </w:tc>
      </w:tr>
      <w:tr w:rsidR="00EE533D" w:rsidRPr="00EE533D" w14:paraId="51785A23" w14:textId="77777777" w:rsidTr="00720701">
        <w:trPr>
          <w:trHeight w:val="80"/>
        </w:trPr>
        <w:tc>
          <w:tcPr>
            <w:tcW w:w="2992" w:type="dxa"/>
            <w:tcBorders>
              <w:top w:val="nil"/>
              <w:left w:val="nil"/>
              <w:bottom w:val="nil"/>
              <w:right w:val="nil"/>
            </w:tcBorders>
            <w:shd w:val="clear" w:color="auto" w:fill="auto"/>
            <w:noWrap/>
            <w:vAlign w:val="bottom"/>
          </w:tcPr>
          <w:p w14:paraId="167EB551"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Inflation</w:t>
            </w:r>
            <w:r w:rsidRPr="00EE533D">
              <w:rPr>
                <w:rFonts w:ascii="Times New Roman" w:hAnsi="Times New Roman" w:cs="Times New Roman"/>
                <w:sz w:val="14"/>
                <w:szCs w:val="14"/>
                <w:lang w:val="en-GB"/>
              </w:rPr>
              <w:t xml:space="preserve"> </w:t>
            </w:r>
            <w:r w:rsidRPr="00EE533D">
              <w:rPr>
                <w:rFonts w:ascii="Times New Roman" w:hAnsi="Times New Roman" w:cs="Times New Roman"/>
                <w:sz w:val="14"/>
                <w:szCs w:val="14"/>
                <w:vertAlign w:val="subscript"/>
                <w:lang w:val="en-GB"/>
              </w:rPr>
              <w:t>t-1</w:t>
            </w:r>
          </w:p>
        </w:tc>
        <w:tc>
          <w:tcPr>
            <w:tcW w:w="1252" w:type="dxa"/>
            <w:tcBorders>
              <w:top w:val="nil"/>
              <w:left w:val="nil"/>
              <w:bottom w:val="nil"/>
              <w:right w:val="nil"/>
            </w:tcBorders>
            <w:shd w:val="clear" w:color="auto" w:fill="auto"/>
            <w:noWrap/>
          </w:tcPr>
          <w:p w14:paraId="15FEA89D" w14:textId="563F37C8"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-0.857**</w:t>
            </w:r>
          </w:p>
        </w:tc>
        <w:tc>
          <w:tcPr>
            <w:tcW w:w="1505" w:type="dxa"/>
            <w:tcBorders>
              <w:top w:val="nil"/>
              <w:left w:val="nil"/>
              <w:bottom w:val="nil"/>
              <w:right w:val="single" w:sz="12" w:space="0" w:color="auto"/>
            </w:tcBorders>
          </w:tcPr>
          <w:p w14:paraId="65974DC0" w14:textId="5C7C1986"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-0.552***</w:t>
            </w:r>
          </w:p>
        </w:tc>
        <w:tc>
          <w:tcPr>
            <w:tcW w:w="1403" w:type="dxa"/>
            <w:tcBorders>
              <w:top w:val="nil"/>
              <w:left w:val="single" w:sz="12" w:space="0" w:color="auto"/>
              <w:bottom w:val="nil"/>
            </w:tcBorders>
            <w:shd w:val="clear" w:color="auto" w:fill="auto"/>
            <w:noWrap/>
          </w:tcPr>
          <w:p w14:paraId="788E99DC" w14:textId="3D79A06C"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-2.185***</w:t>
            </w:r>
          </w:p>
        </w:tc>
        <w:tc>
          <w:tcPr>
            <w:tcW w:w="1441" w:type="dxa"/>
            <w:tcBorders>
              <w:top w:val="nil"/>
              <w:bottom w:val="nil"/>
              <w:right w:val="single" w:sz="12" w:space="0" w:color="auto"/>
            </w:tcBorders>
          </w:tcPr>
          <w:p w14:paraId="11B18855" w14:textId="142AE628"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1.573***</w:t>
            </w:r>
          </w:p>
        </w:tc>
        <w:tc>
          <w:tcPr>
            <w:tcW w:w="1397" w:type="dxa"/>
            <w:tcBorders>
              <w:top w:val="nil"/>
              <w:left w:val="single" w:sz="12" w:space="0" w:color="auto"/>
              <w:bottom w:val="nil"/>
              <w:right w:val="nil"/>
            </w:tcBorders>
          </w:tcPr>
          <w:p w14:paraId="62C7DEA6" w14:textId="29FF036D"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-2.249***</w:t>
            </w:r>
          </w:p>
        </w:tc>
        <w:tc>
          <w:tcPr>
            <w:tcW w:w="1433" w:type="dxa"/>
            <w:tcBorders>
              <w:top w:val="nil"/>
              <w:left w:val="nil"/>
              <w:bottom w:val="nil"/>
            </w:tcBorders>
          </w:tcPr>
          <w:p w14:paraId="28B561DE" w14:textId="7FD87AFA"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0.020</w:t>
            </w:r>
          </w:p>
        </w:tc>
      </w:tr>
      <w:tr w:rsidR="00EE533D" w:rsidRPr="00EE533D" w14:paraId="646D6EC5" w14:textId="77777777" w:rsidTr="00720701">
        <w:trPr>
          <w:trHeight w:val="80"/>
        </w:trPr>
        <w:tc>
          <w:tcPr>
            <w:tcW w:w="2992" w:type="dxa"/>
            <w:tcBorders>
              <w:top w:val="nil"/>
              <w:left w:val="nil"/>
              <w:bottom w:val="nil"/>
              <w:right w:val="nil"/>
            </w:tcBorders>
            <w:shd w:val="clear" w:color="auto" w:fill="auto"/>
            <w:noWrap/>
            <w:vAlign w:val="bottom"/>
          </w:tcPr>
          <w:p w14:paraId="1126DE6A"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nil"/>
              <w:right w:val="nil"/>
            </w:tcBorders>
            <w:shd w:val="clear" w:color="auto" w:fill="auto"/>
            <w:noWrap/>
          </w:tcPr>
          <w:p w14:paraId="1B2F38FD" w14:textId="4367782B"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(0.403)</w:t>
            </w:r>
          </w:p>
        </w:tc>
        <w:tc>
          <w:tcPr>
            <w:tcW w:w="1505" w:type="dxa"/>
            <w:tcBorders>
              <w:top w:val="nil"/>
              <w:left w:val="nil"/>
              <w:bottom w:val="nil"/>
              <w:right w:val="single" w:sz="12" w:space="0" w:color="auto"/>
            </w:tcBorders>
          </w:tcPr>
          <w:p w14:paraId="7DAA0963" w14:textId="3EB13B92"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(0.095)</w:t>
            </w:r>
          </w:p>
        </w:tc>
        <w:tc>
          <w:tcPr>
            <w:tcW w:w="1403" w:type="dxa"/>
            <w:tcBorders>
              <w:top w:val="nil"/>
              <w:left w:val="single" w:sz="12" w:space="0" w:color="auto"/>
              <w:bottom w:val="nil"/>
            </w:tcBorders>
            <w:shd w:val="clear" w:color="auto" w:fill="auto"/>
            <w:noWrap/>
          </w:tcPr>
          <w:p w14:paraId="7F37261A" w14:textId="317CC780"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(0.422)</w:t>
            </w:r>
          </w:p>
        </w:tc>
        <w:tc>
          <w:tcPr>
            <w:tcW w:w="1441" w:type="dxa"/>
            <w:tcBorders>
              <w:top w:val="nil"/>
              <w:bottom w:val="nil"/>
              <w:right w:val="single" w:sz="12" w:space="0" w:color="auto"/>
            </w:tcBorders>
          </w:tcPr>
          <w:p w14:paraId="01BDBF7E" w14:textId="55A31D29"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(0.394)</w:t>
            </w:r>
          </w:p>
        </w:tc>
        <w:tc>
          <w:tcPr>
            <w:tcW w:w="1397" w:type="dxa"/>
            <w:tcBorders>
              <w:top w:val="nil"/>
              <w:left w:val="single" w:sz="12" w:space="0" w:color="auto"/>
              <w:bottom w:val="nil"/>
              <w:right w:val="nil"/>
            </w:tcBorders>
          </w:tcPr>
          <w:p w14:paraId="6767E49E" w14:textId="426A67A8"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(0.643)</w:t>
            </w:r>
          </w:p>
        </w:tc>
        <w:tc>
          <w:tcPr>
            <w:tcW w:w="1433" w:type="dxa"/>
            <w:tcBorders>
              <w:top w:val="nil"/>
              <w:left w:val="nil"/>
              <w:bottom w:val="nil"/>
            </w:tcBorders>
          </w:tcPr>
          <w:p w14:paraId="17BA62CF" w14:textId="34FC86FF"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(0.029)</w:t>
            </w:r>
          </w:p>
        </w:tc>
      </w:tr>
      <w:tr w:rsidR="00EE533D" w:rsidRPr="00EE533D" w14:paraId="3C6830C8" w14:textId="77777777" w:rsidTr="00720701">
        <w:trPr>
          <w:trHeight w:val="80"/>
        </w:trPr>
        <w:tc>
          <w:tcPr>
            <w:tcW w:w="2992" w:type="dxa"/>
            <w:tcBorders>
              <w:top w:val="nil"/>
              <w:left w:val="nil"/>
              <w:bottom w:val="nil"/>
              <w:right w:val="nil"/>
            </w:tcBorders>
            <w:shd w:val="clear" w:color="auto" w:fill="auto"/>
            <w:noWrap/>
            <w:vAlign w:val="bottom"/>
          </w:tcPr>
          <w:p w14:paraId="553F7805"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Intercept</w:t>
            </w:r>
          </w:p>
        </w:tc>
        <w:tc>
          <w:tcPr>
            <w:tcW w:w="1252" w:type="dxa"/>
            <w:tcBorders>
              <w:top w:val="nil"/>
              <w:left w:val="nil"/>
              <w:bottom w:val="nil"/>
              <w:right w:val="nil"/>
            </w:tcBorders>
            <w:shd w:val="clear" w:color="auto" w:fill="auto"/>
            <w:noWrap/>
          </w:tcPr>
          <w:p w14:paraId="7EEC4CB3" w14:textId="254900DA"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-0.041</w:t>
            </w:r>
          </w:p>
        </w:tc>
        <w:tc>
          <w:tcPr>
            <w:tcW w:w="1505" w:type="dxa"/>
            <w:tcBorders>
              <w:top w:val="nil"/>
              <w:left w:val="nil"/>
              <w:bottom w:val="nil"/>
              <w:right w:val="single" w:sz="12" w:space="0" w:color="auto"/>
            </w:tcBorders>
          </w:tcPr>
          <w:p w14:paraId="4A477D04" w14:textId="365AA02F"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36.467***</w:t>
            </w:r>
          </w:p>
        </w:tc>
        <w:tc>
          <w:tcPr>
            <w:tcW w:w="1403" w:type="dxa"/>
            <w:tcBorders>
              <w:top w:val="nil"/>
              <w:left w:val="single" w:sz="12" w:space="0" w:color="auto"/>
              <w:bottom w:val="nil"/>
            </w:tcBorders>
            <w:shd w:val="clear" w:color="auto" w:fill="auto"/>
            <w:noWrap/>
          </w:tcPr>
          <w:p w14:paraId="3393E463" w14:textId="2906CB55"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0.421***</w:t>
            </w:r>
          </w:p>
        </w:tc>
        <w:tc>
          <w:tcPr>
            <w:tcW w:w="1441" w:type="dxa"/>
            <w:tcBorders>
              <w:top w:val="nil"/>
              <w:bottom w:val="nil"/>
              <w:right w:val="single" w:sz="12" w:space="0" w:color="auto"/>
            </w:tcBorders>
          </w:tcPr>
          <w:p w14:paraId="4BAD6CF3" w14:textId="116E8FC1"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196.575***</w:t>
            </w:r>
          </w:p>
        </w:tc>
        <w:tc>
          <w:tcPr>
            <w:tcW w:w="1397" w:type="dxa"/>
            <w:tcBorders>
              <w:top w:val="nil"/>
              <w:left w:val="single" w:sz="12" w:space="0" w:color="auto"/>
              <w:bottom w:val="nil"/>
              <w:right w:val="nil"/>
            </w:tcBorders>
          </w:tcPr>
          <w:p w14:paraId="57398EF3" w14:textId="29614AB8"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-0.413***</w:t>
            </w:r>
          </w:p>
        </w:tc>
        <w:tc>
          <w:tcPr>
            <w:tcW w:w="1433" w:type="dxa"/>
            <w:tcBorders>
              <w:top w:val="nil"/>
              <w:left w:val="nil"/>
              <w:bottom w:val="nil"/>
            </w:tcBorders>
          </w:tcPr>
          <w:p w14:paraId="562DF6F6" w14:textId="134ACAFD"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2.196</w:t>
            </w:r>
          </w:p>
        </w:tc>
      </w:tr>
      <w:tr w:rsidR="00EE533D" w:rsidRPr="00EE533D" w14:paraId="0D5C285C" w14:textId="77777777" w:rsidTr="00720701">
        <w:trPr>
          <w:trHeight w:val="80"/>
        </w:trPr>
        <w:tc>
          <w:tcPr>
            <w:tcW w:w="2992" w:type="dxa"/>
            <w:tcBorders>
              <w:top w:val="nil"/>
              <w:left w:val="nil"/>
              <w:bottom w:val="single" w:sz="12" w:space="0" w:color="auto"/>
              <w:right w:val="nil"/>
            </w:tcBorders>
            <w:shd w:val="clear" w:color="auto" w:fill="auto"/>
            <w:noWrap/>
            <w:vAlign w:val="bottom"/>
          </w:tcPr>
          <w:p w14:paraId="04243456" w14:textId="77777777" w:rsidR="00575BAF" w:rsidRPr="00EE533D" w:rsidRDefault="00575BAF" w:rsidP="00575BAF">
            <w:pPr>
              <w:spacing w:after="0" w:line="240" w:lineRule="auto"/>
              <w:jc w:val="center"/>
              <w:rPr>
                <w:rFonts w:ascii="Times New Roman" w:eastAsia="Times New Roman" w:hAnsi="Times New Roman" w:cs="Times New Roman"/>
                <w:sz w:val="14"/>
                <w:szCs w:val="14"/>
                <w:lang w:val="en-GB"/>
              </w:rPr>
            </w:pPr>
          </w:p>
        </w:tc>
        <w:tc>
          <w:tcPr>
            <w:tcW w:w="1252" w:type="dxa"/>
            <w:tcBorders>
              <w:top w:val="nil"/>
              <w:left w:val="nil"/>
              <w:bottom w:val="single" w:sz="12" w:space="0" w:color="auto"/>
              <w:right w:val="nil"/>
            </w:tcBorders>
            <w:shd w:val="clear" w:color="auto" w:fill="auto"/>
            <w:noWrap/>
          </w:tcPr>
          <w:p w14:paraId="7BF88C3F" w14:textId="66140E0C" w:rsidR="00575BAF" w:rsidRPr="00EE533D" w:rsidRDefault="00575BAF" w:rsidP="00575BAF">
            <w:pPr>
              <w:tabs>
                <w:tab w:val="decimal" w:pos="51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(0.060)</w:t>
            </w:r>
          </w:p>
        </w:tc>
        <w:tc>
          <w:tcPr>
            <w:tcW w:w="1505" w:type="dxa"/>
            <w:tcBorders>
              <w:top w:val="nil"/>
              <w:left w:val="nil"/>
              <w:bottom w:val="single" w:sz="12" w:space="0" w:color="auto"/>
              <w:right w:val="single" w:sz="12" w:space="0" w:color="auto"/>
            </w:tcBorders>
          </w:tcPr>
          <w:p w14:paraId="09295842" w14:textId="5B864B4C" w:rsidR="00575BAF" w:rsidRPr="00EE533D" w:rsidRDefault="00575BAF" w:rsidP="00575BAF">
            <w:pPr>
              <w:tabs>
                <w:tab w:val="decimal" w:pos="593"/>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(10.130)</w:t>
            </w:r>
          </w:p>
        </w:tc>
        <w:tc>
          <w:tcPr>
            <w:tcW w:w="1403" w:type="dxa"/>
            <w:tcBorders>
              <w:top w:val="nil"/>
              <w:left w:val="single" w:sz="12" w:space="0" w:color="auto"/>
              <w:bottom w:val="single" w:sz="12" w:space="0" w:color="auto"/>
            </w:tcBorders>
            <w:shd w:val="clear" w:color="auto" w:fill="auto"/>
            <w:noWrap/>
          </w:tcPr>
          <w:p w14:paraId="122B89C3" w14:textId="6C17E61A" w:rsidR="00575BAF" w:rsidRPr="00EE533D" w:rsidRDefault="00575BAF" w:rsidP="00575BAF">
            <w:pPr>
              <w:tabs>
                <w:tab w:val="decimal" w:pos="49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(0.059)</w:t>
            </w:r>
          </w:p>
        </w:tc>
        <w:tc>
          <w:tcPr>
            <w:tcW w:w="1441" w:type="dxa"/>
            <w:tcBorders>
              <w:top w:val="nil"/>
              <w:bottom w:val="single" w:sz="12" w:space="0" w:color="auto"/>
              <w:right w:val="single" w:sz="12" w:space="0" w:color="auto"/>
            </w:tcBorders>
          </w:tcPr>
          <w:p w14:paraId="2B50B0A5" w14:textId="277CB9AF" w:rsidR="00575BAF" w:rsidRPr="00EE533D" w:rsidRDefault="00575BAF" w:rsidP="00575BAF">
            <w:pPr>
              <w:tabs>
                <w:tab w:val="decimal" w:pos="527"/>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(25.322)</w:t>
            </w:r>
          </w:p>
        </w:tc>
        <w:tc>
          <w:tcPr>
            <w:tcW w:w="1397" w:type="dxa"/>
            <w:tcBorders>
              <w:top w:val="nil"/>
              <w:left w:val="single" w:sz="12" w:space="0" w:color="auto"/>
              <w:bottom w:val="single" w:sz="12" w:space="0" w:color="auto"/>
              <w:right w:val="nil"/>
            </w:tcBorders>
          </w:tcPr>
          <w:p w14:paraId="51956343" w14:textId="7F032B54" w:rsidR="00575BAF" w:rsidRPr="00EE533D" w:rsidRDefault="00575BAF" w:rsidP="00575BAF">
            <w:pPr>
              <w:tabs>
                <w:tab w:val="decimal" w:pos="482"/>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(0.106)</w:t>
            </w:r>
          </w:p>
        </w:tc>
        <w:tc>
          <w:tcPr>
            <w:tcW w:w="1433" w:type="dxa"/>
            <w:tcBorders>
              <w:top w:val="nil"/>
              <w:left w:val="nil"/>
              <w:bottom w:val="single" w:sz="12" w:space="0" w:color="auto"/>
            </w:tcBorders>
          </w:tcPr>
          <w:p w14:paraId="6B0DD974" w14:textId="1356A2C0" w:rsidR="00575BAF" w:rsidRPr="00EE533D" w:rsidRDefault="00575BAF" w:rsidP="00575BAF">
            <w:pPr>
              <w:tabs>
                <w:tab w:val="decimal" w:pos="520"/>
              </w:tabs>
              <w:spacing w:after="0" w:line="240" w:lineRule="auto"/>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(2.792)</w:t>
            </w:r>
          </w:p>
        </w:tc>
      </w:tr>
      <w:tr w:rsidR="00EE533D" w:rsidRPr="00EE533D" w14:paraId="60EC638D" w14:textId="77777777" w:rsidTr="00720701">
        <w:trPr>
          <w:trHeight w:val="117"/>
        </w:trPr>
        <w:tc>
          <w:tcPr>
            <w:tcW w:w="2992" w:type="dxa"/>
            <w:tcBorders>
              <w:top w:val="single" w:sz="12" w:space="0" w:color="auto"/>
              <w:left w:val="nil"/>
              <w:right w:val="nil"/>
            </w:tcBorders>
            <w:shd w:val="clear" w:color="auto" w:fill="auto"/>
            <w:noWrap/>
            <w:vAlign w:val="bottom"/>
          </w:tcPr>
          <w:p w14:paraId="23851695" w14:textId="1798C451" w:rsidR="00D0367D" w:rsidRPr="00EE533D" w:rsidRDefault="00B14703"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O</w:t>
            </w:r>
            <w:r w:rsidR="00D0367D" w:rsidRPr="00EE533D">
              <w:rPr>
                <w:rFonts w:ascii="Times New Roman" w:eastAsia="Times New Roman" w:hAnsi="Times New Roman" w:cs="Times New Roman"/>
                <w:sz w:val="14"/>
                <w:szCs w:val="14"/>
                <w:lang w:val="en-GB"/>
              </w:rPr>
              <w:t xml:space="preserve">bservations </w:t>
            </w:r>
          </w:p>
        </w:tc>
        <w:tc>
          <w:tcPr>
            <w:tcW w:w="2758" w:type="dxa"/>
            <w:gridSpan w:val="2"/>
            <w:tcBorders>
              <w:top w:val="single" w:sz="12" w:space="0" w:color="auto"/>
              <w:left w:val="nil"/>
              <w:right w:val="single" w:sz="12" w:space="0" w:color="auto"/>
            </w:tcBorders>
            <w:shd w:val="clear" w:color="auto" w:fill="auto"/>
            <w:noWrap/>
          </w:tcPr>
          <w:p w14:paraId="43C01EB5"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c>
          <w:tcPr>
            <w:tcW w:w="2844" w:type="dxa"/>
            <w:gridSpan w:val="2"/>
            <w:tcBorders>
              <w:top w:val="single" w:sz="12" w:space="0" w:color="auto"/>
              <w:left w:val="single" w:sz="12" w:space="0" w:color="auto"/>
              <w:right w:val="single" w:sz="12" w:space="0" w:color="auto"/>
            </w:tcBorders>
            <w:shd w:val="clear" w:color="auto" w:fill="auto"/>
            <w:noWrap/>
          </w:tcPr>
          <w:p w14:paraId="3C66D1A8"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c>
          <w:tcPr>
            <w:tcW w:w="2830" w:type="dxa"/>
            <w:gridSpan w:val="2"/>
            <w:tcBorders>
              <w:top w:val="single" w:sz="12" w:space="0" w:color="auto"/>
              <w:left w:val="single" w:sz="12" w:space="0" w:color="auto"/>
            </w:tcBorders>
          </w:tcPr>
          <w:p w14:paraId="4F85F3F2"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10886</w:t>
            </w:r>
          </w:p>
        </w:tc>
      </w:tr>
      <w:tr w:rsidR="00EE533D" w:rsidRPr="00EE533D" w14:paraId="27FCE02F" w14:textId="77777777" w:rsidTr="00720701">
        <w:trPr>
          <w:trHeight w:val="117"/>
        </w:trPr>
        <w:tc>
          <w:tcPr>
            <w:tcW w:w="2992" w:type="dxa"/>
            <w:tcBorders>
              <w:left w:val="nil"/>
              <w:right w:val="nil"/>
            </w:tcBorders>
            <w:shd w:val="clear" w:color="auto" w:fill="auto"/>
            <w:noWrap/>
            <w:vAlign w:val="bottom"/>
          </w:tcPr>
          <w:p w14:paraId="67B413DA"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Lambda (Inverse of Mill’s ratio) (p-value)</w:t>
            </w:r>
          </w:p>
        </w:tc>
        <w:tc>
          <w:tcPr>
            <w:tcW w:w="2758" w:type="dxa"/>
            <w:gridSpan w:val="2"/>
            <w:tcBorders>
              <w:left w:val="nil"/>
              <w:right w:val="single" w:sz="12" w:space="0" w:color="auto"/>
            </w:tcBorders>
            <w:shd w:val="clear" w:color="auto" w:fill="auto"/>
            <w:noWrap/>
          </w:tcPr>
          <w:p w14:paraId="026A872A" w14:textId="42DC3BD3"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w:t>
            </w:r>
            <w:r w:rsidR="00B14703" w:rsidRPr="00EE533D">
              <w:rPr>
                <w:rFonts w:ascii="Times New Roman" w:hAnsi="Times New Roman" w:cs="Times New Roman"/>
                <w:sz w:val="14"/>
                <w:szCs w:val="14"/>
                <w:lang w:val="en-GB"/>
              </w:rPr>
              <w:t>6</w:t>
            </w:r>
            <w:r w:rsidRPr="00EE533D">
              <w:rPr>
                <w:rFonts w:ascii="Times New Roman" w:hAnsi="Times New Roman" w:cs="Times New Roman"/>
                <w:sz w:val="14"/>
                <w:szCs w:val="14"/>
                <w:lang w:val="en-GB"/>
              </w:rPr>
              <w:t>.</w:t>
            </w:r>
            <w:r w:rsidR="00B14703" w:rsidRPr="00EE533D">
              <w:rPr>
                <w:rFonts w:ascii="Times New Roman" w:hAnsi="Times New Roman" w:cs="Times New Roman"/>
                <w:sz w:val="14"/>
                <w:szCs w:val="14"/>
                <w:lang w:val="en-GB"/>
              </w:rPr>
              <w:t>383</w:t>
            </w:r>
            <w:r w:rsidR="00D865F7" w:rsidRPr="00EE533D">
              <w:rPr>
                <w:rFonts w:ascii="Times New Roman" w:hAnsi="Times New Roman" w:cs="Times New Roman"/>
                <w:sz w:val="14"/>
                <w:szCs w:val="14"/>
                <w:lang w:val="en-GB"/>
              </w:rPr>
              <w:t>*</w:t>
            </w:r>
            <w:r w:rsidRPr="00EE533D">
              <w:rPr>
                <w:rFonts w:ascii="Times New Roman" w:hAnsi="Times New Roman" w:cs="Times New Roman"/>
                <w:sz w:val="14"/>
                <w:szCs w:val="14"/>
                <w:lang w:val="en-GB"/>
              </w:rPr>
              <w:t xml:space="preserve"> (0.</w:t>
            </w:r>
            <w:r w:rsidR="00D865F7" w:rsidRPr="00EE533D">
              <w:rPr>
                <w:rFonts w:ascii="Times New Roman" w:hAnsi="Times New Roman" w:cs="Times New Roman"/>
                <w:sz w:val="14"/>
                <w:szCs w:val="14"/>
                <w:lang w:val="en-GB"/>
              </w:rPr>
              <w:t>086</w:t>
            </w:r>
            <w:r w:rsidRPr="00EE533D">
              <w:rPr>
                <w:rFonts w:ascii="Times New Roman" w:hAnsi="Times New Roman" w:cs="Times New Roman"/>
                <w:sz w:val="14"/>
                <w:szCs w:val="14"/>
                <w:lang w:val="en-GB"/>
              </w:rPr>
              <w:t>)</w:t>
            </w:r>
          </w:p>
        </w:tc>
        <w:tc>
          <w:tcPr>
            <w:tcW w:w="2844" w:type="dxa"/>
            <w:gridSpan w:val="2"/>
            <w:tcBorders>
              <w:left w:val="single" w:sz="12" w:space="0" w:color="auto"/>
              <w:right w:val="single" w:sz="12" w:space="0" w:color="auto"/>
            </w:tcBorders>
            <w:shd w:val="clear" w:color="auto" w:fill="auto"/>
            <w:noWrap/>
          </w:tcPr>
          <w:p w14:paraId="4BCFF820" w14:textId="161A604B"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-46.4</w:t>
            </w:r>
            <w:r w:rsidR="009A2598" w:rsidRPr="00EE533D">
              <w:rPr>
                <w:rFonts w:ascii="Times New Roman" w:hAnsi="Times New Roman" w:cs="Times New Roman"/>
                <w:sz w:val="14"/>
                <w:szCs w:val="14"/>
                <w:lang w:val="en-GB"/>
              </w:rPr>
              <w:t>1</w:t>
            </w:r>
            <w:r w:rsidR="0031587E" w:rsidRPr="00EE533D">
              <w:rPr>
                <w:rFonts w:ascii="Times New Roman" w:hAnsi="Times New Roman" w:cs="Times New Roman"/>
                <w:sz w:val="14"/>
                <w:szCs w:val="14"/>
                <w:lang w:val="en-GB"/>
              </w:rPr>
              <w:t>7</w:t>
            </w:r>
            <w:r w:rsidRPr="00EE533D">
              <w:rPr>
                <w:rFonts w:ascii="Times New Roman" w:hAnsi="Times New Roman" w:cs="Times New Roman"/>
                <w:sz w:val="14"/>
                <w:szCs w:val="14"/>
                <w:lang w:val="en-GB"/>
              </w:rPr>
              <w:t>*** (0.000)</w:t>
            </w:r>
          </w:p>
        </w:tc>
        <w:tc>
          <w:tcPr>
            <w:tcW w:w="2830" w:type="dxa"/>
            <w:gridSpan w:val="2"/>
            <w:tcBorders>
              <w:left w:val="single" w:sz="12" w:space="0" w:color="auto"/>
            </w:tcBorders>
          </w:tcPr>
          <w:p w14:paraId="046EC15E" w14:textId="38F997D2" w:rsidR="00D0367D" w:rsidRPr="00EE533D" w:rsidRDefault="00EE4CBA"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-2</w:t>
            </w:r>
            <w:r w:rsidR="00D0367D" w:rsidRPr="00EE533D">
              <w:rPr>
                <w:rFonts w:ascii="Times New Roman" w:hAnsi="Times New Roman" w:cs="Times New Roman"/>
                <w:sz w:val="14"/>
                <w:szCs w:val="14"/>
                <w:lang w:val="en-GB"/>
              </w:rPr>
              <w:t>.</w:t>
            </w:r>
            <w:r w:rsidRPr="00EE533D">
              <w:rPr>
                <w:rFonts w:ascii="Times New Roman" w:hAnsi="Times New Roman" w:cs="Times New Roman"/>
                <w:sz w:val="14"/>
                <w:szCs w:val="14"/>
                <w:lang w:val="en-GB"/>
              </w:rPr>
              <w:t>249</w:t>
            </w:r>
            <w:r w:rsidR="00D0367D" w:rsidRPr="00EE533D">
              <w:rPr>
                <w:rFonts w:ascii="Times New Roman" w:hAnsi="Times New Roman" w:cs="Times New Roman"/>
                <w:sz w:val="14"/>
                <w:szCs w:val="14"/>
                <w:lang w:val="en-GB"/>
              </w:rPr>
              <w:t>*** (0.000)</w:t>
            </w:r>
          </w:p>
        </w:tc>
      </w:tr>
      <w:tr w:rsidR="00EE533D" w:rsidRPr="00EE533D" w14:paraId="2A407D2D" w14:textId="77777777" w:rsidTr="00720701">
        <w:trPr>
          <w:trHeight w:val="117"/>
        </w:trPr>
        <w:tc>
          <w:tcPr>
            <w:tcW w:w="2992" w:type="dxa"/>
            <w:tcBorders>
              <w:left w:val="nil"/>
              <w:right w:val="nil"/>
            </w:tcBorders>
            <w:shd w:val="clear" w:color="auto" w:fill="auto"/>
            <w:noWrap/>
            <w:vAlign w:val="bottom"/>
          </w:tcPr>
          <w:p w14:paraId="2B3124EC"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Rho (Variance of errors in outcome equation)</w:t>
            </w:r>
          </w:p>
        </w:tc>
        <w:tc>
          <w:tcPr>
            <w:tcW w:w="2758" w:type="dxa"/>
            <w:gridSpan w:val="2"/>
            <w:tcBorders>
              <w:left w:val="nil"/>
              <w:right w:val="single" w:sz="12" w:space="0" w:color="auto"/>
            </w:tcBorders>
            <w:shd w:val="clear" w:color="auto" w:fill="auto"/>
            <w:noWrap/>
          </w:tcPr>
          <w:p w14:paraId="17622DE8" w14:textId="59002828"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w:t>
            </w:r>
            <w:r w:rsidR="00D865F7" w:rsidRPr="00EE533D">
              <w:rPr>
                <w:rFonts w:ascii="Times New Roman" w:hAnsi="Times New Roman" w:cs="Times New Roman"/>
                <w:sz w:val="14"/>
                <w:szCs w:val="14"/>
                <w:lang w:val="en-GB"/>
              </w:rPr>
              <w:t>212</w:t>
            </w:r>
          </w:p>
        </w:tc>
        <w:tc>
          <w:tcPr>
            <w:tcW w:w="2844" w:type="dxa"/>
            <w:gridSpan w:val="2"/>
            <w:tcBorders>
              <w:left w:val="single" w:sz="12" w:space="0" w:color="auto"/>
              <w:right w:val="single" w:sz="12" w:space="0" w:color="auto"/>
            </w:tcBorders>
            <w:shd w:val="clear" w:color="auto" w:fill="auto"/>
            <w:noWrap/>
          </w:tcPr>
          <w:p w14:paraId="2C87CB4A" w14:textId="76887E6D"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-0.95</w:t>
            </w:r>
            <w:r w:rsidR="0031587E" w:rsidRPr="00EE533D">
              <w:rPr>
                <w:rFonts w:ascii="Times New Roman" w:hAnsi="Times New Roman" w:cs="Times New Roman"/>
                <w:sz w:val="14"/>
                <w:szCs w:val="14"/>
                <w:lang w:val="en-GB"/>
              </w:rPr>
              <w:t>5</w:t>
            </w:r>
          </w:p>
        </w:tc>
        <w:tc>
          <w:tcPr>
            <w:tcW w:w="2830" w:type="dxa"/>
            <w:gridSpan w:val="2"/>
            <w:tcBorders>
              <w:left w:val="single" w:sz="12" w:space="0" w:color="auto"/>
            </w:tcBorders>
          </w:tcPr>
          <w:p w14:paraId="708E9D96" w14:textId="418A3839"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hAnsi="Times New Roman" w:cs="Times New Roman"/>
                <w:sz w:val="14"/>
                <w:szCs w:val="14"/>
                <w:lang w:val="en-GB"/>
              </w:rPr>
              <w:t>0.68</w:t>
            </w:r>
            <w:r w:rsidR="00E56032" w:rsidRPr="00EE533D">
              <w:rPr>
                <w:rFonts w:ascii="Times New Roman" w:hAnsi="Times New Roman" w:cs="Times New Roman"/>
                <w:sz w:val="14"/>
                <w:szCs w:val="14"/>
                <w:lang w:val="en-GB"/>
              </w:rPr>
              <w:t>2</w:t>
            </w:r>
          </w:p>
        </w:tc>
      </w:tr>
      <w:tr w:rsidR="00EE533D" w:rsidRPr="00EE533D" w14:paraId="7607DBEE" w14:textId="77777777" w:rsidTr="00720701">
        <w:trPr>
          <w:trHeight w:val="117"/>
        </w:trPr>
        <w:tc>
          <w:tcPr>
            <w:tcW w:w="2992" w:type="dxa"/>
            <w:tcBorders>
              <w:left w:val="nil"/>
              <w:right w:val="nil"/>
            </w:tcBorders>
            <w:shd w:val="clear" w:color="auto" w:fill="auto"/>
            <w:noWrap/>
            <w:vAlign w:val="bottom"/>
          </w:tcPr>
          <w:p w14:paraId="070F0097"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Sigma (Covariance of errors in selection function)</w:t>
            </w:r>
          </w:p>
        </w:tc>
        <w:tc>
          <w:tcPr>
            <w:tcW w:w="2758" w:type="dxa"/>
            <w:gridSpan w:val="2"/>
            <w:tcBorders>
              <w:left w:val="nil"/>
              <w:right w:val="single" w:sz="12" w:space="0" w:color="auto"/>
            </w:tcBorders>
            <w:shd w:val="clear" w:color="auto" w:fill="auto"/>
            <w:noWrap/>
            <w:vAlign w:val="bottom"/>
          </w:tcPr>
          <w:p w14:paraId="65966124" w14:textId="6284C0FE" w:rsidR="00D0367D" w:rsidRPr="00EE533D" w:rsidRDefault="00D0367D" w:rsidP="00F4319C">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30.</w:t>
            </w:r>
            <w:r w:rsidR="00D865F7" w:rsidRPr="00EE533D">
              <w:rPr>
                <w:rFonts w:ascii="Times New Roman" w:eastAsia="Times New Roman" w:hAnsi="Times New Roman" w:cs="Times New Roman"/>
                <w:sz w:val="14"/>
                <w:szCs w:val="14"/>
                <w:lang w:val="en-GB"/>
              </w:rPr>
              <w:t>089</w:t>
            </w:r>
          </w:p>
        </w:tc>
        <w:tc>
          <w:tcPr>
            <w:tcW w:w="2844" w:type="dxa"/>
            <w:gridSpan w:val="2"/>
            <w:tcBorders>
              <w:left w:val="single" w:sz="12" w:space="0" w:color="auto"/>
              <w:right w:val="single" w:sz="12" w:space="0" w:color="auto"/>
            </w:tcBorders>
            <w:shd w:val="clear" w:color="auto" w:fill="auto"/>
            <w:noWrap/>
            <w:vAlign w:val="bottom"/>
          </w:tcPr>
          <w:p w14:paraId="55199C6F" w14:textId="3AC9D574" w:rsidR="00D0367D" w:rsidRPr="00EE533D" w:rsidRDefault="00D0367D" w:rsidP="00F4319C">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48.</w:t>
            </w:r>
            <w:r w:rsidR="0031587E" w:rsidRPr="00EE533D">
              <w:rPr>
                <w:rFonts w:ascii="Times New Roman" w:eastAsia="Times New Roman" w:hAnsi="Times New Roman" w:cs="Times New Roman"/>
                <w:sz w:val="14"/>
                <w:szCs w:val="14"/>
                <w:lang w:val="en-GB"/>
              </w:rPr>
              <w:t>616</w:t>
            </w:r>
          </w:p>
        </w:tc>
        <w:tc>
          <w:tcPr>
            <w:tcW w:w="2830" w:type="dxa"/>
            <w:gridSpan w:val="2"/>
            <w:tcBorders>
              <w:left w:val="single" w:sz="12" w:space="0" w:color="auto"/>
            </w:tcBorders>
            <w:vAlign w:val="bottom"/>
          </w:tcPr>
          <w:p w14:paraId="52933FEA" w14:textId="7A2A4F3C" w:rsidR="00D0367D" w:rsidRPr="00EE533D" w:rsidRDefault="00D0367D" w:rsidP="00F4319C">
            <w:pPr>
              <w:spacing w:after="0" w:line="240" w:lineRule="auto"/>
              <w:jc w:val="center"/>
              <w:rPr>
                <w:rFonts w:ascii="Times New Roman" w:hAnsi="Times New Roman" w:cs="Times New Roman"/>
                <w:sz w:val="14"/>
                <w:szCs w:val="14"/>
                <w:lang w:val="en-GB"/>
              </w:rPr>
            </w:pPr>
            <w:r w:rsidRPr="00EE533D">
              <w:rPr>
                <w:rFonts w:ascii="Times New Roman" w:eastAsia="Times New Roman" w:hAnsi="Times New Roman" w:cs="Times New Roman"/>
                <w:sz w:val="14"/>
                <w:szCs w:val="14"/>
                <w:lang w:val="en-GB"/>
              </w:rPr>
              <w:t>2.2</w:t>
            </w:r>
            <w:r w:rsidR="00E56032" w:rsidRPr="00EE533D">
              <w:rPr>
                <w:rFonts w:ascii="Times New Roman" w:eastAsia="Times New Roman" w:hAnsi="Times New Roman" w:cs="Times New Roman"/>
                <w:sz w:val="14"/>
                <w:szCs w:val="14"/>
                <w:lang w:val="en-GB"/>
              </w:rPr>
              <w:t>52</w:t>
            </w:r>
          </w:p>
        </w:tc>
      </w:tr>
      <w:tr w:rsidR="00EE533D" w:rsidRPr="00EE533D" w14:paraId="11F0A5CB" w14:textId="77777777" w:rsidTr="00720701">
        <w:trPr>
          <w:trHeight w:val="117"/>
        </w:trPr>
        <w:tc>
          <w:tcPr>
            <w:tcW w:w="2992" w:type="dxa"/>
            <w:tcBorders>
              <w:left w:val="nil"/>
              <w:right w:val="nil"/>
            </w:tcBorders>
            <w:shd w:val="clear" w:color="auto" w:fill="auto"/>
            <w:noWrap/>
            <w:vAlign w:val="bottom"/>
          </w:tcPr>
          <w:p w14:paraId="268D3731"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Time effects</w:t>
            </w:r>
          </w:p>
        </w:tc>
        <w:tc>
          <w:tcPr>
            <w:tcW w:w="2758" w:type="dxa"/>
            <w:gridSpan w:val="2"/>
            <w:tcBorders>
              <w:left w:val="nil"/>
              <w:right w:val="single" w:sz="12" w:space="0" w:color="auto"/>
            </w:tcBorders>
            <w:shd w:val="clear" w:color="auto" w:fill="auto"/>
            <w:noWrap/>
            <w:vAlign w:val="bottom"/>
          </w:tcPr>
          <w:p w14:paraId="128B24DA"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2844" w:type="dxa"/>
            <w:gridSpan w:val="2"/>
            <w:tcBorders>
              <w:left w:val="single" w:sz="12" w:space="0" w:color="auto"/>
              <w:right w:val="single" w:sz="12" w:space="0" w:color="auto"/>
            </w:tcBorders>
            <w:shd w:val="clear" w:color="auto" w:fill="auto"/>
            <w:noWrap/>
            <w:vAlign w:val="bottom"/>
          </w:tcPr>
          <w:p w14:paraId="7F116EB2"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c>
          <w:tcPr>
            <w:tcW w:w="2830" w:type="dxa"/>
            <w:gridSpan w:val="2"/>
            <w:tcBorders>
              <w:left w:val="single" w:sz="12" w:space="0" w:color="auto"/>
            </w:tcBorders>
            <w:vAlign w:val="bottom"/>
          </w:tcPr>
          <w:p w14:paraId="5AD0A902" w14:textId="77777777" w:rsidR="00D0367D" w:rsidRPr="00EE533D" w:rsidRDefault="00D0367D" w:rsidP="00F4319C">
            <w:pPr>
              <w:spacing w:after="0" w:line="240" w:lineRule="auto"/>
              <w:jc w:val="center"/>
              <w:rPr>
                <w:rFonts w:ascii="Times New Roman" w:eastAsia="Times New Roman" w:hAnsi="Times New Roman" w:cs="Times New Roman"/>
                <w:sz w:val="14"/>
                <w:szCs w:val="14"/>
                <w:lang w:val="en-GB"/>
              </w:rPr>
            </w:pPr>
            <w:r w:rsidRPr="00EE533D">
              <w:rPr>
                <w:rFonts w:ascii="Times New Roman" w:eastAsia="Times New Roman" w:hAnsi="Times New Roman" w:cs="Times New Roman"/>
                <w:sz w:val="14"/>
                <w:szCs w:val="14"/>
                <w:lang w:val="en-GB"/>
              </w:rPr>
              <w:t>Yes</w:t>
            </w:r>
          </w:p>
        </w:tc>
      </w:tr>
      <w:tr w:rsidR="00EE533D" w:rsidRPr="00EE533D" w14:paraId="3D2FF474" w14:textId="77777777" w:rsidTr="00720701">
        <w:trPr>
          <w:trHeight w:val="475"/>
        </w:trPr>
        <w:tc>
          <w:tcPr>
            <w:tcW w:w="11427" w:type="dxa"/>
            <w:gridSpan w:val="7"/>
            <w:tcBorders>
              <w:top w:val="single" w:sz="12" w:space="0" w:color="auto"/>
              <w:left w:val="nil"/>
            </w:tcBorders>
            <w:shd w:val="clear" w:color="auto" w:fill="auto"/>
            <w:noWrap/>
          </w:tcPr>
          <w:p w14:paraId="58151E15" w14:textId="77777777" w:rsidR="00D0367D" w:rsidRPr="00EE533D" w:rsidRDefault="00D0367D" w:rsidP="00F4319C">
            <w:pPr>
              <w:spacing w:after="0"/>
              <w:jc w:val="both"/>
              <w:rPr>
                <w:rFonts w:ascii="Times New Roman" w:eastAsia="Times New Roman" w:hAnsi="Times New Roman" w:cs="Times New Roman"/>
                <w:sz w:val="14"/>
                <w:szCs w:val="14"/>
                <w:lang w:val="en-GB" w:eastAsia="el-GR"/>
              </w:rPr>
            </w:pPr>
            <w:r w:rsidRPr="00EE533D">
              <w:rPr>
                <w:rFonts w:ascii="Times New Roman" w:eastAsia="Times New Roman" w:hAnsi="Times New Roman" w:cs="Times New Roman"/>
                <w:b/>
                <w:sz w:val="14"/>
                <w:szCs w:val="14"/>
                <w:lang w:val="en-GB"/>
              </w:rPr>
              <w:t>Notes</w:t>
            </w:r>
            <w:r w:rsidRPr="00EE533D">
              <w:rPr>
                <w:rFonts w:ascii="Times New Roman" w:eastAsia="Times New Roman" w:hAnsi="Times New Roman" w:cs="Times New Roman"/>
                <w:sz w:val="14"/>
                <w:szCs w:val="14"/>
                <w:lang w:val="en-GB"/>
              </w:rPr>
              <w:t xml:space="preserve">: Coefficients are estimated using the two-step Heckman selection model with time effects. </w:t>
            </w:r>
            <w:r w:rsidRPr="00EE533D">
              <w:rPr>
                <w:rFonts w:ascii="Times New Roman" w:eastAsia="Times New Roman" w:hAnsi="Times New Roman" w:cs="Times New Roman"/>
                <w:sz w:val="14"/>
                <w:szCs w:val="14"/>
                <w:lang w:val="en-GB" w:eastAsia="el-GR"/>
              </w:rPr>
              <w:t xml:space="preserve">Standard errors </w:t>
            </w:r>
            <w:r w:rsidRPr="00EE533D">
              <w:rPr>
                <w:rFonts w:ascii="Times New Roman" w:eastAsia="Times New Roman" w:hAnsi="Times New Roman" w:cs="Times New Roman"/>
                <w:sz w:val="14"/>
                <w:szCs w:val="14"/>
                <w:lang w:val="en-GB"/>
              </w:rPr>
              <w:t>are reported in parentheses. * indicates significance at the 10% level, ** at the 5% level and *** at the 1% level.</w:t>
            </w:r>
          </w:p>
        </w:tc>
      </w:tr>
    </w:tbl>
    <w:p w14:paraId="70199851" w14:textId="77777777" w:rsidR="000C6E5D" w:rsidRPr="00EE533D" w:rsidRDefault="000C6E5D" w:rsidP="00BC4C4F">
      <w:pPr>
        <w:spacing w:line="259" w:lineRule="auto"/>
        <w:rPr>
          <w:rFonts w:ascii="Times New Roman" w:hAnsi="Times New Roman" w:cs="Times New Roman"/>
          <w:i/>
          <w:sz w:val="24"/>
          <w:szCs w:val="24"/>
          <w:lang w:val="en-GB"/>
        </w:rPr>
      </w:pPr>
    </w:p>
    <w:sectPr w:rsidR="000C6E5D" w:rsidRPr="00EE533D" w:rsidSect="00BC4C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911C" w14:textId="77777777" w:rsidR="00DF24BA" w:rsidRDefault="00DF24BA" w:rsidP="007467F2">
      <w:pPr>
        <w:spacing w:after="0" w:line="240" w:lineRule="auto"/>
      </w:pPr>
      <w:r>
        <w:separator/>
      </w:r>
    </w:p>
  </w:endnote>
  <w:endnote w:type="continuationSeparator" w:id="0">
    <w:p w14:paraId="0265BE1B" w14:textId="77777777" w:rsidR="00DF24BA" w:rsidRDefault="00DF24BA" w:rsidP="0074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4DF60E">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969699"/>
      <w:docPartObj>
        <w:docPartGallery w:val="Page Numbers (Bottom of Page)"/>
        <w:docPartUnique/>
      </w:docPartObj>
    </w:sdtPr>
    <w:sdtEndPr>
      <w:rPr>
        <w:rFonts w:asciiTheme="majorBidi" w:hAnsiTheme="majorBidi" w:cstheme="majorBidi"/>
      </w:rPr>
    </w:sdtEndPr>
    <w:sdtContent>
      <w:p w14:paraId="6E1D0219" w14:textId="1E2EBA69" w:rsidR="00F4319C" w:rsidRPr="00213BA2" w:rsidRDefault="00F4319C">
        <w:pPr>
          <w:pStyle w:val="Footer"/>
          <w:jc w:val="center"/>
          <w:rPr>
            <w:rFonts w:asciiTheme="majorBidi" w:hAnsiTheme="majorBidi" w:cstheme="majorBidi"/>
          </w:rPr>
        </w:pPr>
        <w:r w:rsidRPr="00213BA2">
          <w:rPr>
            <w:rFonts w:asciiTheme="majorBidi" w:hAnsiTheme="majorBidi" w:cstheme="majorBidi"/>
          </w:rPr>
          <w:fldChar w:fldCharType="begin"/>
        </w:r>
        <w:r w:rsidRPr="00213BA2">
          <w:rPr>
            <w:rFonts w:asciiTheme="majorBidi" w:hAnsiTheme="majorBidi" w:cstheme="majorBidi"/>
          </w:rPr>
          <w:instrText>PAGE   \* MERGEFORMAT</w:instrText>
        </w:r>
        <w:r w:rsidRPr="00213BA2">
          <w:rPr>
            <w:rFonts w:asciiTheme="majorBidi" w:hAnsiTheme="majorBidi" w:cstheme="majorBidi"/>
          </w:rPr>
          <w:fldChar w:fldCharType="separate"/>
        </w:r>
        <w:r w:rsidR="008C2C1C">
          <w:rPr>
            <w:rFonts w:asciiTheme="majorBidi" w:hAnsiTheme="majorBidi" w:cstheme="majorBidi"/>
            <w:noProof/>
          </w:rPr>
          <w:t>1</w:t>
        </w:r>
        <w:r w:rsidRPr="00213BA2">
          <w:rPr>
            <w:rFonts w:asciiTheme="majorBidi" w:hAnsiTheme="majorBidi" w:cstheme="majorBidi"/>
          </w:rPr>
          <w:fldChar w:fldCharType="end"/>
        </w:r>
      </w:p>
    </w:sdtContent>
  </w:sdt>
  <w:p w14:paraId="69E678E8" w14:textId="77777777" w:rsidR="00F4319C" w:rsidRDefault="00F4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4FE0" w14:textId="77777777" w:rsidR="00DF24BA" w:rsidRDefault="00DF24BA" w:rsidP="007467F2">
      <w:pPr>
        <w:spacing w:after="0" w:line="240" w:lineRule="auto"/>
      </w:pPr>
      <w:r>
        <w:separator/>
      </w:r>
    </w:p>
  </w:footnote>
  <w:footnote w:type="continuationSeparator" w:id="0">
    <w:p w14:paraId="2055B02B" w14:textId="77777777" w:rsidR="00DF24BA" w:rsidRDefault="00DF24BA" w:rsidP="007467F2">
      <w:pPr>
        <w:spacing w:after="0" w:line="240" w:lineRule="auto"/>
      </w:pPr>
      <w:r>
        <w:continuationSeparator/>
      </w:r>
    </w:p>
  </w:footnote>
  <w:footnote w:id="1">
    <w:p w14:paraId="25A8E4CC" w14:textId="15AB02F4" w:rsidR="00F4319C" w:rsidRPr="001F67F6" w:rsidRDefault="00F4319C" w:rsidP="007467F2">
      <w:pPr>
        <w:pStyle w:val="FootnoteText"/>
        <w:jc w:val="both"/>
        <w:rPr>
          <w:lang w:val="en-US"/>
        </w:rPr>
      </w:pPr>
      <w:r w:rsidRPr="005A31BC">
        <w:rPr>
          <w:rStyle w:val="FootnoteReference"/>
        </w:rPr>
        <w:footnoteRef/>
      </w:r>
      <w:r w:rsidRPr="001F67F6">
        <w:rPr>
          <w:lang w:val="en-US"/>
        </w:rPr>
        <w:t xml:space="preserve"> </w:t>
      </w:r>
      <w:r w:rsidRPr="0012028E">
        <w:rPr>
          <w:rFonts w:ascii="Times New Roman" w:hAnsi="Times New Roman" w:cs="Times New Roman"/>
          <w:color w:val="FF0000"/>
          <w:lang w:val="en-US"/>
        </w:rPr>
        <w:t>5.5%</w:t>
      </w:r>
      <w:r w:rsidRPr="001F67F6">
        <w:rPr>
          <w:rFonts w:ascii="Times New Roman" w:hAnsi="Times New Roman" w:cs="Times New Roman"/>
          <w:lang w:val="en-US"/>
        </w:rPr>
        <w:t xml:space="preserve"> represents the difference between the exponential value of </w:t>
      </w:r>
      <w:r w:rsidRPr="001F67F6">
        <w:rPr>
          <w:rFonts w:ascii="Times New Roman" w:hAnsi="Times New Roman" w:cs="Times New Roman"/>
          <w:i/>
          <w:iCs/>
          <w:lang w:val="en-US"/>
        </w:rPr>
        <w:t>Recycled Paper</w:t>
      </w:r>
      <w:r w:rsidRPr="00137F7E">
        <w:rPr>
          <w:rFonts w:ascii="Times New Roman" w:hAnsi="Times New Roman" w:cs="Times New Roman"/>
          <w:lang w:val="en-US"/>
        </w:rPr>
        <w:t>’s</w:t>
      </w:r>
      <w:r w:rsidRPr="0025579D">
        <w:rPr>
          <w:rFonts w:ascii="Times New Roman" w:hAnsi="Times New Roman" w:cs="Times New Roman"/>
          <w:lang w:val="en-US"/>
        </w:rPr>
        <w:t xml:space="preserve"> </w:t>
      </w:r>
      <w:r w:rsidRPr="001F67F6">
        <w:rPr>
          <w:rFonts w:ascii="Times New Roman" w:hAnsi="Times New Roman" w:cs="Times New Roman"/>
          <w:lang w:val="en-US"/>
        </w:rPr>
        <w:t xml:space="preserve">coefficient from </w:t>
      </w:r>
      <w:r w:rsidRPr="00A84AF9">
        <w:rPr>
          <w:rFonts w:ascii="Times New Roman" w:hAnsi="Times New Roman" w:cs="Times New Roman"/>
          <w:lang w:val="en-US"/>
        </w:rPr>
        <w:t>column (</w:t>
      </w:r>
      <w:r>
        <w:rPr>
          <w:rFonts w:ascii="Times New Roman" w:hAnsi="Times New Roman" w:cs="Times New Roman"/>
          <w:lang w:val="en-US"/>
        </w:rPr>
        <w:t>6</w:t>
      </w:r>
      <w:r w:rsidRPr="00A84AF9">
        <w:rPr>
          <w:rFonts w:ascii="Times New Roman" w:hAnsi="Times New Roman" w:cs="Times New Roman"/>
          <w:lang w:val="en-US"/>
        </w:rPr>
        <w:t>) and 1.</w:t>
      </w:r>
    </w:p>
  </w:footnote>
  <w:footnote w:id="2">
    <w:p w14:paraId="402C5CA7" w14:textId="2A0B58C7" w:rsidR="00F4319C" w:rsidRPr="00A12642" w:rsidRDefault="00F4319C">
      <w:pPr>
        <w:pStyle w:val="FootnoteText"/>
        <w:rPr>
          <w:rFonts w:ascii="Times New Roman" w:hAnsi="Times New Roman" w:cs="Times New Roman"/>
          <w:lang w:val="en-US"/>
        </w:rPr>
      </w:pPr>
      <w:r w:rsidRPr="005A31BC">
        <w:rPr>
          <w:rStyle w:val="FootnoteReference"/>
        </w:rPr>
        <w:footnoteRef/>
      </w:r>
      <w:r w:rsidRPr="00A12642">
        <w:rPr>
          <w:color w:val="FF0000"/>
          <w:lang w:val="en-US"/>
        </w:rPr>
        <w:t xml:space="preserve"> </w:t>
      </w:r>
      <w:r w:rsidRPr="00A12642">
        <w:rPr>
          <w:rFonts w:ascii="Times New Roman" w:hAnsi="Times New Roman" w:cs="Times New Roman"/>
          <w:color w:val="FF0000"/>
          <w:lang w:val="en-US"/>
        </w:rPr>
        <w:t>We are grateful to one anonymous referee for pointing this econometric issue.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3NTY1NzewMDA2szRW0lEKTi0uzszPAykwrAUAvGe/FywAAAA="/>
  </w:docVars>
  <w:rsids>
    <w:rsidRoot w:val="00B21E5C"/>
    <w:rsid w:val="00001FE2"/>
    <w:rsid w:val="00003E6F"/>
    <w:rsid w:val="00004325"/>
    <w:rsid w:val="000144A6"/>
    <w:rsid w:val="000179AB"/>
    <w:rsid w:val="000321AB"/>
    <w:rsid w:val="00037142"/>
    <w:rsid w:val="00037ECD"/>
    <w:rsid w:val="0004239A"/>
    <w:rsid w:val="00046C71"/>
    <w:rsid w:val="00047D26"/>
    <w:rsid w:val="000516BC"/>
    <w:rsid w:val="000538B7"/>
    <w:rsid w:val="00060573"/>
    <w:rsid w:val="00064DFF"/>
    <w:rsid w:val="000665BC"/>
    <w:rsid w:val="0006666B"/>
    <w:rsid w:val="00070687"/>
    <w:rsid w:val="00076CD3"/>
    <w:rsid w:val="00082E4F"/>
    <w:rsid w:val="00090B8A"/>
    <w:rsid w:val="0009582F"/>
    <w:rsid w:val="000964DA"/>
    <w:rsid w:val="000A57C2"/>
    <w:rsid w:val="000A581E"/>
    <w:rsid w:val="000A62F1"/>
    <w:rsid w:val="000A7F24"/>
    <w:rsid w:val="000B3C13"/>
    <w:rsid w:val="000C3F3E"/>
    <w:rsid w:val="000C5E6C"/>
    <w:rsid w:val="000C6E5D"/>
    <w:rsid w:val="000D4B0F"/>
    <w:rsid w:val="000D5F9A"/>
    <w:rsid w:val="000E0B9A"/>
    <w:rsid w:val="000E6A10"/>
    <w:rsid w:val="000F0CCA"/>
    <w:rsid w:val="000F670F"/>
    <w:rsid w:val="000F7148"/>
    <w:rsid w:val="000F7326"/>
    <w:rsid w:val="00103304"/>
    <w:rsid w:val="00107917"/>
    <w:rsid w:val="001116B7"/>
    <w:rsid w:val="00111BFA"/>
    <w:rsid w:val="00112956"/>
    <w:rsid w:val="0012028E"/>
    <w:rsid w:val="00121171"/>
    <w:rsid w:val="001225F2"/>
    <w:rsid w:val="0012307B"/>
    <w:rsid w:val="00127082"/>
    <w:rsid w:val="00127A34"/>
    <w:rsid w:val="001314D6"/>
    <w:rsid w:val="001324BD"/>
    <w:rsid w:val="00135EA5"/>
    <w:rsid w:val="00136D91"/>
    <w:rsid w:val="0014306A"/>
    <w:rsid w:val="00144A4A"/>
    <w:rsid w:val="001473F1"/>
    <w:rsid w:val="0015252D"/>
    <w:rsid w:val="00162C61"/>
    <w:rsid w:val="001647CA"/>
    <w:rsid w:val="0016558E"/>
    <w:rsid w:val="00165A4E"/>
    <w:rsid w:val="0016781A"/>
    <w:rsid w:val="001812DF"/>
    <w:rsid w:val="00181C1D"/>
    <w:rsid w:val="00181DCE"/>
    <w:rsid w:val="00193ABF"/>
    <w:rsid w:val="00194C00"/>
    <w:rsid w:val="00195495"/>
    <w:rsid w:val="00197849"/>
    <w:rsid w:val="001A04BD"/>
    <w:rsid w:val="001A50EF"/>
    <w:rsid w:val="001B297C"/>
    <w:rsid w:val="001B35F5"/>
    <w:rsid w:val="001B3800"/>
    <w:rsid w:val="001B45AE"/>
    <w:rsid w:val="001B583B"/>
    <w:rsid w:val="001B6DB0"/>
    <w:rsid w:val="001D0997"/>
    <w:rsid w:val="001E0E03"/>
    <w:rsid w:val="001F2BEA"/>
    <w:rsid w:val="001F40A7"/>
    <w:rsid w:val="001F47B3"/>
    <w:rsid w:val="001F4F78"/>
    <w:rsid w:val="00200F48"/>
    <w:rsid w:val="00206054"/>
    <w:rsid w:val="00206600"/>
    <w:rsid w:val="00211AF0"/>
    <w:rsid w:val="00215224"/>
    <w:rsid w:val="00215348"/>
    <w:rsid w:val="00216E35"/>
    <w:rsid w:val="00217EDB"/>
    <w:rsid w:val="00220D25"/>
    <w:rsid w:val="00220E26"/>
    <w:rsid w:val="0022290F"/>
    <w:rsid w:val="00230DC3"/>
    <w:rsid w:val="0023427F"/>
    <w:rsid w:val="00242EBF"/>
    <w:rsid w:val="002439C9"/>
    <w:rsid w:val="002463BD"/>
    <w:rsid w:val="0024715F"/>
    <w:rsid w:val="00251F8F"/>
    <w:rsid w:val="00253AE7"/>
    <w:rsid w:val="0026262F"/>
    <w:rsid w:val="00265937"/>
    <w:rsid w:val="00275EBC"/>
    <w:rsid w:val="0027605B"/>
    <w:rsid w:val="00276689"/>
    <w:rsid w:val="002772B8"/>
    <w:rsid w:val="00277D94"/>
    <w:rsid w:val="002805B0"/>
    <w:rsid w:val="00282B32"/>
    <w:rsid w:val="00283439"/>
    <w:rsid w:val="00290CC4"/>
    <w:rsid w:val="00291E9D"/>
    <w:rsid w:val="00297097"/>
    <w:rsid w:val="002A23F2"/>
    <w:rsid w:val="002A35BE"/>
    <w:rsid w:val="002A647D"/>
    <w:rsid w:val="002B15BD"/>
    <w:rsid w:val="002B1EDD"/>
    <w:rsid w:val="002B2B98"/>
    <w:rsid w:val="002B4176"/>
    <w:rsid w:val="002C2FCA"/>
    <w:rsid w:val="002C421A"/>
    <w:rsid w:val="002C705A"/>
    <w:rsid w:val="002D505C"/>
    <w:rsid w:val="002E42CE"/>
    <w:rsid w:val="002E67CB"/>
    <w:rsid w:val="002E6C7C"/>
    <w:rsid w:val="002F335C"/>
    <w:rsid w:val="002F36A5"/>
    <w:rsid w:val="002F4340"/>
    <w:rsid w:val="003046B7"/>
    <w:rsid w:val="00307ECC"/>
    <w:rsid w:val="00314C32"/>
    <w:rsid w:val="0031587E"/>
    <w:rsid w:val="0031721B"/>
    <w:rsid w:val="00321E05"/>
    <w:rsid w:val="00323AB3"/>
    <w:rsid w:val="00323D69"/>
    <w:rsid w:val="00337393"/>
    <w:rsid w:val="00337BB4"/>
    <w:rsid w:val="00346BCB"/>
    <w:rsid w:val="00352A33"/>
    <w:rsid w:val="00352AF3"/>
    <w:rsid w:val="003551D5"/>
    <w:rsid w:val="0035677E"/>
    <w:rsid w:val="00364498"/>
    <w:rsid w:val="0036528F"/>
    <w:rsid w:val="003659D0"/>
    <w:rsid w:val="0036633D"/>
    <w:rsid w:val="00374856"/>
    <w:rsid w:val="0038232F"/>
    <w:rsid w:val="00382C06"/>
    <w:rsid w:val="003850C6"/>
    <w:rsid w:val="00385EFC"/>
    <w:rsid w:val="00386EA9"/>
    <w:rsid w:val="00392416"/>
    <w:rsid w:val="00393BC0"/>
    <w:rsid w:val="00394669"/>
    <w:rsid w:val="00396617"/>
    <w:rsid w:val="003A7C48"/>
    <w:rsid w:val="003B15B6"/>
    <w:rsid w:val="003B45D8"/>
    <w:rsid w:val="003B51E4"/>
    <w:rsid w:val="003C2439"/>
    <w:rsid w:val="003C3E5C"/>
    <w:rsid w:val="003C74AA"/>
    <w:rsid w:val="003D1ABE"/>
    <w:rsid w:val="003D2D84"/>
    <w:rsid w:val="003D3028"/>
    <w:rsid w:val="003D3478"/>
    <w:rsid w:val="003D6EBD"/>
    <w:rsid w:val="003E2BDB"/>
    <w:rsid w:val="003E3764"/>
    <w:rsid w:val="003E5882"/>
    <w:rsid w:val="003E6381"/>
    <w:rsid w:val="003F1876"/>
    <w:rsid w:val="003F31F0"/>
    <w:rsid w:val="003F4D4E"/>
    <w:rsid w:val="00407231"/>
    <w:rsid w:val="00412D79"/>
    <w:rsid w:val="00414A93"/>
    <w:rsid w:val="00415610"/>
    <w:rsid w:val="00415A4B"/>
    <w:rsid w:val="00415F57"/>
    <w:rsid w:val="00416249"/>
    <w:rsid w:val="00422680"/>
    <w:rsid w:val="00424AF8"/>
    <w:rsid w:val="0043060F"/>
    <w:rsid w:val="004331FE"/>
    <w:rsid w:val="004418D7"/>
    <w:rsid w:val="004503BC"/>
    <w:rsid w:val="00461290"/>
    <w:rsid w:val="0047596B"/>
    <w:rsid w:val="00481993"/>
    <w:rsid w:val="004821F3"/>
    <w:rsid w:val="0048290E"/>
    <w:rsid w:val="00484468"/>
    <w:rsid w:val="00496B09"/>
    <w:rsid w:val="004979E9"/>
    <w:rsid w:val="004A26F7"/>
    <w:rsid w:val="004A5878"/>
    <w:rsid w:val="004A6E6B"/>
    <w:rsid w:val="004C36AB"/>
    <w:rsid w:val="004D3BC2"/>
    <w:rsid w:val="004D5700"/>
    <w:rsid w:val="004E0AD2"/>
    <w:rsid w:val="004E0E3D"/>
    <w:rsid w:val="004E3F5F"/>
    <w:rsid w:val="004E6A91"/>
    <w:rsid w:val="004E6B32"/>
    <w:rsid w:val="004E7286"/>
    <w:rsid w:val="004F4862"/>
    <w:rsid w:val="004F5E1F"/>
    <w:rsid w:val="004F62BB"/>
    <w:rsid w:val="00507188"/>
    <w:rsid w:val="00510AAB"/>
    <w:rsid w:val="0051302E"/>
    <w:rsid w:val="005173B2"/>
    <w:rsid w:val="00522EA1"/>
    <w:rsid w:val="00530393"/>
    <w:rsid w:val="00530F4E"/>
    <w:rsid w:val="005375AA"/>
    <w:rsid w:val="005417B3"/>
    <w:rsid w:val="005438CF"/>
    <w:rsid w:val="00545D1D"/>
    <w:rsid w:val="00550A17"/>
    <w:rsid w:val="00550D3B"/>
    <w:rsid w:val="005556DB"/>
    <w:rsid w:val="0055654F"/>
    <w:rsid w:val="005638C6"/>
    <w:rsid w:val="005653AB"/>
    <w:rsid w:val="005704FE"/>
    <w:rsid w:val="00572625"/>
    <w:rsid w:val="00574D16"/>
    <w:rsid w:val="00575BAF"/>
    <w:rsid w:val="00585203"/>
    <w:rsid w:val="00586BB1"/>
    <w:rsid w:val="00587085"/>
    <w:rsid w:val="0059253C"/>
    <w:rsid w:val="00593A8C"/>
    <w:rsid w:val="00595D11"/>
    <w:rsid w:val="00595D86"/>
    <w:rsid w:val="005979B0"/>
    <w:rsid w:val="005A21C2"/>
    <w:rsid w:val="005A31BC"/>
    <w:rsid w:val="005A554F"/>
    <w:rsid w:val="005A60C5"/>
    <w:rsid w:val="005A6142"/>
    <w:rsid w:val="005A767E"/>
    <w:rsid w:val="005A7F64"/>
    <w:rsid w:val="005B25E9"/>
    <w:rsid w:val="005B474E"/>
    <w:rsid w:val="005B5378"/>
    <w:rsid w:val="005C54D3"/>
    <w:rsid w:val="005C54D8"/>
    <w:rsid w:val="005C67BC"/>
    <w:rsid w:val="005D011F"/>
    <w:rsid w:val="005D7CB5"/>
    <w:rsid w:val="005E79CD"/>
    <w:rsid w:val="005F2695"/>
    <w:rsid w:val="005F3D96"/>
    <w:rsid w:val="005F5E21"/>
    <w:rsid w:val="005F5ECB"/>
    <w:rsid w:val="005F7034"/>
    <w:rsid w:val="005F7BAA"/>
    <w:rsid w:val="0060759F"/>
    <w:rsid w:val="00610AD1"/>
    <w:rsid w:val="00610B22"/>
    <w:rsid w:val="006111A9"/>
    <w:rsid w:val="006145D8"/>
    <w:rsid w:val="0062162E"/>
    <w:rsid w:val="00627665"/>
    <w:rsid w:val="00641E4D"/>
    <w:rsid w:val="00643943"/>
    <w:rsid w:val="006453A6"/>
    <w:rsid w:val="00653ADA"/>
    <w:rsid w:val="006609AE"/>
    <w:rsid w:val="00663ABC"/>
    <w:rsid w:val="00665215"/>
    <w:rsid w:val="00676AFD"/>
    <w:rsid w:val="0068562D"/>
    <w:rsid w:val="00691CB2"/>
    <w:rsid w:val="0069214D"/>
    <w:rsid w:val="00693D4D"/>
    <w:rsid w:val="00694769"/>
    <w:rsid w:val="00697965"/>
    <w:rsid w:val="006B06D8"/>
    <w:rsid w:val="006B3838"/>
    <w:rsid w:val="006B424F"/>
    <w:rsid w:val="006B5749"/>
    <w:rsid w:val="006B5FFA"/>
    <w:rsid w:val="006B6C0A"/>
    <w:rsid w:val="006B6CA8"/>
    <w:rsid w:val="006C15C7"/>
    <w:rsid w:val="006C6272"/>
    <w:rsid w:val="006D1326"/>
    <w:rsid w:val="006D48B3"/>
    <w:rsid w:val="006D592E"/>
    <w:rsid w:val="006E03E9"/>
    <w:rsid w:val="006E0DB5"/>
    <w:rsid w:val="006E192F"/>
    <w:rsid w:val="006F53E6"/>
    <w:rsid w:val="00701AD8"/>
    <w:rsid w:val="007060B5"/>
    <w:rsid w:val="007109D0"/>
    <w:rsid w:val="00715BFB"/>
    <w:rsid w:val="00715FF5"/>
    <w:rsid w:val="00720701"/>
    <w:rsid w:val="00721168"/>
    <w:rsid w:val="00721A32"/>
    <w:rsid w:val="007221DE"/>
    <w:rsid w:val="0072558D"/>
    <w:rsid w:val="0073111E"/>
    <w:rsid w:val="00735214"/>
    <w:rsid w:val="007360E9"/>
    <w:rsid w:val="0074196D"/>
    <w:rsid w:val="00742E35"/>
    <w:rsid w:val="00742EAA"/>
    <w:rsid w:val="007453B2"/>
    <w:rsid w:val="007467F2"/>
    <w:rsid w:val="00747F95"/>
    <w:rsid w:val="00754E3A"/>
    <w:rsid w:val="00756641"/>
    <w:rsid w:val="00757D35"/>
    <w:rsid w:val="00760AAD"/>
    <w:rsid w:val="00762D5C"/>
    <w:rsid w:val="00773F54"/>
    <w:rsid w:val="00775877"/>
    <w:rsid w:val="007819D9"/>
    <w:rsid w:val="0078317C"/>
    <w:rsid w:val="00791C92"/>
    <w:rsid w:val="00795229"/>
    <w:rsid w:val="007956D2"/>
    <w:rsid w:val="007A2A23"/>
    <w:rsid w:val="007A4A8D"/>
    <w:rsid w:val="007A6BB1"/>
    <w:rsid w:val="007B3295"/>
    <w:rsid w:val="007B6B63"/>
    <w:rsid w:val="007C6D56"/>
    <w:rsid w:val="007D32F1"/>
    <w:rsid w:val="007D3955"/>
    <w:rsid w:val="007E072D"/>
    <w:rsid w:val="007E1803"/>
    <w:rsid w:val="007E728A"/>
    <w:rsid w:val="007E7AC3"/>
    <w:rsid w:val="007F17C7"/>
    <w:rsid w:val="007F5EE5"/>
    <w:rsid w:val="00800985"/>
    <w:rsid w:val="00810C30"/>
    <w:rsid w:val="008124DC"/>
    <w:rsid w:val="00813624"/>
    <w:rsid w:val="0081386E"/>
    <w:rsid w:val="00814C6B"/>
    <w:rsid w:val="008424FA"/>
    <w:rsid w:val="0084786C"/>
    <w:rsid w:val="00854491"/>
    <w:rsid w:val="00863809"/>
    <w:rsid w:val="00864837"/>
    <w:rsid w:val="00871FC0"/>
    <w:rsid w:val="00876572"/>
    <w:rsid w:val="00880DA2"/>
    <w:rsid w:val="00882EC9"/>
    <w:rsid w:val="00884385"/>
    <w:rsid w:val="00891797"/>
    <w:rsid w:val="00891B48"/>
    <w:rsid w:val="00893173"/>
    <w:rsid w:val="00896A8D"/>
    <w:rsid w:val="008A659A"/>
    <w:rsid w:val="008B08D0"/>
    <w:rsid w:val="008B253A"/>
    <w:rsid w:val="008B58DD"/>
    <w:rsid w:val="008C034B"/>
    <w:rsid w:val="008C23CD"/>
    <w:rsid w:val="008C2C1C"/>
    <w:rsid w:val="008C3CB0"/>
    <w:rsid w:val="008D217A"/>
    <w:rsid w:val="008D5E03"/>
    <w:rsid w:val="008D7B60"/>
    <w:rsid w:val="008E0D04"/>
    <w:rsid w:val="008E3881"/>
    <w:rsid w:val="008E4AA7"/>
    <w:rsid w:val="008E6A58"/>
    <w:rsid w:val="008E7A5F"/>
    <w:rsid w:val="008F0F6A"/>
    <w:rsid w:val="008F35BA"/>
    <w:rsid w:val="008F7AAF"/>
    <w:rsid w:val="0090480D"/>
    <w:rsid w:val="00905332"/>
    <w:rsid w:val="00915287"/>
    <w:rsid w:val="009155FA"/>
    <w:rsid w:val="00915DDA"/>
    <w:rsid w:val="009162FB"/>
    <w:rsid w:val="009164F6"/>
    <w:rsid w:val="00917DD9"/>
    <w:rsid w:val="0092172E"/>
    <w:rsid w:val="00926BB3"/>
    <w:rsid w:val="00930A84"/>
    <w:rsid w:val="009365D1"/>
    <w:rsid w:val="00937102"/>
    <w:rsid w:val="0094177B"/>
    <w:rsid w:val="00941BD1"/>
    <w:rsid w:val="00943076"/>
    <w:rsid w:val="00950E18"/>
    <w:rsid w:val="00953F38"/>
    <w:rsid w:val="009570DC"/>
    <w:rsid w:val="00957316"/>
    <w:rsid w:val="00961B23"/>
    <w:rsid w:val="0096699E"/>
    <w:rsid w:val="00966AF3"/>
    <w:rsid w:val="00966F49"/>
    <w:rsid w:val="0097003E"/>
    <w:rsid w:val="00970379"/>
    <w:rsid w:val="00972440"/>
    <w:rsid w:val="00983A87"/>
    <w:rsid w:val="00984592"/>
    <w:rsid w:val="0098495C"/>
    <w:rsid w:val="00985A5A"/>
    <w:rsid w:val="00987810"/>
    <w:rsid w:val="009921A7"/>
    <w:rsid w:val="00994D19"/>
    <w:rsid w:val="009A07FA"/>
    <w:rsid w:val="009A1DE1"/>
    <w:rsid w:val="009A2598"/>
    <w:rsid w:val="009A3429"/>
    <w:rsid w:val="009A4015"/>
    <w:rsid w:val="009A4618"/>
    <w:rsid w:val="009A6DCA"/>
    <w:rsid w:val="009B10A5"/>
    <w:rsid w:val="009C4656"/>
    <w:rsid w:val="009C7561"/>
    <w:rsid w:val="009D0188"/>
    <w:rsid w:val="009E2003"/>
    <w:rsid w:val="009E3855"/>
    <w:rsid w:val="009E52D1"/>
    <w:rsid w:val="009F1857"/>
    <w:rsid w:val="009F257E"/>
    <w:rsid w:val="009F7815"/>
    <w:rsid w:val="009F79A1"/>
    <w:rsid w:val="009F7CD5"/>
    <w:rsid w:val="00A00B42"/>
    <w:rsid w:val="00A020F2"/>
    <w:rsid w:val="00A02C5A"/>
    <w:rsid w:val="00A105CB"/>
    <w:rsid w:val="00A11AF6"/>
    <w:rsid w:val="00A12642"/>
    <w:rsid w:val="00A20277"/>
    <w:rsid w:val="00A27FD3"/>
    <w:rsid w:val="00A445C1"/>
    <w:rsid w:val="00A44647"/>
    <w:rsid w:val="00A4753D"/>
    <w:rsid w:val="00A50812"/>
    <w:rsid w:val="00A52FAD"/>
    <w:rsid w:val="00A619B2"/>
    <w:rsid w:val="00A70D37"/>
    <w:rsid w:val="00A7132F"/>
    <w:rsid w:val="00A725F3"/>
    <w:rsid w:val="00A728A6"/>
    <w:rsid w:val="00A7457E"/>
    <w:rsid w:val="00A75F81"/>
    <w:rsid w:val="00A7789F"/>
    <w:rsid w:val="00A81256"/>
    <w:rsid w:val="00A94872"/>
    <w:rsid w:val="00AA4ABE"/>
    <w:rsid w:val="00AB18E6"/>
    <w:rsid w:val="00AB3124"/>
    <w:rsid w:val="00AB3374"/>
    <w:rsid w:val="00AB4B9D"/>
    <w:rsid w:val="00AB6646"/>
    <w:rsid w:val="00AC0C3E"/>
    <w:rsid w:val="00AC5BED"/>
    <w:rsid w:val="00AD06E9"/>
    <w:rsid w:val="00AE64AE"/>
    <w:rsid w:val="00AE74A3"/>
    <w:rsid w:val="00AF1DDE"/>
    <w:rsid w:val="00AF6F53"/>
    <w:rsid w:val="00AF7559"/>
    <w:rsid w:val="00AF774F"/>
    <w:rsid w:val="00B00AF8"/>
    <w:rsid w:val="00B0499F"/>
    <w:rsid w:val="00B14703"/>
    <w:rsid w:val="00B21E5C"/>
    <w:rsid w:val="00B224D8"/>
    <w:rsid w:val="00B261D8"/>
    <w:rsid w:val="00B319DA"/>
    <w:rsid w:val="00B353DB"/>
    <w:rsid w:val="00B47325"/>
    <w:rsid w:val="00B475B2"/>
    <w:rsid w:val="00B50723"/>
    <w:rsid w:val="00B52A3A"/>
    <w:rsid w:val="00B573CB"/>
    <w:rsid w:val="00B6158C"/>
    <w:rsid w:val="00B63F13"/>
    <w:rsid w:val="00B64246"/>
    <w:rsid w:val="00B65CBA"/>
    <w:rsid w:val="00B667AB"/>
    <w:rsid w:val="00B72260"/>
    <w:rsid w:val="00B80176"/>
    <w:rsid w:val="00B81693"/>
    <w:rsid w:val="00B87CC8"/>
    <w:rsid w:val="00B91847"/>
    <w:rsid w:val="00B946BF"/>
    <w:rsid w:val="00B94AD3"/>
    <w:rsid w:val="00B95BA9"/>
    <w:rsid w:val="00BA091D"/>
    <w:rsid w:val="00BA12C5"/>
    <w:rsid w:val="00BA307C"/>
    <w:rsid w:val="00BA3BE1"/>
    <w:rsid w:val="00BA4584"/>
    <w:rsid w:val="00BA5CAA"/>
    <w:rsid w:val="00BB4A00"/>
    <w:rsid w:val="00BB7CB8"/>
    <w:rsid w:val="00BC46C7"/>
    <w:rsid w:val="00BC4C4F"/>
    <w:rsid w:val="00BD72F8"/>
    <w:rsid w:val="00BD771F"/>
    <w:rsid w:val="00BD7A10"/>
    <w:rsid w:val="00BE55BA"/>
    <w:rsid w:val="00BE7EA2"/>
    <w:rsid w:val="00BF2423"/>
    <w:rsid w:val="00BF36FA"/>
    <w:rsid w:val="00BF4B76"/>
    <w:rsid w:val="00C027C1"/>
    <w:rsid w:val="00C06FA8"/>
    <w:rsid w:val="00C07859"/>
    <w:rsid w:val="00C1777A"/>
    <w:rsid w:val="00C20342"/>
    <w:rsid w:val="00C22B81"/>
    <w:rsid w:val="00C22C36"/>
    <w:rsid w:val="00C2488D"/>
    <w:rsid w:val="00C24FAB"/>
    <w:rsid w:val="00C3098A"/>
    <w:rsid w:val="00C333E1"/>
    <w:rsid w:val="00C4372E"/>
    <w:rsid w:val="00C44D5C"/>
    <w:rsid w:val="00C52008"/>
    <w:rsid w:val="00C52107"/>
    <w:rsid w:val="00C53F69"/>
    <w:rsid w:val="00C57D66"/>
    <w:rsid w:val="00C6326E"/>
    <w:rsid w:val="00C63BB0"/>
    <w:rsid w:val="00C70E0A"/>
    <w:rsid w:val="00C80041"/>
    <w:rsid w:val="00C82F61"/>
    <w:rsid w:val="00C906FA"/>
    <w:rsid w:val="00C933CB"/>
    <w:rsid w:val="00C968AD"/>
    <w:rsid w:val="00CA0F05"/>
    <w:rsid w:val="00CA3E0E"/>
    <w:rsid w:val="00CA4E8C"/>
    <w:rsid w:val="00CA7F8E"/>
    <w:rsid w:val="00CB3841"/>
    <w:rsid w:val="00CB3C23"/>
    <w:rsid w:val="00CB651E"/>
    <w:rsid w:val="00CB7799"/>
    <w:rsid w:val="00CB79B5"/>
    <w:rsid w:val="00CB7BE8"/>
    <w:rsid w:val="00CC017C"/>
    <w:rsid w:val="00CC1F59"/>
    <w:rsid w:val="00CC6057"/>
    <w:rsid w:val="00CD454E"/>
    <w:rsid w:val="00CD508A"/>
    <w:rsid w:val="00CE04FD"/>
    <w:rsid w:val="00CE5E1D"/>
    <w:rsid w:val="00CE6296"/>
    <w:rsid w:val="00CE7015"/>
    <w:rsid w:val="00D01AFB"/>
    <w:rsid w:val="00D01C67"/>
    <w:rsid w:val="00D01D18"/>
    <w:rsid w:val="00D0367D"/>
    <w:rsid w:val="00D041A4"/>
    <w:rsid w:val="00D11184"/>
    <w:rsid w:val="00D11C0E"/>
    <w:rsid w:val="00D12F34"/>
    <w:rsid w:val="00D139D6"/>
    <w:rsid w:val="00D14F55"/>
    <w:rsid w:val="00D174BC"/>
    <w:rsid w:val="00D235A6"/>
    <w:rsid w:val="00D24A9E"/>
    <w:rsid w:val="00D30D81"/>
    <w:rsid w:val="00D32AA7"/>
    <w:rsid w:val="00D35F54"/>
    <w:rsid w:val="00D45141"/>
    <w:rsid w:val="00D45BCF"/>
    <w:rsid w:val="00D460CC"/>
    <w:rsid w:val="00D47817"/>
    <w:rsid w:val="00D479A5"/>
    <w:rsid w:val="00D52F0C"/>
    <w:rsid w:val="00D5656D"/>
    <w:rsid w:val="00D56C5F"/>
    <w:rsid w:val="00D57B98"/>
    <w:rsid w:val="00D615C8"/>
    <w:rsid w:val="00D6514C"/>
    <w:rsid w:val="00D656A8"/>
    <w:rsid w:val="00D664ED"/>
    <w:rsid w:val="00D706F1"/>
    <w:rsid w:val="00D711D3"/>
    <w:rsid w:val="00D7136F"/>
    <w:rsid w:val="00D714FD"/>
    <w:rsid w:val="00D8043F"/>
    <w:rsid w:val="00D82691"/>
    <w:rsid w:val="00D84B7F"/>
    <w:rsid w:val="00D8651B"/>
    <w:rsid w:val="00D865F7"/>
    <w:rsid w:val="00D86AF0"/>
    <w:rsid w:val="00D91518"/>
    <w:rsid w:val="00D94A09"/>
    <w:rsid w:val="00DA6B22"/>
    <w:rsid w:val="00DA7A93"/>
    <w:rsid w:val="00DB0FA7"/>
    <w:rsid w:val="00DB2C26"/>
    <w:rsid w:val="00DB404E"/>
    <w:rsid w:val="00DB4F5D"/>
    <w:rsid w:val="00DB75BE"/>
    <w:rsid w:val="00DC1E6F"/>
    <w:rsid w:val="00DC295F"/>
    <w:rsid w:val="00DD10B1"/>
    <w:rsid w:val="00DD5231"/>
    <w:rsid w:val="00DD716D"/>
    <w:rsid w:val="00DE58DA"/>
    <w:rsid w:val="00DE7F25"/>
    <w:rsid w:val="00DF24BA"/>
    <w:rsid w:val="00E01CED"/>
    <w:rsid w:val="00E01FDB"/>
    <w:rsid w:val="00E047FF"/>
    <w:rsid w:val="00E05DCC"/>
    <w:rsid w:val="00E11EB6"/>
    <w:rsid w:val="00E1274B"/>
    <w:rsid w:val="00E13F82"/>
    <w:rsid w:val="00E17F3D"/>
    <w:rsid w:val="00E36A71"/>
    <w:rsid w:val="00E400C0"/>
    <w:rsid w:val="00E407C5"/>
    <w:rsid w:val="00E44B8A"/>
    <w:rsid w:val="00E504F0"/>
    <w:rsid w:val="00E53B92"/>
    <w:rsid w:val="00E56032"/>
    <w:rsid w:val="00E577D0"/>
    <w:rsid w:val="00E609DB"/>
    <w:rsid w:val="00E63D0D"/>
    <w:rsid w:val="00E67C39"/>
    <w:rsid w:val="00E7295D"/>
    <w:rsid w:val="00E807D2"/>
    <w:rsid w:val="00E85CF1"/>
    <w:rsid w:val="00E910CE"/>
    <w:rsid w:val="00E93080"/>
    <w:rsid w:val="00EA044C"/>
    <w:rsid w:val="00EA506A"/>
    <w:rsid w:val="00EA704B"/>
    <w:rsid w:val="00EB2875"/>
    <w:rsid w:val="00EB6058"/>
    <w:rsid w:val="00EC272B"/>
    <w:rsid w:val="00ED4A55"/>
    <w:rsid w:val="00ED7FCB"/>
    <w:rsid w:val="00EE1A10"/>
    <w:rsid w:val="00EE1A81"/>
    <w:rsid w:val="00EE2C32"/>
    <w:rsid w:val="00EE4CBA"/>
    <w:rsid w:val="00EE533D"/>
    <w:rsid w:val="00EF0FE9"/>
    <w:rsid w:val="00EF2193"/>
    <w:rsid w:val="00F048FF"/>
    <w:rsid w:val="00F16666"/>
    <w:rsid w:val="00F16C1E"/>
    <w:rsid w:val="00F27810"/>
    <w:rsid w:val="00F3157F"/>
    <w:rsid w:val="00F31F4D"/>
    <w:rsid w:val="00F326B9"/>
    <w:rsid w:val="00F32EAC"/>
    <w:rsid w:val="00F3315D"/>
    <w:rsid w:val="00F3398C"/>
    <w:rsid w:val="00F352E9"/>
    <w:rsid w:val="00F35D3E"/>
    <w:rsid w:val="00F406BD"/>
    <w:rsid w:val="00F4319C"/>
    <w:rsid w:val="00F44781"/>
    <w:rsid w:val="00F529ED"/>
    <w:rsid w:val="00F53344"/>
    <w:rsid w:val="00F56466"/>
    <w:rsid w:val="00F5693E"/>
    <w:rsid w:val="00F57A38"/>
    <w:rsid w:val="00F66670"/>
    <w:rsid w:val="00F70354"/>
    <w:rsid w:val="00F84A4A"/>
    <w:rsid w:val="00F84E17"/>
    <w:rsid w:val="00F85727"/>
    <w:rsid w:val="00F872CE"/>
    <w:rsid w:val="00F91002"/>
    <w:rsid w:val="00F977FE"/>
    <w:rsid w:val="00F97B75"/>
    <w:rsid w:val="00F97F30"/>
    <w:rsid w:val="00FA0DE4"/>
    <w:rsid w:val="00FB4B01"/>
    <w:rsid w:val="00FB607D"/>
    <w:rsid w:val="00FB69E8"/>
    <w:rsid w:val="00FC31D5"/>
    <w:rsid w:val="00FC4143"/>
    <w:rsid w:val="00FC75C5"/>
    <w:rsid w:val="00FD4E1E"/>
    <w:rsid w:val="00FF17D5"/>
    <w:rsid w:val="00FF6341"/>
    <w:rsid w:val="00FF6D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C2AD2"/>
  <w15:chartTrackingRefBased/>
  <w15:docId w15:val="{E41C839C-3ED5-4C36-8498-D1401071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5C"/>
    <w:pPr>
      <w:spacing w:line="256" w:lineRule="auto"/>
    </w:pPr>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B21E5C"/>
  </w:style>
  <w:style w:type="character" w:customStyle="1" w:styleId="tlid-translation">
    <w:name w:val="tlid-translation"/>
    <w:basedOn w:val="DefaultParagraphFont"/>
    <w:rsid w:val="00B21E5C"/>
  </w:style>
  <w:style w:type="paragraph" w:styleId="CommentText">
    <w:name w:val="annotation text"/>
    <w:basedOn w:val="Normal"/>
    <w:link w:val="CommentTextChar"/>
    <w:uiPriority w:val="99"/>
    <w:unhideWhenUsed/>
    <w:rsid w:val="00641E4D"/>
    <w:pPr>
      <w:spacing w:line="240" w:lineRule="auto"/>
    </w:pPr>
    <w:rPr>
      <w:sz w:val="20"/>
      <w:szCs w:val="20"/>
    </w:rPr>
  </w:style>
  <w:style w:type="character" w:customStyle="1" w:styleId="CommentTextChar">
    <w:name w:val="Comment Text Char"/>
    <w:basedOn w:val="DefaultParagraphFont"/>
    <w:link w:val="CommentText"/>
    <w:uiPriority w:val="99"/>
    <w:rsid w:val="00641E4D"/>
    <w:rPr>
      <w:sz w:val="20"/>
      <w:szCs w:val="20"/>
      <w:lang w:bidi="ar-DZ"/>
    </w:rPr>
  </w:style>
  <w:style w:type="character" w:styleId="Emphasis">
    <w:name w:val="Emphasis"/>
    <w:basedOn w:val="DefaultParagraphFont"/>
    <w:uiPriority w:val="20"/>
    <w:qFormat/>
    <w:rsid w:val="00641E4D"/>
    <w:rPr>
      <w:i/>
      <w:iCs/>
    </w:rPr>
  </w:style>
  <w:style w:type="paragraph" w:styleId="NormalWeb">
    <w:name w:val="Normal (Web)"/>
    <w:basedOn w:val="Normal"/>
    <w:uiPriority w:val="99"/>
    <w:unhideWhenUsed/>
    <w:rsid w:val="00641E4D"/>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customStyle="1" w:styleId="anchor-text">
    <w:name w:val="anchor-text"/>
    <w:basedOn w:val="DefaultParagraphFont"/>
    <w:rsid w:val="00641E4D"/>
  </w:style>
  <w:style w:type="paragraph" w:customStyle="1" w:styleId="Default">
    <w:name w:val="Default"/>
    <w:rsid w:val="00641E4D"/>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7467F2"/>
    <w:pPr>
      <w:spacing w:after="0" w:line="240" w:lineRule="auto"/>
      <w:ind w:left="720" w:hanging="720"/>
    </w:pPr>
  </w:style>
  <w:style w:type="character" w:customStyle="1" w:styleId="HeaderChar">
    <w:name w:val="Header Char"/>
    <w:basedOn w:val="DefaultParagraphFont"/>
    <w:link w:val="Header"/>
    <w:uiPriority w:val="99"/>
    <w:rsid w:val="007467F2"/>
    <w:rPr>
      <w:lang w:bidi="ar-DZ"/>
    </w:rPr>
  </w:style>
  <w:style w:type="paragraph" w:styleId="Header">
    <w:name w:val="header"/>
    <w:basedOn w:val="Normal"/>
    <w:link w:val="HeaderChar"/>
    <w:uiPriority w:val="99"/>
    <w:unhideWhenUsed/>
    <w:rsid w:val="007467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7F2"/>
    <w:rPr>
      <w:lang w:bidi="ar-DZ"/>
    </w:rPr>
  </w:style>
  <w:style w:type="paragraph" w:styleId="Footer">
    <w:name w:val="footer"/>
    <w:basedOn w:val="Normal"/>
    <w:link w:val="FooterChar"/>
    <w:uiPriority w:val="99"/>
    <w:unhideWhenUsed/>
    <w:rsid w:val="007467F2"/>
    <w:pPr>
      <w:tabs>
        <w:tab w:val="center" w:pos="4536"/>
        <w:tab w:val="right" w:pos="9072"/>
      </w:tabs>
      <w:spacing w:after="0" w:line="240" w:lineRule="auto"/>
    </w:pPr>
  </w:style>
  <w:style w:type="character" w:customStyle="1" w:styleId="CommentSubjectChar">
    <w:name w:val="Comment Subject Char"/>
    <w:basedOn w:val="CommentTextChar"/>
    <w:link w:val="CommentSubject"/>
    <w:uiPriority w:val="99"/>
    <w:semiHidden/>
    <w:rsid w:val="007467F2"/>
    <w:rPr>
      <w:b/>
      <w:bCs/>
      <w:sz w:val="20"/>
      <w:szCs w:val="20"/>
      <w:lang w:bidi="ar-DZ"/>
    </w:rPr>
  </w:style>
  <w:style w:type="paragraph" w:styleId="CommentSubject">
    <w:name w:val="annotation subject"/>
    <w:basedOn w:val="CommentText"/>
    <w:next w:val="CommentText"/>
    <w:link w:val="CommentSubjectChar"/>
    <w:uiPriority w:val="99"/>
    <w:semiHidden/>
    <w:unhideWhenUsed/>
    <w:rsid w:val="007467F2"/>
    <w:rPr>
      <w:b/>
      <w:bCs/>
    </w:rPr>
  </w:style>
  <w:style w:type="character" w:customStyle="1" w:styleId="BalloonTextChar">
    <w:name w:val="Balloon Text Char"/>
    <w:basedOn w:val="DefaultParagraphFont"/>
    <w:link w:val="BalloonText"/>
    <w:uiPriority w:val="99"/>
    <w:semiHidden/>
    <w:rsid w:val="007467F2"/>
    <w:rPr>
      <w:rFonts w:ascii="Segoe UI" w:hAnsi="Segoe UI" w:cs="Segoe UI"/>
      <w:sz w:val="18"/>
      <w:szCs w:val="18"/>
      <w:lang w:bidi="ar-DZ"/>
    </w:rPr>
  </w:style>
  <w:style w:type="paragraph" w:styleId="BalloonText">
    <w:name w:val="Balloon Text"/>
    <w:basedOn w:val="Normal"/>
    <w:link w:val="BalloonTextChar"/>
    <w:uiPriority w:val="99"/>
    <w:semiHidden/>
    <w:unhideWhenUsed/>
    <w:rsid w:val="007467F2"/>
    <w:pPr>
      <w:spacing w:after="0" w:line="240" w:lineRule="auto"/>
    </w:pPr>
    <w:rPr>
      <w:rFonts w:ascii="Segoe UI" w:hAnsi="Segoe UI" w:cs="Segoe UI"/>
      <w:sz w:val="18"/>
      <w:szCs w:val="18"/>
    </w:rPr>
  </w:style>
  <w:style w:type="character" w:customStyle="1" w:styleId="FootnoteTextChar">
    <w:name w:val="Footnote Text Char"/>
    <w:basedOn w:val="DefaultParagraphFont"/>
    <w:link w:val="FootnoteText"/>
    <w:uiPriority w:val="99"/>
    <w:semiHidden/>
    <w:rsid w:val="007467F2"/>
    <w:rPr>
      <w:sz w:val="20"/>
      <w:szCs w:val="20"/>
      <w:lang w:bidi="ar-DZ"/>
    </w:rPr>
  </w:style>
  <w:style w:type="paragraph" w:styleId="FootnoteText">
    <w:name w:val="footnote text"/>
    <w:basedOn w:val="Normal"/>
    <w:link w:val="FootnoteTextChar"/>
    <w:uiPriority w:val="99"/>
    <w:semiHidden/>
    <w:unhideWhenUsed/>
    <w:rsid w:val="007467F2"/>
    <w:pPr>
      <w:spacing w:after="0" w:line="240" w:lineRule="auto"/>
    </w:pPr>
    <w:rPr>
      <w:sz w:val="20"/>
      <w:szCs w:val="20"/>
    </w:rPr>
  </w:style>
  <w:style w:type="character" w:styleId="FootnoteReference">
    <w:name w:val="footnote reference"/>
    <w:basedOn w:val="DefaultParagraphFont"/>
    <w:uiPriority w:val="99"/>
    <w:semiHidden/>
    <w:unhideWhenUsed/>
    <w:rsid w:val="007467F2"/>
    <w:rPr>
      <w:vertAlign w:val="superscript"/>
    </w:rPr>
  </w:style>
  <w:style w:type="paragraph" w:styleId="NoSpacing">
    <w:name w:val="No Spacing"/>
    <w:uiPriority w:val="1"/>
    <w:qFormat/>
    <w:rsid w:val="007467F2"/>
    <w:pPr>
      <w:spacing w:after="0" w:line="240" w:lineRule="auto"/>
    </w:pPr>
    <w:rPr>
      <w:rFonts w:eastAsiaTheme="minorEastAsia"/>
      <w:lang w:eastAsia="fr-FR"/>
    </w:rPr>
  </w:style>
  <w:style w:type="character" w:styleId="CommentReference">
    <w:name w:val="annotation reference"/>
    <w:basedOn w:val="DefaultParagraphFont"/>
    <w:uiPriority w:val="99"/>
    <w:semiHidden/>
    <w:unhideWhenUsed/>
    <w:rsid w:val="00D86AF0"/>
    <w:rPr>
      <w:sz w:val="16"/>
      <w:szCs w:val="16"/>
    </w:rPr>
  </w:style>
  <w:style w:type="character" w:styleId="Strong">
    <w:name w:val="Strong"/>
    <w:basedOn w:val="DefaultParagraphFont"/>
    <w:uiPriority w:val="22"/>
    <w:qFormat/>
    <w:rsid w:val="00550D3B"/>
    <w:rPr>
      <w:b/>
      <w:bCs/>
    </w:rPr>
  </w:style>
  <w:style w:type="character" w:styleId="EndnoteReference">
    <w:name w:val="endnote reference"/>
    <w:basedOn w:val="DefaultParagraphFont"/>
    <w:uiPriority w:val="99"/>
    <w:semiHidden/>
    <w:unhideWhenUsed/>
    <w:rsid w:val="005A31BC"/>
    <w:rPr>
      <w:vertAlign w:val="superscript"/>
    </w:rPr>
  </w:style>
  <w:style w:type="character" w:styleId="Hyperlink">
    <w:name w:val="Hyperlink"/>
    <w:basedOn w:val="DefaultParagraphFont"/>
    <w:uiPriority w:val="99"/>
    <w:semiHidden/>
    <w:unhideWhenUsed/>
    <w:rsid w:val="008C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221198">
      <w:bodyDiv w:val="1"/>
      <w:marLeft w:val="0"/>
      <w:marRight w:val="0"/>
      <w:marTop w:val="0"/>
      <w:marBottom w:val="0"/>
      <w:divBdr>
        <w:top w:val="none" w:sz="0" w:space="0" w:color="auto"/>
        <w:left w:val="none" w:sz="0" w:space="0" w:color="auto"/>
        <w:bottom w:val="none" w:sz="0" w:space="0" w:color="auto"/>
        <w:right w:val="none" w:sz="0" w:space="0" w:color="auto"/>
      </w:divBdr>
    </w:div>
    <w:div w:id="1577783037">
      <w:bodyDiv w:val="1"/>
      <w:marLeft w:val="0"/>
      <w:marRight w:val="0"/>
      <w:marTop w:val="0"/>
      <w:marBottom w:val="0"/>
      <w:divBdr>
        <w:top w:val="none" w:sz="0" w:space="0" w:color="auto"/>
        <w:left w:val="none" w:sz="0" w:space="0" w:color="auto"/>
        <w:bottom w:val="none" w:sz="0" w:space="0" w:color="auto"/>
        <w:right w:val="none" w:sz="0" w:space="0" w:color="auto"/>
      </w:divBdr>
    </w:div>
    <w:div w:id="17835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asir@leed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enjabeur@univ-catholyon.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rfaoui@univ-catholyon.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ae.stef@bsb-educatio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11FBA244054495B0EFBA4D7883A6" ma:contentTypeVersion="18" ma:contentTypeDescription="Create a new document." ma:contentTypeScope="" ma:versionID="720f867a2a3bb9d03f2764d881ee5103">
  <xsd:schema xmlns:xsd="http://www.w3.org/2001/XMLSchema" xmlns:xs="http://www.w3.org/2001/XMLSchema" xmlns:p="http://schemas.microsoft.com/office/2006/metadata/properties" xmlns:ns3="5d34ad3e-f298-4f5c-86fc-9b392f33bc3f" xmlns:ns4="1104ed91-aa96-41dc-928d-2a7b2ed0634c" targetNamespace="http://schemas.microsoft.com/office/2006/metadata/properties" ma:root="true" ma:fieldsID="23be699982a5a4f30ac2b3e9bd4d415c" ns3:_="" ns4:_="">
    <xsd:import namespace="5d34ad3e-f298-4f5c-86fc-9b392f33bc3f"/>
    <xsd:import namespace="1104ed91-aa96-41dc-928d-2a7b2ed06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4ad3e-f298-4f5c-86fc-9b392f33b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4ed91-aa96-41dc-928d-2a7b2ed06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04ed91-aa96-41dc-928d-2a7b2ed063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3A38-10F4-4F52-8ED9-AA70C0E9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4ad3e-f298-4f5c-86fc-9b392f33bc3f"/>
    <ds:schemaRef ds:uri="1104ed91-aa96-41dc-928d-2a7b2ed0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9D0A9-2571-4CAF-8434-4BB6FABFBBE3}">
  <ds:schemaRefs>
    <ds:schemaRef ds:uri="http://schemas.microsoft.com/sharepoint/v3/contenttype/forms"/>
  </ds:schemaRefs>
</ds:datastoreItem>
</file>

<file path=customXml/itemProps3.xml><?xml version="1.0" encoding="utf-8"?>
<ds:datastoreItem xmlns:ds="http://schemas.openxmlformats.org/officeDocument/2006/customXml" ds:itemID="{4E0560C3-8D7D-4B70-B07F-E1F46FB4B74D}">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1104ed91-aa96-41dc-928d-2a7b2ed0634c"/>
    <ds:schemaRef ds:uri="http://schemas.microsoft.com/office/2006/documentManagement/types"/>
    <ds:schemaRef ds:uri="http://schemas.openxmlformats.org/package/2006/metadata/core-properties"/>
    <ds:schemaRef ds:uri="5d34ad3e-f298-4f5c-86fc-9b392f33bc3f"/>
    <ds:schemaRef ds:uri="http://www.w3.org/XML/1998/namespace"/>
  </ds:schemaRefs>
</ds:datastoreItem>
</file>

<file path=customXml/itemProps4.xml><?xml version="1.0" encoding="utf-8"?>
<ds:datastoreItem xmlns:ds="http://schemas.openxmlformats.org/officeDocument/2006/customXml" ds:itemID="{B099DDDD-B7E2-4C74-9614-419AF047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15663</Words>
  <Characters>181769</Characters>
  <Application>Microsoft Office Word</Application>
  <DocSecurity>4</DocSecurity>
  <Lines>1514</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AFPICL</Company>
  <LinksUpToDate>false</LinksUpToDate>
  <CharactersWithSpaces>197038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ARFAOUI Nabila</dc:creator>
  <cp:keywords/>
  <dc:description/>
  <cp:lastModifiedBy>Liam Irwin</cp:lastModifiedBy>
  <cp:revision>2</cp:revision>
  <cp:lastPrinted>2025-04-28T12:23:00Z</cp:lastPrinted>
  <dcterms:created xsi:type="dcterms:W3CDTF">2025-05-21T08:28:00Z</dcterms:created>
  <dcterms:modified xsi:type="dcterms:W3CDTF">2025-05-21T08:28:00Z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161a5f5a-f2a2-4c02-9d1c-790d8d361a61</vt:lpwstr>
  </property>
  <property fmtid="{D5CDD505-2E9C-101B-9397-08002B2CF9AE}" pid="3" name="ZOTERO_PREF_1">
    <vt:lpwstr>&lt;data data-version="3" zotero-version="6.0.36"&gt;&lt;session id="tx23NI8D"/&gt;&lt;style id="http://www.zotero.org/styles/journal-of-environmental-management" hasBibliography="1" bibliographyStyleHasBeenSet="1"/&gt;&lt;prefs&gt;&lt;pref name="fieldType" value="Field"/&gt;&lt;/prefs&gt;&lt;</vt:lpwstr>
  </property>
  <property fmtid="{D5CDD505-2E9C-101B-9397-08002B2CF9AE}" pid="4" name="ZOTERO_PREF_2">
    <vt:lpwstr>/data&gt;</vt:lpwstr>
  </property>
  <property fmtid="{D5CDD505-2E9C-101B-9397-08002B2CF9AE}" pid="5" name="ContentTypeId">
    <vt:lpwstr>0x01010066A311FBA244054495B0EFBA4D7883A6</vt:lpwstr>
  </property>
</Properties>
</file>