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9785" w14:textId="60205139" w:rsidR="00726C06" w:rsidRPr="002F3339" w:rsidRDefault="00016782" w:rsidP="0063747D">
      <w:pPr>
        <w:jc w:val="center"/>
        <w:rPr>
          <w:rFonts w:ascii="Garamond" w:hAnsi="Garamond"/>
          <w:sz w:val="36"/>
          <w:szCs w:val="36"/>
        </w:rPr>
      </w:pPr>
      <w:r w:rsidRPr="002F3339">
        <w:rPr>
          <w:rFonts w:ascii="Garamond" w:hAnsi="Garamond"/>
          <w:sz w:val="36"/>
          <w:szCs w:val="36"/>
        </w:rPr>
        <w:t>THE POTENTIAL OF ‘ADMINISTRATIVE JUSTICE’ FOR IRISH PUBLIC LAW</w:t>
      </w:r>
    </w:p>
    <w:p w14:paraId="479675CF" w14:textId="21CFB1D9" w:rsidR="007E1FA7" w:rsidRPr="00016782" w:rsidRDefault="007E1FA7">
      <w:pPr>
        <w:rPr>
          <w:rFonts w:ascii="Garamond" w:hAnsi="Garamond"/>
          <w:i/>
          <w:iCs/>
          <w:sz w:val="24"/>
          <w:szCs w:val="24"/>
        </w:rPr>
      </w:pPr>
      <w:r w:rsidRPr="00016782">
        <w:rPr>
          <w:rFonts w:ascii="Garamond" w:hAnsi="Garamond"/>
          <w:i/>
          <w:iCs/>
          <w:sz w:val="24"/>
          <w:szCs w:val="24"/>
        </w:rPr>
        <w:t>Abstract</w:t>
      </w:r>
    </w:p>
    <w:p w14:paraId="4905A342" w14:textId="3C6ABB44" w:rsidR="007E1FA7" w:rsidRDefault="00655054" w:rsidP="00067918">
      <w:pPr>
        <w:jc w:val="both"/>
        <w:rPr>
          <w:rFonts w:ascii="Garamond" w:hAnsi="Garamond"/>
          <w:sz w:val="24"/>
          <w:szCs w:val="24"/>
        </w:rPr>
      </w:pPr>
      <w:r>
        <w:rPr>
          <w:rFonts w:ascii="Garamond" w:hAnsi="Garamond"/>
          <w:sz w:val="24"/>
          <w:szCs w:val="24"/>
        </w:rPr>
        <w:t>Ir</w:t>
      </w:r>
      <w:r w:rsidR="00C37E74">
        <w:rPr>
          <w:rFonts w:ascii="Garamond" w:hAnsi="Garamond"/>
          <w:sz w:val="24"/>
          <w:szCs w:val="24"/>
        </w:rPr>
        <w:t>ish public law</w:t>
      </w:r>
      <w:r>
        <w:rPr>
          <w:rFonts w:ascii="Garamond" w:hAnsi="Garamond"/>
          <w:sz w:val="24"/>
          <w:szCs w:val="24"/>
        </w:rPr>
        <w:t xml:space="preserve"> has a thriving</w:t>
      </w:r>
      <w:r w:rsidR="00133C1F">
        <w:rPr>
          <w:rFonts w:ascii="Garamond" w:hAnsi="Garamond"/>
          <w:sz w:val="24"/>
          <w:szCs w:val="24"/>
        </w:rPr>
        <w:t xml:space="preserve"> body of scholarly work on judgments of the superior courts, but </w:t>
      </w:r>
      <w:r w:rsidR="00A65D21">
        <w:rPr>
          <w:rFonts w:ascii="Garamond" w:hAnsi="Garamond"/>
          <w:sz w:val="24"/>
          <w:szCs w:val="24"/>
        </w:rPr>
        <w:t xml:space="preserve">a </w:t>
      </w:r>
      <w:r w:rsidR="00C37E74">
        <w:rPr>
          <w:rFonts w:ascii="Garamond" w:hAnsi="Garamond"/>
          <w:sz w:val="24"/>
          <w:szCs w:val="24"/>
        </w:rPr>
        <w:t xml:space="preserve">focus on </w:t>
      </w:r>
      <w:r w:rsidR="00FB243C">
        <w:rPr>
          <w:rFonts w:ascii="Garamond" w:hAnsi="Garamond"/>
          <w:sz w:val="24"/>
          <w:szCs w:val="24"/>
        </w:rPr>
        <w:t>doctrinal</w:t>
      </w:r>
      <w:r w:rsidR="007917ED">
        <w:rPr>
          <w:rFonts w:ascii="Garamond" w:hAnsi="Garamond"/>
          <w:sz w:val="24"/>
          <w:szCs w:val="24"/>
        </w:rPr>
        <w:t xml:space="preserve"> and theoretical</w:t>
      </w:r>
      <w:r w:rsidR="00FB243C">
        <w:rPr>
          <w:rFonts w:ascii="Garamond" w:hAnsi="Garamond"/>
          <w:sz w:val="24"/>
          <w:szCs w:val="24"/>
        </w:rPr>
        <w:t xml:space="preserve"> research fails</w:t>
      </w:r>
      <w:r w:rsidR="003778D8">
        <w:rPr>
          <w:rFonts w:ascii="Garamond" w:hAnsi="Garamond"/>
          <w:sz w:val="24"/>
          <w:szCs w:val="24"/>
        </w:rPr>
        <w:t xml:space="preserve"> to develop</w:t>
      </w:r>
      <w:r w:rsidR="007A7D55">
        <w:rPr>
          <w:rFonts w:ascii="Garamond" w:hAnsi="Garamond"/>
          <w:sz w:val="24"/>
          <w:szCs w:val="24"/>
        </w:rPr>
        <w:t xml:space="preserve"> </w:t>
      </w:r>
      <w:r w:rsidR="002645F9">
        <w:rPr>
          <w:rFonts w:ascii="Garamond" w:hAnsi="Garamond"/>
          <w:sz w:val="24"/>
          <w:szCs w:val="24"/>
        </w:rPr>
        <w:t>knowledge on</w:t>
      </w:r>
      <w:r w:rsidR="007A7D55">
        <w:rPr>
          <w:rFonts w:ascii="Garamond" w:hAnsi="Garamond"/>
          <w:sz w:val="24"/>
          <w:szCs w:val="24"/>
        </w:rPr>
        <w:t xml:space="preserve"> how administrative law is understood and applied within public bodies.</w:t>
      </w:r>
      <w:r w:rsidR="00860A3C">
        <w:rPr>
          <w:rFonts w:ascii="Garamond" w:hAnsi="Garamond"/>
          <w:sz w:val="24"/>
          <w:szCs w:val="24"/>
        </w:rPr>
        <w:t xml:space="preserve"> This is a missed opportunity to engage with different ways of </w:t>
      </w:r>
      <w:r w:rsidR="001A2B5A">
        <w:rPr>
          <w:rFonts w:ascii="Garamond" w:hAnsi="Garamond"/>
          <w:sz w:val="24"/>
          <w:szCs w:val="24"/>
        </w:rPr>
        <w:t xml:space="preserve">conceptualising public law. </w:t>
      </w:r>
    </w:p>
    <w:p w14:paraId="1A81BBAD" w14:textId="268DDAA6" w:rsidR="00133C1F" w:rsidRDefault="00B66170" w:rsidP="00067918">
      <w:pPr>
        <w:jc w:val="both"/>
        <w:rPr>
          <w:rFonts w:ascii="Garamond" w:hAnsi="Garamond"/>
          <w:sz w:val="24"/>
          <w:szCs w:val="24"/>
        </w:rPr>
      </w:pPr>
      <w:r>
        <w:rPr>
          <w:rFonts w:ascii="Garamond" w:hAnsi="Garamond"/>
          <w:sz w:val="24"/>
          <w:szCs w:val="24"/>
        </w:rPr>
        <w:t>The</w:t>
      </w:r>
      <w:r w:rsidR="00654D3D">
        <w:rPr>
          <w:rFonts w:ascii="Garamond" w:hAnsi="Garamond"/>
          <w:sz w:val="24"/>
          <w:szCs w:val="24"/>
        </w:rPr>
        <w:t xml:space="preserve"> </w:t>
      </w:r>
      <w:r w:rsidR="00864115">
        <w:rPr>
          <w:rFonts w:ascii="Garamond" w:hAnsi="Garamond"/>
          <w:sz w:val="24"/>
          <w:szCs w:val="24"/>
        </w:rPr>
        <w:t>vast number of decisions being made about rights and entitlements across the administrative state and</w:t>
      </w:r>
      <w:r w:rsidR="00D724E4">
        <w:rPr>
          <w:rFonts w:ascii="Garamond" w:hAnsi="Garamond"/>
          <w:sz w:val="24"/>
          <w:szCs w:val="24"/>
        </w:rPr>
        <w:t xml:space="preserve"> the</w:t>
      </w:r>
      <w:r>
        <w:rPr>
          <w:rFonts w:ascii="Garamond" w:hAnsi="Garamond"/>
          <w:sz w:val="24"/>
          <w:szCs w:val="24"/>
        </w:rPr>
        <w:t xml:space="preserve"> ongoing Law Reform Commission project on Non-Court Adjudicative Bodies present a timely opportunity </w:t>
      </w:r>
      <w:r w:rsidR="00067918">
        <w:rPr>
          <w:rFonts w:ascii="Garamond" w:hAnsi="Garamond"/>
          <w:sz w:val="24"/>
          <w:szCs w:val="24"/>
        </w:rPr>
        <w:t>to research ‘internal’ administrative law</w:t>
      </w:r>
      <w:r w:rsidR="00277CC9">
        <w:rPr>
          <w:rFonts w:ascii="Garamond" w:hAnsi="Garamond"/>
          <w:sz w:val="24"/>
          <w:szCs w:val="24"/>
        </w:rPr>
        <w:t xml:space="preserve">. This paper demonstrates how the field of administrative justice provides a </w:t>
      </w:r>
      <w:r w:rsidR="007C4B7A">
        <w:rPr>
          <w:rFonts w:ascii="Garamond" w:hAnsi="Garamond"/>
          <w:sz w:val="24"/>
          <w:szCs w:val="24"/>
        </w:rPr>
        <w:t xml:space="preserve">useful and transposable </w:t>
      </w:r>
      <w:r w:rsidR="00277CC9">
        <w:rPr>
          <w:rFonts w:ascii="Garamond" w:hAnsi="Garamond"/>
          <w:sz w:val="24"/>
          <w:szCs w:val="24"/>
        </w:rPr>
        <w:t>conceptual framework</w:t>
      </w:r>
      <w:r w:rsidR="00852858">
        <w:rPr>
          <w:rFonts w:ascii="Garamond" w:hAnsi="Garamond"/>
          <w:sz w:val="24"/>
          <w:szCs w:val="24"/>
        </w:rPr>
        <w:t xml:space="preserve"> to enhance the study of public law outside the courts. </w:t>
      </w:r>
    </w:p>
    <w:p w14:paraId="05215607" w14:textId="77777777" w:rsidR="00F45783" w:rsidRDefault="00016782" w:rsidP="000B4D1D">
      <w:pPr>
        <w:rPr>
          <w:rFonts w:ascii="Garamond" w:hAnsi="Garamond"/>
          <w:i/>
          <w:iCs/>
          <w:sz w:val="24"/>
          <w:szCs w:val="24"/>
        </w:rPr>
      </w:pPr>
      <w:r w:rsidRPr="00016782">
        <w:rPr>
          <w:rFonts w:ascii="Garamond" w:hAnsi="Garamond"/>
          <w:i/>
          <w:iCs/>
          <w:sz w:val="24"/>
          <w:szCs w:val="24"/>
        </w:rPr>
        <w:t>Author</w:t>
      </w:r>
    </w:p>
    <w:p w14:paraId="06E6A464" w14:textId="77777777" w:rsidR="00070B40" w:rsidRDefault="00016782" w:rsidP="000B4D1D">
      <w:pPr>
        <w:rPr>
          <w:rFonts w:ascii="Garamond" w:hAnsi="Garamond"/>
          <w:sz w:val="24"/>
          <w:szCs w:val="24"/>
        </w:rPr>
      </w:pPr>
      <w:r w:rsidRPr="005C3090">
        <w:rPr>
          <w:rFonts w:ascii="Garamond" w:hAnsi="Garamond"/>
          <w:sz w:val="24"/>
          <w:szCs w:val="24"/>
        </w:rPr>
        <w:t xml:space="preserve">Dr Aisling Ryan </w:t>
      </w:r>
      <w:r w:rsidR="0098102C">
        <w:rPr>
          <w:rFonts w:ascii="Garamond" w:hAnsi="Garamond"/>
          <w:sz w:val="24"/>
          <w:szCs w:val="24"/>
        </w:rPr>
        <w:t>(</w:t>
      </w:r>
      <w:r w:rsidR="0098102C" w:rsidRPr="00016782">
        <w:rPr>
          <w:rFonts w:ascii="Garamond" w:hAnsi="Garamond"/>
          <w:sz w:val="24"/>
          <w:szCs w:val="24"/>
        </w:rPr>
        <w:t>BCL, LLM, Solicitor, PG Cert T</w:t>
      </w:r>
      <w:r w:rsidR="0098102C">
        <w:rPr>
          <w:rFonts w:ascii="Garamond" w:hAnsi="Garamond"/>
          <w:sz w:val="24"/>
          <w:szCs w:val="24"/>
        </w:rPr>
        <w:t>&amp;L in HE, PhD)</w:t>
      </w:r>
      <w:r w:rsidR="000B4D1D">
        <w:rPr>
          <w:rFonts w:ascii="Garamond" w:hAnsi="Garamond"/>
          <w:sz w:val="24"/>
          <w:szCs w:val="24"/>
        </w:rPr>
        <w:t xml:space="preserve"> </w:t>
      </w:r>
    </w:p>
    <w:p w14:paraId="795CDE1D" w14:textId="4FFF0EC6" w:rsidR="00016782" w:rsidRPr="005C3090" w:rsidRDefault="00016782" w:rsidP="000B4D1D">
      <w:pPr>
        <w:rPr>
          <w:rFonts w:ascii="Garamond" w:hAnsi="Garamond"/>
          <w:sz w:val="24"/>
          <w:szCs w:val="24"/>
        </w:rPr>
      </w:pPr>
      <w:r w:rsidRPr="005C3090">
        <w:rPr>
          <w:rFonts w:ascii="Garamond" w:hAnsi="Garamond"/>
          <w:sz w:val="24"/>
          <w:szCs w:val="24"/>
        </w:rPr>
        <w:t>Research Fellow, York Law School, University of York</w:t>
      </w:r>
    </w:p>
    <w:p w14:paraId="34C512B8" w14:textId="77777777" w:rsidR="00895980" w:rsidRDefault="00895980" w:rsidP="00846EC9">
      <w:pPr>
        <w:jc w:val="both"/>
        <w:rPr>
          <w:rFonts w:ascii="Garamond" w:hAnsi="Garamond"/>
          <w:b/>
          <w:bCs/>
          <w:sz w:val="32"/>
          <w:szCs w:val="32"/>
        </w:rPr>
      </w:pPr>
      <w:r>
        <w:rPr>
          <w:rFonts w:ascii="Garamond" w:hAnsi="Garamond"/>
          <w:b/>
          <w:bCs/>
          <w:sz w:val="32"/>
          <w:szCs w:val="32"/>
        </w:rPr>
        <w:br w:type="page"/>
      </w:r>
    </w:p>
    <w:p w14:paraId="270A4FF5" w14:textId="77777777" w:rsidR="006F4F9B" w:rsidRPr="002F3339" w:rsidRDefault="006F4F9B" w:rsidP="006F4F9B">
      <w:pPr>
        <w:jc w:val="center"/>
        <w:rPr>
          <w:rFonts w:ascii="Garamond" w:hAnsi="Garamond"/>
          <w:sz w:val="36"/>
          <w:szCs w:val="36"/>
        </w:rPr>
      </w:pPr>
      <w:r w:rsidRPr="002F3339">
        <w:rPr>
          <w:rFonts w:ascii="Garamond" w:hAnsi="Garamond"/>
          <w:sz w:val="36"/>
          <w:szCs w:val="36"/>
        </w:rPr>
        <w:lastRenderedPageBreak/>
        <w:t>THE POTENTIAL OF ‘ADMINISTRATIVE JUSTICE’ FOR IRISH PUBLIC LAW</w:t>
      </w:r>
    </w:p>
    <w:p w14:paraId="48F03571" w14:textId="1CAD05D2" w:rsidR="00FA52FC" w:rsidRPr="002F3339" w:rsidRDefault="00736A92" w:rsidP="00846EC9">
      <w:pPr>
        <w:jc w:val="both"/>
        <w:rPr>
          <w:rFonts w:ascii="Garamond" w:hAnsi="Garamond"/>
          <w:b/>
          <w:bCs/>
          <w:sz w:val="32"/>
          <w:szCs w:val="32"/>
        </w:rPr>
      </w:pPr>
      <w:r w:rsidRPr="002F3339">
        <w:rPr>
          <w:rFonts w:ascii="Garamond" w:hAnsi="Garamond"/>
          <w:b/>
          <w:bCs/>
          <w:sz w:val="32"/>
          <w:szCs w:val="32"/>
        </w:rPr>
        <w:t>Introduction</w:t>
      </w:r>
    </w:p>
    <w:p w14:paraId="74BA6C2B" w14:textId="5C55CC25" w:rsidR="0008430D" w:rsidRDefault="00FA52FC" w:rsidP="006E2B6D">
      <w:pPr>
        <w:jc w:val="both"/>
        <w:rPr>
          <w:rFonts w:ascii="Garamond" w:hAnsi="Garamond"/>
          <w:sz w:val="24"/>
          <w:szCs w:val="24"/>
        </w:rPr>
      </w:pPr>
      <w:r>
        <w:rPr>
          <w:rFonts w:ascii="Garamond" w:hAnsi="Garamond"/>
          <w:sz w:val="24"/>
          <w:szCs w:val="24"/>
        </w:rPr>
        <w:t xml:space="preserve">Thousands of decisions are made across the administrative state </w:t>
      </w:r>
      <w:r w:rsidR="00034BAB">
        <w:rPr>
          <w:rFonts w:ascii="Garamond" w:hAnsi="Garamond"/>
          <w:sz w:val="24"/>
          <w:szCs w:val="24"/>
        </w:rPr>
        <w:t>every day</w:t>
      </w:r>
      <w:r>
        <w:rPr>
          <w:rFonts w:ascii="Garamond" w:hAnsi="Garamond"/>
          <w:sz w:val="24"/>
          <w:szCs w:val="24"/>
        </w:rPr>
        <w:t xml:space="preserve"> in areas including social welfare, housing, planning, immigration, and health. </w:t>
      </w:r>
      <w:r w:rsidR="00945D8A" w:rsidRPr="00D623A6">
        <w:rPr>
          <w:rFonts w:ascii="Garamond" w:hAnsi="Garamond"/>
          <w:sz w:val="24"/>
          <w:szCs w:val="24"/>
        </w:rPr>
        <w:t>As Raso observes ‘the largest set of decisions that affect individuals’ rights are made by administrative officials at and behind the front lines of executive agencies’.</w:t>
      </w:r>
      <w:r w:rsidR="00945D8A" w:rsidRPr="00D623A6">
        <w:rPr>
          <w:rStyle w:val="FootnoteReference"/>
          <w:rFonts w:ascii="Garamond" w:hAnsi="Garamond"/>
          <w:sz w:val="24"/>
          <w:szCs w:val="24"/>
        </w:rPr>
        <w:footnoteReference w:id="1"/>
      </w:r>
      <w:r w:rsidR="00945D8A" w:rsidRPr="00D623A6">
        <w:rPr>
          <w:rFonts w:ascii="Garamond" w:hAnsi="Garamond"/>
          <w:sz w:val="24"/>
          <w:szCs w:val="24"/>
        </w:rPr>
        <w:t xml:space="preserve"> </w:t>
      </w:r>
      <w:r w:rsidR="00B306EC">
        <w:rPr>
          <w:rFonts w:ascii="Garamond" w:hAnsi="Garamond"/>
          <w:sz w:val="24"/>
          <w:szCs w:val="24"/>
        </w:rPr>
        <w:t>McKeever outlines how most of these decisions go unchallenged,</w:t>
      </w:r>
      <w:r w:rsidR="007B7BA8">
        <w:rPr>
          <w:rStyle w:val="FootnoteReference"/>
          <w:rFonts w:ascii="Garamond" w:hAnsi="Garamond"/>
          <w:sz w:val="24"/>
          <w:szCs w:val="24"/>
        </w:rPr>
        <w:footnoteReference w:id="2"/>
      </w:r>
      <w:r w:rsidR="00B306EC">
        <w:rPr>
          <w:rFonts w:ascii="Garamond" w:hAnsi="Garamond"/>
          <w:sz w:val="24"/>
          <w:szCs w:val="24"/>
        </w:rPr>
        <w:t xml:space="preserve"> thus the decision at first instance stands</w:t>
      </w:r>
      <w:r w:rsidR="007B7BA8">
        <w:rPr>
          <w:rFonts w:ascii="Garamond" w:hAnsi="Garamond"/>
          <w:sz w:val="24"/>
          <w:szCs w:val="24"/>
        </w:rPr>
        <w:t xml:space="preserve"> and is a generative point in time in the relationship between individual and state. </w:t>
      </w:r>
      <w:r w:rsidR="00474B92">
        <w:rPr>
          <w:rFonts w:ascii="Garamond" w:hAnsi="Garamond"/>
          <w:sz w:val="24"/>
          <w:szCs w:val="24"/>
        </w:rPr>
        <w:t xml:space="preserve">Irish </w:t>
      </w:r>
      <w:r w:rsidR="003842D4">
        <w:rPr>
          <w:rFonts w:ascii="Garamond" w:hAnsi="Garamond"/>
          <w:sz w:val="24"/>
          <w:szCs w:val="24"/>
        </w:rPr>
        <w:t xml:space="preserve">scholarship </w:t>
      </w:r>
      <w:r w:rsidR="00474B92">
        <w:rPr>
          <w:rFonts w:ascii="Garamond" w:hAnsi="Garamond"/>
          <w:sz w:val="24"/>
          <w:szCs w:val="24"/>
        </w:rPr>
        <w:t xml:space="preserve">tends to focus on judgments of the superior courts in </w:t>
      </w:r>
      <w:r w:rsidR="00492D04">
        <w:rPr>
          <w:rFonts w:ascii="Garamond" w:hAnsi="Garamond"/>
          <w:sz w:val="24"/>
          <w:szCs w:val="24"/>
        </w:rPr>
        <w:t>research</w:t>
      </w:r>
      <w:r w:rsidR="003842D4">
        <w:rPr>
          <w:rFonts w:ascii="Garamond" w:hAnsi="Garamond"/>
          <w:sz w:val="24"/>
          <w:szCs w:val="24"/>
        </w:rPr>
        <w:t xml:space="preserve"> on </w:t>
      </w:r>
      <w:r w:rsidR="00A44324">
        <w:rPr>
          <w:rFonts w:ascii="Garamond" w:hAnsi="Garamond"/>
          <w:sz w:val="24"/>
          <w:szCs w:val="24"/>
        </w:rPr>
        <w:t>administrative law</w:t>
      </w:r>
      <w:r w:rsidR="003842D4">
        <w:rPr>
          <w:rFonts w:ascii="Garamond" w:hAnsi="Garamond"/>
          <w:sz w:val="24"/>
          <w:szCs w:val="24"/>
        </w:rPr>
        <w:t xml:space="preserve"> concepts. </w:t>
      </w:r>
      <w:r w:rsidR="00431C92">
        <w:rPr>
          <w:rFonts w:ascii="Garamond" w:hAnsi="Garamond"/>
          <w:sz w:val="24"/>
          <w:szCs w:val="24"/>
        </w:rPr>
        <w:t>T</w:t>
      </w:r>
      <w:r w:rsidR="00A45D09" w:rsidRPr="00A45D09">
        <w:rPr>
          <w:rFonts w:ascii="Garamond" w:hAnsi="Garamond"/>
          <w:sz w:val="24"/>
          <w:szCs w:val="24"/>
        </w:rPr>
        <w:t xml:space="preserve">here are many limitations of researching administrative law through </w:t>
      </w:r>
      <w:r w:rsidR="0019616B">
        <w:rPr>
          <w:rFonts w:ascii="Garamond" w:hAnsi="Garamond"/>
          <w:sz w:val="24"/>
          <w:szCs w:val="24"/>
        </w:rPr>
        <w:t xml:space="preserve">doctrinal or theoretical study centred on </w:t>
      </w:r>
      <w:r w:rsidR="009D1E73">
        <w:rPr>
          <w:rFonts w:ascii="Garamond" w:hAnsi="Garamond"/>
          <w:sz w:val="24"/>
          <w:szCs w:val="24"/>
        </w:rPr>
        <w:t>case law</w:t>
      </w:r>
      <w:r w:rsidR="00A45D09" w:rsidRPr="00A45D09">
        <w:rPr>
          <w:rFonts w:ascii="Garamond" w:hAnsi="Garamond"/>
          <w:sz w:val="24"/>
          <w:szCs w:val="24"/>
        </w:rPr>
        <w:t xml:space="preserve">. As Thomas points out, we risk missing </w:t>
      </w:r>
      <w:r w:rsidR="0019616B">
        <w:rPr>
          <w:rFonts w:ascii="Garamond" w:hAnsi="Garamond"/>
          <w:sz w:val="24"/>
          <w:szCs w:val="24"/>
        </w:rPr>
        <w:t>‘</w:t>
      </w:r>
      <w:r w:rsidR="00A45D09" w:rsidRPr="00A45D09">
        <w:rPr>
          <w:rFonts w:ascii="Garamond" w:hAnsi="Garamond"/>
          <w:sz w:val="24"/>
          <w:szCs w:val="24"/>
        </w:rPr>
        <w:t>much of the action, not least the basic nuts and bolts of how administrative systems operate in practice and develop over time</w:t>
      </w:r>
      <w:r w:rsidR="005F01B0">
        <w:rPr>
          <w:rFonts w:ascii="Garamond" w:hAnsi="Garamond"/>
          <w:sz w:val="24"/>
          <w:szCs w:val="24"/>
        </w:rPr>
        <w:t>.</w:t>
      </w:r>
      <w:r w:rsidR="0019616B">
        <w:rPr>
          <w:rFonts w:ascii="Garamond" w:hAnsi="Garamond"/>
          <w:sz w:val="24"/>
          <w:szCs w:val="24"/>
        </w:rPr>
        <w:t>’</w:t>
      </w:r>
      <w:r w:rsidR="00431C92">
        <w:rPr>
          <w:rStyle w:val="FootnoteReference"/>
          <w:rFonts w:ascii="Garamond" w:hAnsi="Garamond"/>
          <w:sz w:val="24"/>
          <w:szCs w:val="24"/>
        </w:rPr>
        <w:footnoteReference w:id="3"/>
      </w:r>
      <w:r w:rsidR="005F01B0">
        <w:rPr>
          <w:rFonts w:ascii="Garamond" w:hAnsi="Garamond"/>
          <w:sz w:val="24"/>
          <w:szCs w:val="24"/>
        </w:rPr>
        <w:t xml:space="preserve"> </w:t>
      </w:r>
    </w:p>
    <w:p w14:paraId="309D2CA7" w14:textId="7D649C22" w:rsidR="00C33C8C" w:rsidRDefault="0008430D" w:rsidP="006E2B6D">
      <w:pPr>
        <w:jc w:val="both"/>
        <w:rPr>
          <w:rFonts w:ascii="Garamond" w:hAnsi="Garamond"/>
          <w:sz w:val="24"/>
          <w:szCs w:val="24"/>
        </w:rPr>
      </w:pPr>
      <w:r>
        <w:rPr>
          <w:rFonts w:ascii="Garamond" w:hAnsi="Garamond"/>
          <w:sz w:val="24"/>
          <w:szCs w:val="24"/>
        </w:rPr>
        <w:t>Daly describes how traditionally the legal academy has treated methodology with a certain degree of distain</w:t>
      </w:r>
      <w:r>
        <w:rPr>
          <w:rStyle w:val="FootnoteReference"/>
          <w:rFonts w:ascii="Garamond" w:hAnsi="Garamond"/>
          <w:sz w:val="24"/>
          <w:szCs w:val="24"/>
        </w:rPr>
        <w:footnoteReference w:id="4"/>
      </w:r>
      <w:r>
        <w:rPr>
          <w:rFonts w:ascii="Garamond" w:hAnsi="Garamond"/>
          <w:sz w:val="24"/>
          <w:szCs w:val="24"/>
        </w:rPr>
        <w:t xml:space="preserve">, but a change is afoot. </w:t>
      </w:r>
      <w:r w:rsidR="005F01B0">
        <w:rPr>
          <w:rFonts w:ascii="Garamond" w:hAnsi="Garamond"/>
          <w:sz w:val="24"/>
          <w:szCs w:val="24"/>
        </w:rPr>
        <w:t xml:space="preserve">Across the literature, there is a move towards challenging </w:t>
      </w:r>
      <w:r w:rsidR="00843369">
        <w:rPr>
          <w:rFonts w:ascii="Garamond" w:hAnsi="Garamond"/>
          <w:sz w:val="24"/>
          <w:szCs w:val="24"/>
        </w:rPr>
        <w:t>a monist understanding of constitutionalism, instead relying on a pluralistic approach.</w:t>
      </w:r>
      <w:r w:rsidR="00843369">
        <w:rPr>
          <w:rStyle w:val="FootnoteReference"/>
          <w:rFonts w:ascii="Garamond" w:hAnsi="Garamond"/>
          <w:sz w:val="24"/>
          <w:szCs w:val="24"/>
        </w:rPr>
        <w:footnoteReference w:id="5"/>
      </w:r>
      <w:r w:rsidR="00F3629A">
        <w:rPr>
          <w:rFonts w:ascii="Garamond" w:hAnsi="Garamond"/>
          <w:sz w:val="24"/>
          <w:szCs w:val="24"/>
        </w:rPr>
        <w:t xml:space="preserve"> </w:t>
      </w:r>
      <w:r w:rsidR="00314919">
        <w:rPr>
          <w:rFonts w:ascii="Garamond" w:hAnsi="Garamond"/>
          <w:sz w:val="24"/>
          <w:szCs w:val="24"/>
        </w:rPr>
        <w:t xml:space="preserve">For example, Barry’s study </w:t>
      </w:r>
      <w:r w:rsidR="00BE4202">
        <w:rPr>
          <w:rFonts w:ascii="Garamond" w:hAnsi="Garamond"/>
          <w:sz w:val="24"/>
          <w:szCs w:val="24"/>
        </w:rPr>
        <w:t xml:space="preserve">involving the views of </w:t>
      </w:r>
      <w:r w:rsidR="00314919">
        <w:rPr>
          <w:rFonts w:ascii="Garamond" w:hAnsi="Garamond"/>
          <w:sz w:val="24"/>
          <w:szCs w:val="24"/>
        </w:rPr>
        <w:t>representatives of WRC service users</w:t>
      </w:r>
      <w:r w:rsidR="00F8453F">
        <w:rPr>
          <w:rFonts w:ascii="Garamond" w:hAnsi="Garamond"/>
          <w:sz w:val="24"/>
          <w:szCs w:val="24"/>
        </w:rPr>
        <w:t>,</w:t>
      </w:r>
      <w:r w:rsidR="00314919">
        <w:rPr>
          <w:rStyle w:val="FootnoteReference"/>
          <w:rFonts w:ascii="Garamond" w:hAnsi="Garamond"/>
          <w:sz w:val="24"/>
          <w:szCs w:val="24"/>
        </w:rPr>
        <w:footnoteReference w:id="6"/>
      </w:r>
      <w:r w:rsidR="00314919">
        <w:rPr>
          <w:rFonts w:ascii="Garamond" w:hAnsi="Garamond"/>
          <w:sz w:val="24"/>
          <w:szCs w:val="24"/>
        </w:rPr>
        <w:t xml:space="preserve"> Ryan’s study on </w:t>
      </w:r>
      <w:r w:rsidR="00D6723D">
        <w:rPr>
          <w:rFonts w:ascii="Garamond" w:hAnsi="Garamond"/>
          <w:sz w:val="24"/>
          <w:szCs w:val="24"/>
        </w:rPr>
        <w:t>application forms</w:t>
      </w:r>
      <w:r w:rsidR="007C25C8">
        <w:rPr>
          <w:rFonts w:ascii="Garamond" w:hAnsi="Garamond"/>
          <w:sz w:val="24"/>
          <w:szCs w:val="24"/>
        </w:rPr>
        <w:t>,</w:t>
      </w:r>
      <w:r w:rsidR="00F8453F">
        <w:rPr>
          <w:rStyle w:val="FootnoteReference"/>
          <w:rFonts w:ascii="Garamond" w:hAnsi="Garamond"/>
          <w:sz w:val="24"/>
          <w:szCs w:val="24"/>
        </w:rPr>
        <w:footnoteReference w:id="7"/>
      </w:r>
      <w:r w:rsidR="007C25C8">
        <w:rPr>
          <w:rFonts w:ascii="Garamond" w:hAnsi="Garamond"/>
          <w:sz w:val="24"/>
          <w:szCs w:val="24"/>
        </w:rPr>
        <w:t xml:space="preserve"> and Daly </w:t>
      </w:r>
      <w:r w:rsidR="00271B23">
        <w:rPr>
          <w:rFonts w:ascii="Garamond" w:hAnsi="Garamond"/>
          <w:sz w:val="24"/>
          <w:szCs w:val="24"/>
        </w:rPr>
        <w:t>on how administrative</w:t>
      </w:r>
      <w:r w:rsidR="0035397E">
        <w:rPr>
          <w:rFonts w:ascii="Garamond" w:hAnsi="Garamond"/>
          <w:sz w:val="24"/>
          <w:szCs w:val="24"/>
        </w:rPr>
        <w:t xml:space="preserve"> officials give effect t</w:t>
      </w:r>
      <w:r w:rsidR="00271B23">
        <w:rPr>
          <w:rFonts w:ascii="Garamond" w:hAnsi="Garamond"/>
          <w:sz w:val="24"/>
          <w:szCs w:val="24"/>
        </w:rPr>
        <w:t>o law.</w:t>
      </w:r>
      <w:r w:rsidR="00271B23">
        <w:rPr>
          <w:rStyle w:val="FootnoteReference"/>
          <w:rFonts w:ascii="Garamond" w:hAnsi="Garamond"/>
          <w:sz w:val="24"/>
          <w:szCs w:val="24"/>
        </w:rPr>
        <w:footnoteReference w:id="8"/>
      </w:r>
      <w:r w:rsidR="00314919">
        <w:rPr>
          <w:rFonts w:ascii="Garamond" w:hAnsi="Garamond"/>
          <w:sz w:val="24"/>
          <w:szCs w:val="24"/>
        </w:rPr>
        <w:t xml:space="preserve"> </w:t>
      </w:r>
      <w:r w:rsidR="00EB75AC">
        <w:rPr>
          <w:rFonts w:ascii="Garamond" w:hAnsi="Garamond"/>
          <w:sz w:val="24"/>
          <w:szCs w:val="24"/>
        </w:rPr>
        <w:t xml:space="preserve">There are many reasons behind this shift in approach, ultimately much of this change has come about through interdisciplinary </w:t>
      </w:r>
      <w:r w:rsidR="00B801FC">
        <w:rPr>
          <w:rFonts w:ascii="Garamond" w:hAnsi="Garamond"/>
          <w:sz w:val="24"/>
          <w:szCs w:val="24"/>
        </w:rPr>
        <w:t xml:space="preserve">research </w:t>
      </w:r>
      <w:r w:rsidR="00EB75AC">
        <w:rPr>
          <w:rFonts w:ascii="Garamond" w:hAnsi="Garamond"/>
          <w:sz w:val="24"/>
          <w:szCs w:val="24"/>
        </w:rPr>
        <w:t xml:space="preserve">and an opening out of </w:t>
      </w:r>
      <w:r w:rsidR="001C7B93">
        <w:rPr>
          <w:rFonts w:ascii="Garamond" w:hAnsi="Garamond"/>
          <w:sz w:val="24"/>
          <w:szCs w:val="24"/>
        </w:rPr>
        <w:t>what counts as ‘legal’ scholarship. As Samuel</w:t>
      </w:r>
      <w:r w:rsidR="006E2B6D">
        <w:rPr>
          <w:rFonts w:ascii="Garamond" w:hAnsi="Garamond"/>
          <w:sz w:val="24"/>
          <w:szCs w:val="24"/>
        </w:rPr>
        <w:t xml:space="preserve"> sets out</w:t>
      </w:r>
      <w:r w:rsidR="001C7B93">
        <w:rPr>
          <w:rFonts w:ascii="Garamond" w:hAnsi="Garamond"/>
          <w:sz w:val="24"/>
          <w:szCs w:val="24"/>
        </w:rPr>
        <w:t xml:space="preserve">, </w:t>
      </w:r>
      <w:r w:rsidR="0027728F">
        <w:rPr>
          <w:rFonts w:ascii="Garamond" w:hAnsi="Garamond"/>
          <w:sz w:val="24"/>
          <w:szCs w:val="24"/>
        </w:rPr>
        <w:t>‘t</w:t>
      </w:r>
      <w:r w:rsidR="001C7B93" w:rsidRPr="001C7B93">
        <w:rPr>
          <w:rFonts w:ascii="Garamond" w:hAnsi="Garamond"/>
          <w:sz w:val="24"/>
          <w:szCs w:val="24"/>
        </w:rPr>
        <w:t>here is no single idea of what it is to have legal knowledge</w:t>
      </w:r>
      <w:r w:rsidR="0027728F">
        <w:rPr>
          <w:rFonts w:ascii="Garamond" w:hAnsi="Garamond"/>
          <w:sz w:val="24"/>
          <w:szCs w:val="24"/>
        </w:rPr>
        <w:t>’.</w:t>
      </w:r>
      <w:r w:rsidR="0027728F">
        <w:rPr>
          <w:rStyle w:val="FootnoteReference"/>
          <w:rFonts w:ascii="Garamond" w:hAnsi="Garamond"/>
          <w:sz w:val="24"/>
          <w:szCs w:val="24"/>
        </w:rPr>
        <w:footnoteReference w:id="9"/>
      </w:r>
      <w:r w:rsidR="0027728F">
        <w:rPr>
          <w:rFonts w:ascii="Garamond" w:hAnsi="Garamond"/>
          <w:sz w:val="24"/>
          <w:szCs w:val="24"/>
        </w:rPr>
        <w:t xml:space="preserve"> </w:t>
      </w:r>
      <w:r w:rsidR="00003132">
        <w:rPr>
          <w:rFonts w:ascii="Garamond" w:hAnsi="Garamond"/>
          <w:sz w:val="24"/>
          <w:szCs w:val="24"/>
        </w:rPr>
        <w:t xml:space="preserve">Daly notes that a range of methodological approaches to public law can only enrich the field, but </w:t>
      </w:r>
      <w:r w:rsidR="00CE4A57">
        <w:rPr>
          <w:rFonts w:ascii="Garamond" w:hAnsi="Garamond"/>
          <w:sz w:val="24"/>
          <w:szCs w:val="24"/>
        </w:rPr>
        <w:t>cautions that proponents of different approaches must be ‘</w:t>
      </w:r>
      <w:r w:rsidR="006E2B6D" w:rsidRPr="006E2B6D">
        <w:rPr>
          <w:rFonts w:ascii="Garamond" w:hAnsi="Garamond"/>
          <w:sz w:val="24"/>
          <w:szCs w:val="24"/>
        </w:rPr>
        <w:t>epistemically modest</w:t>
      </w:r>
      <w:r w:rsidR="006E2B6D">
        <w:rPr>
          <w:rFonts w:ascii="Garamond" w:hAnsi="Garamond"/>
          <w:sz w:val="24"/>
          <w:szCs w:val="24"/>
        </w:rPr>
        <w:t xml:space="preserve"> </w:t>
      </w:r>
      <w:r w:rsidR="006E2B6D" w:rsidRPr="006E2B6D">
        <w:rPr>
          <w:rFonts w:ascii="Garamond" w:hAnsi="Garamond"/>
          <w:sz w:val="24"/>
          <w:szCs w:val="24"/>
        </w:rPr>
        <w:t>enough to recognize that they probably</w:t>
      </w:r>
      <w:r w:rsidR="006E2B6D">
        <w:rPr>
          <w:rFonts w:ascii="Garamond" w:hAnsi="Garamond"/>
          <w:sz w:val="24"/>
          <w:szCs w:val="24"/>
        </w:rPr>
        <w:t xml:space="preserve"> </w:t>
      </w:r>
      <w:r w:rsidR="006E2B6D" w:rsidRPr="006E2B6D">
        <w:rPr>
          <w:rFonts w:ascii="Garamond" w:hAnsi="Garamond"/>
          <w:sz w:val="24"/>
          <w:szCs w:val="24"/>
        </w:rPr>
        <w:t>will not be able to generate a unified</w:t>
      </w:r>
      <w:r w:rsidR="006E2B6D">
        <w:rPr>
          <w:rFonts w:ascii="Garamond" w:hAnsi="Garamond"/>
          <w:sz w:val="24"/>
          <w:szCs w:val="24"/>
        </w:rPr>
        <w:t xml:space="preserve"> </w:t>
      </w:r>
      <w:r w:rsidR="006E2B6D" w:rsidRPr="006E2B6D">
        <w:rPr>
          <w:rFonts w:ascii="Garamond" w:hAnsi="Garamond"/>
          <w:sz w:val="24"/>
          <w:szCs w:val="24"/>
        </w:rPr>
        <w:t>field theory of public law and be sensitive</w:t>
      </w:r>
      <w:r w:rsidR="006E2B6D">
        <w:rPr>
          <w:rFonts w:ascii="Garamond" w:hAnsi="Garamond"/>
          <w:sz w:val="24"/>
          <w:szCs w:val="24"/>
        </w:rPr>
        <w:t xml:space="preserve"> </w:t>
      </w:r>
      <w:r w:rsidR="006E2B6D" w:rsidRPr="006E2B6D">
        <w:rPr>
          <w:rFonts w:ascii="Garamond" w:hAnsi="Garamond"/>
          <w:sz w:val="24"/>
          <w:szCs w:val="24"/>
        </w:rPr>
        <w:t>to the legal system</w:t>
      </w:r>
      <w:r w:rsidR="006E2B6D">
        <w:rPr>
          <w:rFonts w:ascii="Garamond" w:hAnsi="Garamond"/>
          <w:sz w:val="24"/>
          <w:szCs w:val="24"/>
        </w:rPr>
        <w:t>’</w:t>
      </w:r>
      <w:r w:rsidR="006E2B6D" w:rsidRPr="006E2B6D">
        <w:rPr>
          <w:rFonts w:ascii="Garamond" w:hAnsi="Garamond"/>
          <w:sz w:val="24"/>
          <w:szCs w:val="24"/>
        </w:rPr>
        <w:t>s requirements of</w:t>
      </w:r>
      <w:r w:rsidR="006E2B6D">
        <w:rPr>
          <w:rFonts w:ascii="Garamond" w:hAnsi="Garamond"/>
          <w:sz w:val="24"/>
          <w:szCs w:val="24"/>
        </w:rPr>
        <w:t xml:space="preserve"> </w:t>
      </w:r>
      <w:r w:rsidR="006E2B6D" w:rsidRPr="006E2B6D">
        <w:rPr>
          <w:rFonts w:ascii="Garamond" w:hAnsi="Garamond"/>
          <w:sz w:val="24"/>
          <w:szCs w:val="24"/>
        </w:rPr>
        <w:t>doctrinal rigour and coherence</w:t>
      </w:r>
      <w:r w:rsidR="006E2B6D">
        <w:rPr>
          <w:rFonts w:ascii="Garamond" w:hAnsi="Garamond"/>
          <w:sz w:val="24"/>
          <w:szCs w:val="24"/>
        </w:rPr>
        <w:t>’</w:t>
      </w:r>
      <w:r w:rsidR="006E2B6D" w:rsidRPr="006E2B6D">
        <w:rPr>
          <w:rFonts w:ascii="Garamond" w:hAnsi="Garamond"/>
          <w:sz w:val="24"/>
          <w:szCs w:val="24"/>
        </w:rPr>
        <w:t>.</w:t>
      </w:r>
      <w:r w:rsidR="003445E2">
        <w:rPr>
          <w:rStyle w:val="FootnoteReference"/>
          <w:rFonts w:ascii="Garamond" w:hAnsi="Garamond"/>
          <w:sz w:val="24"/>
          <w:szCs w:val="24"/>
        </w:rPr>
        <w:footnoteReference w:id="10"/>
      </w:r>
    </w:p>
    <w:p w14:paraId="03DF98EA" w14:textId="1F9A29F6" w:rsidR="003238AB" w:rsidRDefault="003238AB" w:rsidP="006E2B6D">
      <w:pPr>
        <w:jc w:val="both"/>
        <w:rPr>
          <w:rFonts w:ascii="Garamond" w:hAnsi="Garamond"/>
          <w:sz w:val="24"/>
          <w:szCs w:val="24"/>
        </w:rPr>
      </w:pPr>
      <w:r>
        <w:rPr>
          <w:rFonts w:ascii="Garamond" w:hAnsi="Garamond"/>
          <w:sz w:val="24"/>
          <w:szCs w:val="24"/>
        </w:rPr>
        <w:t xml:space="preserve">This paper argues that </w:t>
      </w:r>
      <w:proofErr w:type="gramStart"/>
      <w:r>
        <w:rPr>
          <w:rFonts w:ascii="Garamond" w:hAnsi="Garamond"/>
          <w:sz w:val="24"/>
          <w:szCs w:val="24"/>
        </w:rPr>
        <w:t>in order to</w:t>
      </w:r>
      <w:proofErr w:type="gramEnd"/>
      <w:r>
        <w:rPr>
          <w:rFonts w:ascii="Garamond" w:hAnsi="Garamond"/>
          <w:sz w:val="24"/>
          <w:szCs w:val="24"/>
        </w:rPr>
        <w:t xml:space="preserve"> develop a holistic, </w:t>
      </w:r>
      <w:r w:rsidR="002D7956">
        <w:rPr>
          <w:rFonts w:ascii="Garamond" w:hAnsi="Garamond"/>
          <w:sz w:val="24"/>
          <w:szCs w:val="24"/>
        </w:rPr>
        <w:t xml:space="preserve">considered body of work on administrative law, </w:t>
      </w:r>
      <w:r w:rsidR="00207010">
        <w:rPr>
          <w:rFonts w:ascii="Garamond" w:hAnsi="Garamond"/>
          <w:sz w:val="24"/>
          <w:szCs w:val="24"/>
        </w:rPr>
        <w:t xml:space="preserve">Irish </w:t>
      </w:r>
      <w:r w:rsidR="002D7956">
        <w:rPr>
          <w:rFonts w:ascii="Garamond" w:hAnsi="Garamond"/>
          <w:sz w:val="24"/>
          <w:szCs w:val="24"/>
        </w:rPr>
        <w:t xml:space="preserve">public law scholars must engage with the field of administrative justice. </w:t>
      </w:r>
      <w:r w:rsidR="0025767E">
        <w:rPr>
          <w:rFonts w:ascii="Garamond" w:hAnsi="Garamond"/>
          <w:sz w:val="24"/>
          <w:szCs w:val="24"/>
        </w:rPr>
        <w:t>It is part of a growing body of work</w:t>
      </w:r>
      <w:r w:rsidR="003B15FF">
        <w:rPr>
          <w:rFonts w:ascii="Garamond" w:hAnsi="Garamond"/>
          <w:sz w:val="24"/>
          <w:szCs w:val="24"/>
        </w:rPr>
        <w:t xml:space="preserve"> </w:t>
      </w:r>
      <w:r w:rsidR="0025767E">
        <w:rPr>
          <w:rFonts w:ascii="Garamond" w:hAnsi="Garamond"/>
          <w:sz w:val="24"/>
          <w:szCs w:val="24"/>
        </w:rPr>
        <w:t>that</w:t>
      </w:r>
      <w:r w:rsidR="00263B3D">
        <w:rPr>
          <w:rFonts w:ascii="Garamond" w:hAnsi="Garamond"/>
          <w:sz w:val="24"/>
          <w:szCs w:val="24"/>
        </w:rPr>
        <w:t xml:space="preserve"> challenges the idea that law </w:t>
      </w:r>
      <w:r w:rsidR="00E91BED">
        <w:rPr>
          <w:rFonts w:ascii="Garamond" w:hAnsi="Garamond"/>
          <w:sz w:val="24"/>
          <w:szCs w:val="24"/>
        </w:rPr>
        <w:t>is the preserve of the</w:t>
      </w:r>
      <w:r w:rsidR="00263B3D">
        <w:rPr>
          <w:rFonts w:ascii="Garamond" w:hAnsi="Garamond"/>
          <w:sz w:val="24"/>
          <w:szCs w:val="24"/>
        </w:rPr>
        <w:t xml:space="preserve"> courts.</w:t>
      </w:r>
      <w:r w:rsidR="00263B3D">
        <w:rPr>
          <w:rStyle w:val="FootnoteReference"/>
          <w:rFonts w:ascii="Garamond" w:hAnsi="Garamond"/>
          <w:sz w:val="24"/>
          <w:szCs w:val="24"/>
        </w:rPr>
        <w:footnoteReference w:id="11"/>
      </w:r>
      <w:r w:rsidR="00263B3D">
        <w:rPr>
          <w:rFonts w:ascii="Garamond" w:hAnsi="Garamond"/>
          <w:sz w:val="24"/>
          <w:szCs w:val="24"/>
        </w:rPr>
        <w:t xml:space="preserve"> </w:t>
      </w:r>
      <w:r w:rsidR="000B65DB">
        <w:rPr>
          <w:rFonts w:ascii="Garamond" w:hAnsi="Garamond"/>
          <w:sz w:val="24"/>
          <w:szCs w:val="24"/>
        </w:rPr>
        <w:t>Individuals interact with the state</w:t>
      </w:r>
      <w:r w:rsidR="00524089">
        <w:rPr>
          <w:rFonts w:ascii="Garamond" w:hAnsi="Garamond"/>
          <w:sz w:val="24"/>
          <w:szCs w:val="24"/>
        </w:rPr>
        <w:t xml:space="preserve"> in ‘small places’</w:t>
      </w:r>
      <w:r w:rsidR="00E0505A">
        <w:rPr>
          <w:rStyle w:val="FootnoteReference"/>
          <w:rFonts w:ascii="Garamond" w:hAnsi="Garamond"/>
          <w:sz w:val="24"/>
          <w:szCs w:val="24"/>
        </w:rPr>
        <w:footnoteReference w:id="12"/>
      </w:r>
      <w:r w:rsidR="00E0505A">
        <w:rPr>
          <w:rFonts w:ascii="Garamond" w:hAnsi="Garamond"/>
          <w:sz w:val="24"/>
          <w:szCs w:val="24"/>
        </w:rPr>
        <w:t xml:space="preserve"> </w:t>
      </w:r>
      <w:r w:rsidR="00C77A97">
        <w:rPr>
          <w:rFonts w:ascii="Garamond" w:hAnsi="Garamond"/>
          <w:sz w:val="24"/>
          <w:szCs w:val="24"/>
        </w:rPr>
        <w:t>and ‘architectures’</w:t>
      </w:r>
      <w:r w:rsidR="00C77A97">
        <w:rPr>
          <w:rStyle w:val="FootnoteReference"/>
          <w:rFonts w:ascii="Garamond" w:hAnsi="Garamond"/>
          <w:sz w:val="24"/>
          <w:szCs w:val="24"/>
        </w:rPr>
        <w:footnoteReference w:id="13"/>
      </w:r>
      <w:r w:rsidR="00C77A97">
        <w:rPr>
          <w:rFonts w:ascii="Garamond" w:hAnsi="Garamond"/>
          <w:sz w:val="24"/>
          <w:szCs w:val="24"/>
        </w:rPr>
        <w:t xml:space="preserve"> </w:t>
      </w:r>
      <w:r w:rsidR="00E0505A">
        <w:rPr>
          <w:rFonts w:ascii="Garamond" w:hAnsi="Garamond"/>
          <w:sz w:val="24"/>
          <w:szCs w:val="24"/>
        </w:rPr>
        <w:t>o</w:t>
      </w:r>
      <w:r w:rsidR="00524089">
        <w:rPr>
          <w:rFonts w:ascii="Garamond" w:hAnsi="Garamond"/>
          <w:sz w:val="24"/>
          <w:szCs w:val="24"/>
        </w:rPr>
        <w:t xml:space="preserve">f everyday </w:t>
      </w:r>
      <w:r w:rsidR="00806E10">
        <w:rPr>
          <w:rFonts w:ascii="Garamond" w:hAnsi="Garamond"/>
          <w:sz w:val="24"/>
          <w:szCs w:val="24"/>
        </w:rPr>
        <w:t>administration</w:t>
      </w:r>
      <w:r w:rsidR="003E70BB">
        <w:rPr>
          <w:rFonts w:ascii="Garamond" w:hAnsi="Garamond"/>
          <w:sz w:val="24"/>
          <w:szCs w:val="24"/>
        </w:rPr>
        <w:t xml:space="preserve"> – </w:t>
      </w:r>
      <w:r w:rsidR="00C774A6">
        <w:rPr>
          <w:rFonts w:ascii="Garamond" w:hAnsi="Garamond"/>
          <w:sz w:val="24"/>
          <w:szCs w:val="24"/>
        </w:rPr>
        <w:t xml:space="preserve">in waiting </w:t>
      </w:r>
      <w:r w:rsidR="00C774A6">
        <w:rPr>
          <w:rFonts w:ascii="Garamond" w:hAnsi="Garamond"/>
          <w:sz w:val="24"/>
          <w:szCs w:val="24"/>
        </w:rPr>
        <w:lastRenderedPageBreak/>
        <w:t>rooms,</w:t>
      </w:r>
      <w:r w:rsidR="001620B1">
        <w:rPr>
          <w:rStyle w:val="FootnoteReference"/>
          <w:rFonts w:ascii="Garamond" w:hAnsi="Garamond"/>
          <w:sz w:val="24"/>
          <w:szCs w:val="24"/>
        </w:rPr>
        <w:footnoteReference w:id="14"/>
      </w:r>
      <w:r w:rsidR="00C774A6">
        <w:rPr>
          <w:rFonts w:ascii="Garamond" w:hAnsi="Garamond"/>
          <w:sz w:val="24"/>
          <w:szCs w:val="24"/>
        </w:rPr>
        <w:t xml:space="preserve"> </w:t>
      </w:r>
      <w:r w:rsidR="003E70BB">
        <w:rPr>
          <w:rFonts w:ascii="Garamond" w:hAnsi="Garamond"/>
          <w:sz w:val="24"/>
          <w:szCs w:val="24"/>
        </w:rPr>
        <w:t>at public counters,</w:t>
      </w:r>
      <w:r w:rsidR="00C774A6">
        <w:rPr>
          <w:rStyle w:val="FootnoteReference"/>
          <w:rFonts w:ascii="Garamond" w:hAnsi="Garamond"/>
          <w:sz w:val="24"/>
          <w:szCs w:val="24"/>
        </w:rPr>
        <w:footnoteReference w:id="15"/>
      </w:r>
      <w:r w:rsidR="003E70BB">
        <w:rPr>
          <w:rFonts w:ascii="Garamond" w:hAnsi="Garamond"/>
          <w:sz w:val="24"/>
          <w:szCs w:val="24"/>
        </w:rPr>
        <w:t xml:space="preserve"> through application forms</w:t>
      </w:r>
      <w:r w:rsidR="00C774A6">
        <w:rPr>
          <w:rFonts w:ascii="Garamond" w:hAnsi="Garamond"/>
          <w:sz w:val="24"/>
          <w:szCs w:val="24"/>
        </w:rPr>
        <w:t>,</w:t>
      </w:r>
      <w:r w:rsidR="00E0505A">
        <w:rPr>
          <w:rStyle w:val="FootnoteReference"/>
          <w:rFonts w:ascii="Garamond" w:hAnsi="Garamond"/>
          <w:sz w:val="24"/>
          <w:szCs w:val="24"/>
        </w:rPr>
        <w:footnoteReference w:id="16"/>
      </w:r>
      <w:r w:rsidR="003E70BB">
        <w:rPr>
          <w:rFonts w:ascii="Garamond" w:hAnsi="Garamond"/>
          <w:sz w:val="24"/>
          <w:szCs w:val="24"/>
        </w:rPr>
        <w:t xml:space="preserve"> or digital interfaces</w:t>
      </w:r>
      <w:r w:rsidR="00E0505A">
        <w:rPr>
          <w:rStyle w:val="FootnoteReference"/>
          <w:rFonts w:ascii="Garamond" w:hAnsi="Garamond"/>
          <w:sz w:val="24"/>
          <w:szCs w:val="24"/>
        </w:rPr>
        <w:footnoteReference w:id="17"/>
      </w:r>
      <w:r w:rsidR="00433364">
        <w:rPr>
          <w:rFonts w:ascii="Garamond" w:hAnsi="Garamond"/>
          <w:sz w:val="24"/>
          <w:szCs w:val="24"/>
        </w:rPr>
        <w:t xml:space="preserve"> –</w:t>
      </w:r>
      <w:r w:rsidR="003E70BB">
        <w:rPr>
          <w:rFonts w:ascii="Garamond" w:hAnsi="Garamond"/>
          <w:sz w:val="24"/>
          <w:szCs w:val="24"/>
        </w:rPr>
        <w:t xml:space="preserve"> </w:t>
      </w:r>
      <w:r w:rsidR="00806E10">
        <w:rPr>
          <w:rFonts w:ascii="Garamond" w:hAnsi="Garamond"/>
          <w:sz w:val="24"/>
          <w:szCs w:val="24"/>
        </w:rPr>
        <w:t>what happens in these small places is important.</w:t>
      </w:r>
      <w:r w:rsidR="00524089">
        <w:rPr>
          <w:rFonts w:ascii="Garamond" w:hAnsi="Garamond"/>
          <w:sz w:val="24"/>
          <w:szCs w:val="24"/>
        </w:rPr>
        <w:t xml:space="preserve"> </w:t>
      </w:r>
    </w:p>
    <w:p w14:paraId="1C694E1B" w14:textId="4F51543E" w:rsidR="00AA4E0C" w:rsidRPr="00A80CC6" w:rsidRDefault="00AA4E0C" w:rsidP="006E2B6D">
      <w:pPr>
        <w:jc w:val="both"/>
        <w:rPr>
          <w:rFonts w:ascii="Garamond" w:hAnsi="Garamond"/>
          <w:sz w:val="24"/>
          <w:szCs w:val="24"/>
        </w:rPr>
      </w:pPr>
      <w:r>
        <w:rPr>
          <w:rFonts w:ascii="Garamond" w:hAnsi="Garamond"/>
          <w:sz w:val="24"/>
          <w:szCs w:val="24"/>
        </w:rPr>
        <w:t>This paper</w:t>
      </w:r>
      <w:r w:rsidR="00EE433A">
        <w:rPr>
          <w:rFonts w:ascii="Garamond" w:hAnsi="Garamond"/>
          <w:sz w:val="24"/>
          <w:szCs w:val="24"/>
        </w:rPr>
        <w:t xml:space="preserve"> is laid out in three sections. The first section details the epistemological problem Irish public law currently has in that</w:t>
      </w:r>
      <w:r w:rsidR="00E5723D">
        <w:rPr>
          <w:rFonts w:ascii="Garamond" w:hAnsi="Garamond"/>
          <w:sz w:val="24"/>
          <w:szCs w:val="24"/>
        </w:rPr>
        <w:t xml:space="preserve"> there </w:t>
      </w:r>
      <w:r w:rsidR="007B5CE9">
        <w:rPr>
          <w:rFonts w:ascii="Garamond" w:hAnsi="Garamond"/>
          <w:sz w:val="24"/>
          <w:szCs w:val="24"/>
        </w:rPr>
        <w:t>is</w:t>
      </w:r>
      <w:r w:rsidR="00E5723D">
        <w:rPr>
          <w:rFonts w:ascii="Garamond" w:hAnsi="Garamond"/>
          <w:sz w:val="24"/>
          <w:szCs w:val="24"/>
        </w:rPr>
        <w:t xml:space="preserve"> a dearth of research that uses an ‘administrative justice’ lens. The second section details a way forward, introducing ‘administrative justice’ as a framework suitable for transposition into Irish legal scholarship, but noting the particular</w:t>
      </w:r>
      <w:r w:rsidR="00073455">
        <w:rPr>
          <w:rFonts w:ascii="Garamond" w:hAnsi="Garamond"/>
          <w:sz w:val="24"/>
          <w:szCs w:val="24"/>
        </w:rPr>
        <w:t>it</w:t>
      </w:r>
      <w:r w:rsidR="00E5723D">
        <w:rPr>
          <w:rFonts w:ascii="Garamond" w:hAnsi="Garamond"/>
          <w:sz w:val="24"/>
          <w:szCs w:val="24"/>
        </w:rPr>
        <w:t>ies of the Irish administrative state</w:t>
      </w:r>
      <w:r w:rsidR="00953E46">
        <w:rPr>
          <w:rFonts w:ascii="Garamond" w:hAnsi="Garamond"/>
          <w:sz w:val="24"/>
          <w:szCs w:val="24"/>
        </w:rPr>
        <w:t xml:space="preserve"> will require consideration in developing a research agenda for </w:t>
      </w:r>
      <w:r w:rsidR="00864943">
        <w:rPr>
          <w:rFonts w:ascii="Garamond" w:hAnsi="Garamond"/>
          <w:sz w:val="24"/>
          <w:szCs w:val="24"/>
        </w:rPr>
        <w:t xml:space="preserve">administrative justice research. Finally, the third section points to potential barriers to this work, as well as highlighting the </w:t>
      </w:r>
      <w:r w:rsidR="002B61D0">
        <w:rPr>
          <w:rFonts w:ascii="Garamond" w:hAnsi="Garamond"/>
          <w:sz w:val="24"/>
          <w:szCs w:val="24"/>
        </w:rPr>
        <w:t xml:space="preserve">administrative and societal </w:t>
      </w:r>
      <w:r w:rsidR="00864943">
        <w:rPr>
          <w:rFonts w:ascii="Garamond" w:hAnsi="Garamond"/>
          <w:sz w:val="24"/>
          <w:szCs w:val="24"/>
        </w:rPr>
        <w:t xml:space="preserve">challenges presented by technological developments. </w:t>
      </w:r>
    </w:p>
    <w:p w14:paraId="7E1CCA74" w14:textId="28B750CA" w:rsidR="00736A92" w:rsidRPr="00BA5B6C" w:rsidRDefault="00CD71DB" w:rsidP="00846EC9">
      <w:pPr>
        <w:jc w:val="both"/>
        <w:rPr>
          <w:rFonts w:ascii="Garamond" w:hAnsi="Garamond"/>
          <w:b/>
          <w:bCs/>
          <w:sz w:val="32"/>
          <w:szCs w:val="32"/>
        </w:rPr>
      </w:pPr>
      <w:r>
        <w:rPr>
          <w:rFonts w:ascii="Garamond" w:hAnsi="Garamond"/>
          <w:b/>
          <w:bCs/>
          <w:sz w:val="32"/>
          <w:szCs w:val="32"/>
        </w:rPr>
        <w:t xml:space="preserve">Section One: </w:t>
      </w:r>
      <w:r w:rsidR="00D02C18" w:rsidRPr="00BA5B6C">
        <w:rPr>
          <w:rFonts w:ascii="Garamond" w:hAnsi="Garamond"/>
          <w:b/>
          <w:bCs/>
          <w:sz w:val="32"/>
          <w:szCs w:val="32"/>
        </w:rPr>
        <w:t xml:space="preserve">The problem </w:t>
      </w:r>
    </w:p>
    <w:p w14:paraId="050E46ED" w14:textId="1BCB1967" w:rsidR="00764358" w:rsidRPr="00075042" w:rsidRDefault="00075042" w:rsidP="00846EC9">
      <w:pPr>
        <w:jc w:val="both"/>
        <w:rPr>
          <w:rFonts w:ascii="Garamond" w:hAnsi="Garamond"/>
          <w:b/>
          <w:bCs/>
          <w:sz w:val="28"/>
          <w:szCs w:val="28"/>
        </w:rPr>
      </w:pPr>
      <w:r w:rsidRPr="00075042">
        <w:rPr>
          <w:rFonts w:ascii="Garamond" w:hAnsi="Garamond"/>
          <w:b/>
          <w:bCs/>
          <w:sz w:val="28"/>
          <w:szCs w:val="28"/>
        </w:rPr>
        <w:t>Administrative law in context</w:t>
      </w:r>
    </w:p>
    <w:p w14:paraId="633ABD17" w14:textId="5055C25D" w:rsidR="008D05C7" w:rsidRDefault="0050441C" w:rsidP="00846EC9">
      <w:pPr>
        <w:jc w:val="both"/>
        <w:rPr>
          <w:rFonts w:ascii="Garamond" w:hAnsi="Garamond"/>
          <w:sz w:val="24"/>
          <w:szCs w:val="24"/>
        </w:rPr>
      </w:pPr>
      <w:r>
        <w:rPr>
          <w:rFonts w:ascii="Garamond" w:hAnsi="Garamond"/>
          <w:sz w:val="24"/>
          <w:szCs w:val="24"/>
        </w:rPr>
        <w:t xml:space="preserve">The relationship between judicial review judgments and public administration practices is poorly understood. </w:t>
      </w:r>
      <w:r w:rsidR="00610616">
        <w:rPr>
          <w:rFonts w:ascii="Garamond" w:hAnsi="Garamond"/>
          <w:sz w:val="24"/>
          <w:szCs w:val="24"/>
        </w:rPr>
        <w:t xml:space="preserve">Yet, the relationship between judicial review and administrative decision making is an </w:t>
      </w:r>
      <w:r w:rsidR="00CC6524">
        <w:rPr>
          <w:rFonts w:ascii="Garamond" w:hAnsi="Garamond"/>
          <w:sz w:val="24"/>
          <w:szCs w:val="24"/>
        </w:rPr>
        <w:t>important phenomenon</w:t>
      </w:r>
      <w:r w:rsidR="00D82147">
        <w:rPr>
          <w:rFonts w:ascii="Garamond" w:hAnsi="Garamond"/>
          <w:sz w:val="24"/>
          <w:szCs w:val="24"/>
        </w:rPr>
        <w:t xml:space="preserve"> that speaks to the rule of law, government practice</w:t>
      </w:r>
      <w:r w:rsidR="00283254">
        <w:rPr>
          <w:rFonts w:ascii="Garamond" w:hAnsi="Garamond"/>
          <w:sz w:val="24"/>
          <w:szCs w:val="24"/>
        </w:rPr>
        <w:t>s</w:t>
      </w:r>
      <w:r w:rsidR="00D82147">
        <w:rPr>
          <w:rFonts w:ascii="Garamond" w:hAnsi="Garamond"/>
          <w:sz w:val="24"/>
          <w:szCs w:val="24"/>
        </w:rPr>
        <w:t xml:space="preserve">, and </w:t>
      </w:r>
      <w:r w:rsidR="00283254">
        <w:rPr>
          <w:rFonts w:ascii="Garamond" w:hAnsi="Garamond"/>
          <w:sz w:val="24"/>
          <w:szCs w:val="24"/>
        </w:rPr>
        <w:t xml:space="preserve">the </w:t>
      </w:r>
      <w:r w:rsidR="00D82147">
        <w:rPr>
          <w:rFonts w:ascii="Garamond" w:hAnsi="Garamond"/>
          <w:sz w:val="24"/>
          <w:szCs w:val="24"/>
        </w:rPr>
        <w:t>protection of individual right</w:t>
      </w:r>
      <w:r w:rsidR="00283254">
        <w:rPr>
          <w:rFonts w:ascii="Garamond" w:hAnsi="Garamond"/>
          <w:sz w:val="24"/>
          <w:szCs w:val="24"/>
        </w:rPr>
        <w:t>s</w:t>
      </w:r>
      <w:r w:rsidR="00D82147">
        <w:rPr>
          <w:rFonts w:ascii="Garamond" w:hAnsi="Garamond"/>
          <w:sz w:val="24"/>
          <w:szCs w:val="24"/>
        </w:rPr>
        <w:t xml:space="preserve">. </w:t>
      </w:r>
      <w:r w:rsidR="00CC6524">
        <w:rPr>
          <w:rFonts w:ascii="Garamond" w:hAnsi="Garamond"/>
          <w:sz w:val="24"/>
          <w:szCs w:val="24"/>
        </w:rPr>
        <w:t>The question of what happens within public bodies following a successful judicial review</w:t>
      </w:r>
      <w:r w:rsidR="00B37690">
        <w:rPr>
          <w:rFonts w:ascii="Garamond" w:hAnsi="Garamond"/>
          <w:sz w:val="24"/>
          <w:szCs w:val="24"/>
        </w:rPr>
        <w:t xml:space="preserve"> is </w:t>
      </w:r>
      <w:r w:rsidR="00BF75CC">
        <w:rPr>
          <w:rFonts w:ascii="Garamond" w:hAnsi="Garamond"/>
          <w:sz w:val="24"/>
          <w:szCs w:val="24"/>
        </w:rPr>
        <w:t>a concern of the judiciary</w:t>
      </w:r>
      <w:r w:rsidR="00B37690">
        <w:rPr>
          <w:rFonts w:ascii="Garamond" w:hAnsi="Garamond"/>
          <w:sz w:val="24"/>
          <w:szCs w:val="24"/>
        </w:rPr>
        <w:t xml:space="preserve">. </w:t>
      </w:r>
      <w:r w:rsidR="00890B15">
        <w:rPr>
          <w:rFonts w:ascii="Garamond" w:hAnsi="Garamond"/>
          <w:sz w:val="24"/>
          <w:szCs w:val="24"/>
        </w:rPr>
        <w:t xml:space="preserve">We </w:t>
      </w:r>
      <w:r w:rsidR="000C6600">
        <w:rPr>
          <w:rFonts w:ascii="Garamond" w:hAnsi="Garamond"/>
          <w:sz w:val="24"/>
          <w:szCs w:val="24"/>
        </w:rPr>
        <w:t>can find a</w:t>
      </w:r>
      <w:r w:rsidR="00890B15">
        <w:rPr>
          <w:rFonts w:ascii="Garamond" w:hAnsi="Garamond"/>
          <w:sz w:val="24"/>
          <w:szCs w:val="24"/>
        </w:rPr>
        <w:t xml:space="preserve"> sense of frustration</w:t>
      </w:r>
      <w:r w:rsidR="008D05C7">
        <w:rPr>
          <w:rFonts w:ascii="Garamond" w:hAnsi="Garamond"/>
          <w:sz w:val="24"/>
          <w:szCs w:val="24"/>
        </w:rPr>
        <w:t xml:space="preserve"> from the High Court at times</w:t>
      </w:r>
      <w:r w:rsidR="00890B15">
        <w:rPr>
          <w:rFonts w:ascii="Garamond" w:hAnsi="Garamond"/>
          <w:sz w:val="24"/>
          <w:szCs w:val="24"/>
        </w:rPr>
        <w:t xml:space="preserve"> on how cases are handled when they are remitted for fresh determination.</w:t>
      </w:r>
      <w:r w:rsidR="008D05C7">
        <w:rPr>
          <w:rFonts w:ascii="Garamond" w:hAnsi="Garamond"/>
          <w:sz w:val="24"/>
          <w:szCs w:val="24"/>
        </w:rPr>
        <w:t xml:space="preserve"> The observations of </w:t>
      </w:r>
      <w:proofErr w:type="spellStart"/>
      <w:r w:rsidR="008D05C7">
        <w:rPr>
          <w:rFonts w:ascii="Garamond" w:hAnsi="Garamond"/>
          <w:sz w:val="24"/>
          <w:szCs w:val="24"/>
        </w:rPr>
        <w:t>MacEodhaidh</w:t>
      </w:r>
      <w:proofErr w:type="spellEnd"/>
      <w:r w:rsidR="008D05C7">
        <w:rPr>
          <w:rFonts w:ascii="Garamond" w:hAnsi="Garamond"/>
          <w:sz w:val="24"/>
          <w:szCs w:val="24"/>
        </w:rPr>
        <w:t xml:space="preserve"> J </w:t>
      </w:r>
      <w:r w:rsidR="001304B6">
        <w:rPr>
          <w:rFonts w:ascii="Garamond" w:hAnsi="Garamond"/>
          <w:sz w:val="24"/>
          <w:szCs w:val="24"/>
        </w:rPr>
        <w:t xml:space="preserve">in </w:t>
      </w:r>
      <w:r w:rsidR="001304B6" w:rsidRPr="007D20E0">
        <w:rPr>
          <w:rFonts w:ascii="Garamond" w:hAnsi="Garamond"/>
          <w:i/>
          <w:iCs/>
        </w:rPr>
        <w:t>A.A.S v Refugee Appeals Tribunal and Others</w:t>
      </w:r>
      <w:r w:rsidR="001304B6" w:rsidRPr="00B34159">
        <w:rPr>
          <w:rStyle w:val="FootnoteReference"/>
          <w:rFonts w:ascii="Garamond" w:hAnsi="Garamond"/>
        </w:rPr>
        <w:footnoteReference w:id="18"/>
      </w:r>
      <w:r w:rsidR="001304B6" w:rsidRPr="00B34159">
        <w:rPr>
          <w:rFonts w:ascii="Garamond" w:hAnsi="Garamond"/>
        </w:rPr>
        <w:t xml:space="preserve"> </w:t>
      </w:r>
      <w:r w:rsidR="008D05C7">
        <w:rPr>
          <w:rFonts w:ascii="Garamond" w:hAnsi="Garamond"/>
          <w:sz w:val="24"/>
          <w:szCs w:val="24"/>
        </w:rPr>
        <w:t>are illustrative in this regard:</w:t>
      </w:r>
    </w:p>
    <w:p w14:paraId="334C5D66" w14:textId="2C16DCFC" w:rsidR="00675622" w:rsidRDefault="00DA4259" w:rsidP="00DA4259">
      <w:pPr>
        <w:ind w:left="720"/>
        <w:jc w:val="both"/>
        <w:rPr>
          <w:rFonts w:ascii="Garamond" w:hAnsi="Garamond"/>
          <w:sz w:val="24"/>
          <w:szCs w:val="24"/>
        </w:rPr>
      </w:pPr>
      <w:r w:rsidRPr="00DA4259">
        <w:rPr>
          <w:rFonts w:ascii="Garamond" w:hAnsi="Garamond"/>
          <w:sz w:val="24"/>
          <w:szCs w:val="24"/>
        </w:rPr>
        <w:t>It is regrettable that the decision maker in this case does not appear to have had access to the decision of Birmingham J. or to an account of it. It seems to me that in any case which is remitted to a decision maker from the High Court, the decision maker ought to be concerned with the views of the High Court on how the matter was first handled. Unless this happens, the mistake or error which led to the first set of proceedings might be repeated. This appears to be what has happened in this case</w:t>
      </w:r>
      <w:r>
        <w:rPr>
          <w:rFonts w:ascii="Garamond" w:hAnsi="Garamond"/>
          <w:sz w:val="24"/>
          <w:szCs w:val="24"/>
        </w:rPr>
        <w:t>.</w:t>
      </w:r>
      <w:r>
        <w:rPr>
          <w:rStyle w:val="FootnoteReference"/>
          <w:rFonts w:ascii="Garamond" w:hAnsi="Garamond"/>
          <w:sz w:val="24"/>
          <w:szCs w:val="24"/>
        </w:rPr>
        <w:footnoteReference w:id="19"/>
      </w:r>
      <w:r>
        <w:rPr>
          <w:rFonts w:ascii="Garamond" w:hAnsi="Garamond"/>
          <w:sz w:val="24"/>
          <w:szCs w:val="24"/>
        </w:rPr>
        <w:t xml:space="preserve"> </w:t>
      </w:r>
      <w:r w:rsidR="008D05C7">
        <w:rPr>
          <w:rFonts w:ascii="Garamond" w:hAnsi="Garamond"/>
          <w:sz w:val="24"/>
          <w:szCs w:val="24"/>
        </w:rPr>
        <w:t xml:space="preserve"> </w:t>
      </w:r>
    </w:p>
    <w:p w14:paraId="6148DD9C" w14:textId="5A865C00" w:rsidR="00AA140D" w:rsidRDefault="00A62AD8" w:rsidP="00846EC9">
      <w:pPr>
        <w:jc w:val="both"/>
        <w:rPr>
          <w:rFonts w:ascii="Garamond" w:hAnsi="Garamond"/>
          <w:sz w:val="24"/>
          <w:szCs w:val="24"/>
        </w:rPr>
      </w:pPr>
      <w:r>
        <w:rPr>
          <w:rFonts w:ascii="Garamond" w:hAnsi="Garamond"/>
          <w:sz w:val="24"/>
          <w:szCs w:val="24"/>
        </w:rPr>
        <w:t xml:space="preserve">Similarly, </w:t>
      </w:r>
      <w:r w:rsidR="00F6596E">
        <w:rPr>
          <w:rFonts w:ascii="Garamond" w:hAnsi="Garamond"/>
          <w:sz w:val="24"/>
          <w:szCs w:val="24"/>
        </w:rPr>
        <w:t xml:space="preserve">following successful judicial review </w:t>
      </w:r>
      <w:r w:rsidR="00CF0DD0">
        <w:rPr>
          <w:rFonts w:ascii="Garamond" w:hAnsi="Garamond"/>
          <w:sz w:val="24"/>
          <w:szCs w:val="24"/>
        </w:rPr>
        <w:t xml:space="preserve">of an immigration decision, </w:t>
      </w:r>
      <w:r w:rsidR="009D415A">
        <w:rPr>
          <w:rFonts w:ascii="Garamond" w:hAnsi="Garamond"/>
          <w:sz w:val="24"/>
          <w:szCs w:val="24"/>
        </w:rPr>
        <w:t xml:space="preserve">Clark J sets out in </w:t>
      </w:r>
      <w:r w:rsidR="009D415A" w:rsidRPr="009D415A">
        <w:rPr>
          <w:rFonts w:ascii="Garamond" w:hAnsi="Garamond"/>
          <w:i/>
          <w:iCs/>
          <w:sz w:val="24"/>
          <w:szCs w:val="24"/>
        </w:rPr>
        <w:t>A.H.E.H &amp; Ors v Refugee Appeals Tribunal and Minister for Justice and Equality</w:t>
      </w:r>
      <w:r w:rsidR="009D415A" w:rsidRPr="00F56267">
        <w:rPr>
          <w:rStyle w:val="FootnoteReference"/>
          <w:rFonts w:ascii="Garamond" w:hAnsi="Garamond"/>
          <w:sz w:val="24"/>
          <w:szCs w:val="24"/>
        </w:rPr>
        <w:footnoteReference w:id="20"/>
      </w:r>
      <w:r w:rsidR="00F56267">
        <w:rPr>
          <w:rFonts w:ascii="Garamond" w:hAnsi="Garamond"/>
          <w:i/>
          <w:iCs/>
          <w:sz w:val="24"/>
          <w:szCs w:val="24"/>
        </w:rPr>
        <w:t xml:space="preserve"> </w:t>
      </w:r>
      <w:r w:rsidR="00F56267">
        <w:rPr>
          <w:rFonts w:ascii="Garamond" w:hAnsi="Garamond"/>
          <w:sz w:val="24"/>
          <w:szCs w:val="24"/>
        </w:rPr>
        <w:t>that</w:t>
      </w:r>
      <w:r w:rsidR="00F6596E">
        <w:rPr>
          <w:rFonts w:ascii="Garamond" w:hAnsi="Garamond"/>
          <w:sz w:val="24"/>
          <w:szCs w:val="24"/>
        </w:rPr>
        <w:t xml:space="preserve"> the new decision-maker ‘ought to be made aware of the Court’s reasons for quashing the case’.</w:t>
      </w:r>
      <w:r w:rsidR="00B07AC4">
        <w:rPr>
          <w:rStyle w:val="FootnoteReference"/>
          <w:rFonts w:ascii="Garamond" w:hAnsi="Garamond"/>
          <w:sz w:val="24"/>
          <w:szCs w:val="24"/>
        </w:rPr>
        <w:footnoteReference w:id="21"/>
      </w:r>
      <w:r w:rsidR="00F6596E">
        <w:rPr>
          <w:rFonts w:ascii="Garamond" w:hAnsi="Garamond"/>
          <w:sz w:val="24"/>
          <w:szCs w:val="24"/>
        </w:rPr>
        <w:t xml:space="preserve"> </w:t>
      </w:r>
      <w:r w:rsidR="00A67A17">
        <w:rPr>
          <w:rFonts w:ascii="Garamond" w:hAnsi="Garamond"/>
          <w:sz w:val="24"/>
          <w:szCs w:val="24"/>
        </w:rPr>
        <w:t xml:space="preserve">Yet there is no </w:t>
      </w:r>
      <w:r w:rsidR="00304063">
        <w:rPr>
          <w:rFonts w:ascii="Garamond" w:hAnsi="Garamond"/>
          <w:sz w:val="24"/>
          <w:szCs w:val="24"/>
        </w:rPr>
        <w:t xml:space="preserve">closed communication circle between the judiciary and administrative decision-makers following judicial review. </w:t>
      </w:r>
      <w:r w:rsidR="00701736">
        <w:rPr>
          <w:rFonts w:ascii="Garamond" w:hAnsi="Garamond"/>
          <w:sz w:val="24"/>
          <w:szCs w:val="24"/>
        </w:rPr>
        <w:t xml:space="preserve">The extent to which legal information is received and disseminated </w:t>
      </w:r>
      <w:r w:rsidR="00AA140D">
        <w:rPr>
          <w:rFonts w:ascii="Garamond" w:hAnsi="Garamond"/>
          <w:sz w:val="24"/>
          <w:szCs w:val="24"/>
        </w:rPr>
        <w:t xml:space="preserve">within public bodies </w:t>
      </w:r>
      <w:r w:rsidR="00D84207">
        <w:rPr>
          <w:rFonts w:ascii="Garamond" w:hAnsi="Garamond"/>
          <w:sz w:val="24"/>
          <w:szCs w:val="24"/>
        </w:rPr>
        <w:t>is heavily dependent on managerial practices</w:t>
      </w:r>
      <w:r w:rsidR="00002621">
        <w:rPr>
          <w:rFonts w:ascii="Garamond" w:hAnsi="Garamond"/>
          <w:sz w:val="24"/>
          <w:szCs w:val="24"/>
        </w:rPr>
        <w:t>. Writing</w:t>
      </w:r>
      <w:r w:rsidR="00002621" w:rsidRPr="00002621">
        <w:rPr>
          <w:rFonts w:ascii="Garamond" w:hAnsi="Garamond"/>
          <w:sz w:val="24"/>
          <w:szCs w:val="24"/>
        </w:rPr>
        <w:t xml:space="preserve"> in relation to the dissemination of guidance within the Home Office, </w:t>
      </w:r>
      <w:r w:rsidR="00002621">
        <w:rPr>
          <w:rFonts w:ascii="Garamond" w:hAnsi="Garamond"/>
          <w:sz w:val="24"/>
          <w:szCs w:val="24"/>
        </w:rPr>
        <w:t xml:space="preserve">Thomas </w:t>
      </w:r>
      <w:r w:rsidR="0073122B">
        <w:rPr>
          <w:rFonts w:ascii="Garamond" w:hAnsi="Garamond"/>
          <w:sz w:val="24"/>
          <w:szCs w:val="24"/>
        </w:rPr>
        <w:t>outlines how there is ‘</w:t>
      </w:r>
      <w:r w:rsidR="0073122B" w:rsidRPr="0073122B">
        <w:rPr>
          <w:rFonts w:ascii="Garamond" w:hAnsi="Garamond"/>
          <w:sz w:val="24"/>
          <w:szCs w:val="24"/>
        </w:rPr>
        <w:t>uncoordinated and unsystematic dissemination within the department’s internal structure, and how this in turn prompts judicial correction</w:t>
      </w:r>
      <w:r w:rsidR="0073122B">
        <w:rPr>
          <w:rFonts w:ascii="Garamond" w:hAnsi="Garamond"/>
          <w:sz w:val="24"/>
          <w:szCs w:val="24"/>
        </w:rPr>
        <w:t>’</w:t>
      </w:r>
      <w:r w:rsidR="0073122B" w:rsidRPr="0073122B">
        <w:rPr>
          <w:rFonts w:ascii="Garamond" w:hAnsi="Garamond"/>
          <w:sz w:val="24"/>
          <w:szCs w:val="24"/>
        </w:rPr>
        <w:t>.</w:t>
      </w:r>
      <w:r w:rsidR="0073122B">
        <w:rPr>
          <w:rStyle w:val="FootnoteReference"/>
          <w:rFonts w:ascii="Garamond" w:hAnsi="Garamond"/>
          <w:sz w:val="24"/>
          <w:szCs w:val="24"/>
        </w:rPr>
        <w:footnoteReference w:id="22"/>
      </w:r>
      <w:r w:rsidR="00C759F1">
        <w:rPr>
          <w:rFonts w:ascii="Garamond" w:hAnsi="Garamond"/>
          <w:sz w:val="24"/>
          <w:szCs w:val="24"/>
        </w:rPr>
        <w:t xml:space="preserve"> In order to develop a full</w:t>
      </w:r>
      <w:r w:rsidR="0052053B">
        <w:rPr>
          <w:rFonts w:ascii="Garamond" w:hAnsi="Garamond"/>
          <w:sz w:val="24"/>
          <w:szCs w:val="24"/>
        </w:rPr>
        <w:t xml:space="preserve">er and richer understanding of administrative law (and </w:t>
      </w:r>
      <w:r w:rsidR="0052053B">
        <w:rPr>
          <w:rFonts w:ascii="Garamond" w:hAnsi="Garamond"/>
          <w:sz w:val="24"/>
          <w:szCs w:val="24"/>
        </w:rPr>
        <w:lastRenderedPageBreak/>
        <w:t xml:space="preserve">administrative justice) we need to look </w:t>
      </w:r>
      <w:r w:rsidR="007F4326">
        <w:rPr>
          <w:rFonts w:ascii="Garamond" w:hAnsi="Garamond"/>
          <w:sz w:val="24"/>
          <w:szCs w:val="24"/>
        </w:rPr>
        <w:t>more closely at</w:t>
      </w:r>
      <w:r w:rsidR="00C84F18">
        <w:rPr>
          <w:rFonts w:ascii="Garamond" w:hAnsi="Garamond"/>
          <w:sz w:val="24"/>
          <w:szCs w:val="24"/>
        </w:rPr>
        <w:t xml:space="preserve"> wider administrative systems and processes </w:t>
      </w:r>
      <w:r w:rsidR="00A565B8">
        <w:rPr>
          <w:rFonts w:ascii="Garamond" w:hAnsi="Garamond"/>
          <w:sz w:val="24"/>
          <w:szCs w:val="24"/>
        </w:rPr>
        <w:t xml:space="preserve">– </w:t>
      </w:r>
      <w:r w:rsidR="00C84F18">
        <w:rPr>
          <w:rFonts w:ascii="Garamond" w:hAnsi="Garamond"/>
          <w:sz w:val="24"/>
          <w:szCs w:val="24"/>
        </w:rPr>
        <w:t>beyond</w:t>
      </w:r>
      <w:r w:rsidR="00A565B8">
        <w:rPr>
          <w:rFonts w:ascii="Garamond" w:hAnsi="Garamond"/>
          <w:sz w:val="24"/>
          <w:szCs w:val="24"/>
        </w:rPr>
        <w:t xml:space="preserve"> what we can learn from</w:t>
      </w:r>
      <w:r w:rsidR="00C84F18">
        <w:rPr>
          <w:rFonts w:ascii="Garamond" w:hAnsi="Garamond"/>
          <w:sz w:val="24"/>
          <w:szCs w:val="24"/>
        </w:rPr>
        <w:t xml:space="preserve"> the</w:t>
      </w:r>
      <w:r w:rsidR="00A565B8">
        <w:rPr>
          <w:rFonts w:ascii="Garamond" w:hAnsi="Garamond"/>
          <w:sz w:val="24"/>
          <w:szCs w:val="24"/>
        </w:rPr>
        <w:t xml:space="preserve"> text of judicial review judgments. </w:t>
      </w:r>
      <w:r w:rsidR="000F0A9F">
        <w:rPr>
          <w:rFonts w:ascii="Garamond" w:hAnsi="Garamond"/>
          <w:sz w:val="24"/>
          <w:szCs w:val="24"/>
        </w:rPr>
        <w:t xml:space="preserve">This in turn will lead to </w:t>
      </w:r>
      <w:r w:rsidR="00265ECB">
        <w:rPr>
          <w:rFonts w:ascii="Garamond" w:hAnsi="Garamond"/>
          <w:sz w:val="24"/>
          <w:szCs w:val="24"/>
        </w:rPr>
        <w:t xml:space="preserve">both </w:t>
      </w:r>
      <w:r w:rsidR="000F0A9F">
        <w:rPr>
          <w:rFonts w:ascii="Garamond" w:hAnsi="Garamond"/>
          <w:sz w:val="24"/>
          <w:szCs w:val="24"/>
        </w:rPr>
        <w:t>a richer understanding of judicial review</w:t>
      </w:r>
      <w:r w:rsidR="00265ECB">
        <w:rPr>
          <w:rFonts w:ascii="Garamond" w:hAnsi="Garamond"/>
          <w:sz w:val="24"/>
          <w:szCs w:val="24"/>
        </w:rPr>
        <w:t>,</w:t>
      </w:r>
      <w:r w:rsidR="000F0A9F">
        <w:rPr>
          <w:rFonts w:ascii="Garamond" w:hAnsi="Garamond"/>
          <w:sz w:val="24"/>
          <w:szCs w:val="24"/>
        </w:rPr>
        <w:t xml:space="preserve"> and a </w:t>
      </w:r>
      <w:r w:rsidR="00265ECB">
        <w:rPr>
          <w:rFonts w:ascii="Garamond" w:hAnsi="Garamond"/>
          <w:sz w:val="24"/>
          <w:szCs w:val="24"/>
        </w:rPr>
        <w:t xml:space="preserve">deeper understanding of how </w:t>
      </w:r>
      <w:r w:rsidR="00A00AC7">
        <w:rPr>
          <w:rFonts w:ascii="Garamond" w:hAnsi="Garamond"/>
          <w:sz w:val="24"/>
          <w:szCs w:val="24"/>
        </w:rPr>
        <w:t xml:space="preserve">the administrative state operates </w:t>
      </w:r>
      <w:r w:rsidR="00265ECB">
        <w:rPr>
          <w:rFonts w:ascii="Garamond" w:hAnsi="Garamond"/>
          <w:sz w:val="24"/>
          <w:szCs w:val="24"/>
        </w:rPr>
        <w:t xml:space="preserve">in </w:t>
      </w:r>
      <w:r w:rsidR="0048655A">
        <w:rPr>
          <w:rFonts w:ascii="Garamond" w:hAnsi="Garamond"/>
          <w:sz w:val="24"/>
          <w:szCs w:val="24"/>
        </w:rPr>
        <w:t>practice</w:t>
      </w:r>
      <w:r w:rsidR="00265ECB">
        <w:rPr>
          <w:rFonts w:ascii="Garamond" w:hAnsi="Garamond"/>
          <w:sz w:val="24"/>
          <w:szCs w:val="24"/>
        </w:rPr>
        <w:t>.</w:t>
      </w:r>
      <w:r w:rsidR="00265ECB">
        <w:rPr>
          <w:rStyle w:val="FootnoteReference"/>
          <w:rFonts w:ascii="Garamond" w:hAnsi="Garamond"/>
          <w:sz w:val="24"/>
          <w:szCs w:val="24"/>
        </w:rPr>
        <w:footnoteReference w:id="23"/>
      </w:r>
      <w:r w:rsidR="00265ECB">
        <w:rPr>
          <w:rFonts w:ascii="Garamond" w:hAnsi="Garamond"/>
          <w:sz w:val="24"/>
          <w:szCs w:val="24"/>
        </w:rPr>
        <w:t xml:space="preserve"> </w:t>
      </w:r>
    </w:p>
    <w:p w14:paraId="2B1B1629" w14:textId="22F6D481" w:rsidR="00B261A4" w:rsidRDefault="00254778" w:rsidP="00846EC9">
      <w:pPr>
        <w:jc w:val="both"/>
        <w:rPr>
          <w:rFonts w:ascii="Garamond" w:hAnsi="Garamond"/>
          <w:sz w:val="24"/>
          <w:szCs w:val="24"/>
        </w:rPr>
      </w:pPr>
      <w:r>
        <w:rPr>
          <w:rFonts w:ascii="Garamond" w:hAnsi="Garamond"/>
          <w:sz w:val="24"/>
          <w:szCs w:val="24"/>
        </w:rPr>
        <w:t>Halliday notes that the task of measuring the ‘impact’ of judicial review on government agencies is</w:t>
      </w:r>
      <w:r w:rsidR="002238CB">
        <w:rPr>
          <w:rFonts w:ascii="Garamond" w:hAnsi="Garamond"/>
          <w:sz w:val="24"/>
          <w:szCs w:val="24"/>
        </w:rPr>
        <w:t xml:space="preserve"> ‘fraught with difficulty’</w:t>
      </w:r>
      <w:r w:rsidR="00862A93">
        <w:rPr>
          <w:rFonts w:ascii="Garamond" w:hAnsi="Garamond"/>
          <w:sz w:val="24"/>
          <w:szCs w:val="24"/>
        </w:rPr>
        <w:t>.</w:t>
      </w:r>
      <w:r w:rsidR="00BD3430">
        <w:rPr>
          <w:rStyle w:val="FootnoteReference"/>
          <w:rFonts w:ascii="Garamond" w:hAnsi="Garamond"/>
          <w:sz w:val="24"/>
          <w:szCs w:val="24"/>
        </w:rPr>
        <w:footnoteReference w:id="24"/>
      </w:r>
      <w:r w:rsidR="00862A93">
        <w:rPr>
          <w:rFonts w:ascii="Garamond" w:hAnsi="Garamond"/>
          <w:sz w:val="24"/>
          <w:szCs w:val="24"/>
        </w:rPr>
        <w:t xml:space="preserve"> He notes that </w:t>
      </w:r>
      <w:r w:rsidR="00B97B9A">
        <w:rPr>
          <w:rFonts w:ascii="Garamond" w:hAnsi="Garamond"/>
          <w:sz w:val="24"/>
          <w:szCs w:val="24"/>
        </w:rPr>
        <w:t xml:space="preserve">through a combination of sociological and doctrinal </w:t>
      </w:r>
      <w:r w:rsidR="006007B4">
        <w:rPr>
          <w:rFonts w:ascii="Garamond" w:hAnsi="Garamond"/>
          <w:sz w:val="24"/>
          <w:szCs w:val="24"/>
        </w:rPr>
        <w:t>study we can build a framework ‘</w:t>
      </w:r>
      <w:r w:rsidR="00495775" w:rsidRPr="00495775">
        <w:rPr>
          <w:rFonts w:ascii="Garamond" w:hAnsi="Garamond"/>
          <w:sz w:val="24"/>
          <w:szCs w:val="24"/>
        </w:rPr>
        <w:t xml:space="preserve">for hypothesising about whether and to what extent judicial review may secure compliance with administrative law. Neither the doctrinal study of administrative law, nor the sociological study of administration in isolation is sufficient to tell us enough about </w:t>
      </w:r>
      <w:r w:rsidR="00E0505A">
        <w:rPr>
          <w:rFonts w:ascii="Garamond" w:hAnsi="Garamond"/>
          <w:sz w:val="24"/>
          <w:szCs w:val="24"/>
        </w:rPr>
        <w:t>t</w:t>
      </w:r>
      <w:r w:rsidR="00495775" w:rsidRPr="00495775">
        <w:rPr>
          <w:rFonts w:ascii="Garamond" w:hAnsi="Garamond"/>
          <w:sz w:val="24"/>
          <w:szCs w:val="24"/>
        </w:rPr>
        <w:t>he relationship between the two</w:t>
      </w:r>
      <w:r w:rsidR="00495775">
        <w:rPr>
          <w:rFonts w:ascii="Garamond" w:hAnsi="Garamond"/>
          <w:sz w:val="24"/>
          <w:szCs w:val="24"/>
        </w:rPr>
        <w:t>’.</w:t>
      </w:r>
      <w:r w:rsidR="00495775">
        <w:rPr>
          <w:rStyle w:val="FootnoteReference"/>
          <w:rFonts w:ascii="Garamond" w:hAnsi="Garamond"/>
          <w:sz w:val="24"/>
          <w:szCs w:val="24"/>
        </w:rPr>
        <w:footnoteReference w:id="25"/>
      </w:r>
      <w:r w:rsidR="002B2578">
        <w:rPr>
          <w:rFonts w:ascii="Garamond" w:hAnsi="Garamond"/>
          <w:sz w:val="24"/>
          <w:szCs w:val="24"/>
        </w:rPr>
        <w:t xml:space="preserve"> </w:t>
      </w:r>
      <w:r w:rsidR="006D2E51">
        <w:rPr>
          <w:rFonts w:ascii="Garamond" w:hAnsi="Garamond"/>
          <w:sz w:val="24"/>
          <w:szCs w:val="24"/>
        </w:rPr>
        <w:t xml:space="preserve">Thus </w:t>
      </w:r>
      <w:r w:rsidR="002B2578">
        <w:rPr>
          <w:rFonts w:ascii="Garamond" w:hAnsi="Garamond"/>
          <w:sz w:val="24"/>
          <w:szCs w:val="24"/>
        </w:rPr>
        <w:t>the need for socio-legal approaches that are open to different ways of knowing, measuring, and understanding the reality of law in context.</w:t>
      </w:r>
    </w:p>
    <w:p w14:paraId="3C67BB08" w14:textId="68992208" w:rsidR="00875506" w:rsidRDefault="00945CDB" w:rsidP="00846EC9">
      <w:pPr>
        <w:jc w:val="both"/>
        <w:rPr>
          <w:rFonts w:ascii="Garamond" w:hAnsi="Garamond"/>
          <w:sz w:val="24"/>
          <w:szCs w:val="24"/>
        </w:rPr>
      </w:pPr>
      <w:r>
        <w:rPr>
          <w:rFonts w:ascii="Garamond" w:hAnsi="Garamond"/>
          <w:sz w:val="24"/>
          <w:szCs w:val="24"/>
        </w:rPr>
        <w:t>Martin sketches out diff</w:t>
      </w:r>
      <w:r w:rsidR="00F0205A">
        <w:rPr>
          <w:rFonts w:ascii="Garamond" w:hAnsi="Garamond"/>
          <w:sz w:val="24"/>
          <w:szCs w:val="24"/>
        </w:rPr>
        <w:t xml:space="preserve">erent </w:t>
      </w:r>
      <w:r w:rsidR="002B2578">
        <w:rPr>
          <w:rFonts w:ascii="Garamond" w:hAnsi="Garamond"/>
          <w:sz w:val="24"/>
          <w:szCs w:val="24"/>
        </w:rPr>
        <w:t>lines</w:t>
      </w:r>
      <w:r w:rsidR="00F0205A">
        <w:rPr>
          <w:rFonts w:ascii="Garamond" w:hAnsi="Garamond"/>
          <w:sz w:val="24"/>
          <w:szCs w:val="24"/>
        </w:rPr>
        <w:t xml:space="preserve"> of inquiry into frontline decision-making that may be pursued by socio-legal scholars of administrative law or administrative justice. </w:t>
      </w:r>
      <w:r w:rsidR="00E62446">
        <w:rPr>
          <w:rFonts w:ascii="Garamond" w:hAnsi="Garamond"/>
          <w:sz w:val="24"/>
          <w:szCs w:val="24"/>
        </w:rPr>
        <w:t xml:space="preserve">This paper closely follows the first classification he offers </w:t>
      </w:r>
      <w:r w:rsidR="00E62446" w:rsidRPr="00E62446">
        <w:rPr>
          <w:rFonts w:ascii="Garamond" w:hAnsi="Garamond"/>
          <w:sz w:val="24"/>
          <w:szCs w:val="24"/>
        </w:rPr>
        <w:t xml:space="preserve">– as lawyers we are different to other social scientists in that we tend to foreground the law making us well place to ask and answer questions such as </w:t>
      </w:r>
      <w:r w:rsidR="00E62446">
        <w:rPr>
          <w:rFonts w:ascii="Garamond" w:hAnsi="Garamond"/>
          <w:sz w:val="24"/>
          <w:szCs w:val="24"/>
        </w:rPr>
        <w:t>‘</w:t>
      </w:r>
      <w:r w:rsidR="00E62446" w:rsidRPr="00E62446">
        <w:rPr>
          <w:rFonts w:ascii="Garamond" w:hAnsi="Garamond"/>
          <w:sz w:val="24"/>
          <w:szCs w:val="24"/>
        </w:rPr>
        <w:t>[h]ow do administrative law standards, legislative duties, formal procedures, and informal rules actually interact on the frontline?</w:t>
      </w:r>
      <w:r w:rsidR="00E62446">
        <w:rPr>
          <w:rFonts w:ascii="Garamond" w:hAnsi="Garamond"/>
          <w:sz w:val="24"/>
          <w:szCs w:val="24"/>
        </w:rPr>
        <w:t>’</w:t>
      </w:r>
      <w:r w:rsidR="00E62446">
        <w:rPr>
          <w:rStyle w:val="FootnoteReference"/>
          <w:rFonts w:ascii="Garamond" w:hAnsi="Garamond"/>
          <w:sz w:val="24"/>
          <w:szCs w:val="24"/>
        </w:rPr>
        <w:footnoteReference w:id="26"/>
      </w:r>
      <w:r w:rsidR="00B63B89">
        <w:rPr>
          <w:rFonts w:ascii="Garamond" w:hAnsi="Garamond"/>
          <w:sz w:val="24"/>
          <w:szCs w:val="24"/>
        </w:rPr>
        <w:t xml:space="preserve"> Donson and O’Donovan argue that public law research in Ireland has </w:t>
      </w:r>
      <w:r w:rsidR="00CB2611" w:rsidRPr="00CB2611">
        <w:rPr>
          <w:rFonts w:ascii="Garamond" w:hAnsi="Garamond"/>
          <w:sz w:val="24"/>
          <w:szCs w:val="24"/>
        </w:rPr>
        <w:t>prioritis</w:t>
      </w:r>
      <w:r w:rsidR="00A27BA0">
        <w:rPr>
          <w:rFonts w:ascii="Garamond" w:hAnsi="Garamond"/>
          <w:sz w:val="24"/>
          <w:szCs w:val="24"/>
        </w:rPr>
        <w:t xml:space="preserve">ed </w:t>
      </w:r>
      <w:r w:rsidR="00CB2611" w:rsidRPr="00CB2611">
        <w:rPr>
          <w:rFonts w:ascii="Garamond" w:hAnsi="Garamond"/>
          <w:sz w:val="24"/>
          <w:szCs w:val="24"/>
        </w:rPr>
        <w:t xml:space="preserve">constitutional values, without </w:t>
      </w:r>
      <w:r w:rsidR="00A27BA0">
        <w:rPr>
          <w:rFonts w:ascii="Garamond" w:hAnsi="Garamond"/>
          <w:sz w:val="24"/>
          <w:szCs w:val="24"/>
        </w:rPr>
        <w:t xml:space="preserve">sufficient </w:t>
      </w:r>
      <w:r w:rsidR="00CB2611" w:rsidRPr="00CB2611">
        <w:rPr>
          <w:rFonts w:ascii="Garamond" w:hAnsi="Garamond"/>
          <w:sz w:val="24"/>
          <w:szCs w:val="24"/>
        </w:rPr>
        <w:t xml:space="preserve">consideration of </w:t>
      </w:r>
      <w:r w:rsidR="00A27BA0">
        <w:rPr>
          <w:rFonts w:ascii="Garamond" w:hAnsi="Garamond"/>
          <w:sz w:val="24"/>
          <w:szCs w:val="24"/>
        </w:rPr>
        <w:t>administrative justice</w:t>
      </w:r>
      <w:r w:rsidR="00CB2611" w:rsidRPr="00CB2611">
        <w:rPr>
          <w:rFonts w:ascii="Garamond" w:hAnsi="Garamond"/>
          <w:sz w:val="24"/>
          <w:szCs w:val="24"/>
        </w:rPr>
        <w:t>:</w:t>
      </w:r>
    </w:p>
    <w:p w14:paraId="48EF6FBF" w14:textId="44CFB197" w:rsidR="00A27BA0" w:rsidRDefault="00990F46" w:rsidP="00A27BA0">
      <w:pPr>
        <w:ind w:left="720"/>
        <w:jc w:val="both"/>
        <w:rPr>
          <w:rFonts w:ascii="Garamond" w:hAnsi="Garamond"/>
          <w:sz w:val="24"/>
          <w:szCs w:val="24"/>
        </w:rPr>
      </w:pPr>
      <w:r w:rsidRPr="00990F46">
        <w:rPr>
          <w:rFonts w:ascii="Garamond" w:hAnsi="Garamond"/>
          <w:sz w:val="24"/>
          <w:szCs w:val="24"/>
        </w:rPr>
        <w:t>While there have been extensive constitutional convention debates proposing referenda to reform the state’s constitutional framework, these have largely failed to address questions of administrative justice. This emphasis on the constitutional to the detriment of the administrative is extremely disappointing, as while it may be said that we have a constitutional vocabulary of rights and values, we have not yet formed an effective administrative and inter-institutional grammar for their delivery</w:t>
      </w:r>
      <w:r>
        <w:rPr>
          <w:rFonts w:ascii="Garamond" w:hAnsi="Garamond"/>
          <w:sz w:val="24"/>
          <w:szCs w:val="24"/>
        </w:rPr>
        <w:t>.</w:t>
      </w:r>
      <w:r>
        <w:rPr>
          <w:rStyle w:val="FootnoteReference"/>
          <w:rFonts w:ascii="Garamond" w:hAnsi="Garamond"/>
          <w:sz w:val="24"/>
          <w:szCs w:val="24"/>
        </w:rPr>
        <w:footnoteReference w:id="27"/>
      </w:r>
    </w:p>
    <w:p w14:paraId="4D98ABE2" w14:textId="62C16DD4" w:rsidR="00FC4919" w:rsidRDefault="002E32E0" w:rsidP="00BC3908">
      <w:pPr>
        <w:jc w:val="both"/>
        <w:rPr>
          <w:rFonts w:ascii="Garamond" w:hAnsi="Garamond"/>
          <w:sz w:val="24"/>
          <w:szCs w:val="24"/>
        </w:rPr>
      </w:pPr>
      <w:r>
        <w:rPr>
          <w:rFonts w:ascii="Garamond" w:hAnsi="Garamond"/>
          <w:sz w:val="24"/>
          <w:szCs w:val="24"/>
        </w:rPr>
        <w:t xml:space="preserve">To reenforce the extent of this literature gap, a search of ‘administrative justice’ on the Westlaw.ie database </w:t>
      </w:r>
      <w:r w:rsidR="00036EEB">
        <w:rPr>
          <w:rFonts w:ascii="Garamond" w:hAnsi="Garamond"/>
          <w:sz w:val="24"/>
          <w:szCs w:val="24"/>
        </w:rPr>
        <w:t>free text box brings up 22 results. By contrast a search for ‘administration of justice’ brings up 222</w:t>
      </w:r>
      <w:r w:rsidR="00D032E5">
        <w:rPr>
          <w:rFonts w:ascii="Garamond" w:hAnsi="Garamond"/>
          <w:sz w:val="24"/>
          <w:szCs w:val="24"/>
        </w:rPr>
        <w:t>7</w:t>
      </w:r>
      <w:r w:rsidR="00036EEB">
        <w:rPr>
          <w:rFonts w:ascii="Garamond" w:hAnsi="Garamond"/>
          <w:sz w:val="24"/>
          <w:szCs w:val="24"/>
        </w:rPr>
        <w:t xml:space="preserve"> results.</w:t>
      </w:r>
      <w:r w:rsidR="00D0724C">
        <w:rPr>
          <w:rStyle w:val="FootnoteReference"/>
          <w:rFonts w:ascii="Garamond" w:hAnsi="Garamond"/>
          <w:sz w:val="24"/>
          <w:szCs w:val="24"/>
        </w:rPr>
        <w:footnoteReference w:id="28"/>
      </w:r>
      <w:r w:rsidR="00036EEB">
        <w:rPr>
          <w:rFonts w:ascii="Garamond" w:hAnsi="Garamond"/>
          <w:sz w:val="24"/>
          <w:szCs w:val="24"/>
        </w:rPr>
        <w:t xml:space="preserve"> </w:t>
      </w:r>
      <w:r w:rsidR="001028F0">
        <w:rPr>
          <w:rFonts w:ascii="Garamond" w:hAnsi="Garamond"/>
          <w:sz w:val="24"/>
          <w:szCs w:val="24"/>
        </w:rPr>
        <w:t xml:space="preserve">While there is an absence of research that </w:t>
      </w:r>
      <w:r w:rsidR="00620FD9">
        <w:rPr>
          <w:rFonts w:ascii="Garamond" w:hAnsi="Garamond"/>
          <w:sz w:val="24"/>
          <w:szCs w:val="24"/>
        </w:rPr>
        <w:t xml:space="preserve">is </w:t>
      </w:r>
      <w:r w:rsidR="001028F0">
        <w:rPr>
          <w:rFonts w:ascii="Garamond" w:hAnsi="Garamond"/>
          <w:sz w:val="24"/>
          <w:szCs w:val="24"/>
        </w:rPr>
        <w:t xml:space="preserve">grounded in an ‘administrative justice’ framework, a wide reading of the literature does point to </w:t>
      </w:r>
      <w:r w:rsidR="006A3E1F">
        <w:rPr>
          <w:rFonts w:ascii="Garamond" w:hAnsi="Garamond"/>
          <w:sz w:val="24"/>
          <w:szCs w:val="24"/>
        </w:rPr>
        <w:t xml:space="preserve">rich bodies of work in closely related fields. </w:t>
      </w:r>
      <w:r w:rsidR="00130962">
        <w:rPr>
          <w:rFonts w:ascii="Garamond" w:hAnsi="Garamond"/>
          <w:sz w:val="24"/>
          <w:szCs w:val="24"/>
        </w:rPr>
        <w:t xml:space="preserve">Much of this </w:t>
      </w:r>
      <w:r w:rsidR="006A3E1F">
        <w:rPr>
          <w:rFonts w:ascii="Garamond" w:hAnsi="Garamond"/>
          <w:sz w:val="24"/>
          <w:szCs w:val="24"/>
        </w:rPr>
        <w:t>scholarship tends to be situated within a ‘</w:t>
      </w:r>
      <w:r w:rsidR="005B726C">
        <w:rPr>
          <w:rFonts w:ascii="Garamond" w:hAnsi="Garamond"/>
          <w:sz w:val="24"/>
          <w:szCs w:val="24"/>
        </w:rPr>
        <w:t>rights-based’</w:t>
      </w:r>
      <w:r w:rsidR="006A3E1F">
        <w:rPr>
          <w:rFonts w:ascii="Garamond" w:hAnsi="Garamond"/>
          <w:sz w:val="24"/>
          <w:szCs w:val="24"/>
        </w:rPr>
        <w:t xml:space="preserve"> framework</w:t>
      </w:r>
      <w:r w:rsidR="00041B2D">
        <w:rPr>
          <w:rFonts w:ascii="Garamond" w:hAnsi="Garamond"/>
          <w:sz w:val="24"/>
          <w:szCs w:val="24"/>
        </w:rPr>
        <w:t xml:space="preserve"> – </w:t>
      </w:r>
      <w:r w:rsidR="00841372">
        <w:rPr>
          <w:rFonts w:ascii="Garamond" w:hAnsi="Garamond"/>
          <w:sz w:val="24"/>
          <w:szCs w:val="24"/>
        </w:rPr>
        <w:t xml:space="preserve">for example, </w:t>
      </w:r>
      <w:r w:rsidR="00041B2D">
        <w:rPr>
          <w:rFonts w:ascii="Garamond" w:hAnsi="Garamond"/>
          <w:sz w:val="24"/>
          <w:szCs w:val="24"/>
        </w:rPr>
        <w:t>Thorton on immigration</w:t>
      </w:r>
      <w:r w:rsidR="00130962">
        <w:rPr>
          <w:rStyle w:val="FootnoteReference"/>
          <w:rFonts w:ascii="Garamond" w:hAnsi="Garamond"/>
          <w:sz w:val="24"/>
          <w:szCs w:val="24"/>
        </w:rPr>
        <w:footnoteReference w:id="29"/>
      </w:r>
      <w:r w:rsidR="00041B2D">
        <w:rPr>
          <w:rFonts w:ascii="Garamond" w:hAnsi="Garamond"/>
          <w:sz w:val="24"/>
          <w:szCs w:val="24"/>
        </w:rPr>
        <w:t>; Rogan</w:t>
      </w:r>
      <w:r w:rsidR="006F0270">
        <w:rPr>
          <w:rFonts w:ascii="Garamond" w:hAnsi="Garamond"/>
          <w:sz w:val="24"/>
          <w:szCs w:val="24"/>
        </w:rPr>
        <w:t xml:space="preserve"> and van der Valk</w:t>
      </w:r>
      <w:r w:rsidR="00041B2D">
        <w:rPr>
          <w:rFonts w:ascii="Garamond" w:hAnsi="Garamond"/>
          <w:sz w:val="24"/>
          <w:szCs w:val="24"/>
        </w:rPr>
        <w:t xml:space="preserve"> on prison management and prisoner rights</w:t>
      </w:r>
      <w:r w:rsidR="006F0270">
        <w:rPr>
          <w:rStyle w:val="FootnoteReference"/>
          <w:rFonts w:ascii="Garamond" w:hAnsi="Garamond"/>
          <w:sz w:val="24"/>
          <w:szCs w:val="24"/>
        </w:rPr>
        <w:footnoteReference w:id="30"/>
      </w:r>
      <w:r w:rsidR="00041B2D">
        <w:rPr>
          <w:rFonts w:ascii="Garamond" w:hAnsi="Garamond"/>
          <w:sz w:val="24"/>
          <w:szCs w:val="24"/>
        </w:rPr>
        <w:t>;</w:t>
      </w:r>
      <w:r w:rsidR="00EB4B0A">
        <w:rPr>
          <w:rFonts w:ascii="Garamond" w:hAnsi="Garamond"/>
          <w:sz w:val="24"/>
          <w:szCs w:val="24"/>
        </w:rPr>
        <w:t xml:space="preserve"> Gallen, Enright, Ring, </w:t>
      </w:r>
      <w:r w:rsidR="0076268D">
        <w:rPr>
          <w:rFonts w:ascii="Garamond" w:hAnsi="Garamond"/>
          <w:sz w:val="24"/>
          <w:szCs w:val="24"/>
        </w:rPr>
        <w:t xml:space="preserve">McGettrick, and </w:t>
      </w:r>
      <w:r w:rsidR="00EB4B0A">
        <w:rPr>
          <w:rFonts w:ascii="Garamond" w:hAnsi="Garamond"/>
          <w:sz w:val="24"/>
          <w:szCs w:val="24"/>
        </w:rPr>
        <w:t>O’Rourke on state responses to historical abuse and restorative justice</w:t>
      </w:r>
      <w:r w:rsidR="00DF4A20">
        <w:rPr>
          <w:rStyle w:val="FootnoteReference"/>
          <w:rFonts w:ascii="Garamond" w:hAnsi="Garamond"/>
          <w:sz w:val="24"/>
          <w:szCs w:val="24"/>
        </w:rPr>
        <w:footnoteReference w:id="31"/>
      </w:r>
      <w:r w:rsidR="0045407B">
        <w:rPr>
          <w:rFonts w:ascii="Garamond" w:hAnsi="Garamond"/>
          <w:sz w:val="24"/>
          <w:szCs w:val="24"/>
        </w:rPr>
        <w:t xml:space="preserve">; and Donson and Morgan-Williams on access to justice for members </w:t>
      </w:r>
      <w:r w:rsidR="0045407B">
        <w:rPr>
          <w:rFonts w:ascii="Garamond" w:hAnsi="Garamond"/>
          <w:sz w:val="24"/>
          <w:szCs w:val="24"/>
        </w:rPr>
        <w:lastRenderedPageBreak/>
        <w:t>of the Traveller Community.</w:t>
      </w:r>
      <w:r w:rsidR="00DF4A20">
        <w:rPr>
          <w:rStyle w:val="FootnoteReference"/>
          <w:rFonts w:ascii="Garamond" w:hAnsi="Garamond"/>
          <w:sz w:val="24"/>
          <w:szCs w:val="24"/>
        </w:rPr>
        <w:footnoteReference w:id="32"/>
      </w:r>
      <w:r w:rsidR="0045407B">
        <w:rPr>
          <w:rFonts w:ascii="Garamond" w:hAnsi="Garamond"/>
          <w:sz w:val="24"/>
          <w:szCs w:val="24"/>
        </w:rPr>
        <w:t xml:space="preserve"> </w:t>
      </w:r>
      <w:r w:rsidR="006A01AD">
        <w:rPr>
          <w:rFonts w:ascii="Garamond" w:hAnsi="Garamond"/>
          <w:sz w:val="24"/>
          <w:szCs w:val="24"/>
        </w:rPr>
        <w:t xml:space="preserve">Similarly, </w:t>
      </w:r>
      <w:r w:rsidR="00B33C13">
        <w:rPr>
          <w:rFonts w:ascii="Garamond" w:hAnsi="Garamond"/>
          <w:sz w:val="24"/>
          <w:szCs w:val="24"/>
        </w:rPr>
        <w:t xml:space="preserve">constitutional law scholars engage </w:t>
      </w:r>
      <w:r w:rsidR="00F11683">
        <w:rPr>
          <w:rFonts w:ascii="Garamond" w:hAnsi="Garamond"/>
          <w:sz w:val="24"/>
          <w:szCs w:val="24"/>
        </w:rPr>
        <w:t xml:space="preserve">with </w:t>
      </w:r>
      <w:r w:rsidR="008E21DF">
        <w:rPr>
          <w:rFonts w:ascii="Garamond" w:hAnsi="Garamond"/>
          <w:sz w:val="24"/>
          <w:szCs w:val="24"/>
        </w:rPr>
        <w:t>issues that arise in relation to how law is experienced outside the courts</w:t>
      </w:r>
      <w:r w:rsidR="002B2D70">
        <w:rPr>
          <w:rFonts w:ascii="Garamond" w:hAnsi="Garamond"/>
          <w:sz w:val="24"/>
          <w:szCs w:val="24"/>
        </w:rPr>
        <w:t xml:space="preserve"> but with</w:t>
      </w:r>
      <w:r w:rsidR="001E1565">
        <w:rPr>
          <w:rFonts w:ascii="Garamond" w:hAnsi="Garamond"/>
          <w:sz w:val="24"/>
          <w:szCs w:val="24"/>
        </w:rPr>
        <w:t xml:space="preserve">out </w:t>
      </w:r>
      <w:r w:rsidR="00565B73">
        <w:rPr>
          <w:rFonts w:ascii="Garamond" w:hAnsi="Garamond"/>
          <w:sz w:val="24"/>
          <w:szCs w:val="24"/>
        </w:rPr>
        <w:t xml:space="preserve">explicitly </w:t>
      </w:r>
      <w:r w:rsidR="001E1565">
        <w:rPr>
          <w:rFonts w:ascii="Garamond" w:hAnsi="Garamond"/>
          <w:sz w:val="24"/>
          <w:szCs w:val="24"/>
        </w:rPr>
        <w:t xml:space="preserve">engaging with administrative justice frameworks </w:t>
      </w:r>
      <w:r w:rsidR="002B2D70">
        <w:rPr>
          <w:rFonts w:ascii="Garamond" w:hAnsi="Garamond"/>
          <w:sz w:val="24"/>
          <w:szCs w:val="24"/>
        </w:rPr>
        <w:t xml:space="preserve">– for example </w:t>
      </w:r>
      <w:r w:rsidR="003C17CD">
        <w:rPr>
          <w:rFonts w:ascii="Garamond" w:hAnsi="Garamond"/>
          <w:sz w:val="24"/>
          <w:szCs w:val="24"/>
        </w:rPr>
        <w:t>Casey and Kenny on the role of the executive;</w:t>
      </w:r>
      <w:r w:rsidR="00ED0234">
        <w:rPr>
          <w:rStyle w:val="FootnoteReference"/>
          <w:rFonts w:ascii="Garamond" w:hAnsi="Garamond"/>
          <w:sz w:val="24"/>
          <w:szCs w:val="24"/>
        </w:rPr>
        <w:footnoteReference w:id="33"/>
      </w:r>
      <w:r w:rsidR="00005A5B">
        <w:rPr>
          <w:rFonts w:ascii="Garamond" w:hAnsi="Garamond"/>
          <w:sz w:val="24"/>
          <w:szCs w:val="24"/>
        </w:rPr>
        <w:t xml:space="preserve"> </w:t>
      </w:r>
      <w:r w:rsidR="001E1565">
        <w:rPr>
          <w:rFonts w:ascii="Garamond" w:hAnsi="Garamond"/>
          <w:sz w:val="24"/>
          <w:szCs w:val="24"/>
        </w:rPr>
        <w:t>Cahillane on the ‘administration of justice’</w:t>
      </w:r>
      <w:r w:rsidR="00073190">
        <w:rPr>
          <w:rStyle w:val="FootnoteReference"/>
          <w:rFonts w:ascii="Garamond" w:hAnsi="Garamond"/>
          <w:sz w:val="24"/>
          <w:szCs w:val="24"/>
        </w:rPr>
        <w:footnoteReference w:id="34"/>
      </w:r>
      <w:r w:rsidR="00843CA3">
        <w:rPr>
          <w:rFonts w:ascii="Garamond" w:hAnsi="Garamond"/>
          <w:sz w:val="24"/>
          <w:szCs w:val="24"/>
        </w:rPr>
        <w:t>;</w:t>
      </w:r>
      <w:r w:rsidR="00AA67DE">
        <w:rPr>
          <w:rFonts w:ascii="Garamond" w:hAnsi="Garamond"/>
          <w:sz w:val="24"/>
          <w:szCs w:val="24"/>
        </w:rPr>
        <w:t xml:space="preserve"> Cahillane and Kenny on </w:t>
      </w:r>
      <w:r w:rsidR="00073190">
        <w:rPr>
          <w:rFonts w:ascii="Garamond" w:hAnsi="Garamond"/>
          <w:sz w:val="24"/>
          <w:szCs w:val="24"/>
        </w:rPr>
        <w:t>the judiciary</w:t>
      </w:r>
      <w:r w:rsidR="00073190">
        <w:rPr>
          <w:rStyle w:val="FootnoteReference"/>
          <w:rFonts w:ascii="Garamond" w:hAnsi="Garamond"/>
          <w:sz w:val="24"/>
          <w:szCs w:val="24"/>
        </w:rPr>
        <w:footnoteReference w:id="35"/>
      </w:r>
      <w:r w:rsidR="00073190">
        <w:rPr>
          <w:rFonts w:ascii="Garamond" w:hAnsi="Garamond"/>
          <w:sz w:val="24"/>
          <w:szCs w:val="24"/>
        </w:rPr>
        <w:t xml:space="preserve">; and </w:t>
      </w:r>
      <w:r w:rsidR="00565B73">
        <w:rPr>
          <w:rFonts w:ascii="Garamond" w:hAnsi="Garamond"/>
          <w:sz w:val="24"/>
          <w:szCs w:val="24"/>
        </w:rPr>
        <w:t>Brady on administrative decision-making and human rights</w:t>
      </w:r>
      <w:r w:rsidR="00073190">
        <w:rPr>
          <w:rFonts w:ascii="Garamond" w:hAnsi="Garamond"/>
          <w:sz w:val="24"/>
          <w:szCs w:val="24"/>
        </w:rPr>
        <w:t>.</w:t>
      </w:r>
      <w:r w:rsidR="00565B73">
        <w:rPr>
          <w:rStyle w:val="FootnoteReference"/>
          <w:rFonts w:ascii="Garamond" w:hAnsi="Garamond"/>
          <w:sz w:val="24"/>
          <w:szCs w:val="24"/>
        </w:rPr>
        <w:footnoteReference w:id="36"/>
      </w:r>
      <w:r w:rsidR="00073190">
        <w:rPr>
          <w:rFonts w:ascii="Garamond" w:hAnsi="Garamond"/>
          <w:sz w:val="24"/>
          <w:szCs w:val="24"/>
        </w:rPr>
        <w:t xml:space="preserve"> </w:t>
      </w:r>
      <w:r w:rsidR="00A32FFD">
        <w:rPr>
          <w:rFonts w:ascii="Garamond" w:hAnsi="Garamond"/>
          <w:sz w:val="24"/>
          <w:szCs w:val="24"/>
        </w:rPr>
        <w:t xml:space="preserve"> </w:t>
      </w:r>
      <w:r w:rsidR="00E94C9D">
        <w:rPr>
          <w:rFonts w:ascii="Garamond" w:hAnsi="Garamond"/>
          <w:sz w:val="24"/>
          <w:szCs w:val="24"/>
        </w:rPr>
        <w:t xml:space="preserve">The challenge this paper engages with is how we might use the framework of administrative justice to </w:t>
      </w:r>
      <w:r w:rsidR="00314919">
        <w:rPr>
          <w:rFonts w:ascii="Garamond" w:hAnsi="Garamond"/>
          <w:sz w:val="24"/>
          <w:szCs w:val="24"/>
        </w:rPr>
        <w:t>reconceptualise</w:t>
      </w:r>
      <w:r w:rsidR="00E94C9D">
        <w:rPr>
          <w:rFonts w:ascii="Garamond" w:hAnsi="Garamond"/>
          <w:sz w:val="24"/>
          <w:szCs w:val="24"/>
        </w:rPr>
        <w:t xml:space="preserve"> </w:t>
      </w:r>
      <w:r w:rsidR="00314919">
        <w:rPr>
          <w:rFonts w:ascii="Garamond" w:hAnsi="Garamond"/>
          <w:sz w:val="24"/>
          <w:szCs w:val="24"/>
        </w:rPr>
        <w:t>constitutional or rights issues as administrative issues.</w:t>
      </w:r>
      <w:r w:rsidR="00525E73">
        <w:rPr>
          <w:rFonts w:ascii="Garamond" w:hAnsi="Garamond"/>
          <w:sz w:val="24"/>
          <w:szCs w:val="24"/>
        </w:rPr>
        <w:t xml:space="preserve"> This is not to say a rights-based or constitutional </w:t>
      </w:r>
      <w:r w:rsidR="00B11D8F">
        <w:rPr>
          <w:rFonts w:ascii="Garamond" w:hAnsi="Garamond"/>
          <w:sz w:val="24"/>
          <w:szCs w:val="24"/>
        </w:rPr>
        <w:t>lens</w:t>
      </w:r>
      <w:r w:rsidR="00525E73">
        <w:rPr>
          <w:rFonts w:ascii="Garamond" w:hAnsi="Garamond"/>
          <w:sz w:val="24"/>
          <w:szCs w:val="24"/>
        </w:rPr>
        <w:t xml:space="preserve"> </w:t>
      </w:r>
      <w:r w:rsidR="005C760C">
        <w:rPr>
          <w:rFonts w:ascii="Garamond" w:hAnsi="Garamond"/>
          <w:sz w:val="24"/>
          <w:szCs w:val="24"/>
        </w:rPr>
        <w:t>are</w:t>
      </w:r>
      <w:r w:rsidR="00525E73">
        <w:rPr>
          <w:rFonts w:ascii="Garamond" w:hAnsi="Garamond"/>
          <w:sz w:val="24"/>
          <w:szCs w:val="24"/>
        </w:rPr>
        <w:t xml:space="preserve"> not valuable – both most certainly are – but that an administrative lens is lacking and represents a missed opportunity for an important dialogue. </w:t>
      </w:r>
    </w:p>
    <w:p w14:paraId="6FA50ECB" w14:textId="11E41305" w:rsidR="00B86426" w:rsidRDefault="00B86426" w:rsidP="00BB096E">
      <w:pPr>
        <w:jc w:val="both"/>
        <w:rPr>
          <w:rFonts w:ascii="Garamond" w:hAnsi="Garamond"/>
          <w:sz w:val="24"/>
          <w:szCs w:val="24"/>
        </w:rPr>
      </w:pPr>
      <w:r>
        <w:rPr>
          <w:rFonts w:ascii="Garamond" w:hAnsi="Garamond"/>
          <w:sz w:val="24"/>
          <w:szCs w:val="24"/>
        </w:rPr>
        <w:t xml:space="preserve">There is also relevant </w:t>
      </w:r>
      <w:r w:rsidR="004510F1">
        <w:rPr>
          <w:rFonts w:ascii="Garamond" w:hAnsi="Garamond"/>
          <w:sz w:val="24"/>
          <w:szCs w:val="24"/>
        </w:rPr>
        <w:t>work</w:t>
      </w:r>
      <w:r w:rsidR="000A433F">
        <w:rPr>
          <w:rFonts w:ascii="Garamond" w:hAnsi="Garamond"/>
          <w:sz w:val="24"/>
          <w:szCs w:val="24"/>
        </w:rPr>
        <w:t xml:space="preserve"> on how people experience or navigate administrative systems that would be useful </w:t>
      </w:r>
      <w:r w:rsidR="00E769E8">
        <w:rPr>
          <w:rFonts w:ascii="Garamond" w:hAnsi="Garamond"/>
          <w:sz w:val="24"/>
          <w:szCs w:val="24"/>
        </w:rPr>
        <w:t xml:space="preserve">for Irish legal scholarship to engage more deeply with because they shed light on the </w:t>
      </w:r>
      <w:r w:rsidR="00422604">
        <w:rPr>
          <w:rFonts w:ascii="Garamond" w:hAnsi="Garamond"/>
          <w:sz w:val="24"/>
          <w:szCs w:val="24"/>
        </w:rPr>
        <w:t xml:space="preserve">lived experience of different systems. </w:t>
      </w:r>
      <w:r w:rsidR="004510F1">
        <w:rPr>
          <w:rFonts w:ascii="Garamond" w:hAnsi="Garamond"/>
          <w:sz w:val="24"/>
          <w:szCs w:val="24"/>
        </w:rPr>
        <w:t>F</w:t>
      </w:r>
      <w:r w:rsidR="00DA0600">
        <w:rPr>
          <w:rFonts w:ascii="Garamond" w:hAnsi="Garamond"/>
          <w:sz w:val="24"/>
          <w:szCs w:val="24"/>
        </w:rPr>
        <w:t>rom the perspective of applicants,</w:t>
      </w:r>
      <w:r w:rsidR="00F01428">
        <w:rPr>
          <w:rFonts w:ascii="Garamond" w:hAnsi="Garamond"/>
          <w:sz w:val="24"/>
          <w:szCs w:val="24"/>
        </w:rPr>
        <w:t xml:space="preserve"> particularly relevant here is</w:t>
      </w:r>
      <w:r w:rsidR="004510F1">
        <w:rPr>
          <w:rFonts w:ascii="Garamond" w:hAnsi="Garamond"/>
          <w:sz w:val="24"/>
          <w:szCs w:val="24"/>
        </w:rPr>
        <w:t xml:space="preserve"> </w:t>
      </w:r>
      <w:r w:rsidR="00422604">
        <w:rPr>
          <w:rFonts w:ascii="Garamond" w:hAnsi="Garamond"/>
          <w:sz w:val="24"/>
          <w:szCs w:val="24"/>
        </w:rPr>
        <w:t>Whelan</w:t>
      </w:r>
      <w:r w:rsidR="005B0A5D">
        <w:rPr>
          <w:rFonts w:ascii="Garamond" w:hAnsi="Garamond"/>
          <w:sz w:val="24"/>
          <w:szCs w:val="24"/>
        </w:rPr>
        <w:t xml:space="preserve">’s work </w:t>
      </w:r>
      <w:r w:rsidR="00574226">
        <w:rPr>
          <w:rFonts w:ascii="Garamond" w:hAnsi="Garamond"/>
          <w:sz w:val="24"/>
          <w:szCs w:val="24"/>
        </w:rPr>
        <w:t>on</w:t>
      </w:r>
      <w:r w:rsidR="00CC6D39">
        <w:rPr>
          <w:rFonts w:ascii="Garamond" w:hAnsi="Garamond"/>
          <w:sz w:val="24"/>
          <w:szCs w:val="24"/>
        </w:rPr>
        <w:t xml:space="preserve"> how people engage with welfare administrators, and the ‘fear’ </w:t>
      </w:r>
      <w:r w:rsidR="00360352">
        <w:rPr>
          <w:rFonts w:ascii="Garamond" w:hAnsi="Garamond"/>
          <w:sz w:val="24"/>
          <w:szCs w:val="24"/>
        </w:rPr>
        <w:t xml:space="preserve">of negative consequences based on their interactions with </w:t>
      </w:r>
      <w:r w:rsidR="002D7ABE">
        <w:rPr>
          <w:rFonts w:ascii="Garamond" w:hAnsi="Garamond"/>
          <w:sz w:val="24"/>
          <w:szCs w:val="24"/>
        </w:rPr>
        <w:t>administrators and experience of the welfare system.</w:t>
      </w:r>
      <w:r w:rsidR="002D7ABE">
        <w:rPr>
          <w:rStyle w:val="FootnoteReference"/>
          <w:rFonts w:ascii="Garamond" w:hAnsi="Garamond"/>
          <w:sz w:val="24"/>
          <w:szCs w:val="24"/>
        </w:rPr>
        <w:footnoteReference w:id="37"/>
      </w:r>
      <w:r w:rsidR="002D7ABE">
        <w:rPr>
          <w:rFonts w:ascii="Garamond" w:hAnsi="Garamond"/>
          <w:sz w:val="24"/>
          <w:szCs w:val="24"/>
        </w:rPr>
        <w:t xml:space="preserve"> </w:t>
      </w:r>
      <w:r w:rsidR="00F01428">
        <w:rPr>
          <w:rFonts w:ascii="Garamond" w:hAnsi="Garamond"/>
          <w:sz w:val="24"/>
          <w:szCs w:val="24"/>
        </w:rPr>
        <w:t>From the perspective of administrators,</w:t>
      </w:r>
      <w:r w:rsidR="00E56D80">
        <w:rPr>
          <w:rFonts w:ascii="Garamond" w:hAnsi="Garamond"/>
          <w:sz w:val="24"/>
          <w:szCs w:val="24"/>
        </w:rPr>
        <w:t xml:space="preserve"> Ryan and Powers’ study </w:t>
      </w:r>
      <w:r w:rsidR="00BB096E">
        <w:rPr>
          <w:rFonts w:ascii="Garamond" w:hAnsi="Garamond"/>
          <w:sz w:val="24"/>
          <w:szCs w:val="24"/>
        </w:rPr>
        <w:t xml:space="preserve">captures </w:t>
      </w:r>
      <w:r w:rsidR="00D11685">
        <w:rPr>
          <w:rFonts w:ascii="Garamond" w:hAnsi="Garamond"/>
          <w:sz w:val="24"/>
          <w:szCs w:val="24"/>
        </w:rPr>
        <w:t xml:space="preserve">evidence on </w:t>
      </w:r>
      <w:r w:rsidR="000A136C">
        <w:rPr>
          <w:rFonts w:ascii="Garamond" w:hAnsi="Garamond"/>
          <w:sz w:val="24"/>
          <w:szCs w:val="24"/>
        </w:rPr>
        <w:t>the extent to which some decision-makers are happy to make discretionary social welfare decisions whereas others</w:t>
      </w:r>
      <w:r w:rsidR="00EA2A47">
        <w:rPr>
          <w:rFonts w:ascii="Garamond" w:hAnsi="Garamond"/>
          <w:sz w:val="24"/>
          <w:szCs w:val="24"/>
        </w:rPr>
        <w:t xml:space="preserve"> would prefer to work within the bounds of more rigid rules.</w:t>
      </w:r>
      <w:r w:rsidR="00F01428">
        <w:rPr>
          <w:rStyle w:val="FootnoteReference"/>
          <w:rFonts w:ascii="Garamond" w:hAnsi="Garamond"/>
          <w:sz w:val="24"/>
          <w:szCs w:val="24"/>
        </w:rPr>
        <w:footnoteReference w:id="38"/>
      </w:r>
      <w:r w:rsidR="00453593">
        <w:rPr>
          <w:rFonts w:ascii="Garamond" w:hAnsi="Garamond"/>
          <w:sz w:val="24"/>
          <w:szCs w:val="24"/>
        </w:rPr>
        <w:t xml:space="preserve"> </w:t>
      </w:r>
      <w:r w:rsidR="00DA1CE2">
        <w:rPr>
          <w:rFonts w:ascii="Garamond" w:hAnsi="Garamond"/>
          <w:sz w:val="24"/>
          <w:szCs w:val="24"/>
        </w:rPr>
        <w:t>This type of work provides</w:t>
      </w:r>
      <w:r w:rsidR="0039583A">
        <w:rPr>
          <w:rFonts w:ascii="Garamond" w:hAnsi="Garamond"/>
          <w:sz w:val="24"/>
          <w:szCs w:val="24"/>
        </w:rPr>
        <w:t xml:space="preserve"> insight into the wider systemic issues within bureaucracies, that might not always be apparent or made clear when an individual case is before the courts in relation to a particular claim</w:t>
      </w:r>
      <w:r w:rsidR="000A2742">
        <w:rPr>
          <w:rFonts w:ascii="Garamond" w:hAnsi="Garamond"/>
          <w:sz w:val="24"/>
          <w:szCs w:val="24"/>
        </w:rPr>
        <w:t xml:space="preserve">. </w:t>
      </w:r>
      <w:r w:rsidR="00115C56">
        <w:rPr>
          <w:rFonts w:ascii="Garamond" w:hAnsi="Garamond"/>
          <w:sz w:val="24"/>
          <w:szCs w:val="24"/>
        </w:rPr>
        <w:t>I</w:t>
      </w:r>
      <w:r w:rsidR="007222A0">
        <w:rPr>
          <w:rFonts w:ascii="Garamond" w:hAnsi="Garamond"/>
          <w:sz w:val="24"/>
          <w:szCs w:val="24"/>
        </w:rPr>
        <w:t>nsights on the reality of administrative systems</w:t>
      </w:r>
      <w:r w:rsidR="00FC6709">
        <w:rPr>
          <w:rFonts w:ascii="Garamond" w:hAnsi="Garamond"/>
          <w:sz w:val="24"/>
          <w:szCs w:val="24"/>
        </w:rPr>
        <w:t xml:space="preserve"> can also come from sources outside </w:t>
      </w:r>
      <w:r w:rsidR="00AC0C66">
        <w:rPr>
          <w:rFonts w:ascii="Garamond" w:hAnsi="Garamond"/>
          <w:sz w:val="24"/>
          <w:szCs w:val="24"/>
        </w:rPr>
        <w:t xml:space="preserve">the </w:t>
      </w:r>
      <w:r w:rsidR="00115C56">
        <w:rPr>
          <w:rFonts w:ascii="Garamond" w:hAnsi="Garamond"/>
          <w:sz w:val="24"/>
          <w:szCs w:val="24"/>
        </w:rPr>
        <w:t>‘</w:t>
      </w:r>
      <w:r w:rsidR="00AC0C66">
        <w:rPr>
          <w:rFonts w:ascii="Garamond" w:hAnsi="Garamond"/>
          <w:sz w:val="24"/>
          <w:szCs w:val="24"/>
        </w:rPr>
        <w:t>traditional</w:t>
      </w:r>
      <w:r w:rsidR="00115C56">
        <w:rPr>
          <w:rFonts w:ascii="Garamond" w:hAnsi="Garamond"/>
          <w:sz w:val="24"/>
          <w:szCs w:val="24"/>
        </w:rPr>
        <w:t>’</w:t>
      </w:r>
      <w:r w:rsidR="00AC0C66">
        <w:rPr>
          <w:rFonts w:ascii="Garamond" w:hAnsi="Garamond"/>
          <w:sz w:val="24"/>
          <w:szCs w:val="24"/>
        </w:rPr>
        <w:t xml:space="preserve"> academy</w:t>
      </w:r>
      <w:r w:rsidR="00316815">
        <w:rPr>
          <w:rFonts w:ascii="Garamond" w:hAnsi="Garamond"/>
          <w:sz w:val="24"/>
          <w:szCs w:val="24"/>
        </w:rPr>
        <w:t xml:space="preserve"> – for example Vuma’s memoir in </w:t>
      </w:r>
      <w:r w:rsidR="007F5851">
        <w:rPr>
          <w:rFonts w:ascii="Garamond" w:hAnsi="Garamond"/>
          <w:sz w:val="24"/>
          <w:szCs w:val="24"/>
        </w:rPr>
        <w:t xml:space="preserve">Rea and Traynor’s edited anthology </w:t>
      </w:r>
      <w:r w:rsidR="00115C56">
        <w:rPr>
          <w:rFonts w:ascii="Garamond" w:hAnsi="Garamond"/>
          <w:sz w:val="24"/>
          <w:szCs w:val="24"/>
        </w:rPr>
        <w:t>on direct provision</w:t>
      </w:r>
      <w:r w:rsidR="00AC0C66">
        <w:rPr>
          <w:rFonts w:ascii="Garamond" w:hAnsi="Garamond"/>
          <w:sz w:val="24"/>
          <w:szCs w:val="24"/>
        </w:rPr>
        <w:t>.</w:t>
      </w:r>
      <w:r w:rsidR="000A47BE">
        <w:rPr>
          <w:rStyle w:val="FootnoteReference"/>
          <w:rFonts w:ascii="Garamond" w:hAnsi="Garamond"/>
          <w:sz w:val="24"/>
          <w:szCs w:val="24"/>
        </w:rPr>
        <w:footnoteReference w:id="39"/>
      </w:r>
      <w:r w:rsidR="00AC0C66">
        <w:rPr>
          <w:rFonts w:ascii="Garamond" w:hAnsi="Garamond"/>
          <w:sz w:val="24"/>
          <w:szCs w:val="24"/>
        </w:rPr>
        <w:t xml:space="preserve"> </w:t>
      </w:r>
      <w:r w:rsidR="00146E26">
        <w:rPr>
          <w:rFonts w:ascii="Garamond" w:hAnsi="Garamond"/>
          <w:sz w:val="24"/>
          <w:szCs w:val="24"/>
        </w:rPr>
        <w:t>By</w:t>
      </w:r>
      <w:r w:rsidR="000A2742">
        <w:rPr>
          <w:rFonts w:ascii="Garamond" w:hAnsi="Garamond"/>
          <w:sz w:val="24"/>
          <w:szCs w:val="24"/>
        </w:rPr>
        <w:t xml:space="preserve"> developing a richer tradition of administrative justice research in Ireland, we </w:t>
      </w:r>
      <w:r w:rsidR="00EC39C0">
        <w:rPr>
          <w:rFonts w:ascii="Garamond" w:hAnsi="Garamond"/>
          <w:sz w:val="24"/>
          <w:szCs w:val="24"/>
        </w:rPr>
        <w:t xml:space="preserve">can </w:t>
      </w:r>
      <w:r w:rsidR="006C15C2">
        <w:rPr>
          <w:rFonts w:ascii="Garamond" w:hAnsi="Garamond"/>
          <w:sz w:val="24"/>
          <w:szCs w:val="24"/>
        </w:rPr>
        <w:t>develop</w:t>
      </w:r>
      <w:r w:rsidR="00EC39C0">
        <w:rPr>
          <w:rFonts w:ascii="Garamond" w:hAnsi="Garamond"/>
          <w:sz w:val="24"/>
          <w:szCs w:val="24"/>
        </w:rPr>
        <w:t xml:space="preserve"> a robust evidence base that </w:t>
      </w:r>
      <w:r w:rsidR="00446529">
        <w:rPr>
          <w:rFonts w:ascii="Garamond" w:hAnsi="Garamond"/>
          <w:sz w:val="24"/>
          <w:szCs w:val="24"/>
        </w:rPr>
        <w:t>is instructive</w:t>
      </w:r>
      <w:r w:rsidR="006C15C2">
        <w:rPr>
          <w:rFonts w:ascii="Garamond" w:hAnsi="Garamond"/>
          <w:sz w:val="24"/>
          <w:szCs w:val="24"/>
        </w:rPr>
        <w:t xml:space="preserve"> and useful</w:t>
      </w:r>
      <w:r w:rsidR="00446529">
        <w:rPr>
          <w:rFonts w:ascii="Garamond" w:hAnsi="Garamond"/>
          <w:sz w:val="24"/>
          <w:szCs w:val="24"/>
        </w:rPr>
        <w:t xml:space="preserve"> in both judicial and administrative decision-making. </w:t>
      </w:r>
    </w:p>
    <w:p w14:paraId="0979037F" w14:textId="717191D4" w:rsidR="00875506" w:rsidRPr="00CD71DB" w:rsidRDefault="00875506" w:rsidP="00846EC9">
      <w:pPr>
        <w:jc w:val="both"/>
        <w:rPr>
          <w:rFonts w:ascii="Garamond" w:hAnsi="Garamond"/>
          <w:b/>
          <w:bCs/>
          <w:sz w:val="28"/>
          <w:szCs w:val="28"/>
        </w:rPr>
      </w:pPr>
      <w:r w:rsidRPr="00CD71DB">
        <w:rPr>
          <w:rFonts w:ascii="Garamond" w:hAnsi="Garamond"/>
          <w:b/>
          <w:bCs/>
          <w:sz w:val="28"/>
          <w:szCs w:val="28"/>
        </w:rPr>
        <w:t>‘Internal’ administrative law</w:t>
      </w:r>
    </w:p>
    <w:p w14:paraId="251B819F" w14:textId="5424D707" w:rsidR="00AA0AD7" w:rsidRDefault="00FD4AEC" w:rsidP="005F6619">
      <w:pPr>
        <w:jc w:val="both"/>
        <w:rPr>
          <w:rFonts w:ascii="Garamond" w:hAnsi="Garamond"/>
          <w:sz w:val="24"/>
          <w:szCs w:val="24"/>
        </w:rPr>
      </w:pPr>
      <w:r w:rsidRPr="00FD4AEC">
        <w:rPr>
          <w:rFonts w:ascii="Garamond" w:hAnsi="Garamond"/>
          <w:sz w:val="24"/>
          <w:szCs w:val="24"/>
        </w:rPr>
        <w:t>Mashaw was one of the first scholars of ‘internal’ administrative law.</w:t>
      </w:r>
      <w:r w:rsidR="00A61FEE" w:rsidRPr="00A61FEE">
        <w:rPr>
          <w:rStyle w:val="FootnoteReference"/>
          <w:rFonts w:ascii="Garamond" w:hAnsi="Garamond"/>
          <w:sz w:val="24"/>
          <w:szCs w:val="24"/>
        </w:rPr>
        <w:t xml:space="preserve"> </w:t>
      </w:r>
      <w:r w:rsidR="00A61FEE">
        <w:rPr>
          <w:rStyle w:val="FootnoteReference"/>
          <w:rFonts w:ascii="Garamond" w:hAnsi="Garamond"/>
          <w:sz w:val="24"/>
          <w:szCs w:val="24"/>
        </w:rPr>
        <w:footnoteReference w:id="40"/>
      </w:r>
      <w:r w:rsidR="00A61FEE" w:rsidRPr="00A65CDD">
        <w:rPr>
          <w:rFonts w:ascii="Garamond" w:hAnsi="Garamond"/>
          <w:sz w:val="24"/>
          <w:szCs w:val="24"/>
        </w:rPr>
        <w:t xml:space="preserve"> </w:t>
      </w:r>
      <w:r w:rsidR="00A61FEE">
        <w:rPr>
          <w:rFonts w:ascii="Garamond" w:hAnsi="Garamond"/>
          <w:sz w:val="24"/>
          <w:szCs w:val="24"/>
        </w:rPr>
        <w:t xml:space="preserve">As </w:t>
      </w:r>
      <w:r w:rsidR="00A61FEE" w:rsidRPr="00A65CDD">
        <w:rPr>
          <w:rFonts w:ascii="Garamond" w:hAnsi="Garamond"/>
          <w:sz w:val="24"/>
          <w:szCs w:val="24"/>
        </w:rPr>
        <w:t xml:space="preserve">Harlow and Rawlings note </w:t>
      </w:r>
      <w:r w:rsidR="00A61FEE">
        <w:rPr>
          <w:rFonts w:ascii="Garamond" w:hAnsi="Garamond"/>
          <w:sz w:val="24"/>
          <w:szCs w:val="24"/>
        </w:rPr>
        <w:t>‘</w:t>
      </w:r>
      <w:r w:rsidR="00A61FEE" w:rsidRPr="00A65CDD">
        <w:rPr>
          <w:rFonts w:ascii="Garamond" w:hAnsi="Garamond"/>
          <w:sz w:val="24"/>
          <w:szCs w:val="24"/>
        </w:rPr>
        <w:t>[t]he bottom-up’ perspective on administrative justice began to emerge slowly from the 1970s. This new look had American origins, reflecting in particular the work of Mashaw</w:t>
      </w:r>
      <w:r w:rsidR="00A61FEE">
        <w:rPr>
          <w:rFonts w:ascii="Garamond" w:hAnsi="Garamond"/>
          <w:sz w:val="24"/>
          <w:szCs w:val="24"/>
        </w:rPr>
        <w:t>’</w:t>
      </w:r>
      <w:r w:rsidR="00A61FEE" w:rsidRPr="00A65CDD">
        <w:rPr>
          <w:rFonts w:ascii="Garamond" w:hAnsi="Garamond"/>
          <w:sz w:val="24"/>
          <w:szCs w:val="24"/>
        </w:rPr>
        <w:t>.</w:t>
      </w:r>
      <w:r w:rsidR="00A61FEE">
        <w:rPr>
          <w:rStyle w:val="FootnoteReference"/>
          <w:rFonts w:ascii="Garamond" w:hAnsi="Garamond"/>
          <w:sz w:val="24"/>
          <w:szCs w:val="24"/>
        </w:rPr>
        <w:footnoteReference w:id="41"/>
      </w:r>
      <w:r w:rsidR="00A61FEE" w:rsidRPr="00A65CDD">
        <w:rPr>
          <w:rFonts w:ascii="Garamond" w:hAnsi="Garamond"/>
          <w:sz w:val="24"/>
          <w:szCs w:val="24"/>
        </w:rPr>
        <w:t xml:space="preserve"> Harlow and Rawlings describe his influence as creating a shift “from ‘putting things right’ to ‘getting things right’”.</w:t>
      </w:r>
      <w:r w:rsidR="00F74A72">
        <w:rPr>
          <w:rStyle w:val="FootnoteReference"/>
          <w:rFonts w:ascii="Garamond" w:hAnsi="Garamond"/>
          <w:sz w:val="24"/>
          <w:szCs w:val="24"/>
        </w:rPr>
        <w:footnoteReference w:id="42"/>
      </w:r>
      <w:r w:rsidR="00F74A72">
        <w:rPr>
          <w:rFonts w:ascii="Garamond" w:hAnsi="Garamond"/>
          <w:sz w:val="24"/>
          <w:szCs w:val="24"/>
        </w:rPr>
        <w:t xml:space="preserve"> </w:t>
      </w:r>
      <w:r w:rsidRPr="00FD4AEC">
        <w:rPr>
          <w:rFonts w:ascii="Garamond" w:hAnsi="Garamond"/>
          <w:sz w:val="24"/>
          <w:szCs w:val="24"/>
        </w:rPr>
        <w:t>Writing in relation to social security claims</w:t>
      </w:r>
      <w:r w:rsidR="00DF1E21">
        <w:rPr>
          <w:rFonts w:ascii="Garamond" w:hAnsi="Garamond"/>
          <w:sz w:val="24"/>
          <w:szCs w:val="24"/>
        </w:rPr>
        <w:t>,</w:t>
      </w:r>
      <w:r w:rsidRPr="00FD4AEC">
        <w:rPr>
          <w:rFonts w:ascii="Garamond" w:hAnsi="Garamond"/>
          <w:sz w:val="24"/>
          <w:szCs w:val="24"/>
        </w:rPr>
        <w:t xml:space="preserve"> </w:t>
      </w:r>
      <w:r w:rsidR="00A61FEE">
        <w:rPr>
          <w:rFonts w:ascii="Garamond" w:hAnsi="Garamond"/>
          <w:sz w:val="24"/>
          <w:szCs w:val="24"/>
        </w:rPr>
        <w:t>Mashaw</w:t>
      </w:r>
      <w:r w:rsidRPr="00FD4AEC">
        <w:rPr>
          <w:rFonts w:ascii="Garamond" w:hAnsi="Garamond"/>
          <w:sz w:val="24"/>
          <w:szCs w:val="24"/>
        </w:rPr>
        <w:t xml:space="preserve"> argues that “[</w:t>
      </w:r>
      <w:proofErr w:type="spellStart"/>
      <w:r w:rsidRPr="00FD4AEC">
        <w:rPr>
          <w:rFonts w:ascii="Garamond" w:hAnsi="Garamond"/>
          <w:sz w:val="24"/>
          <w:szCs w:val="24"/>
        </w:rPr>
        <w:t>i</w:t>
      </w:r>
      <w:proofErr w:type="spellEnd"/>
      <w:r w:rsidRPr="00FD4AEC">
        <w:rPr>
          <w:rFonts w:ascii="Garamond" w:hAnsi="Garamond"/>
          <w:sz w:val="24"/>
          <w:szCs w:val="24"/>
        </w:rPr>
        <w:t>]</w:t>
      </w:r>
      <w:proofErr w:type="spellStart"/>
      <w:r w:rsidRPr="00FD4AEC">
        <w:rPr>
          <w:rFonts w:ascii="Garamond" w:hAnsi="Garamond"/>
          <w:sz w:val="24"/>
          <w:szCs w:val="24"/>
        </w:rPr>
        <w:t>nstructing</w:t>
      </w:r>
      <w:proofErr w:type="spellEnd"/>
      <w:r w:rsidRPr="00FD4AEC">
        <w:rPr>
          <w:rFonts w:ascii="Garamond" w:hAnsi="Garamond"/>
          <w:sz w:val="24"/>
          <w:szCs w:val="24"/>
        </w:rPr>
        <w:t xml:space="preserve"> examiners </w:t>
      </w:r>
      <w:r w:rsidRPr="00FD4AEC">
        <w:rPr>
          <w:rFonts w:ascii="Garamond" w:hAnsi="Garamond"/>
          <w:sz w:val="24"/>
          <w:szCs w:val="24"/>
        </w:rPr>
        <w:lastRenderedPageBreak/>
        <w:t>how to build a file is thus the essence of designing the decision</w:t>
      </w:r>
      <w:r w:rsidR="008C682B">
        <w:rPr>
          <w:rFonts w:ascii="Garamond" w:hAnsi="Garamond"/>
          <w:sz w:val="24"/>
          <w:szCs w:val="24"/>
        </w:rPr>
        <w:t xml:space="preserve"> </w:t>
      </w:r>
      <w:r w:rsidR="008C682B" w:rsidRPr="008C682B">
        <w:rPr>
          <w:rFonts w:ascii="Garamond" w:hAnsi="Garamond"/>
          <w:sz w:val="24"/>
          <w:szCs w:val="24"/>
        </w:rPr>
        <w:t>process”</w:t>
      </w:r>
      <w:r w:rsidR="00074564">
        <w:rPr>
          <w:rFonts w:ascii="Garamond" w:hAnsi="Garamond"/>
          <w:sz w:val="24"/>
          <w:szCs w:val="24"/>
        </w:rPr>
        <w:t>.</w:t>
      </w:r>
      <w:r w:rsidR="00074564">
        <w:rPr>
          <w:rStyle w:val="FootnoteReference"/>
          <w:rFonts w:ascii="Garamond" w:hAnsi="Garamond"/>
          <w:sz w:val="24"/>
          <w:szCs w:val="24"/>
        </w:rPr>
        <w:footnoteReference w:id="43"/>
      </w:r>
      <w:r w:rsidR="00074564">
        <w:rPr>
          <w:rFonts w:ascii="Garamond" w:hAnsi="Garamond"/>
          <w:sz w:val="24"/>
          <w:szCs w:val="24"/>
        </w:rPr>
        <w:t xml:space="preserve"> </w:t>
      </w:r>
      <w:r w:rsidR="00DD06EF" w:rsidRPr="00DD06EF">
        <w:rPr>
          <w:rFonts w:ascii="Garamond" w:hAnsi="Garamond"/>
          <w:sz w:val="24"/>
          <w:szCs w:val="24"/>
        </w:rPr>
        <w:t xml:space="preserve">Thomas notes that </w:t>
      </w:r>
      <w:r w:rsidR="001504E0">
        <w:rPr>
          <w:rFonts w:ascii="Garamond" w:hAnsi="Garamond"/>
          <w:sz w:val="24"/>
          <w:szCs w:val="24"/>
        </w:rPr>
        <w:t>‘</w:t>
      </w:r>
      <w:r w:rsidR="00DD06EF" w:rsidRPr="00DD06EF">
        <w:rPr>
          <w:rFonts w:ascii="Garamond" w:hAnsi="Garamond"/>
          <w:sz w:val="24"/>
          <w:szCs w:val="24"/>
        </w:rPr>
        <w:t>[c]</w:t>
      </w:r>
      <w:proofErr w:type="spellStart"/>
      <w:r w:rsidR="00DD06EF" w:rsidRPr="00DD06EF">
        <w:rPr>
          <w:rFonts w:ascii="Garamond" w:hAnsi="Garamond"/>
          <w:sz w:val="24"/>
          <w:szCs w:val="24"/>
        </w:rPr>
        <w:t>ase</w:t>
      </w:r>
      <w:proofErr w:type="spellEnd"/>
      <w:r w:rsidR="00DD06EF" w:rsidRPr="00DD06EF">
        <w:rPr>
          <w:rFonts w:ascii="Garamond" w:hAnsi="Garamond"/>
          <w:sz w:val="24"/>
          <w:szCs w:val="24"/>
        </w:rPr>
        <w:t xml:space="preserve"> work is not just about individual decisions. It also concerns how the whole casework process is managed and organised</w:t>
      </w:r>
      <w:r w:rsidR="001504E0">
        <w:rPr>
          <w:rFonts w:ascii="Garamond" w:hAnsi="Garamond"/>
          <w:sz w:val="24"/>
          <w:szCs w:val="24"/>
        </w:rPr>
        <w:t>’</w:t>
      </w:r>
      <w:r w:rsidR="00DD06EF">
        <w:rPr>
          <w:rFonts w:ascii="Garamond" w:hAnsi="Garamond"/>
          <w:sz w:val="24"/>
          <w:szCs w:val="24"/>
        </w:rPr>
        <w:t>.</w:t>
      </w:r>
      <w:r w:rsidR="00DD06EF">
        <w:rPr>
          <w:rStyle w:val="FootnoteReference"/>
          <w:rFonts w:ascii="Garamond" w:hAnsi="Garamond"/>
          <w:sz w:val="24"/>
          <w:szCs w:val="24"/>
        </w:rPr>
        <w:footnoteReference w:id="44"/>
      </w:r>
      <w:r w:rsidR="00F75F40">
        <w:rPr>
          <w:rFonts w:ascii="Garamond" w:hAnsi="Garamond"/>
          <w:sz w:val="24"/>
          <w:szCs w:val="24"/>
        </w:rPr>
        <w:t xml:space="preserve"> </w:t>
      </w:r>
      <w:r w:rsidR="005F6619">
        <w:rPr>
          <w:rFonts w:ascii="Garamond" w:hAnsi="Garamond"/>
          <w:sz w:val="24"/>
          <w:szCs w:val="24"/>
        </w:rPr>
        <w:t>Halliday argues that ‘[t]</w:t>
      </w:r>
      <w:r w:rsidR="005F6619" w:rsidRPr="00835CB3">
        <w:rPr>
          <w:rFonts w:ascii="Garamond" w:hAnsi="Garamond"/>
          <w:sz w:val="24"/>
          <w:szCs w:val="24"/>
        </w:rPr>
        <w:t>o understand the complexity of routine government behaviour, we should try as researchers to get as close to it as we can. The closer we get, the easier it is to unpack the range of influences on government decision-making and see the subtleties of discretion at work</w:t>
      </w:r>
      <w:r w:rsidR="005F6619">
        <w:rPr>
          <w:rFonts w:ascii="Garamond" w:hAnsi="Garamond"/>
          <w:sz w:val="24"/>
          <w:szCs w:val="24"/>
        </w:rPr>
        <w:t>’.</w:t>
      </w:r>
      <w:r w:rsidR="005F6619">
        <w:rPr>
          <w:rStyle w:val="FootnoteReference"/>
          <w:rFonts w:ascii="Garamond" w:hAnsi="Garamond"/>
          <w:sz w:val="24"/>
          <w:szCs w:val="24"/>
        </w:rPr>
        <w:footnoteReference w:id="45"/>
      </w:r>
      <w:r w:rsidR="006142E2">
        <w:rPr>
          <w:rFonts w:ascii="Garamond" w:hAnsi="Garamond"/>
          <w:sz w:val="24"/>
          <w:szCs w:val="24"/>
        </w:rPr>
        <w:t xml:space="preserve"> </w:t>
      </w:r>
      <w:r w:rsidR="00D936BD">
        <w:rPr>
          <w:rFonts w:ascii="Garamond" w:hAnsi="Garamond"/>
          <w:sz w:val="24"/>
          <w:szCs w:val="24"/>
        </w:rPr>
        <w:t xml:space="preserve">While </w:t>
      </w:r>
      <w:r w:rsidR="00CC7A86">
        <w:rPr>
          <w:rFonts w:ascii="Garamond" w:hAnsi="Garamond"/>
          <w:sz w:val="24"/>
          <w:szCs w:val="24"/>
        </w:rPr>
        <w:t>an ‘internal’ understanding of administrative law might seem unorthodox</w:t>
      </w:r>
      <w:r w:rsidR="00244B2D">
        <w:rPr>
          <w:rFonts w:ascii="Garamond" w:hAnsi="Garamond"/>
          <w:sz w:val="24"/>
          <w:szCs w:val="24"/>
        </w:rPr>
        <w:t xml:space="preserve"> in the Irish context</w:t>
      </w:r>
      <w:r w:rsidR="00CC7A86">
        <w:rPr>
          <w:rFonts w:ascii="Garamond" w:hAnsi="Garamond"/>
          <w:sz w:val="24"/>
          <w:szCs w:val="24"/>
        </w:rPr>
        <w:t xml:space="preserve">, it </w:t>
      </w:r>
      <w:r w:rsidR="00934260">
        <w:rPr>
          <w:rFonts w:ascii="Garamond" w:hAnsi="Garamond"/>
          <w:sz w:val="24"/>
          <w:szCs w:val="24"/>
        </w:rPr>
        <w:t>holds great potential for</w:t>
      </w:r>
      <w:r w:rsidR="003858E8">
        <w:rPr>
          <w:rFonts w:ascii="Garamond" w:hAnsi="Garamond"/>
          <w:sz w:val="24"/>
          <w:szCs w:val="24"/>
        </w:rPr>
        <w:t xml:space="preserve"> administrative law scholarship. </w:t>
      </w:r>
    </w:p>
    <w:p w14:paraId="0C529917" w14:textId="4E58B8CD" w:rsidR="005F6619" w:rsidRDefault="003858E8" w:rsidP="005F6619">
      <w:pPr>
        <w:jc w:val="both"/>
        <w:rPr>
          <w:rFonts w:ascii="Garamond" w:hAnsi="Garamond"/>
          <w:sz w:val="24"/>
          <w:szCs w:val="24"/>
        </w:rPr>
      </w:pPr>
      <w:r>
        <w:rPr>
          <w:rFonts w:ascii="Garamond" w:hAnsi="Garamond"/>
          <w:sz w:val="24"/>
          <w:szCs w:val="24"/>
        </w:rPr>
        <w:t xml:space="preserve">We traditionally understand administrative law in terms of ‘grounds’ of judicial review, but Bell </w:t>
      </w:r>
      <w:r w:rsidR="00DD26A3">
        <w:rPr>
          <w:rFonts w:ascii="Garamond" w:hAnsi="Garamond"/>
          <w:sz w:val="24"/>
          <w:szCs w:val="24"/>
        </w:rPr>
        <w:t>outlines that the ‘‘grounds of review’ are not the product of conscientious design, no</w:t>
      </w:r>
      <w:r w:rsidR="00431AEB">
        <w:rPr>
          <w:rFonts w:ascii="Garamond" w:hAnsi="Garamond"/>
          <w:sz w:val="24"/>
          <w:szCs w:val="24"/>
        </w:rPr>
        <w:t>r</w:t>
      </w:r>
      <w:r w:rsidR="00DD26A3">
        <w:rPr>
          <w:rFonts w:ascii="Garamond" w:hAnsi="Garamond"/>
          <w:sz w:val="24"/>
          <w:szCs w:val="24"/>
        </w:rPr>
        <w:t xml:space="preserve"> were they created at a single moment in history’.</w:t>
      </w:r>
      <w:r w:rsidR="00CC0763">
        <w:rPr>
          <w:rStyle w:val="FootnoteReference"/>
          <w:rFonts w:ascii="Garamond" w:hAnsi="Garamond"/>
          <w:sz w:val="24"/>
          <w:szCs w:val="24"/>
        </w:rPr>
        <w:footnoteReference w:id="46"/>
      </w:r>
      <w:r w:rsidR="006142E2">
        <w:rPr>
          <w:rFonts w:ascii="Garamond" w:hAnsi="Garamond"/>
          <w:sz w:val="24"/>
          <w:szCs w:val="24"/>
        </w:rPr>
        <w:t xml:space="preserve"> </w:t>
      </w:r>
      <w:r w:rsidR="00CC0763">
        <w:rPr>
          <w:rFonts w:ascii="Garamond" w:hAnsi="Garamond"/>
          <w:sz w:val="24"/>
          <w:szCs w:val="24"/>
        </w:rPr>
        <w:t xml:space="preserve">Bell also </w:t>
      </w:r>
      <w:r w:rsidR="00BC1FC6">
        <w:rPr>
          <w:rFonts w:ascii="Garamond" w:hAnsi="Garamond"/>
          <w:sz w:val="24"/>
          <w:szCs w:val="24"/>
        </w:rPr>
        <w:t>gives the historical context for how we conceptualise administrative law</w:t>
      </w:r>
      <w:r w:rsidR="003F228D">
        <w:rPr>
          <w:rFonts w:ascii="Garamond" w:hAnsi="Garamond"/>
          <w:sz w:val="24"/>
          <w:szCs w:val="24"/>
        </w:rPr>
        <w:t>:</w:t>
      </w:r>
    </w:p>
    <w:p w14:paraId="5E562827" w14:textId="74B8BD17" w:rsidR="003F228D" w:rsidRDefault="003F228D" w:rsidP="003F228D">
      <w:pPr>
        <w:ind w:left="720"/>
        <w:jc w:val="both"/>
        <w:rPr>
          <w:rFonts w:ascii="Garamond" w:hAnsi="Garamond"/>
          <w:sz w:val="24"/>
          <w:szCs w:val="24"/>
        </w:rPr>
      </w:pPr>
      <w:r>
        <w:rPr>
          <w:rFonts w:ascii="Garamond" w:hAnsi="Garamond"/>
          <w:sz w:val="24"/>
          <w:szCs w:val="24"/>
        </w:rPr>
        <w:t>[</w:t>
      </w:r>
      <w:r w:rsidRPr="003F228D">
        <w:rPr>
          <w:rFonts w:ascii="Garamond" w:hAnsi="Garamond"/>
          <w:sz w:val="24"/>
          <w:szCs w:val="24"/>
        </w:rPr>
        <w:t xml:space="preserve">T]he publication of two key textbooks, De Smith and Wade, in the late-1950s and early 1960s introduced a new way of conceptualising administrative law. Under this approach, the field was imagined as a cluster of legal standards which apply </w:t>
      </w:r>
      <w:r w:rsidRPr="003F228D">
        <w:rPr>
          <w:rFonts w:ascii="Garamond" w:hAnsi="Garamond"/>
          <w:i/>
          <w:iCs/>
          <w:sz w:val="24"/>
          <w:szCs w:val="24"/>
        </w:rPr>
        <w:t xml:space="preserve">generally </w:t>
      </w:r>
      <w:r w:rsidRPr="003F228D">
        <w:rPr>
          <w:rFonts w:ascii="Garamond" w:hAnsi="Garamond"/>
          <w:sz w:val="24"/>
          <w:szCs w:val="24"/>
        </w:rPr>
        <w:t>across all areas of public administration</w:t>
      </w:r>
      <w:r>
        <w:rPr>
          <w:rFonts w:ascii="Garamond" w:hAnsi="Garamond"/>
          <w:sz w:val="24"/>
          <w:szCs w:val="24"/>
        </w:rPr>
        <w:t>.</w:t>
      </w:r>
      <w:r>
        <w:rPr>
          <w:rStyle w:val="FootnoteReference"/>
          <w:rFonts w:ascii="Garamond" w:hAnsi="Garamond"/>
          <w:sz w:val="24"/>
          <w:szCs w:val="24"/>
        </w:rPr>
        <w:footnoteReference w:id="47"/>
      </w:r>
    </w:p>
    <w:p w14:paraId="12DF697E" w14:textId="41ACA56C" w:rsidR="005F7210" w:rsidRDefault="00110DF3" w:rsidP="00F75F40">
      <w:pPr>
        <w:jc w:val="both"/>
        <w:rPr>
          <w:rFonts w:ascii="Garamond" w:hAnsi="Garamond"/>
          <w:sz w:val="24"/>
          <w:szCs w:val="24"/>
        </w:rPr>
      </w:pPr>
      <w:r>
        <w:rPr>
          <w:rFonts w:ascii="Garamond" w:hAnsi="Garamond"/>
          <w:sz w:val="24"/>
          <w:szCs w:val="24"/>
        </w:rPr>
        <w:t>Harlow and Rawlings were instrumental in advancing a pluralistic</w:t>
      </w:r>
      <w:r w:rsidR="002B115A">
        <w:rPr>
          <w:rFonts w:ascii="Garamond" w:hAnsi="Garamond"/>
          <w:sz w:val="24"/>
          <w:szCs w:val="24"/>
        </w:rPr>
        <w:t xml:space="preserve"> understanding of administrative law. </w:t>
      </w:r>
      <w:r w:rsidR="002B115A" w:rsidRPr="002B115A">
        <w:rPr>
          <w:rFonts w:ascii="Garamond" w:hAnsi="Garamond"/>
          <w:sz w:val="24"/>
          <w:szCs w:val="24"/>
        </w:rPr>
        <w:t>The first edition of</w:t>
      </w:r>
      <w:r w:rsidR="002B115A" w:rsidRPr="002B115A">
        <w:rPr>
          <w:rFonts w:ascii="Garamond" w:hAnsi="Garamond"/>
          <w:i/>
          <w:iCs/>
          <w:sz w:val="24"/>
          <w:szCs w:val="24"/>
        </w:rPr>
        <w:t xml:space="preserve"> Law and Administration</w:t>
      </w:r>
      <w:r w:rsidR="002B115A" w:rsidRPr="002B115A">
        <w:rPr>
          <w:rFonts w:ascii="Garamond" w:hAnsi="Garamond"/>
          <w:sz w:val="24"/>
          <w:szCs w:val="24"/>
        </w:rPr>
        <w:t xml:space="preserve">, published in 1984, challenged the dominance of a purely doctrinal approach to legal scholarship. Reflecting on their first edition, they note: </w:t>
      </w:r>
      <w:r w:rsidR="00551208">
        <w:rPr>
          <w:rFonts w:ascii="Garamond" w:hAnsi="Garamond"/>
          <w:sz w:val="24"/>
          <w:szCs w:val="24"/>
        </w:rPr>
        <w:t>‘</w:t>
      </w:r>
      <w:r w:rsidR="002B115A" w:rsidRPr="002B115A">
        <w:rPr>
          <w:rFonts w:ascii="Garamond" w:hAnsi="Garamond"/>
          <w:sz w:val="24"/>
          <w:szCs w:val="24"/>
        </w:rPr>
        <w:t>[w]e saw the plural nature of administrative law as largely obscured by a long tradition of legalism, in which ‘law’ was presented as a non-permeable system of formalistic reasoning and autonomous rules and principles, which were largely the work of courts</w:t>
      </w:r>
      <w:r w:rsidR="00551208">
        <w:rPr>
          <w:rFonts w:ascii="Garamond" w:hAnsi="Garamond"/>
          <w:sz w:val="24"/>
          <w:szCs w:val="24"/>
        </w:rPr>
        <w:t>’</w:t>
      </w:r>
      <w:r w:rsidR="002B115A" w:rsidRPr="002B115A">
        <w:rPr>
          <w:rFonts w:ascii="Garamond" w:hAnsi="Garamond"/>
          <w:sz w:val="24"/>
          <w:szCs w:val="24"/>
        </w:rPr>
        <w:t>.</w:t>
      </w:r>
      <w:r w:rsidR="00551208">
        <w:rPr>
          <w:rStyle w:val="FootnoteReference"/>
          <w:rFonts w:ascii="Garamond" w:hAnsi="Garamond"/>
          <w:sz w:val="24"/>
          <w:szCs w:val="24"/>
        </w:rPr>
        <w:footnoteReference w:id="48"/>
      </w:r>
      <w:r w:rsidR="004D76A5">
        <w:rPr>
          <w:rFonts w:ascii="Garamond" w:hAnsi="Garamond"/>
          <w:sz w:val="24"/>
          <w:szCs w:val="24"/>
        </w:rPr>
        <w:t xml:space="preserve"> </w:t>
      </w:r>
      <w:r w:rsidR="0031629D">
        <w:rPr>
          <w:rFonts w:ascii="Garamond" w:hAnsi="Garamond"/>
          <w:sz w:val="24"/>
          <w:szCs w:val="24"/>
        </w:rPr>
        <w:t>‘Internal’ administrative law challenges this legalism, and the reality of law-in-action that is obscured through</w:t>
      </w:r>
      <w:r w:rsidR="008F5122">
        <w:rPr>
          <w:rFonts w:ascii="Garamond" w:hAnsi="Garamond"/>
          <w:sz w:val="24"/>
          <w:szCs w:val="24"/>
        </w:rPr>
        <w:t xml:space="preserve"> the study of administrative law without consideration of social, structural and institutional contexts. </w:t>
      </w:r>
    </w:p>
    <w:p w14:paraId="626ABA7A" w14:textId="2599A86F" w:rsidR="00F75F40" w:rsidRPr="00F75F40" w:rsidRDefault="00F75F40" w:rsidP="00F75F40">
      <w:pPr>
        <w:jc w:val="both"/>
        <w:rPr>
          <w:rFonts w:ascii="Garamond" w:hAnsi="Garamond"/>
          <w:sz w:val="24"/>
          <w:szCs w:val="24"/>
        </w:rPr>
      </w:pPr>
      <w:r w:rsidRPr="00F75F40">
        <w:rPr>
          <w:rFonts w:ascii="Garamond" w:hAnsi="Garamond"/>
          <w:sz w:val="24"/>
          <w:szCs w:val="24"/>
        </w:rPr>
        <w:t xml:space="preserve">Management practices and leadership in places where administrative discretion is exercised are important. Cane describes how administrative justice goes beyond a notion of accountability in performance of a normative function, it extends to: </w:t>
      </w:r>
    </w:p>
    <w:p w14:paraId="732E56EF" w14:textId="502FFC6E" w:rsidR="00F75F40" w:rsidRDefault="00F75F40" w:rsidP="00CF5AA6">
      <w:pPr>
        <w:ind w:left="720"/>
        <w:jc w:val="both"/>
        <w:rPr>
          <w:rFonts w:ascii="Garamond" w:hAnsi="Garamond"/>
          <w:sz w:val="24"/>
          <w:szCs w:val="24"/>
        </w:rPr>
      </w:pPr>
      <w:r w:rsidRPr="00F75F40">
        <w:rPr>
          <w:rFonts w:ascii="Garamond" w:hAnsi="Garamond"/>
          <w:sz w:val="24"/>
          <w:szCs w:val="24"/>
        </w:rPr>
        <w:t xml:space="preserve">[W]hat Mashaw calls the ‘management side of due process’ – the idea that </w:t>
      </w:r>
      <w:r w:rsidRPr="00F75F40">
        <w:rPr>
          <w:rFonts w:ascii="Garamond" w:hAnsi="Garamond"/>
          <w:i/>
          <w:iCs/>
          <w:sz w:val="24"/>
          <w:szCs w:val="24"/>
        </w:rPr>
        <w:t xml:space="preserve">ex ante </w:t>
      </w:r>
      <w:r w:rsidRPr="00F75F40">
        <w:rPr>
          <w:rFonts w:ascii="Garamond" w:hAnsi="Garamond"/>
          <w:sz w:val="24"/>
          <w:szCs w:val="24"/>
        </w:rPr>
        <w:t xml:space="preserve">recruitment practices, training programmes, management techniques and internal monitoring are at least as important as </w:t>
      </w:r>
      <w:r w:rsidRPr="00F75F40">
        <w:rPr>
          <w:rFonts w:ascii="Garamond" w:hAnsi="Garamond"/>
          <w:i/>
          <w:iCs/>
          <w:sz w:val="24"/>
          <w:szCs w:val="24"/>
        </w:rPr>
        <w:t xml:space="preserve">ex post </w:t>
      </w:r>
      <w:r w:rsidRPr="00F75F40">
        <w:rPr>
          <w:rFonts w:ascii="Garamond" w:hAnsi="Garamond"/>
          <w:sz w:val="24"/>
          <w:szCs w:val="24"/>
        </w:rPr>
        <w:t>external scrutiny of individual decisions in raising and maintaining bureaucratic decision-making</w:t>
      </w:r>
      <w:r>
        <w:rPr>
          <w:rStyle w:val="FootnoteReference"/>
          <w:rFonts w:ascii="Garamond" w:hAnsi="Garamond"/>
          <w:sz w:val="24"/>
          <w:szCs w:val="24"/>
        </w:rPr>
        <w:footnoteReference w:id="49"/>
      </w:r>
    </w:p>
    <w:p w14:paraId="512A3AB3" w14:textId="1B745AD2" w:rsidR="00B75D4E" w:rsidRDefault="003428B5" w:rsidP="005F6619">
      <w:pPr>
        <w:jc w:val="both"/>
        <w:rPr>
          <w:rFonts w:ascii="Garamond" w:hAnsi="Garamond"/>
          <w:sz w:val="24"/>
          <w:szCs w:val="24"/>
        </w:rPr>
      </w:pPr>
      <w:r>
        <w:rPr>
          <w:rFonts w:ascii="Garamond" w:hAnsi="Garamond"/>
          <w:sz w:val="24"/>
          <w:szCs w:val="24"/>
        </w:rPr>
        <w:t xml:space="preserve">Management practices and the way in which information is </w:t>
      </w:r>
      <w:r w:rsidR="00296202">
        <w:rPr>
          <w:rFonts w:ascii="Garamond" w:hAnsi="Garamond"/>
          <w:sz w:val="24"/>
          <w:szCs w:val="24"/>
        </w:rPr>
        <w:t>received into and disseminated throughout an institution both provide contextual variances on how decision-making within public bodies operates</w:t>
      </w:r>
      <w:r w:rsidR="00C06A7D">
        <w:rPr>
          <w:rFonts w:ascii="Garamond" w:hAnsi="Garamond"/>
          <w:sz w:val="24"/>
          <w:szCs w:val="24"/>
        </w:rPr>
        <w:t>. As Zacka has found through ethnographic study:</w:t>
      </w:r>
    </w:p>
    <w:p w14:paraId="0958597B" w14:textId="1B973A53" w:rsidR="00B75D4E" w:rsidRDefault="00C06A7D" w:rsidP="00D74A02">
      <w:pPr>
        <w:ind w:left="720"/>
        <w:jc w:val="both"/>
        <w:rPr>
          <w:rFonts w:ascii="Garamond" w:hAnsi="Garamond"/>
          <w:sz w:val="24"/>
          <w:szCs w:val="24"/>
        </w:rPr>
      </w:pPr>
      <w:r w:rsidRPr="00C06A7D">
        <w:rPr>
          <w:rFonts w:ascii="Garamond" w:hAnsi="Garamond"/>
          <w:sz w:val="24"/>
          <w:szCs w:val="24"/>
        </w:rPr>
        <w:t xml:space="preserve">By stressing the importance of everyday casuistry and peer-level accountability, one of my aims is to show that street-level bureaucracies are home to a complex moral ecosystem that is largely opaque to hierarchical scrutiny and control. The proper functioning of these organizations— on a moral plane—is largely parasitic on a dense web of informal relationships and practices whose importance is not sufficiently recognized, and which </w:t>
      </w:r>
      <w:r w:rsidRPr="00C06A7D">
        <w:rPr>
          <w:rFonts w:ascii="Garamond" w:hAnsi="Garamond"/>
          <w:sz w:val="24"/>
          <w:szCs w:val="24"/>
        </w:rPr>
        <w:lastRenderedPageBreak/>
        <w:t>often end up being the intended or unintended casualty of attempts at institutional reform</w:t>
      </w:r>
      <w:r>
        <w:rPr>
          <w:rFonts w:ascii="Garamond" w:hAnsi="Garamond"/>
          <w:sz w:val="24"/>
          <w:szCs w:val="24"/>
        </w:rPr>
        <w:t>.</w:t>
      </w:r>
      <w:r>
        <w:rPr>
          <w:rStyle w:val="FootnoteReference"/>
          <w:rFonts w:ascii="Garamond" w:hAnsi="Garamond"/>
          <w:sz w:val="24"/>
          <w:szCs w:val="24"/>
        </w:rPr>
        <w:footnoteReference w:id="50"/>
      </w:r>
      <w:r>
        <w:rPr>
          <w:rFonts w:ascii="Garamond" w:hAnsi="Garamond"/>
          <w:sz w:val="24"/>
          <w:szCs w:val="24"/>
        </w:rPr>
        <w:t xml:space="preserve"> </w:t>
      </w:r>
    </w:p>
    <w:p w14:paraId="468DF610" w14:textId="4C3B205D" w:rsidR="000212A5" w:rsidRDefault="000212A5" w:rsidP="00877537">
      <w:pPr>
        <w:jc w:val="both"/>
        <w:rPr>
          <w:rFonts w:ascii="Garamond" w:hAnsi="Garamond"/>
          <w:sz w:val="24"/>
          <w:szCs w:val="24"/>
        </w:rPr>
      </w:pPr>
      <w:r>
        <w:rPr>
          <w:rFonts w:ascii="Garamond" w:hAnsi="Garamond"/>
          <w:sz w:val="24"/>
          <w:szCs w:val="24"/>
        </w:rPr>
        <w:t xml:space="preserve">The social context within which decision-making happens within public bodies is </w:t>
      </w:r>
      <w:r w:rsidR="008527E0">
        <w:rPr>
          <w:rFonts w:ascii="Garamond" w:hAnsi="Garamond"/>
          <w:sz w:val="24"/>
          <w:szCs w:val="24"/>
        </w:rPr>
        <w:t>important. There are many factors that shape and are shaped by this social context.</w:t>
      </w:r>
      <w:r w:rsidR="00877537">
        <w:rPr>
          <w:rStyle w:val="FootnoteReference"/>
          <w:rFonts w:ascii="Garamond" w:hAnsi="Garamond"/>
          <w:sz w:val="24"/>
          <w:szCs w:val="24"/>
        </w:rPr>
        <w:footnoteReference w:id="51"/>
      </w:r>
      <w:r w:rsidR="008527E0">
        <w:rPr>
          <w:rFonts w:ascii="Garamond" w:hAnsi="Garamond"/>
          <w:sz w:val="24"/>
          <w:szCs w:val="24"/>
        </w:rPr>
        <w:t xml:space="preserve"> </w:t>
      </w:r>
      <w:r w:rsidR="00877537">
        <w:rPr>
          <w:rFonts w:ascii="Garamond" w:hAnsi="Garamond"/>
          <w:sz w:val="24"/>
          <w:szCs w:val="24"/>
        </w:rPr>
        <w:t xml:space="preserve">Law imposes a somewhat artificial test on decision-making practices through judicial review whereby a single decision in relation to an individual applicant is considered. The reality of administrative decision-making is much </w:t>
      </w:r>
      <w:r w:rsidR="00AC1A2F">
        <w:rPr>
          <w:rFonts w:ascii="Garamond" w:hAnsi="Garamond"/>
          <w:sz w:val="24"/>
          <w:szCs w:val="24"/>
        </w:rPr>
        <w:t>more complex and messier</w:t>
      </w:r>
      <w:r w:rsidR="00877537">
        <w:rPr>
          <w:rFonts w:ascii="Garamond" w:hAnsi="Garamond"/>
          <w:sz w:val="24"/>
          <w:szCs w:val="24"/>
        </w:rPr>
        <w:t xml:space="preserve"> than judicial review envisages and isolates. As Halliday argues: </w:t>
      </w:r>
    </w:p>
    <w:p w14:paraId="57B9DC24" w14:textId="7A7052DF" w:rsidR="008C3B94" w:rsidRDefault="00D74A02" w:rsidP="008C3B94">
      <w:pPr>
        <w:ind w:left="720"/>
        <w:jc w:val="both"/>
        <w:rPr>
          <w:rFonts w:ascii="Garamond" w:hAnsi="Garamond"/>
          <w:sz w:val="24"/>
          <w:szCs w:val="24"/>
        </w:rPr>
      </w:pPr>
      <w:r w:rsidRPr="00D74A02">
        <w:rPr>
          <w:rFonts w:ascii="Garamond" w:hAnsi="Garamond"/>
          <w:sz w:val="24"/>
          <w:szCs w:val="24"/>
        </w:rPr>
        <w:t xml:space="preserve">From the court’s perspective, the decision under scrutiny can easily be regarded as having been made by ‘the decision-maker’. The complex bureaucracy, the diverse activities of which produced a final decision-outcome, can be imagined as a single entity. The decision-outcome which is the produce of multiple pre-decision can be artificially reduced to a single discrete ‘decision’. The social reality, of course, is quite different. The decision-making process is better conceived as a network of bureaucrats exercising discretion, culminating in </w:t>
      </w:r>
      <w:proofErr w:type="gramStart"/>
      <w:r w:rsidRPr="00D74A02">
        <w:rPr>
          <w:rFonts w:ascii="Garamond" w:hAnsi="Garamond"/>
          <w:sz w:val="24"/>
          <w:szCs w:val="24"/>
        </w:rPr>
        <w:t>a final outcome</w:t>
      </w:r>
      <w:proofErr w:type="gramEnd"/>
      <w:r w:rsidRPr="00D74A02">
        <w:rPr>
          <w:rFonts w:ascii="Garamond" w:hAnsi="Garamond"/>
          <w:sz w:val="24"/>
          <w:szCs w:val="24"/>
        </w:rPr>
        <w:t xml:space="preserve"> which is highly contingent on the discretion of multiple actors</w:t>
      </w:r>
      <w:r>
        <w:rPr>
          <w:rFonts w:ascii="Garamond" w:hAnsi="Garamond"/>
          <w:sz w:val="24"/>
          <w:szCs w:val="24"/>
        </w:rPr>
        <w:t>.</w:t>
      </w:r>
      <w:r>
        <w:rPr>
          <w:rStyle w:val="FootnoteReference"/>
          <w:rFonts w:ascii="Garamond" w:hAnsi="Garamond"/>
          <w:sz w:val="24"/>
          <w:szCs w:val="24"/>
        </w:rPr>
        <w:footnoteReference w:id="52"/>
      </w:r>
      <w:r>
        <w:rPr>
          <w:rFonts w:ascii="Garamond" w:hAnsi="Garamond"/>
          <w:sz w:val="24"/>
          <w:szCs w:val="24"/>
        </w:rPr>
        <w:t xml:space="preserve"> </w:t>
      </w:r>
    </w:p>
    <w:p w14:paraId="768526B0" w14:textId="34590002" w:rsidR="00D25AD3" w:rsidRDefault="008C3B94" w:rsidP="008C3B94">
      <w:pPr>
        <w:jc w:val="both"/>
        <w:rPr>
          <w:rFonts w:ascii="Garamond" w:hAnsi="Garamond"/>
          <w:sz w:val="24"/>
          <w:szCs w:val="24"/>
        </w:rPr>
      </w:pPr>
      <w:r>
        <w:rPr>
          <w:rFonts w:ascii="Garamond" w:hAnsi="Garamond"/>
          <w:sz w:val="24"/>
          <w:szCs w:val="24"/>
        </w:rPr>
        <w:t xml:space="preserve">Both Zacka’s ‘web’ and Halliday’s ‘network’ speak to the complex </w:t>
      </w:r>
      <w:r w:rsidR="00100033">
        <w:rPr>
          <w:rFonts w:ascii="Garamond" w:hAnsi="Garamond"/>
          <w:sz w:val="24"/>
          <w:szCs w:val="24"/>
        </w:rPr>
        <w:t>and fluid</w:t>
      </w:r>
      <w:r>
        <w:rPr>
          <w:rFonts w:ascii="Garamond" w:hAnsi="Garamond"/>
          <w:sz w:val="24"/>
          <w:szCs w:val="24"/>
        </w:rPr>
        <w:t xml:space="preserve"> factors </w:t>
      </w:r>
      <w:r w:rsidR="00B8483C">
        <w:rPr>
          <w:rFonts w:ascii="Garamond" w:hAnsi="Garamond"/>
          <w:sz w:val="24"/>
          <w:szCs w:val="24"/>
        </w:rPr>
        <w:t>that</w:t>
      </w:r>
      <w:r w:rsidR="002C45D7">
        <w:rPr>
          <w:rFonts w:ascii="Garamond" w:hAnsi="Garamond"/>
          <w:sz w:val="24"/>
          <w:szCs w:val="24"/>
        </w:rPr>
        <w:t xml:space="preserve"> arise by moving focus from case law and </w:t>
      </w:r>
      <w:r w:rsidR="00100033">
        <w:rPr>
          <w:rFonts w:ascii="Garamond" w:hAnsi="Garamond"/>
          <w:sz w:val="24"/>
          <w:szCs w:val="24"/>
        </w:rPr>
        <w:t>o</w:t>
      </w:r>
      <w:r w:rsidR="002C45D7">
        <w:rPr>
          <w:rFonts w:ascii="Garamond" w:hAnsi="Garamond"/>
          <w:sz w:val="24"/>
          <w:szCs w:val="24"/>
        </w:rPr>
        <w:t xml:space="preserve">nto bureaucracies. </w:t>
      </w:r>
      <w:r w:rsidR="008A551E" w:rsidRPr="000A00EA">
        <w:rPr>
          <w:rFonts w:ascii="Garamond" w:hAnsi="Garamond"/>
          <w:i/>
          <w:iCs/>
          <w:sz w:val="24"/>
          <w:szCs w:val="24"/>
        </w:rPr>
        <w:t>Zalewski v Workplace Relations Commission</w:t>
      </w:r>
      <w:r w:rsidR="003F5036">
        <w:rPr>
          <w:rStyle w:val="FootnoteReference"/>
          <w:rFonts w:ascii="Garamond" w:hAnsi="Garamond"/>
          <w:sz w:val="24"/>
          <w:szCs w:val="24"/>
        </w:rPr>
        <w:footnoteReference w:id="53"/>
      </w:r>
      <w:r w:rsidR="003F5036">
        <w:rPr>
          <w:rFonts w:ascii="Garamond" w:hAnsi="Garamond"/>
          <w:sz w:val="24"/>
          <w:szCs w:val="24"/>
        </w:rPr>
        <w:t xml:space="preserve"> </w:t>
      </w:r>
      <w:r w:rsidR="008A551E">
        <w:rPr>
          <w:rFonts w:ascii="Garamond" w:hAnsi="Garamond"/>
          <w:sz w:val="24"/>
          <w:szCs w:val="24"/>
        </w:rPr>
        <w:t>presents a timely opportunity to reflect on</w:t>
      </w:r>
      <w:r w:rsidR="000A00EA">
        <w:rPr>
          <w:rFonts w:ascii="Garamond" w:hAnsi="Garamond"/>
          <w:sz w:val="24"/>
          <w:szCs w:val="24"/>
        </w:rPr>
        <w:t xml:space="preserve"> how law is animated within bureaucracies.</w:t>
      </w:r>
      <w:r w:rsidR="00DD6870">
        <w:rPr>
          <w:rStyle w:val="FootnoteReference"/>
          <w:rFonts w:ascii="Garamond" w:hAnsi="Garamond"/>
          <w:sz w:val="24"/>
          <w:szCs w:val="24"/>
        </w:rPr>
        <w:footnoteReference w:id="54"/>
      </w:r>
      <w:r w:rsidR="000A00EA">
        <w:rPr>
          <w:rFonts w:ascii="Garamond" w:hAnsi="Garamond"/>
          <w:sz w:val="24"/>
          <w:szCs w:val="24"/>
        </w:rPr>
        <w:t xml:space="preserve"> Hickey </w:t>
      </w:r>
      <w:r w:rsidR="003A5E1B">
        <w:rPr>
          <w:rFonts w:ascii="Garamond" w:hAnsi="Garamond"/>
          <w:sz w:val="24"/>
          <w:szCs w:val="24"/>
        </w:rPr>
        <w:t xml:space="preserve">interprets O’Donnell J’s judgment in </w:t>
      </w:r>
      <w:r w:rsidR="003A5E1B" w:rsidRPr="00C95FE7">
        <w:rPr>
          <w:rFonts w:ascii="Garamond" w:hAnsi="Garamond"/>
          <w:i/>
          <w:iCs/>
          <w:sz w:val="24"/>
          <w:szCs w:val="24"/>
        </w:rPr>
        <w:t xml:space="preserve">Zalewski </w:t>
      </w:r>
      <w:r w:rsidR="003A5E1B">
        <w:rPr>
          <w:rFonts w:ascii="Garamond" w:hAnsi="Garamond"/>
          <w:sz w:val="24"/>
          <w:szCs w:val="24"/>
        </w:rPr>
        <w:t>as having a Janus-faced role</w:t>
      </w:r>
      <w:r w:rsidR="00D25AD3">
        <w:rPr>
          <w:rFonts w:ascii="Garamond" w:hAnsi="Garamond"/>
          <w:sz w:val="24"/>
          <w:szCs w:val="24"/>
        </w:rPr>
        <w:t>:</w:t>
      </w:r>
    </w:p>
    <w:p w14:paraId="17F67A1D" w14:textId="2B09D358" w:rsidR="008C3B94" w:rsidRDefault="00D25AD3" w:rsidP="00D25AD3">
      <w:pPr>
        <w:ind w:left="720"/>
        <w:jc w:val="both"/>
        <w:rPr>
          <w:rFonts w:ascii="Garamond" w:hAnsi="Garamond"/>
          <w:sz w:val="24"/>
          <w:szCs w:val="24"/>
        </w:rPr>
      </w:pPr>
      <w:r w:rsidRPr="00D25AD3">
        <w:rPr>
          <w:rFonts w:ascii="Garamond" w:hAnsi="Garamond"/>
          <w:sz w:val="24"/>
          <w:szCs w:val="24"/>
        </w:rPr>
        <w:t>But there is a related development in the O</w:t>
      </w:r>
      <w:r w:rsidR="00836203">
        <w:rPr>
          <w:rFonts w:ascii="Garamond" w:hAnsi="Garamond"/>
          <w:sz w:val="24"/>
          <w:szCs w:val="24"/>
        </w:rPr>
        <w:t>’</w:t>
      </w:r>
      <w:r w:rsidRPr="00D25AD3">
        <w:rPr>
          <w:rFonts w:ascii="Garamond" w:hAnsi="Garamond"/>
          <w:sz w:val="24"/>
          <w:szCs w:val="24"/>
        </w:rPr>
        <w:t xml:space="preserve">Donnell J judgment and that is that if Article 37.1 is now going to bark for the administrative state, then it is going </w:t>
      </w:r>
      <w:proofErr w:type="gramStart"/>
      <w:r w:rsidRPr="00D25AD3">
        <w:rPr>
          <w:rFonts w:ascii="Garamond" w:hAnsi="Garamond"/>
          <w:sz w:val="24"/>
          <w:szCs w:val="24"/>
        </w:rPr>
        <w:t>have to</w:t>
      </w:r>
      <w:proofErr w:type="gramEnd"/>
      <w:r w:rsidRPr="00D25AD3">
        <w:rPr>
          <w:rFonts w:ascii="Garamond" w:hAnsi="Garamond"/>
          <w:sz w:val="24"/>
          <w:szCs w:val="24"/>
        </w:rPr>
        <w:t xml:space="preserve"> bite for the constitutional state as well. If it is now to represent the pillar supporting non-judicial bodies that administer justice of the kind having profound effects on the fundamental interests of individuals, then it must also ensure that that justice is administered in ways that do not undermine the constitutional rights of those individuals.</w:t>
      </w:r>
      <w:r w:rsidR="00CC3853">
        <w:rPr>
          <w:rStyle w:val="FootnoteReference"/>
          <w:rFonts w:ascii="Garamond" w:hAnsi="Garamond"/>
          <w:sz w:val="24"/>
          <w:szCs w:val="24"/>
        </w:rPr>
        <w:footnoteReference w:id="55"/>
      </w:r>
      <w:r w:rsidR="00A15CAF">
        <w:rPr>
          <w:rFonts w:ascii="Garamond" w:hAnsi="Garamond"/>
          <w:sz w:val="24"/>
          <w:szCs w:val="24"/>
        </w:rPr>
        <w:t xml:space="preserve"> </w:t>
      </w:r>
    </w:p>
    <w:p w14:paraId="2F11CAFB" w14:textId="5C3B498C" w:rsidR="00C95FE7" w:rsidRDefault="00C95FE7" w:rsidP="00846EC9">
      <w:pPr>
        <w:jc w:val="both"/>
        <w:rPr>
          <w:rFonts w:ascii="Garamond" w:hAnsi="Garamond"/>
          <w:sz w:val="24"/>
          <w:szCs w:val="24"/>
        </w:rPr>
      </w:pPr>
      <w:r w:rsidRPr="00C95FE7">
        <w:rPr>
          <w:rFonts w:ascii="Garamond" w:hAnsi="Garamond"/>
          <w:sz w:val="24"/>
          <w:szCs w:val="24"/>
        </w:rPr>
        <w:t>Donson et al. note that</w:t>
      </w:r>
      <w:r>
        <w:rPr>
          <w:rFonts w:ascii="Garamond" w:hAnsi="Garamond"/>
          <w:sz w:val="24"/>
          <w:szCs w:val="24"/>
        </w:rPr>
        <w:t xml:space="preserve"> </w:t>
      </w:r>
      <w:r w:rsidRPr="004E2097">
        <w:rPr>
          <w:rFonts w:ascii="Garamond" w:hAnsi="Garamond"/>
          <w:i/>
          <w:iCs/>
          <w:sz w:val="24"/>
          <w:szCs w:val="24"/>
        </w:rPr>
        <w:t>Zalewski</w:t>
      </w:r>
      <w:r>
        <w:rPr>
          <w:rFonts w:ascii="Garamond" w:hAnsi="Garamond"/>
          <w:sz w:val="24"/>
          <w:szCs w:val="24"/>
        </w:rPr>
        <w:t xml:space="preserve"> raises many practical questions on the day-to-day practices within the administrative state, and </w:t>
      </w:r>
      <w:r w:rsidR="00AD468B">
        <w:rPr>
          <w:rFonts w:ascii="Garamond" w:hAnsi="Garamond"/>
          <w:sz w:val="24"/>
          <w:szCs w:val="24"/>
        </w:rPr>
        <w:t>argue that there is a need for a systematic, structured approach to research on administrative decision-making</w:t>
      </w:r>
      <w:r w:rsidR="004E2097">
        <w:rPr>
          <w:rFonts w:ascii="Garamond" w:hAnsi="Garamond"/>
          <w:sz w:val="24"/>
          <w:szCs w:val="24"/>
        </w:rPr>
        <w:t xml:space="preserve">: </w:t>
      </w:r>
    </w:p>
    <w:p w14:paraId="26CA669E" w14:textId="04412C5F" w:rsidR="004E2097" w:rsidRDefault="004E2097" w:rsidP="004E2097">
      <w:pPr>
        <w:ind w:left="720"/>
        <w:jc w:val="both"/>
        <w:rPr>
          <w:rFonts w:ascii="Garamond" w:hAnsi="Garamond"/>
          <w:sz w:val="24"/>
          <w:szCs w:val="24"/>
        </w:rPr>
      </w:pPr>
      <w:r w:rsidRPr="004E2097">
        <w:rPr>
          <w:rFonts w:ascii="Garamond" w:hAnsi="Garamond"/>
          <w:sz w:val="24"/>
          <w:szCs w:val="24"/>
        </w:rPr>
        <w:t xml:space="preserve">The </w:t>
      </w:r>
      <w:r w:rsidRPr="004E2097">
        <w:rPr>
          <w:rFonts w:ascii="Garamond" w:hAnsi="Garamond"/>
          <w:i/>
          <w:iCs/>
          <w:sz w:val="24"/>
          <w:szCs w:val="24"/>
        </w:rPr>
        <w:t>Zalewski</w:t>
      </w:r>
      <w:r w:rsidRPr="004E2097">
        <w:rPr>
          <w:rFonts w:ascii="Garamond" w:hAnsi="Garamond"/>
          <w:sz w:val="24"/>
          <w:szCs w:val="24"/>
        </w:rPr>
        <w:t xml:space="preserve"> case illustrates the reactive, rather than proactive, nature of any change to tribunal powers and structure</w:t>
      </w:r>
      <w:r>
        <w:rPr>
          <w:rFonts w:ascii="Garamond" w:hAnsi="Garamond"/>
          <w:sz w:val="24"/>
          <w:szCs w:val="24"/>
        </w:rPr>
        <w:t xml:space="preserve"> </w:t>
      </w:r>
      <w:r w:rsidRPr="004E2097">
        <w:rPr>
          <w:rFonts w:ascii="Garamond" w:hAnsi="Garamond"/>
          <w:sz w:val="24"/>
          <w:szCs w:val="24"/>
        </w:rPr>
        <w:t>in the Irish administrative state. A significant limitation is the tendency towards</w:t>
      </w:r>
      <w:r>
        <w:rPr>
          <w:rFonts w:ascii="Garamond" w:hAnsi="Garamond"/>
          <w:sz w:val="24"/>
          <w:szCs w:val="24"/>
        </w:rPr>
        <w:t xml:space="preserve"> </w:t>
      </w:r>
      <w:r w:rsidRPr="004E2097">
        <w:rPr>
          <w:rFonts w:ascii="Garamond" w:hAnsi="Garamond"/>
          <w:sz w:val="24"/>
          <w:szCs w:val="24"/>
        </w:rPr>
        <w:t>looking at administrative problems with a constitutional spyglass, honing in on</w:t>
      </w:r>
      <w:r>
        <w:rPr>
          <w:rFonts w:ascii="Garamond" w:hAnsi="Garamond"/>
          <w:sz w:val="24"/>
          <w:szCs w:val="24"/>
        </w:rPr>
        <w:t xml:space="preserve"> </w:t>
      </w:r>
      <w:r w:rsidRPr="004E2097">
        <w:rPr>
          <w:rFonts w:ascii="Garamond" w:hAnsi="Garamond"/>
          <w:sz w:val="24"/>
          <w:szCs w:val="24"/>
        </w:rPr>
        <w:t>the big constitutional issues, but ignoring the interrelated and connected web of</w:t>
      </w:r>
      <w:r>
        <w:rPr>
          <w:rFonts w:ascii="Garamond" w:hAnsi="Garamond"/>
          <w:sz w:val="24"/>
          <w:szCs w:val="24"/>
        </w:rPr>
        <w:t xml:space="preserve"> </w:t>
      </w:r>
      <w:r w:rsidRPr="004E2097">
        <w:rPr>
          <w:rFonts w:ascii="Garamond" w:hAnsi="Garamond"/>
          <w:sz w:val="24"/>
          <w:szCs w:val="24"/>
        </w:rPr>
        <w:t>administrative justice issues.</w:t>
      </w:r>
      <w:r w:rsidR="004605FA">
        <w:rPr>
          <w:rStyle w:val="FootnoteReference"/>
          <w:rFonts w:ascii="Garamond" w:hAnsi="Garamond"/>
          <w:sz w:val="24"/>
          <w:szCs w:val="24"/>
        </w:rPr>
        <w:footnoteReference w:id="56"/>
      </w:r>
      <w:r w:rsidRPr="004E2097">
        <w:rPr>
          <w:rFonts w:ascii="Garamond" w:hAnsi="Garamond"/>
          <w:sz w:val="24"/>
          <w:szCs w:val="24"/>
        </w:rPr>
        <w:t xml:space="preserve"> </w:t>
      </w:r>
    </w:p>
    <w:p w14:paraId="0F877FB7" w14:textId="1495DC5F" w:rsidR="004E2097" w:rsidRPr="00C95FE7" w:rsidRDefault="00FE38BA" w:rsidP="00846EC9">
      <w:pPr>
        <w:jc w:val="both"/>
        <w:rPr>
          <w:rFonts w:ascii="Garamond" w:hAnsi="Garamond"/>
          <w:sz w:val="24"/>
          <w:szCs w:val="24"/>
        </w:rPr>
      </w:pPr>
      <w:r>
        <w:rPr>
          <w:rFonts w:ascii="Garamond" w:hAnsi="Garamond"/>
          <w:sz w:val="24"/>
          <w:szCs w:val="24"/>
        </w:rPr>
        <w:t xml:space="preserve">Development of work in this area is important not only to improve first instance and tribunal level decision-making, but also to ensure </w:t>
      </w:r>
      <w:r w:rsidR="001C061E">
        <w:rPr>
          <w:rFonts w:ascii="Garamond" w:hAnsi="Garamond"/>
          <w:sz w:val="24"/>
          <w:szCs w:val="24"/>
        </w:rPr>
        <w:t>members of the judiciary have</w:t>
      </w:r>
      <w:r w:rsidR="0045752E">
        <w:rPr>
          <w:rFonts w:ascii="Garamond" w:hAnsi="Garamond"/>
          <w:sz w:val="24"/>
          <w:szCs w:val="24"/>
        </w:rPr>
        <w:t xml:space="preserve"> visibility of the ‘connected web </w:t>
      </w:r>
      <w:r w:rsidR="0045752E">
        <w:rPr>
          <w:rFonts w:ascii="Garamond" w:hAnsi="Garamond"/>
          <w:sz w:val="24"/>
          <w:szCs w:val="24"/>
        </w:rPr>
        <w:lastRenderedPageBreak/>
        <w:t>of administrative justice issues’</w:t>
      </w:r>
      <w:r w:rsidR="0054776A">
        <w:rPr>
          <w:rFonts w:ascii="Garamond" w:hAnsi="Garamond"/>
          <w:sz w:val="24"/>
          <w:szCs w:val="24"/>
        </w:rPr>
        <w:t xml:space="preserve"> when determining cases in the superior courts</w:t>
      </w:r>
      <w:r w:rsidR="0045752E">
        <w:rPr>
          <w:rFonts w:ascii="Garamond" w:hAnsi="Garamond"/>
          <w:sz w:val="24"/>
          <w:szCs w:val="24"/>
        </w:rPr>
        <w:t xml:space="preserve">. </w:t>
      </w:r>
      <w:r w:rsidR="00F154CC">
        <w:rPr>
          <w:rFonts w:ascii="Garamond" w:hAnsi="Garamond"/>
          <w:sz w:val="24"/>
          <w:szCs w:val="24"/>
        </w:rPr>
        <w:t>In a jurisdiction that is far more familiar with the ‘administration of justice</w:t>
      </w:r>
      <w:r w:rsidR="0064595E">
        <w:rPr>
          <w:rFonts w:ascii="Garamond" w:hAnsi="Garamond"/>
          <w:sz w:val="24"/>
          <w:szCs w:val="24"/>
        </w:rPr>
        <w:t>’</w:t>
      </w:r>
      <w:r w:rsidR="00F154CC">
        <w:rPr>
          <w:rFonts w:ascii="Garamond" w:hAnsi="Garamond"/>
          <w:sz w:val="24"/>
          <w:szCs w:val="24"/>
        </w:rPr>
        <w:t xml:space="preserve">, it is therefore important to </w:t>
      </w:r>
      <w:r w:rsidR="00C63F05">
        <w:rPr>
          <w:rFonts w:ascii="Garamond" w:hAnsi="Garamond"/>
          <w:sz w:val="24"/>
          <w:szCs w:val="24"/>
        </w:rPr>
        <w:t xml:space="preserve">consider </w:t>
      </w:r>
      <w:r w:rsidR="00F154CC">
        <w:rPr>
          <w:rFonts w:ascii="Garamond" w:hAnsi="Garamond"/>
          <w:sz w:val="24"/>
          <w:szCs w:val="24"/>
        </w:rPr>
        <w:t>what is ‘administrative justice’ and what is its potential for Irish public law?</w:t>
      </w:r>
    </w:p>
    <w:p w14:paraId="7F37F2AB" w14:textId="5639B214" w:rsidR="00D02C18" w:rsidRPr="00BA5B6C" w:rsidRDefault="00CD71DB" w:rsidP="00846EC9">
      <w:pPr>
        <w:jc w:val="both"/>
        <w:rPr>
          <w:rFonts w:ascii="Garamond" w:hAnsi="Garamond"/>
          <w:b/>
          <w:bCs/>
          <w:sz w:val="32"/>
          <w:szCs w:val="32"/>
        </w:rPr>
      </w:pPr>
      <w:r>
        <w:rPr>
          <w:rFonts w:ascii="Garamond" w:hAnsi="Garamond"/>
          <w:b/>
          <w:bCs/>
          <w:sz w:val="32"/>
          <w:szCs w:val="32"/>
        </w:rPr>
        <w:t xml:space="preserve">Section Two: </w:t>
      </w:r>
      <w:r w:rsidR="00D02C18" w:rsidRPr="00BA5B6C">
        <w:rPr>
          <w:rFonts w:ascii="Garamond" w:hAnsi="Garamond"/>
          <w:b/>
          <w:bCs/>
          <w:sz w:val="32"/>
          <w:szCs w:val="32"/>
        </w:rPr>
        <w:t>A way forward</w:t>
      </w:r>
    </w:p>
    <w:p w14:paraId="0C92DB8A" w14:textId="34D8C4D6" w:rsidR="00075042" w:rsidRPr="00C0510D" w:rsidRDefault="00C0510D" w:rsidP="001C728F">
      <w:pPr>
        <w:jc w:val="both"/>
        <w:rPr>
          <w:rFonts w:ascii="Garamond" w:hAnsi="Garamond"/>
          <w:b/>
          <w:bCs/>
          <w:sz w:val="28"/>
          <w:szCs w:val="28"/>
        </w:rPr>
      </w:pPr>
      <w:r w:rsidRPr="00C0510D">
        <w:rPr>
          <w:rFonts w:ascii="Garamond" w:hAnsi="Garamond"/>
          <w:b/>
          <w:bCs/>
          <w:sz w:val="28"/>
          <w:szCs w:val="28"/>
        </w:rPr>
        <w:t>Administrative justice</w:t>
      </w:r>
    </w:p>
    <w:p w14:paraId="6632A254" w14:textId="599A393E" w:rsidR="001C728F" w:rsidRPr="001C728F" w:rsidRDefault="008D3F7C" w:rsidP="001C728F">
      <w:pPr>
        <w:jc w:val="both"/>
        <w:rPr>
          <w:rFonts w:ascii="Garamond" w:hAnsi="Garamond"/>
          <w:sz w:val="24"/>
          <w:szCs w:val="24"/>
        </w:rPr>
      </w:pPr>
      <w:r w:rsidRPr="008D3F7C">
        <w:rPr>
          <w:rFonts w:ascii="Garamond" w:hAnsi="Garamond"/>
          <w:sz w:val="24"/>
          <w:szCs w:val="24"/>
        </w:rPr>
        <w:t xml:space="preserve">There are many understandings of administrative justice. Adler describes ‘administrative justice’ </w:t>
      </w:r>
      <w:r w:rsidR="005F27B0">
        <w:rPr>
          <w:rFonts w:ascii="Garamond" w:hAnsi="Garamond"/>
          <w:sz w:val="24"/>
          <w:szCs w:val="24"/>
        </w:rPr>
        <w:t>‘</w:t>
      </w:r>
      <w:r w:rsidRPr="008D3F7C">
        <w:rPr>
          <w:rFonts w:ascii="Garamond" w:hAnsi="Garamond"/>
          <w:sz w:val="24"/>
          <w:szCs w:val="24"/>
        </w:rPr>
        <w:t>as the justice inherent in administrative decision making</w:t>
      </w:r>
      <w:r w:rsidR="005F27B0">
        <w:rPr>
          <w:rFonts w:ascii="Garamond" w:hAnsi="Garamond"/>
          <w:sz w:val="24"/>
          <w:szCs w:val="24"/>
        </w:rPr>
        <w:t>’</w:t>
      </w:r>
      <w:r>
        <w:rPr>
          <w:rFonts w:ascii="Garamond" w:hAnsi="Garamond"/>
          <w:sz w:val="24"/>
          <w:szCs w:val="24"/>
        </w:rPr>
        <w:t>.</w:t>
      </w:r>
      <w:r w:rsidR="00313F51">
        <w:rPr>
          <w:rStyle w:val="FootnoteReference"/>
          <w:rFonts w:ascii="Garamond" w:hAnsi="Garamond"/>
          <w:sz w:val="24"/>
          <w:szCs w:val="24"/>
        </w:rPr>
        <w:footnoteReference w:id="57"/>
      </w:r>
      <w:r w:rsidR="001C728F">
        <w:rPr>
          <w:rFonts w:ascii="Garamond" w:hAnsi="Garamond"/>
          <w:sz w:val="24"/>
          <w:szCs w:val="24"/>
        </w:rPr>
        <w:t xml:space="preserve"> </w:t>
      </w:r>
      <w:r w:rsidR="00E67540">
        <w:rPr>
          <w:rFonts w:ascii="Garamond" w:hAnsi="Garamond"/>
          <w:sz w:val="24"/>
          <w:szCs w:val="24"/>
        </w:rPr>
        <w:t xml:space="preserve">Administrative justice provides a framework through which we can enhance the study of first-instance decision-making and tribunal level adjudication. </w:t>
      </w:r>
      <w:r w:rsidR="001C728F" w:rsidRPr="001C728F">
        <w:rPr>
          <w:rFonts w:ascii="Garamond" w:hAnsi="Garamond"/>
          <w:sz w:val="24"/>
          <w:szCs w:val="24"/>
        </w:rPr>
        <w:t xml:space="preserve">Hertogh et al. offer recent description of the field: </w:t>
      </w:r>
    </w:p>
    <w:p w14:paraId="3F8A5658" w14:textId="2D735D81" w:rsidR="001C728F" w:rsidRPr="001C728F" w:rsidRDefault="001C728F" w:rsidP="001C728F">
      <w:pPr>
        <w:ind w:left="720"/>
        <w:jc w:val="both"/>
        <w:rPr>
          <w:rFonts w:ascii="Garamond" w:hAnsi="Garamond"/>
          <w:sz w:val="24"/>
          <w:szCs w:val="24"/>
        </w:rPr>
      </w:pPr>
      <w:r w:rsidRPr="001C728F">
        <w:rPr>
          <w:rFonts w:ascii="Garamond" w:hAnsi="Garamond"/>
          <w:sz w:val="24"/>
          <w:szCs w:val="24"/>
        </w:rPr>
        <w:t>Administrative justice raises a whole host of complex issues concerning the practices of government, the position of individuals, and the relationship between them. The issues cross many disciplinary boundaries and its study is deeply enriched by this, but it needs to be recognized as a distinctive area of research that can now stand on its own.</w:t>
      </w:r>
      <w:r>
        <w:rPr>
          <w:rStyle w:val="FootnoteReference"/>
          <w:rFonts w:ascii="Garamond" w:hAnsi="Garamond"/>
          <w:sz w:val="24"/>
          <w:szCs w:val="24"/>
        </w:rPr>
        <w:footnoteReference w:id="58"/>
      </w:r>
      <w:r w:rsidRPr="001C728F">
        <w:rPr>
          <w:rFonts w:ascii="Garamond" w:hAnsi="Garamond"/>
          <w:sz w:val="24"/>
          <w:szCs w:val="24"/>
        </w:rPr>
        <w:t xml:space="preserve"> </w:t>
      </w:r>
    </w:p>
    <w:p w14:paraId="7A7D1C94" w14:textId="30239920" w:rsidR="00E72D75" w:rsidRDefault="001C728F" w:rsidP="001C728F">
      <w:pPr>
        <w:jc w:val="both"/>
        <w:rPr>
          <w:rFonts w:ascii="Garamond" w:hAnsi="Garamond"/>
          <w:sz w:val="24"/>
          <w:szCs w:val="24"/>
        </w:rPr>
      </w:pPr>
      <w:r w:rsidRPr="001C728F">
        <w:rPr>
          <w:rFonts w:ascii="Garamond" w:hAnsi="Garamond"/>
          <w:sz w:val="24"/>
          <w:szCs w:val="24"/>
        </w:rPr>
        <w:t>Administrative justice has developed hugely in the last thirty years. Adler describes some of the work done in the UK to mark out and cement the field.</w:t>
      </w:r>
      <w:r w:rsidR="0051216F">
        <w:rPr>
          <w:rStyle w:val="FootnoteReference"/>
          <w:rFonts w:ascii="Garamond" w:hAnsi="Garamond"/>
          <w:sz w:val="24"/>
          <w:szCs w:val="24"/>
        </w:rPr>
        <w:footnoteReference w:id="59"/>
      </w:r>
      <w:r w:rsidR="0051216F">
        <w:rPr>
          <w:rFonts w:ascii="Garamond" w:hAnsi="Garamond"/>
          <w:sz w:val="24"/>
          <w:szCs w:val="24"/>
        </w:rPr>
        <w:t xml:space="preserve"> </w:t>
      </w:r>
      <w:r w:rsidRPr="001C728F">
        <w:rPr>
          <w:rFonts w:ascii="Garamond" w:hAnsi="Garamond"/>
          <w:sz w:val="24"/>
          <w:szCs w:val="24"/>
        </w:rPr>
        <w:t xml:space="preserve">Despite the commonalities between the organisation of the </w:t>
      </w:r>
      <w:r w:rsidR="00146A73">
        <w:rPr>
          <w:rFonts w:ascii="Garamond" w:hAnsi="Garamond"/>
          <w:sz w:val="24"/>
          <w:szCs w:val="24"/>
        </w:rPr>
        <w:t>administrative s</w:t>
      </w:r>
      <w:r w:rsidRPr="001C728F">
        <w:rPr>
          <w:rFonts w:ascii="Garamond" w:hAnsi="Garamond"/>
          <w:sz w:val="24"/>
          <w:szCs w:val="24"/>
        </w:rPr>
        <w:t xml:space="preserve">tate in the UK and Ireland, administrative justice as a field of research in Ireland has not benefitted from an active research community in the way it has in the UK. </w:t>
      </w:r>
      <w:r w:rsidR="00146A73">
        <w:rPr>
          <w:rFonts w:ascii="Garamond" w:hAnsi="Garamond"/>
          <w:sz w:val="24"/>
          <w:szCs w:val="24"/>
        </w:rPr>
        <w:t xml:space="preserve">As outlined above, </w:t>
      </w:r>
      <w:r w:rsidRPr="001C728F">
        <w:rPr>
          <w:rFonts w:ascii="Garamond" w:hAnsi="Garamond"/>
          <w:sz w:val="24"/>
          <w:szCs w:val="24"/>
        </w:rPr>
        <w:t>Donson and O’Donovan describe how administrative justice is a field of research largely ignored in favour of over-</w:t>
      </w:r>
      <w:proofErr w:type="spellStart"/>
      <w:r w:rsidRPr="001C728F">
        <w:rPr>
          <w:rFonts w:ascii="Garamond" w:hAnsi="Garamond"/>
          <w:sz w:val="24"/>
          <w:szCs w:val="24"/>
        </w:rPr>
        <w:t>constitutionalisation</w:t>
      </w:r>
      <w:proofErr w:type="spellEnd"/>
      <w:r w:rsidRPr="001C728F">
        <w:rPr>
          <w:rFonts w:ascii="Garamond" w:hAnsi="Garamond"/>
          <w:sz w:val="24"/>
          <w:szCs w:val="24"/>
        </w:rPr>
        <w:t xml:space="preserve"> of administrative problems in the Irish context</w:t>
      </w:r>
      <w:r w:rsidR="0051216F">
        <w:rPr>
          <w:rFonts w:ascii="Garamond" w:hAnsi="Garamond"/>
          <w:sz w:val="24"/>
          <w:szCs w:val="24"/>
        </w:rPr>
        <w:t>.</w:t>
      </w:r>
      <w:r w:rsidR="00E6265A">
        <w:rPr>
          <w:rStyle w:val="FootnoteReference"/>
          <w:rFonts w:ascii="Garamond" w:hAnsi="Garamond"/>
          <w:sz w:val="24"/>
          <w:szCs w:val="24"/>
        </w:rPr>
        <w:footnoteReference w:id="60"/>
      </w:r>
      <w:r w:rsidR="00E6265A">
        <w:rPr>
          <w:rFonts w:ascii="Garamond" w:hAnsi="Garamond"/>
          <w:sz w:val="24"/>
          <w:szCs w:val="24"/>
        </w:rPr>
        <w:t xml:space="preserve"> There is a tradition</w:t>
      </w:r>
      <w:r w:rsidR="004C08E6">
        <w:rPr>
          <w:rFonts w:ascii="Garamond" w:hAnsi="Garamond"/>
          <w:sz w:val="24"/>
          <w:szCs w:val="24"/>
        </w:rPr>
        <w:t xml:space="preserve"> </w:t>
      </w:r>
      <w:r w:rsidR="004C08E6" w:rsidRPr="004C08E6">
        <w:rPr>
          <w:rFonts w:ascii="Garamond" w:hAnsi="Garamond"/>
          <w:sz w:val="24"/>
          <w:szCs w:val="24"/>
        </w:rPr>
        <w:t>of administrative justice research in Northern Ireland</w:t>
      </w:r>
      <w:r w:rsidR="00986289">
        <w:rPr>
          <w:rFonts w:ascii="Garamond" w:hAnsi="Garamond"/>
          <w:sz w:val="24"/>
          <w:szCs w:val="24"/>
        </w:rPr>
        <w:t>,</w:t>
      </w:r>
      <w:r w:rsidR="00B026C6">
        <w:rPr>
          <w:rStyle w:val="FootnoteReference"/>
          <w:rFonts w:ascii="Garamond" w:hAnsi="Garamond"/>
          <w:sz w:val="24"/>
          <w:szCs w:val="24"/>
        </w:rPr>
        <w:footnoteReference w:id="61"/>
      </w:r>
      <w:r w:rsidR="00CA1CBD">
        <w:rPr>
          <w:rFonts w:ascii="Garamond" w:hAnsi="Garamond"/>
          <w:sz w:val="24"/>
          <w:szCs w:val="24"/>
        </w:rPr>
        <w:t xml:space="preserve"> but south of the border there is a tendency to focus on judicial decision making.</w:t>
      </w:r>
      <w:r w:rsidR="00CA1CBD">
        <w:rPr>
          <w:rStyle w:val="FootnoteReference"/>
          <w:rFonts w:ascii="Garamond" w:hAnsi="Garamond"/>
          <w:sz w:val="24"/>
          <w:szCs w:val="24"/>
        </w:rPr>
        <w:footnoteReference w:id="62"/>
      </w:r>
      <w:r w:rsidR="00CA1CBD">
        <w:rPr>
          <w:rFonts w:ascii="Garamond" w:hAnsi="Garamond"/>
          <w:sz w:val="24"/>
          <w:szCs w:val="24"/>
        </w:rPr>
        <w:t xml:space="preserve"> </w:t>
      </w:r>
    </w:p>
    <w:p w14:paraId="7D132FA9" w14:textId="77777777" w:rsidR="00986289" w:rsidRPr="00986289" w:rsidRDefault="00986289" w:rsidP="00986289">
      <w:pPr>
        <w:jc w:val="both"/>
        <w:rPr>
          <w:rFonts w:ascii="Garamond" w:hAnsi="Garamond"/>
          <w:sz w:val="24"/>
          <w:szCs w:val="24"/>
        </w:rPr>
      </w:pPr>
      <w:r w:rsidRPr="00986289">
        <w:rPr>
          <w:rFonts w:ascii="Garamond" w:hAnsi="Garamond"/>
          <w:sz w:val="24"/>
          <w:szCs w:val="24"/>
        </w:rPr>
        <w:t xml:space="preserve">The above introduces administrative justice as a ‘field’ of study, but what does the field concern? What does it do? What are its aims? Thomas and Tomlinson offer the following description: </w:t>
      </w:r>
    </w:p>
    <w:p w14:paraId="64185B81" w14:textId="4F6A11CB" w:rsidR="00986289" w:rsidRPr="00986289" w:rsidRDefault="00986289" w:rsidP="004F657B">
      <w:pPr>
        <w:ind w:left="720"/>
        <w:jc w:val="both"/>
        <w:rPr>
          <w:rFonts w:ascii="Garamond" w:hAnsi="Garamond"/>
          <w:sz w:val="24"/>
          <w:szCs w:val="24"/>
        </w:rPr>
      </w:pPr>
      <w:r w:rsidRPr="00986289">
        <w:rPr>
          <w:rFonts w:ascii="Garamond" w:hAnsi="Garamond"/>
          <w:sz w:val="24"/>
          <w:szCs w:val="24"/>
        </w:rPr>
        <w:t xml:space="preserve">‘Administrative justice’ may not be as familiar as ‘criminal justice’ or ‘civil justice’, but it is just as important. It concerns both the making of administrative decisions and the systems for challenging such decisions. The ‘system’ is complex and fragmented and comprised of various specific systems that divide along ‘vertical’ policy/functions lines, such as: immigration, social security, tax, criminal injuries compensation, and many more. There are also ‘horizontal’ cross-cutting different redress mechanisms, including: complaint and </w:t>
      </w:r>
      <w:r w:rsidRPr="00986289">
        <w:rPr>
          <w:rFonts w:ascii="Garamond" w:hAnsi="Garamond"/>
          <w:sz w:val="24"/>
          <w:szCs w:val="24"/>
        </w:rPr>
        <w:lastRenderedPageBreak/>
        <w:t>ombuds procedures; internal administrative review processes; tribunal appeals; and judicial review.</w:t>
      </w:r>
      <w:r w:rsidR="004F657B">
        <w:rPr>
          <w:rStyle w:val="FootnoteReference"/>
          <w:rFonts w:ascii="Garamond" w:hAnsi="Garamond"/>
          <w:sz w:val="24"/>
          <w:szCs w:val="24"/>
        </w:rPr>
        <w:footnoteReference w:id="63"/>
      </w:r>
      <w:r w:rsidRPr="00986289">
        <w:rPr>
          <w:rFonts w:ascii="Garamond" w:hAnsi="Garamond"/>
          <w:sz w:val="24"/>
          <w:szCs w:val="24"/>
        </w:rPr>
        <w:t xml:space="preserve"> </w:t>
      </w:r>
    </w:p>
    <w:p w14:paraId="791AE2D2" w14:textId="77777777" w:rsidR="00285B27" w:rsidRDefault="00285B27" w:rsidP="00285B27">
      <w:pPr>
        <w:jc w:val="both"/>
        <w:rPr>
          <w:rFonts w:ascii="Garamond" w:hAnsi="Garamond"/>
          <w:sz w:val="24"/>
          <w:szCs w:val="24"/>
        </w:rPr>
      </w:pPr>
      <w:r>
        <w:rPr>
          <w:rFonts w:ascii="Garamond" w:hAnsi="Garamond"/>
          <w:sz w:val="24"/>
          <w:szCs w:val="24"/>
        </w:rPr>
        <w:t xml:space="preserve">The Law Commission outlines four broad pillars of administrative justice: </w:t>
      </w:r>
    </w:p>
    <w:p w14:paraId="177C8A1A" w14:textId="77777777" w:rsidR="00285B27" w:rsidRDefault="00285B27" w:rsidP="00285B27">
      <w:pPr>
        <w:pStyle w:val="ListParagraph"/>
        <w:numPr>
          <w:ilvl w:val="0"/>
          <w:numId w:val="1"/>
        </w:numPr>
        <w:jc w:val="both"/>
        <w:rPr>
          <w:rFonts w:ascii="Garamond" w:hAnsi="Garamond"/>
          <w:sz w:val="24"/>
          <w:szCs w:val="24"/>
        </w:rPr>
      </w:pPr>
      <w:r>
        <w:rPr>
          <w:rFonts w:ascii="Garamond" w:hAnsi="Garamond"/>
          <w:sz w:val="24"/>
          <w:szCs w:val="24"/>
        </w:rPr>
        <w:t>Internal mechanisms for redress (e.g. formal complaint procedures);</w:t>
      </w:r>
    </w:p>
    <w:p w14:paraId="1FCACC02" w14:textId="77777777" w:rsidR="00285B27" w:rsidRDefault="00285B27" w:rsidP="00285B27">
      <w:pPr>
        <w:pStyle w:val="ListParagraph"/>
        <w:numPr>
          <w:ilvl w:val="0"/>
          <w:numId w:val="1"/>
        </w:numPr>
        <w:jc w:val="both"/>
        <w:rPr>
          <w:rFonts w:ascii="Garamond" w:hAnsi="Garamond"/>
          <w:sz w:val="24"/>
          <w:szCs w:val="24"/>
        </w:rPr>
      </w:pPr>
      <w:r>
        <w:rPr>
          <w:rFonts w:ascii="Garamond" w:hAnsi="Garamond"/>
          <w:sz w:val="24"/>
          <w:szCs w:val="24"/>
        </w:rPr>
        <w:t>External non-court redress (e.g. public inquiries and tribunals);</w:t>
      </w:r>
    </w:p>
    <w:p w14:paraId="420123EC" w14:textId="77777777" w:rsidR="00285B27" w:rsidRDefault="00285B27" w:rsidP="00285B27">
      <w:pPr>
        <w:pStyle w:val="ListParagraph"/>
        <w:numPr>
          <w:ilvl w:val="0"/>
          <w:numId w:val="1"/>
        </w:numPr>
        <w:jc w:val="both"/>
        <w:rPr>
          <w:rFonts w:ascii="Garamond" w:hAnsi="Garamond"/>
          <w:sz w:val="24"/>
          <w:szCs w:val="24"/>
        </w:rPr>
      </w:pPr>
      <w:r>
        <w:rPr>
          <w:rFonts w:ascii="Garamond" w:hAnsi="Garamond"/>
          <w:sz w:val="24"/>
          <w:szCs w:val="24"/>
        </w:rPr>
        <w:t>Public sector ombuds;</w:t>
      </w:r>
    </w:p>
    <w:p w14:paraId="40CBDB3E" w14:textId="77777777" w:rsidR="00285B27" w:rsidRPr="003E1031" w:rsidRDefault="00285B27" w:rsidP="00285B27">
      <w:pPr>
        <w:pStyle w:val="ListParagraph"/>
        <w:numPr>
          <w:ilvl w:val="0"/>
          <w:numId w:val="1"/>
        </w:numPr>
        <w:jc w:val="both"/>
        <w:rPr>
          <w:rFonts w:ascii="Garamond" w:hAnsi="Garamond"/>
          <w:sz w:val="24"/>
          <w:szCs w:val="24"/>
        </w:rPr>
      </w:pPr>
      <w:r>
        <w:rPr>
          <w:rFonts w:ascii="Garamond" w:hAnsi="Garamond"/>
          <w:sz w:val="24"/>
          <w:szCs w:val="24"/>
        </w:rPr>
        <w:t>Redress by way of court action.</w:t>
      </w:r>
      <w:r>
        <w:rPr>
          <w:rStyle w:val="FootnoteReference"/>
          <w:rFonts w:ascii="Garamond" w:hAnsi="Garamond"/>
          <w:sz w:val="24"/>
          <w:szCs w:val="24"/>
        </w:rPr>
        <w:footnoteReference w:id="64"/>
      </w:r>
      <w:r>
        <w:rPr>
          <w:rFonts w:ascii="Garamond" w:hAnsi="Garamond"/>
          <w:sz w:val="24"/>
          <w:szCs w:val="24"/>
        </w:rPr>
        <w:t xml:space="preserve"> </w:t>
      </w:r>
    </w:p>
    <w:p w14:paraId="793A91F0" w14:textId="546AA910" w:rsidR="00087069" w:rsidRDefault="00986289" w:rsidP="00285B27">
      <w:pPr>
        <w:jc w:val="both"/>
        <w:rPr>
          <w:rFonts w:ascii="Garamond" w:hAnsi="Garamond"/>
          <w:sz w:val="24"/>
          <w:szCs w:val="24"/>
        </w:rPr>
      </w:pPr>
      <w:r w:rsidRPr="00D623A6">
        <w:rPr>
          <w:rFonts w:ascii="Garamond" w:hAnsi="Garamond"/>
          <w:sz w:val="24"/>
          <w:szCs w:val="24"/>
        </w:rPr>
        <w:t xml:space="preserve">As most administrative decisions go unchallenged, considerable </w:t>
      </w:r>
      <w:r w:rsidR="004F657B" w:rsidRPr="00D623A6">
        <w:rPr>
          <w:rFonts w:ascii="Garamond" w:hAnsi="Garamond"/>
          <w:sz w:val="24"/>
          <w:szCs w:val="24"/>
        </w:rPr>
        <w:t xml:space="preserve">public </w:t>
      </w:r>
      <w:r w:rsidRPr="00D623A6">
        <w:rPr>
          <w:rFonts w:ascii="Garamond" w:hAnsi="Garamond"/>
          <w:sz w:val="24"/>
          <w:szCs w:val="24"/>
        </w:rPr>
        <w:t xml:space="preserve">power rests with the first instance decision makers who exercise discretion </w:t>
      </w:r>
      <w:proofErr w:type="gramStart"/>
      <w:r w:rsidRPr="00D623A6">
        <w:rPr>
          <w:rFonts w:ascii="Garamond" w:hAnsi="Garamond"/>
          <w:sz w:val="24"/>
          <w:szCs w:val="24"/>
        </w:rPr>
        <w:t>on a daily basis</w:t>
      </w:r>
      <w:proofErr w:type="gramEnd"/>
      <w:r w:rsidRPr="00D623A6">
        <w:rPr>
          <w:rFonts w:ascii="Garamond" w:hAnsi="Garamond"/>
          <w:sz w:val="24"/>
          <w:szCs w:val="24"/>
        </w:rPr>
        <w:t>.</w:t>
      </w:r>
      <w:r w:rsidR="009E6FF0">
        <w:rPr>
          <w:rFonts w:ascii="Garamond" w:hAnsi="Garamond"/>
          <w:sz w:val="24"/>
          <w:szCs w:val="24"/>
        </w:rPr>
        <w:t xml:space="preserve"> </w:t>
      </w:r>
      <w:r w:rsidR="009E6FF0" w:rsidRPr="009E6FF0">
        <w:rPr>
          <w:rFonts w:ascii="Garamond" w:hAnsi="Garamond"/>
          <w:sz w:val="24"/>
          <w:szCs w:val="24"/>
        </w:rPr>
        <w:t>Judicial review cases represent a tiny proportion of the individuals with grievances against public bodies. Halliday and Scott identify that there is research demonstrating that among those that do pursue redress, there is significant drop-out at each stage of the review process.</w:t>
      </w:r>
      <w:r w:rsidR="00EE409E">
        <w:rPr>
          <w:rStyle w:val="FootnoteReference"/>
          <w:rFonts w:ascii="Garamond" w:hAnsi="Garamond"/>
          <w:sz w:val="24"/>
          <w:szCs w:val="24"/>
        </w:rPr>
        <w:footnoteReference w:id="65"/>
      </w:r>
      <w:r w:rsidR="00C66A32">
        <w:rPr>
          <w:rFonts w:ascii="Garamond" w:hAnsi="Garamond"/>
          <w:sz w:val="24"/>
          <w:szCs w:val="24"/>
        </w:rPr>
        <w:t xml:space="preserve"> Thus, the potential for research impact </w:t>
      </w:r>
      <w:r w:rsidR="00C27A46">
        <w:rPr>
          <w:rFonts w:ascii="Garamond" w:hAnsi="Garamond"/>
          <w:sz w:val="24"/>
          <w:szCs w:val="24"/>
        </w:rPr>
        <w:t xml:space="preserve">and </w:t>
      </w:r>
      <w:r w:rsidR="00C66A32">
        <w:rPr>
          <w:rFonts w:ascii="Garamond" w:hAnsi="Garamond"/>
          <w:sz w:val="24"/>
          <w:szCs w:val="24"/>
        </w:rPr>
        <w:t xml:space="preserve">improvement in decision-making is significant </w:t>
      </w:r>
      <w:r w:rsidR="00361298">
        <w:rPr>
          <w:rFonts w:ascii="Garamond" w:hAnsi="Garamond"/>
          <w:sz w:val="24"/>
          <w:szCs w:val="24"/>
        </w:rPr>
        <w:t xml:space="preserve">across </w:t>
      </w:r>
      <w:r w:rsidR="00C27A46">
        <w:rPr>
          <w:rFonts w:ascii="Garamond" w:hAnsi="Garamond"/>
          <w:sz w:val="24"/>
          <w:szCs w:val="24"/>
        </w:rPr>
        <w:t xml:space="preserve">the </w:t>
      </w:r>
      <w:r w:rsidR="00361298">
        <w:rPr>
          <w:rFonts w:ascii="Garamond" w:hAnsi="Garamond"/>
          <w:sz w:val="24"/>
          <w:szCs w:val="24"/>
        </w:rPr>
        <w:t>different pillars of administrative justice</w:t>
      </w:r>
      <w:r w:rsidR="006D0B73">
        <w:rPr>
          <w:rFonts w:ascii="Garamond" w:hAnsi="Garamond"/>
          <w:sz w:val="24"/>
          <w:szCs w:val="24"/>
        </w:rPr>
        <w:t xml:space="preserve"> – but requires research on and intersecting </w:t>
      </w:r>
      <w:r w:rsidR="002F4EF6">
        <w:rPr>
          <w:rFonts w:ascii="Garamond" w:hAnsi="Garamond"/>
          <w:sz w:val="24"/>
          <w:szCs w:val="24"/>
        </w:rPr>
        <w:t>different redress mechanisms</w:t>
      </w:r>
      <w:r w:rsidR="00361298">
        <w:rPr>
          <w:rFonts w:ascii="Garamond" w:hAnsi="Garamond"/>
          <w:sz w:val="24"/>
          <w:szCs w:val="24"/>
        </w:rPr>
        <w:t xml:space="preserve">. </w:t>
      </w:r>
    </w:p>
    <w:p w14:paraId="4266DC5D" w14:textId="16E09749" w:rsidR="00F51D58" w:rsidRPr="00CD71DB" w:rsidRDefault="00F51D58" w:rsidP="00285B27">
      <w:pPr>
        <w:jc w:val="both"/>
        <w:rPr>
          <w:rFonts w:ascii="Garamond" w:hAnsi="Garamond"/>
          <w:b/>
          <w:bCs/>
          <w:sz w:val="28"/>
          <w:szCs w:val="28"/>
        </w:rPr>
      </w:pPr>
      <w:r w:rsidRPr="00CD71DB">
        <w:rPr>
          <w:rFonts w:ascii="Garamond" w:hAnsi="Garamond"/>
          <w:b/>
          <w:bCs/>
          <w:sz w:val="28"/>
          <w:szCs w:val="28"/>
        </w:rPr>
        <w:t>Developing a research agenda for administrative justice in Ireland</w:t>
      </w:r>
    </w:p>
    <w:p w14:paraId="68B01255" w14:textId="04F42B69" w:rsidR="00363990" w:rsidRPr="00DC6A3F" w:rsidRDefault="00667981" w:rsidP="00363990">
      <w:pPr>
        <w:jc w:val="both"/>
        <w:rPr>
          <w:rFonts w:ascii="Garamond" w:hAnsi="Garamond"/>
          <w:sz w:val="24"/>
          <w:szCs w:val="24"/>
        </w:rPr>
      </w:pPr>
      <w:r>
        <w:rPr>
          <w:rFonts w:ascii="Garamond" w:hAnsi="Garamond"/>
          <w:sz w:val="24"/>
          <w:szCs w:val="24"/>
        </w:rPr>
        <w:t xml:space="preserve"> </w:t>
      </w:r>
      <w:r w:rsidR="00361298">
        <w:rPr>
          <w:rFonts w:ascii="Garamond" w:hAnsi="Garamond"/>
          <w:sz w:val="24"/>
          <w:szCs w:val="24"/>
        </w:rPr>
        <w:t>While international administrative justice scholarship presents a useful conceptual framework to use as a starting point, there are features of the Irish administrative state that will require specific attention including the interaction between Article 34.1 and Article 37.1 post-</w:t>
      </w:r>
      <w:r w:rsidR="00361298" w:rsidRPr="00667981">
        <w:rPr>
          <w:rFonts w:ascii="Garamond" w:hAnsi="Garamond"/>
          <w:i/>
          <w:iCs/>
          <w:sz w:val="24"/>
          <w:szCs w:val="24"/>
        </w:rPr>
        <w:t>Zalewski</w:t>
      </w:r>
      <w:r w:rsidR="00361298">
        <w:rPr>
          <w:rFonts w:ascii="Garamond" w:hAnsi="Garamond"/>
          <w:sz w:val="24"/>
          <w:szCs w:val="24"/>
        </w:rPr>
        <w:t xml:space="preserve">, and the culture and nature of the Irish state. </w:t>
      </w:r>
      <w:r w:rsidR="00363990">
        <w:rPr>
          <w:rFonts w:ascii="Garamond" w:hAnsi="Garamond"/>
          <w:sz w:val="24"/>
          <w:szCs w:val="24"/>
        </w:rPr>
        <w:t xml:space="preserve">The separation of powers has an important bearing on how the Irish administrative state has developed and is developing. </w:t>
      </w:r>
      <w:r w:rsidR="00363990" w:rsidRPr="00DC6A3F">
        <w:rPr>
          <w:rFonts w:ascii="Garamond" w:hAnsi="Garamond"/>
          <w:sz w:val="24"/>
          <w:szCs w:val="24"/>
        </w:rPr>
        <w:t xml:space="preserve">As students of constitutional law we learn about the separation of powers, learning that each arm of the </w:t>
      </w:r>
      <w:r w:rsidR="008338BB">
        <w:rPr>
          <w:rFonts w:ascii="Garamond" w:hAnsi="Garamond"/>
          <w:sz w:val="24"/>
          <w:szCs w:val="24"/>
        </w:rPr>
        <w:t>s</w:t>
      </w:r>
      <w:r w:rsidR="00363990" w:rsidRPr="00DC6A3F">
        <w:rPr>
          <w:rFonts w:ascii="Garamond" w:hAnsi="Garamond"/>
          <w:sz w:val="24"/>
          <w:szCs w:val="24"/>
        </w:rPr>
        <w:t xml:space="preserve">tate is separate and distinct in the classic tradition that traces back to Montesquieu, yet the reality is much more porous. Writing extra-judicially, Mr Justice Fennelly notes that the Irish Constitution does not establish a </w:t>
      </w:r>
      <w:r w:rsidR="00AC08A5">
        <w:rPr>
          <w:rFonts w:ascii="Garamond" w:hAnsi="Garamond"/>
          <w:sz w:val="24"/>
          <w:szCs w:val="24"/>
        </w:rPr>
        <w:t>‘</w:t>
      </w:r>
      <w:r w:rsidR="00363990" w:rsidRPr="00DC6A3F">
        <w:rPr>
          <w:rFonts w:ascii="Garamond" w:hAnsi="Garamond"/>
          <w:sz w:val="24"/>
          <w:szCs w:val="24"/>
        </w:rPr>
        <w:t>rigid system of exclusive powers</w:t>
      </w:r>
      <w:r w:rsidR="00AC08A5">
        <w:rPr>
          <w:rFonts w:ascii="Garamond" w:hAnsi="Garamond"/>
          <w:sz w:val="24"/>
          <w:szCs w:val="24"/>
        </w:rPr>
        <w:t>’</w:t>
      </w:r>
      <w:r w:rsidR="00363990" w:rsidRPr="00DC6A3F">
        <w:rPr>
          <w:rFonts w:ascii="Garamond" w:hAnsi="Garamond"/>
          <w:sz w:val="24"/>
          <w:szCs w:val="24"/>
        </w:rPr>
        <w:t>.</w:t>
      </w:r>
      <w:r w:rsidR="00AC08A5">
        <w:rPr>
          <w:rStyle w:val="FootnoteReference"/>
          <w:rFonts w:ascii="Garamond" w:hAnsi="Garamond"/>
          <w:sz w:val="24"/>
          <w:szCs w:val="24"/>
        </w:rPr>
        <w:footnoteReference w:id="66"/>
      </w:r>
      <w:r w:rsidR="00363990" w:rsidRPr="00DC6A3F">
        <w:rPr>
          <w:rFonts w:ascii="Garamond" w:hAnsi="Garamond"/>
          <w:sz w:val="24"/>
          <w:szCs w:val="24"/>
        </w:rPr>
        <w:t xml:space="preserve"> Similarly, Donson and O’Donovan note: </w:t>
      </w:r>
    </w:p>
    <w:p w14:paraId="45BC23A4" w14:textId="77777777" w:rsidR="00363990" w:rsidRPr="00DC6A3F" w:rsidRDefault="00363990" w:rsidP="00363990">
      <w:pPr>
        <w:ind w:left="720"/>
        <w:jc w:val="both"/>
        <w:rPr>
          <w:rFonts w:ascii="Garamond" w:hAnsi="Garamond"/>
          <w:sz w:val="24"/>
          <w:szCs w:val="24"/>
        </w:rPr>
      </w:pPr>
      <w:r w:rsidRPr="00DC6A3F">
        <w:rPr>
          <w:rFonts w:ascii="Garamond" w:hAnsi="Garamond"/>
          <w:sz w:val="24"/>
          <w:szCs w:val="24"/>
        </w:rPr>
        <w:t xml:space="preserve">It is our belief that judges must recognize the need for a diverse conception of separation of powers, one which acknowledges that the tripartite model does not, and cannot exist in pure form, and that its borders must be attended to. A constitution is fundamentally about the positive exercise of public power, not its placement within non-interacting silos.61 </w:t>
      </w:r>
    </w:p>
    <w:p w14:paraId="5DB01F78" w14:textId="3C8E5E1C" w:rsidR="00363990" w:rsidRDefault="00363990" w:rsidP="00363990">
      <w:pPr>
        <w:jc w:val="both"/>
        <w:rPr>
          <w:rFonts w:ascii="Garamond" w:hAnsi="Garamond"/>
          <w:sz w:val="24"/>
          <w:szCs w:val="24"/>
        </w:rPr>
      </w:pPr>
      <w:r>
        <w:rPr>
          <w:rFonts w:ascii="Garamond" w:hAnsi="Garamond"/>
          <w:sz w:val="24"/>
          <w:szCs w:val="24"/>
        </w:rPr>
        <w:t>While</w:t>
      </w:r>
      <w:r w:rsidRPr="00DC6A3F">
        <w:rPr>
          <w:rFonts w:ascii="Garamond" w:hAnsi="Garamond"/>
          <w:sz w:val="24"/>
          <w:szCs w:val="24"/>
        </w:rPr>
        <w:t xml:space="preserve"> accepting that there are blurred lines in relation to the separation of powers, the role of the judiciary is weighed down by a doctrine of deference</w:t>
      </w:r>
      <w:r>
        <w:rPr>
          <w:rFonts w:ascii="Garamond" w:hAnsi="Garamond"/>
          <w:sz w:val="24"/>
          <w:szCs w:val="24"/>
        </w:rPr>
        <w:t xml:space="preserve">. </w:t>
      </w:r>
      <w:r w:rsidRPr="00A5490F">
        <w:rPr>
          <w:rFonts w:ascii="Garamond" w:hAnsi="Garamond"/>
          <w:sz w:val="24"/>
          <w:szCs w:val="24"/>
        </w:rPr>
        <w:t xml:space="preserve">Writing in the context of administrative tribunals, Cane provides analysis on </w:t>
      </w:r>
      <w:r w:rsidR="00413CFE">
        <w:rPr>
          <w:rFonts w:ascii="Garamond" w:hAnsi="Garamond"/>
          <w:sz w:val="24"/>
          <w:szCs w:val="24"/>
        </w:rPr>
        <w:t>‘</w:t>
      </w:r>
      <w:r w:rsidRPr="00A5490F">
        <w:rPr>
          <w:rFonts w:ascii="Garamond" w:hAnsi="Garamond"/>
          <w:sz w:val="24"/>
          <w:szCs w:val="24"/>
        </w:rPr>
        <w:t>quasi</w:t>
      </w:r>
      <w:r w:rsidR="00413CFE">
        <w:rPr>
          <w:rFonts w:ascii="Garamond" w:hAnsi="Garamond"/>
          <w:sz w:val="24"/>
          <w:szCs w:val="24"/>
        </w:rPr>
        <w:t xml:space="preserve">-’ </w:t>
      </w:r>
      <w:r w:rsidRPr="00A5490F">
        <w:rPr>
          <w:rFonts w:ascii="Garamond" w:hAnsi="Garamond"/>
          <w:sz w:val="24"/>
          <w:szCs w:val="24"/>
        </w:rPr>
        <w:t xml:space="preserve">decision making and the </w:t>
      </w:r>
      <w:r w:rsidR="00413CFE">
        <w:rPr>
          <w:rFonts w:ascii="Garamond" w:hAnsi="Garamond"/>
          <w:sz w:val="24"/>
          <w:szCs w:val="24"/>
        </w:rPr>
        <w:t>‘</w:t>
      </w:r>
      <w:r w:rsidRPr="00A5490F">
        <w:rPr>
          <w:rFonts w:ascii="Garamond" w:hAnsi="Garamond"/>
          <w:sz w:val="24"/>
          <w:szCs w:val="24"/>
        </w:rPr>
        <w:t>legacy of Montesquieu</w:t>
      </w:r>
      <w:r w:rsidR="00413CFE">
        <w:rPr>
          <w:rFonts w:ascii="Garamond" w:hAnsi="Garamond"/>
          <w:sz w:val="24"/>
          <w:szCs w:val="24"/>
        </w:rPr>
        <w:t>’</w:t>
      </w:r>
      <w:r w:rsidRPr="00A5490F">
        <w:rPr>
          <w:rFonts w:ascii="Garamond" w:hAnsi="Garamond"/>
          <w:sz w:val="24"/>
          <w:szCs w:val="24"/>
        </w:rPr>
        <w:t>:</w:t>
      </w:r>
    </w:p>
    <w:p w14:paraId="48B43714" w14:textId="77777777" w:rsidR="00363990" w:rsidRDefault="00363990" w:rsidP="00363990">
      <w:pPr>
        <w:ind w:left="720"/>
        <w:jc w:val="both"/>
        <w:rPr>
          <w:rFonts w:ascii="Garamond" w:hAnsi="Garamond"/>
          <w:sz w:val="24"/>
          <w:szCs w:val="24"/>
        </w:rPr>
      </w:pPr>
      <w:r w:rsidRPr="00A5490F">
        <w:rPr>
          <w:rFonts w:ascii="Garamond" w:hAnsi="Garamond"/>
          <w:sz w:val="24"/>
          <w:szCs w:val="24"/>
        </w:rPr>
        <w:t xml:space="preserve">The concepts of legislative, executive and judicial functions are extremely abstract. Their abstraction partly explains why it has been found very difficult to provide robust accounts of the distinctive nature of various functions and of the differences between them. It also explains why the prefix ‘quasi’ is sometimes added particularly to the terms ‘legislative’ and </w:t>
      </w:r>
      <w:r w:rsidRPr="00A5490F">
        <w:rPr>
          <w:rFonts w:ascii="Garamond" w:hAnsi="Garamond"/>
          <w:sz w:val="24"/>
          <w:szCs w:val="24"/>
        </w:rPr>
        <w:lastRenderedPageBreak/>
        <w:t>‘judicial’: the prefix typically indicates that the speaker senses a distinction between the real thing and the imitation, but cannot pinpoint it with confidence</w:t>
      </w:r>
      <w:r>
        <w:rPr>
          <w:rFonts w:ascii="Garamond" w:hAnsi="Garamond"/>
          <w:sz w:val="24"/>
          <w:szCs w:val="24"/>
        </w:rPr>
        <w:t>.</w:t>
      </w:r>
      <w:r>
        <w:rPr>
          <w:rStyle w:val="FootnoteReference"/>
          <w:rFonts w:ascii="Garamond" w:hAnsi="Garamond"/>
          <w:sz w:val="24"/>
          <w:szCs w:val="24"/>
        </w:rPr>
        <w:footnoteReference w:id="67"/>
      </w:r>
    </w:p>
    <w:p w14:paraId="44B1D71A" w14:textId="77777777" w:rsidR="00363990" w:rsidRPr="009F70F9" w:rsidRDefault="00363990" w:rsidP="00363990">
      <w:pPr>
        <w:jc w:val="both"/>
        <w:rPr>
          <w:rFonts w:ascii="Garamond" w:hAnsi="Garamond"/>
          <w:sz w:val="24"/>
          <w:szCs w:val="24"/>
        </w:rPr>
      </w:pPr>
      <w:r w:rsidRPr="009F70F9">
        <w:rPr>
          <w:rFonts w:ascii="Garamond" w:hAnsi="Garamond"/>
          <w:sz w:val="24"/>
          <w:szCs w:val="24"/>
        </w:rPr>
        <w:t xml:space="preserve">Elliot and Thomas opine, pinpointing the circumstances in which the judiciary will intervene with discretionary decision making is a ‘great complexity’ of administrative law across the common law world: </w:t>
      </w:r>
    </w:p>
    <w:p w14:paraId="7595DC4E" w14:textId="77777777" w:rsidR="00363990" w:rsidRPr="009F70F9" w:rsidRDefault="00363990" w:rsidP="00363990">
      <w:pPr>
        <w:ind w:left="720"/>
        <w:jc w:val="both"/>
        <w:rPr>
          <w:rFonts w:ascii="Garamond" w:hAnsi="Garamond"/>
          <w:sz w:val="24"/>
          <w:szCs w:val="24"/>
        </w:rPr>
      </w:pPr>
      <w:r w:rsidRPr="009F70F9">
        <w:rPr>
          <w:rFonts w:ascii="Garamond" w:hAnsi="Garamond"/>
          <w:sz w:val="24"/>
          <w:szCs w:val="24"/>
        </w:rPr>
        <w:t>One of the great complexities of administrative law concerns the degree to which the courts should review decisions of other decision-makers. This complexity arises because, through the application of administrative law, the role of the courts is to determine the lawfulness of the acts of other branches of the state, yet the legitimate extent of judicial involvement is itself a sensitive matter that raises questions about the courts’ role under the separation of powers.</w:t>
      </w:r>
      <w:r>
        <w:rPr>
          <w:rStyle w:val="FootnoteReference"/>
          <w:rFonts w:ascii="Garamond" w:hAnsi="Garamond"/>
          <w:sz w:val="24"/>
          <w:szCs w:val="24"/>
        </w:rPr>
        <w:footnoteReference w:id="68"/>
      </w:r>
      <w:r w:rsidRPr="009F70F9">
        <w:rPr>
          <w:rFonts w:ascii="Garamond" w:hAnsi="Garamond"/>
          <w:sz w:val="24"/>
          <w:szCs w:val="24"/>
        </w:rPr>
        <w:t xml:space="preserve"> </w:t>
      </w:r>
    </w:p>
    <w:p w14:paraId="113190B4" w14:textId="6E00C2A1" w:rsidR="00363990" w:rsidRDefault="00363990" w:rsidP="00363990">
      <w:pPr>
        <w:jc w:val="both"/>
        <w:rPr>
          <w:rFonts w:ascii="Garamond" w:hAnsi="Garamond"/>
          <w:sz w:val="24"/>
          <w:szCs w:val="24"/>
        </w:rPr>
      </w:pPr>
      <w:r w:rsidRPr="009F70F9">
        <w:rPr>
          <w:rFonts w:ascii="Garamond" w:hAnsi="Garamond"/>
          <w:sz w:val="24"/>
          <w:szCs w:val="24"/>
        </w:rPr>
        <w:t>A strong adherence to a weak judicial branch under the separation of powers can be found in the Irish jurisprudence.</w:t>
      </w:r>
      <w:r>
        <w:rPr>
          <w:rStyle w:val="FootnoteReference"/>
          <w:rFonts w:ascii="Garamond" w:hAnsi="Garamond"/>
          <w:sz w:val="24"/>
          <w:szCs w:val="24"/>
        </w:rPr>
        <w:footnoteReference w:id="69"/>
      </w:r>
      <w:r w:rsidRPr="009F70F9">
        <w:rPr>
          <w:rFonts w:ascii="Garamond" w:hAnsi="Garamond"/>
          <w:sz w:val="24"/>
          <w:szCs w:val="24"/>
        </w:rPr>
        <w:t xml:space="preserve"> </w:t>
      </w:r>
      <w:r w:rsidR="00A11192">
        <w:rPr>
          <w:rFonts w:ascii="Garamond" w:hAnsi="Garamond"/>
          <w:sz w:val="24"/>
          <w:szCs w:val="24"/>
        </w:rPr>
        <w:t>Brady points out that ‘</w:t>
      </w:r>
      <w:r w:rsidR="00C27254">
        <w:rPr>
          <w:rFonts w:ascii="Garamond" w:hAnsi="Garamond"/>
          <w:sz w:val="24"/>
          <w:szCs w:val="24"/>
        </w:rPr>
        <w:t xml:space="preserve">[t]he Executive has just as much potential (if not more potential) than the </w:t>
      </w:r>
      <w:r w:rsidR="00E52C93">
        <w:rPr>
          <w:rFonts w:ascii="Garamond" w:hAnsi="Garamond"/>
          <w:sz w:val="24"/>
          <w:szCs w:val="24"/>
        </w:rPr>
        <w:t>Oireachtas</w:t>
      </w:r>
      <w:r w:rsidR="00C27254">
        <w:rPr>
          <w:rFonts w:ascii="Garamond" w:hAnsi="Garamond"/>
          <w:sz w:val="24"/>
          <w:szCs w:val="24"/>
        </w:rPr>
        <w:t xml:space="preserve"> to intrude upon constitutionally protected rights</w:t>
      </w:r>
      <w:r w:rsidR="00E52C93">
        <w:rPr>
          <w:rFonts w:ascii="Garamond" w:hAnsi="Garamond"/>
          <w:sz w:val="24"/>
          <w:szCs w:val="24"/>
        </w:rPr>
        <w:t>.</w:t>
      </w:r>
      <w:r w:rsidR="00E52C93">
        <w:rPr>
          <w:rStyle w:val="FootnoteReference"/>
          <w:rFonts w:ascii="Garamond" w:hAnsi="Garamond"/>
          <w:sz w:val="24"/>
          <w:szCs w:val="24"/>
        </w:rPr>
        <w:footnoteReference w:id="70"/>
      </w:r>
      <w:r w:rsidR="00E52C93">
        <w:rPr>
          <w:rFonts w:ascii="Garamond" w:hAnsi="Garamond"/>
          <w:sz w:val="24"/>
          <w:szCs w:val="24"/>
        </w:rPr>
        <w:t xml:space="preserve"> </w:t>
      </w:r>
      <w:r w:rsidR="00AE58D0">
        <w:rPr>
          <w:rFonts w:ascii="Garamond" w:hAnsi="Garamond"/>
          <w:sz w:val="24"/>
          <w:szCs w:val="24"/>
        </w:rPr>
        <w:t xml:space="preserve">In commenting on </w:t>
      </w:r>
      <w:r w:rsidR="00AE58D0" w:rsidRPr="00F911D2">
        <w:rPr>
          <w:rFonts w:ascii="Garamond" w:hAnsi="Garamond"/>
          <w:i/>
          <w:iCs/>
          <w:sz w:val="24"/>
          <w:szCs w:val="24"/>
        </w:rPr>
        <w:t>C v Galway County Council</w:t>
      </w:r>
      <w:r w:rsidR="00AE58D0">
        <w:rPr>
          <w:rFonts w:ascii="Garamond" w:hAnsi="Garamond"/>
          <w:sz w:val="24"/>
          <w:szCs w:val="24"/>
        </w:rPr>
        <w:t>,</w:t>
      </w:r>
      <w:r w:rsidR="00F911D2">
        <w:rPr>
          <w:rStyle w:val="FootnoteReference"/>
          <w:rFonts w:ascii="Garamond" w:hAnsi="Garamond"/>
          <w:sz w:val="24"/>
          <w:szCs w:val="24"/>
        </w:rPr>
        <w:footnoteReference w:id="71"/>
      </w:r>
      <w:r w:rsidR="00AE58D0">
        <w:rPr>
          <w:rFonts w:ascii="Garamond" w:hAnsi="Garamond"/>
          <w:sz w:val="24"/>
          <w:szCs w:val="24"/>
        </w:rPr>
        <w:t xml:space="preserve"> Casey sets out that ‘</w:t>
      </w:r>
      <w:r w:rsidR="00F911D2" w:rsidRPr="00F911D2">
        <w:rPr>
          <w:rFonts w:ascii="Garamond" w:hAnsi="Garamond"/>
          <w:sz w:val="24"/>
          <w:szCs w:val="24"/>
        </w:rPr>
        <w:t>the highly deferential rationality standard of review is alive and well, even when the interests and rights of vulnerable persons are prima facie engaged</w:t>
      </w:r>
      <w:r w:rsidR="00F911D2">
        <w:rPr>
          <w:rFonts w:ascii="Garamond" w:hAnsi="Garamond"/>
          <w:sz w:val="24"/>
          <w:szCs w:val="24"/>
        </w:rPr>
        <w:t>’.</w:t>
      </w:r>
      <w:r w:rsidR="00882989">
        <w:rPr>
          <w:rStyle w:val="FootnoteReference"/>
          <w:rFonts w:ascii="Garamond" w:hAnsi="Garamond"/>
          <w:sz w:val="24"/>
          <w:szCs w:val="24"/>
        </w:rPr>
        <w:footnoteReference w:id="72"/>
      </w:r>
      <w:r w:rsidR="00F911D2">
        <w:rPr>
          <w:rFonts w:ascii="Garamond" w:hAnsi="Garamond"/>
          <w:sz w:val="24"/>
          <w:szCs w:val="24"/>
        </w:rPr>
        <w:t xml:space="preserve"> </w:t>
      </w:r>
      <w:r w:rsidRPr="009F70F9">
        <w:rPr>
          <w:rFonts w:ascii="Garamond" w:hAnsi="Garamond"/>
          <w:sz w:val="24"/>
          <w:szCs w:val="24"/>
        </w:rPr>
        <w:t>The corollary of this deferential approach is that considerable power rests with the executive, which delegates some of this power to decision makers on the frontlines of public administration</w:t>
      </w:r>
    </w:p>
    <w:p w14:paraId="40AE1E52" w14:textId="47865D1D" w:rsidR="00AA6E30" w:rsidRDefault="003E4848" w:rsidP="00846EC9">
      <w:pPr>
        <w:jc w:val="both"/>
        <w:rPr>
          <w:rFonts w:ascii="Garamond" w:hAnsi="Garamond"/>
          <w:sz w:val="24"/>
          <w:szCs w:val="24"/>
        </w:rPr>
      </w:pPr>
      <w:r w:rsidRPr="003E4848">
        <w:rPr>
          <w:rFonts w:ascii="Garamond" w:hAnsi="Garamond"/>
          <w:sz w:val="24"/>
          <w:szCs w:val="24"/>
        </w:rPr>
        <w:t xml:space="preserve">Barrington outlines that when Irish citizens feel aggrieved about administrative decisions, they make representations to members of the legislature, on a scale </w:t>
      </w:r>
      <w:r w:rsidR="00A60711">
        <w:rPr>
          <w:rFonts w:ascii="Garamond" w:hAnsi="Garamond"/>
          <w:sz w:val="24"/>
          <w:szCs w:val="24"/>
        </w:rPr>
        <w:t>‘</w:t>
      </w:r>
      <w:r w:rsidRPr="003E4848">
        <w:rPr>
          <w:rFonts w:ascii="Garamond" w:hAnsi="Garamond"/>
          <w:sz w:val="24"/>
          <w:szCs w:val="24"/>
        </w:rPr>
        <w:t>remarkably high per head of population as compared with most other democracies</w:t>
      </w:r>
      <w:r w:rsidR="00A60711">
        <w:rPr>
          <w:rFonts w:ascii="Garamond" w:hAnsi="Garamond"/>
          <w:sz w:val="24"/>
          <w:szCs w:val="24"/>
        </w:rPr>
        <w:t>’</w:t>
      </w:r>
      <w:r w:rsidRPr="003E4848">
        <w:rPr>
          <w:rFonts w:ascii="Garamond" w:hAnsi="Garamond"/>
          <w:sz w:val="24"/>
          <w:szCs w:val="24"/>
        </w:rPr>
        <w:t>.</w:t>
      </w:r>
      <w:r w:rsidR="00233A1A">
        <w:rPr>
          <w:rStyle w:val="FootnoteReference"/>
          <w:rFonts w:ascii="Garamond" w:hAnsi="Garamond"/>
          <w:sz w:val="24"/>
          <w:szCs w:val="24"/>
        </w:rPr>
        <w:footnoteReference w:id="73"/>
      </w:r>
      <w:r w:rsidRPr="003E4848">
        <w:rPr>
          <w:rFonts w:ascii="Garamond" w:hAnsi="Garamond"/>
          <w:sz w:val="24"/>
          <w:szCs w:val="24"/>
        </w:rPr>
        <w:t xml:space="preserve"> He further notes that </w:t>
      </w:r>
      <w:r w:rsidR="00233A1A">
        <w:rPr>
          <w:rFonts w:ascii="Garamond" w:hAnsi="Garamond"/>
          <w:sz w:val="24"/>
          <w:szCs w:val="24"/>
        </w:rPr>
        <w:t>‘</w:t>
      </w:r>
      <w:r w:rsidRPr="003E4848">
        <w:rPr>
          <w:rFonts w:ascii="Garamond" w:hAnsi="Garamond"/>
          <w:sz w:val="24"/>
          <w:szCs w:val="24"/>
        </w:rPr>
        <w:t>[a] good part of the public standing of Irish public representatives comes from their success</w:t>
      </w:r>
      <w:r>
        <w:rPr>
          <w:rFonts w:ascii="Garamond" w:hAnsi="Garamond"/>
          <w:sz w:val="24"/>
          <w:szCs w:val="24"/>
        </w:rPr>
        <w:t xml:space="preserve"> </w:t>
      </w:r>
      <w:r w:rsidRPr="003E4848">
        <w:rPr>
          <w:rFonts w:ascii="Garamond" w:hAnsi="Garamond"/>
          <w:sz w:val="24"/>
          <w:szCs w:val="24"/>
        </w:rPr>
        <w:t>in acting as ‘brokers’ between their constituents and public bodies</w:t>
      </w:r>
      <w:r w:rsidR="00233A1A">
        <w:rPr>
          <w:rFonts w:ascii="Garamond" w:hAnsi="Garamond"/>
          <w:sz w:val="24"/>
          <w:szCs w:val="24"/>
        </w:rPr>
        <w:t>’</w:t>
      </w:r>
      <w:r w:rsidRPr="003E4848">
        <w:rPr>
          <w:rFonts w:ascii="Garamond" w:hAnsi="Garamond"/>
          <w:sz w:val="24"/>
          <w:szCs w:val="24"/>
        </w:rPr>
        <w:t>.</w:t>
      </w:r>
      <w:r w:rsidR="00233A1A">
        <w:rPr>
          <w:rStyle w:val="FootnoteReference"/>
          <w:rFonts w:ascii="Garamond" w:hAnsi="Garamond"/>
          <w:sz w:val="24"/>
          <w:szCs w:val="24"/>
        </w:rPr>
        <w:footnoteReference w:id="74"/>
      </w:r>
      <w:r w:rsidRPr="003E4848">
        <w:rPr>
          <w:rFonts w:ascii="Garamond" w:hAnsi="Garamond"/>
          <w:sz w:val="24"/>
          <w:szCs w:val="24"/>
        </w:rPr>
        <w:t xml:space="preserve"> Anecdotally, people will use such channels to secure nursing home spaces, planning permission, medical cards, school places, and community investment. This ‘who you know’ approach leads to a perception of cronyism and unfairness in how systems operate, and in my view, needs to be challenged in favour of transparent, accessible </w:t>
      </w:r>
      <w:r w:rsidRPr="00A76C7C">
        <w:rPr>
          <w:rFonts w:ascii="Garamond" w:hAnsi="Garamond"/>
          <w:sz w:val="24"/>
          <w:szCs w:val="24"/>
        </w:rPr>
        <w:t xml:space="preserve">and fair administrative justice systems. </w:t>
      </w:r>
      <w:r w:rsidR="00F12AE9">
        <w:rPr>
          <w:rFonts w:ascii="Garamond" w:hAnsi="Garamond"/>
          <w:sz w:val="24"/>
          <w:szCs w:val="24"/>
        </w:rPr>
        <w:t>Note</w:t>
      </w:r>
      <w:r w:rsidR="00A31F1F">
        <w:rPr>
          <w:rFonts w:ascii="Garamond" w:hAnsi="Garamond"/>
          <w:sz w:val="24"/>
          <w:szCs w:val="24"/>
        </w:rPr>
        <w:t xml:space="preserve"> of warning</w:t>
      </w:r>
      <w:r w:rsidRPr="00A76C7C">
        <w:rPr>
          <w:rFonts w:ascii="Garamond" w:hAnsi="Garamond"/>
          <w:sz w:val="24"/>
          <w:szCs w:val="24"/>
        </w:rPr>
        <w:t xml:space="preserve"> here that Barrington was writing over four decades ago and before the Ombuds system in Ireland came into effect in 1984 making the reference somewhat dated.</w:t>
      </w:r>
      <w:r w:rsidR="00376B3D" w:rsidRPr="00A76C7C">
        <w:rPr>
          <w:rStyle w:val="FootnoteReference"/>
          <w:rFonts w:ascii="Garamond" w:hAnsi="Garamond"/>
          <w:sz w:val="24"/>
          <w:szCs w:val="24"/>
        </w:rPr>
        <w:footnoteReference w:id="75"/>
      </w:r>
      <w:r w:rsidRPr="00A76C7C">
        <w:rPr>
          <w:rFonts w:ascii="Garamond" w:hAnsi="Garamond"/>
          <w:sz w:val="24"/>
          <w:szCs w:val="24"/>
        </w:rPr>
        <w:t xml:space="preserve"> Nevertheless, the culture of clientelism persists, with Donson and O’Donovan more recently noting </w:t>
      </w:r>
      <w:r w:rsidR="00B43C14">
        <w:rPr>
          <w:rFonts w:ascii="Garamond" w:hAnsi="Garamond"/>
          <w:sz w:val="24"/>
          <w:szCs w:val="24"/>
        </w:rPr>
        <w:t>‘</w:t>
      </w:r>
      <w:r w:rsidRPr="00A76C7C">
        <w:rPr>
          <w:rFonts w:ascii="Garamond" w:hAnsi="Garamond"/>
          <w:sz w:val="24"/>
          <w:szCs w:val="24"/>
        </w:rPr>
        <w:t xml:space="preserve">the institutionalised clientelism within which many Irish politicians are habituated or </w:t>
      </w:r>
      <w:proofErr w:type="spellStart"/>
      <w:r w:rsidRPr="00A76C7C">
        <w:rPr>
          <w:rFonts w:ascii="Garamond" w:hAnsi="Garamond"/>
          <w:sz w:val="24"/>
          <w:szCs w:val="24"/>
        </w:rPr>
        <w:t>strictured</w:t>
      </w:r>
      <w:proofErr w:type="spellEnd"/>
      <w:r w:rsidR="00B43C14">
        <w:rPr>
          <w:rFonts w:ascii="Garamond" w:hAnsi="Garamond"/>
          <w:sz w:val="24"/>
          <w:szCs w:val="24"/>
        </w:rPr>
        <w:t>’</w:t>
      </w:r>
      <w:r w:rsidRPr="00A76C7C">
        <w:rPr>
          <w:rFonts w:ascii="Garamond" w:hAnsi="Garamond"/>
          <w:sz w:val="24"/>
          <w:szCs w:val="24"/>
        </w:rPr>
        <w:t>.</w:t>
      </w:r>
      <w:r w:rsidR="00A76C7C" w:rsidRPr="00A76C7C">
        <w:rPr>
          <w:rStyle w:val="FootnoteReference"/>
          <w:rFonts w:ascii="Garamond" w:hAnsi="Garamond"/>
          <w:sz w:val="24"/>
          <w:szCs w:val="24"/>
        </w:rPr>
        <w:footnoteReference w:id="76"/>
      </w:r>
      <w:r w:rsidRPr="00A76C7C">
        <w:rPr>
          <w:rFonts w:ascii="Garamond" w:hAnsi="Garamond"/>
          <w:sz w:val="24"/>
          <w:szCs w:val="24"/>
        </w:rPr>
        <w:t xml:space="preserve"> </w:t>
      </w:r>
      <w:r w:rsidR="00FD3ABF">
        <w:rPr>
          <w:rFonts w:ascii="Garamond" w:hAnsi="Garamond"/>
          <w:sz w:val="24"/>
          <w:szCs w:val="24"/>
        </w:rPr>
        <w:t xml:space="preserve">The potential of the Ombud to </w:t>
      </w:r>
      <w:r w:rsidR="0010651C">
        <w:rPr>
          <w:rFonts w:ascii="Garamond" w:hAnsi="Garamond"/>
          <w:sz w:val="24"/>
          <w:szCs w:val="24"/>
        </w:rPr>
        <w:t xml:space="preserve">investigate systemic maladministration and </w:t>
      </w:r>
      <w:r w:rsidR="00FD3ABF">
        <w:rPr>
          <w:rFonts w:ascii="Garamond" w:hAnsi="Garamond"/>
          <w:sz w:val="24"/>
          <w:szCs w:val="24"/>
        </w:rPr>
        <w:t>deliver collective justice</w:t>
      </w:r>
      <w:r w:rsidR="00A272C7">
        <w:rPr>
          <w:rFonts w:ascii="Garamond" w:hAnsi="Garamond"/>
          <w:sz w:val="24"/>
          <w:szCs w:val="24"/>
        </w:rPr>
        <w:t xml:space="preserve"> is an important part of developing a research </w:t>
      </w:r>
      <w:r w:rsidR="00A272C7">
        <w:rPr>
          <w:rFonts w:ascii="Garamond" w:hAnsi="Garamond"/>
          <w:sz w:val="24"/>
          <w:szCs w:val="24"/>
        </w:rPr>
        <w:lastRenderedPageBreak/>
        <w:t>agenda for administrative justice research</w:t>
      </w:r>
      <w:r w:rsidR="00547C4F">
        <w:rPr>
          <w:rFonts w:ascii="Garamond" w:hAnsi="Garamond"/>
          <w:sz w:val="24"/>
          <w:szCs w:val="24"/>
        </w:rPr>
        <w:t>.</w:t>
      </w:r>
      <w:r w:rsidR="00547C4F">
        <w:rPr>
          <w:rStyle w:val="FootnoteReference"/>
          <w:rFonts w:ascii="Garamond" w:hAnsi="Garamond"/>
          <w:sz w:val="24"/>
          <w:szCs w:val="24"/>
        </w:rPr>
        <w:footnoteReference w:id="77"/>
      </w:r>
      <w:r w:rsidR="00E71628">
        <w:rPr>
          <w:rFonts w:ascii="Garamond" w:hAnsi="Garamond"/>
          <w:sz w:val="24"/>
          <w:szCs w:val="24"/>
        </w:rPr>
        <w:t xml:space="preserve"> The recent </w:t>
      </w:r>
      <w:r w:rsidR="00DB057F">
        <w:rPr>
          <w:rFonts w:ascii="Garamond" w:hAnsi="Garamond"/>
          <w:sz w:val="24"/>
          <w:szCs w:val="24"/>
        </w:rPr>
        <w:t xml:space="preserve">investigation by the Ombudsman into </w:t>
      </w:r>
      <w:r w:rsidR="00D04CEB">
        <w:rPr>
          <w:rFonts w:ascii="Garamond" w:hAnsi="Garamond"/>
          <w:sz w:val="24"/>
          <w:szCs w:val="24"/>
        </w:rPr>
        <w:t>the administration of HSE schemes to fund necessary medical treatment in the EU/EEA or UK</w:t>
      </w:r>
      <w:r w:rsidR="004B4A61">
        <w:rPr>
          <w:rFonts w:ascii="Garamond" w:hAnsi="Garamond"/>
          <w:sz w:val="24"/>
          <w:szCs w:val="24"/>
        </w:rPr>
        <w:t>,</w:t>
      </w:r>
      <w:r w:rsidR="00D04CEB">
        <w:rPr>
          <w:rFonts w:ascii="Garamond" w:hAnsi="Garamond"/>
          <w:sz w:val="24"/>
          <w:szCs w:val="24"/>
        </w:rPr>
        <w:t xml:space="preserve"> </w:t>
      </w:r>
      <w:r w:rsidR="00413955">
        <w:rPr>
          <w:rFonts w:ascii="Garamond" w:hAnsi="Garamond"/>
          <w:sz w:val="24"/>
          <w:szCs w:val="24"/>
        </w:rPr>
        <w:t xml:space="preserve">where people </w:t>
      </w:r>
      <w:r w:rsidR="002037B1">
        <w:rPr>
          <w:rFonts w:ascii="Garamond" w:hAnsi="Garamond"/>
          <w:sz w:val="24"/>
          <w:szCs w:val="24"/>
        </w:rPr>
        <w:t>faced a ‘fight’ with the HSE for reimbursement</w:t>
      </w:r>
      <w:r w:rsidR="004B4A61">
        <w:rPr>
          <w:rFonts w:ascii="Garamond" w:hAnsi="Garamond"/>
          <w:sz w:val="24"/>
          <w:szCs w:val="24"/>
        </w:rPr>
        <w:t xml:space="preserve">, </w:t>
      </w:r>
      <w:r w:rsidR="00D04CEB">
        <w:rPr>
          <w:rFonts w:ascii="Garamond" w:hAnsi="Garamond"/>
          <w:sz w:val="24"/>
          <w:szCs w:val="24"/>
        </w:rPr>
        <w:t>demonstrates (</w:t>
      </w:r>
      <w:proofErr w:type="spellStart"/>
      <w:r w:rsidR="00D04CEB">
        <w:rPr>
          <w:rFonts w:ascii="Garamond" w:hAnsi="Garamond"/>
          <w:sz w:val="24"/>
          <w:szCs w:val="24"/>
        </w:rPr>
        <w:t>i</w:t>
      </w:r>
      <w:proofErr w:type="spellEnd"/>
      <w:r w:rsidR="00D04CEB">
        <w:rPr>
          <w:rFonts w:ascii="Garamond" w:hAnsi="Garamond"/>
          <w:sz w:val="24"/>
          <w:szCs w:val="24"/>
        </w:rPr>
        <w:t>) the scale of</w:t>
      </w:r>
      <w:r w:rsidR="004B4A61">
        <w:rPr>
          <w:rFonts w:ascii="Garamond" w:hAnsi="Garamond"/>
          <w:sz w:val="24"/>
          <w:szCs w:val="24"/>
        </w:rPr>
        <w:t xml:space="preserve"> the maladministration problem in the state, (ii) the worry and</w:t>
      </w:r>
      <w:r w:rsidR="00751961">
        <w:rPr>
          <w:rFonts w:ascii="Garamond" w:hAnsi="Garamond"/>
          <w:sz w:val="24"/>
          <w:szCs w:val="24"/>
        </w:rPr>
        <w:t xml:space="preserve"> anxiety being caused by administrative issues,</w:t>
      </w:r>
      <w:r w:rsidR="00D04CEB">
        <w:rPr>
          <w:rFonts w:ascii="Garamond" w:hAnsi="Garamond"/>
          <w:sz w:val="24"/>
          <w:szCs w:val="24"/>
        </w:rPr>
        <w:t xml:space="preserve"> </w:t>
      </w:r>
      <w:r w:rsidR="009334E4">
        <w:rPr>
          <w:rFonts w:ascii="Garamond" w:hAnsi="Garamond"/>
          <w:sz w:val="24"/>
          <w:szCs w:val="24"/>
        </w:rPr>
        <w:t>and (ii</w:t>
      </w:r>
      <w:r w:rsidR="00751961">
        <w:rPr>
          <w:rFonts w:ascii="Garamond" w:hAnsi="Garamond"/>
          <w:sz w:val="24"/>
          <w:szCs w:val="24"/>
        </w:rPr>
        <w:t>i</w:t>
      </w:r>
      <w:r w:rsidR="009334E4">
        <w:rPr>
          <w:rFonts w:ascii="Garamond" w:hAnsi="Garamond"/>
          <w:sz w:val="24"/>
          <w:szCs w:val="24"/>
        </w:rPr>
        <w:t>) the potential of Ombud reports to improve systems of administration</w:t>
      </w:r>
      <w:r w:rsidR="00751961">
        <w:rPr>
          <w:rFonts w:ascii="Garamond" w:hAnsi="Garamond"/>
          <w:sz w:val="24"/>
          <w:szCs w:val="24"/>
        </w:rPr>
        <w:t xml:space="preserve"> through constructive dialogue</w:t>
      </w:r>
      <w:r w:rsidR="009334E4">
        <w:rPr>
          <w:rFonts w:ascii="Garamond" w:hAnsi="Garamond"/>
          <w:sz w:val="24"/>
          <w:szCs w:val="24"/>
        </w:rPr>
        <w:t>.</w:t>
      </w:r>
      <w:r w:rsidR="00751961">
        <w:rPr>
          <w:rStyle w:val="FootnoteReference"/>
          <w:rFonts w:ascii="Garamond" w:hAnsi="Garamond"/>
          <w:sz w:val="24"/>
          <w:szCs w:val="24"/>
        </w:rPr>
        <w:footnoteReference w:id="78"/>
      </w:r>
      <w:r w:rsidR="009334E4">
        <w:rPr>
          <w:rFonts w:ascii="Garamond" w:hAnsi="Garamond"/>
          <w:sz w:val="24"/>
          <w:szCs w:val="24"/>
        </w:rPr>
        <w:t xml:space="preserve"> </w:t>
      </w:r>
      <w:r w:rsidR="00DB057F">
        <w:rPr>
          <w:rFonts w:ascii="Garamond" w:hAnsi="Garamond"/>
          <w:sz w:val="24"/>
          <w:szCs w:val="24"/>
        </w:rPr>
        <w:t xml:space="preserve"> </w:t>
      </w:r>
    </w:p>
    <w:p w14:paraId="3C8468C1" w14:textId="1A2AD157" w:rsidR="004379E0" w:rsidRDefault="004379E0" w:rsidP="004379E0">
      <w:pPr>
        <w:jc w:val="both"/>
        <w:rPr>
          <w:rFonts w:ascii="Garamond" w:hAnsi="Garamond"/>
          <w:sz w:val="24"/>
          <w:szCs w:val="24"/>
        </w:rPr>
      </w:pPr>
      <w:r>
        <w:rPr>
          <w:rFonts w:ascii="Garamond" w:hAnsi="Garamond"/>
          <w:sz w:val="24"/>
          <w:szCs w:val="24"/>
        </w:rPr>
        <w:t xml:space="preserve">In developing a research agenda for administrative justice in Ireland, it will be important to include a range of voices and perspectives on different administrative justice systems. </w:t>
      </w:r>
      <w:r w:rsidR="00BB170F">
        <w:rPr>
          <w:rFonts w:ascii="Garamond" w:hAnsi="Garamond"/>
          <w:sz w:val="24"/>
          <w:szCs w:val="24"/>
        </w:rPr>
        <w:t xml:space="preserve">Attention and care must be paid to the way in which different forms of knowledge are treated to ensure there is no repeat of the </w:t>
      </w:r>
      <w:r w:rsidR="00291D06">
        <w:rPr>
          <w:rFonts w:ascii="Garamond" w:hAnsi="Garamond"/>
          <w:sz w:val="24"/>
          <w:szCs w:val="24"/>
        </w:rPr>
        <w:t xml:space="preserve">injustice and bureaucratic oppression caused by the way in which survivor testimony was handled by </w:t>
      </w:r>
      <w:r w:rsidR="00D643FE" w:rsidRPr="00D643FE">
        <w:rPr>
          <w:rFonts w:ascii="Garamond" w:hAnsi="Garamond"/>
          <w:sz w:val="24"/>
          <w:szCs w:val="24"/>
        </w:rPr>
        <w:t>Final Report of the Commission of Investigation into Mother and Baby Homes</w:t>
      </w:r>
      <w:r w:rsidR="00D643FE">
        <w:rPr>
          <w:rFonts w:ascii="Garamond" w:hAnsi="Garamond"/>
          <w:sz w:val="24"/>
          <w:szCs w:val="24"/>
        </w:rPr>
        <w:t>.</w:t>
      </w:r>
      <w:r w:rsidR="00D643FE">
        <w:rPr>
          <w:rStyle w:val="FootnoteReference"/>
          <w:rFonts w:ascii="Garamond" w:hAnsi="Garamond"/>
          <w:sz w:val="24"/>
          <w:szCs w:val="24"/>
        </w:rPr>
        <w:footnoteReference w:id="79"/>
      </w:r>
      <w:r w:rsidR="00D643FE">
        <w:rPr>
          <w:rFonts w:ascii="Garamond" w:hAnsi="Garamond"/>
          <w:sz w:val="24"/>
          <w:szCs w:val="24"/>
        </w:rPr>
        <w:t xml:space="preserve"> </w:t>
      </w:r>
      <w:r>
        <w:rPr>
          <w:rFonts w:ascii="Garamond" w:hAnsi="Garamond"/>
          <w:sz w:val="24"/>
          <w:szCs w:val="24"/>
        </w:rPr>
        <w:t xml:space="preserve">There is a wealth of knowledge </w:t>
      </w:r>
      <w:r w:rsidR="00411F5B">
        <w:rPr>
          <w:rFonts w:ascii="Garamond" w:hAnsi="Garamond"/>
          <w:sz w:val="24"/>
          <w:szCs w:val="24"/>
        </w:rPr>
        <w:t>on first instance decision making and appeals within the administrative state already</w:t>
      </w:r>
      <w:r w:rsidR="00C63370">
        <w:rPr>
          <w:rFonts w:ascii="Garamond" w:hAnsi="Garamond"/>
          <w:sz w:val="24"/>
          <w:szCs w:val="24"/>
        </w:rPr>
        <w:t>.</w:t>
      </w:r>
      <w:r w:rsidR="008A4FF3">
        <w:rPr>
          <w:rStyle w:val="FootnoteReference"/>
          <w:rFonts w:ascii="Garamond" w:hAnsi="Garamond"/>
          <w:sz w:val="24"/>
          <w:szCs w:val="24"/>
        </w:rPr>
        <w:footnoteReference w:id="80"/>
      </w:r>
      <w:r w:rsidR="00C63370">
        <w:rPr>
          <w:rFonts w:ascii="Garamond" w:hAnsi="Garamond"/>
          <w:sz w:val="24"/>
          <w:szCs w:val="24"/>
        </w:rPr>
        <w:t xml:space="preserve"> </w:t>
      </w:r>
      <w:r w:rsidR="00CC3820">
        <w:rPr>
          <w:rFonts w:ascii="Garamond" w:hAnsi="Garamond"/>
          <w:sz w:val="24"/>
          <w:szCs w:val="24"/>
        </w:rPr>
        <w:t xml:space="preserve">The challenge is to begin to think across different </w:t>
      </w:r>
      <w:r w:rsidR="000E549A">
        <w:rPr>
          <w:rFonts w:ascii="Garamond" w:hAnsi="Garamond"/>
          <w:sz w:val="24"/>
          <w:szCs w:val="24"/>
        </w:rPr>
        <w:t xml:space="preserve">administrative justice </w:t>
      </w:r>
      <w:r w:rsidR="00CC3820">
        <w:rPr>
          <w:rFonts w:ascii="Garamond" w:hAnsi="Garamond"/>
          <w:sz w:val="24"/>
          <w:szCs w:val="24"/>
        </w:rPr>
        <w:t>pillars in developing a body of work that can improve first instance decision making</w:t>
      </w:r>
      <w:r w:rsidR="00FF4B03">
        <w:rPr>
          <w:rFonts w:ascii="Garamond" w:hAnsi="Garamond"/>
          <w:sz w:val="24"/>
          <w:szCs w:val="24"/>
        </w:rPr>
        <w:t>,</w:t>
      </w:r>
      <w:r w:rsidR="00CC3820">
        <w:rPr>
          <w:rFonts w:ascii="Garamond" w:hAnsi="Garamond"/>
          <w:sz w:val="24"/>
          <w:szCs w:val="24"/>
        </w:rPr>
        <w:t xml:space="preserve"> and improve </w:t>
      </w:r>
      <w:r w:rsidR="00FF4B03">
        <w:rPr>
          <w:rFonts w:ascii="Garamond" w:hAnsi="Garamond"/>
          <w:sz w:val="24"/>
          <w:szCs w:val="24"/>
        </w:rPr>
        <w:t>public perceptions of administrative processes</w:t>
      </w:r>
      <w:r w:rsidR="008338BB">
        <w:rPr>
          <w:rFonts w:ascii="Garamond" w:hAnsi="Garamond"/>
          <w:sz w:val="24"/>
          <w:szCs w:val="24"/>
        </w:rPr>
        <w:t xml:space="preserve"> across public administration</w:t>
      </w:r>
      <w:r w:rsidR="00FF4B03">
        <w:rPr>
          <w:rFonts w:ascii="Garamond" w:hAnsi="Garamond"/>
          <w:sz w:val="24"/>
          <w:szCs w:val="24"/>
        </w:rPr>
        <w:t xml:space="preserve">. </w:t>
      </w:r>
    </w:p>
    <w:p w14:paraId="7C7AC540" w14:textId="63DB61E4" w:rsidR="00AA6E30" w:rsidRDefault="00A76C7C" w:rsidP="00846EC9">
      <w:pPr>
        <w:jc w:val="both"/>
        <w:rPr>
          <w:rFonts w:ascii="Garamond" w:hAnsi="Garamond"/>
          <w:sz w:val="24"/>
          <w:szCs w:val="24"/>
        </w:rPr>
      </w:pPr>
      <w:r w:rsidRPr="00A76C7C">
        <w:rPr>
          <w:rFonts w:ascii="Garamond" w:hAnsi="Garamond"/>
          <w:sz w:val="24"/>
          <w:szCs w:val="24"/>
        </w:rPr>
        <w:t>T</w:t>
      </w:r>
      <w:r w:rsidR="00A60711" w:rsidRPr="00A76C7C">
        <w:rPr>
          <w:rFonts w:ascii="Garamond" w:hAnsi="Garamond"/>
          <w:sz w:val="24"/>
          <w:szCs w:val="24"/>
        </w:rPr>
        <w:t xml:space="preserve">his is not the first time there has been a call for administrative justice research in the </w:t>
      </w:r>
      <w:r w:rsidR="008338BB">
        <w:rPr>
          <w:rFonts w:ascii="Garamond" w:hAnsi="Garamond"/>
          <w:sz w:val="24"/>
          <w:szCs w:val="24"/>
        </w:rPr>
        <w:t>s</w:t>
      </w:r>
      <w:r w:rsidR="00A60711" w:rsidRPr="00A76C7C">
        <w:rPr>
          <w:rFonts w:ascii="Garamond" w:hAnsi="Garamond"/>
          <w:sz w:val="24"/>
          <w:szCs w:val="24"/>
        </w:rPr>
        <w:t xml:space="preserve">tate. The Report of the Public Services Organisation Review Group 1966-1969, or the Devlin Report, included a proposal that there should be a ‘Commissioner for Administrative Justice’, tasked with looking at problems of administrative </w:t>
      </w:r>
      <w:proofErr w:type="gramStart"/>
      <w:r w:rsidR="00A60711" w:rsidRPr="00A76C7C">
        <w:rPr>
          <w:rFonts w:ascii="Garamond" w:hAnsi="Garamond"/>
          <w:sz w:val="24"/>
          <w:szCs w:val="24"/>
        </w:rPr>
        <w:t>justice as a whole</w:t>
      </w:r>
      <w:proofErr w:type="gramEnd"/>
      <w:r w:rsidR="00A60711" w:rsidRPr="00A76C7C">
        <w:rPr>
          <w:rFonts w:ascii="Garamond" w:hAnsi="Garamond"/>
          <w:sz w:val="24"/>
          <w:szCs w:val="24"/>
        </w:rPr>
        <w:t>.</w:t>
      </w:r>
      <w:r w:rsidR="00B11A01">
        <w:rPr>
          <w:rStyle w:val="FootnoteReference"/>
          <w:rFonts w:ascii="Garamond" w:hAnsi="Garamond"/>
          <w:sz w:val="24"/>
          <w:szCs w:val="24"/>
        </w:rPr>
        <w:footnoteReference w:id="81"/>
      </w:r>
      <w:r w:rsidR="00A60711" w:rsidRPr="00A76C7C">
        <w:rPr>
          <w:rFonts w:ascii="Garamond" w:hAnsi="Garamond"/>
          <w:sz w:val="24"/>
          <w:szCs w:val="24"/>
        </w:rPr>
        <w:t xml:space="preserve"> In the years since the Devlin Report was published, Government has become increasingly complex and fractured, yet there has been limited administrative justice research carried out. </w:t>
      </w:r>
      <w:r w:rsidR="00EC20C2" w:rsidRPr="003672F8">
        <w:rPr>
          <w:rFonts w:ascii="Garamond" w:hAnsi="Garamond"/>
          <w:sz w:val="24"/>
          <w:szCs w:val="24"/>
        </w:rPr>
        <w:t xml:space="preserve">Deeper engagement with administrative justice as a field of study has the potential to assist the Law Reform Commission’s ongoing work </w:t>
      </w:r>
      <w:r w:rsidR="00EC20C2">
        <w:rPr>
          <w:rFonts w:ascii="Garamond" w:hAnsi="Garamond"/>
          <w:sz w:val="24"/>
          <w:szCs w:val="24"/>
        </w:rPr>
        <w:t xml:space="preserve">on </w:t>
      </w:r>
      <w:r w:rsidR="00EC20C2" w:rsidRPr="003672F8">
        <w:rPr>
          <w:rFonts w:ascii="Garamond" w:hAnsi="Garamond"/>
          <w:sz w:val="24"/>
          <w:szCs w:val="24"/>
        </w:rPr>
        <w:t xml:space="preserve">Non-Court Adjudicative Bodies. </w:t>
      </w:r>
      <w:r w:rsidR="00EC20C2">
        <w:rPr>
          <w:rFonts w:ascii="Garamond" w:hAnsi="Garamond"/>
          <w:sz w:val="24"/>
          <w:szCs w:val="24"/>
        </w:rPr>
        <w:t xml:space="preserve">A consultation paper on Non-Court Adjudicative Bodies </w:t>
      </w:r>
      <w:r w:rsidR="00367B56">
        <w:rPr>
          <w:rFonts w:ascii="Garamond" w:hAnsi="Garamond"/>
          <w:sz w:val="24"/>
          <w:szCs w:val="24"/>
        </w:rPr>
        <w:t>wa</w:t>
      </w:r>
      <w:r w:rsidR="00EC20C2">
        <w:rPr>
          <w:rFonts w:ascii="Garamond" w:hAnsi="Garamond"/>
          <w:sz w:val="24"/>
          <w:szCs w:val="24"/>
        </w:rPr>
        <w:t>s expected to be published by the Commission</w:t>
      </w:r>
      <w:r w:rsidR="00E92486">
        <w:rPr>
          <w:rFonts w:ascii="Garamond" w:hAnsi="Garamond"/>
          <w:sz w:val="24"/>
          <w:szCs w:val="24"/>
        </w:rPr>
        <w:t xml:space="preserve"> in 2024 </w:t>
      </w:r>
      <w:r w:rsidR="0087615B">
        <w:rPr>
          <w:rFonts w:ascii="Garamond" w:hAnsi="Garamond"/>
          <w:sz w:val="24"/>
          <w:szCs w:val="24"/>
        </w:rPr>
        <w:t>,</w:t>
      </w:r>
      <w:r w:rsidR="00EC20C2">
        <w:rPr>
          <w:rStyle w:val="FootnoteReference"/>
          <w:rFonts w:ascii="Garamond" w:hAnsi="Garamond"/>
          <w:sz w:val="24"/>
          <w:szCs w:val="24"/>
        </w:rPr>
        <w:footnoteReference w:id="82"/>
      </w:r>
      <w:r w:rsidR="0087615B" w:rsidRPr="0087615B">
        <w:rPr>
          <w:rFonts w:ascii="Garamond" w:hAnsi="Garamond"/>
          <w:sz w:val="24"/>
          <w:szCs w:val="24"/>
        </w:rPr>
        <w:t xml:space="preserve"> </w:t>
      </w:r>
      <w:r w:rsidR="0087615B">
        <w:rPr>
          <w:rFonts w:ascii="Garamond" w:hAnsi="Garamond"/>
          <w:sz w:val="24"/>
          <w:szCs w:val="24"/>
        </w:rPr>
        <w:t xml:space="preserve">but as of </w:t>
      </w:r>
      <w:r w:rsidR="00CA6614">
        <w:rPr>
          <w:rFonts w:ascii="Garamond" w:hAnsi="Garamond"/>
          <w:sz w:val="24"/>
          <w:szCs w:val="24"/>
        </w:rPr>
        <w:t>March 2025</w:t>
      </w:r>
      <w:r w:rsidR="0087615B">
        <w:rPr>
          <w:rFonts w:ascii="Garamond" w:hAnsi="Garamond"/>
          <w:sz w:val="24"/>
          <w:szCs w:val="24"/>
        </w:rPr>
        <w:t xml:space="preserve"> </w:t>
      </w:r>
      <w:r w:rsidR="002B7DE3">
        <w:rPr>
          <w:rFonts w:ascii="Garamond" w:hAnsi="Garamond"/>
          <w:sz w:val="24"/>
          <w:szCs w:val="24"/>
        </w:rPr>
        <w:t>ha</w:t>
      </w:r>
      <w:r w:rsidR="0087615B">
        <w:rPr>
          <w:rFonts w:ascii="Garamond" w:hAnsi="Garamond"/>
          <w:sz w:val="24"/>
          <w:szCs w:val="24"/>
        </w:rPr>
        <w:t>s yet to be made publicly available.</w:t>
      </w:r>
      <w:r w:rsidR="00EC20C2">
        <w:rPr>
          <w:rFonts w:ascii="Garamond" w:hAnsi="Garamond"/>
          <w:sz w:val="24"/>
          <w:szCs w:val="24"/>
        </w:rPr>
        <w:t xml:space="preserve"> </w:t>
      </w:r>
      <w:r w:rsidR="00BE24F3">
        <w:rPr>
          <w:rFonts w:ascii="Garamond" w:hAnsi="Garamond"/>
          <w:sz w:val="24"/>
          <w:szCs w:val="24"/>
        </w:rPr>
        <w:t>Any</w:t>
      </w:r>
      <w:r w:rsidR="00A60711" w:rsidRPr="00A76C7C">
        <w:rPr>
          <w:rFonts w:ascii="Garamond" w:hAnsi="Garamond"/>
          <w:sz w:val="24"/>
          <w:szCs w:val="24"/>
        </w:rPr>
        <w:t xml:space="preserve"> reform proposals considered by the Law Reform Commission should take account of the need for a centralised body akin the Administrative Justice Council, but adequate</w:t>
      </w:r>
      <w:r w:rsidR="00B14094">
        <w:rPr>
          <w:rFonts w:ascii="Garamond" w:hAnsi="Garamond"/>
          <w:sz w:val="24"/>
          <w:szCs w:val="24"/>
        </w:rPr>
        <w:t>ly</w:t>
      </w:r>
      <w:r w:rsidR="00A60711" w:rsidRPr="00A76C7C">
        <w:rPr>
          <w:rFonts w:ascii="Garamond" w:hAnsi="Garamond"/>
          <w:sz w:val="24"/>
          <w:szCs w:val="24"/>
        </w:rPr>
        <w:t xml:space="preserve"> funded and staffed, to act as a research hub and steer the development of administrative justice research in Ireland. This would identify and structure the field.</w:t>
      </w:r>
    </w:p>
    <w:p w14:paraId="14CB2097" w14:textId="11B956DB" w:rsidR="00EF79FA" w:rsidRPr="00BA5B6C" w:rsidRDefault="00CD71DB" w:rsidP="00846EC9">
      <w:pPr>
        <w:jc w:val="both"/>
        <w:rPr>
          <w:rFonts w:ascii="Garamond" w:hAnsi="Garamond"/>
          <w:b/>
          <w:bCs/>
          <w:sz w:val="32"/>
          <w:szCs w:val="32"/>
        </w:rPr>
      </w:pPr>
      <w:r>
        <w:rPr>
          <w:rFonts w:ascii="Garamond" w:hAnsi="Garamond"/>
          <w:b/>
          <w:bCs/>
          <w:sz w:val="32"/>
          <w:szCs w:val="32"/>
        </w:rPr>
        <w:t xml:space="preserve">Section Three: </w:t>
      </w:r>
      <w:r w:rsidR="008D5B88" w:rsidRPr="00BA5B6C">
        <w:rPr>
          <w:rFonts w:ascii="Garamond" w:hAnsi="Garamond"/>
          <w:b/>
          <w:bCs/>
          <w:sz w:val="32"/>
          <w:szCs w:val="32"/>
        </w:rPr>
        <w:t>Barriers and future developments</w:t>
      </w:r>
    </w:p>
    <w:p w14:paraId="1E06BAE9" w14:textId="2DD8F42B" w:rsidR="00EE65F5" w:rsidRPr="00EE09AA" w:rsidRDefault="00EE09AA" w:rsidP="00846EC9">
      <w:pPr>
        <w:jc w:val="both"/>
        <w:rPr>
          <w:rFonts w:ascii="Garamond" w:hAnsi="Garamond"/>
          <w:b/>
          <w:bCs/>
          <w:sz w:val="28"/>
          <w:szCs w:val="28"/>
        </w:rPr>
      </w:pPr>
      <w:r w:rsidRPr="00EE09AA">
        <w:rPr>
          <w:rFonts w:ascii="Garamond" w:hAnsi="Garamond"/>
          <w:b/>
          <w:bCs/>
          <w:sz w:val="28"/>
          <w:szCs w:val="28"/>
        </w:rPr>
        <w:t>Barriers</w:t>
      </w:r>
      <w:r>
        <w:rPr>
          <w:rFonts w:ascii="Garamond" w:hAnsi="Garamond"/>
          <w:b/>
          <w:bCs/>
          <w:sz w:val="28"/>
          <w:szCs w:val="28"/>
        </w:rPr>
        <w:t xml:space="preserve"> to developing a body of administrative justice work</w:t>
      </w:r>
    </w:p>
    <w:p w14:paraId="6B0FF2AF" w14:textId="1B883F40" w:rsidR="00D509F3" w:rsidRDefault="00E75360" w:rsidP="00D509F3">
      <w:pPr>
        <w:jc w:val="both"/>
        <w:rPr>
          <w:rFonts w:ascii="Garamond" w:hAnsi="Garamond"/>
          <w:sz w:val="24"/>
          <w:szCs w:val="24"/>
        </w:rPr>
      </w:pPr>
      <w:r>
        <w:rPr>
          <w:rFonts w:ascii="Garamond" w:hAnsi="Garamond"/>
          <w:sz w:val="24"/>
          <w:szCs w:val="24"/>
        </w:rPr>
        <w:t>Four</w:t>
      </w:r>
      <w:r w:rsidR="003E62F7">
        <w:rPr>
          <w:rFonts w:ascii="Garamond" w:hAnsi="Garamond"/>
          <w:sz w:val="24"/>
          <w:szCs w:val="24"/>
        </w:rPr>
        <w:t xml:space="preserve"> significant</w:t>
      </w:r>
      <w:r w:rsidR="00653A65">
        <w:rPr>
          <w:rFonts w:ascii="Garamond" w:hAnsi="Garamond"/>
          <w:sz w:val="24"/>
          <w:szCs w:val="24"/>
        </w:rPr>
        <w:t xml:space="preserve"> barrier</w:t>
      </w:r>
      <w:r w:rsidR="003E62F7">
        <w:rPr>
          <w:rFonts w:ascii="Garamond" w:hAnsi="Garamond"/>
          <w:sz w:val="24"/>
          <w:szCs w:val="24"/>
        </w:rPr>
        <w:t>s</w:t>
      </w:r>
      <w:r w:rsidR="00653A65">
        <w:rPr>
          <w:rFonts w:ascii="Garamond" w:hAnsi="Garamond"/>
          <w:sz w:val="24"/>
          <w:szCs w:val="24"/>
        </w:rPr>
        <w:t xml:space="preserve"> to this type of work must be mentioned before any conclusions are drawn –</w:t>
      </w:r>
      <w:r w:rsidR="003E62F7">
        <w:rPr>
          <w:rFonts w:ascii="Garamond" w:hAnsi="Garamond"/>
          <w:sz w:val="24"/>
          <w:szCs w:val="24"/>
        </w:rPr>
        <w:t xml:space="preserve"> access</w:t>
      </w:r>
      <w:r w:rsidR="002F75B4">
        <w:rPr>
          <w:rFonts w:ascii="Garamond" w:hAnsi="Garamond"/>
          <w:sz w:val="24"/>
          <w:szCs w:val="24"/>
        </w:rPr>
        <w:t xml:space="preserve">, competence, </w:t>
      </w:r>
      <w:r w:rsidR="00BC3908">
        <w:rPr>
          <w:rFonts w:ascii="Garamond" w:hAnsi="Garamond"/>
          <w:sz w:val="24"/>
          <w:szCs w:val="24"/>
        </w:rPr>
        <w:t xml:space="preserve">funding, </w:t>
      </w:r>
      <w:r w:rsidR="002F75B4">
        <w:rPr>
          <w:rFonts w:ascii="Garamond" w:hAnsi="Garamond"/>
          <w:sz w:val="24"/>
          <w:szCs w:val="24"/>
        </w:rPr>
        <w:t>and measurement.</w:t>
      </w:r>
      <w:r w:rsidR="007F4A5C">
        <w:rPr>
          <w:rFonts w:ascii="Garamond" w:hAnsi="Garamond"/>
          <w:sz w:val="24"/>
          <w:szCs w:val="24"/>
        </w:rPr>
        <w:t xml:space="preserve"> </w:t>
      </w:r>
      <w:r w:rsidR="00474E41">
        <w:rPr>
          <w:rFonts w:ascii="Garamond" w:hAnsi="Garamond"/>
          <w:sz w:val="24"/>
          <w:szCs w:val="24"/>
        </w:rPr>
        <w:t>Exploring the ‘internal’ requires</w:t>
      </w:r>
      <w:r w:rsidR="00D77ACE">
        <w:rPr>
          <w:rFonts w:ascii="Garamond" w:hAnsi="Garamond"/>
          <w:sz w:val="24"/>
          <w:szCs w:val="24"/>
        </w:rPr>
        <w:t xml:space="preserve"> empirical research</w:t>
      </w:r>
      <w:r w:rsidR="00CA025C">
        <w:rPr>
          <w:rFonts w:ascii="Garamond" w:hAnsi="Garamond"/>
          <w:sz w:val="24"/>
          <w:szCs w:val="24"/>
        </w:rPr>
        <w:t>. Carrying out this research with public bodies involves negotiations with gatekeepers to secure access to research participants.</w:t>
      </w:r>
      <w:r w:rsidR="00DA0FAC">
        <w:rPr>
          <w:rFonts w:ascii="Garamond" w:hAnsi="Garamond"/>
          <w:sz w:val="24"/>
          <w:szCs w:val="24"/>
        </w:rPr>
        <w:t xml:space="preserve"> </w:t>
      </w:r>
      <w:r w:rsidR="00534615">
        <w:rPr>
          <w:rFonts w:ascii="Garamond" w:hAnsi="Garamond"/>
          <w:sz w:val="24"/>
          <w:szCs w:val="24"/>
        </w:rPr>
        <w:t xml:space="preserve">‘Gatekeeping’ can be a significant barrier to successfully </w:t>
      </w:r>
      <w:r w:rsidR="00534615">
        <w:rPr>
          <w:rFonts w:ascii="Garamond" w:hAnsi="Garamond"/>
          <w:sz w:val="24"/>
          <w:szCs w:val="24"/>
        </w:rPr>
        <w:lastRenderedPageBreak/>
        <w:t xml:space="preserve">conducting empirical legal research. </w:t>
      </w:r>
      <w:r w:rsidR="00C002B1" w:rsidRPr="00C002B1">
        <w:rPr>
          <w:rFonts w:ascii="Garamond" w:hAnsi="Garamond"/>
          <w:sz w:val="24"/>
          <w:szCs w:val="24"/>
        </w:rPr>
        <w:t xml:space="preserve">Lund et al. describe how </w:t>
      </w:r>
      <w:r w:rsidR="00C002B1">
        <w:rPr>
          <w:rFonts w:ascii="Garamond" w:hAnsi="Garamond"/>
          <w:sz w:val="24"/>
          <w:szCs w:val="24"/>
        </w:rPr>
        <w:t>‘</w:t>
      </w:r>
      <w:r w:rsidR="00C002B1" w:rsidRPr="00C002B1">
        <w:rPr>
          <w:rFonts w:ascii="Garamond" w:hAnsi="Garamond"/>
          <w:sz w:val="24"/>
          <w:szCs w:val="24"/>
        </w:rPr>
        <w:t>[a] gatekeeper is generally understood to be someone who has the power and control over access to communities and key respondents in a particular location selected for research</w:t>
      </w:r>
      <w:r w:rsidR="00C002B1">
        <w:rPr>
          <w:rFonts w:ascii="Garamond" w:hAnsi="Garamond"/>
          <w:sz w:val="24"/>
          <w:szCs w:val="24"/>
        </w:rPr>
        <w:t>’</w:t>
      </w:r>
      <w:r w:rsidR="00C002B1" w:rsidRPr="00C002B1">
        <w:rPr>
          <w:rFonts w:ascii="Garamond" w:hAnsi="Garamond"/>
          <w:sz w:val="24"/>
          <w:szCs w:val="24"/>
        </w:rPr>
        <w:t>. They describe how gatekeepers can influence research by limiting access to participants.</w:t>
      </w:r>
      <w:r w:rsidR="00092936">
        <w:rPr>
          <w:rStyle w:val="FootnoteReference"/>
          <w:rFonts w:ascii="Garamond" w:hAnsi="Garamond"/>
          <w:sz w:val="24"/>
          <w:szCs w:val="24"/>
        </w:rPr>
        <w:footnoteReference w:id="83"/>
      </w:r>
      <w:r w:rsidR="00C002B1" w:rsidRPr="00C002B1">
        <w:rPr>
          <w:rFonts w:ascii="Garamond" w:hAnsi="Garamond"/>
          <w:sz w:val="24"/>
          <w:szCs w:val="24"/>
        </w:rPr>
        <w:t xml:space="preserve"> Reeves describes ‘gatekeepers’ as people who </w:t>
      </w:r>
      <w:r w:rsidR="00092936">
        <w:rPr>
          <w:rFonts w:ascii="Garamond" w:hAnsi="Garamond"/>
          <w:sz w:val="24"/>
          <w:szCs w:val="24"/>
        </w:rPr>
        <w:t>‘</w:t>
      </w:r>
      <w:r w:rsidR="00C002B1" w:rsidRPr="00C002B1">
        <w:rPr>
          <w:rFonts w:ascii="Garamond" w:hAnsi="Garamond"/>
          <w:sz w:val="24"/>
          <w:szCs w:val="24"/>
        </w:rPr>
        <w:t>can help or hinder research depending upon their personal thoughts on the validity of the research and its value, as well as their approach to the welfare of the people under their charge</w:t>
      </w:r>
      <w:r w:rsidR="00092936">
        <w:rPr>
          <w:rFonts w:ascii="Garamond" w:hAnsi="Garamond"/>
          <w:sz w:val="24"/>
          <w:szCs w:val="24"/>
        </w:rPr>
        <w:t>’.</w:t>
      </w:r>
      <w:r w:rsidR="007D51B0">
        <w:rPr>
          <w:rStyle w:val="FootnoteReference"/>
          <w:rFonts w:ascii="Garamond" w:hAnsi="Garamond"/>
          <w:sz w:val="24"/>
          <w:szCs w:val="24"/>
        </w:rPr>
        <w:footnoteReference w:id="84"/>
      </w:r>
      <w:r w:rsidR="009A24AF">
        <w:rPr>
          <w:rFonts w:ascii="Garamond" w:hAnsi="Garamond"/>
          <w:sz w:val="24"/>
          <w:szCs w:val="24"/>
        </w:rPr>
        <w:t xml:space="preserve"> </w:t>
      </w:r>
      <w:r w:rsidR="00AB3B33">
        <w:rPr>
          <w:rFonts w:ascii="Garamond" w:hAnsi="Garamond"/>
          <w:sz w:val="24"/>
          <w:szCs w:val="24"/>
        </w:rPr>
        <w:t xml:space="preserve">Access </w:t>
      </w:r>
      <w:r w:rsidR="00D56FD8">
        <w:rPr>
          <w:rFonts w:ascii="Garamond" w:hAnsi="Garamond"/>
          <w:sz w:val="24"/>
          <w:szCs w:val="24"/>
        </w:rPr>
        <w:t>as a potential barrier includes</w:t>
      </w:r>
      <w:r w:rsidR="00AB3B33">
        <w:rPr>
          <w:rFonts w:ascii="Garamond" w:hAnsi="Garamond"/>
          <w:sz w:val="24"/>
          <w:szCs w:val="24"/>
        </w:rPr>
        <w:t xml:space="preserve"> access to data</w:t>
      </w:r>
      <w:r w:rsidR="00003296">
        <w:rPr>
          <w:rFonts w:ascii="Garamond" w:hAnsi="Garamond"/>
          <w:sz w:val="24"/>
          <w:szCs w:val="24"/>
        </w:rPr>
        <w:t xml:space="preserve">, raising a whole host of interrelated </w:t>
      </w:r>
      <w:r w:rsidR="00C236C0">
        <w:rPr>
          <w:rFonts w:ascii="Garamond" w:hAnsi="Garamond"/>
          <w:sz w:val="24"/>
          <w:szCs w:val="24"/>
        </w:rPr>
        <w:t>issues</w:t>
      </w:r>
      <w:r w:rsidR="00D55EDE">
        <w:rPr>
          <w:rFonts w:ascii="Garamond" w:hAnsi="Garamond"/>
          <w:sz w:val="24"/>
          <w:szCs w:val="24"/>
        </w:rPr>
        <w:t>.</w:t>
      </w:r>
      <w:r w:rsidR="00D55EDE">
        <w:rPr>
          <w:rStyle w:val="FootnoteReference"/>
          <w:rFonts w:ascii="Garamond" w:hAnsi="Garamond"/>
          <w:sz w:val="24"/>
          <w:szCs w:val="24"/>
        </w:rPr>
        <w:footnoteReference w:id="85"/>
      </w:r>
      <w:r w:rsidR="00D55EDE">
        <w:rPr>
          <w:rFonts w:ascii="Garamond" w:hAnsi="Garamond"/>
          <w:sz w:val="24"/>
          <w:szCs w:val="24"/>
        </w:rPr>
        <w:t xml:space="preserve"> </w:t>
      </w:r>
      <w:r w:rsidR="00D509F3">
        <w:rPr>
          <w:rFonts w:ascii="Garamond" w:hAnsi="Garamond"/>
          <w:sz w:val="24"/>
          <w:szCs w:val="24"/>
        </w:rPr>
        <w:t xml:space="preserve">Administrative justice research is heavily dependent on the availability of empirical data. </w:t>
      </w:r>
      <w:r w:rsidR="001B6C4C">
        <w:rPr>
          <w:rFonts w:ascii="Garamond" w:hAnsi="Garamond"/>
          <w:sz w:val="24"/>
          <w:szCs w:val="24"/>
        </w:rPr>
        <w:t>Public body data gaps is an issue facing many governments at present</w:t>
      </w:r>
      <w:r w:rsidR="00A004AD">
        <w:rPr>
          <w:rFonts w:ascii="Garamond" w:hAnsi="Garamond"/>
          <w:sz w:val="24"/>
          <w:szCs w:val="24"/>
        </w:rPr>
        <w:t>,</w:t>
      </w:r>
      <w:r w:rsidR="001B6C4C">
        <w:rPr>
          <w:rFonts w:ascii="Garamond" w:hAnsi="Garamond"/>
          <w:sz w:val="24"/>
          <w:szCs w:val="24"/>
        </w:rPr>
        <w:t xml:space="preserve"> and raises </w:t>
      </w:r>
      <w:r w:rsidR="001E4B09">
        <w:rPr>
          <w:rFonts w:ascii="Garamond" w:hAnsi="Garamond"/>
          <w:sz w:val="24"/>
          <w:szCs w:val="24"/>
        </w:rPr>
        <w:t>the possibility of judicial review proceedings</w:t>
      </w:r>
      <w:r w:rsidR="001B6C4C">
        <w:rPr>
          <w:rFonts w:ascii="Garamond" w:hAnsi="Garamond"/>
          <w:sz w:val="24"/>
          <w:szCs w:val="24"/>
        </w:rPr>
        <w:t>.</w:t>
      </w:r>
      <w:r w:rsidR="002169C3">
        <w:rPr>
          <w:rStyle w:val="FootnoteReference"/>
          <w:rFonts w:ascii="Garamond" w:hAnsi="Garamond"/>
          <w:sz w:val="24"/>
          <w:szCs w:val="24"/>
        </w:rPr>
        <w:footnoteReference w:id="86"/>
      </w:r>
      <w:r w:rsidR="001B6C4C">
        <w:rPr>
          <w:rFonts w:ascii="Garamond" w:hAnsi="Garamond"/>
          <w:sz w:val="24"/>
          <w:szCs w:val="24"/>
        </w:rPr>
        <w:t xml:space="preserve"> </w:t>
      </w:r>
      <w:r w:rsidR="00D509F3">
        <w:rPr>
          <w:rFonts w:ascii="Garamond" w:hAnsi="Garamond"/>
          <w:sz w:val="24"/>
          <w:szCs w:val="24"/>
        </w:rPr>
        <w:t>A lack of systematic data collection in relation to ethnicity and gender was identified in a recent Joint Submission to the Department of Children, Equality, Disability, Integration and Youth.</w:t>
      </w:r>
      <w:r w:rsidR="00D509F3">
        <w:rPr>
          <w:rStyle w:val="FootnoteReference"/>
          <w:rFonts w:ascii="Garamond" w:hAnsi="Garamond"/>
          <w:sz w:val="24"/>
          <w:szCs w:val="24"/>
        </w:rPr>
        <w:footnoteReference w:id="87"/>
      </w:r>
      <w:r w:rsidR="00D509F3">
        <w:rPr>
          <w:rFonts w:ascii="Garamond" w:hAnsi="Garamond"/>
          <w:sz w:val="24"/>
          <w:szCs w:val="24"/>
        </w:rPr>
        <w:t xml:space="preserve"> </w:t>
      </w:r>
    </w:p>
    <w:p w14:paraId="40B3DBBB" w14:textId="1F56FAE3" w:rsidR="00453F34" w:rsidRDefault="007128A6" w:rsidP="00846EC9">
      <w:pPr>
        <w:jc w:val="both"/>
        <w:rPr>
          <w:rFonts w:ascii="Garamond" w:hAnsi="Garamond"/>
          <w:sz w:val="24"/>
          <w:szCs w:val="24"/>
        </w:rPr>
      </w:pPr>
      <w:r>
        <w:rPr>
          <w:rFonts w:ascii="Garamond" w:hAnsi="Garamond"/>
          <w:sz w:val="24"/>
          <w:szCs w:val="24"/>
        </w:rPr>
        <w:t>Second</w:t>
      </w:r>
      <w:r w:rsidR="00963278">
        <w:rPr>
          <w:rFonts w:ascii="Garamond" w:hAnsi="Garamond"/>
          <w:sz w:val="24"/>
          <w:szCs w:val="24"/>
        </w:rPr>
        <w:t xml:space="preserve">, </w:t>
      </w:r>
      <w:r w:rsidR="007F4A5C">
        <w:rPr>
          <w:rFonts w:ascii="Garamond" w:hAnsi="Garamond"/>
          <w:sz w:val="24"/>
          <w:szCs w:val="24"/>
        </w:rPr>
        <w:t>to</w:t>
      </w:r>
      <w:r w:rsidR="00263D24">
        <w:rPr>
          <w:rFonts w:ascii="Garamond" w:hAnsi="Garamond"/>
          <w:sz w:val="24"/>
          <w:szCs w:val="24"/>
        </w:rPr>
        <w:t xml:space="preserve"> expand the methodological toolkit of public law scholars, </w:t>
      </w:r>
      <w:r w:rsidR="00C515C8">
        <w:rPr>
          <w:rFonts w:ascii="Garamond" w:hAnsi="Garamond"/>
          <w:sz w:val="24"/>
          <w:szCs w:val="24"/>
        </w:rPr>
        <w:t xml:space="preserve">attention will need to be paid to the training of legal researchers. </w:t>
      </w:r>
      <w:r w:rsidR="00097CD7">
        <w:rPr>
          <w:rFonts w:ascii="Garamond" w:hAnsi="Garamond"/>
          <w:sz w:val="24"/>
          <w:szCs w:val="24"/>
        </w:rPr>
        <w:t>The</w:t>
      </w:r>
      <w:r w:rsidR="00097CD7" w:rsidRPr="00097CD7">
        <w:rPr>
          <w:rFonts w:ascii="Garamond" w:hAnsi="Garamond"/>
          <w:sz w:val="24"/>
          <w:szCs w:val="24"/>
        </w:rPr>
        <w:t xml:space="preserve"> Nuffield Inquiry on Empirical Legal Research identifie</w:t>
      </w:r>
      <w:r w:rsidR="00097CD7">
        <w:rPr>
          <w:rFonts w:ascii="Garamond" w:hAnsi="Garamond"/>
          <w:sz w:val="24"/>
          <w:szCs w:val="24"/>
        </w:rPr>
        <w:t>d</w:t>
      </w:r>
      <w:r w:rsidR="00097CD7" w:rsidRPr="00097CD7">
        <w:rPr>
          <w:rFonts w:ascii="Garamond" w:hAnsi="Garamond"/>
          <w:sz w:val="24"/>
          <w:szCs w:val="24"/>
        </w:rPr>
        <w:t xml:space="preserve"> </w:t>
      </w:r>
      <w:r w:rsidR="00097CD7">
        <w:rPr>
          <w:rFonts w:ascii="Garamond" w:hAnsi="Garamond"/>
          <w:sz w:val="24"/>
          <w:szCs w:val="24"/>
        </w:rPr>
        <w:t>‘</w:t>
      </w:r>
      <w:r w:rsidR="00097CD7" w:rsidRPr="00097CD7">
        <w:rPr>
          <w:rFonts w:ascii="Garamond" w:hAnsi="Garamond"/>
          <w:sz w:val="24"/>
          <w:szCs w:val="24"/>
        </w:rPr>
        <w:t>the problem of self-replication</w:t>
      </w:r>
      <w:r w:rsidR="00097CD7">
        <w:rPr>
          <w:rFonts w:ascii="Garamond" w:hAnsi="Garamond"/>
          <w:sz w:val="24"/>
          <w:szCs w:val="24"/>
        </w:rPr>
        <w:t>’</w:t>
      </w:r>
      <w:r w:rsidR="001676D3">
        <w:rPr>
          <w:rFonts w:ascii="Garamond" w:hAnsi="Garamond"/>
          <w:sz w:val="24"/>
          <w:szCs w:val="24"/>
        </w:rPr>
        <w:t xml:space="preserve"> </w:t>
      </w:r>
      <w:r w:rsidR="00ED660B">
        <w:rPr>
          <w:rFonts w:ascii="Garamond" w:hAnsi="Garamond"/>
          <w:sz w:val="24"/>
          <w:szCs w:val="24"/>
        </w:rPr>
        <w:t>due to</w:t>
      </w:r>
      <w:r w:rsidR="001676D3">
        <w:rPr>
          <w:rFonts w:ascii="Garamond" w:hAnsi="Garamond"/>
          <w:sz w:val="24"/>
          <w:szCs w:val="24"/>
        </w:rPr>
        <w:t xml:space="preserve"> law schools </w:t>
      </w:r>
      <w:r w:rsidR="00ED660B">
        <w:rPr>
          <w:rFonts w:ascii="Garamond" w:hAnsi="Garamond"/>
          <w:sz w:val="24"/>
          <w:szCs w:val="24"/>
        </w:rPr>
        <w:t xml:space="preserve">being </w:t>
      </w:r>
      <w:r w:rsidR="001676D3">
        <w:rPr>
          <w:rFonts w:ascii="Garamond" w:hAnsi="Garamond"/>
          <w:sz w:val="24"/>
          <w:szCs w:val="24"/>
        </w:rPr>
        <w:t xml:space="preserve">dominated by theoretical and doctrinal methods leading to a knowledge gap on </w:t>
      </w:r>
      <w:r w:rsidR="00ED660B">
        <w:rPr>
          <w:rFonts w:ascii="Garamond" w:hAnsi="Garamond"/>
          <w:sz w:val="24"/>
          <w:szCs w:val="24"/>
        </w:rPr>
        <w:t xml:space="preserve">non-text based </w:t>
      </w:r>
      <w:r w:rsidR="001676D3">
        <w:rPr>
          <w:rFonts w:ascii="Garamond" w:hAnsi="Garamond"/>
          <w:sz w:val="24"/>
          <w:szCs w:val="24"/>
        </w:rPr>
        <w:t>methods</w:t>
      </w:r>
      <w:r w:rsidR="00097CD7" w:rsidRPr="00097CD7">
        <w:rPr>
          <w:rFonts w:ascii="Garamond" w:hAnsi="Garamond"/>
          <w:sz w:val="24"/>
          <w:szCs w:val="24"/>
        </w:rPr>
        <w:t>.</w:t>
      </w:r>
      <w:r w:rsidR="008D4638">
        <w:rPr>
          <w:rStyle w:val="FootnoteReference"/>
          <w:rFonts w:ascii="Garamond" w:hAnsi="Garamond"/>
          <w:sz w:val="24"/>
          <w:szCs w:val="24"/>
        </w:rPr>
        <w:footnoteReference w:id="88"/>
      </w:r>
      <w:r w:rsidR="00097CD7" w:rsidRPr="00097CD7">
        <w:rPr>
          <w:rFonts w:ascii="Garamond" w:hAnsi="Garamond"/>
          <w:sz w:val="24"/>
          <w:szCs w:val="24"/>
        </w:rPr>
        <w:t xml:space="preserve"> </w:t>
      </w:r>
      <w:r w:rsidR="00AF0EB6">
        <w:rPr>
          <w:rFonts w:ascii="Garamond" w:hAnsi="Garamond"/>
          <w:sz w:val="24"/>
          <w:szCs w:val="24"/>
        </w:rPr>
        <w:t>People interested in carrying out empirical work must be trained in empirical methods, understand the different ethical issues arising when carrying out research with human participants, and</w:t>
      </w:r>
      <w:r w:rsidR="000D0557">
        <w:rPr>
          <w:rFonts w:ascii="Garamond" w:hAnsi="Garamond"/>
          <w:sz w:val="24"/>
          <w:szCs w:val="24"/>
        </w:rPr>
        <w:t xml:space="preserve"> understand the limitations of different research methods. </w:t>
      </w:r>
      <w:r w:rsidR="005779F4">
        <w:rPr>
          <w:rFonts w:ascii="Garamond" w:hAnsi="Garamond"/>
          <w:sz w:val="24"/>
          <w:szCs w:val="24"/>
        </w:rPr>
        <w:t xml:space="preserve">Senior </w:t>
      </w:r>
      <w:r w:rsidR="002964EF">
        <w:rPr>
          <w:rFonts w:ascii="Garamond" w:hAnsi="Garamond"/>
          <w:sz w:val="24"/>
          <w:szCs w:val="24"/>
        </w:rPr>
        <w:t xml:space="preserve">public law </w:t>
      </w:r>
      <w:r w:rsidR="005779F4">
        <w:rPr>
          <w:rFonts w:ascii="Garamond" w:hAnsi="Garamond"/>
          <w:sz w:val="24"/>
          <w:szCs w:val="24"/>
        </w:rPr>
        <w:t xml:space="preserve">academics and members of the judiciary </w:t>
      </w:r>
      <w:r w:rsidR="00BF72F0">
        <w:rPr>
          <w:rFonts w:ascii="Garamond" w:hAnsi="Garamond"/>
          <w:sz w:val="24"/>
          <w:szCs w:val="24"/>
        </w:rPr>
        <w:t xml:space="preserve">are less likely to have been trained in different </w:t>
      </w:r>
      <w:r w:rsidR="006B3409">
        <w:rPr>
          <w:rFonts w:ascii="Garamond" w:hAnsi="Garamond"/>
          <w:sz w:val="24"/>
          <w:szCs w:val="24"/>
        </w:rPr>
        <w:t>research methods,</w:t>
      </w:r>
      <w:r w:rsidR="002964EF">
        <w:rPr>
          <w:rFonts w:ascii="Garamond" w:hAnsi="Garamond"/>
          <w:sz w:val="24"/>
          <w:szCs w:val="24"/>
        </w:rPr>
        <w:t xml:space="preserve"> changes in the prevailing approaches to research will take time and capacity-building work. </w:t>
      </w:r>
      <w:r w:rsidR="006B3409">
        <w:rPr>
          <w:rFonts w:ascii="Garamond" w:hAnsi="Garamond"/>
          <w:sz w:val="24"/>
          <w:szCs w:val="24"/>
        </w:rPr>
        <w:t xml:space="preserve"> </w:t>
      </w:r>
    </w:p>
    <w:p w14:paraId="681D31B5" w14:textId="7F0E84F7" w:rsidR="00BC3908" w:rsidRDefault="00346BD3" w:rsidP="00846EC9">
      <w:pPr>
        <w:jc w:val="both"/>
        <w:rPr>
          <w:rFonts w:ascii="Garamond" w:hAnsi="Garamond"/>
          <w:sz w:val="24"/>
          <w:szCs w:val="24"/>
        </w:rPr>
      </w:pPr>
      <w:r>
        <w:rPr>
          <w:rFonts w:ascii="Garamond" w:hAnsi="Garamond"/>
          <w:sz w:val="24"/>
          <w:szCs w:val="24"/>
        </w:rPr>
        <w:t>This relates to the third potential barrier – funding. Carrying out fieldwork takes</w:t>
      </w:r>
      <w:r w:rsidR="00A25FD8">
        <w:rPr>
          <w:rFonts w:ascii="Garamond" w:hAnsi="Garamond"/>
          <w:sz w:val="24"/>
          <w:szCs w:val="24"/>
        </w:rPr>
        <w:t xml:space="preserve"> time and raises different complexities to desk-based research. </w:t>
      </w:r>
      <w:r w:rsidR="00156D69">
        <w:rPr>
          <w:rFonts w:ascii="Garamond" w:hAnsi="Garamond"/>
          <w:sz w:val="24"/>
          <w:szCs w:val="24"/>
        </w:rPr>
        <w:t xml:space="preserve">Designing surveys, </w:t>
      </w:r>
      <w:r w:rsidR="00BC097B">
        <w:rPr>
          <w:rFonts w:ascii="Garamond" w:hAnsi="Garamond"/>
          <w:sz w:val="24"/>
          <w:szCs w:val="24"/>
        </w:rPr>
        <w:t>arranging focus groups or scheduling interviews takes a lot of planning time</w:t>
      </w:r>
      <w:r w:rsidR="00106F84">
        <w:rPr>
          <w:rFonts w:ascii="Garamond" w:hAnsi="Garamond"/>
          <w:sz w:val="24"/>
          <w:szCs w:val="24"/>
        </w:rPr>
        <w:t xml:space="preserve"> and requires funding for participant compensation, </w:t>
      </w:r>
      <w:r w:rsidR="001E59A7">
        <w:rPr>
          <w:rFonts w:ascii="Garamond" w:hAnsi="Garamond"/>
          <w:sz w:val="24"/>
          <w:szCs w:val="24"/>
        </w:rPr>
        <w:t>contracting for surveying services</w:t>
      </w:r>
      <w:r w:rsidR="00FF19D5">
        <w:rPr>
          <w:rFonts w:ascii="Garamond" w:hAnsi="Garamond"/>
          <w:sz w:val="24"/>
          <w:szCs w:val="24"/>
        </w:rPr>
        <w:t xml:space="preserve">, transcription of interviews or focus groups, and travel expenses. </w:t>
      </w:r>
      <w:r w:rsidR="00106F84">
        <w:rPr>
          <w:rFonts w:ascii="Garamond" w:hAnsi="Garamond"/>
          <w:sz w:val="24"/>
          <w:szCs w:val="24"/>
        </w:rPr>
        <w:t xml:space="preserve">Additionally, </w:t>
      </w:r>
      <w:r w:rsidR="00BC097B">
        <w:rPr>
          <w:rFonts w:ascii="Garamond" w:hAnsi="Garamond"/>
          <w:sz w:val="24"/>
          <w:szCs w:val="24"/>
        </w:rPr>
        <w:t xml:space="preserve">in a ‘publish or perish’ culture, </w:t>
      </w:r>
      <w:r w:rsidR="007A046F">
        <w:rPr>
          <w:rFonts w:ascii="Garamond" w:hAnsi="Garamond"/>
          <w:sz w:val="24"/>
          <w:szCs w:val="24"/>
        </w:rPr>
        <w:t xml:space="preserve">slow scholarship can be less desirable to researchers trying to maintain a steady stream of outputs. </w:t>
      </w:r>
      <w:r w:rsidR="00F526EB">
        <w:rPr>
          <w:rFonts w:ascii="Garamond" w:hAnsi="Garamond"/>
          <w:sz w:val="24"/>
          <w:szCs w:val="24"/>
        </w:rPr>
        <w:t>Gathering data can be a slow and expensive process requiring funding</w:t>
      </w:r>
      <w:r w:rsidR="00185DEE">
        <w:rPr>
          <w:rFonts w:ascii="Garamond" w:hAnsi="Garamond"/>
          <w:sz w:val="24"/>
          <w:szCs w:val="24"/>
        </w:rPr>
        <w:t xml:space="preserve">. </w:t>
      </w:r>
    </w:p>
    <w:p w14:paraId="24AA8954" w14:textId="201229A1" w:rsidR="00453F34" w:rsidRDefault="00453F34" w:rsidP="00453F34">
      <w:pPr>
        <w:jc w:val="both"/>
        <w:rPr>
          <w:rFonts w:ascii="Garamond" w:hAnsi="Garamond"/>
          <w:sz w:val="24"/>
          <w:szCs w:val="24"/>
        </w:rPr>
      </w:pPr>
      <w:r w:rsidRPr="00453F34">
        <w:rPr>
          <w:rFonts w:ascii="Garamond" w:hAnsi="Garamond"/>
          <w:sz w:val="24"/>
          <w:szCs w:val="24"/>
        </w:rPr>
        <w:t xml:space="preserve">Finally, </w:t>
      </w:r>
      <w:r w:rsidR="0017072D">
        <w:rPr>
          <w:rFonts w:ascii="Garamond" w:hAnsi="Garamond"/>
          <w:sz w:val="24"/>
          <w:szCs w:val="24"/>
        </w:rPr>
        <w:t>measurement</w:t>
      </w:r>
      <w:r w:rsidR="00A95185">
        <w:rPr>
          <w:rFonts w:ascii="Garamond" w:hAnsi="Garamond"/>
          <w:sz w:val="24"/>
          <w:szCs w:val="24"/>
        </w:rPr>
        <w:t xml:space="preserve"> and how we might simultaneously deal with different perspectives and experiences</w:t>
      </w:r>
      <w:r w:rsidR="0017072D">
        <w:rPr>
          <w:rFonts w:ascii="Garamond" w:hAnsi="Garamond"/>
          <w:sz w:val="24"/>
          <w:szCs w:val="24"/>
        </w:rPr>
        <w:t xml:space="preserve"> is a concern for legal scholars</w:t>
      </w:r>
      <w:r w:rsidR="00B34D26">
        <w:rPr>
          <w:rFonts w:ascii="Garamond" w:hAnsi="Garamond"/>
          <w:sz w:val="24"/>
          <w:szCs w:val="24"/>
        </w:rPr>
        <w:t xml:space="preserve"> – </w:t>
      </w:r>
      <w:r w:rsidR="008428F0">
        <w:rPr>
          <w:rFonts w:ascii="Garamond" w:hAnsi="Garamond"/>
          <w:sz w:val="24"/>
          <w:szCs w:val="24"/>
        </w:rPr>
        <w:t>particularly</w:t>
      </w:r>
      <w:r w:rsidR="00B34D26">
        <w:rPr>
          <w:rFonts w:ascii="Garamond" w:hAnsi="Garamond"/>
          <w:sz w:val="24"/>
          <w:szCs w:val="24"/>
        </w:rPr>
        <w:t xml:space="preserve"> whereby doctrinal research typically</w:t>
      </w:r>
      <w:r w:rsidR="0017072D">
        <w:rPr>
          <w:rFonts w:ascii="Garamond" w:hAnsi="Garamond"/>
          <w:sz w:val="24"/>
          <w:szCs w:val="24"/>
        </w:rPr>
        <w:t xml:space="preserve"> focus</w:t>
      </w:r>
      <w:r w:rsidR="00B34D26">
        <w:rPr>
          <w:rFonts w:ascii="Garamond" w:hAnsi="Garamond"/>
          <w:sz w:val="24"/>
          <w:szCs w:val="24"/>
        </w:rPr>
        <w:t>es</w:t>
      </w:r>
      <w:r w:rsidR="0017072D">
        <w:rPr>
          <w:rFonts w:ascii="Garamond" w:hAnsi="Garamond"/>
          <w:sz w:val="24"/>
          <w:szCs w:val="24"/>
        </w:rPr>
        <w:t xml:space="preserve"> on </w:t>
      </w:r>
      <w:r w:rsidR="00B34D26">
        <w:rPr>
          <w:rFonts w:ascii="Garamond" w:hAnsi="Garamond"/>
          <w:sz w:val="24"/>
          <w:szCs w:val="24"/>
        </w:rPr>
        <w:t>finding coherence in the law.</w:t>
      </w:r>
      <w:r w:rsidR="00B34D26">
        <w:rPr>
          <w:rStyle w:val="FootnoteReference"/>
          <w:rFonts w:ascii="Garamond" w:hAnsi="Garamond"/>
          <w:sz w:val="24"/>
          <w:szCs w:val="24"/>
        </w:rPr>
        <w:footnoteReference w:id="89"/>
      </w:r>
      <w:r w:rsidRPr="00453F34">
        <w:rPr>
          <w:rFonts w:ascii="Garamond" w:hAnsi="Garamond"/>
          <w:sz w:val="24"/>
          <w:szCs w:val="24"/>
        </w:rPr>
        <w:t xml:space="preserve"> When we use multiple methods in legal research we come up against the problem of commensurability of outputs and the extent to which the newly generated data sets contribute to answering a research question. Epstein and Martin explain that </w:t>
      </w:r>
      <w:r w:rsidR="00C05215">
        <w:rPr>
          <w:rFonts w:ascii="Garamond" w:hAnsi="Garamond"/>
          <w:sz w:val="24"/>
          <w:szCs w:val="24"/>
        </w:rPr>
        <w:t>‘</w:t>
      </w:r>
      <w:r w:rsidRPr="00453F34">
        <w:rPr>
          <w:rFonts w:ascii="Garamond" w:hAnsi="Garamond"/>
          <w:sz w:val="24"/>
          <w:szCs w:val="24"/>
        </w:rPr>
        <w:t>measurement is a critical step in designing research</w:t>
      </w:r>
      <w:r w:rsidR="00C05215">
        <w:rPr>
          <w:rFonts w:ascii="Garamond" w:hAnsi="Garamond"/>
          <w:sz w:val="24"/>
          <w:szCs w:val="24"/>
        </w:rPr>
        <w:t>’</w:t>
      </w:r>
      <w:r w:rsidRPr="00453F34">
        <w:rPr>
          <w:rFonts w:ascii="Garamond" w:hAnsi="Garamond"/>
          <w:sz w:val="24"/>
          <w:szCs w:val="24"/>
        </w:rPr>
        <w:t>.</w:t>
      </w:r>
      <w:r w:rsidRPr="00453F34">
        <w:rPr>
          <w:rStyle w:val="FootnoteReference"/>
          <w:rFonts w:ascii="Garamond" w:hAnsi="Garamond"/>
          <w:sz w:val="24"/>
          <w:szCs w:val="24"/>
        </w:rPr>
        <w:footnoteReference w:id="90"/>
      </w:r>
      <w:r w:rsidRPr="00453F34">
        <w:rPr>
          <w:rFonts w:ascii="Garamond" w:hAnsi="Garamond"/>
          <w:sz w:val="24"/>
          <w:szCs w:val="24"/>
        </w:rPr>
        <w:t xml:space="preserve"> It is our role, as researchers, to be curious about different methods of measurement to assess the reliability and validity of our research.</w:t>
      </w:r>
      <w:r w:rsidRPr="00453F34">
        <w:rPr>
          <w:rStyle w:val="FootnoteReference"/>
          <w:rFonts w:ascii="Garamond" w:hAnsi="Garamond"/>
          <w:sz w:val="24"/>
          <w:szCs w:val="24"/>
        </w:rPr>
        <w:footnoteReference w:id="91"/>
      </w:r>
      <w:r w:rsidRPr="00453F34">
        <w:rPr>
          <w:rFonts w:ascii="Garamond" w:hAnsi="Garamond"/>
          <w:sz w:val="24"/>
          <w:szCs w:val="24"/>
        </w:rPr>
        <w:t xml:space="preserve"> By </w:t>
      </w:r>
      <w:r w:rsidRPr="00453F34">
        <w:rPr>
          <w:rFonts w:ascii="Garamond" w:hAnsi="Garamond"/>
          <w:sz w:val="24"/>
          <w:szCs w:val="24"/>
        </w:rPr>
        <w:lastRenderedPageBreak/>
        <w:t xml:space="preserve">incorporating </w:t>
      </w:r>
      <w:r w:rsidR="002A3513">
        <w:rPr>
          <w:rFonts w:ascii="Garamond" w:hAnsi="Garamond"/>
          <w:sz w:val="24"/>
          <w:szCs w:val="24"/>
        </w:rPr>
        <w:t>empirical and socio-legal understandings</w:t>
      </w:r>
      <w:r w:rsidRPr="00453F34">
        <w:rPr>
          <w:rFonts w:ascii="Garamond" w:hAnsi="Garamond"/>
          <w:sz w:val="24"/>
          <w:szCs w:val="24"/>
        </w:rPr>
        <w:t xml:space="preserve">, </w:t>
      </w:r>
      <w:r w:rsidR="0078117A">
        <w:rPr>
          <w:rFonts w:ascii="Garamond" w:hAnsi="Garamond"/>
          <w:sz w:val="24"/>
          <w:szCs w:val="24"/>
        </w:rPr>
        <w:t xml:space="preserve">administrative justice research </w:t>
      </w:r>
      <w:r w:rsidRPr="00453F34">
        <w:rPr>
          <w:rFonts w:ascii="Garamond" w:hAnsi="Garamond"/>
          <w:sz w:val="24"/>
          <w:szCs w:val="24"/>
        </w:rPr>
        <w:t xml:space="preserve">necessarily takes an epistemologically constructivist approach that recognises multiple </w:t>
      </w:r>
      <w:r w:rsidR="0078117A">
        <w:rPr>
          <w:rFonts w:ascii="Garamond" w:hAnsi="Garamond"/>
          <w:sz w:val="24"/>
          <w:szCs w:val="24"/>
        </w:rPr>
        <w:t>experiences</w:t>
      </w:r>
      <w:r w:rsidRPr="00453F34">
        <w:rPr>
          <w:rFonts w:ascii="Garamond" w:hAnsi="Garamond"/>
          <w:sz w:val="24"/>
          <w:szCs w:val="24"/>
        </w:rPr>
        <w:t>.</w:t>
      </w:r>
      <w:r w:rsidRPr="00453F34">
        <w:rPr>
          <w:rStyle w:val="FootnoteReference"/>
          <w:rFonts w:ascii="Garamond" w:hAnsi="Garamond"/>
          <w:sz w:val="24"/>
          <w:szCs w:val="24"/>
        </w:rPr>
        <w:footnoteReference w:id="92"/>
      </w:r>
      <w:r w:rsidRPr="00453F34">
        <w:rPr>
          <w:rFonts w:ascii="Garamond" w:hAnsi="Garamond"/>
          <w:sz w:val="24"/>
          <w:szCs w:val="24"/>
        </w:rPr>
        <w:t xml:space="preserve"> </w:t>
      </w:r>
      <w:r w:rsidR="00C62B94">
        <w:rPr>
          <w:rFonts w:ascii="Garamond" w:hAnsi="Garamond"/>
          <w:sz w:val="24"/>
          <w:szCs w:val="24"/>
        </w:rPr>
        <w:t xml:space="preserve">This is both a strength and limitation of </w:t>
      </w:r>
      <w:r w:rsidR="002261CC">
        <w:rPr>
          <w:rFonts w:ascii="Garamond" w:hAnsi="Garamond"/>
          <w:sz w:val="24"/>
          <w:szCs w:val="24"/>
        </w:rPr>
        <w:t xml:space="preserve">administrative justice research. We </w:t>
      </w:r>
      <w:r w:rsidR="00EE65F5">
        <w:rPr>
          <w:rFonts w:ascii="Garamond" w:hAnsi="Garamond"/>
          <w:sz w:val="24"/>
          <w:szCs w:val="24"/>
        </w:rPr>
        <w:t xml:space="preserve">risk </w:t>
      </w:r>
      <w:r w:rsidR="002261CC">
        <w:rPr>
          <w:rFonts w:ascii="Garamond" w:hAnsi="Garamond"/>
          <w:sz w:val="24"/>
          <w:szCs w:val="24"/>
        </w:rPr>
        <w:t>los</w:t>
      </w:r>
      <w:r w:rsidR="00EE65F5">
        <w:rPr>
          <w:rFonts w:ascii="Garamond" w:hAnsi="Garamond"/>
          <w:sz w:val="24"/>
          <w:szCs w:val="24"/>
        </w:rPr>
        <w:t>ing</w:t>
      </w:r>
      <w:r w:rsidR="002261CC">
        <w:rPr>
          <w:rFonts w:ascii="Garamond" w:hAnsi="Garamond"/>
          <w:sz w:val="24"/>
          <w:szCs w:val="24"/>
        </w:rPr>
        <w:t xml:space="preserve"> coherence</w:t>
      </w:r>
      <w:r w:rsidR="00EE65F5">
        <w:rPr>
          <w:rFonts w:ascii="Garamond" w:hAnsi="Garamond"/>
          <w:sz w:val="24"/>
          <w:szCs w:val="24"/>
        </w:rPr>
        <w:t xml:space="preserve"> or neatness</w:t>
      </w:r>
      <w:r w:rsidR="002261CC">
        <w:rPr>
          <w:rFonts w:ascii="Garamond" w:hAnsi="Garamond"/>
          <w:sz w:val="24"/>
          <w:szCs w:val="24"/>
        </w:rPr>
        <w:t>, but we gain complex</w:t>
      </w:r>
      <w:r w:rsidR="0094283D">
        <w:rPr>
          <w:rFonts w:ascii="Garamond" w:hAnsi="Garamond"/>
          <w:sz w:val="24"/>
          <w:szCs w:val="24"/>
        </w:rPr>
        <w:t xml:space="preserve"> and dynamic</w:t>
      </w:r>
      <w:r w:rsidR="002261CC">
        <w:rPr>
          <w:rFonts w:ascii="Garamond" w:hAnsi="Garamond"/>
          <w:sz w:val="24"/>
          <w:szCs w:val="24"/>
        </w:rPr>
        <w:t xml:space="preserve"> understanding</w:t>
      </w:r>
      <w:r w:rsidR="008E59FD">
        <w:rPr>
          <w:rFonts w:ascii="Garamond" w:hAnsi="Garamond"/>
          <w:sz w:val="24"/>
          <w:szCs w:val="24"/>
        </w:rPr>
        <w:t xml:space="preserve">s. </w:t>
      </w:r>
    </w:p>
    <w:p w14:paraId="02D8B4E9" w14:textId="6AF470CE" w:rsidR="00EE09AA" w:rsidRPr="00727E3B" w:rsidRDefault="00727E3B" w:rsidP="008D5B88">
      <w:pPr>
        <w:jc w:val="both"/>
        <w:rPr>
          <w:rFonts w:ascii="Garamond" w:hAnsi="Garamond"/>
          <w:b/>
          <w:bCs/>
          <w:sz w:val="28"/>
          <w:szCs w:val="28"/>
        </w:rPr>
      </w:pPr>
      <w:r w:rsidRPr="00727E3B">
        <w:rPr>
          <w:rFonts w:ascii="Garamond" w:hAnsi="Garamond"/>
          <w:b/>
          <w:bCs/>
          <w:sz w:val="28"/>
          <w:szCs w:val="28"/>
        </w:rPr>
        <w:t>The evolving nature of the state, technological advance</w:t>
      </w:r>
      <w:r>
        <w:rPr>
          <w:rFonts w:ascii="Garamond" w:hAnsi="Garamond"/>
          <w:b/>
          <w:bCs/>
          <w:sz w:val="28"/>
          <w:szCs w:val="28"/>
        </w:rPr>
        <w:t>s</w:t>
      </w:r>
      <w:r w:rsidRPr="00727E3B">
        <w:rPr>
          <w:rFonts w:ascii="Garamond" w:hAnsi="Garamond"/>
          <w:b/>
          <w:bCs/>
          <w:sz w:val="28"/>
          <w:szCs w:val="28"/>
        </w:rPr>
        <w:t>, and inclusive futures</w:t>
      </w:r>
    </w:p>
    <w:p w14:paraId="1A88EEDD" w14:textId="430443A0" w:rsidR="008D5B88" w:rsidRDefault="008D5B88" w:rsidP="008D5B88">
      <w:pPr>
        <w:jc w:val="both"/>
        <w:rPr>
          <w:rFonts w:ascii="Garamond" w:hAnsi="Garamond"/>
          <w:sz w:val="24"/>
          <w:szCs w:val="24"/>
        </w:rPr>
      </w:pPr>
      <w:r w:rsidRPr="00670B63">
        <w:rPr>
          <w:rFonts w:ascii="Garamond" w:hAnsi="Garamond"/>
          <w:sz w:val="24"/>
          <w:szCs w:val="24"/>
        </w:rPr>
        <w:t>An i</w:t>
      </w:r>
      <w:r>
        <w:rPr>
          <w:rFonts w:ascii="Garamond" w:hAnsi="Garamond"/>
          <w:sz w:val="24"/>
          <w:szCs w:val="24"/>
        </w:rPr>
        <w:t>mportant</w:t>
      </w:r>
      <w:r w:rsidRPr="00670B63">
        <w:rPr>
          <w:rFonts w:ascii="Garamond" w:hAnsi="Garamond"/>
          <w:sz w:val="24"/>
          <w:szCs w:val="24"/>
        </w:rPr>
        <w:t xml:space="preserve"> question for further research is how </w:t>
      </w:r>
      <w:r>
        <w:rPr>
          <w:rFonts w:ascii="Garamond" w:hAnsi="Garamond"/>
          <w:sz w:val="24"/>
          <w:szCs w:val="24"/>
        </w:rPr>
        <w:t>the places of administrative justice</w:t>
      </w:r>
      <w:r w:rsidRPr="00670B63">
        <w:rPr>
          <w:rFonts w:ascii="Garamond" w:hAnsi="Garamond"/>
          <w:sz w:val="24"/>
          <w:szCs w:val="24"/>
        </w:rPr>
        <w:t xml:space="preserve"> have changed </w:t>
      </w:r>
      <w:r>
        <w:rPr>
          <w:rFonts w:ascii="Garamond" w:hAnsi="Garamond"/>
          <w:sz w:val="24"/>
          <w:szCs w:val="24"/>
        </w:rPr>
        <w:t xml:space="preserve">and are changing </w:t>
      </w:r>
      <w:r w:rsidRPr="00670B63">
        <w:rPr>
          <w:rFonts w:ascii="Garamond" w:hAnsi="Garamond"/>
          <w:sz w:val="24"/>
          <w:szCs w:val="24"/>
        </w:rPr>
        <w:t xml:space="preserve">due to rise of remote </w:t>
      </w:r>
      <w:r>
        <w:rPr>
          <w:rFonts w:ascii="Garamond" w:hAnsi="Garamond"/>
          <w:sz w:val="24"/>
          <w:szCs w:val="24"/>
        </w:rPr>
        <w:t>hearings</w:t>
      </w:r>
      <w:r w:rsidRPr="00670B63">
        <w:rPr>
          <w:rFonts w:ascii="Garamond" w:hAnsi="Garamond"/>
          <w:sz w:val="24"/>
          <w:szCs w:val="24"/>
        </w:rPr>
        <w:t xml:space="preserve"> and digital delivery of administrative functions.</w:t>
      </w:r>
      <w:r>
        <w:rPr>
          <w:rFonts w:ascii="Garamond" w:hAnsi="Garamond"/>
          <w:sz w:val="24"/>
          <w:szCs w:val="24"/>
        </w:rPr>
        <w:t xml:space="preserve"> </w:t>
      </w:r>
      <w:r w:rsidR="00DD2106">
        <w:rPr>
          <w:rFonts w:ascii="Garamond" w:hAnsi="Garamond"/>
          <w:sz w:val="24"/>
          <w:szCs w:val="24"/>
        </w:rPr>
        <w:t>The</w:t>
      </w:r>
      <w:r w:rsidR="007E51E3">
        <w:rPr>
          <w:rFonts w:ascii="Garamond" w:hAnsi="Garamond"/>
          <w:sz w:val="24"/>
          <w:szCs w:val="24"/>
        </w:rPr>
        <w:t xml:space="preserve"> lack of </w:t>
      </w:r>
      <w:r w:rsidR="00DD2106">
        <w:rPr>
          <w:rFonts w:ascii="Garamond" w:hAnsi="Garamond"/>
          <w:sz w:val="24"/>
          <w:szCs w:val="24"/>
        </w:rPr>
        <w:t>research at the intersection of</w:t>
      </w:r>
      <w:r w:rsidR="007E51E3">
        <w:rPr>
          <w:rFonts w:ascii="Garamond" w:hAnsi="Garamond"/>
          <w:sz w:val="24"/>
          <w:szCs w:val="24"/>
        </w:rPr>
        <w:t xml:space="preserve"> administrative law and administrative </w:t>
      </w:r>
      <w:r w:rsidR="00D06919">
        <w:rPr>
          <w:rFonts w:ascii="Garamond" w:hAnsi="Garamond"/>
          <w:sz w:val="24"/>
          <w:szCs w:val="24"/>
        </w:rPr>
        <w:t>processes</w:t>
      </w:r>
      <w:r w:rsidR="007D3489">
        <w:rPr>
          <w:rFonts w:ascii="Garamond" w:hAnsi="Garamond"/>
          <w:sz w:val="24"/>
          <w:szCs w:val="24"/>
        </w:rPr>
        <w:t xml:space="preserve"> is even more of a concern</w:t>
      </w:r>
      <w:r w:rsidR="008A1D4A">
        <w:rPr>
          <w:rFonts w:ascii="Garamond" w:hAnsi="Garamond"/>
          <w:sz w:val="24"/>
          <w:szCs w:val="24"/>
        </w:rPr>
        <w:t xml:space="preserve"> as we see </w:t>
      </w:r>
      <w:r w:rsidR="00CD0D08">
        <w:rPr>
          <w:rFonts w:ascii="Garamond" w:hAnsi="Garamond"/>
          <w:sz w:val="24"/>
          <w:szCs w:val="24"/>
        </w:rPr>
        <w:t xml:space="preserve">a </w:t>
      </w:r>
      <w:r w:rsidR="008A1D4A">
        <w:rPr>
          <w:rFonts w:ascii="Garamond" w:hAnsi="Garamond"/>
          <w:sz w:val="24"/>
          <w:szCs w:val="24"/>
        </w:rPr>
        <w:t xml:space="preserve">growing number of </w:t>
      </w:r>
      <w:r w:rsidR="008A1D4A" w:rsidRPr="002B7DE3">
        <w:rPr>
          <w:rFonts w:ascii="Garamond" w:hAnsi="Garamond"/>
          <w:i/>
          <w:iCs/>
          <w:sz w:val="24"/>
          <w:szCs w:val="24"/>
        </w:rPr>
        <w:t>ad hoc</w:t>
      </w:r>
      <w:r w:rsidR="008A1D4A">
        <w:rPr>
          <w:rFonts w:ascii="Garamond" w:hAnsi="Garamond"/>
          <w:sz w:val="24"/>
          <w:szCs w:val="24"/>
        </w:rPr>
        <w:t xml:space="preserve"> reforms to certain administrative systems, particularly </w:t>
      </w:r>
      <w:r w:rsidR="00DD2106">
        <w:rPr>
          <w:rFonts w:ascii="Garamond" w:hAnsi="Garamond"/>
          <w:sz w:val="24"/>
          <w:szCs w:val="24"/>
        </w:rPr>
        <w:t>due to technological advances.</w:t>
      </w:r>
      <w:r w:rsidR="00CD0D08">
        <w:rPr>
          <w:rStyle w:val="FootnoteReference"/>
          <w:rFonts w:ascii="Garamond" w:hAnsi="Garamond"/>
          <w:sz w:val="24"/>
          <w:szCs w:val="24"/>
        </w:rPr>
        <w:footnoteReference w:id="93"/>
      </w:r>
      <w:r w:rsidR="00DD2106">
        <w:rPr>
          <w:rFonts w:ascii="Garamond" w:hAnsi="Garamond"/>
          <w:sz w:val="24"/>
          <w:szCs w:val="24"/>
        </w:rPr>
        <w:t xml:space="preserve"> </w:t>
      </w:r>
      <w:r w:rsidR="002049EB">
        <w:rPr>
          <w:rFonts w:ascii="Garamond" w:hAnsi="Garamond"/>
          <w:sz w:val="24"/>
          <w:szCs w:val="24"/>
        </w:rPr>
        <w:t>The judiciary will increasingly be asked to engage w</w:t>
      </w:r>
      <w:r w:rsidR="00B12729">
        <w:rPr>
          <w:rFonts w:ascii="Garamond" w:hAnsi="Garamond"/>
          <w:sz w:val="24"/>
          <w:szCs w:val="24"/>
        </w:rPr>
        <w:t>ith legal issues pertaining to digital</w:t>
      </w:r>
      <w:r w:rsidR="000D476C">
        <w:rPr>
          <w:rFonts w:ascii="Garamond" w:hAnsi="Garamond"/>
          <w:sz w:val="24"/>
          <w:szCs w:val="24"/>
        </w:rPr>
        <w:t xml:space="preserve"> processes</w:t>
      </w:r>
      <w:r w:rsidR="00B12729">
        <w:rPr>
          <w:rFonts w:ascii="Garamond" w:hAnsi="Garamond"/>
          <w:sz w:val="24"/>
          <w:szCs w:val="24"/>
        </w:rPr>
        <w:t xml:space="preserve"> or automated administrative </w:t>
      </w:r>
      <w:r w:rsidR="000D476C">
        <w:rPr>
          <w:rFonts w:ascii="Garamond" w:hAnsi="Garamond"/>
          <w:sz w:val="24"/>
          <w:szCs w:val="24"/>
        </w:rPr>
        <w:t>decision-making.</w:t>
      </w:r>
      <w:r w:rsidR="00B12729">
        <w:rPr>
          <w:rFonts w:ascii="Garamond" w:hAnsi="Garamond"/>
          <w:sz w:val="24"/>
          <w:szCs w:val="24"/>
        </w:rPr>
        <w:t xml:space="preserve"> </w:t>
      </w:r>
      <w:r>
        <w:rPr>
          <w:rFonts w:ascii="Garamond" w:hAnsi="Garamond"/>
          <w:sz w:val="24"/>
          <w:szCs w:val="24"/>
        </w:rPr>
        <w:t>As Tomlinson outlines, thinking about the issues caused by digitalisation will require institutionally and contextually specific responses:</w:t>
      </w:r>
    </w:p>
    <w:p w14:paraId="12406177" w14:textId="77777777" w:rsidR="008D5B88" w:rsidRDefault="008D5B88" w:rsidP="008D5B88">
      <w:pPr>
        <w:ind w:left="720"/>
        <w:jc w:val="both"/>
        <w:rPr>
          <w:rFonts w:ascii="Garamond" w:hAnsi="Garamond"/>
          <w:sz w:val="24"/>
          <w:szCs w:val="24"/>
        </w:rPr>
      </w:pPr>
      <w:r w:rsidRPr="00344D45">
        <w:rPr>
          <w:rFonts w:ascii="Garamond" w:hAnsi="Garamond"/>
          <w:sz w:val="24"/>
          <w:szCs w:val="24"/>
        </w:rPr>
        <w:t xml:space="preserve">It is essential that the ongoing incursion of digital technology into administrative justice is not seen as some distinct field of interest and activity, but as part of the core business of those concerned with public law and administrative justice. There will be no satisfying overall answer or theory that can be developed in response to this incursion. In administrative justice, generalisations are often unhelpful and rarely true. Different instances of digitalisation – whether they are imposed as part of public service provision or arise organically from technological innovation – need to be considered in their </w:t>
      </w:r>
      <w:proofErr w:type="gramStart"/>
      <w:r w:rsidRPr="00344D45">
        <w:rPr>
          <w:rFonts w:ascii="Garamond" w:hAnsi="Garamond"/>
          <w:sz w:val="24"/>
          <w:szCs w:val="24"/>
        </w:rPr>
        <w:t>particular institutional</w:t>
      </w:r>
      <w:proofErr w:type="gramEnd"/>
      <w:r w:rsidRPr="00344D45">
        <w:rPr>
          <w:rFonts w:ascii="Garamond" w:hAnsi="Garamond"/>
          <w:sz w:val="24"/>
          <w:szCs w:val="24"/>
        </w:rPr>
        <w:t xml:space="preserve"> and political contexts</w:t>
      </w:r>
      <w:r>
        <w:rPr>
          <w:rFonts w:ascii="Garamond" w:hAnsi="Garamond"/>
          <w:sz w:val="24"/>
          <w:szCs w:val="24"/>
        </w:rPr>
        <w:t>.</w:t>
      </w:r>
      <w:r>
        <w:rPr>
          <w:rStyle w:val="FootnoteReference"/>
          <w:rFonts w:ascii="Garamond" w:hAnsi="Garamond"/>
          <w:sz w:val="24"/>
          <w:szCs w:val="24"/>
        </w:rPr>
        <w:footnoteReference w:id="94"/>
      </w:r>
    </w:p>
    <w:p w14:paraId="24F78B19" w14:textId="5E059F30" w:rsidR="00CB2B14" w:rsidRDefault="008D5B88" w:rsidP="008D5B88">
      <w:pPr>
        <w:jc w:val="both"/>
        <w:rPr>
          <w:rFonts w:ascii="Garamond" w:hAnsi="Garamond"/>
          <w:sz w:val="24"/>
          <w:szCs w:val="24"/>
        </w:rPr>
      </w:pPr>
      <w:proofErr w:type="spellStart"/>
      <w:r>
        <w:rPr>
          <w:rFonts w:ascii="Garamond" w:hAnsi="Garamond"/>
          <w:sz w:val="24"/>
          <w:szCs w:val="24"/>
        </w:rPr>
        <w:t>Ranchordás</w:t>
      </w:r>
      <w:proofErr w:type="spellEnd"/>
      <w:r>
        <w:rPr>
          <w:rFonts w:ascii="Garamond" w:hAnsi="Garamond"/>
          <w:sz w:val="24"/>
          <w:szCs w:val="24"/>
        </w:rPr>
        <w:t xml:space="preserve"> emphasises the importance of considering what is lost through digital developments, noting that the automation of decision-making contributes towards the erasure of empathy: ‘</w:t>
      </w:r>
      <w:r w:rsidRPr="00EC4EAD">
        <w:rPr>
          <w:rFonts w:ascii="Garamond" w:hAnsi="Garamond"/>
          <w:sz w:val="24"/>
          <w:szCs w:val="24"/>
        </w:rPr>
        <w:t>vulnerable citizens who are the most prone to erring, and also those who, before the automation of government, benefited from the occasional empathy of street level bureaucrats toward first-time mistakes and oversights</w:t>
      </w:r>
      <w:r>
        <w:rPr>
          <w:rFonts w:ascii="Garamond" w:hAnsi="Garamond"/>
          <w:sz w:val="24"/>
          <w:szCs w:val="24"/>
        </w:rPr>
        <w:t>’.</w:t>
      </w:r>
      <w:r>
        <w:rPr>
          <w:rStyle w:val="FootnoteReference"/>
          <w:rFonts w:ascii="Garamond" w:hAnsi="Garamond"/>
          <w:sz w:val="24"/>
          <w:szCs w:val="24"/>
        </w:rPr>
        <w:footnoteReference w:id="95"/>
      </w:r>
      <w:r>
        <w:rPr>
          <w:rFonts w:ascii="Garamond" w:hAnsi="Garamond"/>
          <w:sz w:val="24"/>
          <w:szCs w:val="24"/>
        </w:rPr>
        <w:t xml:space="preserve"> </w:t>
      </w:r>
      <w:r w:rsidR="00147041">
        <w:rPr>
          <w:rFonts w:ascii="Garamond" w:hAnsi="Garamond"/>
          <w:sz w:val="24"/>
          <w:szCs w:val="24"/>
        </w:rPr>
        <w:t xml:space="preserve">Research </w:t>
      </w:r>
      <w:r w:rsidR="009051B9">
        <w:rPr>
          <w:rFonts w:ascii="Garamond" w:hAnsi="Garamond"/>
          <w:sz w:val="24"/>
          <w:szCs w:val="24"/>
        </w:rPr>
        <w:t>from</w:t>
      </w:r>
      <w:r w:rsidR="00147041">
        <w:rPr>
          <w:rFonts w:ascii="Garamond" w:hAnsi="Garamond"/>
          <w:sz w:val="24"/>
          <w:szCs w:val="24"/>
        </w:rPr>
        <w:t xml:space="preserve"> </w:t>
      </w:r>
      <w:r w:rsidR="009051B9">
        <w:rPr>
          <w:rFonts w:ascii="Garamond" w:hAnsi="Garamond"/>
          <w:sz w:val="24"/>
          <w:szCs w:val="24"/>
        </w:rPr>
        <w:t>healthcare administration</w:t>
      </w:r>
      <w:r w:rsidR="00147041">
        <w:rPr>
          <w:rFonts w:ascii="Garamond" w:hAnsi="Garamond"/>
          <w:sz w:val="24"/>
          <w:szCs w:val="24"/>
        </w:rPr>
        <w:t xml:space="preserve"> shows that administrative processes that are blind to </w:t>
      </w:r>
      <w:r w:rsidR="008B724C">
        <w:rPr>
          <w:rFonts w:ascii="Garamond" w:hAnsi="Garamond"/>
          <w:sz w:val="24"/>
          <w:szCs w:val="24"/>
        </w:rPr>
        <w:t>the varied needs of service users</w:t>
      </w:r>
      <w:r w:rsidR="00CB07B3">
        <w:rPr>
          <w:rFonts w:ascii="Garamond" w:hAnsi="Garamond"/>
          <w:sz w:val="24"/>
          <w:szCs w:val="24"/>
        </w:rPr>
        <w:t xml:space="preserve"> </w:t>
      </w:r>
      <w:r w:rsidR="008B724C">
        <w:rPr>
          <w:rFonts w:ascii="Garamond" w:hAnsi="Garamond"/>
          <w:sz w:val="24"/>
          <w:szCs w:val="24"/>
        </w:rPr>
        <w:t>create</w:t>
      </w:r>
      <w:r w:rsidR="00CB07B3">
        <w:rPr>
          <w:rFonts w:ascii="Garamond" w:hAnsi="Garamond"/>
          <w:sz w:val="24"/>
          <w:szCs w:val="24"/>
        </w:rPr>
        <w:t xml:space="preserve"> barriers to services</w:t>
      </w:r>
      <w:r w:rsidR="008B724C">
        <w:rPr>
          <w:rFonts w:ascii="Garamond" w:hAnsi="Garamond"/>
          <w:sz w:val="24"/>
          <w:szCs w:val="24"/>
        </w:rPr>
        <w:t xml:space="preserve"> and can exacerbate pre-existing inequalities</w:t>
      </w:r>
      <w:r w:rsidR="00CB07B3">
        <w:rPr>
          <w:rFonts w:ascii="Garamond" w:hAnsi="Garamond"/>
          <w:sz w:val="24"/>
          <w:szCs w:val="24"/>
        </w:rPr>
        <w:t>.</w:t>
      </w:r>
      <w:r w:rsidR="00CB07B3">
        <w:rPr>
          <w:rStyle w:val="FootnoteReference"/>
          <w:rFonts w:ascii="Garamond" w:hAnsi="Garamond"/>
          <w:sz w:val="24"/>
          <w:szCs w:val="24"/>
        </w:rPr>
        <w:footnoteReference w:id="96"/>
      </w:r>
      <w:r w:rsidR="00CB07B3">
        <w:rPr>
          <w:rFonts w:ascii="Garamond" w:hAnsi="Garamond"/>
          <w:sz w:val="24"/>
          <w:szCs w:val="24"/>
        </w:rPr>
        <w:t xml:space="preserve"> </w:t>
      </w:r>
      <w:r w:rsidR="008B724C">
        <w:rPr>
          <w:rFonts w:ascii="Garamond" w:hAnsi="Garamond"/>
          <w:sz w:val="24"/>
          <w:szCs w:val="24"/>
        </w:rPr>
        <w:t>T</w:t>
      </w:r>
      <w:r w:rsidR="009051B9">
        <w:rPr>
          <w:rFonts w:ascii="Garamond" w:hAnsi="Garamond"/>
          <w:sz w:val="24"/>
          <w:szCs w:val="24"/>
        </w:rPr>
        <w:t xml:space="preserve">he burgeoning body of work </w:t>
      </w:r>
      <w:r w:rsidR="00572336">
        <w:rPr>
          <w:rFonts w:ascii="Garamond" w:hAnsi="Garamond"/>
          <w:sz w:val="24"/>
          <w:szCs w:val="24"/>
        </w:rPr>
        <w:t xml:space="preserve">from the field of public administration </w:t>
      </w:r>
      <w:r w:rsidR="009051B9">
        <w:rPr>
          <w:rFonts w:ascii="Garamond" w:hAnsi="Garamond"/>
          <w:sz w:val="24"/>
          <w:szCs w:val="24"/>
        </w:rPr>
        <w:t>on ‘administrative burden’ illustrates how the burdens or costs of engaging with public bodies are not spread equally across society.</w:t>
      </w:r>
      <w:r w:rsidR="00572336">
        <w:rPr>
          <w:rStyle w:val="FootnoteReference"/>
          <w:rFonts w:ascii="Garamond" w:hAnsi="Garamond"/>
          <w:sz w:val="24"/>
          <w:szCs w:val="24"/>
        </w:rPr>
        <w:footnoteReference w:id="97"/>
      </w:r>
      <w:r w:rsidR="009051B9">
        <w:rPr>
          <w:rFonts w:ascii="Garamond" w:hAnsi="Garamond"/>
          <w:sz w:val="24"/>
          <w:szCs w:val="24"/>
        </w:rPr>
        <w:t xml:space="preserve"> Thus the need to proceed mindfully and using intersectional frameworks. </w:t>
      </w:r>
    </w:p>
    <w:p w14:paraId="1D815C53" w14:textId="6022C6A6" w:rsidR="00925614" w:rsidRDefault="008D5B88" w:rsidP="008D5B88">
      <w:pPr>
        <w:jc w:val="both"/>
        <w:rPr>
          <w:rFonts w:ascii="Garamond" w:hAnsi="Garamond"/>
          <w:sz w:val="24"/>
          <w:szCs w:val="24"/>
        </w:rPr>
      </w:pPr>
      <w:r>
        <w:rPr>
          <w:rFonts w:ascii="Garamond" w:hAnsi="Garamond"/>
          <w:sz w:val="24"/>
          <w:szCs w:val="24"/>
        </w:rPr>
        <w:t>Meers et al. describe how we live in an age of ‘interface-first’ bureaucracy</w:t>
      </w:r>
      <w:r>
        <w:rPr>
          <w:rStyle w:val="FootnoteReference"/>
          <w:rFonts w:ascii="Garamond" w:hAnsi="Garamond"/>
          <w:sz w:val="24"/>
          <w:szCs w:val="24"/>
        </w:rPr>
        <w:footnoteReference w:id="98"/>
      </w:r>
      <w:r>
        <w:rPr>
          <w:rFonts w:ascii="Garamond" w:hAnsi="Garamond"/>
          <w:sz w:val="24"/>
          <w:szCs w:val="24"/>
        </w:rPr>
        <w:t xml:space="preserve">, with Raso arguing that ‘interface governance’ is ‘paradigmatic within many front-line agencies that make decisions about </w:t>
      </w:r>
      <w:r>
        <w:rPr>
          <w:rFonts w:ascii="Garamond" w:hAnsi="Garamond"/>
          <w:sz w:val="24"/>
          <w:szCs w:val="24"/>
        </w:rPr>
        <w:lastRenderedPageBreak/>
        <w:t>crucial entitlements and penalties’.</w:t>
      </w:r>
      <w:r>
        <w:rPr>
          <w:rStyle w:val="FootnoteReference"/>
          <w:rFonts w:ascii="Garamond" w:hAnsi="Garamond"/>
          <w:sz w:val="24"/>
          <w:szCs w:val="24"/>
        </w:rPr>
        <w:footnoteReference w:id="99"/>
      </w:r>
      <w:r>
        <w:rPr>
          <w:rFonts w:ascii="Garamond" w:hAnsi="Garamond"/>
          <w:sz w:val="24"/>
          <w:szCs w:val="24"/>
        </w:rPr>
        <w:t xml:space="preserve"> </w:t>
      </w:r>
      <w:r w:rsidRPr="00670B63">
        <w:rPr>
          <w:rFonts w:ascii="Garamond" w:hAnsi="Garamond"/>
          <w:sz w:val="24"/>
          <w:szCs w:val="24"/>
        </w:rPr>
        <w:t xml:space="preserve">The places </w:t>
      </w:r>
      <w:r>
        <w:rPr>
          <w:rFonts w:ascii="Garamond" w:hAnsi="Garamond"/>
          <w:sz w:val="24"/>
          <w:szCs w:val="24"/>
        </w:rPr>
        <w:t>of administrative justice</w:t>
      </w:r>
      <w:r w:rsidRPr="00670B63">
        <w:rPr>
          <w:rFonts w:ascii="Garamond" w:hAnsi="Garamond"/>
          <w:sz w:val="24"/>
          <w:szCs w:val="24"/>
        </w:rPr>
        <w:t xml:space="preserve"> increasingly hidden from view, with the rise of online hearings, remote working, and closure of public counters. </w:t>
      </w:r>
      <w:r w:rsidR="00925614" w:rsidRPr="00925614">
        <w:rPr>
          <w:rFonts w:ascii="Garamond" w:hAnsi="Garamond"/>
          <w:sz w:val="24"/>
          <w:szCs w:val="24"/>
        </w:rPr>
        <w:t>Where law takes place is a</w:t>
      </w:r>
      <w:r w:rsidR="00925614">
        <w:rPr>
          <w:rFonts w:ascii="Garamond" w:hAnsi="Garamond"/>
          <w:sz w:val="24"/>
          <w:szCs w:val="24"/>
        </w:rPr>
        <w:t>n evolving phenomenon</w:t>
      </w:r>
      <w:r w:rsidR="00925614" w:rsidRPr="00925614">
        <w:rPr>
          <w:rFonts w:ascii="Garamond" w:hAnsi="Garamond"/>
          <w:sz w:val="24"/>
          <w:szCs w:val="24"/>
        </w:rPr>
        <w:t xml:space="preserve"> that administrative justice research can provide a framework to investigate – now instead of accessing public services via a public counter or a face-to-face encounter with an official, we are increasingly directed to access services including </w:t>
      </w:r>
      <w:proofErr w:type="spellStart"/>
      <w:r w:rsidR="00925614" w:rsidRPr="00925614">
        <w:rPr>
          <w:rFonts w:ascii="Garamond" w:hAnsi="Garamond"/>
          <w:sz w:val="24"/>
          <w:szCs w:val="24"/>
        </w:rPr>
        <w:t>MyWelfare</w:t>
      </w:r>
      <w:proofErr w:type="spellEnd"/>
      <w:r w:rsidR="00925614" w:rsidRPr="00925614">
        <w:rPr>
          <w:rFonts w:ascii="Garamond" w:hAnsi="Garamond"/>
          <w:sz w:val="24"/>
          <w:szCs w:val="24"/>
        </w:rPr>
        <w:t xml:space="preserve">, Revenue, the Housing Assistance Payment and the National Childcare Scheme using the </w:t>
      </w:r>
      <w:proofErr w:type="spellStart"/>
      <w:r w:rsidR="00925614" w:rsidRPr="00925614">
        <w:rPr>
          <w:rFonts w:ascii="Garamond" w:hAnsi="Garamond"/>
          <w:sz w:val="24"/>
          <w:szCs w:val="24"/>
        </w:rPr>
        <w:t>MyGovID</w:t>
      </w:r>
      <w:proofErr w:type="spellEnd"/>
      <w:r w:rsidR="00925614" w:rsidRPr="00925614">
        <w:rPr>
          <w:rFonts w:ascii="Garamond" w:hAnsi="Garamond"/>
          <w:sz w:val="24"/>
          <w:szCs w:val="24"/>
        </w:rPr>
        <w:t xml:space="preserve"> login</w:t>
      </w:r>
      <w:r w:rsidR="007F3832">
        <w:rPr>
          <w:rFonts w:ascii="Garamond" w:hAnsi="Garamond"/>
          <w:sz w:val="24"/>
          <w:szCs w:val="24"/>
        </w:rPr>
        <w:t xml:space="preserve"> from our phones or personal </w:t>
      </w:r>
      <w:r w:rsidR="009134C2">
        <w:rPr>
          <w:rFonts w:ascii="Garamond" w:hAnsi="Garamond"/>
          <w:sz w:val="24"/>
          <w:szCs w:val="24"/>
        </w:rPr>
        <w:t>devices</w:t>
      </w:r>
      <w:r w:rsidR="00925614" w:rsidRPr="00925614">
        <w:rPr>
          <w:rFonts w:ascii="Garamond" w:hAnsi="Garamond"/>
          <w:sz w:val="24"/>
          <w:szCs w:val="24"/>
        </w:rPr>
        <w:t>.</w:t>
      </w:r>
      <w:r w:rsidR="009134C2">
        <w:rPr>
          <w:rFonts w:ascii="Garamond" w:hAnsi="Garamond"/>
          <w:sz w:val="24"/>
          <w:szCs w:val="24"/>
        </w:rPr>
        <w:t xml:space="preserve"> Yet </w:t>
      </w:r>
      <w:r w:rsidR="00D42934">
        <w:rPr>
          <w:rFonts w:ascii="Garamond" w:hAnsi="Garamond"/>
          <w:sz w:val="24"/>
          <w:szCs w:val="24"/>
        </w:rPr>
        <w:t xml:space="preserve">there are many barriers to </w:t>
      </w:r>
      <w:r w:rsidR="0043711C">
        <w:rPr>
          <w:rFonts w:ascii="Garamond" w:hAnsi="Garamond"/>
          <w:sz w:val="24"/>
          <w:szCs w:val="24"/>
        </w:rPr>
        <w:t>accessing online public services</w:t>
      </w:r>
      <w:r w:rsidR="00D42934">
        <w:rPr>
          <w:rFonts w:ascii="Garamond" w:hAnsi="Garamond"/>
          <w:sz w:val="24"/>
          <w:szCs w:val="24"/>
        </w:rPr>
        <w:t xml:space="preserve"> including digital exclusion, </w:t>
      </w:r>
      <w:r w:rsidR="002F167A">
        <w:rPr>
          <w:rFonts w:ascii="Garamond" w:hAnsi="Garamond"/>
          <w:sz w:val="24"/>
          <w:szCs w:val="24"/>
        </w:rPr>
        <w:t xml:space="preserve">and </w:t>
      </w:r>
      <w:r w:rsidR="00D42934">
        <w:rPr>
          <w:rFonts w:ascii="Garamond" w:hAnsi="Garamond"/>
          <w:sz w:val="24"/>
          <w:szCs w:val="24"/>
        </w:rPr>
        <w:t xml:space="preserve">the requirement to have a particular </w:t>
      </w:r>
      <w:r w:rsidR="00873F4C">
        <w:rPr>
          <w:rFonts w:ascii="Garamond" w:hAnsi="Garamond"/>
          <w:sz w:val="24"/>
          <w:szCs w:val="24"/>
        </w:rPr>
        <w:t>form of technology</w:t>
      </w:r>
      <w:r w:rsidR="004D15FF">
        <w:rPr>
          <w:rFonts w:ascii="Garamond" w:hAnsi="Garamond"/>
          <w:sz w:val="24"/>
          <w:szCs w:val="24"/>
        </w:rPr>
        <w:t xml:space="preserve"> </w:t>
      </w:r>
      <w:r w:rsidR="00873F4C">
        <w:rPr>
          <w:rFonts w:ascii="Garamond" w:hAnsi="Garamond"/>
          <w:sz w:val="24"/>
          <w:szCs w:val="24"/>
        </w:rPr>
        <w:t>or to pass a validation test.</w:t>
      </w:r>
      <w:r w:rsidR="00873F4C">
        <w:rPr>
          <w:rStyle w:val="FootnoteReference"/>
          <w:rFonts w:ascii="Garamond" w:hAnsi="Garamond"/>
          <w:sz w:val="24"/>
          <w:szCs w:val="24"/>
        </w:rPr>
        <w:footnoteReference w:id="100"/>
      </w:r>
      <w:r w:rsidR="00873F4C">
        <w:rPr>
          <w:rFonts w:ascii="Garamond" w:hAnsi="Garamond"/>
          <w:sz w:val="24"/>
          <w:szCs w:val="24"/>
        </w:rPr>
        <w:t xml:space="preserve"> </w:t>
      </w:r>
      <w:r w:rsidR="00925614" w:rsidRPr="00925614">
        <w:rPr>
          <w:rFonts w:ascii="Garamond" w:hAnsi="Garamond"/>
          <w:sz w:val="24"/>
          <w:szCs w:val="24"/>
        </w:rPr>
        <w:t xml:space="preserve">   </w:t>
      </w:r>
    </w:p>
    <w:p w14:paraId="2FB1DABA" w14:textId="5C9FEA7F" w:rsidR="00340AEF" w:rsidRDefault="008D5B88" w:rsidP="008D5B88">
      <w:pPr>
        <w:jc w:val="both"/>
        <w:rPr>
          <w:rFonts w:ascii="Garamond" w:hAnsi="Garamond"/>
          <w:sz w:val="24"/>
          <w:szCs w:val="24"/>
        </w:rPr>
      </w:pPr>
      <w:r>
        <w:rPr>
          <w:rFonts w:ascii="Garamond" w:hAnsi="Garamond"/>
          <w:sz w:val="24"/>
          <w:szCs w:val="24"/>
        </w:rPr>
        <w:t xml:space="preserve">The introduction of an online application process at the International Protection Office from 31 July 2024 </w:t>
      </w:r>
      <w:r w:rsidR="001054CB">
        <w:rPr>
          <w:rFonts w:ascii="Garamond" w:hAnsi="Garamond"/>
          <w:sz w:val="24"/>
          <w:szCs w:val="24"/>
        </w:rPr>
        <w:t xml:space="preserve">or pivot to online hearings by the Residential Tenancies </w:t>
      </w:r>
      <w:r w:rsidR="00D9618D">
        <w:rPr>
          <w:rFonts w:ascii="Garamond" w:hAnsi="Garamond"/>
          <w:sz w:val="24"/>
          <w:szCs w:val="24"/>
        </w:rPr>
        <w:t xml:space="preserve">Board </w:t>
      </w:r>
      <w:r>
        <w:rPr>
          <w:rFonts w:ascii="Garamond" w:hAnsi="Garamond"/>
          <w:sz w:val="24"/>
          <w:szCs w:val="24"/>
        </w:rPr>
        <w:t>could make for interesting stud</w:t>
      </w:r>
      <w:r w:rsidR="001054CB">
        <w:rPr>
          <w:rFonts w:ascii="Garamond" w:hAnsi="Garamond"/>
          <w:sz w:val="24"/>
          <w:szCs w:val="24"/>
        </w:rPr>
        <w:t>ies</w:t>
      </w:r>
      <w:r>
        <w:rPr>
          <w:rFonts w:ascii="Garamond" w:hAnsi="Garamond"/>
          <w:sz w:val="24"/>
          <w:szCs w:val="24"/>
        </w:rPr>
        <w:t xml:space="preserve"> on the impact of digitalisation.</w:t>
      </w:r>
      <w:r>
        <w:rPr>
          <w:rStyle w:val="FootnoteReference"/>
          <w:rFonts w:ascii="Garamond" w:hAnsi="Garamond"/>
          <w:sz w:val="24"/>
          <w:szCs w:val="24"/>
        </w:rPr>
        <w:footnoteReference w:id="101"/>
      </w:r>
      <w:r w:rsidR="00B96696">
        <w:rPr>
          <w:rFonts w:ascii="Garamond" w:hAnsi="Garamond"/>
          <w:sz w:val="24"/>
          <w:szCs w:val="24"/>
        </w:rPr>
        <w:t xml:space="preserve"> So too would the</w:t>
      </w:r>
      <w:r w:rsidR="002C46B4">
        <w:rPr>
          <w:rFonts w:ascii="Garamond" w:hAnsi="Garamond"/>
          <w:sz w:val="24"/>
          <w:szCs w:val="24"/>
        </w:rPr>
        <w:t xml:space="preserve"> implementation and interpretation of the AI Act by different public bodies</w:t>
      </w:r>
      <w:r w:rsidR="00854FA7">
        <w:rPr>
          <w:rStyle w:val="FootnoteReference"/>
          <w:rFonts w:ascii="Garamond" w:hAnsi="Garamond"/>
          <w:sz w:val="24"/>
          <w:szCs w:val="24"/>
        </w:rPr>
        <w:footnoteReference w:id="102"/>
      </w:r>
      <w:r w:rsidR="00325E3C">
        <w:rPr>
          <w:rFonts w:ascii="Garamond" w:hAnsi="Garamond"/>
          <w:sz w:val="24"/>
          <w:szCs w:val="24"/>
        </w:rPr>
        <w:t xml:space="preserve"> or the use of </w:t>
      </w:r>
      <w:r w:rsidR="00AD23C2">
        <w:rPr>
          <w:rFonts w:ascii="Garamond" w:hAnsi="Garamond"/>
          <w:sz w:val="24"/>
          <w:szCs w:val="24"/>
        </w:rPr>
        <w:t>machine learning in public body decision making.</w:t>
      </w:r>
      <w:r w:rsidR="00AD23C2">
        <w:rPr>
          <w:rStyle w:val="FootnoteReference"/>
          <w:rFonts w:ascii="Garamond" w:hAnsi="Garamond"/>
          <w:sz w:val="24"/>
          <w:szCs w:val="24"/>
        </w:rPr>
        <w:footnoteReference w:id="103"/>
      </w:r>
      <w:r w:rsidR="00F761AE">
        <w:rPr>
          <w:rFonts w:ascii="Garamond" w:hAnsi="Garamond"/>
          <w:sz w:val="24"/>
          <w:szCs w:val="24"/>
        </w:rPr>
        <w:t xml:space="preserve"> </w:t>
      </w:r>
      <w:r w:rsidR="00340AEF">
        <w:rPr>
          <w:rFonts w:ascii="Garamond" w:hAnsi="Garamond"/>
          <w:sz w:val="24"/>
          <w:szCs w:val="24"/>
        </w:rPr>
        <w:t>Social welfare appeals is an area of administrative justice in Ireland that FLAC has long highlighted as in need of reform.</w:t>
      </w:r>
      <w:r w:rsidR="00340AEF">
        <w:rPr>
          <w:rStyle w:val="FootnoteReference"/>
          <w:rFonts w:ascii="Garamond" w:hAnsi="Garamond"/>
          <w:sz w:val="24"/>
          <w:szCs w:val="24"/>
        </w:rPr>
        <w:footnoteReference w:id="104"/>
      </w:r>
      <w:r w:rsidR="00FC14DE">
        <w:rPr>
          <w:rFonts w:ascii="Garamond" w:hAnsi="Garamond"/>
          <w:sz w:val="24"/>
          <w:szCs w:val="24"/>
        </w:rPr>
        <w:t xml:space="preserve"> There is currently a</w:t>
      </w:r>
      <w:r w:rsidR="00114C83">
        <w:rPr>
          <w:rFonts w:ascii="Garamond" w:hAnsi="Garamond"/>
          <w:sz w:val="24"/>
          <w:szCs w:val="24"/>
        </w:rPr>
        <w:t>n ‘Appeals Modernisation Project’ underway ‘</w:t>
      </w:r>
      <w:r w:rsidR="00114C83" w:rsidRPr="00114C83">
        <w:rPr>
          <w:rFonts w:ascii="Garamond" w:hAnsi="Garamond"/>
          <w:sz w:val="24"/>
          <w:szCs w:val="24"/>
        </w:rPr>
        <w:t>the goal of which is to streamline and enhance the end-to-end appeals process for the customer</w:t>
      </w:r>
      <w:r w:rsidR="00114C83">
        <w:rPr>
          <w:rFonts w:ascii="Garamond" w:hAnsi="Garamond"/>
          <w:sz w:val="24"/>
          <w:szCs w:val="24"/>
        </w:rPr>
        <w:t>’.</w:t>
      </w:r>
      <w:r w:rsidR="00182896">
        <w:rPr>
          <w:rStyle w:val="FootnoteReference"/>
          <w:rFonts w:ascii="Garamond" w:hAnsi="Garamond"/>
          <w:sz w:val="24"/>
          <w:szCs w:val="24"/>
        </w:rPr>
        <w:footnoteReference w:id="105"/>
      </w:r>
      <w:r w:rsidR="00114C83">
        <w:rPr>
          <w:rFonts w:ascii="Garamond" w:hAnsi="Garamond"/>
          <w:sz w:val="24"/>
          <w:szCs w:val="24"/>
        </w:rPr>
        <w:t xml:space="preserve"> </w:t>
      </w:r>
      <w:r w:rsidR="00D423F9">
        <w:rPr>
          <w:rFonts w:ascii="Garamond" w:hAnsi="Garamond"/>
          <w:sz w:val="24"/>
          <w:szCs w:val="24"/>
        </w:rPr>
        <w:t xml:space="preserve">An empirical evaluation of </w:t>
      </w:r>
      <w:r w:rsidR="00761AF9">
        <w:rPr>
          <w:rFonts w:ascii="Garamond" w:hAnsi="Garamond"/>
          <w:sz w:val="24"/>
          <w:szCs w:val="24"/>
        </w:rPr>
        <w:t xml:space="preserve">the project would be a welcome additional to the literature. </w:t>
      </w:r>
    </w:p>
    <w:p w14:paraId="1C1647A1" w14:textId="262EFEC1" w:rsidR="00E20A39" w:rsidRDefault="001450AC" w:rsidP="008D5B88">
      <w:pPr>
        <w:jc w:val="both"/>
        <w:rPr>
          <w:rFonts w:ascii="Garamond" w:hAnsi="Garamond"/>
          <w:sz w:val="24"/>
          <w:szCs w:val="24"/>
        </w:rPr>
      </w:pPr>
      <w:r>
        <w:rPr>
          <w:rFonts w:ascii="Garamond" w:hAnsi="Garamond"/>
          <w:sz w:val="24"/>
          <w:szCs w:val="24"/>
        </w:rPr>
        <w:t xml:space="preserve">The Administrative Justice Council </w:t>
      </w:r>
      <w:r w:rsidR="00310243">
        <w:rPr>
          <w:rFonts w:ascii="Garamond" w:hAnsi="Garamond"/>
          <w:sz w:val="24"/>
          <w:szCs w:val="24"/>
        </w:rPr>
        <w:t xml:space="preserve">of His Majesty’s Courts and Tribunals Service </w:t>
      </w:r>
      <w:r w:rsidR="00441079">
        <w:rPr>
          <w:rFonts w:ascii="Garamond" w:hAnsi="Garamond"/>
          <w:sz w:val="24"/>
          <w:szCs w:val="24"/>
        </w:rPr>
        <w:t xml:space="preserve">has </w:t>
      </w:r>
      <w:r w:rsidR="00BE1FD6">
        <w:rPr>
          <w:rFonts w:ascii="Garamond" w:hAnsi="Garamond"/>
          <w:sz w:val="24"/>
          <w:szCs w:val="24"/>
        </w:rPr>
        <w:t>two active working groups looking at issues that are also high</w:t>
      </w:r>
      <w:r w:rsidR="006779A5">
        <w:rPr>
          <w:rFonts w:ascii="Garamond" w:hAnsi="Garamond"/>
          <w:sz w:val="24"/>
          <w:szCs w:val="24"/>
        </w:rPr>
        <w:t>ly</w:t>
      </w:r>
      <w:r w:rsidR="00BE1FD6">
        <w:rPr>
          <w:rFonts w:ascii="Garamond" w:hAnsi="Garamond"/>
          <w:sz w:val="24"/>
          <w:szCs w:val="24"/>
        </w:rPr>
        <w:t xml:space="preserve"> relevant to the Irish legal system: </w:t>
      </w:r>
      <w:r w:rsidR="00252A7B">
        <w:rPr>
          <w:rFonts w:ascii="Garamond" w:hAnsi="Garamond"/>
          <w:sz w:val="24"/>
          <w:szCs w:val="24"/>
        </w:rPr>
        <w:t>‘</w:t>
      </w:r>
      <w:r w:rsidR="00252A7B" w:rsidRPr="00252A7B">
        <w:rPr>
          <w:rFonts w:ascii="Garamond" w:hAnsi="Garamond"/>
          <w:sz w:val="24"/>
          <w:szCs w:val="24"/>
        </w:rPr>
        <w:t>Addressing disadvantaged people in the administrative justice system</w:t>
      </w:r>
      <w:r w:rsidR="00252A7B">
        <w:rPr>
          <w:rFonts w:ascii="Garamond" w:hAnsi="Garamond"/>
          <w:sz w:val="24"/>
          <w:szCs w:val="24"/>
        </w:rPr>
        <w:t>’; and ‘</w:t>
      </w:r>
      <w:r w:rsidR="00252A7B" w:rsidRPr="00252A7B">
        <w:rPr>
          <w:rFonts w:ascii="Garamond" w:hAnsi="Garamond"/>
          <w:sz w:val="24"/>
          <w:szCs w:val="24"/>
        </w:rPr>
        <w:t>Digitisation and the tribunal user experience in the modernised tribunal service.</w:t>
      </w:r>
      <w:r w:rsidR="00252A7B">
        <w:rPr>
          <w:rFonts w:ascii="Garamond" w:hAnsi="Garamond"/>
          <w:sz w:val="24"/>
          <w:szCs w:val="24"/>
        </w:rPr>
        <w:t>’</w:t>
      </w:r>
      <w:r w:rsidR="00385B40">
        <w:rPr>
          <w:rStyle w:val="FootnoteReference"/>
          <w:rFonts w:ascii="Garamond" w:hAnsi="Garamond"/>
          <w:sz w:val="24"/>
          <w:szCs w:val="24"/>
        </w:rPr>
        <w:footnoteReference w:id="106"/>
      </w:r>
      <w:r w:rsidR="00D60E0A">
        <w:rPr>
          <w:rFonts w:ascii="Garamond" w:hAnsi="Garamond"/>
          <w:sz w:val="24"/>
          <w:szCs w:val="24"/>
        </w:rPr>
        <w:t xml:space="preserve"> </w:t>
      </w:r>
      <w:r w:rsidR="0089189F">
        <w:rPr>
          <w:rFonts w:ascii="Garamond" w:hAnsi="Garamond"/>
          <w:sz w:val="24"/>
          <w:szCs w:val="24"/>
        </w:rPr>
        <w:t xml:space="preserve">The Ada Lovelace Institute and Alan Turing Institute </w:t>
      </w:r>
      <w:r w:rsidR="00602AEC">
        <w:rPr>
          <w:rFonts w:ascii="Garamond" w:hAnsi="Garamond"/>
          <w:sz w:val="24"/>
          <w:szCs w:val="24"/>
        </w:rPr>
        <w:t xml:space="preserve">have recently published results of a nationally demographic survey in the UK </w:t>
      </w:r>
      <w:r w:rsidR="00882B50">
        <w:rPr>
          <w:rFonts w:ascii="Garamond" w:hAnsi="Garamond"/>
          <w:sz w:val="24"/>
          <w:szCs w:val="24"/>
        </w:rPr>
        <w:t xml:space="preserve">on public attitudes to AI – a hugely useful dataset in considering </w:t>
      </w:r>
      <w:r w:rsidR="000A658A">
        <w:rPr>
          <w:rFonts w:ascii="Garamond" w:hAnsi="Garamond"/>
          <w:sz w:val="24"/>
          <w:szCs w:val="24"/>
        </w:rPr>
        <w:t>the legal and societal implications of AI.</w:t>
      </w:r>
      <w:r w:rsidR="000A658A">
        <w:rPr>
          <w:rStyle w:val="FootnoteReference"/>
          <w:rFonts w:ascii="Garamond" w:hAnsi="Garamond"/>
          <w:sz w:val="24"/>
          <w:szCs w:val="24"/>
        </w:rPr>
        <w:footnoteReference w:id="107"/>
      </w:r>
      <w:r w:rsidR="000A658A">
        <w:rPr>
          <w:rFonts w:ascii="Garamond" w:hAnsi="Garamond"/>
          <w:sz w:val="24"/>
          <w:szCs w:val="24"/>
        </w:rPr>
        <w:t xml:space="preserve"> </w:t>
      </w:r>
      <w:r w:rsidR="005E38D1">
        <w:rPr>
          <w:rFonts w:ascii="Garamond" w:hAnsi="Garamond"/>
          <w:sz w:val="24"/>
          <w:szCs w:val="24"/>
        </w:rPr>
        <w:t>Similar research investment</w:t>
      </w:r>
      <w:r w:rsidR="00480EB9">
        <w:rPr>
          <w:rFonts w:ascii="Garamond" w:hAnsi="Garamond"/>
          <w:sz w:val="24"/>
          <w:szCs w:val="24"/>
        </w:rPr>
        <w:t>s</w:t>
      </w:r>
      <w:r w:rsidR="005E38D1">
        <w:rPr>
          <w:rFonts w:ascii="Garamond" w:hAnsi="Garamond"/>
          <w:sz w:val="24"/>
          <w:szCs w:val="24"/>
        </w:rPr>
        <w:t xml:space="preserve"> </w:t>
      </w:r>
      <w:r w:rsidR="004E19D4">
        <w:rPr>
          <w:rFonts w:ascii="Garamond" w:hAnsi="Garamond"/>
          <w:sz w:val="24"/>
          <w:szCs w:val="24"/>
        </w:rPr>
        <w:t>and evidence review</w:t>
      </w:r>
      <w:r w:rsidR="00480EB9">
        <w:rPr>
          <w:rFonts w:ascii="Garamond" w:hAnsi="Garamond"/>
          <w:sz w:val="24"/>
          <w:szCs w:val="24"/>
        </w:rPr>
        <w:t>s</w:t>
      </w:r>
      <w:r w:rsidR="004E19D4">
        <w:rPr>
          <w:rFonts w:ascii="Garamond" w:hAnsi="Garamond"/>
          <w:sz w:val="24"/>
          <w:szCs w:val="24"/>
        </w:rPr>
        <w:t xml:space="preserve"> would be helpful in the Irish context. </w:t>
      </w:r>
    </w:p>
    <w:p w14:paraId="0DF7E584" w14:textId="01EAD19C" w:rsidR="00B524DB" w:rsidRDefault="00484749" w:rsidP="008D5B88">
      <w:pPr>
        <w:jc w:val="both"/>
        <w:rPr>
          <w:rFonts w:ascii="Garamond" w:hAnsi="Garamond"/>
          <w:sz w:val="24"/>
          <w:szCs w:val="24"/>
        </w:rPr>
      </w:pPr>
      <w:r>
        <w:rPr>
          <w:rFonts w:ascii="Garamond" w:hAnsi="Garamond"/>
          <w:sz w:val="24"/>
          <w:szCs w:val="24"/>
        </w:rPr>
        <w:t>Hertogh’s</w:t>
      </w:r>
      <w:r w:rsidR="00C341F7">
        <w:rPr>
          <w:rFonts w:ascii="Garamond" w:hAnsi="Garamond"/>
          <w:sz w:val="24"/>
          <w:szCs w:val="24"/>
        </w:rPr>
        <w:t xml:space="preserve"> work on legal alienation </w:t>
      </w:r>
      <w:r w:rsidR="00503075">
        <w:rPr>
          <w:rFonts w:ascii="Garamond" w:hAnsi="Garamond"/>
          <w:sz w:val="24"/>
          <w:szCs w:val="24"/>
        </w:rPr>
        <w:t>shows how people move away from law and the absence of law in everyday life</w:t>
      </w:r>
      <w:r w:rsidR="00CE6DA2">
        <w:rPr>
          <w:rFonts w:ascii="Garamond" w:hAnsi="Garamond"/>
          <w:sz w:val="24"/>
          <w:szCs w:val="24"/>
        </w:rPr>
        <w:t>,</w:t>
      </w:r>
      <w:r w:rsidR="00A81BFF">
        <w:rPr>
          <w:rFonts w:ascii="Garamond" w:hAnsi="Garamond"/>
          <w:sz w:val="24"/>
          <w:szCs w:val="24"/>
        </w:rPr>
        <w:t xml:space="preserve"> demonstrat</w:t>
      </w:r>
      <w:r w:rsidR="00CE6DA2">
        <w:rPr>
          <w:rFonts w:ascii="Garamond" w:hAnsi="Garamond"/>
          <w:sz w:val="24"/>
          <w:szCs w:val="24"/>
        </w:rPr>
        <w:t>ing</w:t>
      </w:r>
      <w:r w:rsidR="00A81BFF">
        <w:rPr>
          <w:rFonts w:ascii="Garamond" w:hAnsi="Garamond"/>
          <w:sz w:val="24"/>
          <w:szCs w:val="24"/>
        </w:rPr>
        <w:t xml:space="preserve"> the need for </w:t>
      </w:r>
      <w:r w:rsidR="00CE6DA2">
        <w:rPr>
          <w:rFonts w:ascii="Garamond" w:hAnsi="Garamond"/>
          <w:sz w:val="24"/>
          <w:szCs w:val="24"/>
        </w:rPr>
        <w:t>deeper investigation into</w:t>
      </w:r>
      <w:r w:rsidR="00A81BFF">
        <w:rPr>
          <w:rFonts w:ascii="Garamond" w:hAnsi="Garamond"/>
          <w:sz w:val="24"/>
          <w:szCs w:val="24"/>
        </w:rPr>
        <w:t xml:space="preserve"> how people perceive law or what leads people to </w:t>
      </w:r>
      <w:r w:rsidR="00CE6DA2">
        <w:rPr>
          <w:rFonts w:ascii="Garamond" w:hAnsi="Garamond"/>
          <w:sz w:val="24"/>
          <w:szCs w:val="24"/>
        </w:rPr>
        <w:t xml:space="preserve">abandon </w:t>
      </w:r>
      <w:r w:rsidR="00A81BFF">
        <w:rPr>
          <w:rFonts w:ascii="Garamond" w:hAnsi="Garamond"/>
          <w:sz w:val="24"/>
          <w:szCs w:val="24"/>
        </w:rPr>
        <w:t>law.</w:t>
      </w:r>
      <w:r w:rsidR="00A81BFF">
        <w:rPr>
          <w:rStyle w:val="FootnoteReference"/>
          <w:rFonts w:ascii="Garamond" w:hAnsi="Garamond"/>
          <w:sz w:val="24"/>
          <w:szCs w:val="24"/>
        </w:rPr>
        <w:footnoteReference w:id="108"/>
      </w:r>
      <w:r w:rsidR="00CE6DA2">
        <w:rPr>
          <w:rFonts w:ascii="Garamond" w:hAnsi="Garamond"/>
          <w:sz w:val="24"/>
          <w:szCs w:val="24"/>
        </w:rPr>
        <w:t xml:space="preserve"> </w:t>
      </w:r>
      <w:r w:rsidR="00CB64D1" w:rsidRPr="00CB64D1">
        <w:rPr>
          <w:rFonts w:ascii="Garamond" w:hAnsi="Garamond"/>
          <w:sz w:val="24"/>
          <w:szCs w:val="24"/>
        </w:rPr>
        <w:t xml:space="preserve">Further empirical research is needed to gain deeper understanding of the problems </w:t>
      </w:r>
      <w:r w:rsidR="00541960">
        <w:rPr>
          <w:rFonts w:ascii="Garamond" w:hAnsi="Garamond"/>
          <w:sz w:val="24"/>
          <w:szCs w:val="24"/>
        </w:rPr>
        <w:t xml:space="preserve">both officials </w:t>
      </w:r>
      <w:r w:rsidR="00CB64D1" w:rsidRPr="00CB64D1">
        <w:rPr>
          <w:rFonts w:ascii="Garamond" w:hAnsi="Garamond"/>
          <w:sz w:val="24"/>
          <w:szCs w:val="24"/>
        </w:rPr>
        <w:t xml:space="preserve">and system users encounter in administrative justice systems in Ireland, particularly system users from </w:t>
      </w:r>
      <w:r w:rsidR="00DE27F6">
        <w:rPr>
          <w:rFonts w:ascii="Garamond" w:hAnsi="Garamond"/>
          <w:sz w:val="24"/>
          <w:szCs w:val="24"/>
        </w:rPr>
        <w:t>communities who experience exclusion</w:t>
      </w:r>
      <w:r w:rsidR="00CB64D1" w:rsidRPr="00CB64D1">
        <w:rPr>
          <w:rFonts w:ascii="Garamond" w:hAnsi="Garamond"/>
          <w:sz w:val="24"/>
          <w:szCs w:val="24"/>
        </w:rPr>
        <w:t xml:space="preserve"> such as the Traveller Community</w:t>
      </w:r>
      <w:r w:rsidR="00541960">
        <w:rPr>
          <w:rFonts w:ascii="Garamond" w:hAnsi="Garamond"/>
          <w:sz w:val="24"/>
          <w:szCs w:val="24"/>
        </w:rPr>
        <w:t>.</w:t>
      </w:r>
      <w:r w:rsidR="00541960">
        <w:rPr>
          <w:rStyle w:val="FootnoteReference"/>
          <w:rFonts w:ascii="Garamond" w:hAnsi="Garamond"/>
          <w:sz w:val="24"/>
          <w:szCs w:val="24"/>
        </w:rPr>
        <w:footnoteReference w:id="109"/>
      </w:r>
      <w:r w:rsidR="00BF18EA">
        <w:rPr>
          <w:rFonts w:ascii="Garamond" w:hAnsi="Garamond"/>
          <w:sz w:val="24"/>
          <w:szCs w:val="24"/>
        </w:rPr>
        <w:t xml:space="preserve"> </w:t>
      </w:r>
      <w:r w:rsidR="009E132A">
        <w:rPr>
          <w:rFonts w:ascii="Garamond" w:hAnsi="Garamond"/>
          <w:sz w:val="24"/>
          <w:szCs w:val="24"/>
        </w:rPr>
        <w:t>Doyle and O’Brien argue that</w:t>
      </w:r>
      <w:r w:rsidR="00B21BE2">
        <w:rPr>
          <w:rFonts w:ascii="Garamond" w:hAnsi="Garamond"/>
          <w:sz w:val="24"/>
          <w:szCs w:val="24"/>
        </w:rPr>
        <w:t xml:space="preserve"> there is much to be gained from</w:t>
      </w:r>
      <w:r w:rsidR="00B21BE2" w:rsidRPr="00B21BE2">
        <w:rPr>
          <w:rFonts w:ascii="Garamond" w:hAnsi="Garamond"/>
          <w:sz w:val="24"/>
          <w:szCs w:val="24"/>
        </w:rPr>
        <w:t xml:space="preserve"> a shift </w:t>
      </w:r>
      <w:r w:rsidR="00B21BE2" w:rsidRPr="00B21BE2">
        <w:rPr>
          <w:rFonts w:ascii="Garamond" w:hAnsi="Garamond"/>
          <w:sz w:val="24"/>
          <w:szCs w:val="24"/>
        </w:rPr>
        <w:lastRenderedPageBreak/>
        <w:t xml:space="preserve">in perspective from the </w:t>
      </w:r>
      <w:r w:rsidR="00EB3B3A">
        <w:rPr>
          <w:rFonts w:ascii="Garamond" w:hAnsi="Garamond"/>
          <w:sz w:val="24"/>
          <w:szCs w:val="24"/>
        </w:rPr>
        <w:t>c</w:t>
      </w:r>
      <w:r w:rsidR="00B21BE2" w:rsidRPr="00B21BE2">
        <w:rPr>
          <w:rFonts w:ascii="Garamond" w:hAnsi="Garamond"/>
          <w:sz w:val="24"/>
          <w:szCs w:val="24"/>
        </w:rPr>
        <w:t>ourt-focused work that dominates the literature at present, to a more holistic, complex understanding of rights in the small places of everyday life.</w:t>
      </w:r>
      <w:r w:rsidR="00EB3B3A">
        <w:rPr>
          <w:rStyle w:val="FootnoteReference"/>
          <w:rFonts w:ascii="Garamond" w:hAnsi="Garamond"/>
          <w:sz w:val="24"/>
          <w:szCs w:val="24"/>
        </w:rPr>
        <w:footnoteReference w:id="110"/>
      </w:r>
    </w:p>
    <w:p w14:paraId="4AE7C927" w14:textId="5FB44C98" w:rsidR="008D5B88" w:rsidRDefault="00206218" w:rsidP="008D5B88">
      <w:pPr>
        <w:jc w:val="both"/>
        <w:rPr>
          <w:rFonts w:ascii="Garamond" w:hAnsi="Garamond"/>
          <w:sz w:val="24"/>
          <w:szCs w:val="24"/>
        </w:rPr>
      </w:pPr>
      <w:r>
        <w:rPr>
          <w:rFonts w:ascii="Garamond" w:hAnsi="Garamond"/>
          <w:sz w:val="24"/>
          <w:szCs w:val="24"/>
        </w:rPr>
        <w:t>T</w:t>
      </w:r>
      <w:r w:rsidR="00DB3086">
        <w:rPr>
          <w:rFonts w:ascii="Garamond" w:hAnsi="Garamond"/>
          <w:sz w:val="24"/>
          <w:szCs w:val="24"/>
        </w:rPr>
        <w:t>o achieve this shift in perspective, t</w:t>
      </w:r>
      <w:r>
        <w:rPr>
          <w:rFonts w:ascii="Garamond" w:hAnsi="Garamond"/>
          <w:sz w:val="24"/>
          <w:szCs w:val="24"/>
        </w:rPr>
        <w:t xml:space="preserve">here is </w:t>
      </w:r>
      <w:r w:rsidR="002D39E5">
        <w:rPr>
          <w:rFonts w:ascii="Garamond" w:hAnsi="Garamond"/>
          <w:sz w:val="24"/>
          <w:szCs w:val="24"/>
        </w:rPr>
        <w:t>a</w:t>
      </w:r>
      <w:r>
        <w:rPr>
          <w:rFonts w:ascii="Garamond" w:hAnsi="Garamond"/>
          <w:sz w:val="24"/>
          <w:szCs w:val="24"/>
        </w:rPr>
        <w:t xml:space="preserve"> </w:t>
      </w:r>
      <w:r w:rsidR="00B524DB">
        <w:rPr>
          <w:rFonts w:ascii="Garamond" w:hAnsi="Garamond"/>
          <w:sz w:val="24"/>
          <w:szCs w:val="24"/>
        </w:rPr>
        <w:t xml:space="preserve">related </w:t>
      </w:r>
      <w:r>
        <w:rPr>
          <w:rFonts w:ascii="Garamond" w:hAnsi="Garamond"/>
          <w:sz w:val="24"/>
          <w:szCs w:val="24"/>
        </w:rPr>
        <w:t>case to be</w:t>
      </w:r>
      <w:r w:rsidR="00F761AE">
        <w:rPr>
          <w:rFonts w:ascii="Garamond" w:hAnsi="Garamond"/>
          <w:sz w:val="24"/>
          <w:szCs w:val="24"/>
        </w:rPr>
        <w:t xml:space="preserve"> made </w:t>
      </w:r>
      <w:r>
        <w:rPr>
          <w:rFonts w:ascii="Garamond" w:hAnsi="Garamond"/>
          <w:sz w:val="24"/>
          <w:szCs w:val="24"/>
        </w:rPr>
        <w:t xml:space="preserve">about further expanding the toolkit of research methods in </w:t>
      </w:r>
      <w:r w:rsidR="00830BC2">
        <w:rPr>
          <w:rFonts w:ascii="Garamond" w:hAnsi="Garamond"/>
          <w:sz w:val="24"/>
          <w:szCs w:val="24"/>
        </w:rPr>
        <w:t xml:space="preserve">public law </w:t>
      </w:r>
      <w:r>
        <w:rPr>
          <w:rFonts w:ascii="Garamond" w:hAnsi="Garamond"/>
          <w:sz w:val="24"/>
          <w:szCs w:val="24"/>
        </w:rPr>
        <w:t>research</w:t>
      </w:r>
      <w:r w:rsidR="002D39E5">
        <w:rPr>
          <w:rFonts w:ascii="Garamond" w:hAnsi="Garamond"/>
          <w:sz w:val="24"/>
          <w:szCs w:val="24"/>
        </w:rPr>
        <w:t xml:space="preserve"> and much to be gleaned from collaboration </w:t>
      </w:r>
      <w:r w:rsidR="00DC6175">
        <w:rPr>
          <w:rFonts w:ascii="Garamond" w:hAnsi="Garamond"/>
          <w:sz w:val="24"/>
          <w:szCs w:val="24"/>
        </w:rPr>
        <w:t>and participation</w:t>
      </w:r>
      <w:r w:rsidR="002D39E5">
        <w:rPr>
          <w:rFonts w:ascii="Garamond" w:hAnsi="Garamond"/>
          <w:sz w:val="24"/>
          <w:szCs w:val="24"/>
        </w:rPr>
        <w:t xml:space="preserve"> – e.g. </w:t>
      </w:r>
      <w:r w:rsidR="00B524DB">
        <w:rPr>
          <w:rFonts w:ascii="Garamond" w:hAnsi="Garamond"/>
          <w:sz w:val="24"/>
          <w:szCs w:val="24"/>
        </w:rPr>
        <w:t xml:space="preserve">doing research </w:t>
      </w:r>
      <w:r w:rsidR="002F19AF" w:rsidRPr="002B7DE3">
        <w:rPr>
          <w:rFonts w:ascii="Garamond" w:hAnsi="Garamond"/>
          <w:i/>
          <w:iCs/>
          <w:sz w:val="24"/>
          <w:szCs w:val="24"/>
        </w:rPr>
        <w:t>with</w:t>
      </w:r>
      <w:r w:rsidR="002F19AF">
        <w:rPr>
          <w:rFonts w:ascii="Garamond" w:hAnsi="Garamond"/>
          <w:sz w:val="24"/>
          <w:szCs w:val="24"/>
        </w:rPr>
        <w:t xml:space="preserve"> communities rather than </w:t>
      </w:r>
      <w:r w:rsidR="002F19AF" w:rsidRPr="002B7DE3">
        <w:rPr>
          <w:rFonts w:ascii="Garamond" w:hAnsi="Garamond"/>
          <w:i/>
          <w:iCs/>
          <w:sz w:val="24"/>
          <w:szCs w:val="24"/>
        </w:rPr>
        <w:t>about</w:t>
      </w:r>
      <w:r w:rsidR="002F19AF">
        <w:rPr>
          <w:rFonts w:ascii="Garamond" w:hAnsi="Garamond"/>
          <w:sz w:val="24"/>
          <w:szCs w:val="24"/>
        </w:rPr>
        <w:t xml:space="preserve"> communities,</w:t>
      </w:r>
      <w:r w:rsidR="002F19AF">
        <w:rPr>
          <w:rStyle w:val="FootnoteReference"/>
          <w:rFonts w:ascii="Garamond" w:hAnsi="Garamond"/>
          <w:sz w:val="24"/>
          <w:szCs w:val="24"/>
        </w:rPr>
        <w:footnoteReference w:id="111"/>
      </w:r>
      <w:r w:rsidR="002F19AF">
        <w:rPr>
          <w:rFonts w:ascii="Garamond" w:hAnsi="Garamond"/>
          <w:sz w:val="24"/>
          <w:szCs w:val="24"/>
        </w:rPr>
        <w:t xml:space="preserve"> </w:t>
      </w:r>
      <w:r w:rsidR="007A7E15">
        <w:rPr>
          <w:rFonts w:ascii="Garamond" w:hAnsi="Garamond"/>
          <w:sz w:val="24"/>
          <w:szCs w:val="24"/>
        </w:rPr>
        <w:t>walking</w:t>
      </w:r>
      <w:r w:rsidR="00E77AD8">
        <w:rPr>
          <w:rFonts w:ascii="Garamond" w:hAnsi="Garamond"/>
          <w:sz w:val="24"/>
          <w:szCs w:val="24"/>
        </w:rPr>
        <w:t xml:space="preserve"> methods that seek to </w:t>
      </w:r>
      <w:r w:rsidR="0070230A">
        <w:rPr>
          <w:rFonts w:ascii="Garamond" w:hAnsi="Garamond"/>
          <w:sz w:val="24"/>
          <w:szCs w:val="24"/>
        </w:rPr>
        <w:t>understand positionalities more fully</w:t>
      </w:r>
      <w:r w:rsidR="007A7E15">
        <w:rPr>
          <w:rFonts w:ascii="Garamond" w:hAnsi="Garamond"/>
          <w:sz w:val="24"/>
          <w:szCs w:val="24"/>
        </w:rPr>
        <w:t>,</w:t>
      </w:r>
      <w:r w:rsidR="007407A1">
        <w:rPr>
          <w:rStyle w:val="FootnoteReference"/>
          <w:rFonts w:ascii="Garamond" w:hAnsi="Garamond"/>
          <w:sz w:val="24"/>
          <w:szCs w:val="24"/>
        </w:rPr>
        <w:footnoteReference w:id="112"/>
      </w:r>
      <w:r w:rsidR="007A7E15">
        <w:rPr>
          <w:rFonts w:ascii="Garamond" w:hAnsi="Garamond"/>
          <w:sz w:val="24"/>
          <w:szCs w:val="24"/>
        </w:rPr>
        <w:t xml:space="preserve"> </w:t>
      </w:r>
      <w:r w:rsidR="00880864">
        <w:rPr>
          <w:rFonts w:ascii="Garamond" w:hAnsi="Garamond"/>
          <w:sz w:val="24"/>
          <w:szCs w:val="24"/>
        </w:rPr>
        <w:t>experimental methods that seek to understand</w:t>
      </w:r>
      <w:r w:rsidR="00174CBF">
        <w:rPr>
          <w:rFonts w:ascii="Garamond" w:hAnsi="Garamond"/>
          <w:sz w:val="24"/>
          <w:szCs w:val="24"/>
        </w:rPr>
        <w:t xml:space="preserve"> perceptions on</w:t>
      </w:r>
      <w:r w:rsidR="00880864">
        <w:rPr>
          <w:rFonts w:ascii="Garamond" w:hAnsi="Garamond"/>
          <w:sz w:val="24"/>
          <w:szCs w:val="24"/>
        </w:rPr>
        <w:t xml:space="preserve"> </w:t>
      </w:r>
      <w:r w:rsidR="00174CBF">
        <w:rPr>
          <w:rFonts w:ascii="Garamond" w:hAnsi="Garamond"/>
          <w:sz w:val="24"/>
          <w:szCs w:val="24"/>
        </w:rPr>
        <w:t>‘trade-o</w:t>
      </w:r>
      <w:r w:rsidR="00880864">
        <w:rPr>
          <w:rFonts w:ascii="Garamond" w:hAnsi="Garamond"/>
          <w:sz w:val="24"/>
          <w:szCs w:val="24"/>
        </w:rPr>
        <w:t>ffs</w:t>
      </w:r>
      <w:r w:rsidR="00174CBF">
        <w:rPr>
          <w:rFonts w:ascii="Garamond" w:hAnsi="Garamond"/>
          <w:sz w:val="24"/>
          <w:szCs w:val="24"/>
        </w:rPr>
        <w:t>’</w:t>
      </w:r>
      <w:r w:rsidR="00880864">
        <w:rPr>
          <w:rFonts w:ascii="Garamond" w:hAnsi="Garamond"/>
          <w:sz w:val="24"/>
          <w:szCs w:val="24"/>
        </w:rPr>
        <w:t xml:space="preserve"> </w:t>
      </w:r>
      <w:r w:rsidR="00174CBF">
        <w:rPr>
          <w:rFonts w:ascii="Garamond" w:hAnsi="Garamond"/>
          <w:sz w:val="24"/>
          <w:szCs w:val="24"/>
        </w:rPr>
        <w:t>between different features of administrative processes</w:t>
      </w:r>
      <w:r w:rsidR="007B5DD6">
        <w:rPr>
          <w:rFonts w:ascii="Garamond" w:hAnsi="Garamond"/>
          <w:sz w:val="24"/>
          <w:szCs w:val="24"/>
        </w:rPr>
        <w:t>,</w:t>
      </w:r>
      <w:r w:rsidR="00CA0333">
        <w:rPr>
          <w:rStyle w:val="FootnoteReference"/>
          <w:rFonts w:ascii="Garamond" w:hAnsi="Garamond"/>
          <w:sz w:val="24"/>
          <w:szCs w:val="24"/>
        </w:rPr>
        <w:footnoteReference w:id="113"/>
      </w:r>
      <w:r w:rsidR="00174CBF">
        <w:rPr>
          <w:rFonts w:ascii="Garamond" w:hAnsi="Garamond"/>
          <w:sz w:val="24"/>
          <w:szCs w:val="24"/>
        </w:rPr>
        <w:t xml:space="preserve"> </w:t>
      </w:r>
      <w:r w:rsidR="007B5DD6">
        <w:rPr>
          <w:rFonts w:ascii="Garamond" w:hAnsi="Garamond"/>
          <w:sz w:val="24"/>
          <w:szCs w:val="24"/>
        </w:rPr>
        <w:t>or the application of legal design in response to access to justice crises.</w:t>
      </w:r>
      <w:r w:rsidR="00501B88">
        <w:rPr>
          <w:rStyle w:val="FootnoteReference"/>
          <w:rFonts w:ascii="Garamond" w:hAnsi="Garamond"/>
          <w:sz w:val="24"/>
          <w:szCs w:val="24"/>
        </w:rPr>
        <w:footnoteReference w:id="114"/>
      </w:r>
      <w:r w:rsidR="007B5DD6">
        <w:rPr>
          <w:rFonts w:ascii="Garamond" w:hAnsi="Garamond"/>
          <w:sz w:val="24"/>
          <w:szCs w:val="24"/>
        </w:rPr>
        <w:t xml:space="preserve"> </w:t>
      </w:r>
      <w:r w:rsidR="00B37E99">
        <w:rPr>
          <w:rFonts w:ascii="Garamond" w:hAnsi="Garamond"/>
          <w:sz w:val="24"/>
          <w:szCs w:val="24"/>
        </w:rPr>
        <w:t xml:space="preserve"> </w:t>
      </w:r>
    </w:p>
    <w:p w14:paraId="6DD8BA8E" w14:textId="09C1F31D" w:rsidR="00D02C18" w:rsidRPr="00BA5B6C" w:rsidRDefault="00D02C18" w:rsidP="00846EC9">
      <w:pPr>
        <w:jc w:val="both"/>
        <w:rPr>
          <w:rFonts w:ascii="Garamond" w:hAnsi="Garamond"/>
          <w:b/>
          <w:bCs/>
          <w:sz w:val="32"/>
          <w:szCs w:val="32"/>
        </w:rPr>
      </w:pPr>
      <w:r w:rsidRPr="00BA5B6C">
        <w:rPr>
          <w:rFonts w:ascii="Garamond" w:hAnsi="Garamond"/>
          <w:b/>
          <w:bCs/>
          <w:sz w:val="32"/>
          <w:szCs w:val="32"/>
        </w:rPr>
        <w:t>Conclusion</w:t>
      </w:r>
    </w:p>
    <w:p w14:paraId="4EA92120" w14:textId="4BE085D3" w:rsidR="00231A62" w:rsidRPr="00BC72FA" w:rsidRDefault="001079EE" w:rsidP="00231A62">
      <w:pPr>
        <w:jc w:val="both"/>
        <w:rPr>
          <w:rFonts w:ascii="Garamond" w:hAnsi="Garamond"/>
          <w:sz w:val="24"/>
          <w:szCs w:val="24"/>
        </w:rPr>
      </w:pPr>
      <w:r w:rsidRPr="00BC72FA">
        <w:rPr>
          <w:rFonts w:ascii="Garamond" w:hAnsi="Garamond"/>
          <w:sz w:val="24"/>
          <w:szCs w:val="24"/>
        </w:rPr>
        <w:t>The field of administrative justice provides a scaffold and language for the development</w:t>
      </w:r>
      <w:r w:rsidR="00A15C39">
        <w:rPr>
          <w:rFonts w:ascii="Garamond" w:hAnsi="Garamond"/>
          <w:sz w:val="24"/>
          <w:szCs w:val="24"/>
        </w:rPr>
        <w:t xml:space="preserve"> and expansion</w:t>
      </w:r>
      <w:r w:rsidRPr="00BC72FA">
        <w:rPr>
          <w:rFonts w:ascii="Garamond" w:hAnsi="Garamond"/>
          <w:sz w:val="24"/>
          <w:szCs w:val="24"/>
        </w:rPr>
        <w:t xml:space="preserve"> </w:t>
      </w:r>
      <w:r w:rsidR="00A15C39">
        <w:rPr>
          <w:rFonts w:ascii="Garamond" w:hAnsi="Garamond"/>
          <w:sz w:val="24"/>
          <w:szCs w:val="24"/>
        </w:rPr>
        <w:t>of public law scholarship</w:t>
      </w:r>
      <w:r w:rsidR="006E18F0">
        <w:rPr>
          <w:rFonts w:ascii="Garamond" w:hAnsi="Garamond"/>
          <w:sz w:val="24"/>
          <w:szCs w:val="24"/>
        </w:rPr>
        <w:t xml:space="preserve">, and provide insights on </w:t>
      </w:r>
      <w:r w:rsidR="00815A1D">
        <w:rPr>
          <w:rFonts w:ascii="Garamond" w:hAnsi="Garamond"/>
          <w:sz w:val="24"/>
          <w:szCs w:val="24"/>
        </w:rPr>
        <w:t>how to improve first instance and tribunal level decision making in public bodies</w:t>
      </w:r>
      <w:r w:rsidRPr="00BC72FA">
        <w:rPr>
          <w:rFonts w:ascii="Garamond" w:hAnsi="Garamond"/>
          <w:sz w:val="24"/>
          <w:szCs w:val="24"/>
        </w:rPr>
        <w:t xml:space="preserve">. </w:t>
      </w:r>
      <w:r w:rsidR="00231A62">
        <w:rPr>
          <w:rFonts w:ascii="Garamond" w:hAnsi="Garamond"/>
          <w:sz w:val="24"/>
          <w:szCs w:val="24"/>
        </w:rPr>
        <w:t xml:space="preserve">Crucial to the success of the field will be the extent to which different parties are willing to get involved in research projects and are open to new ways of knowing about administrative law. This can be productively understood as a shared dialogue. </w:t>
      </w:r>
      <w:r w:rsidR="00231A62" w:rsidRPr="00BC72FA">
        <w:rPr>
          <w:rFonts w:ascii="Garamond" w:hAnsi="Garamond"/>
          <w:sz w:val="24"/>
          <w:szCs w:val="24"/>
        </w:rPr>
        <w:t xml:space="preserve">As </w:t>
      </w:r>
      <w:proofErr w:type="spellStart"/>
      <w:r w:rsidR="00231A62" w:rsidRPr="00BC72FA">
        <w:rPr>
          <w:rFonts w:ascii="Garamond" w:hAnsi="Garamond"/>
          <w:sz w:val="24"/>
          <w:szCs w:val="24"/>
        </w:rPr>
        <w:t>Sunkin</w:t>
      </w:r>
      <w:proofErr w:type="spellEnd"/>
      <w:r w:rsidR="00231A62" w:rsidRPr="00BC72FA">
        <w:rPr>
          <w:rFonts w:ascii="Garamond" w:hAnsi="Garamond"/>
          <w:sz w:val="24"/>
          <w:szCs w:val="24"/>
        </w:rPr>
        <w:t xml:space="preserve"> and </w:t>
      </w:r>
      <w:proofErr w:type="spellStart"/>
      <w:r w:rsidR="00231A62" w:rsidRPr="00BC72FA">
        <w:rPr>
          <w:rFonts w:ascii="Garamond" w:hAnsi="Garamond"/>
          <w:sz w:val="24"/>
          <w:szCs w:val="24"/>
        </w:rPr>
        <w:t>Marsons</w:t>
      </w:r>
      <w:proofErr w:type="spellEnd"/>
      <w:r w:rsidR="00231A62" w:rsidRPr="00BC72FA">
        <w:rPr>
          <w:rFonts w:ascii="Garamond" w:hAnsi="Garamond"/>
          <w:sz w:val="24"/>
          <w:szCs w:val="24"/>
        </w:rPr>
        <w:t xml:space="preserve"> note</w:t>
      </w:r>
      <w:r w:rsidR="00231A62">
        <w:rPr>
          <w:rFonts w:ascii="Garamond" w:hAnsi="Garamond"/>
          <w:sz w:val="24"/>
          <w:szCs w:val="24"/>
        </w:rPr>
        <w:t xml:space="preserve"> in marking out future research trajectories for administrative justice</w:t>
      </w:r>
      <w:r w:rsidR="00231A62" w:rsidRPr="00BC72FA">
        <w:rPr>
          <w:rFonts w:ascii="Garamond" w:hAnsi="Garamond"/>
          <w:sz w:val="24"/>
          <w:szCs w:val="24"/>
        </w:rPr>
        <w:t xml:space="preserve">: </w:t>
      </w:r>
    </w:p>
    <w:p w14:paraId="4968AD1B" w14:textId="77777777" w:rsidR="00231A62" w:rsidRDefault="00231A62" w:rsidP="00231A62">
      <w:pPr>
        <w:ind w:left="720"/>
        <w:jc w:val="both"/>
        <w:rPr>
          <w:rFonts w:ascii="Garamond" w:hAnsi="Garamond"/>
          <w:sz w:val="24"/>
          <w:szCs w:val="24"/>
        </w:rPr>
      </w:pPr>
      <w:r w:rsidRPr="00BC72FA">
        <w:rPr>
          <w:rFonts w:ascii="Garamond" w:hAnsi="Garamond"/>
          <w:sz w:val="24"/>
          <w:szCs w:val="24"/>
        </w:rPr>
        <w:t>Benefits can accrue from dialogue. Not least, dialogue should better enable government and funders to work with independent researchers to identify priority research needs, to better understand what can be investigated and by what methods, and to address obstacles including availability of data</w:t>
      </w:r>
      <w:r>
        <w:rPr>
          <w:rFonts w:ascii="Garamond" w:hAnsi="Garamond"/>
          <w:sz w:val="24"/>
          <w:szCs w:val="24"/>
        </w:rPr>
        <w:t>.</w:t>
      </w:r>
      <w:r>
        <w:rPr>
          <w:rStyle w:val="FootnoteReference"/>
          <w:rFonts w:ascii="Garamond" w:hAnsi="Garamond"/>
          <w:sz w:val="24"/>
          <w:szCs w:val="24"/>
        </w:rPr>
        <w:footnoteReference w:id="115"/>
      </w:r>
    </w:p>
    <w:p w14:paraId="5D5B9D1F" w14:textId="51C0B002" w:rsidR="00BF2F0F" w:rsidRDefault="00D148EF" w:rsidP="00BF2F0F">
      <w:pPr>
        <w:jc w:val="both"/>
        <w:rPr>
          <w:rFonts w:ascii="Garamond" w:hAnsi="Garamond"/>
          <w:sz w:val="24"/>
          <w:szCs w:val="24"/>
        </w:rPr>
      </w:pPr>
      <w:r>
        <w:rPr>
          <w:rFonts w:ascii="Garamond" w:hAnsi="Garamond"/>
          <w:sz w:val="24"/>
          <w:szCs w:val="24"/>
        </w:rPr>
        <w:t xml:space="preserve">The development of </w:t>
      </w:r>
      <w:r w:rsidR="00231A62">
        <w:rPr>
          <w:rFonts w:ascii="Garamond" w:hAnsi="Garamond"/>
          <w:sz w:val="24"/>
          <w:szCs w:val="24"/>
        </w:rPr>
        <w:t>administrative justice</w:t>
      </w:r>
      <w:r>
        <w:rPr>
          <w:rFonts w:ascii="Garamond" w:hAnsi="Garamond"/>
          <w:sz w:val="24"/>
          <w:szCs w:val="24"/>
        </w:rPr>
        <w:t xml:space="preserve"> </w:t>
      </w:r>
      <w:r w:rsidR="00110BD0">
        <w:rPr>
          <w:rFonts w:ascii="Garamond" w:hAnsi="Garamond"/>
          <w:sz w:val="24"/>
          <w:szCs w:val="24"/>
        </w:rPr>
        <w:t>research</w:t>
      </w:r>
      <w:r>
        <w:rPr>
          <w:rFonts w:ascii="Garamond" w:hAnsi="Garamond"/>
          <w:sz w:val="24"/>
          <w:szCs w:val="24"/>
        </w:rPr>
        <w:t xml:space="preserve"> ought to be seen as collaborative endeavour, one that </w:t>
      </w:r>
      <w:r w:rsidR="00394BDF">
        <w:rPr>
          <w:rFonts w:ascii="Garamond" w:hAnsi="Garamond"/>
          <w:sz w:val="24"/>
          <w:szCs w:val="24"/>
        </w:rPr>
        <w:t xml:space="preserve">involves rich and diverse range of voices including </w:t>
      </w:r>
      <w:r w:rsidR="00846EC9">
        <w:rPr>
          <w:rFonts w:ascii="Garamond" w:hAnsi="Garamond"/>
          <w:sz w:val="24"/>
          <w:szCs w:val="24"/>
        </w:rPr>
        <w:t xml:space="preserve">a representative sample of the public, </w:t>
      </w:r>
      <w:r w:rsidR="001344CF">
        <w:rPr>
          <w:rFonts w:ascii="Garamond" w:hAnsi="Garamond"/>
          <w:sz w:val="24"/>
          <w:szCs w:val="24"/>
        </w:rPr>
        <w:t>judges</w:t>
      </w:r>
      <w:r w:rsidR="00394BDF">
        <w:rPr>
          <w:rFonts w:ascii="Garamond" w:hAnsi="Garamond"/>
          <w:sz w:val="24"/>
          <w:szCs w:val="24"/>
        </w:rPr>
        <w:t xml:space="preserve">, </w:t>
      </w:r>
      <w:r w:rsidR="001344CF">
        <w:rPr>
          <w:rFonts w:ascii="Garamond" w:hAnsi="Garamond"/>
          <w:sz w:val="24"/>
          <w:szCs w:val="24"/>
        </w:rPr>
        <w:t>officials</w:t>
      </w:r>
      <w:r w:rsidR="00394BDF">
        <w:rPr>
          <w:rFonts w:ascii="Garamond" w:hAnsi="Garamond"/>
          <w:sz w:val="24"/>
          <w:szCs w:val="24"/>
        </w:rPr>
        <w:t>,</w:t>
      </w:r>
      <w:r w:rsidR="00846EC9">
        <w:rPr>
          <w:rFonts w:ascii="Garamond" w:hAnsi="Garamond"/>
          <w:sz w:val="24"/>
          <w:szCs w:val="24"/>
        </w:rPr>
        <w:t xml:space="preserve"> administrators,</w:t>
      </w:r>
      <w:r w:rsidR="00394BDF">
        <w:rPr>
          <w:rFonts w:ascii="Garamond" w:hAnsi="Garamond"/>
          <w:sz w:val="24"/>
          <w:szCs w:val="24"/>
        </w:rPr>
        <w:t xml:space="preserve"> researchers, and</w:t>
      </w:r>
      <w:r w:rsidR="001344CF">
        <w:rPr>
          <w:rFonts w:ascii="Garamond" w:hAnsi="Garamond"/>
          <w:sz w:val="24"/>
          <w:szCs w:val="24"/>
        </w:rPr>
        <w:t xml:space="preserve"> legi</w:t>
      </w:r>
      <w:r w:rsidR="000D1607">
        <w:rPr>
          <w:rFonts w:ascii="Garamond" w:hAnsi="Garamond"/>
          <w:sz w:val="24"/>
          <w:szCs w:val="24"/>
        </w:rPr>
        <w:t xml:space="preserve">slators. </w:t>
      </w:r>
      <w:r w:rsidR="00C214B1">
        <w:rPr>
          <w:rFonts w:ascii="Garamond" w:hAnsi="Garamond"/>
          <w:sz w:val="24"/>
          <w:szCs w:val="24"/>
        </w:rPr>
        <w:t xml:space="preserve">This work is crucial </w:t>
      </w:r>
      <w:r w:rsidR="00BE154C">
        <w:rPr>
          <w:rFonts w:ascii="Garamond" w:hAnsi="Garamond"/>
          <w:sz w:val="24"/>
          <w:szCs w:val="24"/>
        </w:rPr>
        <w:t>in shifting</w:t>
      </w:r>
      <w:r w:rsidR="00C214B1">
        <w:rPr>
          <w:rFonts w:ascii="Garamond" w:hAnsi="Garamond"/>
          <w:sz w:val="24"/>
          <w:szCs w:val="24"/>
        </w:rPr>
        <w:t xml:space="preserve"> public law mindsets</w:t>
      </w:r>
      <w:r w:rsidR="001014AA">
        <w:rPr>
          <w:rFonts w:ascii="Garamond" w:hAnsi="Garamond"/>
          <w:sz w:val="24"/>
          <w:szCs w:val="24"/>
        </w:rPr>
        <w:t xml:space="preserve"> from ‘putting it right’ to ‘getting it right’ first time around.</w:t>
      </w:r>
      <w:r w:rsidR="00ED501C">
        <w:rPr>
          <w:rStyle w:val="FootnoteReference"/>
          <w:rFonts w:ascii="Garamond" w:hAnsi="Garamond"/>
          <w:sz w:val="24"/>
          <w:szCs w:val="24"/>
        </w:rPr>
        <w:footnoteReference w:id="116"/>
      </w:r>
    </w:p>
    <w:sectPr w:rsidR="00BF2F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F6AB" w14:textId="77777777" w:rsidR="00BB07A3" w:rsidRDefault="00BB07A3" w:rsidP="00AC59D3">
      <w:pPr>
        <w:spacing w:after="0" w:line="240" w:lineRule="auto"/>
      </w:pPr>
      <w:r>
        <w:separator/>
      </w:r>
    </w:p>
  </w:endnote>
  <w:endnote w:type="continuationSeparator" w:id="0">
    <w:p w14:paraId="0D636CE4" w14:textId="77777777" w:rsidR="00BB07A3" w:rsidRDefault="00BB07A3" w:rsidP="00AC5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108762"/>
      <w:docPartObj>
        <w:docPartGallery w:val="Page Numbers (Bottom of Page)"/>
        <w:docPartUnique/>
      </w:docPartObj>
    </w:sdtPr>
    <w:sdtEndPr>
      <w:rPr>
        <w:rFonts w:ascii="Garamond" w:hAnsi="Garamond"/>
        <w:noProof/>
        <w:sz w:val="24"/>
        <w:szCs w:val="24"/>
      </w:rPr>
    </w:sdtEndPr>
    <w:sdtContent>
      <w:p w14:paraId="28F4968E" w14:textId="423BE053" w:rsidR="00AB5144" w:rsidRPr="00333B34" w:rsidRDefault="00AB5144">
        <w:pPr>
          <w:pStyle w:val="Footer"/>
          <w:jc w:val="right"/>
          <w:rPr>
            <w:rFonts w:ascii="Garamond" w:hAnsi="Garamond"/>
            <w:sz w:val="24"/>
            <w:szCs w:val="24"/>
          </w:rPr>
        </w:pPr>
        <w:r w:rsidRPr="00333B34">
          <w:rPr>
            <w:rFonts w:ascii="Garamond" w:hAnsi="Garamond"/>
            <w:sz w:val="24"/>
            <w:szCs w:val="24"/>
          </w:rPr>
          <w:fldChar w:fldCharType="begin"/>
        </w:r>
        <w:r w:rsidRPr="00333B34">
          <w:rPr>
            <w:rFonts w:ascii="Garamond" w:hAnsi="Garamond"/>
            <w:sz w:val="24"/>
            <w:szCs w:val="24"/>
          </w:rPr>
          <w:instrText xml:space="preserve"> PAGE   \* MERGEFORMAT </w:instrText>
        </w:r>
        <w:r w:rsidRPr="00333B34">
          <w:rPr>
            <w:rFonts w:ascii="Garamond" w:hAnsi="Garamond"/>
            <w:sz w:val="24"/>
            <w:szCs w:val="24"/>
          </w:rPr>
          <w:fldChar w:fldCharType="separate"/>
        </w:r>
        <w:r w:rsidRPr="00333B34">
          <w:rPr>
            <w:rFonts w:ascii="Garamond" w:hAnsi="Garamond"/>
            <w:noProof/>
            <w:sz w:val="24"/>
            <w:szCs w:val="24"/>
          </w:rPr>
          <w:t>2</w:t>
        </w:r>
        <w:r w:rsidRPr="00333B34">
          <w:rPr>
            <w:rFonts w:ascii="Garamond" w:hAnsi="Garamond"/>
            <w:noProof/>
            <w:sz w:val="24"/>
            <w:szCs w:val="24"/>
          </w:rPr>
          <w:fldChar w:fldCharType="end"/>
        </w:r>
      </w:p>
    </w:sdtContent>
  </w:sdt>
  <w:p w14:paraId="138992F7" w14:textId="77777777" w:rsidR="00AB5144" w:rsidRDefault="00AB5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AD39" w14:textId="77777777" w:rsidR="00BB07A3" w:rsidRDefault="00BB07A3" w:rsidP="00AC59D3">
      <w:pPr>
        <w:spacing w:after="0" w:line="240" w:lineRule="auto"/>
      </w:pPr>
      <w:r>
        <w:separator/>
      </w:r>
    </w:p>
  </w:footnote>
  <w:footnote w:type="continuationSeparator" w:id="0">
    <w:p w14:paraId="4E55ADEB" w14:textId="77777777" w:rsidR="00BB07A3" w:rsidRDefault="00BB07A3" w:rsidP="00AC59D3">
      <w:pPr>
        <w:spacing w:after="0" w:line="240" w:lineRule="auto"/>
      </w:pPr>
      <w:r>
        <w:continuationSeparator/>
      </w:r>
    </w:p>
  </w:footnote>
  <w:footnote w:id="1">
    <w:p w14:paraId="710CD1E8" w14:textId="40A6A948" w:rsidR="00945D8A" w:rsidRPr="00F45783" w:rsidRDefault="00945D8A"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w:t>
      </w:r>
      <w:r w:rsidR="005C1C3A" w:rsidRPr="00F45783">
        <w:rPr>
          <w:rFonts w:ascii="Garamond" w:hAnsi="Garamond"/>
          <w:sz w:val="18"/>
          <w:szCs w:val="18"/>
        </w:rPr>
        <w:t>ennifer</w:t>
      </w:r>
      <w:r w:rsidRPr="00F45783">
        <w:rPr>
          <w:rFonts w:ascii="Garamond" w:hAnsi="Garamond"/>
          <w:sz w:val="18"/>
          <w:szCs w:val="18"/>
        </w:rPr>
        <w:t xml:space="preserve"> Raso, ‘The In-between Space of Administrative Justice: Reconciling Norms at the Front Lines of Social Assistance Agencies’ in J</w:t>
      </w:r>
      <w:r w:rsidR="007D17A2">
        <w:rPr>
          <w:rFonts w:ascii="Garamond" w:hAnsi="Garamond"/>
          <w:sz w:val="18"/>
          <w:szCs w:val="18"/>
        </w:rPr>
        <w:t>ason</w:t>
      </w:r>
      <w:r w:rsidRPr="00F45783">
        <w:rPr>
          <w:rFonts w:ascii="Garamond" w:hAnsi="Garamond"/>
          <w:sz w:val="18"/>
          <w:szCs w:val="18"/>
        </w:rPr>
        <w:t xml:space="preserve"> </w:t>
      </w:r>
      <w:proofErr w:type="spellStart"/>
      <w:r w:rsidRPr="00F45783">
        <w:rPr>
          <w:rFonts w:ascii="Garamond" w:hAnsi="Garamond"/>
          <w:sz w:val="18"/>
          <w:szCs w:val="18"/>
        </w:rPr>
        <w:t>Varuhas</w:t>
      </w:r>
      <w:proofErr w:type="spellEnd"/>
      <w:r w:rsidRPr="00F45783">
        <w:rPr>
          <w:rFonts w:ascii="Garamond" w:hAnsi="Garamond"/>
          <w:sz w:val="18"/>
          <w:szCs w:val="18"/>
        </w:rPr>
        <w:t xml:space="preserve"> and S</w:t>
      </w:r>
      <w:r w:rsidR="007D17A2">
        <w:rPr>
          <w:rFonts w:ascii="Garamond" w:hAnsi="Garamond"/>
          <w:sz w:val="18"/>
          <w:szCs w:val="18"/>
        </w:rPr>
        <w:t>hona</w:t>
      </w:r>
      <w:r w:rsidRPr="00F45783">
        <w:rPr>
          <w:rFonts w:ascii="Garamond" w:hAnsi="Garamond"/>
          <w:sz w:val="18"/>
          <w:szCs w:val="18"/>
        </w:rPr>
        <w:t xml:space="preserve"> Wilson Stark (eds) </w:t>
      </w:r>
      <w:r w:rsidRPr="00F45783">
        <w:rPr>
          <w:rFonts w:ascii="Garamond" w:hAnsi="Garamond"/>
          <w:i/>
          <w:iCs/>
          <w:sz w:val="18"/>
          <w:szCs w:val="18"/>
        </w:rPr>
        <w:t>The Frontiers of Public</w:t>
      </w:r>
      <w:r w:rsidRPr="00F45783">
        <w:rPr>
          <w:rFonts w:ascii="Garamond" w:hAnsi="Garamond"/>
          <w:sz w:val="18"/>
          <w:szCs w:val="18"/>
        </w:rPr>
        <w:t xml:space="preserve"> </w:t>
      </w:r>
      <w:r w:rsidRPr="00F45783">
        <w:rPr>
          <w:rFonts w:ascii="Garamond" w:hAnsi="Garamond"/>
          <w:i/>
          <w:iCs/>
          <w:sz w:val="18"/>
          <w:szCs w:val="18"/>
        </w:rPr>
        <w:t>Law</w:t>
      </w:r>
      <w:r w:rsidRPr="00F45783">
        <w:rPr>
          <w:rFonts w:ascii="Garamond" w:hAnsi="Garamond"/>
          <w:sz w:val="18"/>
          <w:szCs w:val="18"/>
        </w:rPr>
        <w:t xml:space="preserve"> (Hart Publishing 2019).</w:t>
      </w:r>
    </w:p>
  </w:footnote>
  <w:footnote w:id="2">
    <w:p w14:paraId="0309689F" w14:textId="038F59D4" w:rsidR="007B7BA8" w:rsidRPr="00F45783" w:rsidRDefault="007B7BA8"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126EBF" w:rsidRPr="00F45783">
        <w:rPr>
          <w:rFonts w:ascii="Garamond" w:hAnsi="Garamond"/>
          <w:sz w:val="18"/>
          <w:szCs w:val="18"/>
        </w:rPr>
        <w:t>Gráinne McKeever, ‘Access to Justice through Better Decision Making’ Queens University Belfast and University of Ulster Knowledge Exchange Research Seminars (2013) 5.</w:t>
      </w:r>
    </w:p>
  </w:footnote>
  <w:footnote w:id="3">
    <w:p w14:paraId="1EF01493" w14:textId="0A60ED12" w:rsidR="00431C92" w:rsidRPr="00F45783" w:rsidRDefault="00431C92"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Robert Thomas, </w:t>
      </w:r>
      <w:r w:rsidRPr="00F45783">
        <w:rPr>
          <w:rFonts w:ascii="Garamond" w:hAnsi="Garamond"/>
          <w:i/>
          <w:iCs/>
          <w:sz w:val="18"/>
          <w:szCs w:val="18"/>
        </w:rPr>
        <w:t xml:space="preserve">Administrative Law in Action: Immigration Administration </w:t>
      </w:r>
      <w:r w:rsidRPr="00F45783">
        <w:rPr>
          <w:rFonts w:ascii="Garamond" w:hAnsi="Garamond"/>
          <w:sz w:val="18"/>
          <w:szCs w:val="18"/>
        </w:rPr>
        <w:t>(Hart Publishing 2022) 3.</w:t>
      </w:r>
    </w:p>
  </w:footnote>
  <w:footnote w:id="4">
    <w:p w14:paraId="049B9F86" w14:textId="77777777" w:rsidR="0008430D" w:rsidRPr="00F45783" w:rsidRDefault="0008430D"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Paul Daly, ‘Plural Public Law’ (2019) 51(2</w:t>
      </w:r>
      <w:r w:rsidRPr="00770A98">
        <w:rPr>
          <w:rFonts w:ascii="Garamond" w:hAnsi="Garamond"/>
          <w:i/>
          <w:iCs/>
          <w:sz w:val="18"/>
          <w:szCs w:val="18"/>
        </w:rPr>
        <w:t>) Ottawa Law Review</w:t>
      </w:r>
      <w:r w:rsidRPr="00F45783">
        <w:rPr>
          <w:rFonts w:ascii="Garamond" w:hAnsi="Garamond"/>
          <w:sz w:val="18"/>
          <w:szCs w:val="18"/>
        </w:rPr>
        <w:t xml:space="preserve"> 407, 423.</w:t>
      </w:r>
    </w:p>
  </w:footnote>
  <w:footnote w:id="5">
    <w:p w14:paraId="300FA341" w14:textId="6FDD85CF" w:rsidR="00843369" w:rsidRPr="00F45783" w:rsidRDefault="00843369"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Jiří </w:t>
      </w:r>
      <w:proofErr w:type="spellStart"/>
      <w:r w:rsidRPr="00F45783">
        <w:rPr>
          <w:rFonts w:ascii="Garamond" w:hAnsi="Garamond"/>
          <w:sz w:val="18"/>
          <w:szCs w:val="18"/>
        </w:rPr>
        <w:t>Přibáň</w:t>
      </w:r>
      <w:proofErr w:type="spellEnd"/>
      <w:r w:rsidRPr="00F45783">
        <w:rPr>
          <w:rFonts w:ascii="Garamond" w:hAnsi="Garamond"/>
          <w:sz w:val="18"/>
          <w:szCs w:val="18"/>
        </w:rPr>
        <w:t xml:space="preserve">, </w:t>
      </w:r>
      <w:r w:rsidRPr="00F45783">
        <w:rPr>
          <w:rFonts w:ascii="Garamond" w:hAnsi="Garamond"/>
          <w:i/>
          <w:iCs/>
          <w:sz w:val="18"/>
          <w:szCs w:val="18"/>
        </w:rPr>
        <w:t xml:space="preserve">Constitutional Imaginaries: A Theory of European Societal Constitutionalism </w:t>
      </w:r>
      <w:r w:rsidRPr="00F45783">
        <w:rPr>
          <w:rFonts w:ascii="Garamond" w:hAnsi="Garamond"/>
          <w:sz w:val="18"/>
          <w:szCs w:val="18"/>
        </w:rPr>
        <w:t xml:space="preserve">(Routledge 2022) 128-129. </w:t>
      </w:r>
    </w:p>
  </w:footnote>
  <w:footnote w:id="6">
    <w:p w14:paraId="0B6B9B15" w14:textId="64DBC6A6" w:rsidR="00314919" w:rsidRPr="00F45783" w:rsidRDefault="00314919"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Brian Barry, ‘Workplace Dispute Resolution in Ireland at a Crossroads: Challenges and Opportunities’ (2021) 66 </w:t>
      </w:r>
      <w:r w:rsidRPr="00770A98">
        <w:rPr>
          <w:rFonts w:ascii="Garamond" w:hAnsi="Garamond"/>
          <w:i/>
          <w:iCs/>
          <w:sz w:val="18"/>
          <w:szCs w:val="18"/>
        </w:rPr>
        <w:t>Irish Jurist</w:t>
      </w:r>
      <w:r w:rsidRPr="00F45783">
        <w:rPr>
          <w:rFonts w:ascii="Garamond" w:hAnsi="Garamond"/>
          <w:sz w:val="18"/>
          <w:szCs w:val="18"/>
        </w:rPr>
        <w:t xml:space="preserve"> 44.</w:t>
      </w:r>
    </w:p>
  </w:footnote>
  <w:footnote w:id="7">
    <w:p w14:paraId="04AB0BB1" w14:textId="1E5692AD" w:rsidR="00F8453F" w:rsidRPr="00F45783" w:rsidRDefault="00F8453F"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D6723D" w:rsidRPr="00F45783">
        <w:rPr>
          <w:rFonts w:ascii="Garamond" w:hAnsi="Garamond"/>
          <w:sz w:val="18"/>
          <w:szCs w:val="18"/>
        </w:rPr>
        <w:t xml:space="preserve">Aisling Ryan, ‘The Form of Forms: Everyday Enablers of Access to Justice’ (2023) 32(5) </w:t>
      </w:r>
      <w:r w:rsidR="00D6723D" w:rsidRPr="00770A98">
        <w:rPr>
          <w:rFonts w:ascii="Garamond" w:hAnsi="Garamond"/>
          <w:i/>
          <w:iCs/>
          <w:sz w:val="18"/>
          <w:szCs w:val="18"/>
        </w:rPr>
        <w:t>Social &amp; Legal Studies</w:t>
      </w:r>
      <w:r w:rsidR="00D6723D" w:rsidRPr="00F45783">
        <w:rPr>
          <w:rFonts w:ascii="Garamond" w:hAnsi="Garamond"/>
          <w:sz w:val="18"/>
          <w:szCs w:val="18"/>
        </w:rPr>
        <w:t xml:space="preserve"> 690-713.</w:t>
      </w:r>
    </w:p>
  </w:footnote>
  <w:footnote w:id="8">
    <w:p w14:paraId="2BB602AB" w14:textId="3E96C84E" w:rsidR="00271B23" w:rsidRPr="00F45783" w:rsidRDefault="00271B23"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BB6D28" w:rsidRPr="00F45783">
        <w:rPr>
          <w:rFonts w:ascii="Garamond" w:hAnsi="Garamond"/>
          <w:sz w:val="18"/>
          <w:szCs w:val="18"/>
        </w:rPr>
        <w:t>Paul Daly, </w:t>
      </w:r>
      <w:r w:rsidR="00770A98">
        <w:rPr>
          <w:rFonts w:ascii="Garamond" w:hAnsi="Garamond"/>
          <w:sz w:val="18"/>
          <w:szCs w:val="18"/>
        </w:rPr>
        <w:t>‘</w:t>
      </w:r>
      <w:r w:rsidR="00BB6D28" w:rsidRPr="00F45783">
        <w:rPr>
          <w:rFonts w:ascii="Garamond" w:hAnsi="Garamond"/>
          <w:sz w:val="18"/>
          <w:szCs w:val="18"/>
        </w:rPr>
        <w:t>The Inevitability of Discretion and Judgement in Front-Line Decision-Making in the Administrative State</w:t>
      </w:r>
      <w:r w:rsidR="00770A98">
        <w:rPr>
          <w:rFonts w:ascii="Garamond" w:hAnsi="Garamond"/>
          <w:sz w:val="18"/>
          <w:szCs w:val="18"/>
        </w:rPr>
        <w:t xml:space="preserve">’ </w:t>
      </w:r>
      <w:r w:rsidR="00BB6D28" w:rsidRPr="00F45783">
        <w:rPr>
          <w:rFonts w:ascii="Garamond" w:hAnsi="Garamond"/>
          <w:sz w:val="18"/>
          <w:szCs w:val="18"/>
        </w:rPr>
        <w:t>(2020) 2 </w:t>
      </w:r>
      <w:r w:rsidR="00BB6D28" w:rsidRPr="00F45783">
        <w:rPr>
          <w:rFonts w:ascii="Garamond" w:hAnsi="Garamond"/>
          <w:i/>
          <w:iCs/>
          <w:sz w:val="18"/>
          <w:szCs w:val="18"/>
        </w:rPr>
        <w:t>Journal of Commonwealth Law</w:t>
      </w:r>
      <w:r w:rsidR="00BB6D28" w:rsidRPr="00F45783">
        <w:rPr>
          <w:rFonts w:ascii="Garamond" w:hAnsi="Garamond"/>
          <w:sz w:val="18"/>
          <w:szCs w:val="18"/>
        </w:rPr>
        <w:t xml:space="preserve"> 99. </w:t>
      </w:r>
    </w:p>
  </w:footnote>
  <w:footnote w:id="9">
    <w:p w14:paraId="1E27191A" w14:textId="0B413CF6" w:rsidR="0027728F" w:rsidRPr="00F45783" w:rsidRDefault="0027728F" w:rsidP="005D43D6">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Geoffrey Samuel, </w:t>
      </w:r>
      <w:r w:rsidRPr="00F45783">
        <w:rPr>
          <w:rFonts w:ascii="Garamond" w:hAnsi="Garamond"/>
          <w:i/>
          <w:iCs/>
          <w:sz w:val="18"/>
          <w:szCs w:val="18"/>
        </w:rPr>
        <w:t xml:space="preserve">Epistemology and Method in Law </w:t>
      </w:r>
      <w:r w:rsidRPr="00F45783">
        <w:rPr>
          <w:rFonts w:ascii="Garamond" w:hAnsi="Garamond"/>
          <w:sz w:val="18"/>
          <w:szCs w:val="18"/>
        </w:rPr>
        <w:t>(Taylor &amp; Francis Group 2003) 16.</w:t>
      </w:r>
    </w:p>
  </w:footnote>
  <w:footnote w:id="10">
    <w:p w14:paraId="2B6A5B45" w14:textId="011B8F80" w:rsidR="003445E2" w:rsidRPr="00F45783" w:rsidRDefault="003445E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Paul Daly, ‘Plural Public Law’ (2019) 51(2) </w:t>
      </w:r>
      <w:r w:rsidRPr="002B734F">
        <w:rPr>
          <w:rFonts w:ascii="Garamond" w:hAnsi="Garamond"/>
          <w:i/>
          <w:iCs/>
          <w:sz w:val="18"/>
          <w:szCs w:val="18"/>
        </w:rPr>
        <w:t>Ottawa Law Review</w:t>
      </w:r>
      <w:r w:rsidRPr="00F45783">
        <w:rPr>
          <w:rFonts w:ascii="Garamond" w:hAnsi="Garamond"/>
          <w:sz w:val="18"/>
          <w:szCs w:val="18"/>
        </w:rPr>
        <w:t xml:space="preserve"> 407, </w:t>
      </w:r>
      <w:r w:rsidR="00A82DC3" w:rsidRPr="00F45783">
        <w:rPr>
          <w:rFonts w:ascii="Garamond" w:hAnsi="Garamond"/>
          <w:sz w:val="18"/>
          <w:szCs w:val="18"/>
        </w:rPr>
        <w:t>408.</w:t>
      </w:r>
    </w:p>
  </w:footnote>
  <w:footnote w:id="11">
    <w:p w14:paraId="6A01B1E0" w14:textId="60CC63E2" w:rsidR="00263B3D" w:rsidRPr="00F45783" w:rsidRDefault="00263B3D" w:rsidP="00746DF0">
      <w:pPr>
        <w:pStyle w:val="End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Margaret Doyle and Nick O’Brien, </w:t>
      </w:r>
      <w:r w:rsidRPr="002B734F">
        <w:rPr>
          <w:rFonts w:ascii="Garamond" w:hAnsi="Garamond"/>
          <w:i/>
          <w:iCs/>
          <w:sz w:val="18"/>
          <w:szCs w:val="18"/>
        </w:rPr>
        <w:t>Reimagining Administrative Justice: Human Rights in Small Places</w:t>
      </w:r>
      <w:r w:rsidRPr="00F45783">
        <w:rPr>
          <w:rFonts w:ascii="Garamond" w:hAnsi="Garamond"/>
          <w:sz w:val="18"/>
          <w:szCs w:val="18"/>
        </w:rPr>
        <w:t xml:space="preserve"> (Palgrave Macmillan 2020) 37</w:t>
      </w:r>
      <w:r w:rsidR="0025767E" w:rsidRPr="00F45783">
        <w:rPr>
          <w:rFonts w:ascii="Garamond" w:hAnsi="Garamond"/>
          <w:sz w:val="18"/>
          <w:szCs w:val="18"/>
        </w:rPr>
        <w:t xml:space="preserve">; </w:t>
      </w:r>
      <w:r w:rsidR="00746DF0" w:rsidRPr="00F45783">
        <w:rPr>
          <w:rFonts w:ascii="Garamond" w:hAnsi="Garamond"/>
          <w:sz w:val="18"/>
          <w:szCs w:val="18"/>
        </w:rPr>
        <w:t>J</w:t>
      </w:r>
      <w:r w:rsidR="00F63F03" w:rsidRPr="00F45783">
        <w:rPr>
          <w:rFonts w:ascii="Garamond" w:hAnsi="Garamond"/>
          <w:sz w:val="18"/>
          <w:szCs w:val="18"/>
        </w:rPr>
        <w:t xml:space="preserve">oanne </w:t>
      </w:r>
      <w:r w:rsidR="00746DF0" w:rsidRPr="00F45783">
        <w:rPr>
          <w:rFonts w:ascii="Garamond" w:hAnsi="Garamond"/>
          <w:sz w:val="18"/>
          <w:szCs w:val="18"/>
        </w:rPr>
        <w:t>Murray,</w:t>
      </w:r>
      <w:r w:rsidR="00746DF0" w:rsidRPr="00F45783">
        <w:rPr>
          <w:rFonts w:ascii="Garamond" w:hAnsi="Garamond"/>
          <w:i/>
          <w:iCs/>
          <w:sz w:val="18"/>
          <w:szCs w:val="18"/>
        </w:rPr>
        <w:t> </w:t>
      </w:r>
      <w:r w:rsidR="00746DF0" w:rsidRPr="00F45783">
        <w:rPr>
          <w:rFonts w:ascii="Garamond" w:hAnsi="Garamond"/>
          <w:sz w:val="18"/>
          <w:szCs w:val="18"/>
        </w:rPr>
        <w:t>‘Administrative and Citizen Interpretations of Unwritten Constitutional Principles and Constitutional Silences: A Canadian Perspective’,</w:t>
      </w:r>
      <w:r w:rsidR="00746DF0" w:rsidRPr="00F45783">
        <w:rPr>
          <w:rFonts w:ascii="Garamond" w:hAnsi="Garamond"/>
          <w:i/>
          <w:iCs/>
          <w:sz w:val="18"/>
          <w:szCs w:val="18"/>
        </w:rPr>
        <w:t xml:space="preserve"> VerfBlog,</w:t>
      </w:r>
      <w:r w:rsidR="00746DF0" w:rsidRPr="00F45783">
        <w:rPr>
          <w:rFonts w:ascii="Garamond" w:hAnsi="Garamond"/>
          <w:sz w:val="18"/>
          <w:szCs w:val="18"/>
        </w:rPr>
        <w:t> </w:t>
      </w:r>
      <w:hyperlink r:id="rId1" w:history="1">
        <w:r w:rsidR="00746DF0" w:rsidRPr="00F45783">
          <w:rPr>
            <w:rStyle w:val="Hyperlink"/>
            <w:rFonts w:ascii="Garamond" w:hAnsi="Garamond"/>
            <w:sz w:val="18"/>
            <w:szCs w:val="18"/>
          </w:rPr>
          <w:t>https://verfassungsblog.de/administrative-and-citizen-interpretations-of-unwritten-constitutional-principles-and-constitutional-silences/</w:t>
        </w:r>
      </w:hyperlink>
      <w:r w:rsidR="003B15FF" w:rsidRPr="00F45783">
        <w:rPr>
          <w:rFonts w:ascii="Garamond" w:hAnsi="Garamond"/>
          <w:sz w:val="18"/>
          <w:szCs w:val="18"/>
        </w:rPr>
        <w:t xml:space="preserve">; </w:t>
      </w:r>
      <w:r w:rsidR="003B15FF" w:rsidRPr="00F45783">
        <w:rPr>
          <w:rFonts w:ascii="Garamond" w:hAnsi="Garamond"/>
          <w:i/>
          <w:iCs/>
          <w:sz w:val="18"/>
          <w:szCs w:val="18"/>
        </w:rPr>
        <w:t xml:space="preserve">Zalewski v Workplace Relations Commission </w:t>
      </w:r>
      <w:r w:rsidR="003B15FF" w:rsidRPr="00F45783">
        <w:rPr>
          <w:rFonts w:ascii="Garamond" w:hAnsi="Garamond"/>
          <w:sz w:val="18"/>
          <w:szCs w:val="18"/>
        </w:rPr>
        <w:t xml:space="preserve">[2021] IESC 24. </w:t>
      </w:r>
      <w:r w:rsidR="00746DF0" w:rsidRPr="00F45783">
        <w:rPr>
          <w:rFonts w:ascii="Garamond" w:hAnsi="Garamond"/>
          <w:sz w:val="18"/>
          <w:szCs w:val="18"/>
        </w:rPr>
        <w:t xml:space="preserve"> </w:t>
      </w:r>
    </w:p>
  </w:footnote>
  <w:footnote w:id="12">
    <w:p w14:paraId="659B1CB4" w14:textId="77777777" w:rsidR="00E0505A" w:rsidRPr="00F45783" w:rsidRDefault="00E0505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Margaret Doyle and Nick O’Brien, </w:t>
      </w:r>
      <w:r w:rsidRPr="00F45783">
        <w:rPr>
          <w:rFonts w:ascii="Garamond" w:hAnsi="Garamond"/>
          <w:i/>
          <w:iCs/>
          <w:sz w:val="18"/>
          <w:szCs w:val="18"/>
        </w:rPr>
        <w:t xml:space="preserve">Reimagining Administrative Justice: Human Rights in Small Places </w:t>
      </w:r>
      <w:r w:rsidRPr="00F45783">
        <w:rPr>
          <w:rFonts w:ascii="Garamond" w:hAnsi="Garamond"/>
          <w:sz w:val="18"/>
          <w:szCs w:val="18"/>
        </w:rPr>
        <w:t>(Palgrave Macmillan 2020).</w:t>
      </w:r>
    </w:p>
  </w:footnote>
  <w:footnote w:id="13">
    <w:p w14:paraId="5CB5C952" w14:textId="5319DB91" w:rsidR="00C77A97" w:rsidRPr="00F45783" w:rsidRDefault="00C77A97"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Linda Mulcahy, </w:t>
      </w:r>
      <w:r w:rsidRPr="00F45783">
        <w:rPr>
          <w:rFonts w:ascii="Garamond" w:hAnsi="Garamond"/>
          <w:i/>
          <w:iCs/>
          <w:sz w:val="18"/>
          <w:szCs w:val="18"/>
        </w:rPr>
        <w:t xml:space="preserve">Legal Architecture: Justice, due process and the place of law </w:t>
      </w:r>
      <w:r w:rsidRPr="00F45783">
        <w:rPr>
          <w:rFonts w:ascii="Garamond" w:hAnsi="Garamond"/>
          <w:sz w:val="18"/>
          <w:szCs w:val="18"/>
        </w:rPr>
        <w:t>(Routledge 2011).</w:t>
      </w:r>
    </w:p>
  </w:footnote>
  <w:footnote w:id="14">
    <w:p w14:paraId="6B5AD110" w14:textId="642106D6" w:rsidR="001620B1" w:rsidRPr="00F45783" w:rsidRDefault="001620B1"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Ruth </w:t>
      </w:r>
      <w:proofErr w:type="spellStart"/>
      <w:r w:rsidRPr="00F45783">
        <w:rPr>
          <w:rFonts w:ascii="Garamond" w:hAnsi="Garamond"/>
          <w:sz w:val="18"/>
          <w:szCs w:val="18"/>
        </w:rPr>
        <w:t>Ayass</w:t>
      </w:r>
      <w:proofErr w:type="spellEnd"/>
      <w:r w:rsidRPr="00F45783">
        <w:rPr>
          <w:rFonts w:ascii="Garamond" w:hAnsi="Garamond"/>
          <w:sz w:val="18"/>
          <w:szCs w:val="18"/>
        </w:rPr>
        <w:t xml:space="preserve">, ‘Doing Waiting: An Ethnomethodological Analysis’ (2020) </w:t>
      </w:r>
      <w:r w:rsidR="00833387" w:rsidRPr="00F45783">
        <w:rPr>
          <w:rFonts w:ascii="Garamond" w:hAnsi="Garamond"/>
          <w:sz w:val="18"/>
          <w:szCs w:val="18"/>
        </w:rPr>
        <w:t xml:space="preserve">49 </w:t>
      </w:r>
      <w:r w:rsidRPr="00833387">
        <w:rPr>
          <w:rFonts w:ascii="Garamond" w:hAnsi="Garamond"/>
          <w:i/>
          <w:iCs/>
          <w:sz w:val="18"/>
          <w:szCs w:val="18"/>
        </w:rPr>
        <w:t>Journal of Contemporary Ethnography</w:t>
      </w:r>
      <w:r w:rsidRPr="00F45783">
        <w:rPr>
          <w:rFonts w:ascii="Garamond" w:hAnsi="Garamond"/>
          <w:sz w:val="18"/>
          <w:szCs w:val="18"/>
        </w:rPr>
        <w:t xml:space="preserve"> 419-455</w:t>
      </w:r>
      <w:r w:rsidR="00833387">
        <w:rPr>
          <w:rFonts w:ascii="Garamond" w:hAnsi="Garamond"/>
          <w:sz w:val="18"/>
          <w:szCs w:val="18"/>
        </w:rPr>
        <w:t>.</w:t>
      </w:r>
      <w:r w:rsidRPr="00F45783">
        <w:rPr>
          <w:rFonts w:ascii="Garamond" w:hAnsi="Garamond"/>
          <w:sz w:val="18"/>
          <w:szCs w:val="18"/>
        </w:rPr>
        <w:t xml:space="preserve"> </w:t>
      </w:r>
    </w:p>
  </w:footnote>
  <w:footnote w:id="15">
    <w:p w14:paraId="6B72405A" w14:textId="5254784C" w:rsidR="00C774A6" w:rsidRPr="00F45783" w:rsidRDefault="00C774A6"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B87E05" w:rsidRPr="00F45783">
        <w:rPr>
          <w:rFonts w:ascii="Garamond" w:hAnsi="Garamond"/>
          <w:sz w:val="18"/>
          <w:szCs w:val="18"/>
        </w:rPr>
        <w:t xml:space="preserve">Bernardo Zacka </w:t>
      </w:r>
      <w:r w:rsidR="00B87E05" w:rsidRPr="00F45783">
        <w:rPr>
          <w:rFonts w:ascii="Garamond" w:hAnsi="Garamond"/>
          <w:i/>
          <w:iCs/>
          <w:sz w:val="18"/>
          <w:szCs w:val="18"/>
        </w:rPr>
        <w:t xml:space="preserve">When the State Meets the Street: Public Service and Moral Agency </w:t>
      </w:r>
      <w:r w:rsidR="00B87E05" w:rsidRPr="00F45783">
        <w:rPr>
          <w:rFonts w:ascii="Garamond" w:hAnsi="Garamond"/>
          <w:sz w:val="18"/>
          <w:szCs w:val="18"/>
        </w:rPr>
        <w:t>(The Belknap Press of Harvard University Press 2017)</w:t>
      </w:r>
      <w:r w:rsidR="004A2BCD">
        <w:rPr>
          <w:rFonts w:ascii="Garamond" w:hAnsi="Garamond"/>
          <w:sz w:val="18"/>
          <w:szCs w:val="18"/>
        </w:rPr>
        <w:t>.</w:t>
      </w:r>
    </w:p>
  </w:footnote>
  <w:footnote w:id="16">
    <w:p w14:paraId="1BE2C692" w14:textId="316FF54B" w:rsidR="00E0505A" w:rsidRPr="00F45783" w:rsidRDefault="00E0505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Aisling Ryan, ‘The Form of Forms: Everyday Enablers of Access to Justice’ (2023) 32(5) Social &amp; Legal Studies 690-713.</w:t>
      </w:r>
    </w:p>
  </w:footnote>
  <w:footnote w:id="17">
    <w:p w14:paraId="2A62D76F" w14:textId="0A6C89AC" w:rsidR="00E0505A" w:rsidRPr="00F45783" w:rsidRDefault="00E0505A" w:rsidP="00877197">
      <w:pPr>
        <w:pStyle w:val="FootnoteText"/>
        <w:jc w:val="both"/>
        <w:rPr>
          <w:rFonts w:ascii="Garamond" w:hAnsi="Garamond"/>
          <w:sz w:val="18"/>
          <w:szCs w:val="18"/>
          <w:lang w:val="en-GB"/>
        </w:rPr>
      </w:pPr>
      <w:r w:rsidRPr="00F45783">
        <w:rPr>
          <w:rStyle w:val="FootnoteReference"/>
          <w:rFonts w:ascii="Garamond" w:hAnsi="Garamond"/>
          <w:sz w:val="18"/>
          <w:szCs w:val="18"/>
        </w:rPr>
        <w:footnoteRef/>
      </w:r>
      <w:r w:rsidRPr="00F45783">
        <w:rPr>
          <w:rFonts w:ascii="Garamond" w:hAnsi="Garamond"/>
          <w:sz w:val="18"/>
          <w:szCs w:val="18"/>
        </w:rPr>
        <w:t xml:space="preserve"> </w:t>
      </w:r>
      <w:r w:rsidR="001E08BE" w:rsidRPr="00F45783">
        <w:rPr>
          <w:rFonts w:ascii="Garamond" w:hAnsi="Garamond"/>
          <w:sz w:val="18"/>
          <w:szCs w:val="18"/>
        </w:rPr>
        <w:t xml:space="preserve">Jed Meers, Simon Halliday, and Joe Tomlinson, ‘An ‘interface first’ bureaucracy: Interface design, Universal Credit and the digital welfare state’ </w:t>
      </w:r>
      <w:r w:rsidR="0065682B">
        <w:rPr>
          <w:rFonts w:ascii="Garamond" w:hAnsi="Garamond"/>
          <w:sz w:val="18"/>
          <w:szCs w:val="18"/>
        </w:rPr>
        <w:t xml:space="preserve">(2024) </w:t>
      </w:r>
      <w:r w:rsidR="001E08BE" w:rsidRPr="00F45783">
        <w:rPr>
          <w:rFonts w:ascii="Garamond" w:hAnsi="Garamond"/>
          <w:i/>
          <w:sz w:val="18"/>
          <w:szCs w:val="18"/>
        </w:rPr>
        <w:t>Social Policy &amp; Administration</w:t>
      </w:r>
      <w:r w:rsidR="0065682B">
        <w:rPr>
          <w:rFonts w:ascii="Garamond" w:hAnsi="Garamond"/>
          <w:i/>
          <w:sz w:val="18"/>
          <w:szCs w:val="18"/>
        </w:rPr>
        <w:t xml:space="preserve"> </w:t>
      </w:r>
      <w:r w:rsidR="0065682B">
        <w:rPr>
          <w:rFonts w:ascii="Garamond" w:hAnsi="Garamond"/>
          <w:sz w:val="18"/>
          <w:szCs w:val="18"/>
        </w:rPr>
        <w:t xml:space="preserve">(early view: </w:t>
      </w:r>
      <w:hyperlink r:id="rId2" w:history="1">
        <w:r w:rsidR="0065682B" w:rsidRPr="005A2B3B">
          <w:rPr>
            <w:rStyle w:val="Hyperlink"/>
            <w:rFonts w:ascii="Garamond" w:hAnsi="Garamond"/>
            <w:sz w:val="18"/>
            <w:szCs w:val="18"/>
          </w:rPr>
          <w:t>https://onlinelibrary.wiley.com/doi/10.1111/spol.13053</w:t>
        </w:r>
      </w:hyperlink>
      <w:r w:rsidR="0065682B">
        <w:rPr>
          <w:rFonts w:ascii="Garamond" w:hAnsi="Garamond"/>
          <w:sz w:val="18"/>
          <w:szCs w:val="18"/>
        </w:rPr>
        <w:t>)</w:t>
      </w:r>
      <w:r w:rsidR="009942CB" w:rsidRPr="00F45783">
        <w:rPr>
          <w:rFonts w:ascii="Garamond" w:hAnsi="Garamond"/>
          <w:sz w:val="18"/>
          <w:szCs w:val="18"/>
        </w:rPr>
        <w:t xml:space="preserve">; </w:t>
      </w:r>
      <w:r w:rsidR="009942CB" w:rsidRPr="00F45783">
        <w:rPr>
          <w:rFonts w:ascii="Garamond" w:hAnsi="Garamond"/>
          <w:sz w:val="18"/>
          <w:szCs w:val="18"/>
          <w:lang w:val="en-GB"/>
        </w:rPr>
        <w:t xml:space="preserve">Jennifer Raso, ‘Smooth Operators, Predictable Glitches: The Interface Governance of Benefits and Borders’ (2023) 38(2) </w:t>
      </w:r>
      <w:r w:rsidR="009942CB" w:rsidRPr="00F45783">
        <w:rPr>
          <w:rFonts w:ascii="Garamond" w:hAnsi="Garamond"/>
          <w:i/>
          <w:sz w:val="18"/>
          <w:szCs w:val="18"/>
          <w:lang w:val="en-GB"/>
        </w:rPr>
        <w:t>Canadian Journal of law and Society</w:t>
      </w:r>
      <w:r w:rsidR="009942CB" w:rsidRPr="00F45783">
        <w:rPr>
          <w:rFonts w:ascii="Garamond" w:hAnsi="Garamond"/>
          <w:sz w:val="18"/>
          <w:szCs w:val="18"/>
          <w:lang w:val="en-GB"/>
        </w:rPr>
        <w:t xml:space="preserve"> 158-179. </w:t>
      </w:r>
    </w:p>
  </w:footnote>
  <w:footnote w:id="18">
    <w:p w14:paraId="7D75DD6F" w14:textId="6C34FA22" w:rsidR="001304B6" w:rsidRPr="00F45783" w:rsidRDefault="001304B6">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i/>
          <w:iCs/>
          <w:sz w:val="18"/>
          <w:szCs w:val="18"/>
        </w:rPr>
        <w:t xml:space="preserve">A.A.S v Refugee Appeals Tribunal and Others </w:t>
      </w:r>
      <w:r w:rsidRPr="00F45783">
        <w:rPr>
          <w:rFonts w:ascii="Garamond" w:hAnsi="Garamond"/>
          <w:sz w:val="18"/>
          <w:szCs w:val="18"/>
        </w:rPr>
        <w:t>[2013] IEHC 44</w:t>
      </w:r>
      <w:r w:rsidR="00FE40EC">
        <w:rPr>
          <w:rFonts w:ascii="Garamond" w:hAnsi="Garamond"/>
          <w:sz w:val="18"/>
          <w:szCs w:val="18"/>
        </w:rPr>
        <w:t>.</w:t>
      </w:r>
    </w:p>
  </w:footnote>
  <w:footnote w:id="19">
    <w:p w14:paraId="04287AEE" w14:textId="15104D78" w:rsidR="00DA4259" w:rsidRPr="00F45783" w:rsidRDefault="00DA4259"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i/>
          <w:iCs/>
          <w:sz w:val="18"/>
          <w:szCs w:val="18"/>
        </w:rPr>
        <w:t xml:space="preserve">A.A.S v Refugee Appeals Tribunal and Others </w:t>
      </w:r>
      <w:r w:rsidRPr="00F45783">
        <w:rPr>
          <w:rFonts w:ascii="Garamond" w:hAnsi="Garamond"/>
          <w:sz w:val="18"/>
          <w:szCs w:val="18"/>
        </w:rPr>
        <w:t>[2013] IEHC 44 [21] (MacEochaidh J).</w:t>
      </w:r>
    </w:p>
  </w:footnote>
  <w:footnote w:id="20">
    <w:p w14:paraId="61AE6146" w14:textId="47CA83FE" w:rsidR="009D415A" w:rsidRPr="00F45783" w:rsidRDefault="009D415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F56267" w:rsidRPr="00F45783">
        <w:rPr>
          <w:rFonts w:ascii="Garamond" w:hAnsi="Garamond"/>
          <w:i/>
          <w:iCs/>
          <w:sz w:val="18"/>
          <w:szCs w:val="18"/>
        </w:rPr>
        <w:t xml:space="preserve">A.H.E.H &amp; Ors v Refugee Appeals Tribunal and Minister for Justice and Equality </w:t>
      </w:r>
      <w:r w:rsidR="00F56267" w:rsidRPr="00F45783">
        <w:rPr>
          <w:rFonts w:ascii="Garamond" w:hAnsi="Garamond"/>
          <w:sz w:val="18"/>
          <w:szCs w:val="18"/>
        </w:rPr>
        <w:t>[2013] IEHC 163.</w:t>
      </w:r>
    </w:p>
  </w:footnote>
  <w:footnote w:id="21">
    <w:p w14:paraId="260E0AAA" w14:textId="40D01974" w:rsidR="00B07AC4" w:rsidRPr="00F45783" w:rsidRDefault="00B07AC4"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i/>
          <w:iCs/>
          <w:sz w:val="18"/>
          <w:szCs w:val="18"/>
        </w:rPr>
        <w:t xml:space="preserve">A.H.E.H &amp; Ors v Refugee Appeals Tribunal and Minister for Justice and Equality </w:t>
      </w:r>
      <w:r w:rsidRPr="00F45783">
        <w:rPr>
          <w:rFonts w:ascii="Garamond" w:hAnsi="Garamond"/>
          <w:sz w:val="18"/>
          <w:szCs w:val="18"/>
        </w:rPr>
        <w:t>[2013] IEHC 163 [22] (Clark J).</w:t>
      </w:r>
    </w:p>
  </w:footnote>
  <w:footnote w:id="22">
    <w:p w14:paraId="66E5C5A1" w14:textId="2F87951F" w:rsidR="0073122B" w:rsidRPr="00F45783" w:rsidRDefault="0073122B"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4922A0" w:rsidRPr="00F45783">
        <w:rPr>
          <w:rFonts w:ascii="Garamond" w:hAnsi="Garamond"/>
          <w:sz w:val="18"/>
          <w:szCs w:val="18"/>
        </w:rPr>
        <w:t xml:space="preserve">Robert Thomas, </w:t>
      </w:r>
      <w:r w:rsidR="004922A0" w:rsidRPr="00F45783">
        <w:rPr>
          <w:rFonts w:ascii="Garamond" w:hAnsi="Garamond"/>
          <w:i/>
          <w:iCs/>
          <w:sz w:val="18"/>
          <w:szCs w:val="18"/>
        </w:rPr>
        <w:t xml:space="preserve">Administrative Law in Action: Immigration Administration </w:t>
      </w:r>
      <w:r w:rsidR="004922A0" w:rsidRPr="00F45783">
        <w:rPr>
          <w:rFonts w:ascii="Garamond" w:hAnsi="Garamond"/>
          <w:sz w:val="18"/>
          <w:szCs w:val="18"/>
        </w:rPr>
        <w:t>(Hart Publishing 2022) 85.</w:t>
      </w:r>
    </w:p>
  </w:footnote>
  <w:footnote w:id="23">
    <w:p w14:paraId="189607C2" w14:textId="07C43877" w:rsidR="00265ECB" w:rsidRPr="002B7DE3" w:rsidRDefault="00265ECB" w:rsidP="002B7DE3">
      <w:pPr>
        <w:pStyle w:val="FootnoteText"/>
        <w:jc w:val="both"/>
        <w:rPr>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Thank you to the anonymous peer reviewer</w:t>
      </w:r>
      <w:r w:rsidR="00516720" w:rsidRPr="002B7DE3">
        <w:rPr>
          <w:rFonts w:ascii="Garamond" w:hAnsi="Garamond"/>
          <w:sz w:val="18"/>
          <w:szCs w:val="18"/>
        </w:rPr>
        <w:t xml:space="preserve"> for their feedback on this point</w:t>
      </w:r>
      <w:r w:rsidR="00516720">
        <w:rPr>
          <w:sz w:val="18"/>
          <w:szCs w:val="18"/>
        </w:rPr>
        <w:t xml:space="preserve">. </w:t>
      </w:r>
    </w:p>
  </w:footnote>
  <w:footnote w:id="24">
    <w:p w14:paraId="432AC7F9" w14:textId="7F69B808" w:rsidR="00BD3430" w:rsidRPr="00F45783" w:rsidRDefault="00BD343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Simon Halliday, </w:t>
      </w:r>
      <w:r w:rsidRPr="00F45783">
        <w:rPr>
          <w:rFonts w:ascii="Garamond" w:hAnsi="Garamond"/>
          <w:i/>
          <w:iCs/>
          <w:sz w:val="18"/>
          <w:szCs w:val="18"/>
        </w:rPr>
        <w:t xml:space="preserve">Judicial Review and Compliance with Administrative Law </w:t>
      </w:r>
      <w:r w:rsidRPr="00F45783">
        <w:rPr>
          <w:rFonts w:ascii="Garamond" w:hAnsi="Garamond"/>
          <w:sz w:val="18"/>
          <w:szCs w:val="18"/>
        </w:rPr>
        <w:t>(Hart Publishing 2004) 3.</w:t>
      </w:r>
    </w:p>
  </w:footnote>
  <w:footnote w:id="25">
    <w:p w14:paraId="3B86BDBD" w14:textId="460008F4" w:rsidR="00495775" w:rsidRPr="00F45783" w:rsidRDefault="00495775"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Simon Halliday, </w:t>
      </w:r>
      <w:r w:rsidRPr="00F45783">
        <w:rPr>
          <w:rFonts w:ascii="Garamond" w:hAnsi="Garamond"/>
          <w:i/>
          <w:iCs/>
          <w:sz w:val="18"/>
          <w:szCs w:val="18"/>
        </w:rPr>
        <w:t xml:space="preserve">Judicial Review and Compliance with Administrative Law </w:t>
      </w:r>
      <w:r w:rsidRPr="00F45783">
        <w:rPr>
          <w:rFonts w:ascii="Garamond" w:hAnsi="Garamond"/>
          <w:sz w:val="18"/>
          <w:szCs w:val="18"/>
        </w:rPr>
        <w:t>(Hart Publishing 2004)</w:t>
      </w:r>
      <w:r w:rsidR="00BD3430" w:rsidRPr="00F45783">
        <w:rPr>
          <w:rFonts w:ascii="Garamond" w:hAnsi="Garamond"/>
          <w:sz w:val="18"/>
          <w:szCs w:val="18"/>
        </w:rPr>
        <w:t xml:space="preserve"> 4</w:t>
      </w:r>
      <w:r w:rsidRPr="00F45783">
        <w:rPr>
          <w:rFonts w:ascii="Garamond" w:hAnsi="Garamond"/>
          <w:sz w:val="18"/>
          <w:szCs w:val="18"/>
        </w:rPr>
        <w:t>.</w:t>
      </w:r>
    </w:p>
  </w:footnote>
  <w:footnote w:id="26">
    <w:p w14:paraId="0637754C" w14:textId="33BAA724" w:rsidR="00E62446" w:rsidRPr="00F45783" w:rsidRDefault="00E62446"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DF2DDC" w:rsidRPr="00F45783">
        <w:rPr>
          <w:rFonts w:ascii="Garamond" w:hAnsi="Garamond"/>
          <w:sz w:val="18"/>
          <w:szCs w:val="18"/>
        </w:rPr>
        <w:t xml:space="preserve">Richard Martin, ‘Administrative Decision-Making on the Frontline’ in Marc Hertogh, Richard Kirkham, Robert Thomas and Joe Tomlinson (eds) </w:t>
      </w:r>
      <w:r w:rsidR="00DF2DDC" w:rsidRPr="00F45783">
        <w:rPr>
          <w:rFonts w:ascii="Garamond" w:hAnsi="Garamond"/>
          <w:i/>
          <w:iCs/>
          <w:sz w:val="18"/>
          <w:szCs w:val="18"/>
        </w:rPr>
        <w:t xml:space="preserve">The Oxford Handbook of Administrative Justice </w:t>
      </w:r>
      <w:r w:rsidR="00DF2DDC" w:rsidRPr="00F45783">
        <w:rPr>
          <w:rFonts w:ascii="Garamond" w:hAnsi="Garamond"/>
          <w:sz w:val="18"/>
          <w:szCs w:val="18"/>
        </w:rPr>
        <w:t>(OUP 2022) 16.</w:t>
      </w:r>
    </w:p>
  </w:footnote>
  <w:footnote w:id="27">
    <w:p w14:paraId="385E20A3" w14:textId="77A78CF3" w:rsidR="00990F46" w:rsidRPr="00F45783" w:rsidRDefault="00990F46"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and Darren O’Donovan, </w:t>
      </w:r>
      <w:r w:rsidRPr="00F45783">
        <w:rPr>
          <w:rFonts w:ascii="Garamond" w:hAnsi="Garamond"/>
          <w:i/>
          <w:iCs/>
          <w:sz w:val="18"/>
          <w:szCs w:val="18"/>
        </w:rPr>
        <w:t xml:space="preserve">Law and Public Administration in Ireland </w:t>
      </w:r>
      <w:r w:rsidRPr="00F45783">
        <w:rPr>
          <w:rFonts w:ascii="Garamond" w:hAnsi="Garamond"/>
          <w:sz w:val="18"/>
          <w:szCs w:val="18"/>
        </w:rPr>
        <w:t>(Clarus Press 2015) [16-09].</w:t>
      </w:r>
    </w:p>
  </w:footnote>
  <w:footnote w:id="28">
    <w:p w14:paraId="607EB93A" w14:textId="2C3BB841" w:rsidR="00D0724C" w:rsidRPr="00F45783" w:rsidRDefault="00D0724C"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D032E5" w:rsidRPr="00F45783">
        <w:rPr>
          <w:rFonts w:ascii="Garamond" w:hAnsi="Garamond"/>
          <w:sz w:val="18"/>
          <w:szCs w:val="18"/>
        </w:rPr>
        <w:t>As of 22 August 2024 (date of last check before article submission).</w:t>
      </w:r>
      <w:r w:rsidR="00222AA9">
        <w:rPr>
          <w:rFonts w:ascii="Garamond" w:hAnsi="Garamond"/>
          <w:sz w:val="18"/>
          <w:szCs w:val="18"/>
        </w:rPr>
        <w:t xml:space="preserve"> Due to the interchangeable terminology,</w:t>
      </w:r>
      <w:r w:rsidR="00D032E5" w:rsidRPr="00F45783">
        <w:rPr>
          <w:rFonts w:ascii="Garamond" w:hAnsi="Garamond"/>
          <w:sz w:val="18"/>
          <w:szCs w:val="18"/>
        </w:rPr>
        <w:t xml:space="preserve"> ‘bureaucratic justice’</w:t>
      </w:r>
      <w:r w:rsidR="00222AA9">
        <w:rPr>
          <w:rFonts w:ascii="Garamond" w:hAnsi="Garamond"/>
          <w:sz w:val="18"/>
          <w:szCs w:val="18"/>
        </w:rPr>
        <w:t xml:space="preserve"> was also searched and returned</w:t>
      </w:r>
      <w:r w:rsidR="00D032E5" w:rsidRPr="00F45783">
        <w:rPr>
          <w:rFonts w:ascii="Garamond" w:hAnsi="Garamond"/>
          <w:sz w:val="18"/>
          <w:szCs w:val="18"/>
        </w:rPr>
        <w:t xml:space="preserve"> 2 hits. </w:t>
      </w:r>
    </w:p>
  </w:footnote>
  <w:footnote w:id="29">
    <w:p w14:paraId="14335ADC" w14:textId="6B66DA10" w:rsidR="00130962" w:rsidRPr="00F45783" w:rsidRDefault="0013096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6F0270" w:rsidRPr="00F45783">
        <w:rPr>
          <w:rFonts w:ascii="Garamond" w:hAnsi="Garamond"/>
          <w:sz w:val="18"/>
          <w:szCs w:val="18"/>
        </w:rPr>
        <w:t xml:space="preserve">Liam Thornton, ‘Augmenting social welfare for asylum seekers in Ireland’ (2020) 42(4) </w:t>
      </w:r>
      <w:r w:rsidR="006F0270" w:rsidRPr="00222AA9">
        <w:rPr>
          <w:rFonts w:ascii="Garamond" w:hAnsi="Garamond"/>
          <w:i/>
          <w:iCs/>
          <w:sz w:val="18"/>
          <w:szCs w:val="18"/>
        </w:rPr>
        <w:t>Journal of Social Welfare and Family Law</w:t>
      </w:r>
      <w:r w:rsidR="006F0270" w:rsidRPr="00F45783">
        <w:rPr>
          <w:rFonts w:ascii="Garamond" w:hAnsi="Garamond"/>
          <w:sz w:val="18"/>
          <w:szCs w:val="18"/>
        </w:rPr>
        <w:t xml:space="preserve"> 441-460; Muireann Ní Raghaillaigh and Liam Thornton, ‘Vulnerable childhood, vulnerable adulthood: Direct provision as aftercare for aged-out separated children seeking asylum in Ireland’ (2017) 37(3) </w:t>
      </w:r>
      <w:r w:rsidR="006F0270" w:rsidRPr="00222AA9">
        <w:rPr>
          <w:rFonts w:ascii="Garamond" w:hAnsi="Garamond"/>
          <w:i/>
          <w:iCs/>
          <w:sz w:val="18"/>
          <w:szCs w:val="18"/>
        </w:rPr>
        <w:t>Critical Social Policy</w:t>
      </w:r>
      <w:r w:rsidR="006F0270" w:rsidRPr="00F45783">
        <w:rPr>
          <w:rFonts w:ascii="Garamond" w:hAnsi="Garamond"/>
          <w:sz w:val="18"/>
          <w:szCs w:val="18"/>
        </w:rPr>
        <w:t xml:space="preserve"> 386-404.</w:t>
      </w:r>
    </w:p>
  </w:footnote>
  <w:footnote w:id="30">
    <w:p w14:paraId="21F27DD3" w14:textId="0A184E30" w:rsidR="006F0270" w:rsidRPr="00F45783" w:rsidRDefault="006F027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Mary Rogan, ‘Examining the Role of Legal Culture as a Protective Factor Against High Rates of Pre-trial Detention: the Case of Ireland’ (2022) 28 </w:t>
      </w:r>
      <w:r w:rsidRPr="00222AA9">
        <w:rPr>
          <w:rFonts w:ascii="Garamond" w:hAnsi="Garamond"/>
          <w:i/>
          <w:iCs/>
          <w:sz w:val="18"/>
          <w:szCs w:val="18"/>
        </w:rPr>
        <w:t>European Journal on Criminal Policy and Research</w:t>
      </w:r>
      <w:r w:rsidRPr="00F45783">
        <w:rPr>
          <w:rFonts w:ascii="Garamond" w:hAnsi="Garamond"/>
          <w:sz w:val="18"/>
          <w:szCs w:val="18"/>
        </w:rPr>
        <w:t xml:space="preserve"> 425-433; Sophie van der Valk and Mary Rogan, ‘Complaining in prison: ‘I suppose it’s a good idea but is there any point in it?’(2023) 264 </w:t>
      </w:r>
      <w:r w:rsidRPr="00222AA9">
        <w:rPr>
          <w:rFonts w:ascii="Garamond" w:hAnsi="Garamond"/>
          <w:i/>
          <w:iCs/>
          <w:sz w:val="18"/>
          <w:szCs w:val="18"/>
        </w:rPr>
        <w:t>Prison Service Journal</w:t>
      </w:r>
      <w:r w:rsidRPr="00F45783">
        <w:rPr>
          <w:rFonts w:ascii="Garamond" w:hAnsi="Garamond"/>
          <w:sz w:val="18"/>
          <w:szCs w:val="18"/>
        </w:rPr>
        <w:t xml:space="preserve"> 3–10.</w:t>
      </w:r>
    </w:p>
  </w:footnote>
  <w:footnote w:id="31">
    <w:p w14:paraId="4A304CDC" w14:textId="34AFDEF0" w:rsidR="00DF4A20" w:rsidRPr="00F45783" w:rsidRDefault="00DF4A2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James Gallen, </w:t>
      </w:r>
      <w:r w:rsidRPr="00F45783">
        <w:rPr>
          <w:rFonts w:ascii="Garamond" w:hAnsi="Garamond"/>
          <w:i/>
          <w:iCs/>
          <w:sz w:val="18"/>
          <w:szCs w:val="18"/>
        </w:rPr>
        <w:t xml:space="preserve">Transitional Justice and the Historic Abuses of Church and State </w:t>
      </w:r>
      <w:r w:rsidRPr="00F45783">
        <w:rPr>
          <w:rFonts w:ascii="Garamond" w:hAnsi="Garamond"/>
          <w:sz w:val="18"/>
          <w:szCs w:val="18"/>
        </w:rPr>
        <w:t xml:space="preserve">(CUP 2023); Maireád Enright and Sinéad Ring ‘State legal responses to historical institutional abuse: shame, sovereignty and epistemic injustice’ (2020) 55 </w:t>
      </w:r>
      <w:r w:rsidRPr="00222AA9">
        <w:rPr>
          <w:rFonts w:ascii="Garamond" w:hAnsi="Garamond"/>
          <w:i/>
          <w:iCs/>
          <w:sz w:val="18"/>
          <w:szCs w:val="18"/>
        </w:rPr>
        <w:t>Eire-Ireland;</w:t>
      </w:r>
      <w:r w:rsidR="00FB32E3" w:rsidRPr="00222AA9">
        <w:rPr>
          <w:rFonts w:ascii="Garamond" w:hAnsi="Garamond"/>
          <w:i/>
          <w:iCs/>
          <w:color w:val="000000"/>
          <w:kern w:val="0"/>
          <w:sz w:val="18"/>
          <w:szCs w:val="18"/>
        </w:rPr>
        <w:t xml:space="preserve"> </w:t>
      </w:r>
      <w:r w:rsidR="00FB32E3" w:rsidRPr="00222AA9">
        <w:rPr>
          <w:rFonts w:ascii="Garamond" w:hAnsi="Garamond"/>
          <w:i/>
          <w:iCs/>
          <w:sz w:val="18"/>
          <w:szCs w:val="18"/>
        </w:rPr>
        <w:t>A Journal of Irish Studies</w:t>
      </w:r>
      <w:r w:rsidR="00FB32E3" w:rsidRPr="00F45783">
        <w:rPr>
          <w:rFonts w:ascii="Garamond" w:hAnsi="Garamond"/>
          <w:sz w:val="18"/>
          <w:szCs w:val="18"/>
        </w:rPr>
        <w:t xml:space="preserve"> 68–99;</w:t>
      </w:r>
      <w:r w:rsidR="0076268D" w:rsidRPr="00F45783">
        <w:rPr>
          <w:rFonts w:ascii="Garamond" w:hAnsi="Garamond"/>
          <w:sz w:val="18"/>
          <w:szCs w:val="18"/>
        </w:rPr>
        <w:t xml:space="preserve"> </w:t>
      </w:r>
      <w:r w:rsidR="00C70AE2">
        <w:rPr>
          <w:rFonts w:ascii="Garamond" w:hAnsi="Garamond"/>
          <w:sz w:val="18"/>
          <w:szCs w:val="18"/>
        </w:rPr>
        <w:t xml:space="preserve">Claire </w:t>
      </w:r>
      <w:r w:rsidR="0076268D" w:rsidRPr="00F45783">
        <w:rPr>
          <w:rFonts w:ascii="Garamond" w:hAnsi="Garamond"/>
          <w:sz w:val="18"/>
          <w:szCs w:val="18"/>
        </w:rPr>
        <w:t>McGettrick</w:t>
      </w:r>
      <w:r w:rsidR="00C70AE2">
        <w:rPr>
          <w:rFonts w:ascii="Garamond" w:hAnsi="Garamond"/>
          <w:sz w:val="18"/>
          <w:szCs w:val="18"/>
        </w:rPr>
        <w:t>, “</w:t>
      </w:r>
      <w:r w:rsidR="0076268D" w:rsidRPr="00F45783">
        <w:rPr>
          <w:rFonts w:ascii="Garamond" w:hAnsi="Garamond"/>
          <w:sz w:val="18"/>
          <w:szCs w:val="18"/>
        </w:rPr>
        <w:t>Illegitimate</w:t>
      </w:r>
      <w:r w:rsidR="00C70AE2">
        <w:rPr>
          <w:rFonts w:ascii="Garamond" w:hAnsi="Garamond"/>
          <w:sz w:val="18"/>
          <w:szCs w:val="18"/>
        </w:rPr>
        <w:t>”</w:t>
      </w:r>
      <w:r w:rsidR="0076268D" w:rsidRPr="00F45783">
        <w:rPr>
          <w:rFonts w:ascii="Garamond" w:hAnsi="Garamond"/>
          <w:sz w:val="18"/>
          <w:szCs w:val="18"/>
        </w:rPr>
        <w:t xml:space="preserve"> Knowledge: Transitional Justice and Adopted People</w:t>
      </w:r>
      <w:r w:rsidR="00222AA9">
        <w:rPr>
          <w:rFonts w:ascii="Garamond" w:hAnsi="Garamond"/>
          <w:sz w:val="18"/>
          <w:szCs w:val="18"/>
        </w:rPr>
        <w:t>’</w:t>
      </w:r>
      <w:r w:rsidR="0076268D" w:rsidRPr="00F45783">
        <w:rPr>
          <w:rFonts w:ascii="Garamond" w:hAnsi="Garamond"/>
          <w:sz w:val="18"/>
          <w:szCs w:val="18"/>
        </w:rPr>
        <w:t> </w:t>
      </w:r>
      <w:r w:rsidR="00CA7B2C">
        <w:rPr>
          <w:rFonts w:ascii="Garamond" w:hAnsi="Garamond"/>
          <w:sz w:val="18"/>
          <w:szCs w:val="18"/>
        </w:rPr>
        <w:t xml:space="preserve">(2020) </w:t>
      </w:r>
      <w:r w:rsidR="00CA7B2C" w:rsidRPr="00222AA9">
        <w:rPr>
          <w:rFonts w:ascii="Garamond" w:hAnsi="Garamond"/>
          <w:i/>
          <w:iCs/>
          <w:sz w:val="18"/>
          <w:szCs w:val="18"/>
        </w:rPr>
        <w:t>Eire-Ireland;</w:t>
      </w:r>
      <w:r w:rsidR="00CA7B2C" w:rsidRPr="00222AA9">
        <w:rPr>
          <w:rFonts w:ascii="Garamond" w:hAnsi="Garamond"/>
          <w:i/>
          <w:iCs/>
          <w:color w:val="000000"/>
          <w:kern w:val="0"/>
          <w:sz w:val="18"/>
          <w:szCs w:val="18"/>
        </w:rPr>
        <w:t xml:space="preserve"> </w:t>
      </w:r>
      <w:r w:rsidR="00CA7B2C" w:rsidRPr="00222AA9">
        <w:rPr>
          <w:rFonts w:ascii="Garamond" w:hAnsi="Garamond"/>
          <w:i/>
          <w:iCs/>
          <w:sz w:val="18"/>
          <w:szCs w:val="18"/>
        </w:rPr>
        <w:t>A Journal of Irish Studies</w:t>
      </w:r>
      <w:r w:rsidR="00CA7B2C" w:rsidRPr="00F45783">
        <w:rPr>
          <w:rFonts w:ascii="Garamond" w:hAnsi="Garamond"/>
          <w:sz w:val="18"/>
          <w:szCs w:val="18"/>
        </w:rPr>
        <w:t xml:space="preserve"> </w:t>
      </w:r>
      <w:r w:rsidR="0076268D" w:rsidRPr="00F45783">
        <w:rPr>
          <w:rFonts w:ascii="Garamond" w:hAnsi="Garamond"/>
          <w:sz w:val="18"/>
          <w:szCs w:val="18"/>
        </w:rPr>
        <w:t xml:space="preserve"> 181-200; </w:t>
      </w:r>
      <w:r w:rsidR="00FB32E3" w:rsidRPr="00F45783">
        <w:rPr>
          <w:rFonts w:ascii="Garamond" w:hAnsi="Garamond"/>
          <w:sz w:val="18"/>
          <w:szCs w:val="18"/>
        </w:rPr>
        <w:t xml:space="preserve"> Maeve O’Rourke, ‘The Manipulation of ‘Vulnerability’: State Responses to So-Called ‘Historical’ Abuses in Ireland’ (2021) 43(3) </w:t>
      </w:r>
      <w:r w:rsidR="00FB32E3" w:rsidRPr="009A1CD8">
        <w:rPr>
          <w:rFonts w:ascii="Garamond" w:hAnsi="Garamond"/>
          <w:i/>
          <w:iCs/>
          <w:sz w:val="18"/>
          <w:szCs w:val="18"/>
        </w:rPr>
        <w:t>Human Rights Quarterly</w:t>
      </w:r>
      <w:r w:rsidR="00FB32E3" w:rsidRPr="00F45783">
        <w:rPr>
          <w:rFonts w:ascii="Garamond" w:hAnsi="Garamond"/>
          <w:sz w:val="18"/>
          <w:szCs w:val="18"/>
        </w:rPr>
        <w:t xml:space="preserve"> 425-459.  </w:t>
      </w:r>
    </w:p>
  </w:footnote>
  <w:footnote w:id="32">
    <w:p w14:paraId="4A5083CD" w14:textId="19E288F2" w:rsidR="00DF4A20" w:rsidRPr="00F45783" w:rsidRDefault="00DF4A2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and Samantha Morgan-Williams, ‘Barriers to Access to Justice for Members of the Traveller Community: Rediscrimination with the Equality System’ in Daniel Newman and Faith Gordon (eds) </w:t>
      </w:r>
      <w:r w:rsidRPr="00F45783">
        <w:rPr>
          <w:rFonts w:ascii="Garamond" w:hAnsi="Garamond"/>
          <w:i/>
          <w:iCs/>
          <w:sz w:val="18"/>
          <w:szCs w:val="18"/>
        </w:rPr>
        <w:t xml:space="preserve">Access to Justice in Rural Communities: Global Perspectives </w:t>
      </w:r>
      <w:r w:rsidRPr="00F45783">
        <w:rPr>
          <w:rFonts w:ascii="Garamond" w:hAnsi="Garamond"/>
          <w:sz w:val="18"/>
          <w:szCs w:val="18"/>
        </w:rPr>
        <w:t>(Hart Publishing 2023).</w:t>
      </w:r>
    </w:p>
  </w:footnote>
  <w:footnote w:id="33">
    <w:p w14:paraId="2BE1D185" w14:textId="2ECCFFFA" w:rsidR="00ED0234" w:rsidRPr="00F45783" w:rsidRDefault="00ED0234"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Conor Casey and David Kenny, ‘The Risk and Rewards of Ireland’s Leviathan: Rule of Law Values and the Irish Executive’s Crisis Response to Covid-19’ (2023) 70 </w:t>
      </w:r>
      <w:r w:rsidRPr="00DA3DAE">
        <w:rPr>
          <w:rFonts w:ascii="Garamond" w:hAnsi="Garamond"/>
          <w:i/>
          <w:iCs/>
          <w:sz w:val="18"/>
          <w:szCs w:val="18"/>
        </w:rPr>
        <w:t>Irish Jurist</w:t>
      </w:r>
      <w:r w:rsidRPr="00F45783">
        <w:rPr>
          <w:rFonts w:ascii="Garamond" w:hAnsi="Garamond"/>
          <w:sz w:val="18"/>
          <w:szCs w:val="18"/>
        </w:rPr>
        <w:t xml:space="preserve"> 242-267.</w:t>
      </w:r>
    </w:p>
  </w:footnote>
  <w:footnote w:id="34">
    <w:p w14:paraId="530DFDE5" w14:textId="1F71F9A2" w:rsidR="00073190" w:rsidRPr="00F45783" w:rsidRDefault="0007319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4F7D94" w:rsidRPr="00F45783">
        <w:rPr>
          <w:rFonts w:ascii="Garamond" w:hAnsi="Garamond"/>
          <w:sz w:val="18"/>
          <w:szCs w:val="18"/>
        </w:rPr>
        <w:t xml:space="preserve">Laura Cahillane, ‘Defining the administration of justice in Ireland after the Zalewski decision’ </w:t>
      </w:r>
      <w:r w:rsidR="002E0CF2" w:rsidRPr="00F45783">
        <w:rPr>
          <w:rFonts w:ascii="Garamond" w:hAnsi="Garamond"/>
          <w:sz w:val="18"/>
          <w:szCs w:val="18"/>
        </w:rPr>
        <w:t xml:space="preserve">(2023) 69 </w:t>
      </w:r>
      <w:r w:rsidR="002E0CF2" w:rsidRPr="00DA3DAE">
        <w:rPr>
          <w:rFonts w:ascii="Garamond" w:hAnsi="Garamond"/>
          <w:i/>
          <w:iCs/>
          <w:sz w:val="18"/>
          <w:szCs w:val="18"/>
        </w:rPr>
        <w:t>Irish Jurist</w:t>
      </w:r>
      <w:r w:rsidR="002E0CF2" w:rsidRPr="00F45783">
        <w:rPr>
          <w:rFonts w:ascii="Garamond" w:hAnsi="Garamond"/>
          <w:sz w:val="18"/>
          <w:szCs w:val="18"/>
        </w:rPr>
        <w:t xml:space="preserve"> 164-179. </w:t>
      </w:r>
    </w:p>
  </w:footnote>
  <w:footnote w:id="35">
    <w:p w14:paraId="04985D62" w14:textId="2B232CAC" w:rsidR="00073190" w:rsidRPr="00F45783" w:rsidRDefault="0007319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00DA3DAE">
        <w:rPr>
          <w:rFonts w:ascii="Garamond" w:hAnsi="Garamond"/>
          <w:sz w:val="18"/>
          <w:szCs w:val="18"/>
        </w:rPr>
        <w:t xml:space="preserve"> </w:t>
      </w:r>
      <w:r w:rsidR="00921E33" w:rsidRPr="00F45783">
        <w:rPr>
          <w:rFonts w:ascii="Garamond" w:hAnsi="Garamond"/>
          <w:sz w:val="18"/>
          <w:szCs w:val="18"/>
        </w:rPr>
        <w:t>Laura Cahillane and David Kenny</w:t>
      </w:r>
      <w:r w:rsidR="00DA3DAE">
        <w:rPr>
          <w:rFonts w:ascii="Garamond" w:hAnsi="Garamond"/>
          <w:sz w:val="18"/>
          <w:szCs w:val="18"/>
        </w:rPr>
        <w:t>,</w:t>
      </w:r>
      <w:r w:rsidR="00921E33" w:rsidRPr="00F45783">
        <w:rPr>
          <w:rFonts w:ascii="Garamond" w:hAnsi="Garamond"/>
          <w:sz w:val="18"/>
          <w:szCs w:val="18"/>
        </w:rPr>
        <w:t xml:space="preserve"> </w:t>
      </w:r>
      <w:r w:rsidR="00DA3DAE">
        <w:rPr>
          <w:rFonts w:ascii="Garamond" w:hAnsi="Garamond"/>
          <w:sz w:val="18"/>
          <w:szCs w:val="18"/>
        </w:rPr>
        <w:t>‘</w:t>
      </w:r>
      <w:r w:rsidR="00921E33" w:rsidRPr="00F45783">
        <w:rPr>
          <w:rFonts w:ascii="Garamond" w:hAnsi="Garamond"/>
          <w:sz w:val="18"/>
          <w:szCs w:val="18"/>
        </w:rPr>
        <w:t>Lessons from Ireland’s 2020 judicial conduct controversy</w:t>
      </w:r>
      <w:r w:rsidR="00DA3DAE">
        <w:rPr>
          <w:rFonts w:ascii="Garamond" w:hAnsi="Garamond"/>
          <w:sz w:val="18"/>
          <w:szCs w:val="18"/>
        </w:rPr>
        <w:t>’ (2022</w:t>
      </w:r>
      <w:r w:rsidR="00DA3DAE" w:rsidRPr="00DA3DAE">
        <w:rPr>
          <w:rFonts w:ascii="Garamond" w:hAnsi="Garamond"/>
          <w:sz w:val="18"/>
          <w:szCs w:val="18"/>
        </w:rPr>
        <w:t>)</w:t>
      </w:r>
      <w:r w:rsidR="00921E33" w:rsidRPr="00DA3DAE">
        <w:rPr>
          <w:rFonts w:ascii="Garamond" w:hAnsi="Garamond"/>
          <w:sz w:val="18"/>
          <w:szCs w:val="18"/>
        </w:rPr>
        <w:t> </w:t>
      </w:r>
      <w:r w:rsidR="00DA3DAE" w:rsidRPr="00DA3DAE">
        <w:rPr>
          <w:rFonts w:ascii="Garamond" w:hAnsi="Garamond"/>
          <w:sz w:val="18"/>
          <w:szCs w:val="18"/>
        </w:rPr>
        <w:t>51(1-2)</w:t>
      </w:r>
      <w:r w:rsidR="00DA3DAE" w:rsidRPr="00F45783">
        <w:rPr>
          <w:rFonts w:ascii="Garamond" w:hAnsi="Garamond"/>
          <w:sz w:val="18"/>
          <w:szCs w:val="18"/>
        </w:rPr>
        <w:t xml:space="preserve"> </w:t>
      </w:r>
      <w:r w:rsidR="00921E33" w:rsidRPr="00F45783">
        <w:rPr>
          <w:rFonts w:ascii="Garamond" w:hAnsi="Garamond"/>
          <w:i/>
          <w:iCs/>
          <w:sz w:val="18"/>
          <w:szCs w:val="18"/>
        </w:rPr>
        <w:t>Common Law World Review</w:t>
      </w:r>
      <w:r w:rsidR="00921E33" w:rsidRPr="00F45783">
        <w:rPr>
          <w:rFonts w:ascii="Garamond" w:hAnsi="Garamond"/>
          <w:sz w:val="18"/>
          <w:szCs w:val="18"/>
        </w:rPr>
        <w:t xml:space="preserve"> 24-42.</w:t>
      </w:r>
    </w:p>
  </w:footnote>
  <w:footnote w:id="36">
    <w:p w14:paraId="13348BC8" w14:textId="3D6A2FF3" w:rsidR="00565B73" w:rsidRPr="00F45783" w:rsidRDefault="00565B73"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3B7FC2" w:rsidRPr="00F45783">
        <w:rPr>
          <w:rFonts w:ascii="Garamond" w:hAnsi="Garamond"/>
          <w:sz w:val="18"/>
          <w:szCs w:val="18"/>
        </w:rPr>
        <w:t>Alan DP Brady</w:t>
      </w:r>
      <w:r w:rsidR="001A0D84">
        <w:rPr>
          <w:rFonts w:ascii="Garamond" w:hAnsi="Garamond"/>
          <w:sz w:val="18"/>
          <w:szCs w:val="18"/>
        </w:rPr>
        <w:t>,</w:t>
      </w:r>
      <w:r w:rsidR="003B7FC2" w:rsidRPr="00F45783">
        <w:rPr>
          <w:rFonts w:ascii="Garamond" w:hAnsi="Garamond"/>
          <w:sz w:val="18"/>
          <w:szCs w:val="18"/>
        </w:rPr>
        <w:t xml:space="preserve"> ‘Fundamental rights and administrative decision-makers: </w:t>
      </w:r>
      <w:r w:rsidR="003B7FC2" w:rsidRPr="00F45783">
        <w:rPr>
          <w:rFonts w:ascii="Garamond" w:hAnsi="Garamond"/>
          <w:i/>
          <w:iCs/>
          <w:sz w:val="18"/>
          <w:szCs w:val="18"/>
        </w:rPr>
        <w:t>Middelkamp v Minister for Justice and Equality’</w:t>
      </w:r>
      <w:r w:rsidR="003B7FC2" w:rsidRPr="00F45783">
        <w:rPr>
          <w:rFonts w:ascii="Garamond" w:hAnsi="Garamond"/>
          <w:sz w:val="18"/>
          <w:szCs w:val="18"/>
        </w:rPr>
        <w:t>  (2024) 6 </w:t>
      </w:r>
      <w:r w:rsidR="003B7FC2" w:rsidRPr="00F45783">
        <w:rPr>
          <w:rFonts w:ascii="Garamond" w:hAnsi="Garamond"/>
          <w:i/>
          <w:iCs/>
          <w:sz w:val="18"/>
          <w:szCs w:val="18"/>
        </w:rPr>
        <w:t>Irish Supreme Court Review </w:t>
      </w:r>
      <w:r w:rsidR="003B7FC2" w:rsidRPr="00F45783">
        <w:rPr>
          <w:rFonts w:ascii="Garamond" w:hAnsi="Garamond"/>
          <w:sz w:val="18"/>
          <w:szCs w:val="18"/>
        </w:rPr>
        <w:t xml:space="preserve">137. </w:t>
      </w:r>
    </w:p>
  </w:footnote>
  <w:footnote w:id="37">
    <w:p w14:paraId="615B9756" w14:textId="5AB89D83" w:rsidR="002D7ABE" w:rsidRPr="002B7DE3" w:rsidRDefault="002D7ABE"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4361F3" w:rsidRPr="002B7DE3">
        <w:rPr>
          <w:rFonts w:ascii="Garamond" w:hAnsi="Garamond"/>
          <w:sz w:val="18"/>
          <w:szCs w:val="18"/>
        </w:rPr>
        <w:t>Joe Whelan and Fred Powell</w:t>
      </w:r>
      <w:r w:rsidR="00267D24" w:rsidRPr="002B7DE3">
        <w:rPr>
          <w:rFonts w:ascii="Garamond" w:hAnsi="Garamond"/>
          <w:sz w:val="18"/>
          <w:szCs w:val="18"/>
        </w:rPr>
        <w:t xml:space="preserve">, ‘Maintaining compliance and engaging in impression management’ </w:t>
      </w:r>
      <w:r w:rsidR="004361F3" w:rsidRPr="002B7DE3">
        <w:rPr>
          <w:rFonts w:ascii="Garamond" w:hAnsi="Garamond"/>
          <w:sz w:val="18"/>
          <w:szCs w:val="18"/>
        </w:rPr>
        <w:t>in</w:t>
      </w:r>
      <w:r w:rsidR="004510F1" w:rsidRPr="002B7DE3">
        <w:rPr>
          <w:rFonts w:ascii="Garamond" w:hAnsi="Garamond"/>
          <w:sz w:val="18"/>
          <w:szCs w:val="18"/>
        </w:rPr>
        <w:t xml:space="preserve"> Joe Whelan (ed)</w:t>
      </w:r>
      <w:r w:rsidR="004361F3" w:rsidRPr="002B7DE3">
        <w:rPr>
          <w:rFonts w:ascii="Garamond" w:hAnsi="Garamond"/>
          <w:sz w:val="18"/>
          <w:szCs w:val="18"/>
        </w:rPr>
        <w:t xml:space="preserve"> </w:t>
      </w:r>
      <w:r w:rsidR="004361F3" w:rsidRPr="002B7DE3">
        <w:rPr>
          <w:rFonts w:ascii="Garamond" w:hAnsi="Garamond"/>
          <w:i/>
          <w:iCs/>
          <w:sz w:val="18"/>
          <w:szCs w:val="18"/>
        </w:rPr>
        <w:t>Hidden Voices: Lived Experiences in the Irish Welfare</w:t>
      </w:r>
      <w:r w:rsidR="004361F3" w:rsidRPr="002B7DE3">
        <w:rPr>
          <w:rFonts w:ascii="Garamond" w:hAnsi="Garamond"/>
          <w:sz w:val="18"/>
          <w:szCs w:val="18"/>
        </w:rPr>
        <w:t xml:space="preserve"> </w:t>
      </w:r>
      <w:r w:rsidR="004361F3" w:rsidRPr="002B7DE3">
        <w:rPr>
          <w:rFonts w:ascii="Garamond" w:hAnsi="Garamond"/>
          <w:i/>
          <w:iCs/>
          <w:sz w:val="18"/>
          <w:szCs w:val="18"/>
        </w:rPr>
        <w:t>Space</w:t>
      </w:r>
      <w:r w:rsidR="004361F3" w:rsidRPr="002B7DE3">
        <w:rPr>
          <w:rFonts w:ascii="Garamond" w:hAnsi="Garamond"/>
          <w:sz w:val="18"/>
          <w:szCs w:val="18"/>
        </w:rPr>
        <w:t xml:space="preserve"> (Bristol, online edn, Policy Press Scholarship Online</w:t>
      </w:r>
      <w:r w:rsidR="00820293">
        <w:rPr>
          <w:rFonts w:ascii="Garamond" w:hAnsi="Garamond"/>
          <w:sz w:val="18"/>
          <w:szCs w:val="18"/>
        </w:rPr>
        <w:t>, 2022</w:t>
      </w:r>
      <w:r w:rsidR="004361F3" w:rsidRPr="002B7DE3">
        <w:rPr>
          <w:rFonts w:ascii="Garamond" w:hAnsi="Garamond"/>
          <w:sz w:val="18"/>
          <w:szCs w:val="18"/>
        </w:rPr>
        <w:t>).</w:t>
      </w:r>
    </w:p>
  </w:footnote>
  <w:footnote w:id="38">
    <w:p w14:paraId="3260E33C" w14:textId="29A9CA38" w:rsidR="00F01428" w:rsidRPr="002B7DE3" w:rsidRDefault="00F01428"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M</w:t>
      </w:r>
      <w:r w:rsidR="00F431AD" w:rsidRPr="002B7DE3">
        <w:rPr>
          <w:rFonts w:ascii="Garamond" w:hAnsi="Garamond"/>
          <w:sz w:val="18"/>
          <w:szCs w:val="18"/>
        </w:rPr>
        <w:t xml:space="preserve">ajka </w:t>
      </w:r>
      <w:r w:rsidRPr="002B7DE3">
        <w:rPr>
          <w:rFonts w:ascii="Garamond" w:hAnsi="Garamond"/>
          <w:sz w:val="18"/>
          <w:szCs w:val="18"/>
        </w:rPr>
        <w:t>M. Ryan and M</w:t>
      </w:r>
      <w:r w:rsidR="00F431AD" w:rsidRPr="002B7DE3">
        <w:rPr>
          <w:rFonts w:ascii="Garamond" w:hAnsi="Garamond"/>
          <w:sz w:val="18"/>
          <w:szCs w:val="18"/>
        </w:rPr>
        <w:t>artin</w:t>
      </w:r>
      <w:r w:rsidRPr="002B7DE3">
        <w:rPr>
          <w:rFonts w:ascii="Garamond" w:hAnsi="Garamond"/>
          <w:sz w:val="18"/>
          <w:szCs w:val="18"/>
        </w:rPr>
        <w:t xml:space="preserve"> J. Power, </w:t>
      </w:r>
      <w:r w:rsidR="00F22ED6" w:rsidRPr="002B7DE3">
        <w:rPr>
          <w:rFonts w:ascii="Garamond" w:hAnsi="Garamond"/>
          <w:sz w:val="18"/>
          <w:szCs w:val="18"/>
        </w:rPr>
        <w:t>‘</w:t>
      </w:r>
      <w:r w:rsidRPr="002B7DE3">
        <w:rPr>
          <w:rFonts w:ascii="Garamond" w:hAnsi="Garamond"/>
          <w:sz w:val="18"/>
          <w:szCs w:val="18"/>
        </w:rPr>
        <w:t>Understanding how decision-makers practice discretion in the context of the Habitual Residence Condition in the Republic of Ireland</w:t>
      </w:r>
      <w:r w:rsidR="00F22ED6" w:rsidRPr="002B7DE3">
        <w:rPr>
          <w:rFonts w:ascii="Garamond" w:hAnsi="Garamond"/>
          <w:sz w:val="18"/>
          <w:szCs w:val="18"/>
        </w:rPr>
        <w:t>’</w:t>
      </w:r>
      <w:r w:rsidRPr="002B7DE3">
        <w:rPr>
          <w:rFonts w:ascii="Garamond" w:hAnsi="Garamond"/>
          <w:sz w:val="18"/>
          <w:szCs w:val="18"/>
        </w:rPr>
        <w:t xml:space="preserve"> (2020) 28(2) </w:t>
      </w:r>
      <w:r w:rsidRPr="002B7DE3">
        <w:rPr>
          <w:rFonts w:ascii="Garamond" w:hAnsi="Garamond"/>
          <w:i/>
          <w:iCs/>
          <w:sz w:val="18"/>
          <w:szCs w:val="18"/>
        </w:rPr>
        <w:t>Irish Journal of Sociology</w:t>
      </w:r>
      <w:r w:rsidRPr="002B7DE3">
        <w:rPr>
          <w:rFonts w:ascii="Garamond" w:hAnsi="Garamond"/>
          <w:sz w:val="18"/>
          <w:szCs w:val="18"/>
        </w:rPr>
        <w:t xml:space="preserve"> 143-167.</w:t>
      </w:r>
    </w:p>
  </w:footnote>
  <w:footnote w:id="39">
    <w:p w14:paraId="75BA62FB" w14:textId="69645D4D" w:rsidR="000A47BE" w:rsidRPr="002B7DE3" w:rsidRDefault="000A47BE" w:rsidP="002B7DE3">
      <w:pPr>
        <w:pStyle w:val="FootnoteText"/>
        <w:jc w:val="both"/>
        <w:rPr>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5E12EF" w:rsidRPr="002B7DE3">
        <w:rPr>
          <w:rFonts w:ascii="Garamond" w:hAnsi="Garamond"/>
          <w:sz w:val="18"/>
          <w:szCs w:val="18"/>
        </w:rPr>
        <w:t>Donnah Vuma ‘905976-14’</w:t>
      </w:r>
      <w:r w:rsidR="00B65E14" w:rsidRPr="002B7DE3">
        <w:rPr>
          <w:rFonts w:ascii="Garamond" w:hAnsi="Garamond"/>
          <w:sz w:val="18"/>
          <w:szCs w:val="18"/>
        </w:rPr>
        <w:t xml:space="preserve"> in Stephen Rea and Jessica Traynor (eds) </w:t>
      </w:r>
      <w:r w:rsidR="00B65E14" w:rsidRPr="002B7DE3">
        <w:rPr>
          <w:rFonts w:ascii="Garamond" w:hAnsi="Garamond"/>
          <w:i/>
          <w:iCs/>
          <w:sz w:val="18"/>
          <w:szCs w:val="18"/>
        </w:rPr>
        <w:t>Correspondences: An anthology to call for an end to direct</w:t>
      </w:r>
      <w:r w:rsidR="00B65E14" w:rsidRPr="002B7DE3">
        <w:rPr>
          <w:rFonts w:ascii="Garamond" w:hAnsi="Garamond"/>
          <w:sz w:val="18"/>
          <w:szCs w:val="18"/>
        </w:rPr>
        <w:t xml:space="preserve"> </w:t>
      </w:r>
      <w:r w:rsidR="00B65E14" w:rsidRPr="00F655F1">
        <w:rPr>
          <w:rFonts w:ascii="Garamond" w:hAnsi="Garamond"/>
          <w:i/>
          <w:iCs/>
          <w:sz w:val="18"/>
          <w:szCs w:val="18"/>
        </w:rPr>
        <w:t xml:space="preserve">provision </w:t>
      </w:r>
      <w:r w:rsidR="00B65E14" w:rsidRPr="002B7DE3">
        <w:rPr>
          <w:rFonts w:ascii="Garamond" w:hAnsi="Garamond"/>
          <w:sz w:val="18"/>
          <w:szCs w:val="18"/>
        </w:rPr>
        <w:t>(</w:t>
      </w:r>
      <w:r w:rsidR="008D7435" w:rsidRPr="002B7DE3">
        <w:rPr>
          <w:rFonts w:ascii="Garamond" w:hAnsi="Garamond"/>
          <w:sz w:val="18"/>
          <w:szCs w:val="18"/>
        </w:rPr>
        <w:t>Dublin, SPRINT-print</w:t>
      </w:r>
      <w:r w:rsidR="00820293">
        <w:rPr>
          <w:rFonts w:ascii="Garamond" w:hAnsi="Garamond"/>
          <w:sz w:val="18"/>
          <w:szCs w:val="18"/>
        </w:rPr>
        <w:t xml:space="preserve"> 2019</w:t>
      </w:r>
      <w:r w:rsidR="008D7435" w:rsidRPr="002B7DE3">
        <w:rPr>
          <w:rFonts w:ascii="Garamond" w:hAnsi="Garamond"/>
          <w:sz w:val="18"/>
          <w:szCs w:val="18"/>
        </w:rPr>
        <w:t>).</w:t>
      </w:r>
      <w:r w:rsidR="008D7435">
        <w:rPr>
          <w:sz w:val="18"/>
          <w:szCs w:val="18"/>
        </w:rPr>
        <w:t xml:space="preserve"> </w:t>
      </w:r>
    </w:p>
  </w:footnote>
  <w:footnote w:id="40">
    <w:p w14:paraId="6538FA77" w14:textId="77777777" w:rsidR="00A61FEE" w:rsidRPr="00F45783" w:rsidRDefault="00A61FEE" w:rsidP="00F431AD">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Jerry L. Mashaw, </w:t>
      </w:r>
      <w:r w:rsidRPr="00F45783">
        <w:rPr>
          <w:rFonts w:ascii="Garamond" w:hAnsi="Garamond"/>
          <w:i/>
          <w:iCs/>
          <w:sz w:val="18"/>
          <w:szCs w:val="18"/>
        </w:rPr>
        <w:t xml:space="preserve">Bureaucratic Justice: Managing Social Security Disability Claims </w:t>
      </w:r>
      <w:r w:rsidRPr="00F45783">
        <w:rPr>
          <w:rFonts w:ascii="Garamond" w:hAnsi="Garamond"/>
          <w:sz w:val="18"/>
          <w:szCs w:val="18"/>
        </w:rPr>
        <w:t>(Yale University Press 1983).</w:t>
      </w:r>
    </w:p>
  </w:footnote>
  <w:footnote w:id="41">
    <w:p w14:paraId="650224B1" w14:textId="77777777" w:rsidR="00A61FEE" w:rsidRPr="00F45783" w:rsidRDefault="00A61FEE"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Carol Harlow and Richard Rawlings, </w:t>
      </w:r>
      <w:r w:rsidRPr="00F45783">
        <w:rPr>
          <w:rFonts w:ascii="Garamond" w:hAnsi="Garamond"/>
          <w:i/>
          <w:iCs/>
          <w:sz w:val="18"/>
          <w:szCs w:val="18"/>
        </w:rPr>
        <w:t xml:space="preserve">Law and Administration </w:t>
      </w:r>
      <w:r w:rsidRPr="00F45783">
        <w:rPr>
          <w:rFonts w:ascii="Garamond" w:hAnsi="Garamond"/>
          <w:sz w:val="18"/>
          <w:szCs w:val="18"/>
        </w:rPr>
        <w:t>(4th edn, CUP 2022) 547.</w:t>
      </w:r>
    </w:p>
  </w:footnote>
  <w:footnote w:id="42">
    <w:p w14:paraId="1D128E46" w14:textId="5CD897C6" w:rsidR="00F74A72" w:rsidRPr="00F45783" w:rsidRDefault="00F74A7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Carol Harlow and Richard Rawlings, </w:t>
      </w:r>
      <w:r w:rsidRPr="00F45783">
        <w:rPr>
          <w:rFonts w:ascii="Garamond" w:hAnsi="Garamond"/>
          <w:i/>
          <w:iCs/>
          <w:sz w:val="18"/>
          <w:szCs w:val="18"/>
        </w:rPr>
        <w:t xml:space="preserve">Law and Administration </w:t>
      </w:r>
      <w:r w:rsidRPr="00F45783">
        <w:rPr>
          <w:rFonts w:ascii="Garamond" w:hAnsi="Garamond"/>
          <w:sz w:val="18"/>
          <w:szCs w:val="18"/>
        </w:rPr>
        <w:t>(4th edn, CUP 2022) 549.</w:t>
      </w:r>
    </w:p>
  </w:footnote>
  <w:footnote w:id="43">
    <w:p w14:paraId="758FBA03" w14:textId="357484E8" w:rsidR="00074564" w:rsidRPr="00F45783" w:rsidRDefault="00074564"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DD06EF" w:rsidRPr="00F45783">
        <w:rPr>
          <w:rFonts w:ascii="Garamond" w:hAnsi="Garamond"/>
          <w:sz w:val="18"/>
          <w:szCs w:val="18"/>
        </w:rPr>
        <w:t xml:space="preserve">Jerry L. Mashaw, </w:t>
      </w:r>
      <w:r w:rsidR="00DD06EF" w:rsidRPr="00F45783">
        <w:rPr>
          <w:rFonts w:ascii="Garamond" w:hAnsi="Garamond"/>
          <w:i/>
          <w:iCs/>
          <w:sz w:val="18"/>
          <w:szCs w:val="18"/>
        </w:rPr>
        <w:t xml:space="preserve">Bureaucratic Justice: Managing Social Security Disability Claims </w:t>
      </w:r>
      <w:r w:rsidR="00DD06EF" w:rsidRPr="00F45783">
        <w:rPr>
          <w:rFonts w:ascii="Garamond" w:hAnsi="Garamond"/>
          <w:sz w:val="18"/>
          <w:szCs w:val="18"/>
        </w:rPr>
        <w:t>(Yale University Press 1983) 125.</w:t>
      </w:r>
    </w:p>
  </w:footnote>
  <w:footnote w:id="44">
    <w:p w14:paraId="50AC7366" w14:textId="4764F563" w:rsidR="00DD06EF" w:rsidRPr="00F45783" w:rsidRDefault="00DD06EF"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F75F40" w:rsidRPr="00F45783">
        <w:rPr>
          <w:rFonts w:ascii="Garamond" w:hAnsi="Garamond"/>
          <w:sz w:val="18"/>
          <w:szCs w:val="18"/>
        </w:rPr>
        <w:t xml:space="preserve">Robert Thomas, </w:t>
      </w:r>
      <w:r w:rsidR="00F75F40" w:rsidRPr="00F45783">
        <w:rPr>
          <w:rFonts w:ascii="Garamond" w:hAnsi="Garamond"/>
          <w:i/>
          <w:iCs/>
          <w:sz w:val="18"/>
          <w:szCs w:val="18"/>
        </w:rPr>
        <w:t xml:space="preserve">Administrative Law in Action: Immigration Administration </w:t>
      </w:r>
      <w:r w:rsidR="00F75F40" w:rsidRPr="00F45783">
        <w:rPr>
          <w:rFonts w:ascii="Garamond" w:hAnsi="Garamond"/>
          <w:sz w:val="18"/>
          <w:szCs w:val="18"/>
        </w:rPr>
        <w:t>(Hart Publishing 2022) 109.</w:t>
      </w:r>
    </w:p>
  </w:footnote>
  <w:footnote w:id="45">
    <w:p w14:paraId="2396B7B8" w14:textId="410ED4DE" w:rsidR="005F6619" w:rsidRPr="00F45783" w:rsidRDefault="005F6619"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4E5306" w:rsidRPr="00F45783">
        <w:rPr>
          <w:rFonts w:ascii="Garamond" w:hAnsi="Garamond"/>
          <w:sz w:val="18"/>
          <w:szCs w:val="18"/>
        </w:rPr>
        <w:t xml:space="preserve">Simon Halliday, </w:t>
      </w:r>
      <w:r w:rsidR="004E5306" w:rsidRPr="00F45783">
        <w:rPr>
          <w:rFonts w:ascii="Garamond" w:hAnsi="Garamond"/>
          <w:i/>
          <w:iCs/>
          <w:sz w:val="18"/>
          <w:szCs w:val="18"/>
        </w:rPr>
        <w:t xml:space="preserve">Judicial Review and Compliance with Administrative Law </w:t>
      </w:r>
      <w:r w:rsidR="004E5306" w:rsidRPr="00F45783">
        <w:rPr>
          <w:rFonts w:ascii="Garamond" w:hAnsi="Garamond"/>
          <w:sz w:val="18"/>
          <w:szCs w:val="18"/>
        </w:rPr>
        <w:t xml:space="preserve">(Hart Publishing 2004) </w:t>
      </w:r>
      <w:r w:rsidRPr="00F45783">
        <w:rPr>
          <w:rFonts w:ascii="Garamond" w:hAnsi="Garamond"/>
          <w:sz w:val="18"/>
          <w:szCs w:val="18"/>
        </w:rPr>
        <w:t>19</w:t>
      </w:r>
      <w:r w:rsidR="004E5306">
        <w:rPr>
          <w:rFonts w:ascii="Garamond" w:hAnsi="Garamond"/>
          <w:sz w:val="18"/>
          <w:szCs w:val="18"/>
        </w:rPr>
        <w:t>.</w:t>
      </w:r>
      <w:r w:rsidRPr="00F45783">
        <w:rPr>
          <w:rFonts w:ascii="Garamond" w:hAnsi="Garamond"/>
          <w:sz w:val="18"/>
          <w:szCs w:val="18"/>
        </w:rPr>
        <w:t xml:space="preserve"> </w:t>
      </w:r>
    </w:p>
  </w:footnote>
  <w:footnote w:id="46">
    <w:p w14:paraId="3FE783FC" w14:textId="29FA960F" w:rsidR="00CC0763" w:rsidRPr="00F45783" w:rsidRDefault="00CC0763" w:rsidP="00CC0763">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Joanna Bell, </w:t>
      </w:r>
      <w:r w:rsidRPr="00F45783">
        <w:rPr>
          <w:rFonts w:ascii="Garamond" w:hAnsi="Garamond"/>
          <w:i/>
          <w:iCs/>
          <w:sz w:val="18"/>
          <w:szCs w:val="18"/>
        </w:rPr>
        <w:t xml:space="preserve">The Anatomy of Administrative Law </w:t>
      </w:r>
      <w:r w:rsidRPr="00F45783">
        <w:rPr>
          <w:rFonts w:ascii="Garamond" w:hAnsi="Garamond"/>
          <w:sz w:val="18"/>
          <w:szCs w:val="18"/>
        </w:rPr>
        <w:t>(Hart Publishing 2020) 61.</w:t>
      </w:r>
    </w:p>
  </w:footnote>
  <w:footnote w:id="47">
    <w:p w14:paraId="6E3B22AC" w14:textId="1A87E05D" w:rsidR="003F228D" w:rsidRPr="00F45783" w:rsidRDefault="003F228D" w:rsidP="003F228D">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Joanna Bell, </w:t>
      </w:r>
      <w:r w:rsidRPr="00F45783">
        <w:rPr>
          <w:rFonts w:ascii="Garamond" w:hAnsi="Garamond"/>
          <w:i/>
          <w:iCs/>
          <w:sz w:val="18"/>
          <w:szCs w:val="18"/>
        </w:rPr>
        <w:t xml:space="preserve">The Anatomy of Administrative Law </w:t>
      </w:r>
      <w:r w:rsidRPr="00F45783">
        <w:rPr>
          <w:rFonts w:ascii="Garamond" w:hAnsi="Garamond"/>
          <w:sz w:val="18"/>
          <w:szCs w:val="18"/>
        </w:rPr>
        <w:t>(Hart Publishing 2020) 56.</w:t>
      </w:r>
    </w:p>
  </w:footnote>
  <w:footnote w:id="48">
    <w:p w14:paraId="64752125" w14:textId="04F1F405" w:rsidR="00551208" w:rsidRPr="00F45783" w:rsidRDefault="00551208" w:rsidP="00551208">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Carol Harlow and Richard Rawlings, </w:t>
      </w:r>
      <w:r w:rsidRPr="00F45783">
        <w:rPr>
          <w:rFonts w:ascii="Garamond" w:hAnsi="Garamond"/>
          <w:i/>
          <w:iCs/>
          <w:sz w:val="18"/>
          <w:szCs w:val="18"/>
        </w:rPr>
        <w:t xml:space="preserve">Law and Administration </w:t>
      </w:r>
      <w:r w:rsidRPr="00F45783">
        <w:rPr>
          <w:rFonts w:ascii="Garamond" w:hAnsi="Garamond"/>
          <w:sz w:val="18"/>
          <w:szCs w:val="18"/>
        </w:rPr>
        <w:t>(4th edn, CUP 2022) preface.</w:t>
      </w:r>
    </w:p>
  </w:footnote>
  <w:footnote w:id="49">
    <w:p w14:paraId="02F9E6B5" w14:textId="4C196669" w:rsidR="00F75F40" w:rsidRPr="00F45783" w:rsidRDefault="00F75F4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670B63" w:rsidRPr="00F45783">
        <w:rPr>
          <w:rFonts w:ascii="Garamond" w:hAnsi="Garamond"/>
          <w:sz w:val="18"/>
          <w:szCs w:val="18"/>
        </w:rPr>
        <w:t xml:space="preserve">Peter Cane, </w:t>
      </w:r>
      <w:r w:rsidR="00670B63" w:rsidRPr="00F45783">
        <w:rPr>
          <w:rFonts w:ascii="Garamond" w:hAnsi="Garamond"/>
          <w:i/>
          <w:iCs/>
          <w:sz w:val="18"/>
          <w:szCs w:val="18"/>
        </w:rPr>
        <w:t xml:space="preserve">Administrative Tribunals and Adjudication </w:t>
      </w:r>
      <w:r w:rsidR="00670B63" w:rsidRPr="00F45783">
        <w:rPr>
          <w:rFonts w:ascii="Garamond" w:hAnsi="Garamond"/>
          <w:sz w:val="18"/>
          <w:szCs w:val="18"/>
        </w:rPr>
        <w:t>(Hart Publishing 2010) 212.</w:t>
      </w:r>
    </w:p>
  </w:footnote>
  <w:footnote w:id="50">
    <w:p w14:paraId="263B0944" w14:textId="06E7529A" w:rsidR="00C06A7D" w:rsidRPr="00F45783" w:rsidRDefault="00C06A7D"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117C48" w:rsidRPr="00F45783">
        <w:rPr>
          <w:rFonts w:ascii="Garamond" w:hAnsi="Garamond"/>
          <w:sz w:val="18"/>
          <w:szCs w:val="18"/>
        </w:rPr>
        <w:t>Bernardo Zacka</w:t>
      </w:r>
      <w:r w:rsidR="00622E01">
        <w:rPr>
          <w:rFonts w:ascii="Garamond" w:hAnsi="Garamond"/>
          <w:sz w:val="18"/>
          <w:szCs w:val="18"/>
        </w:rPr>
        <w:t>,</w:t>
      </w:r>
      <w:r w:rsidR="00117C48" w:rsidRPr="00F45783">
        <w:rPr>
          <w:rFonts w:ascii="Garamond" w:hAnsi="Garamond"/>
          <w:sz w:val="18"/>
          <w:szCs w:val="18"/>
        </w:rPr>
        <w:t xml:space="preserve"> </w:t>
      </w:r>
      <w:r w:rsidR="00117C48" w:rsidRPr="00F45783">
        <w:rPr>
          <w:rFonts w:ascii="Garamond" w:hAnsi="Garamond"/>
          <w:i/>
          <w:iCs/>
          <w:sz w:val="18"/>
          <w:szCs w:val="18"/>
        </w:rPr>
        <w:t xml:space="preserve">When the State Meets the Street: Public Service and Moral Agency </w:t>
      </w:r>
      <w:r w:rsidR="00117C48" w:rsidRPr="00F45783">
        <w:rPr>
          <w:rFonts w:ascii="Garamond" w:hAnsi="Garamond"/>
          <w:sz w:val="18"/>
          <w:szCs w:val="18"/>
        </w:rPr>
        <w:t>(The Belknap Press of Harvard University Press 2017) 157.</w:t>
      </w:r>
    </w:p>
  </w:footnote>
  <w:footnote w:id="51">
    <w:p w14:paraId="58FB8ECE" w14:textId="1C548B17" w:rsidR="00877537" w:rsidRPr="00F45783" w:rsidRDefault="00877537"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Majka Monika Ryan and Martin J. Power, ‘Understanding how decision-makers practice discretion in the context of the Habitual Residence Condition in the Republic of Ireland’ (2020) 28(2) </w:t>
      </w:r>
      <w:r w:rsidRPr="00622E01">
        <w:rPr>
          <w:rFonts w:ascii="Garamond" w:hAnsi="Garamond"/>
          <w:i/>
          <w:iCs/>
          <w:sz w:val="18"/>
          <w:szCs w:val="18"/>
        </w:rPr>
        <w:t>Irish Journal of Sociology 143</w:t>
      </w:r>
      <w:r w:rsidRPr="00F45783">
        <w:rPr>
          <w:rFonts w:ascii="Garamond" w:hAnsi="Garamond"/>
          <w:sz w:val="18"/>
          <w:szCs w:val="18"/>
        </w:rPr>
        <w:t>-167</w:t>
      </w:r>
    </w:p>
  </w:footnote>
  <w:footnote w:id="52">
    <w:p w14:paraId="630EF02F" w14:textId="54B29975" w:rsidR="00D74A02" w:rsidRPr="00F45783" w:rsidRDefault="00D74A0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641242" w:rsidRPr="00F45783">
        <w:rPr>
          <w:rFonts w:ascii="Garamond" w:hAnsi="Garamond"/>
          <w:sz w:val="18"/>
          <w:szCs w:val="18"/>
        </w:rPr>
        <w:t xml:space="preserve">Simon Halliday, </w:t>
      </w:r>
      <w:r w:rsidR="00641242" w:rsidRPr="00F45783">
        <w:rPr>
          <w:rFonts w:ascii="Garamond" w:hAnsi="Garamond"/>
          <w:i/>
          <w:iCs/>
          <w:sz w:val="18"/>
          <w:szCs w:val="18"/>
        </w:rPr>
        <w:t xml:space="preserve">Judicial Review and Compliance with Administrative Law </w:t>
      </w:r>
      <w:r w:rsidR="00641242" w:rsidRPr="00F45783">
        <w:rPr>
          <w:rFonts w:ascii="Garamond" w:hAnsi="Garamond"/>
          <w:sz w:val="18"/>
          <w:szCs w:val="18"/>
        </w:rPr>
        <w:t xml:space="preserve">(Hart Publishing 2004) </w:t>
      </w:r>
      <w:r w:rsidRPr="00F45783">
        <w:rPr>
          <w:rFonts w:ascii="Garamond" w:hAnsi="Garamond"/>
          <w:sz w:val="18"/>
          <w:szCs w:val="18"/>
        </w:rPr>
        <w:t>41</w:t>
      </w:r>
      <w:r w:rsidR="00641242" w:rsidRPr="00F45783">
        <w:rPr>
          <w:rFonts w:ascii="Garamond" w:hAnsi="Garamond"/>
          <w:sz w:val="18"/>
          <w:szCs w:val="18"/>
        </w:rPr>
        <w:t>.</w:t>
      </w:r>
      <w:r w:rsidRPr="00F45783">
        <w:rPr>
          <w:rFonts w:ascii="Garamond" w:hAnsi="Garamond"/>
          <w:sz w:val="18"/>
          <w:szCs w:val="18"/>
        </w:rPr>
        <w:t xml:space="preserve"> </w:t>
      </w:r>
    </w:p>
  </w:footnote>
  <w:footnote w:id="53">
    <w:p w14:paraId="1388D2B6" w14:textId="73588791" w:rsidR="003F5036" w:rsidRPr="00F45783" w:rsidRDefault="003F5036"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i/>
          <w:iCs/>
          <w:sz w:val="18"/>
          <w:szCs w:val="18"/>
        </w:rPr>
        <w:t xml:space="preserve">Zalewski v Workplace Relations Commission </w:t>
      </w:r>
      <w:r w:rsidRPr="00F45783">
        <w:rPr>
          <w:rFonts w:ascii="Garamond" w:hAnsi="Garamond"/>
          <w:sz w:val="18"/>
          <w:szCs w:val="18"/>
        </w:rPr>
        <w:t>[2021] IESC 24</w:t>
      </w:r>
      <w:r w:rsidR="00622E01">
        <w:rPr>
          <w:rFonts w:ascii="Garamond" w:hAnsi="Garamond"/>
          <w:sz w:val="18"/>
          <w:szCs w:val="18"/>
        </w:rPr>
        <w:t>.</w:t>
      </w:r>
    </w:p>
  </w:footnote>
  <w:footnote w:id="54">
    <w:p w14:paraId="55621D20" w14:textId="5BC008A4" w:rsidR="00DD6870" w:rsidRPr="002B7DE3" w:rsidRDefault="00DD6870">
      <w:pPr>
        <w:pStyle w:val="FootnoteText"/>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Aisling Ryan, </w:t>
      </w:r>
      <w:r w:rsidR="004060AA" w:rsidRPr="002B7DE3">
        <w:rPr>
          <w:rFonts w:ascii="Garamond" w:hAnsi="Garamond"/>
          <w:sz w:val="18"/>
          <w:szCs w:val="18"/>
        </w:rPr>
        <w:t>‘</w:t>
      </w:r>
      <w:r w:rsidR="002A4F7B" w:rsidRPr="002B7DE3">
        <w:rPr>
          <w:rFonts w:ascii="Garamond" w:hAnsi="Garamond"/>
          <w:sz w:val="18"/>
          <w:szCs w:val="18"/>
        </w:rPr>
        <w:t>The animators of administrative law: challenging the “monopoly” of law’s application’</w:t>
      </w:r>
      <w:r w:rsidR="004060AA" w:rsidRPr="002B7DE3">
        <w:rPr>
          <w:rFonts w:ascii="Garamond" w:hAnsi="Garamond"/>
          <w:sz w:val="18"/>
          <w:szCs w:val="18"/>
        </w:rPr>
        <w:t xml:space="preserve"> (forthcoming </w:t>
      </w:r>
      <w:r w:rsidR="004060AA" w:rsidRPr="002B7DE3">
        <w:rPr>
          <w:rFonts w:ascii="Garamond" w:hAnsi="Garamond"/>
          <w:i/>
          <w:iCs/>
          <w:sz w:val="18"/>
          <w:szCs w:val="18"/>
        </w:rPr>
        <w:t xml:space="preserve">Public Law, </w:t>
      </w:r>
      <w:r w:rsidR="004060AA" w:rsidRPr="002B7DE3">
        <w:rPr>
          <w:rFonts w:ascii="Garamond" w:hAnsi="Garamond"/>
          <w:sz w:val="18"/>
          <w:szCs w:val="18"/>
        </w:rPr>
        <w:t xml:space="preserve">July 2025). </w:t>
      </w:r>
    </w:p>
  </w:footnote>
  <w:footnote w:id="55">
    <w:p w14:paraId="655DB93F" w14:textId="2F7079AF" w:rsidR="00CC3853" w:rsidRPr="00F45783" w:rsidRDefault="00CC3853"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Tom Hickey, ‘Zalewski and the Future of Irish Public Law’ (2024) 87 </w:t>
      </w:r>
      <w:r w:rsidRPr="00622E01">
        <w:rPr>
          <w:rFonts w:ascii="Garamond" w:hAnsi="Garamond"/>
          <w:i/>
          <w:iCs/>
          <w:sz w:val="18"/>
          <w:szCs w:val="18"/>
        </w:rPr>
        <w:t>Modern Law Review</w:t>
      </w:r>
      <w:r w:rsidRPr="00F45783">
        <w:rPr>
          <w:rFonts w:ascii="Garamond" w:hAnsi="Garamond"/>
          <w:sz w:val="18"/>
          <w:szCs w:val="18"/>
        </w:rPr>
        <w:t xml:space="preserve"> 466.</w:t>
      </w:r>
    </w:p>
  </w:footnote>
  <w:footnote w:id="56">
    <w:p w14:paraId="534FF534" w14:textId="1BCF9259" w:rsidR="004605FA" w:rsidRPr="00F45783" w:rsidRDefault="004605F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Darren O’Donovan and Aisling Ryan, ‘Ireland’s distinct constitutional vision: the ‘administration of justice’ in quasi-judicial bodies’ in Stephen Thomson, Matthew Groves and Greg Weeks (eds) Administrative Tribunals in the Common Law World (forthcoming Hart Publishing 2024</w:t>
      </w:r>
      <w:r w:rsidR="00E46782">
        <w:rPr>
          <w:rFonts w:ascii="Garamond" w:hAnsi="Garamond"/>
          <w:sz w:val="18"/>
          <w:szCs w:val="18"/>
        </w:rPr>
        <w:t xml:space="preserve">). </w:t>
      </w:r>
    </w:p>
  </w:footnote>
  <w:footnote w:id="57">
    <w:p w14:paraId="28518F3E" w14:textId="79B2211F" w:rsidR="00313F51" w:rsidRPr="00F45783" w:rsidRDefault="00313F51"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Michael Adler, ‘Understanding and Analysing Administrative Justice’ in Michael Adler (ed) </w:t>
      </w:r>
      <w:r w:rsidRPr="00F45783">
        <w:rPr>
          <w:rFonts w:ascii="Garamond" w:hAnsi="Garamond"/>
          <w:i/>
          <w:iCs/>
          <w:sz w:val="18"/>
          <w:szCs w:val="18"/>
        </w:rPr>
        <w:t xml:space="preserve">Administrative Justice in Context </w:t>
      </w:r>
      <w:r w:rsidRPr="00F45783">
        <w:rPr>
          <w:rFonts w:ascii="Garamond" w:hAnsi="Garamond"/>
          <w:sz w:val="18"/>
          <w:szCs w:val="18"/>
        </w:rPr>
        <w:t>(Hart Publishing 2010).</w:t>
      </w:r>
    </w:p>
  </w:footnote>
  <w:footnote w:id="58">
    <w:p w14:paraId="3DD6F5E8" w14:textId="1DB9F95A" w:rsidR="001C728F" w:rsidRPr="00F45783" w:rsidRDefault="001C728F"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51216F" w:rsidRPr="00F45783">
        <w:rPr>
          <w:rFonts w:ascii="Garamond" w:hAnsi="Garamond"/>
          <w:sz w:val="18"/>
          <w:szCs w:val="18"/>
        </w:rPr>
        <w:t xml:space="preserve">Marc Hertogh, Richard Kirkham, Robert Thomas and Joe Tomlinson, </w:t>
      </w:r>
      <w:r w:rsidR="0051216F" w:rsidRPr="00F45783">
        <w:rPr>
          <w:rFonts w:ascii="Garamond" w:hAnsi="Garamond"/>
          <w:i/>
          <w:iCs/>
          <w:sz w:val="18"/>
          <w:szCs w:val="18"/>
        </w:rPr>
        <w:t xml:space="preserve">The Oxford Handbook of Administrative Justice </w:t>
      </w:r>
      <w:r w:rsidR="0051216F" w:rsidRPr="00F45783">
        <w:rPr>
          <w:rFonts w:ascii="Garamond" w:hAnsi="Garamond"/>
          <w:sz w:val="18"/>
          <w:szCs w:val="18"/>
        </w:rPr>
        <w:t>(OUP 2022) xvi.</w:t>
      </w:r>
    </w:p>
  </w:footnote>
  <w:footnote w:id="59">
    <w:p w14:paraId="427DF274" w14:textId="1DEF5FC8" w:rsidR="0051216F" w:rsidRPr="00F45783" w:rsidRDefault="0051216F"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Michael Adler, </w:t>
      </w:r>
      <w:r w:rsidRPr="00F45783">
        <w:rPr>
          <w:rFonts w:ascii="Garamond" w:hAnsi="Garamond"/>
          <w:i/>
          <w:iCs/>
          <w:sz w:val="18"/>
          <w:szCs w:val="18"/>
        </w:rPr>
        <w:t xml:space="preserve">Administrative Justice in Context </w:t>
      </w:r>
      <w:r w:rsidRPr="00F45783">
        <w:rPr>
          <w:rFonts w:ascii="Garamond" w:hAnsi="Garamond"/>
          <w:sz w:val="18"/>
          <w:szCs w:val="18"/>
        </w:rPr>
        <w:t>(Hart Publishing 2010).</w:t>
      </w:r>
    </w:p>
  </w:footnote>
  <w:footnote w:id="60">
    <w:p w14:paraId="54A0CC02" w14:textId="0F6CD553" w:rsidR="00E6265A" w:rsidRPr="00F45783" w:rsidRDefault="00E6265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and Darren O’Donovan, </w:t>
      </w:r>
      <w:r w:rsidRPr="00F45783">
        <w:rPr>
          <w:rFonts w:ascii="Garamond" w:hAnsi="Garamond"/>
          <w:i/>
          <w:iCs/>
          <w:sz w:val="18"/>
          <w:szCs w:val="18"/>
        </w:rPr>
        <w:t xml:space="preserve">Law and Public Administration in Ireland </w:t>
      </w:r>
      <w:r w:rsidRPr="00F45783">
        <w:rPr>
          <w:rFonts w:ascii="Garamond" w:hAnsi="Garamond"/>
          <w:sz w:val="18"/>
          <w:szCs w:val="18"/>
        </w:rPr>
        <w:t>(Clarus Press 2015)</w:t>
      </w:r>
      <w:r w:rsidR="00EA0591">
        <w:rPr>
          <w:rFonts w:ascii="Garamond" w:hAnsi="Garamond"/>
          <w:sz w:val="18"/>
          <w:szCs w:val="18"/>
        </w:rPr>
        <w:t xml:space="preserve"> [16-09]</w:t>
      </w:r>
      <w:r w:rsidRPr="00F45783">
        <w:rPr>
          <w:rFonts w:ascii="Garamond" w:hAnsi="Garamond"/>
          <w:sz w:val="18"/>
          <w:szCs w:val="18"/>
        </w:rPr>
        <w:t>.</w:t>
      </w:r>
    </w:p>
  </w:footnote>
  <w:footnote w:id="61">
    <w:p w14:paraId="65848F02" w14:textId="133F65F6" w:rsidR="00B026C6" w:rsidRPr="00F45783" w:rsidRDefault="00B026C6"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5661BE" w:rsidRPr="00F45783">
        <w:rPr>
          <w:rFonts w:ascii="Garamond" w:hAnsi="Garamond"/>
          <w:sz w:val="18"/>
          <w:szCs w:val="18"/>
        </w:rPr>
        <w:t xml:space="preserve">For example see work by Professor Gráinne McKeever, Dr Ciara Fitzpatrick and Dr Mark Simpson at Ulster University, and for a mapping of the field, Marie Anderson, Andrea McIlroy and Michaela McAleer, ‘Mapping the Administrative Justice Landscape in Northern Ireland’ Report on research undertaken on the Administrative Justice System in Northern Ireland (August 2014) </w:t>
      </w:r>
      <w:hyperlink r:id="rId3" w:history="1">
        <w:r w:rsidR="00E46782" w:rsidRPr="005A2B3B">
          <w:rPr>
            <w:rStyle w:val="Hyperlink"/>
            <w:rFonts w:ascii="Garamond" w:hAnsi="Garamond"/>
            <w:sz w:val="18"/>
            <w:szCs w:val="18"/>
          </w:rPr>
          <w:t>https://administrativejusticeblog.files.wordpress.com/2015/06/ni-admin-justice-mapping-study-oct-2014.pdf</w:t>
        </w:r>
      </w:hyperlink>
      <w:r w:rsidR="005661BE" w:rsidRPr="00F45783">
        <w:rPr>
          <w:rFonts w:ascii="Garamond" w:hAnsi="Garamond"/>
          <w:sz w:val="18"/>
          <w:szCs w:val="18"/>
        </w:rPr>
        <w:t>.</w:t>
      </w:r>
      <w:r w:rsidR="00E46782">
        <w:rPr>
          <w:rFonts w:ascii="Garamond" w:hAnsi="Garamond"/>
          <w:sz w:val="18"/>
          <w:szCs w:val="18"/>
        </w:rPr>
        <w:t xml:space="preserve"> </w:t>
      </w:r>
    </w:p>
  </w:footnote>
  <w:footnote w:id="62">
    <w:p w14:paraId="17A45C86" w14:textId="1176A771" w:rsidR="00CA1CBD" w:rsidRPr="00F45783" w:rsidRDefault="00CA1CBD"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Although recently there has been an increase in research published on the Executive, particularly post Covid-19. See Conor Casey and David Kenny, ‘The Risk and Rewards of Ireland’s Leviathan: Rule of Law Values and the Irish Executive’s Crisis Response to Covid-19’ (2023) 70 </w:t>
      </w:r>
      <w:r w:rsidRPr="00E46782">
        <w:rPr>
          <w:rFonts w:ascii="Garamond" w:hAnsi="Garamond"/>
          <w:i/>
          <w:iCs/>
          <w:sz w:val="18"/>
          <w:szCs w:val="18"/>
        </w:rPr>
        <w:t>Irish Jurist</w:t>
      </w:r>
      <w:r w:rsidRPr="00F45783">
        <w:rPr>
          <w:rFonts w:ascii="Garamond" w:hAnsi="Garamond"/>
          <w:sz w:val="18"/>
          <w:szCs w:val="18"/>
        </w:rPr>
        <w:t xml:space="preserve"> 242-267.</w:t>
      </w:r>
      <w:r w:rsidR="001F592B" w:rsidRPr="00F45783">
        <w:rPr>
          <w:rFonts w:ascii="Garamond" w:hAnsi="Garamond"/>
          <w:sz w:val="18"/>
          <w:szCs w:val="18"/>
        </w:rPr>
        <w:t xml:space="preserve"> </w:t>
      </w:r>
      <w:r w:rsidR="00E46782">
        <w:rPr>
          <w:rFonts w:ascii="Garamond" w:hAnsi="Garamond"/>
          <w:sz w:val="18"/>
          <w:szCs w:val="18"/>
        </w:rPr>
        <w:t>The</w:t>
      </w:r>
      <w:r w:rsidR="001F592B" w:rsidRPr="00F45783">
        <w:rPr>
          <w:rFonts w:ascii="Garamond" w:hAnsi="Garamond"/>
          <w:sz w:val="18"/>
          <w:szCs w:val="18"/>
        </w:rPr>
        <w:t xml:space="preserve"> same authors have </w:t>
      </w:r>
      <w:r w:rsidR="00EA093E">
        <w:rPr>
          <w:rFonts w:ascii="Garamond" w:hAnsi="Garamond"/>
          <w:sz w:val="18"/>
          <w:szCs w:val="18"/>
        </w:rPr>
        <w:t>published</w:t>
      </w:r>
      <w:r w:rsidR="001F592B" w:rsidRPr="00F45783">
        <w:rPr>
          <w:rFonts w:ascii="Garamond" w:hAnsi="Garamond"/>
          <w:sz w:val="18"/>
          <w:szCs w:val="18"/>
        </w:rPr>
        <w:t xml:space="preserve"> on the role of the Attorney General: </w:t>
      </w:r>
      <w:r w:rsidR="00B026C6" w:rsidRPr="00F45783">
        <w:rPr>
          <w:rFonts w:ascii="Garamond" w:hAnsi="Garamond"/>
          <w:sz w:val="18"/>
          <w:szCs w:val="18"/>
        </w:rPr>
        <w:t xml:space="preserve">David Kenny and Conor Casey, </w:t>
      </w:r>
      <w:r w:rsidR="00E46782">
        <w:rPr>
          <w:rFonts w:ascii="Garamond" w:hAnsi="Garamond"/>
          <w:sz w:val="18"/>
          <w:szCs w:val="18"/>
        </w:rPr>
        <w:t>‘</w:t>
      </w:r>
      <w:r w:rsidR="00B026C6" w:rsidRPr="00F45783">
        <w:rPr>
          <w:rFonts w:ascii="Garamond" w:hAnsi="Garamond"/>
          <w:sz w:val="18"/>
          <w:szCs w:val="18"/>
        </w:rPr>
        <w:t>A One Person Supreme Court? The Attorney General, constitutional advice to government, and the case for transparency</w:t>
      </w:r>
      <w:r w:rsidR="00E46782">
        <w:rPr>
          <w:rFonts w:ascii="Garamond" w:hAnsi="Garamond"/>
          <w:sz w:val="18"/>
          <w:szCs w:val="18"/>
        </w:rPr>
        <w:t>’ (2020) 42(1)</w:t>
      </w:r>
      <w:r w:rsidR="00B026C6" w:rsidRPr="00F45783">
        <w:rPr>
          <w:rFonts w:ascii="Garamond" w:hAnsi="Garamond"/>
          <w:sz w:val="18"/>
          <w:szCs w:val="18"/>
        </w:rPr>
        <w:t> </w:t>
      </w:r>
      <w:r w:rsidR="00B026C6" w:rsidRPr="00F45783">
        <w:rPr>
          <w:rFonts w:ascii="Garamond" w:hAnsi="Garamond"/>
          <w:i/>
          <w:iCs/>
          <w:sz w:val="18"/>
          <w:szCs w:val="18"/>
        </w:rPr>
        <w:t>Dublin University Law Journal </w:t>
      </w:r>
      <w:r w:rsidR="00B026C6" w:rsidRPr="00F45783">
        <w:rPr>
          <w:rFonts w:ascii="Garamond" w:hAnsi="Garamond"/>
          <w:sz w:val="18"/>
          <w:szCs w:val="18"/>
        </w:rPr>
        <w:t xml:space="preserve">90 – 118; </w:t>
      </w:r>
      <w:r w:rsidR="00FD06DB" w:rsidRPr="00F45783">
        <w:rPr>
          <w:rFonts w:ascii="Garamond" w:hAnsi="Garamond"/>
          <w:sz w:val="18"/>
          <w:szCs w:val="18"/>
        </w:rPr>
        <w:t xml:space="preserve">Conor Casey and David Kenny, </w:t>
      </w:r>
      <w:r w:rsidR="00E46782">
        <w:rPr>
          <w:rFonts w:ascii="Garamond" w:hAnsi="Garamond"/>
          <w:sz w:val="18"/>
          <w:szCs w:val="18"/>
        </w:rPr>
        <w:t>‘</w:t>
      </w:r>
      <w:r w:rsidR="00FD06DB" w:rsidRPr="00F45783">
        <w:rPr>
          <w:rFonts w:ascii="Garamond" w:hAnsi="Garamond"/>
          <w:sz w:val="18"/>
          <w:szCs w:val="18"/>
        </w:rPr>
        <w:t>The Gatekeepers: Executive Lawyers and the Executive Power in Comparative Constitutional Law</w:t>
      </w:r>
      <w:r w:rsidR="00E46782">
        <w:rPr>
          <w:rFonts w:ascii="Garamond" w:hAnsi="Garamond"/>
          <w:sz w:val="18"/>
          <w:szCs w:val="18"/>
        </w:rPr>
        <w:t>’ (2022)</w:t>
      </w:r>
      <w:r w:rsidR="00EA093E">
        <w:rPr>
          <w:rFonts w:ascii="Garamond" w:hAnsi="Garamond"/>
          <w:sz w:val="18"/>
          <w:szCs w:val="18"/>
        </w:rPr>
        <w:t xml:space="preserve"> 20(2)</w:t>
      </w:r>
      <w:r w:rsidR="00FD06DB" w:rsidRPr="00F45783">
        <w:rPr>
          <w:rFonts w:ascii="Garamond" w:hAnsi="Garamond"/>
          <w:sz w:val="18"/>
          <w:szCs w:val="18"/>
        </w:rPr>
        <w:t> </w:t>
      </w:r>
      <w:r w:rsidR="00FD06DB" w:rsidRPr="00F45783">
        <w:rPr>
          <w:rFonts w:ascii="Garamond" w:hAnsi="Garamond"/>
          <w:i/>
          <w:iCs/>
          <w:sz w:val="18"/>
          <w:szCs w:val="18"/>
        </w:rPr>
        <w:t>International Journal of Constitutional Law (ICON)</w:t>
      </w:r>
      <w:r w:rsidR="00FD06DB" w:rsidRPr="00F45783">
        <w:rPr>
          <w:rFonts w:ascii="Garamond" w:hAnsi="Garamond"/>
          <w:sz w:val="18"/>
          <w:szCs w:val="18"/>
        </w:rPr>
        <w:t xml:space="preserve"> 664 </w:t>
      </w:r>
      <w:r w:rsidR="00EA093E">
        <w:rPr>
          <w:rFonts w:ascii="Garamond" w:hAnsi="Garamond"/>
          <w:sz w:val="18"/>
          <w:szCs w:val="18"/>
        </w:rPr>
        <w:t>–</w:t>
      </w:r>
      <w:r w:rsidR="00FD06DB" w:rsidRPr="00F45783">
        <w:rPr>
          <w:rFonts w:ascii="Garamond" w:hAnsi="Garamond"/>
          <w:sz w:val="18"/>
          <w:szCs w:val="18"/>
        </w:rPr>
        <w:t xml:space="preserve"> 695</w:t>
      </w:r>
      <w:r w:rsidR="00EA093E">
        <w:rPr>
          <w:rFonts w:ascii="Garamond" w:hAnsi="Garamond"/>
          <w:sz w:val="18"/>
          <w:szCs w:val="18"/>
        </w:rPr>
        <w:t xml:space="preserve">. </w:t>
      </w:r>
    </w:p>
  </w:footnote>
  <w:footnote w:id="63">
    <w:p w14:paraId="3339706A" w14:textId="7FC8D8E6" w:rsidR="004F657B" w:rsidRPr="00F45783" w:rsidRDefault="004F657B"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Robert Thomas and Joe Tomlinson, ‘Mapping current issues in administrative justice: austerity and the ‘more bureaucratic rationality’ approach’ (2017) 39(3) </w:t>
      </w:r>
      <w:r w:rsidRPr="00A572EC">
        <w:rPr>
          <w:rFonts w:ascii="Garamond" w:hAnsi="Garamond"/>
          <w:i/>
          <w:iCs/>
          <w:sz w:val="18"/>
          <w:szCs w:val="18"/>
        </w:rPr>
        <w:t>Journal of Social Welfare and Family Law</w:t>
      </w:r>
      <w:r w:rsidRPr="00F45783">
        <w:rPr>
          <w:rFonts w:ascii="Garamond" w:hAnsi="Garamond"/>
          <w:sz w:val="18"/>
          <w:szCs w:val="18"/>
        </w:rPr>
        <w:t xml:space="preserve"> 380-399.</w:t>
      </w:r>
    </w:p>
  </w:footnote>
  <w:footnote w:id="64">
    <w:p w14:paraId="67A6B070" w14:textId="77777777" w:rsidR="00285B27" w:rsidRPr="00F45783" w:rsidRDefault="00285B27"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The Law Commission ‘Administrative Redress: Public Bodies and the Citizen’ (2010) London: The Stationary Office. </w:t>
      </w:r>
    </w:p>
  </w:footnote>
  <w:footnote w:id="65">
    <w:p w14:paraId="50533D89" w14:textId="38B5749E" w:rsidR="00EE409E" w:rsidRPr="00F45783" w:rsidRDefault="00EE409E" w:rsidP="005F246B">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5F246B" w:rsidRPr="00F45783">
        <w:rPr>
          <w:rFonts w:ascii="Garamond" w:hAnsi="Garamond"/>
          <w:sz w:val="18"/>
          <w:szCs w:val="18"/>
        </w:rPr>
        <w:t xml:space="preserve">Simon Halliday and Colin Scott, ‘Administrative Justice’ in Peter Cane and Herbert Kritzer (eds) </w:t>
      </w:r>
      <w:r w:rsidR="005F246B" w:rsidRPr="00F45783">
        <w:rPr>
          <w:rFonts w:ascii="Garamond" w:hAnsi="Garamond"/>
          <w:i/>
          <w:iCs/>
          <w:sz w:val="18"/>
          <w:szCs w:val="18"/>
        </w:rPr>
        <w:t xml:space="preserve">Oxford Handbook of Empirical Legal Research </w:t>
      </w:r>
      <w:r w:rsidR="005F246B" w:rsidRPr="00F45783">
        <w:rPr>
          <w:rFonts w:ascii="Garamond" w:hAnsi="Garamond"/>
          <w:sz w:val="18"/>
          <w:szCs w:val="18"/>
        </w:rPr>
        <w:t>(Oxford University Press 2010).</w:t>
      </w:r>
    </w:p>
  </w:footnote>
  <w:footnote w:id="66">
    <w:p w14:paraId="0BEE901B" w14:textId="2761FB19" w:rsidR="00AC08A5" w:rsidRPr="00F45783" w:rsidRDefault="00AC08A5"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Mr Justice Fennelly, ‘The courts and the doctrine of separation of powers’ in Eoin Carolan (ed) </w:t>
      </w:r>
      <w:r w:rsidRPr="00F45783">
        <w:rPr>
          <w:rFonts w:ascii="Garamond" w:hAnsi="Garamond"/>
          <w:i/>
          <w:iCs/>
          <w:sz w:val="18"/>
          <w:szCs w:val="18"/>
        </w:rPr>
        <w:t xml:space="preserve">Judicial Power in Ireland </w:t>
      </w:r>
      <w:r w:rsidRPr="00F45783">
        <w:rPr>
          <w:rFonts w:ascii="Garamond" w:hAnsi="Garamond"/>
          <w:sz w:val="18"/>
          <w:szCs w:val="18"/>
        </w:rPr>
        <w:t>(IPA 2018) 49.</w:t>
      </w:r>
    </w:p>
  </w:footnote>
  <w:footnote w:id="67">
    <w:p w14:paraId="35890050" w14:textId="77777777" w:rsidR="00363990" w:rsidRPr="00F45783" w:rsidRDefault="0036399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Peter Cane, </w:t>
      </w:r>
      <w:r w:rsidRPr="00F45783">
        <w:rPr>
          <w:rFonts w:ascii="Garamond" w:hAnsi="Garamond"/>
          <w:i/>
          <w:iCs/>
          <w:sz w:val="18"/>
          <w:szCs w:val="18"/>
        </w:rPr>
        <w:t xml:space="preserve">Administrative Tribunals and Adjudication </w:t>
      </w:r>
      <w:r w:rsidRPr="00F45783">
        <w:rPr>
          <w:rFonts w:ascii="Garamond" w:hAnsi="Garamond"/>
          <w:sz w:val="18"/>
          <w:szCs w:val="18"/>
        </w:rPr>
        <w:t>(Hart Publishing 2010) 140.</w:t>
      </w:r>
    </w:p>
  </w:footnote>
  <w:footnote w:id="68">
    <w:p w14:paraId="63DDDC5F" w14:textId="77777777" w:rsidR="00363990" w:rsidRPr="00F45783" w:rsidRDefault="0036399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Mark Elliott and Robert Thomas, ‘Tribunal Justice and Proportionate Dispute Resolution’ (2012) 71(2) </w:t>
      </w:r>
      <w:r w:rsidRPr="006D4793">
        <w:rPr>
          <w:rFonts w:ascii="Garamond" w:hAnsi="Garamond"/>
          <w:i/>
          <w:iCs/>
          <w:sz w:val="18"/>
          <w:szCs w:val="18"/>
        </w:rPr>
        <w:t>The Cambridge Law Journal</w:t>
      </w:r>
      <w:r w:rsidRPr="00F45783">
        <w:rPr>
          <w:rFonts w:ascii="Garamond" w:hAnsi="Garamond"/>
          <w:sz w:val="18"/>
          <w:szCs w:val="18"/>
        </w:rPr>
        <w:t xml:space="preserve"> 297-324.</w:t>
      </w:r>
    </w:p>
  </w:footnote>
  <w:footnote w:id="69">
    <w:p w14:paraId="515C0426" w14:textId="748FB4B0" w:rsidR="00363990" w:rsidRPr="00F45783" w:rsidRDefault="00363990"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Mr Justice Fennelly, ‘The courts and the doctrine of separation of powers in the Irish Constitution’ in Eoin Carolan (ed) </w:t>
      </w:r>
      <w:r w:rsidRPr="00F45783">
        <w:rPr>
          <w:rFonts w:ascii="Garamond" w:hAnsi="Garamond"/>
          <w:i/>
          <w:iCs/>
          <w:sz w:val="18"/>
          <w:szCs w:val="18"/>
        </w:rPr>
        <w:t xml:space="preserve">Judicial Power in Ireland </w:t>
      </w:r>
      <w:r w:rsidRPr="00F45783">
        <w:rPr>
          <w:rFonts w:ascii="Garamond" w:hAnsi="Garamond"/>
          <w:sz w:val="18"/>
          <w:szCs w:val="18"/>
        </w:rPr>
        <w:t>(IPA 2018) 48-50</w:t>
      </w:r>
    </w:p>
  </w:footnote>
  <w:footnote w:id="70">
    <w:p w14:paraId="2E379F30" w14:textId="0EDFDF99" w:rsidR="00E52C93" w:rsidRPr="00F45783" w:rsidRDefault="00E52C93" w:rsidP="008C536C">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8C536C" w:rsidRPr="008C536C">
        <w:rPr>
          <w:rFonts w:ascii="Garamond" w:hAnsi="Garamond"/>
          <w:sz w:val="18"/>
          <w:szCs w:val="18"/>
        </w:rPr>
        <w:t xml:space="preserve">Alan D.P. Brady, ‘Proportionality, Deference and Fundamental Rights in Irish Administrative Law: The Aftermath of </w:t>
      </w:r>
      <w:r w:rsidR="008C536C" w:rsidRPr="008C536C">
        <w:rPr>
          <w:rFonts w:ascii="Garamond" w:hAnsi="Garamond"/>
          <w:i/>
          <w:iCs/>
          <w:sz w:val="18"/>
          <w:szCs w:val="18"/>
        </w:rPr>
        <w:t>Meadows</w:t>
      </w:r>
      <w:r w:rsidR="008C536C" w:rsidRPr="008C536C">
        <w:rPr>
          <w:rFonts w:ascii="Garamond" w:hAnsi="Garamond"/>
          <w:sz w:val="18"/>
          <w:szCs w:val="18"/>
        </w:rPr>
        <w:t xml:space="preserve">’ (2010) 32(1) </w:t>
      </w:r>
      <w:r w:rsidR="008C536C" w:rsidRPr="008C536C">
        <w:rPr>
          <w:rFonts w:ascii="Garamond" w:hAnsi="Garamond"/>
          <w:i/>
          <w:iCs/>
          <w:sz w:val="18"/>
          <w:szCs w:val="18"/>
        </w:rPr>
        <w:t>Dublin University Law Journal</w:t>
      </w:r>
      <w:r w:rsidR="008C536C" w:rsidRPr="008C536C">
        <w:rPr>
          <w:rFonts w:ascii="Garamond" w:hAnsi="Garamond"/>
          <w:sz w:val="18"/>
          <w:szCs w:val="18"/>
        </w:rPr>
        <w:t xml:space="preserve"> 136.</w:t>
      </w:r>
    </w:p>
  </w:footnote>
  <w:footnote w:id="71">
    <w:p w14:paraId="1362B746" w14:textId="3EC78F79" w:rsidR="00F911D2" w:rsidRPr="00F45783" w:rsidRDefault="00F911D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i/>
          <w:iCs/>
          <w:sz w:val="18"/>
          <w:szCs w:val="18"/>
        </w:rPr>
        <w:t xml:space="preserve">C v Galway County Council </w:t>
      </w:r>
      <w:r w:rsidRPr="00F45783">
        <w:rPr>
          <w:rFonts w:ascii="Garamond" w:hAnsi="Garamond"/>
          <w:sz w:val="18"/>
          <w:szCs w:val="18"/>
        </w:rPr>
        <w:t>[2017] IEHC 784.</w:t>
      </w:r>
    </w:p>
  </w:footnote>
  <w:footnote w:id="72">
    <w:p w14:paraId="43390662" w14:textId="205767D3" w:rsidR="00882989" w:rsidRPr="00F45783" w:rsidRDefault="00882989"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Conor Casey, ‘Courts, Public Interest Litigation, and Homelessness’ (2019) 42 </w:t>
      </w:r>
      <w:r w:rsidRPr="00A858B1">
        <w:rPr>
          <w:rFonts w:ascii="Garamond" w:hAnsi="Garamond"/>
          <w:i/>
          <w:iCs/>
          <w:sz w:val="18"/>
          <w:szCs w:val="18"/>
        </w:rPr>
        <w:t>Dublin University Law Journal</w:t>
      </w:r>
      <w:r w:rsidRPr="00F45783">
        <w:rPr>
          <w:rFonts w:ascii="Garamond" w:hAnsi="Garamond"/>
          <w:sz w:val="18"/>
          <w:szCs w:val="18"/>
        </w:rPr>
        <w:t xml:space="preserve"> 191-207, 195.</w:t>
      </w:r>
    </w:p>
  </w:footnote>
  <w:footnote w:id="73">
    <w:p w14:paraId="6C4D63A8" w14:textId="1450F43D" w:rsidR="00233A1A" w:rsidRPr="00F45783" w:rsidRDefault="00233A1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T.J. Barrington, </w:t>
      </w:r>
      <w:r w:rsidRPr="00F45783">
        <w:rPr>
          <w:rFonts w:ascii="Garamond" w:hAnsi="Garamond"/>
          <w:i/>
          <w:iCs/>
          <w:sz w:val="18"/>
          <w:szCs w:val="18"/>
        </w:rPr>
        <w:t xml:space="preserve">The Irish Administrative System </w:t>
      </w:r>
      <w:r w:rsidRPr="00F45783">
        <w:rPr>
          <w:rFonts w:ascii="Garamond" w:hAnsi="Garamond"/>
          <w:sz w:val="18"/>
          <w:szCs w:val="18"/>
        </w:rPr>
        <w:t>(Institute of Public Administration 1980) 177.</w:t>
      </w:r>
    </w:p>
  </w:footnote>
  <w:footnote w:id="74">
    <w:p w14:paraId="5B30B5ED" w14:textId="33424DE7" w:rsidR="00233A1A" w:rsidRPr="00F45783" w:rsidRDefault="00233A1A"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T.J. Barrington, </w:t>
      </w:r>
      <w:r w:rsidRPr="00F45783">
        <w:rPr>
          <w:rFonts w:ascii="Garamond" w:hAnsi="Garamond"/>
          <w:i/>
          <w:iCs/>
          <w:sz w:val="18"/>
          <w:szCs w:val="18"/>
        </w:rPr>
        <w:t xml:space="preserve">The Irish Administrative System </w:t>
      </w:r>
      <w:r w:rsidRPr="00F45783">
        <w:rPr>
          <w:rFonts w:ascii="Garamond" w:hAnsi="Garamond"/>
          <w:sz w:val="18"/>
          <w:szCs w:val="18"/>
        </w:rPr>
        <w:t>(Institute of Public Administration 1980) 177.</w:t>
      </w:r>
    </w:p>
  </w:footnote>
  <w:footnote w:id="75">
    <w:p w14:paraId="76515734" w14:textId="72EBD81F" w:rsidR="00376B3D" w:rsidRPr="00F45783" w:rsidRDefault="00376B3D"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and Darren O’Donovan, ‘Critical junctures: regulatory failures, Ireland’s administrative state and the Office of the Ombudsman’ (2014) </w:t>
      </w:r>
      <w:r w:rsidR="00FA0733" w:rsidRPr="00681828">
        <w:rPr>
          <w:rFonts w:ascii="Garamond" w:hAnsi="Garamond"/>
          <w:i/>
          <w:iCs/>
          <w:sz w:val="18"/>
          <w:szCs w:val="18"/>
        </w:rPr>
        <w:t>Pub</w:t>
      </w:r>
      <w:r w:rsidR="00681828" w:rsidRPr="00681828">
        <w:rPr>
          <w:rFonts w:ascii="Garamond" w:hAnsi="Garamond"/>
          <w:i/>
          <w:iCs/>
          <w:sz w:val="18"/>
          <w:szCs w:val="18"/>
        </w:rPr>
        <w:t>lic Law</w:t>
      </w:r>
      <w:r w:rsidR="00681828">
        <w:rPr>
          <w:rFonts w:ascii="Garamond" w:hAnsi="Garamond"/>
          <w:sz w:val="18"/>
          <w:szCs w:val="18"/>
        </w:rPr>
        <w:t xml:space="preserve"> </w:t>
      </w:r>
      <w:r w:rsidRPr="00F45783">
        <w:rPr>
          <w:rFonts w:ascii="Garamond" w:hAnsi="Garamond"/>
          <w:sz w:val="18"/>
          <w:szCs w:val="18"/>
        </w:rPr>
        <w:t>471-490, 475.</w:t>
      </w:r>
    </w:p>
  </w:footnote>
  <w:footnote w:id="76">
    <w:p w14:paraId="771E45E1" w14:textId="769EA3DF" w:rsidR="00A76C7C" w:rsidRPr="00F45783" w:rsidRDefault="00A76C7C"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Fiona Donson and Darren O’Donovan, ‘Critical junctures: regulatory failures, Ireland’s administrative state and the Office of the Ombudsman’ (2014) </w:t>
      </w:r>
      <w:r w:rsidR="00681828" w:rsidRPr="00681828">
        <w:rPr>
          <w:rFonts w:ascii="Garamond" w:hAnsi="Garamond"/>
          <w:i/>
          <w:iCs/>
          <w:sz w:val="18"/>
          <w:szCs w:val="18"/>
        </w:rPr>
        <w:t>Public Law</w:t>
      </w:r>
      <w:r w:rsidR="00681828">
        <w:rPr>
          <w:rFonts w:ascii="Garamond" w:hAnsi="Garamond"/>
          <w:sz w:val="18"/>
          <w:szCs w:val="18"/>
        </w:rPr>
        <w:t xml:space="preserve"> </w:t>
      </w:r>
      <w:r w:rsidRPr="00F45783">
        <w:rPr>
          <w:rFonts w:ascii="Garamond" w:hAnsi="Garamond"/>
          <w:sz w:val="18"/>
          <w:szCs w:val="18"/>
        </w:rPr>
        <w:t>471-490, 487.</w:t>
      </w:r>
    </w:p>
  </w:footnote>
  <w:footnote w:id="77">
    <w:p w14:paraId="30755A88" w14:textId="50267EC0" w:rsidR="00655672" w:rsidRPr="00F45783" w:rsidRDefault="00547C4F"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Robert Thomas, </w:t>
      </w:r>
      <w:r w:rsidR="00655672" w:rsidRPr="00F45783">
        <w:rPr>
          <w:rFonts w:ascii="Garamond" w:hAnsi="Garamond"/>
          <w:sz w:val="18"/>
          <w:szCs w:val="18"/>
        </w:rPr>
        <w:t>‘The Northern Ireland Public Services Ombudsman’s Report into Personal</w:t>
      </w:r>
    </w:p>
    <w:p w14:paraId="152A473C" w14:textId="10AD4E42" w:rsidR="00547C4F" w:rsidRPr="00F45783" w:rsidRDefault="00655672" w:rsidP="00877197">
      <w:pPr>
        <w:pStyle w:val="FootnoteText"/>
        <w:jc w:val="both"/>
        <w:rPr>
          <w:rFonts w:ascii="Garamond" w:hAnsi="Garamond"/>
          <w:sz w:val="18"/>
          <w:szCs w:val="18"/>
        </w:rPr>
      </w:pPr>
      <w:r w:rsidRPr="00F45783">
        <w:rPr>
          <w:rFonts w:ascii="Garamond" w:hAnsi="Garamond"/>
          <w:sz w:val="18"/>
          <w:szCs w:val="18"/>
        </w:rPr>
        <w:t>Independence Payment and Collective Administrative Justice (Pt 1)</w:t>
      </w:r>
      <w:r w:rsidR="004F367B">
        <w:rPr>
          <w:rFonts w:ascii="Garamond" w:hAnsi="Garamond"/>
          <w:sz w:val="18"/>
          <w:szCs w:val="18"/>
        </w:rPr>
        <w:t>’</w:t>
      </w:r>
      <w:r w:rsidRPr="00F45783">
        <w:rPr>
          <w:rFonts w:ascii="Garamond" w:hAnsi="Garamond"/>
          <w:sz w:val="18"/>
          <w:szCs w:val="18"/>
        </w:rPr>
        <w:t xml:space="preserve"> (2023) 30</w:t>
      </w:r>
      <w:r w:rsidR="00A1379D">
        <w:rPr>
          <w:rFonts w:ascii="Garamond" w:hAnsi="Garamond"/>
          <w:sz w:val="18"/>
          <w:szCs w:val="18"/>
        </w:rPr>
        <w:t>(3)</w:t>
      </w:r>
      <w:r w:rsidRPr="00F45783">
        <w:rPr>
          <w:rFonts w:ascii="Garamond" w:hAnsi="Garamond"/>
          <w:sz w:val="18"/>
          <w:szCs w:val="18"/>
        </w:rPr>
        <w:t xml:space="preserve"> </w:t>
      </w:r>
      <w:r w:rsidRPr="00681828">
        <w:rPr>
          <w:rFonts w:ascii="Garamond" w:hAnsi="Garamond"/>
          <w:i/>
          <w:iCs/>
          <w:sz w:val="18"/>
          <w:szCs w:val="18"/>
        </w:rPr>
        <w:t>Journal of Social Security Law</w:t>
      </w:r>
      <w:r w:rsidRPr="00F45783">
        <w:rPr>
          <w:rFonts w:ascii="Garamond" w:hAnsi="Garamond"/>
          <w:sz w:val="18"/>
          <w:szCs w:val="18"/>
        </w:rPr>
        <w:t xml:space="preserve"> </w:t>
      </w:r>
      <w:r w:rsidR="004F367B">
        <w:rPr>
          <w:rFonts w:ascii="Garamond" w:hAnsi="Garamond"/>
          <w:sz w:val="18"/>
          <w:szCs w:val="18"/>
        </w:rPr>
        <w:t>143-161.</w:t>
      </w:r>
    </w:p>
  </w:footnote>
  <w:footnote w:id="78">
    <w:p w14:paraId="60110B68" w14:textId="2BE2D51F" w:rsidR="00751961" w:rsidRPr="00F45783" w:rsidRDefault="00751961"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F8021E" w:rsidRPr="00F45783">
        <w:rPr>
          <w:rFonts w:ascii="Garamond" w:hAnsi="Garamond"/>
          <w:sz w:val="18"/>
          <w:szCs w:val="18"/>
        </w:rPr>
        <w:t xml:space="preserve">Office of the </w:t>
      </w:r>
      <w:r w:rsidR="007230DC" w:rsidRPr="00F45783">
        <w:rPr>
          <w:rFonts w:ascii="Garamond" w:hAnsi="Garamond"/>
          <w:sz w:val="18"/>
          <w:szCs w:val="18"/>
        </w:rPr>
        <w:t>Ombudsman</w:t>
      </w:r>
      <w:r w:rsidR="00F8021E" w:rsidRPr="00F45783">
        <w:rPr>
          <w:rFonts w:ascii="Garamond" w:hAnsi="Garamond"/>
          <w:sz w:val="18"/>
          <w:szCs w:val="18"/>
        </w:rPr>
        <w:t xml:space="preserve">, ‘In Sickness and in Debt: An investigation by the Ombudsman into the administration by the Health Service Executive of schemes that fund necessary medical treatment in the EU/EEA or UK’ </w:t>
      </w:r>
      <w:r w:rsidR="007230DC" w:rsidRPr="00F45783">
        <w:rPr>
          <w:rFonts w:ascii="Garamond" w:hAnsi="Garamond"/>
          <w:sz w:val="18"/>
          <w:szCs w:val="18"/>
        </w:rPr>
        <w:t>(</w:t>
      </w:r>
      <w:r w:rsidR="00F8021E" w:rsidRPr="00F45783">
        <w:rPr>
          <w:rFonts w:ascii="Garamond" w:hAnsi="Garamond"/>
          <w:sz w:val="18"/>
          <w:szCs w:val="18"/>
        </w:rPr>
        <w:t>April 2023)</w:t>
      </w:r>
      <w:r w:rsidR="007B4534">
        <w:rPr>
          <w:rFonts w:ascii="Garamond" w:hAnsi="Garamond"/>
          <w:sz w:val="18"/>
          <w:szCs w:val="18"/>
        </w:rPr>
        <w:t xml:space="preserve"> (</w:t>
      </w:r>
      <w:hyperlink r:id="rId4" w:history="1">
        <w:r w:rsidR="007B4534" w:rsidRPr="005A2B3B">
          <w:rPr>
            <w:rStyle w:val="Hyperlink"/>
            <w:rFonts w:ascii="Garamond" w:hAnsi="Garamond"/>
            <w:sz w:val="18"/>
            <w:szCs w:val="18"/>
          </w:rPr>
          <w:t>https://www.ombudsman.ie/publications/reports/in-sickness-and-in-debt/InSicknessandInDebt-2023-FINAL.pdf</w:t>
        </w:r>
      </w:hyperlink>
      <w:r w:rsidR="007B4534">
        <w:rPr>
          <w:rFonts w:ascii="Garamond" w:hAnsi="Garamond"/>
          <w:sz w:val="18"/>
          <w:szCs w:val="18"/>
        </w:rPr>
        <w:t xml:space="preserve">). </w:t>
      </w:r>
      <w:r w:rsidR="00F8021E" w:rsidRPr="00F45783">
        <w:rPr>
          <w:rFonts w:ascii="Garamond" w:hAnsi="Garamond"/>
          <w:sz w:val="18"/>
          <w:szCs w:val="18"/>
        </w:rPr>
        <w:t xml:space="preserve"> </w:t>
      </w:r>
    </w:p>
  </w:footnote>
  <w:footnote w:id="79">
    <w:p w14:paraId="39F1CA73" w14:textId="7036BFC8" w:rsidR="00D643FE" w:rsidRPr="00F45783" w:rsidRDefault="00D643FE">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8A4FF3" w:rsidRPr="00F45783">
        <w:rPr>
          <w:rFonts w:ascii="Garamond" w:hAnsi="Garamond"/>
          <w:sz w:val="18"/>
          <w:szCs w:val="18"/>
        </w:rPr>
        <w:t xml:space="preserve">Catriona </w:t>
      </w:r>
      <w:r w:rsidR="009A52F1" w:rsidRPr="00F45783">
        <w:rPr>
          <w:rFonts w:ascii="Garamond" w:hAnsi="Garamond"/>
          <w:sz w:val="18"/>
          <w:szCs w:val="18"/>
        </w:rPr>
        <w:t xml:space="preserve">Crowe (2021) The commission and the survivors. </w:t>
      </w:r>
      <w:r w:rsidR="009A52F1" w:rsidRPr="00F45783">
        <w:rPr>
          <w:rFonts w:ascii="Garamond" w:hAnsi="Garamond"/>
          <w:i/>
          <w:iCs/>
          <w:sz w:val="18"/>
          <w:szCs w:val="18"/>
        </w:rPr>
        <w:t>The Dublin Review</w:t>
      </w:r>
      <w:r w:rsidR="009A52F1" w:rsidRPr="00F45783">
        <w:rPr>
          <w:rFonts w:ascii="Garamond" w:hAnsi="Garamond"/>
          <w:sz w:val="18"/>
          <w:szCs w:val="18"/>
        </w:rPr>
        <w:t xml:space="preserve"> 83. </w:t>
      </w:r>
      <w:hyperlink r:id="rId5" w:history="1">
        <w:r w:rsidR="009A52F1" w:rsidRPr="00F45783">
          <w:rPr>
            <w:rStyle w:val="Hyperlink"/>
            <w:rFonts w:ascii="Garamond" w:hAnsi="Garamond"/>
            <w:sz w:val="18"/>
            <w:szCs w:val="18"/>
          </w:rPr>
          <w:t>https://thedublinreview.com/article/the-commission-and-the-survivors/</w:t>
        </w:r>
      </w:hyperlink>
      <w:r w:rsidR="008A4FF3" w:rsidRPr="00F45783">
        <w:rPr>
          <w:rFonts w:ascii="Garamond" w:hAnsi="Garamond"/>
          <w:sz w:val="18"/>
          <w:szCs w:val="18"/>
        </w:rPr>
        <w:t xml:space="preserve">. </w:t>
      </w:r>
      <w:r w:rsidR="009A52F1" w:rsidRPr="00F45783">
        <w:rPr>
          <w:rFonts w:ascii="Garamond" w:hAnsi="Garamond"/>
          <w:sz w:val="18"/>
          <w:szCs w:val="18"/>
        </w:rPr>
        <w:t xml:space="preserve"> </w:t>
      </w:r>
    </w:p>
  </w:footnote>
  <w:footnote w:id="80">
    <w:p w14:paraId="19E3EB40" w14:textId="27C70E4E" w:rsidR="008A4FF3" w:rsidRPr="00F45783" w:rsidRDefault="008A4FF3">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For example, see FLAC’s work on social welfare appeals</w:t>
      </w:r>
      <w:r w:rsidR="00C42802" w:rsidRPr="00F45783">
        <w:rPr>
          <w:rFonts w:ascii="Garamond" w:hAnsi="Garamond"/>
          <w:sz w:val="18"/>
          <w:szCs w:val="18"/>
        </w:rPr>
        <w:t>: ‘Not Fair Enough: Making the case for reform of the social welfare appeals system’ (2012)</w:t>
      </w:r>
      <w:r w:rsidR="00027D92" w:rsidRPr="00F45783">
        <w:rPr>
          <w:rFonts w:ascii="Garamond" w:hAnsi="Garamond"/>
          <w:sz w:val="18"/>
          <w:szCs w:val="18"/>
        </w:rPr>
        <w:t xml:space="preserve">; and the </w:t>
      </w:r>
      <w:r w:rsidR="008E1716" w:rsidRPr="00F45783">
        <w:rPr>
          <w:rFonts w:ascii="Garamond" w:hAnsi="Garamond"/>
          <w:sz w:val="18"/>
          <w:szCs w:val="18"/>
        </w:rPr>
        <w:t xml:space="preserve">TCD </w:t>
      </w:r>
      <w:r w:rsidR="00E17A1F" w:rsidRPr="00F45783">
        <w:rPr>
          <w:rFonts w:ascii="Garamond" w:hAnsi="Garamond"/>
          <w:sz w:val="18"/>
          <w:szCs w:val="18"/>
        </w:rPr>
        <w:t xml:space="preserve">School of Law Covid-19 Observatory public policy reports: </w:t>
      </w:r>
      <w:hyperlink r:id="rId6" w:history="1">
        <w:r w:rsidR="00E17A1F" w:rsidRPr="00F45783">
          <w:rPr>
            <w:rStyle w:val="Hyperlink"/>
            <w:rFonts w:ascii="Garamond" w:hAnsi="Garamond"/>
            <w:sz w:val="18"/>
            <w:szCs w:val="18"/>
          </w:rPr>
          <w:t>https://www.tcd.ie/law/tricon/covidobservatory/reports/index.php</w:t>
        </w:r>
      </w:hyperlink>
      <w:r w:rsidR="00E17A1F" w:rsidRPr="00F45783">
        <w:rPr>
          <w:rFonts w:ascii="Garamond" w:hAnsi="Garamond"/>
          <w:sz w:val="18"/>
          <w:szCs w:val="18"/>
        </w:rPr>
        <w:t xml:space="preserve">. </w:t>
      </w:r>
    </w:p>
  </w:footnote>
  <w:footnote w:id="81">
    <w:p w14:paraId="1FEAE3A1" w14:textId="150EB5AD" w:rsidR="00B11A01" w:rsidRPr="00F45783" w:rsidRDefault="00B11A01"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Report of the Public Services Organisation Review Group 1966-1969 (Stationary Office 1969) 188</w:t>
      </w:r>
    </w:p>
  </w:footnote>
  <w:footnote w:id="82">
    <w:p w14:paraId="3BD05728" w14:textId="604C8D3F" w:rsidR="00EC20C2" w:rsidRPr="00F45783" w:rsidRDefault="00EC20C2" w:rsidP="00877197">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CE4132" w:rsidRPr="00A600D5">
        <w:rPr>
          <w:rFonts w:ascii="Garamond" w:hAnsi="Garamond"/>
          <w:sz w:val="18"/>
          <w:szCs w:val="18"/>
        </w:rPr>
        <w:t>Mary Hallissey, ‘Laying down the law’</w:t>
      </w:r>
      <w:r w:rsidR="00CE4132">
        <w:rPr>
          <w:rFonts w:ascii="Garamond" w:hAnsi="Garamond"/>
          <w:i/>
          <w:iCs/>
          <w:sz w:val="18"/>
          <w:szCs w:val="18"/>
        </w:rPr>
        <w:t xml:space="preserve"> </w:t>
      </w:r>
      <w:r w:rsidR="00CE4132" w:rsidRPr="00A600D5">
        <w:rPr>
          <w:rFonts w:ascii="Garamond" w:hAnsi="Garamond"/>
          <w:sz w:val="18"/>
          <w:szCs w:val="18"/>
        </w:rPr>
        <w:t xml:space="preserve">The </w:t>
      </w:r>
      <w:r w:rsidR="00A600D5" w:rsidRPr="00A600D5">
        <w:rPr>
          <w:rFonts w:ascii="Garamond" w:hAnsi="Garamond"/>
          <w:sz w:val="18"/>
          <w:szCs w:val="18"/>
        </w:rPr>
        <w:t>Law Society Gazette (15 May 2024</w:t>
      </w:r>
      <w:r w:rsidR="00A600D5">
        <w:rPr>
          <w:rFonts w:ascii="Garamond" w:hAnsi="Garamond"/>
          <w:i/>
          <w:iCs/>
          <w:sz w:val="18"/>
          <w:szCs w:val="18"/>
        </w:rPr>
        <w:t>)</w:t>
      </w:r>
      <w:r w:rsidR="00CE4132">
        <w:rPr>
          <w:rFonts w:ascii="Garamond" w:hAnsi="Garamond"/>
          <w:i/>
          <w:iCs/>
          <w:sz w:val="18"/>
          <w:szCs w:val="18"/>
        </w:rPr>
        <w:t xml:space="preserve"> </w:t>
      </w:r>
      <w:hyperlink r:id="rId7" w:history="1">
        <w:r w:rsidR="00CE4132" w:rsidRPr="005A2B3B">
          <w:rPr>
            <w:rStyle w:val="Hyperlink"/>
            <w:rFonts w:ascii="Garamond" w:hAnsi="Garamond"/>
            <w:sz w:val="18"/>
            <w:szCs w:val="18"/>
          </w:rPr>
          <w:t>https://www.lawsociety.ie/gazette/in-depth/2024/may/laying-down-the-law</w:t>
        </w:r>
      </w:hyperlink>
      <w:r w:rsidR="00A600D5">
        <w:rPr>
          <w:rFonts w:ascii="Garamond" w:hAnsi="Garamond"/>
          <w:sz w:val="18"/>
          <w:szCs w:val="18"/>
        </w:rPr>
        <w:t xml:space="preserve">. </w:t>
      </w:r>
      <w:r w:rsidRPr="00F45783">
        <w:rPr>
          <w:rFonts w:ascii="Garamond" w:hAnsi="Garamond"/>
          <w:sz w:val="18"/>
          <w:szCs w:val="18"/>
        </w:rPr>
        <w:t xml:space="preserve"> </w:t>
      </w:r>
    </w:p>
  </w:footnote>
  <w:footnote w:id="83">
    <w:p w14:paraId="5FAFC974" w14:textId="35C6B2DB" w:rsidR="00092936" w:rsidRPr="00F45783" w:rsidRDefault="00092936" w:rsidP="00092936">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Ragnhild Lund, Smita Mishra Panda and Manju Prava Dhal, ‘Narrating spaces of inclusion and exclusion in research collaboration researcher-gatekeeper dialogue’ (2016) 16(3) </w:t>
      </w:r>
      <w:r w:rsidRPr="005129F1">
        <w:rPr>
          <w:rFonts w:ascii="Garamond" w:hAnsi="Garamond"/>
          <w:i/>
          <w:iCs/>
          <w:sz w:val="18"/>
          <w:szCs w:val="18"/>
        </w:rPr>
        <w:t>Qualitative Research</w:t>
      </w:r>
      <w:r w:rsidRPr="00F45783">
        <w:rPr>
          <w:rFonts w:ascii="Garamond" w:hAnsi="Garamond"/>
          <w:sz w:val="18"/>
          <w:szCs w:val="18"/>
        </w:rPr>
        <w:t xml:space="preserve"> 280–292.</w:t>
      </w:r>
    </w:p>
  </w:footnote>
  <w:footnote w:id="84">
    <w:p w14:paraId="2A099202" w14:textId="673FF5F5" w:rsidR="007D51B0" w:rsidRPr="00F45783" w:rsidRDefault="007D51B0" w:rsidP="007D51B0">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Carla L. Reeves, ‘A difficult negotiation: fieldwork relations with gatekeepers’ (2010) 10(3) </w:t>
      </w:r>
      <w:r w:rsidRPr="005129F1">
        <w:rPr>
          <w:rFonts w:ascii="Garamond" w:hAnsi="Garamond"/>
          <w:i/>
          <w:iCs/>
          <w:sz w:val="18"/>
          <w:szCs w:val="18"/>
        </w:rPr>
        <w:t>Qualitative Research</w:t>
      </w:r>
      <w:r w:rsidRPr="00F45783">
        <w:rPr>
          <w:rFonts w:ascii="Garamond" w:hAnsi="Garamond"/>
          <w:sz w:val="18"/>
          <w:szCs w:val="18"/>
        </w:rPr>
        <w:t xml:space="preserve"> 315-331.</w:t>
      </w:r>
    </w:p>
  </w:footnote>
  <w:footnote w:id="85">
    <w:p w14:paraId="03B853EA" w14:textId="360F024C" w:rsidR="00D55EDE" w:rsidRPr="00D55EDE" w:rsidRDefault="00D55EDE">
      <w:pPr>
        <w:pStyle w:val="FootnoteText"/>
        <w:rPr>
          <w:rFonts w:ascii="Garamond" w:hAnsi="Garamond"/>
          <w:sz w:val="18"/>
          <w:szCs w:val="18"/>
        </w:rPr>
      </w:pPr>
      <w:r w:rsidRPr="00D55EDE">
        <w:rPr>
          <w:rStyle w:val="FootnoteReference"/>
          <w:rFonts w:ascii="Garamond" w:hAnsi="Garamond"/>
          <w:sz w:val="18"/>
          <w:szCs w:val="18"/>
        </w:rPr>
        <w:footnoteRef/>
      </w:r>
      <w:r w:rsidRPr="00D55EDE">
        <w:rPr>
          <w:rFonts w:ascii="Garamond" w:hAnsi="Garamond"/>
          <w:sz w:val="18"/>
          <w:szCs w:val="18"/>
        </w:rPr>
        <w:t xml:space="preserve"> Lack of data gathering, GDPR, technological capabilities, making data available in interoperable formats. </w:t>
      </w:r>
    </w:p>
  </w:footnote>
  <w:footnote w:id="86">
    <w:p w14:paraId="2EBF904B" w14:textId="32CAF602" w:rsidR="002169C3" w:rsidRPr="002B7DE3" w:rsidRDefault="002169C3"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Joe Tomlinson, Jed Meers and Cassandra Somers-Joce, ‘</w:t>
      </w:r>
      <w:r w:rsidR="00E32DD8" w:rsidRPr="002B7DE3">
        <w:rPr>
          <w:rFonts w:ascii="Garamond" w:hAnsi="Garamond"/>
          <w:sz w:val="18"/>
          <w:szCs w:val="18"/>
        </w:rPr>
        <w:t>Judicial Review of Public Data Gaps’ (2023) 28(2)</w:t>
      </w:r>
      <w:r w:rsidR="00E32DD8" w:rsidRPr="002B7DE3">
        <w:rPr>
          <w:rFonts w:ascii="Garamond" w:hAnsi="Garamond"/>
          <w:i/>
          <w:iCs/>
          <w:sz w:val="18"/>
          <w:szCs w:val="18"/>
        </w:rPr>
        <w:t xml:space="preserve"> Judicial Review </w:t>
      </w:r>
      <w:r w:rsidR="00E32DD8" w:rsidRPr="002B7DE3">
        <w:rPr>
          <w:rFonts w:ascii="Garamond" w:hAnsi="Garamond"/>
          <w:sz w:val="18"/>
          <w:szCs w:val="18"/>
        </w:rPr>
        <w:t>69–77.</w:t>
      </w:r>
    </w:p>
  </w:footnote>
  <w:footnote w:id="87">
    <w:p w14:paraId="2E7C9620" w14:textId="77777777" w:rsidR="00D509F3" w:rsidRPr="00F45783" w:rsidRDefault="00D509F3" w:rsidP="00D509F3">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Pr="00F45783">
        <w:rPr>
          <w:rFonts w:ascii="Garamond" w:hAnsi="Garamond"/>
          <w:sz w:val="18"/>
          <w:szCs w:val="18"/>
        </w:rPr>
        <w:t xml:space="preserve">Joint Submission to the Department of Children, Equality, Disability, Integration and Youth: Ireland’s National Universal Periodic Report for the 39th Session (1 – 12 November, 2021) </w:t>
      </w:r>
      <w:hyperlink r:id="rId8" w:history="1">
        <w:r w:rsidRPr="00F45783">
          <w:rPr>
            <w:rStyle w:val="Hyperlink"/>
            <w:rFonts w:ascii="Garamond" w:hAnsi="Garamond"/>
            <w:sz w:val="18"/>
            <w:szCs w:val="18"/>
          </w:rPr>
          <w:t>https://www.paveepoint.ie/wp-content/uploads/2024/01/UPR-Submission-to-the-DCEDIY-11032021F.pdf</w:t>
        </w:r>
      </w:hyperlink>
      <w:r w:rsidRPr="00F45783">
        <w:rPr>
          <w:rFonts w:ascii="Garamond" w:hAnsi="Garamond"/>
          <w:sz w:val="18"/>
          <w:szCs w:val="18"/>
        </w:rPr>
        <w:t xml:space="preserve"> </w:t>
      </w:r>
    </w:p>
  </w:footnote>
  <w:footnote w:id="88">
    <w:p w14:paraId="279AEF83" w14:textId="5D9236D3" w:rsidR="008D4638" w:rsidRPr="00F45783" w:rsidRDefault="008D4638">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The Nuffield Inquiry on Empirical Legal Research, </w:t>
      </w:r>
      <w:r w:rsidRPr="00F45783">
        <w:rPr>
          <w:rFonts w:ascii="Garamond" w:hAnsi="Garamond"/>
          <w:i/>
          <w:iCs/>
          <w:sz w:val="18"/>
          <w:szCs w:val="18"/>
        </w:rPr>
        <w:t xml:space="preserve">Law in the Real World: Improving Our Understanding of How Law Works </w:t>
      </w:r>
      <w:r w:rsidRPr="00F45783">
        <w:rPr>
          <w:rFonts w:ascii="Garamond" w:hAnsi="Garamond"/>
          <w:sz w:val="18"/>
          <w:szCs w:val="18"/>
        </w:rPr>
        <w:t>(Final Report and Recommendations, November 2006).</w:t>
      </w:r>
    </w:p>
  </w:footnote>
  <w:footnote w:id="89">
    <w:p w14:paraId="0A16D4B9" w14:textId="7E710073" w:rsidR="00B34D26" w:rsidRPr="00F45783" w:rsidRDefault="00B34D26" w:rsidP="00412D02">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412D02" w:rsidRPr="00F45783">
        <w:rPr>
          <w:rFonts w:ascii="Garamond" w:hAnsi="Garamond"/>
          <w:sz w:val="18"/>
          <w:szCs w:val="18"/>
        </w:rPr>
        <w:t xml:space="preserve">Shane Kilcommins, ‘Doctrinal Legal Method (Black-Letterism): Assumptions, Commitments and Shortcomings’ in Laura Cahillane and Jennifer Schweppe (eds), </w:t>
      </w:r>
      <w:r w:rsidR="00412D02" w:rsidRPr="00F45783">
        <w:rPr>
          <w:rFonts w:ascii="Garamond" w:hAnsi="Garamond"/>
          <w:i/>
          <w:iCs/>
          <w:sz w:val="18"/>
          <w:szCs w:val="18"/>
        </w:rPr>
        <w:t xml:space="preserve">Legal Research Methods Principles and Practicalities </w:t>
      </w:r>
      <w:r w:rsidR="00412D02" w:rsidRPr="00F45783">
        <w:rPr>
          <w:rFonts w:ascii="Garamond" w:hAnsi="Garamond"/>
          <w:sz w:val="18"/>
          <w:szCs w:val="18"/>
        </w:rPr>
        <w:t>(Clarus Press 2016) 8.</w:t>
      </w:r>
    </w:p>
  </w:footnote>
  <w:footnote w:id="90">
    <w:p w14:paraId="1F25B6B6" w14:textId="77777777" w:rsidR="00453F34" w:rsidRPr="00F45783" w:rsidRDefault="00453F34" w:rsidP="00453F34">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Lee Epstein and Andrew D. Martin, </w:t>
      </w:r>
      <w:r w:rsidRPr="00F45783">
        <w:rPr>
          <w:rFonts w:ascii="Garamond" w:hAnsi="Garamond"/>
          <w:i/>
          <w:iCs/>
          <w:sz w:val="18"/>
          <w:szCs w:val="18"/>
        </w:rPr>
        <w:t>An Introduction to Empirical Legal Research</w:t>
      </w:r>
      <w:r w:rsidRPr="00F45783">
        <w:rPr>
          <w:rFonts w:ascii="Garamond" w:hAnsi="Garamond"/>
          <w:sz w:val="18"/>
          <w:szCs w:val="18"/>
        </w:rPr>
        <w:t xml:space="preserve"> (OUP, 2014) 42. </w:t>
      </w:r>
    </w:p>
  </w:footnote>
  <w:footnote w:id="91">
    <w:p w14:paraId="04DF2635" w14:textId="77777777" w:rsidR="00453F34" w:rsidRPr="00F45783" w:rsidRDefault="00453F34" w:rsidP="00453F34">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Lee Epstein and Andrew D. Martin, </w:t>
      </w:r>
      <w:r w:rsidRPr="00F45783">
        <w:rPr>
          <w:rFonts w:ascii="Garamond" w:hAnsi="Garamond"/>
          <w:i/>
          <w:iCs/>
          <w:sz w:val="18"/>
          <w:szCs w:val="18"/>
        </w:rPr>
        <w:t>An Introduction to Empirical Legal Research</w:t>
      </w:r>
      <w:r w:rsidRPr="00F45783">
        <w:rPr>
          <w:rFonts w:ascii="Garamond" w:hAnsi="Garamond"/>
          <w:sz w:val="18"/>
          <w:szCs w:val="18"/>
        </w:rPr>
        <w:t xml:space="preserve"> (OUP, 2014) 47. </w:t>
      </w:r>
    </w:p>
  </w:footnote>
  <w:footnote w:id="92">
    <w:p w14:paraId="7FC97AAB" w14:textId="43A09602" w:rsidR="00453F34" w:rsidRPr="00F45783" w:rsidRDefault="00453F34" w:rsidP="00037E93">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Rachel Cahill-Callaghan and Linda Mulcahy, ‘Where are the numbers? Challenging the barriers to quantitative socio-legal scholarship in the United Kingdom’ (2022) </w:t>
      </w:r>
      <w:r w:rsidR="00037E93">
        <w:rPr>
          <w:rFonts w:ascii="Garamond" w:hAnsi="Garamond"/>
          <w:sz w:val="18"/>
          <w:szCs w:val="18"/>
        </w:rPr>
        <w:t xml:space="preserve">49(1) </w:t>
      </w:r>
      <w:r w:rsidR="00037E93" w:rsidRPr="00037E93">
        <w:rPr>
          <w:rFonts w:ascii="Garamond" w:hAnsi="Garamond"/>
          <w:i/>
          <w:iCs/>
          <w:sz w:val="18"/>
          <w:szCs w:val="18"/>
        </w:rPr>
        <w:t>Journal of Law and Society</w:t>
      </w:r>
      <w:r w:rsidRPr="00F45783">
        <w:rPr>
          <w:rFonts w:ascii="Garamond" w:hAnsi="Garamond"/>
          <w:sz w:val="18"/>
          <w:szCs w:val="18"/>
        </w:rPr>
        <w:t xml:space="preserve"> S105. </w:t>
      </w:r>
    </w:p>
  </w:footnote>
  <w:footnote w:id="93">
    <w:p w14:paraId="1A79DD76" w14:textId="4254C46F" w:rsidR="00CD0D08" w:rsidRPr="002B7DE3" w:rsidRDefault="00CD0D08" w:rsidP="00037E9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Thank you to the anonymous reviewer for neatly capturing this point. </w:t>
      </w:r>
    </w:p>
  </w:footnote>
  <w:footnote w:id="94">
    <w:p w14:paraId="391CBC7A" w14:textId="77777777" w:rsidR="008D5B88" w:rsidRPr="00F45783" w:rsidRDefault="008D5B88" w:rsidP="00037E93">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Joe Tomlinson, </w:t>
      </w:r>
      <w:r w:rsidRPr="00F45783">
        <w:rPr>
          <w:rFonts w:ascii="Garamond" w:hAnsi="Garamond"/>
          <w:i/>
          <w:iCs/>
          <w:sz w:val="18"/>
          <w:szCs w:val="18"/>
        </w:rPr>
        <w:t xml:space="preserve">Justice in the Digital State: assessing the next revolution in administrative justice </w:t>
      </w:r>
      <w:r w:rsidRPr="00F45783">
        <w:rPr>
          <w:rFonts w:ascii="Garamond" w:hAnsi="Garamond"/>
          <w:sz w:val="18"/>
          <w:szCs w:val="18"/>
        </w:rPr>
        <w:t xml:space="preserve">(Policy Press 2019) 89. </w:t>
      </w:r>
    </w:p>
  </w:footnote>
  <w:footnote w:id="95">
    <w:p w14:paraId="1E776FF6" w14:textId="708EC2D1" w:rsidR="008D5B88" w:rsidRPr="00F45783" w:rsidRDefault="008D5B88" w:rsidP="00037E93">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Sofia Ranchord</w:t>
      </w:r>
      <w:r w:rsidR="0096450B">
        <w:rPr>
          <w:rFonts w:ascii="Garamond" w:hAnsi="Garamond"/>
          <w:sz w:val="18"/>
          <w:szCs w:val="18"/>
        </w:rPr>
        <w:t>á</w:t>
      </w:r>
      <w:r w:rsidRPr="00F45783">
        <w:rPr>
          <w:rFonts w:ascii="Garamond" w:hAnsi="Garamond"/>
          <w:sz w:val="18"/>
          <w:szCs w:val="18"/>
        </w:rPr>
        <w:t>s (2022) ‘Empathy in the Digital Administrative State’ 71 </w:t>
      </w:r>
      <w:r w:rsidRPr="00F45783">
        <w:rPr>
          <w:rFonts w:ascii="Garamond" w:hAnsi="Garamond"/>
          <w:i/>
          <w:iCs/>
          <w:sz w:val="18"/>
          <w:szCs w:val="18"/>
        </w:rPr>
        <w:t>Duke Law Journal</w:t>
      </w:r>
      <w:r w:rsidRPr="00F45783">
        <w:rPr>
          <w:rFonts w:ascii="Garamond" w:hAnsi="Garamond"/>
          <w:sz w:val="18"/>
          <w:szCs w:val="18"/>
        </w:rPr>
        <w:t> 1341.</w:t>
      </w:r>
    </w:p>
  </w:footnote>
  <w:footnote w:id="96">
    <w:p w14:paraId="3C4A4A97" w14:textId="62E055A6" w:rsidR="00CB07B3" w:rsidRPr="00F45783" w:rsidRDefault="00CB07B3" w:rsidP="00037E93">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The King’s Fund,</w:t>
      </w:r>
      <w:r w:rsidR="009051B9" w:rsidRPr="00F45783">
        <w:rPr>
          <w:rFonts w:ascii="Garamond" w:hAnsi="Garamond"/>
          <w:sz w:val="18"/>
          <w:szCs w:val="18"/>
        </w:rPr>
        <w:t xml:space="preserve"> ‘Admin matters: the impact of NHS administration on patient care’</w:t>
      </w:r>
      <w:r w:rsidR="00004FF7">
        <w:rPr>
          <w:rFonts w:ascii="Garamond" w:hAnsi="Garamond"/>
          <w:sz w:val="18"/>
          <w:szCs w:val="18"/>
        </w:rPr>
        <w:t xml:space="preserve"> (2021)</w:t>
      </w:r>
      <w:r w:rsidR="009051B9" w:rsidRPr="00F45783">
        <w:rPr>
          <w:rFonts w:ascii="Garamond" w:hAnsi="Garamond"/>
          <w:sz w:val="18"/>
          <w:szCs w:val="18"/>
        </w:rPr>
        <w:t xml:space="preserve"> </w:t>
      </w:r>
      <w:r w:rsidRPr="00F45783">
        <w:rPr>
          <w:rFonts w:ascii="Garamond" w:hAnsi="Garamond"/>
          <w:sz w:val="18"/>
          <w:szCs w:val="18"/>
        </w:rPr>
        <w:t xml:space="preserve"> </w:t>
      </w:r>
      <w:hyperlink r:id="rId9" w:history="1">
        <w:r w:rsidRPr="00F45783">
          <w:rPr>
            <w:rStyle w:val="Hyperlink"/>
            <w:rFonts w:ascii="Garamond" w:hAnsi="Garamond"/>
            <w:sz w:val="18"/>
            <w:szCs w:val="18"/>
          </w:rPr>
          <w:t>https://www.kingsfund.org.uk/insight-and-analysis/long-reads/admin-matters-nhs-patient-care</w:t>
        </w:r>
      </w:hyperlink>
      <w:r w:rsidR="0098106D">
        <w:t xml:space="preserve">. </w:t>
      </w:r>
      <w:r w:rsidRPr="00F45783">
        <w:rPr>
          <w:rFonts w:ascii="Garamond" w:hAnsi="Garamond"/>
          <w:sz w:val="18"/>
          <w:szCs w:val="18"/>
        </w:rPr>
        <w:t xml:space="preserve"> </w:t>
      </w:r>
    </w:p>
  </w:footnote>
  <w:footnote w:id="97">
    <w:p w14:paraId="6B0F4C73" w14:textId="5342B37F" w:rsidR="00572336" w:rsidRPr="00F45783" w:rsidRDefault="00572336" w:rsidP="00037E93">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r w:rsidR="008B063A" w:rsidRPr="00F45783">
        <w:rPr>
          <w:rFonts w:ascii="Garamond" w:hAnsi="Garamond"/>
          <w:sz w:val="18"/>
          <w:szCs w:val="18"/>
        </w:rPr>
        <w:t xml:space="preserve">Pamela </w:t>
      </w:r>
      <w:r w:rsidR="000A789F" w:rsidRPr="00F45783">
        <w:rPr>
          <w:rFonts w:ascii="Garamond" w:hAnsi="Garamond"/>
          <w:sz w:val="18"/>
          <w:szCs w:val="18"/>
        </w:rPr>
        <w:t xml:space="preserve">Herd and </w:t>
      </w:r>
      <w:r w:rsidR="00F274C9" w:rsidRPr="00F45783">
        <w:rPr>
          <w:rFonts w:ascii="Garamond" w:hAnsi="Garamond"/>
          <w:sz w:val="18"/>
          <w:szCs w:val="18"/>
        </w:rPr>
        <w:t xml:space="preserve">Donald P. </w:t>
      </w:r>
      <w:r w:rsidR="000A789F" w:rsidRPr="00F45783">
        <w:rPr>
          <w:rFonts w:ascii="Garamond" w:hAnsi="Garamond"/>
          <w:sz w:val="18"/>
          <w:szCs w:val="18"/>
        </w:rPr>
        <w:t>Moynihan</w:t>
      </w:r>
      <w:r w:rsidR="00353EC8">
        <w:rPr>
          <w:rFonts w:ascii="Garamond" w:hAnsi="Garamond"/>
          <w:sz w:val="18"/>
          <w:szCs w:val="18"/>
        </w:rPr>
        <w:t xml:space="preserve">, </w:t>
      </w:r>
      <w:r w:rsidR="000A789F" w:rsidRPr="00F45783">
        <w:rPr>
          <w:rFonts w:ascii="Garamond" w:hAnsi="Garamond"/>
          <w:sz w:val="18"/>
          <w:szCs w:val="18"/>
        </w:rPr>
        <w:t xml:space="preserve"> </w:t>
      </w:r>
      <w:r w:rsidR="000A789F" w:rsidRPr="00F45783">
        <w:rPr>
          <w:rFonts w:ascii="Garamond" w:hAnsi="Garamond"/>
          <w:i/>
          <w:iCs/>
          <w:sz w:val="18"/>
          <w:szCs w:val="18"/>
        </w:rPr>
        <w:t>Administrative Burden: Policymaking by Other Means</w:t>
      </w:r>
      <w:r w:rsidR="000A789F" w:rsidRPr="00F45783">
        <w:rPr>
          <w:rFonts w:ascii="Garamond" w:hAnsi="Garamond"/>
          <w:sz w:val="18"/>
          <w:szCs w:val="18"/>
        </w:rPr>
        <w:t xml:space="preserve">. </w:t>
      </w:r>
      <w:r w:rsidR="00353EC8">
        <w:rPr>
          <w:rFonts w:ascii="Garamond" w:hAnsi="Garamond"/>
          <w:sz w:val="18"/>
          <w:szCs w:val="18"/>
        </w:rPr>
        <w:t>(</w:t>
      </w:r>
      <w:r w:rsidR="000A789F" w:rsidRPr="00F45783">
        <w:rPr>
          <w:rFonts w:ascii="Garamond" w:hAnsi="Garamond"/>
          <w:sz w:val="18"/>
          <w:szCs w:val="18"/>
        </w:rPr>
        <w:t>New York: Russell Sage Foundation</w:t>
      </w:r>
      <w:r w:rsidR="003420BF">
        <w:rPr>
          <w:rFonts w:ascii="Garamond" w:hAnsi="Garamond"/>
          <w:sz w:val="18"/>
          <w:szCs w:val="18"/>
        </w:rPr>
        <w:t xml:space="preserve"> </w:t>
      </w:r>
      <w:r w:rsidR="00353EC8" w:rsidRPr="00F45783">
        <w:rPr>
          <w:rFonts w:ascii="Garamond" w:hAnsi="Garamond"/>
          <w:sz w:val="18"/>
          <w:szCs w:val="18"/>
        </w:rPr>
        <w:t>2018)</w:t>
      </w:r>
      <w:r w:rsidR="000A789F" w:rsidRPr="00F45783">
        <w:rPr>
          <w:rFonts w:ascii="Garamond" w:hAnsi="Garamond"/>
          <w:sz w:val="18"/>
          <w:szCs w:val="18"/>
        </w:rPr>
        <w:t xml:space="preserve">; </w:t>
      </w:r>
      <w:r w:rsidR="00F946E0" w:rsidRPr="00F45783">
        <w:rPr>
          <w:rFonts w:ascii="Garamond" w:hAnsi="Garamond"/>
          <w:sz w:val="18"/>
          <w:szCs w:val="18"/>
        </w:rPr>
        <w:t xml:space="preserve">Sebastian </w:t>
      </w:r>
      <w:r w:rsidR="00B82832" w:rsidRPr="00F45783">
        <w:rPr>
          <w:rFonts w:ascii="Garamond" w:hAnsi="Garamond"/>
          <w:sz w:val="18"/>
          <w:szCs w:val="18"/>
        </w:rPr>
        <w:t xml:space="preserve">Jilke, </w:t>
      </w:r>
      <w:r w:rsidR="00F946E0" w:rsidRPr="00F45783">
        <w:rPr>
          <w:rFonts w:ascii="Garamond" w:hAnsi="Garamond"/>
          <w:sz w:val="18"/>
          <w:szCs w:val="18"/>
        </w:rPr>
        <w:t xml:space="preserve">Martin </w:t>
      </w:r>
      <w:r w:rsidR="00B82832" w:rsidRPr="00F45783">
        <w:rPr>
          <w:rFonts w:ascii="Garamond" w:hAnsi="Garamond"/>
          <w:sz w:val="18"/>
          <w:szCs w:val="18"/>
        </w:rPr>
        <w:t>Bækgaard,</w:t>
      </w:r>
      <w:r w:rsidR="00F946E0" w:rsidRPr="00F45783">
        <w:rPr>
          <w:rFonts w:ascii="Garamond" w:hAnsi="Garamond"/>
          <w:sz w:val="18"/>
          <w:szCs w:val="18"/>
        </w:rPr>
        <w:t xml:space="preserve"> Pamela</w:t>
      </w:r>
      <w:r w:rsidR="00B82832" w:rsidRPr="00F45783">
        <w:rPr>
          <w:rFonts w:ascii="Garamond" w:hAnsi="Garamond"/>
          <w:sz w:val="18"/>
          <w:szCs w:val="18"/>
        </w:rPr>
        <w:t xml:space="preserve"> Herd,</w:t>
      </w:r>
      <w:r w:rsidR="00F946E0" w:rsidRPr="00F45783">
        <w:rPr>
          <w:rFonts w:ascii="Garamond" w:hAnsi="Garamond"/>
          <w:sz w:val="18"/>
          <w:szCs w:val="18"/>
        </w:rPr>
        <w:t xml:space="preserve"> Donald </w:t>
      </w:r>
      <w:r w:rsidR="00B82832" w:rsidRPr="00F45783">
        <w:rPr>
          <w:rFonts w:ascii="Garamond" w:hAnsi="Garamond"/>
          <w:sz w:val="18"/>
          <w:szCs w:val="18"/>
        </w:rPr>
        <w:t>Moynihan</w:t>
      </w:r>
      <w:r w:rsidR="00353EC8">
        <w:rPr>
          <w:rFonts w:ascii="Garamond" w:hAnsi="Garamond"/>
          <w:sz w:val="18"/>
          <w:szCs w:val="18"/>
        </w:rPr>
        <w:t>,</w:t>
      </w:r>
      <w:r w:rsidR="00B82832" w:rsidRPr="00F45783">
        <w:rPr>
          <w:rFonts w:ascii="Garamond" w:hAnsi="Garamond"/>
          <w:sz w:val="18"/>
          <w:szCs w:val="18"/>
        </w:rPr>
        <w:t xml:space="preserve"> ‘Short and sweet: Measuring experiences of administrative burden’</w:t>
      </w:r>
      <w:r w:rsidR="00353EC8">
        <w:rPr>
          <w:rFonts w:ascii="Garamond" w:hAnsi="Garamond"/>
          <w:sz w:val="18"/>
          <w:szCs w:val="18"/>
        </w:rPr>
        <w:t xml:space="preserve"> (2024) 7</w:t>
      </w:r>
      <w:r w:rsidR="00B82832" w:rsidRPr="00F45783">
        <w:rPr>
          <w:rFonts w:ascii="Garamond" w:hAnsi="Garamond"/>
          <w:sz w:val="18"/>
          <w:szCs w:val="18"/>
        </w:rPr>
        <w:t xml:space="preserve"> </w:t>
      </w:r>
      <w:r w:rsidR="00B82832" w:rsidRPr="00F45783">
        <w:rPr>
          <w:rFonts w:ascii="Garamond" w:hAnsi="Garamond"/>
          <w:i/>
          <w:iCs/>
          <w:sz w:val="18"/>
          <w:szCs w:val="18"/>
        </w:rPr>
        <w:t xml:space="preserve">Journal of Behavioural Public Administration </w:t>
      </w:r>
      <w:r w:rsidR="00B82832" w:rsidRPr="00F45783">
        <w:rPr>
          <w:rFonts w:ascii="Garamond" w:hAnsi="Garamond"/>
          <w:sz w:val="18"/>
          <w:szCs w:val="18"/>
        </w:rPr>
        <w:t>1-12.</w:t>
      </w:r>
    </w:p>
  </w:footnote>
  <w:footnote w:id="98">
    <w:p w14:paraId="670EE976" w14:textId="7A5902B1" w:rsidR="008D5B88" w:rsidRPr="00F45783" w:rsidRDefault="008D5B88" w:rsidP="008D5B88">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Jed Meers, Simon Halliday and Joe Tomlinson</w:t>
      </w:r>
      <w:r w:rsidR="00854DC9">
        <w:rPr>
          <w:rFonts w:ascii="Garamond" w:hAnsi="Garamond"/>
          <w:sz w:val="18"/>
          <w:szCs w:val="18"/>
        </w:rPr>
        <w:t>,</w:t>
      </w:r>
      <w:r w:rsidR="00353EC8" w:rsidRPr="00F45783">
        <w:rPr>
          <w:rFonts w:ascii="Garamond" w:hAnsi="Garamond"/>
          <w:sz w:val="18"/>
          <w:szCs w:val="18"/>
        </w:rPr>
        <w:t xml:space="preserve"> ‘An ‘interface first’ bureaucracy: Interface design, Universal Credit and the digital welfare state’ </w:t>
      </w:r>
      <w:r w:rsidR="00353EC8">
        <w:rPr>
          <w:rFonts w:ascii="Garamond" w:hAnsi="Garamond"/>
          <w:sz w:val="18"/>
          <w:szCs w:val="18"/>
        </w:rPr>
        <w:t xml:space="preserve">(2024) </w:t>
      </w:r>
      <w:r w:rsidR="00353EC8" w:rsidRPr="00F45783">
        <w:rPr>
          <w:rFonts w:ascii="Garamond" w:hAnsi="Garamond"/>
          <w:i/>
          <w:sz w:val="18"/>
          <w:szCs w:val="18"/>
        </w:rPr>
        <w:t>Social Policy &amp; Administration</w:t>
      </w:r>
      <w:r w:rsidR="00353EC8">
        <w:rPr>
          <w:rFonts w:ascii="Garamond" w:hAnsi="Garamond"/>
          <w:i/>
          <w:sz w:val="18"/>
          <w:szCs w:val="18"/>
        </w:rPr>
        <w:t xml:space="preserve"> </w:t>
      </w:r>
      <w:r w:rsidR="00353EC8">
        <w:rPr>
          <w:rFonts w:ascii="Garamond" w:hAnsi="Garamond"/>
          <w:sz w:val="18"/>
          <w:szCs w:val="18"/>
        </w:rPr>
        <w:t xml:space="preserve">(early view: </w:t>
      </w:r>
      <w:hyperlink r:id="rId10" w:history="1">
        <w:r w:rsidR="00353EC8" w:rsidRPr="005A2B3B">
          <w:rPr>
            <w:rStyle w:val="Hyperlink"/>
            <w:rFonts w:ascii="Garamond" w:hAnsi="Garamond"/>
            <w:sz w:val="18"/>
            <w:szCs w:val="18"/>
          </w:rPr>
          <w:t>https://onlinelibrary.wiley.com/doi/10.1111/spol.13053</w:t>
        </w:r>
      </w:hyperlink>
      <w:r w:rsidR="00353EC8">
        <w:rPr>
          <w:rFonts w:ascii="Garamond" w:hAnsi="Garamond"/>
          <w:sz w:val="18"/>
          <w:szCs w:val="18"/>
        </w:rPr>
        <w:t xml:space="preserve">). </w:t>
      </w:r>
    </w:p>
  </w:footnote>
  <w:footnote w:id="99">
    <w:p w14:paraId="421F3D71" w14:textId="01053969" w:rsidR="008D5B88" w:rsidRPr="00F45783" w:rsidRDefault="008D5B88" w:rsidP="008D5B88">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Jennifer Raso</w:t>
      </w:r>
      <w:r w:rsidR="00353EC8">
        <w:rPr>
          <w:rFonts w:ascii="Garamond" w:hAnsi="Garamond"/>
          <w:sz w:val="18"/>
          <w:szCs w:val="18"/>
        </w:rPr>
        <w:t>,</w:t>
      </w:r>
      <w:r w:rsidR="00353EC8" w:rsidRPr="00F45783">
        <w:rPr>
          <w:rFonts w:ascii="Garamond" w:hAnsi="Garamond"/>
          <w:sz w:val="18"/>
          <w:szCs w:val="18"/>
        </w:rPr>
        <w:t xml:space="preserve"> </w:t>
      </w:r>
      <w:r w:rsidR="00353EC8">
        <w:rPr>
          <w:rFonts w:ascii="Garamond" w:hAnsi="Garamond"/>
          <w:sz w:val="18"/>
          <w:szCs w:val="18"/>
        </w:rPr>
        <w:t>‘S</w:t>
      </w:r>
      <w:r w:rsidRPr="00F45783">
        <w:rPr>
          <w:rFonts w:ascii="Garamond" w:hAnsi="Garamond"/>
          <w:sz w:val="18"/>
          <w:szCs w:val="18"/>
        </w:rPr>
        <w:t>mooth operators, predictable glitches: The Interface governance of benefits and Borders</w:t>
      </w:r>
      <w:r w:rsidR="00353EC8">
        <w:rPr>
          <w:rFonts w:ascii="Garamond" w:hAnsi="Garamond"/>
          <w:sz w:val="18"/>
          <w:szCs w:val="18"/>
        </w:rPr>
        <w:t xml:space="preserve">’ </w:t>
      </w:r>
      <w:r w:rsidR="00353EC8" w:rsidRPr="00F45783">
        <w:rPr>
          <w:rFonts w:ascii="Garamond" w:hAnsi="Garamond"/>
          <w:sz w:val="18"/>
          <w:szCs w:val="18"/>
        </w:rPr>
        <w:t>(2023)</w:t>
      </w:r>
      <w:r w:rsidR="00353EC8">
        <w:rPr>
          <w:rFonts w:ascii="Garamond" w:hAnsi="Garamond"/>
          <w:sz w:val="18"/>
          <w:szCs w:val="18"/>
        </w:rPr>
        <w:t xml:space="preserve"> 38(2)</w:t>
      </w:r>
      <w:r w:rsidRPr="00F45783">
        <w:rPr>
          <w:rFonts w:ascii="Garamond" w:hAnsi="Garamond"/>
          <w:sz w:val="18"/>
          <w:szCs w:val="18"/>
        </w:rPr>
        <w:t> </w:t>
      </w:r>
      <w:r w:rsidRPr="00F45783">
        <w:rPr>
          <w:rFonts w:ascii="Garamond" w:hAnsi="Garamond"/>
          <w:i/>
          <w:iCs/>
          <w:sz w:val="18"/>
          <w:szCs w:val="18"/>
        </w:rPr>
        <w:t>Canadian Journal of Law &amp; Society</w:t>
      </w:r>
      <w:r w:rsidR="00353EC8" w:rsidRPr="00F45783">
        <w:rPr>
          <w:rFonts w:ascii="Garamond" w:hAnsi="Garamond"/>
          <w:sz w:val="18"/>
          <w:szCs w:val="18"/>
        </w:rPr>
        <w:t xml:space="preserve"> </w:t>
      </w:r>
      <w:r w:rsidRPr="00F45783">
        <w:rPr>
          <w:rFonts w:ascii="Garamond" w:hAnsi="Garamond"/>
          <w:sz w:val="18"/>
          <w:szCs w:val="18"/>
        </w:rPr>
        <w:t>158–179.</w:t>
      </w:r>
    </w:p>
  </w:footnote>
  <w:footnote w:id="100">
    <w:p w14:paraId="547A0454" w14:textId="16C9C3C9" w:rsidR="00873F4C" w:rsidRPr="002B7DE3" w:rsidRDefault="00873F4C"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Joe Tomlinson, ‘Justice in automated administration</w:t>
      </w:r>
      <w:r w:rsidR="00C24B4C" w:rsidRPr="002B7DE3">
        <w:rPr>
          <w:rFonts w:ascii="Garamond" w:hAnsi="Garamond"/>
          <w:sz w:val="18"/>
          <w:szCs w:val="18"/>
        </w:rPr>
        <w:t>’ (2020) 40(4)</w:t>
      </w:r>
      <w:r w:rsidRPr="002B7DE3">
        <w:rPr>
          <w:rFonts w:ascii="Garamond" w:hAnsi="Garamond"/>
          <w:sz w:val="18"/>
          <w:szCs w:val="18"/>
        </w:rPr>
        <w:t xml:space="preserve"> </w:t>
      </w:r>
      <w:r w:rsidRPr="002B7DE3">
        <w:rPr>
          <w:rFonts w:ascii="Garamond" w:hAnsi="Garamond"/>
          <w:i/>
          <w:iCs/>
          <w:sz w:val="18"/>
          <w:szCs w:val="18"/>
        </w:rPr>
        <w:t>Oxford Journal of Legal Studies</w:t>
      </w:r>
      <w:r w:rsidRPr="002B7DE3">
        <w:rPr>
          <w:rFonts w:ascii="Garamond" w:hAnsi="Garamond"/>
          <w:sz w:val="18"/>
          <w:szCs w:val="18"/>
        </w:rPr>
        <w:t xml:space="preserve"> 708–736.</w:t>
      </w:r>
    </w:p>
  </w:footnote>
  <w:footnote w:id="101">
    <w:p w14:paraId="4384EF44" w14:textId="3F67E2E0" w:rsidR="008D5B88" w:rsidRPr="00F45783" w:rsidRDefault="008D5B88" w:rsidP="008D5B88">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w:t>
      </w:r>
      <w:hyperlink r:id="rId11" w:history="1">
        <w:r w:rsidRPr="00F45783">
          <w:rPr>
            <w:rStyle w:val="Hyperlink"/>
            <w:rFonts w:ascii="Garamond" w:hAnsi="Garamond"/>
            <w:sz w:val="18"/>
            <w:szCs w:val="18"/>
          </w:rPr>
          <w:t>http://www.ipo.gov.ie/en/ipo/pages/whatsnew</w:t>
        </w:r>
      </w:hyperlink>
      <w:r w:rsidR="00D9618D" w:rsidRPr="00F45783">
        <w:rPr>
          <w:rStyle w:val="Hyperlink"/>
          <w:rFonts w:ascii="Garamond" w:hAnsi="Garamond"/>
          <w:sz w:val="18"/>
          <w:szCs w:val="18"/>
        </w:rPr>
        <w:t xml:space="preserve">; </w:t>
      </w:r>
      <w:hyperlink r:id="rId12" w:history="1">
        <w:r w:rsidR="00D9618D" w:rsidRPr="00F45783">
          <w:rPr>
            <w:rStyle w:val="Hyperlink"/>
            <w:rFonts w:ascii="Garamond" w:hAnsi="Garamond"/>
            <w:sz w:val="18"/>
            <w:szCs w:val="18"/>
          </w:rPr>
          <w:t>https://www.rtb.ie/images/uploads/forms/RTB_Annual_Report_and_Accounts_2023.pdf</w:t>
        </w:r>
      </w:hyperlink>
      <w:r w:rsidR="00D9618D" w:rsidRPr="00F45783">
        <w:rPr>
          <w:rStyle w:val="Hyperlink"/>
          <w:rFonts w:ascii="Garamond" w:hAnsi="Garamond"/>
          <w:sz w:val="18"/>
          <w:szCs w:val="18"/>
        </w:rPr>
        <w:t xml:space="preserve"> </w:t>
      </w:r>
      <w:r w:rsidRPr="00F45783">
        <w:rPr>
          <w:rFonts w:ascii="Garamond" w:hAnsi="Garamond"/>
          <w:sz w:val="18"/>
          <w:szCs w:val="18"/>
        </w:rPr>
        <w:t xml:space="preserve"> </w:t>
      </w:r>
      <w:r w:rsidR="00E82774" w:rsidRPr="00F45783">
        <w:rPr>
          <w:rFonts w:ascii="Garamond" w:hAnsi="Garamond"/>
          <w:sz w:val="18"/>
          <w:szCs w:val="18"/>
        </w:rPr>
        <w:t xml:space="preserve">Hearings are now ‘usually’ held online via Microsoft Teams. </w:t>
      </w:r>
    </w:p>
  </w:footnote>
  <w:footnote w:id="102">
    <w:p w14:paraId="7825CA4B" w14:textId="7504765F" w:rsidR="00854FA7" w:rsidRPr="00F45783" w:rsidRDefault="00854FA7">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Irish Human Rights and Equality Commission (July 2024) Submission to the Public Consultation on National Implementation of EU Harmonised Rules on Artificial Intelligence (AI Act) </w:t>
      </w:r>
      <w:hyperlink r:id="rId13" w:history="1">
        <w:r w:rsidRPr="00F45783">
          <w:rPr>
            <w:rStyle w:val="Hyperlink"/>
            <w:rFonts w:ascii="Garamond" w:hAnsi="Garamond"/>
            <w:sz w:val="18"/>
            <w:szCs w:val="18"/>
          </w:rPr>
          <w:t>https://www.ihrec.ie//app/uploads/2024/07/20240716-IHREC-submission-to-the-consulation-on-the-EU-AI-Act_to-OOTD.pdf</w:t>
        </w:r>
      </w:hyperlink>
      <w:r w:rsidRPr="00F45783">
        <w:rPr>
          <w:rFonts w:ascii="Garamond" w:hAnsi="Garamond"/>
          <w:sz w:val="18"/>
          <w:szCs w:val="18"/>
        </w:rPr>
        <w:t xml:space="preserve"> </w:t>
      </w:r>
    </w:p>
  </w:footnote>
  <w:footnote w:id="103">
    <w:p w14:paraId="1D52A1DE" w14:textId="36063140" w:rsidR="00AD23C2" w:rsidRPr="00F45783" w:rsidRDefault="00AD23C2">
      <w:pPr>
        <w:pStyle w:val="FootnoteText"/>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Neli Frost, </w:t>
      </w:r>
      <w:r w:rsidR="0089025F">
        <w:rPr>
          <w:rFonts w:ascii="Garamond" w:hAnsi="Garamond"/>
          <w:sz w:val="18"/>
          <w:szCs w:val="18"/>
        </w:rPr>
        <w:t>‘</w:t>
      </w:r>
      <w:r w:rsidRPr="00F45783">
        <w:rPr>
          <w:rFonts w:ascii="Garamond" w:hAnsi="Garamond"/>
          <w:sz w:val="18"/>
          <w:szCs w:val="18"/>
        </w:rPr>
        <w:t>The Impoverished Publicness of Algorithmic Decision Making</w:t>
      </w:r>
      <w:r w:rsidR="0089025F">
        <w:rPr>
          <w:rFonts w:ascii="Garamond" w:hAnsi="Garamond"/>
          <w:sz w:val="18"/>
          <w:szCs w:val="18"/>
        </w:rPr>
        <w:t>’ (2024)</w:t>
      </w:r>
      <w:r w:rsidRPr="00F45783">
        <w:rPr>
          <w:rFonts w:ascii="Garamond" w:hAnsi="Garamond"/>
          <w:sz w:val="18"/>
          <w:szCs w:val="18"/>
        </w:rPr>
        <w:t> </w:t>
      </w:r>
      <w:r w:rsidRPr="00F45783">
        <w:rPr>
          <w:rFonts w:ascii="Garamond" w:hAnsi="Garamond"/>
          <w:i/>
          <w:iCs/>
          <w:sz w:val="18"/>
          <w:szCs w:val="18"/>
        </w:rPr>
        <w:t>Oxford Journal of Legal Studies</w:t>
      </w:r>
      <w:r w:rsidR="0057243F" w:rsidRPr="00F45783">
        <w:rPr>
          <w:rFonts w:ascii="Garamond" w:hAnsi="Garamond"/>
          <w:sz w:val="18"/>
          <w:szCs w:val="18"/>
        </w:rPr>
        <w:t xml:space="preserve"> </w:t>
      </w:r>
      <w:r w:rsidR="00F45783" w:rsidRPr="00F45783">
        <w:rPr>
          <w:rFonts w:ascii="Garamond" w:hAnsi="Garamond"/>
          <w:sz w:val="18"/>
          <w:szCs w:val="18"/>
        </w:rPr>
        <w:t xml:space="preserve">(early access: </w:t>
      </w:r>
      <w:hyperlink r:id="rId14" w:history="1">
        <w:r w:rsidR="00F45783" w:rsidRPr="00F45783">
          <w:rPr>
            <w:rStyle w:val="Hyperlink"/>
            <w:rFonts w:ascii="Garamond" w:hAnsi="Garamond"/>
            <w:sz w:val="18"/>
            <w:szCs w:val="18"/>
          </w:rPr>
          <w:t>https://doi.org/10.1093/ojls/gqae027</w:t>
        </w:r>
      </w:hyperlink>
      <w:r w:rsidR="0057243F" w:rsidRPr="00F45783">
        <w:rPr>
          <w:rFonts w:ascii="Garamond" w:hAnsi="Garamond"/>
          <w:sz w:val="18"/>
          <w:szCs w:val="18"/>
        </w:rPr>
        <w:t>.</w:t>
      </w:r>
      <w:r w:rsidR="00F45783" w:rsidRPr="00F45783">
        <w:rPr>
          <w:rFonts w:ascii="Garamond" w:hAnsi="Garamond"/>
          <w:sz w:val="18"/>
          <w:szCs w:val="18"/>
        </w:rPr>
        <w:t xml:space="preserve">) </w:t>
      </w:r>
      <w:r w:rsidR="0057243F" w:rsidRPr="00F45783">
        <w:rPr>
          <w:rFonts w:ascii="Garamond" w:hAnsi="Garamond"/>
          <w:sz w:val="18"/>
          <w:szCs w:val="18"/>
        </w:rPr>
        <w:t xml:space="preserve"> </w:t>
      </w:r>
    </w:p>
  </w:footnote>
  <w:footnote w:id="104">
    <w:p w14:paraId="45EC0D12" w14:textId="4114D76E" w:rsidR="00340AEF" w:rsidRPr="002B7DE3" w:rsidRDefault="00340AEF"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A82014" w:rsidRPr="002B7DE3">
        <w:rPr>
          <w:rFonts w:ascii="Garamond" w:hAnsi="Garamond"/>
          <w:sz w:val="18"/>
          <w:szCs w:val="18"/>
        </w:rPr>
        <w:t>FLAC, ‘Not Fair Enough</w:t>
      </w:r>
      <w:r w:rsidR="001364C6" w:rsidRPr="002B7DE3">
        <w:rPr>
          <w:rFonts w:ascii="Garamond" w:hAnsi="Garamond"/>
          <w:sz w:val="18"/>
          <w:szCs w:val="18"/>
        </w:rPr>
        <w:t xml:space="preserve">: making the case fo the reform of the social welfare appeals system’ (2012) </w:t>
      </w:r>
      <w:hyperlink r:id="rId15" w:history="1">
        <w:r w:rsidR="00A04CE8" w:rsidRPr="002B7DE3">
          <w:rPr>
            <w:rStyle w:val="Hyperlink"/>
            <w:rFonts w:ascii="Garamond" w:hAnsi="Garamond"/>
            <w:sz w:val="18"/>
            <w:szCs w:val="18"/>
          </w:rPr>
          <w:t>https://www.flac.ie/assets/files/pdf/not_fair_enough_final.pdf?issuusl=ignore</w:t>
        </w:r>
      </w:hyperlink>
      <w:r w:rsidR="00A04CE8" w:rsidRPr="002B7DE3">
        <w:rPr>
          <w:rFonts w:ascii="Garamond" w:hAnsi="Garamond"/>
          <w:sz w:val="18"/>
          <w:szCs w:val="18"/>
        </w:rPr>
        <w:t xml:space="preserve">. </w:t>
      </w:r>
    </w:p>
  </w:footnote>
  <w:footnote w:id="105">
    <w:p w14:paraId="72CA1206" w14:textId="33AB330E" w:rsidR="00182896" w:rsidRPr="002B7DE3" w:rsidRDefault="00182896"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2360AD" w:rsidRPr="002B7DE3">
        <w:rPr>
          <w:rFonts w:ascii="Garamond" w:hAnsi="Garamond"/>
          <w:sz w:val="18"/>
          <w:szCs w:val="18"/>
        </w:rPr>
        <w:t xml:space="preserve">Parliamentary questions, (22 January 2025) </w:t>
      </w:r>
      <w:r w:rsidRPr="002B7DE3">
        <w:rPr>
          <w:rFonts w:ascii="Garamond" w:hAnsi="Garamond"/>
          <w:sz w:val="18"/>
          <w:szCs w:val="18"/>
        </w:rPr>
        <w:t xml:space="preserve">https://www.oireachtas.ie/en/debates/question/2025-01-22/888/ </w:t>
      </w:r>
    </w:p>
  </w:footnote>
  <w:footnote w:id="106">
    <w:p w14:paraId="45EF661E" w14:textId="5809AA1B" w:rsidR="00385B40" w:rsidRPr="002B7DE3" w:rsidRDefault="00385B40"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hyperlink r:id="rId16" w:history="1">
        <w:r w:rsidRPr="002B7DE3">
          <w:rPr>
            <w:rStyle w:val="Hyperlink"/>
            <w:rFonts w:ascii="Garamond" w:hAnsi="Garamond"/>
            <w:sz w:val="18"/>
            <w:szCs w:val="18"/>
          </w:rPr>
          <w:t>https://www.judiciary.uk/related-offices-and-bodies/advisory-bodies/administrative-justice-council/working-groups/</w:t>
        </w:r>
      </w:hyperlink>
      <w:r w:rsidRPr="002B7DE3">
        <w:rPr>
          <w:rFonts w:ascii="Garamond" w:hAnsi="Garamond"/>
          <w:sz w:val="18"/>
          <w:szCs w:val="18"/>
        </w:rPr>
        <w:t xml:space="preserve">. </w:t>
      </w:r>
    </w:p>
  </w:footnote>
  <w:footnote w:id="107">
    <w:p w14:paraId="77AA043D" w14:textId="176B1630" w:rsidR="000A658A" w:rsidRPr="002B7DE3" w:rsidRDefault="000A658A"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https://attitudestoai.uk/</w:t>
      </w:r>
    </w:p>
  </w:footnote>
  <w:footnote w:id="108">
    <w:p w14:paraId="22E4AE57" w14:textId="49048CA7" w:rsidR="00A81BFF" w:rsidRPr="002B7DE3" w:rsidRDefault="00A81BFF" w:rsidP="002B7DE3">
      <w:pPr>
        <w:pStyle w:val="FootnoteText"/>
        <w:jc w:val="both"/>
        <w:rPr>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913EFF" w:rsidRPr="002B7DE3">
        <w:rPr>
          <w:rFonts w:ascii="Garamond" w:hAnsi="Garamond"/>
          <w:sz w:val="18"/>
          <w:szCs w:val="18"/>
        </w:rPr>
        <w:t xml:space="preserve">Marc Hertogh, </w:t>
      </w:r>
      <w:r w:rsidR="00913EFF" w:rsidRPr="002B7DE3">
        <w:rPr>
          <w:rFonts w:ascii="Garamond" w:hAnsi="Garamond"/>
          <w:i/>
          <w:iCs/>
          <w:sz w:val="18"/>
          <w:szCs w:val="18"/>
        </w:rPr>
        <w:t>Nobody’s Law: Legal Consciousness and Legal Alienation in Everyday Life</w:t>
      </w:r>
      <w:r w:rsidR="00913EFF" w:rsidRPr="002B7DE3">
        <w:rPr>
          <w:rFonts w:ascii="Garamond" w:hAnsi="Garamond"/>
          <w:sz w:val="18"/>
          <w:szCs w:val="18"/>
        </w:rPr>
        <w:t xml:space="preserve"> (Palgrave 2019).</w:t>
      </w:r>
    </w:p>
  </w:footnote>
  <w:footnote w:id="109">
    <w:p w14:paraId="3311758B" w14:textId="32F85105" w:rsidR="00541960" w:rsidRPr="002B7DE3" w:rsidRDefault="00541960"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AA4A8B" w:rsidRPr="002B7DE3">
        <w:rPr>
          <w:rFonts w:ascii="Garamond" w:hAnsi="Garamond"/>
          <w:sz w:val="18"/>
          <w:szCs w:val="18"/>
        </w:rPr>
        <w:t xml:space="preserve">Fiona Donson and Samantha Morgan-Williams, ‘Barriers to Access to Justice for Members of the Traveller Community: Rediscrimination within the Equality System’ in Daniel Newman and Faith Gordon (eds) </w:t>
      </w:r>
      <w:r w:rsidR="00AA4A8B" w:rsidRPr="002B7DE3">
        <w:rPr>
          <w:rFonts w:ascii="Garamond" w:hAnsi="Garamond"/>
          <w:i/>
          <w:iCs/>
          <w:sz w:val="18"/>
          <w:szCs w:val="18"/>
        </w:rPr>
        <w:t>Access to Justice in Rural Communities: Global</w:t>
      </w:r>
      <w:r w:rsidR="00AA4A8B" w:rsidRPr="002B7DE3">
        <w:rPr>
          <w:rFonts w:ascii="Garamond" w:hAnsi="Garamond"/>
          <w:sz w:val="18"/>
          <w:szCs w:val="18"/>
        </w:rPr>
        <w:t xml:space="preserve"> Perspectives (Hart Publishing 2023).</w:t>
      </w:r>
    </w:p>
  </w:footnote>
  <w:footnote w:id="110">
    <w:p w14:paraId="2877FC81" w14:textId="2D62A898" w:rsidR="00EB3B3A" w:rsidRPr="002B7DE3" w:rsidRDefault="00EB3B3A"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Margaret Doyle and Nick O’Brien, </w:t>
      </w:r>
      <w:r w:rsidRPr="002B7DE3">
        <w:rPr>
          <w:rFonts w:ascii="Garamond" w:hAnsi="Garamond"/>
          <w:i/>
          <w:iCs/>
          <w:sz w:val="18"/>
          <w:szCs w:val="18"/>
        </w:rPr>
        <w:t>Reimagining Administrative Justice: Human Rights in Small</w:t>
      </w:r>
      <w:r w:rsidRPr="002B7DE3">
        <w:rPr>
          <w:rFonts w:ascii="Garamond" w:hAnsi="Garamond"/>
          <w:sz w:val="18"/>
          <w:szCs w:val="18"/>
        </w:rPr>
        <w:t xml:space="preserve"> Places (Palgrave Macmillan 2020).</w:t>
      </w:r>
    </w:p>
  </w:footnote>
  <w:footnote w:id="111">
    <w:p w14:paraId="1C8EBCB5" w14:textId="1DDA643E" w:rsidR="002F19AF" w:rsidRPr="002B7DE3" w:rsidRDefault="002F19AF"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F8218C" w:rsidRPr="002B7DE3">
        <w:rPr>
          <w:rFonts w:ascii="Garamond" w:hAnsi="Garamond"/>
          <w:sz w:val="18"/>
          <w:szCs w:val="18"/>
        </w:rPr>
        <w:t xml:space="preserve">Sindy Joyce, Olive O’Reilly, Margaret O’Brien, David Joyce, Jennifer Schweppe and Amanda Haynes, </w:t>
      </w:r>
      <w:r w:rsidR="00F8218C" w:rsidRPr="002B7DE3">
        <w:rPr>
          <w:rFonts w:ascii="Garamond" w:hAnsi="Garamond"/>
          <w:i/>
          <w:iCs/>
          <w:sz w:val="18"/>
          <w:szCs w:val="18"/>
        </w:rPr>
        <w:t>Irish Travellers’ Access to Justice</w:t>
      </w:r>
      <w:r w:rsidR="00F8218C" w:rsidRPr="002B7DE3">
        <w:rPr>
          <w:rFonts w:ascii="Garamond" w:hAnsi="Garamond"/>
          <w:sz w:val="18"/>
          <w:szCs w:val="18"/>
        </w:rPr>
        <w:t xml:space="preserve"> (European Centre for the Study of Hate 2022)</w:t>
      </w:r>
      <w:r w:rsidR="00EB3B3A" w:rsidRPr="002B7DE3">
        <w:rPr>
          <w:rFonts w:ascii="Garamond" w:hAnsi="Garamond"/>
          <w:sz w:val="18"/>
          <w:szCs w:val="18"/>
        </w:rPr>
        <w:t>.</w:t>
      </w:r>
    </w:p>
  </w:footnote>
  <w:footnote w:id="112">
    <w:p w14:paraId="49347B7F" w14:textId="4882540A" w:rsidR="007407A1" w:rsidRPr="002B7DE3" w:rsidRDefault="007407A1"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w:t>
      </w:r>
      <w:r w:rsidR="00B92838" w:rsidRPr="002B7DE3">
        <w:rPr>
          <w:rFonts w:ascii="Garamond" w:hAnsi="Garamond"/>
          <w:sz w:val="18"/>
          <w:szCs w:val="18"/>
        </w:rPr>
        <w:t xml:space="preserve">Maggie O’Neill and Brian Roberts, </w:t>
      </w:r>
      <w:r w:rsidR="00B92838" w:rsidRPr="002B7DE3">
        <w:rPr>
          <w:rFonts w:ascii="Garamond" w:hAnsi="Garamond"/>
          <w:i/>
          <w:iCs/>
          <w:sz w:val="18"/>
          <w:szCs w:val="18"/>
        </w:rPr>
        <w:t>Walking Methods: Research on the Move</w:t>
      </w:r>
      <w:r w:rsidR="00B92838" w:rsidRPr="002B7DE3">
        <w:rPr>
          <w:rFonts w:ascii="Garamond" w:hAnsi="Garamond"/>
          <w:sz w:val="18"/>
          <w:szCs w:val="18"/>
        </w:rPr>
        <w:t xml:space="preserve"> (Routledge 2019); </w:t>
      </w:r>
      <w:r w:rsidRPr="002B7DE3">
        <w:rPr>
          <w:rFonts w:ascii="Garamond" w:hAnsi="Garamond"/>
          <w:sz w:val="18"/>
          <w:szCs w:val="18"/>
        </w:rPr>
        <w:t xml:space="preserve">Doris Murphy, ‘Walking, Talking, Imagining: Ethical Engagement with Sex Workers’ (2022) 16(2) </w:t>
      </w:r>
      <w:r w:rsidRPr="002B7DE3">
        <w:rPr>
          <w:rFonts w:ascii="Garamond" w:hAnsi="Garamond"/>
          <w:i/>
          <w:iCs/>
          <w:sz w:val="18"/>
          <w:szCs w:val="18"/>
        </w:rPr>
        <w:t>Ethics and Social Welfare</w:t>
      </w:r>
      <w:r w:rsidRPr="002B7DE3">
        <w:rPr>
          <w:rFonts w:ascii="Garamond" w:hAnsi="Garamond"/>
          <w:sz w:val="18"/>
          <w:szCs w:val="18"/>
        </w:rPr>
        <w:t xml:space="preserve"> 219-234</w:t>
      </w:r>
      <w:r w:rsidR="00D97C4A" w:rsidRPr="002B7DE3">
        <w:rPr>
          <w:rFonts w:ascii="Garamond" w:hAnsi="Garamond"/>
          <w:sz w:val="18"/>
          <w:szCs w:val="18"/>
        </w:rPr>
        <w:t xml:space="preserve">; Jessica Smith, ‘Journeying the everyday of civic space: movement as method in socio-legal studies’ (2021) 48 (Suppl. 1) </w:t>
      </w:r>
      <w:r w:rsidR="00D97C4A" w:rsidRPr="002B7DE3">
        <w:rPr>
          <w:rFonts w:ascii="Garamond" w:hAnsi="Garamond"/>
          <w:i/>
          <w:iCs/>
          <w:sz w:val="18"/>
          <w:szCs w:val="18"/>
        </w:rPr>
        <w:t>Journal of Law and Society</w:t>
      </w:r>
      <w:r w:rsidR="00D97C4A" w:rsidRPr="002B7DE3">
        <w:rPr>
          <w:rFonts w:ascii="Garamond" w:hAnsi="Garamond"/>
          <w:sz w:val="18"/>
          <w:szCs w:val="18"/>
        </w:rPr>
        <w:t xml:space="preserve"> S59-S73.</w:t>
      </w:r>
    </w:p>
  </w:footnote>
  <w:footnote w:id="113">
    <w:p w14:paraId="7E854EE3" w14:textId="453BB513" w:rsidR="00CA0333" w:rsidRPr="002B7DE3" w:rsidRDefault="00CA0333" w:rsidP="002B7DE3">
      <w:pPr>
        <w:pStyle w:val="FootnoteText"/>
        <w:jc w:val="both"/>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Jed Meers, Aisling Ryan and Joe Tomlinson, </w:t>
      </w:r>
      <w:r w:rsidR="00534B79" w:rsidRPr="002B7DE3">
        <w:rPr>
          <w:rFonts w:ascii="Garamond" w:hAnsi="Garamond"/>
          <w:sz w:val="18"/>
          <w:szCs w:val="18"/>
        </w:rPr>
        <w:t xml:space="preserve">‘Perceptions of procedural fairness and space for personal narrative: an experimental study of form design’ </w:t>
      </w:r>
      <w:r w:rsidR="00577EE1" w:rsidRPr="002B7DE3">
        <w:rPr>
          <w:rFonts w:ascii="Garamond" w:hAnsi="Garamond"/>
          <w:sz w:val="18"/>
          <w:szCs w:val="18"/>
        </w:rPr>
        <w:t xml:space="preserve">(2025) 52(1) </w:t>
      </w:r>
      <w:r w:rsidR="00577EE1" w:rsidRPr="002B7DE3">
        <w:rPr>
          <w:rFonts w:ascii="Garamond" w:hAnsi="Garamond"/>
          <w:i/>
          <w:iCs/>
          <w:sz w:val="18"/>
          <w:szCs w:val="18"/>
        </w:rPr>
        <w:t>Journal of Law and Society</w:t>
      </w:r>
      <w:r w:rsidR="00577EE1" w:rsidRPr="002B7DE3">
        <w:rPr>
          <w:rFonts w:ascii="Garamond" w:hAnsi="Garamond"/>
          <w:sz w:val="18"/>
          <w:szCs w:val="18"/>
        </w:rPr>
        <w:t xml:space="preserve"> </w:t>
      </w:r>
      <w:r w:rsidR="00B169D7" w:rsidRPr="002B7DE3">
        <w:rPr>
          <w:rFonts w:ascii="Garamond" w:hAnsi="Garamond"/>
          <w:sz w:val="18"/>
          <w:szCs w:val="18"/>
        </w:rPr>
        <w:t xml:space="preserve">81-111. </w:t>
      </w:r>
    </w:p>
  </w:footnote>
  <w:footnote w:id="114">
    <w:p w14:paraId="32A2FC43" w14:textId="20AF5431" w:rsidR="00501B88" w:rsidRPr="002B7DE3" w:rsidRDefault="00501B88" w:rsidP="002B7DE3">
      <w:pPr>
        <w:pStyle w:val="FootnoteText"/>
        <w:jc w:val="both"/>
        <w:rPr>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Lois R. Lupica and Genevive Grant, ‘Will Human-Centred Legal Design Improve Civil Justice Systems? And How Will We Ever Know?’ in Rossana Ducato and Alain Strowel (eds) </w:t>
      </w:r>
      <w:r w:rsidRPr="002B7DE3">
        <w:rPr>
          <w:rFonts w:ascii="Garamond" w:hAnsi="Garamond"/>
          <w:i/>
          <w:iCs/>
          <w:sz w:val="18"/>
          <w:szCs w:val="18"/>
        </w:rPr>
        <w:t>Legal Design Perspectives: Theoretical and Practical Insights from the Field</w:t>
      </w:r>
      <w:r w:rsidRPr="002B7DE3">
        <w:rPr>
          <w:rFonts w:ascii="Garamond" w:hAnsi="Garamond"/>
          <w:sz w:val="18"/>
          <w:szCs w:val="18"/>
        </w:rPr>
        <w:t xml:space="preserve"> (Ledizioni 2021)</w:t>
      </w:r>
      <w:r w:rsidR="00193B3E" w:rsidRPr="002B7DE3">
        <w:rPr>
          <w:rFonts w:ascii="Garamond" w:hAnsi="Garamond"/>
          <w:sz w:val="18"/>
          <w:szCs w:val="18"/>
        </w:rPr>
        <w:t>.</w:t>
      </w:r>
      <w:r w:rsidR="00193B3E">
        <w:rPr>
          <w:sz w:val="18"/>
          <w:szCs w:val="18"/>
        </w:rPr>
        <w:t xml:space="preserve"> </w:t>
      </w:r>
    </w:p>
  </w:footnote>
  <w:footnote w:id="115">
    <w:p w14:paraId="6DC5B3C7" w14:textId="77777777" w:rsidR="00231A62" w:rsidRPr="002B7DE3" w:rsidRDefault="00231A62" w:rsidP="00231A62">
      <w:pPr>
        <w:pStyle w:val="FootnoteText"/>
        <w:jc w:val="both"/>
        <w:rPr>
          <w:rFonts w:ascii="Garamond" w:hAnsi="Garamond"/>
          <w:sz w:val="18"/>
          <w:szCs w:val="18"/>
        </w:rPr>
      </w:pPr>
      <w:r w:rsidRPr="00F45783">
        <w:rPr>
          <w:rStyle w:val="FootnoteReference"/>
          <w:rFonts w:ascii="Garamond" w:hAnsi="Garamond"/>
          <w:sz w:val="18"/>
          <w:szCs w:val="18"/>
        </w:rPr>
        <w:footnoteRef/>
      </w:r>
      <w:r w:rsidRPr="00F45783">
        <w:rPr>
          <w:rFonts w:ascii="Garamond" w:hAnsi="Garamond"/>
          <w:sz w:val="18"/>
          <w:szCs w:val="18"/>
        </w:rPr>
        <w:t xml:space="preserve"> Maurice Sunkin and Lee Marsons, ‘Directions for Future Research on Administrative Justice’ in Marc Hertogh, Richard </w:t>
      </w:r>
      <w:r w:rsidRPr="00ED501C">
        <w:rPr>
          <w:rFonts w:ascii="Garamond" w:hAnsi="Garamond"/>
          <w:sz w:val="18"/>
          <w:szCs w:val="18"/>
        </w:rPr>
        <w:t xml:space="preserve">Kirkham, Robert Thomas and Joe Tomlinson (eds) </w:t>
      </w:r>
      <w:r w:rsidRPr="00ED501C">
        <w:rPr>
          <w:rFonts w:ascii="Garamond" w:hAnsi="Garamond"/>
          <w:i/>
          <w:iCs/>
          <w:sz w:val="18"/>
          <w:szCs w:val="18"/>
        </w:rPr>
        <w:t xml:space="preserve">The Oxford Handbook of Administrative Justice </w:t>
      </w:r>
      <w:r w:rsidRPr="00ED501C">
        <w:rPr>
          <w:rFonts w:ascii="Garamond" w:hAnsi="Garamond"/>
          <w:sz w:val="18"/>
          <w:szCs w:val="18"/>
        </w:rPr>
        <w:t>(OUP 2022) 652.</w:t>
      </w:r>
    </w:p>
  </w:footnote>
  <w:footnote w:id="116">
    <w:p w14:paraId="682D0D92" w14:textId="5A16D7FC" w:rsidR="00ED501C" w:rsidRPr="002B7DE3" w:rsidRDefault="00ED501C">
      <w:pPr>
        <w:pStyle w:val="FootnoteText"/>
        <w:rPr>
          <w:rFonts w:ascii="Garamond" w:hAnsi="Garamond"/>
          <w:sz w:val="18"/>
          <w:szCs w:val="18"/>
        </w:rPr>
      </w:pPr>
      <w:r w:rsidRPr="002B7DE3">
        <w:rPr>
          <w:rStyle w:val="FootnoteReference"/>
          <w:rFonts w:ascii="Garamond" w:hAnsi="Garamond"/>
          <w:sz w:val="18"/>
          <w:szCs w:val="18"/>
        </w:rPr>
        <w:footnoteRef/>
      </w:r>
      <w:r w:rsidRPr="002B7DE3">
        <w:rPr>
          <w:rFonts w:ascii="Garamond" w:hAnsi="Garamond"/>
          <w:sz w:val="18"/>
          <w:szCs w:val="18"/>
        </w:rPr>
        <w:t xml:space="preserve"> Carol Harlow and Richard Rawlings, Law and Administration (4th edn, CUP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E5CE" w14:textId="77777777" w:rsidR="00CE5A78" w:rsidRDefault="00CE5A78" w:rsidP="00CE5A78">
    <w:pPr>
      <w:pStyle w:val="Header"/>
      <w:jc w:val="right"/>
    </w:pPr>
    <w:r>
      <w:t>PRE-PUBLICATION MANUSCRIPT</w:t>
    </w:r>
  </w:p>
  <w:p w14:paraId="67DECCA1" w14:textId="6B49EC12" w:rsidR="00CE5A78" w:rsidRDefault="00CE5A78" w:rsidP="00CE5A78">
    <w:pPr>
      <w:pStyle w:val="Header"/>
      <w:jc w:val="right"/>
    </w:pPr>
    <w:r>
      <w:t xml:space="preserve">Forthcoming – </w:t>
    </w:r>
    <w:r w:rsidRPr="00CE5A78">
      <w:rPr>
        <w:i/>
        <w:iCs/>
      </w:rPr>
      <w:t>Irish Judicial Studies Journal</w:t>
    </w:r>
    <w:r>
      <w:t xml:space="preserve"> Spring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6B6"/>
    <w:multiLevelType w:val="hybridMultilevel"/>
    <w:tmpl w:val="109439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2890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3C"/>
    <w:rsid w:val="00002621"/>
    <w:rsid w:val="00003132"/>
    <w:rsid w:val="00003296"/>
    <w:rsid w:val="00004FF7"/>
    <w:rsid w:val="00005A5B"/>
    <w:rsid w:val="00016782"/>
    <w:rsid w:val="000212A5"/>
    <w:rsid w:val="0002186F"/>
    <w:rsid w:val="00025825"/>
    <w:rsid w:val="00027D92"/>
    <w:rsid w:val="00034BAB"/>
    <w:rsid w:val="00036EEB"/>
    <w:rsid w:val="00037E93"/>
    <w:rsid w:val="00041B2D"/>
    <w:rsid w:val="00066D33"/>
    <w:rsid w:val="00067918"/>
    <w:rsid w:val="00070B40"/>
    <w:rsid w:val="00073190"/>
    <w:rsid w:val="00073455"/>
    <w:rsid w:val="00074564"/>
    <w:rsid w:val="00075042"/>
    <w:rsid w:val="0008430D"/>
    <w:rsid w:val="00086BA3"/>
    <w:rsid w:val="00087069"/>
    <w:rsid w:val="00092936"/>
    <w:rsid w:val="00096511"/>
    <w:rsid w:val="00097CD7"/>
    <w:rsid w:val="000A00EA"/>
    <w:rsid w:val="000A136C"/>
    <w:rsid w:val="000A2742"/>
    <w:rsid w:val="000A3AC9"/>
    <w:rsid w:val="000A433F"/>
    <w:rsid w:val="000A47BE"/>
    <w:rsid w:val="000A4FED"/>
    <w:rsid w:val="000A658A"/>
    <w:rsid w:val="000A789F"/>
    <w:rsid w:val="000B4D1D"/>
    <w:rsid w:val="000B65DB"/>
    <w:rsid w:val="000C0812"/>
    <w:rsid w:val="000C6600"/>
    <w:rsid w:val="000D0557"/>
    <w:rsid w:val="000D1607"/>
    <w:rsid w:val="000D410A"/>
    <w:rsid w:val="000D476C"/>
    <w:rsid w:val="000D6017"/>
    <w:rsid w:val="000D720F"/>
    <w:rsid w:val="000E549A"/>
    <w:rsid w:val="000F0A9F"/>
    <w:rsid w:val="000F1075"/>
    <w:rsid w:val="000F21ED"/>
    <w:rsid w:val="000F6C93"/>
    <w:rsid w:val="00100033"/>
    <w:rsid w:val="001014AA"/>
    <w:rsid w:val="001027E8"/>
    <w:rsid w:val="001028F0"/>
    <w:rsid w:val="001054CB"/>
    <w:rsid w:val="0010651C"/>
    <w:rsid w:val="00106F84"/>
    <w:rsid w:val="001079EE"/>
    <w:rsid w:val="00110BD0"/>
    <w:rsid w:val="00110DD8"/>
    <w:rsid w:val="00110DF3"/>
    <w:rsid w:val="00114C83"/>
    <w:rsid w:val="00115830"/>
    <w:rsid w:val="00115C56"/>
    <w:rsid w:val="00117C48"/>
    <w:rsid w:val="001220BF"/>
    <w:rsid w:val="00122DD9"/>
    <w:rsid w:val="00126EBF"/>
    <w:rsid w:val="001304B6"/>
    <w:rsid w:val="00130962"/>
    <w:rsid w:val="00133C1F"/>
    <w:rsid w:val="001344CF"/>
    <w:rsid w:val="001364C6"/>
    <w:rsid w:val="001450AC"/>
    <w:rsid w:val="00145108"/>
    <w:rsid w:val="0014667C"/>
    <w:rsid w:val="00146A73"/>
    <w:rsid w:val="00146E26"/>
    <w:rsid w:val="00147041"/>
    <w:rsid w:val="0015049B"/>
    <w:rsid w:val="001504E0"/>
    <w:rsid w:val="00156D69"/>
    <w:rsid w:val="001620B1"/>
    <w:rsid w:val="00162B5E"/>
    <w:rsid w:val="001676D3"/>
    <w:rsid w:val="0017072D"/>
    <w:rsid w:val="00174CBF"/>
    <w:rsid w:val="00182896"/>
    <w:rsid w:val="00185DEE"/>
    <w:rsid w:val="001924F4"/>
    <w:rsid w:val="00193B3E"/>
    <w:rsid w:val="0019616B"/>
    <w:rsid w:val="001A0D84"/>
    <w:rsid w:val="001A2B5A"/>
    <w:rsid w:val="001A5623"/>
    <w:rsid w:val="001B6C4C"/>
    <w:rsid w:val="001C061E"/>
    <w:rsid w:val="001C0679"/>
    <w:rsid w:val="001C728F"/>
    <w:rsid w:val="001C7B93"/>
    <w:rsid w:val="001D08D2"/>
    <w:rsid w:val="001D1808"/>
    <w:rsid w:val="001D574A"/>
    <w:rsid w:val="001E08BE"/>
    <w:rsid w:val="001E1565"/>
    <w:rsid w:val="001E292B"/>
    <w:rsid w:val="001E4B09"/>
    <w:rsid w:val="001E5472"/>
    <w:rsid w:val="001E59A7"/>
    <w:rsid w:val="001F592B"/>
    <w:rsid w:val="0020263D"/>
    <w:rsid w:val="002037B1"/>
    <w:rsid w:val="00203C05"/>
    <w:rsid w:val="002049EB"/>
    <w:rsid w:val="00206218"/>
    <w:rsid w:val="00207010"/>
    <w:rsid w:val="00211401"/>
    <w:rsid w:val="0021162C"/>
    <w:rsid w:val="00211F93"/>
    <w:rsid w:val="002169C3"/>
    <w:rsid w:val="00222AA9"/>
    <w:rsid w:val="002238CB"/>
    <w:rsid w:val="00223CA8"/>
    <w:rsid w:val="00224355"/>
    <w:rsid w:val="002261CC"/>
    <w:rsid w:val="00226D87"/>
    <w:rsid w:val="002274F1"/>
    <w:rsid w:val="00231A62"/>
    <w:rsid w:val="00233A1A"/>
    <w:rsid w:val="002360AD"/>
    <w:rsid w:val="002401D9"/>
    <w:rsid w:val="00241DE3"/>
    <w:rsid w:val="00244B2D"/>
    <w:rsid w:val="00245B20"/>
    <w:rsid w:val="00252A36"/>
    <w:rsid w:val="00252A7B"/>
    <w:rsid w:val="00253021"/>
    <w:rsid w:val="00254778"/>
    <w:rsid w:val="0025527F"/>
    <w:rsid w:val="0025767E"/>
    <w:rsid w:val="00263B3D"/>
    <w:rsid w:val="00263D24"/>
    <w:rsid w:val="002645F9"/>
    <w:rsid w:val="0026480B"/>
    <w:rsid w:val="00265ECB"/>
    <w:rsid w:val="00267D24"/>
    <w:rsid w:val="00271B23"/>
    <w:rsid w:val="00275AAA"/>
    <w:rsid w:val="00276E82"/>
    <w:rsid w:val="0027728F"/>
    <w:rsid w:val="00277CC9"/>
    <w:rsid w:val="00283254"/>
    <w:rsid w:val="0028392F"/>
    <w:rsid w:val="00285B27"/>
    <w:rsid w:val="00286848"/>
    <w:rsid w:val="0029172E"/>
    <w:rsid w:val="00291D06"/>
    <w:rsid w:val="00296202"/>
    <w:rsid w:val="002964EF"/>
    <w:rsid w:val="002A3397"/>
    <w:rsid w:val="002A3513"/>
    <w:rsid w:val="002A4F7B"/>
    <w:rsid w:val="002A6BF1"/>
    <w:rsid w:val="002B115A"/>
    <w:rsid w:val="002B2578"/>
    <w:rsid w:val="002B2D70"/>
    <w:rsid w:val="002B61D0"/>
    <w:rsid w:val="002B734F"/>
    <w:rsid w:val="002B7DE3"/>
    <w:rsid w:val="002C077C"/>
    <w:rsid w:val="002C45D7"/>
    <w:rsid w:val="002C46B4"/>
    <w:rsid w:val="002D35D0"/>
    <w:rsid w:val="002D39E5"/>
    <w:rsid w:val="002D772E"/>
    <w:rsid w:val="002D7956"/>
    <w:rsid w:val="002D7ABE"/>
    <w:rsid w:val="002E0CF2"/>
    <w:rsid w:val="002E32E0"/>
    <w:rsid w:val="002F167A"/>
    <w:rsid w:val="002F19AF"/>
    <w:rsid w:val="002F3339"/>
    <w:rsid w:val="002F4EF6"/>
    <w:rsid w:val="002F6474"/>
    <w:rsid w:val="002F75B4"/>
    <w:rsid w:val="0030041E"/>
    <w:rsid w:val="00304063"/>
    <w:rsid w:val="00310243"/>
    <w:rsid w:val="003131BC"/>
    <w:rsid w:val="00313F51"/>
    <w:rsid w:val="00314919"/>
    <w:rsid w:val="0031629D"/>
    <w:rsid w:val="00316815"/>
    <w:rsid w:val="00321512"/>
    <w:rsid w:val="003224CD"/>
    <w:rsid w:val="003238AB"/>
    <w:rsid w:val="00325E3C"/>
    <w:rsid w:val="00333B34"/>
    <w:rsid w:val="00340AEF"/>
    <w:rsid w:val="003420BF"/>
    <w:rsid w:val="003428B5"/>
    <w:rsid w:val="00344334"/>
    <w:rsid w:val="003445E2"/>
    <w:rsid w:val="00344D45"/>
    <w:rsid w:val="00346BD3"/>
    <w:rsid w:val="00352141"/>
    <w:rsid w:val="0035224E"/>
    <w:rsid w:val="0035397E"/>
    <w:rsid w:val="00353EC8"/>
    <w:rsid w:val="00354359"/>
    <w:rsid w:val="00360352"/>
    <w:rsid w:val="00361298"/>
    <w:rsid w:val="00363990"/>
    <w:rsid w:val="003666C5"/>
    <w:rsid w:val="003672F8"/>
    <w:rsid w:val="00367B56"/>
    <w:rsid w:val="00376685"/>
    <w:rsid w:val="00376B3D"/>
    <w:rsid w:val="003778D8"/>
    <w:rsid w:val="003842D4"/>
    <w:rsid w:val="00385333"/>
    <w:rsid w:val="003858E8"/>
    <w:rsid w:val="00385B40"/>
    <w:rsid w:val="00394BDF"/>
    <w:rsid w:val="0039583A"/>
    <w:rsid w:val="003A256E"/>
    <w:rsid w:val="003A3E5E"/>
    <w:rsid w:val="003A598E"/>
    <w:rsid w:val="003A5AB3"/>
    <w:rsid w:val="003A5C85"/>
    <w:rsid w:val="003A5E1B"/>
    <w:rsid w:val="003A67A0"/>
    <w:rsid w:val="003B0319"/>
    <w:rsid w:val="003B15FF"/>
    <w:rsid w:val="003B7FC2"/>
    <w:rsid w:val="003C17CD"/>
    <w:rsid w:val="003C18A3"/>
    <w:rsid w:val="003D2CDB"/>
    <w:rsid w:val="003E1031"/>
    <w:rsid w:val="003E2D41"/>
    <w:rsid w:val="003E4848"/>
    <w:rsid w:val="003E62F7"/>
    <w:rsid w:val="003E70BB"/>
    <w:rsid w:val="003E714F"/>
    <w:rsid w:val="003F228D"/>
    <w:rsid w:val="003F5036"/>
    <w:rsid w:val="003F6BCF"/>
    <w:rsid w:val="003F789E"/>
    <w:rsid w:val="004060AA"/>
    <w:rsid w:val="00411F5B"/>
    <w:rsid w:val="00412D02"/>
    <w:rsid w:val="00413955"/>
    <w:rsid w:val="00413CFE"/>
    <w:rsid w:val="00414D8C"/>
    <w:rsid w:val="00422604"/>
    <w:rsid w:val="00424992"/>
    <w:rsid w:val="00431AEB"/>
    <w:rsid w:val="00431C92"/>
    <w:rsid w:val="00433364"/>
    <w:rsid w:val="004361F3"/>
    <w:rsid w:val="0043711C"/>
    <w:rsid w:val="004379E0"/>
    <w:rsid w:val="00441079"/>
    <w:rsid w:val="00443269"/>
    <w:rsid w:val="00443C11"/>
    <w:rsid w:val="00446529"/>
    <w:rsid w:val="004510F1"/>
    <w:rsid w:val="00453593"/>
    <w:rsid w:val="00453F34"/>
    <w:rsid w:val="0045407B"/>
    <w:rsid w:val="00455022"/>
    <w:rsid w:val="0045752E"/>
    <w:rsid w:val="004605FA"/>
    <w:rsid w:val="004652FC"/>
    <w:rsid w:val="00474AC8"/>
    <w:rsid w:val="00474B92"/>
    <w:rsid w:val="00474E41"/>
    <w:rsid w:val="004753E9"/>
    <w:rsid w:val="00476929"/>
    <w:rsid w:val="004773B0"/>
    <w:rsid w:val="00480EB9"/>
    <w:rsid w:val="00481AA2"/>
    <w:rsid w:val="00483461"/>
    <w:rsid w:val="00484749"/>
    <w:rsid w:val="0048655A"/>
    <w:rsid w:val="00486ED9"/>
    <w:rsid w:val="004922A0"/>
    <w:rsid w:val="00492D04"/>
    <w:rsid w:val="00495033"/>
    <w:rsid w:val="00495775"/>
    <w:rsid w:val="004A2BCD"/>
    <w:rsid w:val="004A6C8F"/>
    <w:rsid w:val="004A7374"/>
    <w:rsid w:val="004A73BC"/>
    <w:rsid w:val="004B4A61"/>
    <w:rsid w:val="004C08E6"/>
    <w:rsid w:val="004C2927"/>
    <w:rsid w:val="004C5649"/>
    <w:rsid w:val="004D15FF"/>
    <w:rsid w:val="004D25D6"/>
    <w:rsid w:val="004D37DD"/>
    <w:rsid w:val="004D76A5"/>
    <w:rsid w:val="004E19D4"/>
    <w:rsid w:val="004E2097"/>
    <w:rsid w:val="004E21F5"/>
    <w:rsid w:val="004E5306"/>
    <w:rsid w:val="004E5549"/>
    <w:rsid w:val="004F367B"/>
    <w:rsid w:val="004F657B"/>
    <w:rsid w:val="004F7B67"/>
    <w:rsid w:val="004F7D94"/>
    <w:rsid w:val="00501B88"/>
    <w:rsid w:val="00503075"/>
    <w:rsid w:val="0050441C"/>
    <w:rsid w:val="00506450"/>
    <w:rsid w:val="0051216F"/>
    <w:rsid w:val="005129F1"/>
    <w:rsid w:val="00512F0E"/>
    <w:rsid w:val="00514869"/>
    <w:rsid w:val="00516720"/>
    <w:rsid w:val="005200B3"/>
    <w:rsid w:val="0052053B"/>
    <w:rsid w:val="00524089"/>
    <w:rsid w:val="00525E73"/>
    <w:rsid w:val="00530273"/>
    <w:rsid w:val="00534615"/>
    <w:rsid w:val="00534B79"/>
    <w:rsid w:val="0053573C"/>
    <w:rsid w:val="00536285"/>
    <w:rsid w:val="00541960"/>
    <w:rsid w:val="00547216"/>
    <w:rsid w:val="0054776A"/>
    <w:rsid w:val="00547C4F"/>
    <w:rsid w:val="00551208"/>
    <w:rsid w:val="00552A48"/>
    <w:rsid w:val="005536E0"/>
    <w:rsid w:val="00557719"/>
    <w:rsid w:val="0056466D"/>
    <w:rsid w:val="00565B73"/>
    <w:rsid w:val="005661BE"/>
    <w:rsid w:val="00567D50"/>
    <w:rsid w:val="0057095B"/>
    <w:rsid w:val="00572336"/>
    <w:rsid w:val="0057243F"/>
    <w:rsid w:val="00574226"/>
    <w:rsid w:val="005779F4"/>
    <w:rsid w:val="00577D5C"/>
    <w:rsid w:val="00577EE1"/>
    <w:rsid w:val="005833F9"/>
    <w:rsid w:val="00586CBF"/>
    <w:rsid w:val="00592893"/>
    <w:rsid w:val="005A0721"/>
    <w:rsid w:val="005B0A5D"/>
    <w:rsid w:val="005B3553"/>
    <w:rsid w:val="005B726C"/>
    <w:rsid w:val="005C1C3A"/>
    <w:rsid w:val="005C3090"/>
    <w:rsid w:val="005C3F67"/>
    <w:rsid w:val="005C760C"/>
    <w:rsid w:val="005D43D6"/>
    <w:rsid w:val="005D52ED"/>
    <w:rsid w:val="005D6B9E"/>
    <w:rsid w:val="005D7D0E"/>
    <w:rsid w:val="005E0D86"/>
    <w:rsid w:val="005E12EF"/>
    <w:rsid w:val="005E1965"/>
    <w:rsid w:val="005E252D"/>
    <w:rsid w:val="005E38D1"/>
    <w:rsid w:val="005E6737"/>
    <w:rsid w:val="005E754E"/>
    <w:rsid w:val="005F01B0"/>
    <w:rsid w:val="005F246B"/>
    <w:rsid w:val="005F27B0"/>
    <w:rsid w:val="005F6619"/>
    <w:rsid w:val="005F7210"/>
    <w:rsid w:val="006007B4"/>
    <w:rsid w:val="00601D93"/>
    <w:rsid w:val="00602AEC"/>
    <w:rsid w:val="00610616"/>
    <w:rsid w:val="00613105"/>
    <w:rsid w:val="006142E2"/>
    <w:rsid w:val="00616F33"/>
    <w:rsid w:val="00620FD9"/>
    <w:rsid w:val="00621C66"/>
    <w:rsid w:val="00622E01"/>
    <w:rsid w:val="00625C56"/>
    <w:rsid w:val="00636777"/>
    <w:rsid w:val="0063747D"/>
    <w:rsid w:val="00641242"/>
    <w:rsid w:val="00642563"/>
    <w:rsid w:val="006456A9"/>
    <w:rsid w:val="0064595E"/>
    <w:rsid w:val="00646136"/>
    <w:rsid w:val="00653A65"/>
    <w:rsid w:val="00654D3D"/>
    <w:rsid w:val="00655054"/>
    <w:rsid w:val="00655672"/>
    <w:rsid w:val="0065682B"/>
    <w:rsid w:val="0066119D"/>
    <w:rsid w:val="006619D0"/>
    <w:rsid w:val="00666D0C"/>
    <w:rsid w:val="00667981"/>
    <w:rsid w:val="00670B63"/>
    <w:rsid w:val="00675622"/>
    <w:rsid w:val="006779A5"/>
    <w:rsid w:val="00681828"/>
    <w:rsid w:val="00686A94"/>
    <w:rsid w:val="0069282F"/>
    <w:rsid w:val="00695D91"/>
    <w:rsid w:val="006A01AD"/>
    <w:rsid w:val="006A3E1F"/>
    <w:rsid w:val="006A5CE8"/>
    <w:rsid w:val="006B3409"/>
    <w:rsid w:val="006B483C"/>
    <w:rsid w:val="006B5897"/>
    <w:rsid w:val="006C14B8"/>
    <w:rsid w:val="006C15C2"/>
    <w:rsid w:val="006C451A"/>
    <w:rsid w:val="006C597C"/>
    <w:rsid w:val="006D0B73"/>
    <w:rsid w:val="006D2E51"/>
    <w:rsid w:val="006D4793"/>
    <w:rsid w:val="006E18F0"/>
    <w:rsid w:val="006E1A02"/>
    <w:rsid w:val="006E2B6D"/>
    <w:rsid w:val="006F0270"/>
    <w:rsid w:val="006F4F9B"/>
    <w:rsid w:val="00701736"/>
    <w:rsid w:val="0070230A"/>
    <w:rsid w:val="007128A6"/>
    <w:rsid w:val="007222A0"/>
    <w:rsid w:val="007230DC"/>
    <w:rsid w:val="007239B3"/>
    <w:rsid w:val="00726C06"/>
    <w:rsid w:val="00727E3B"/>
    <w:rsid w:val="0073122B"/>
    <w:rsid w:val="00736A92"/>
    <w:rsid w:val="007407A1"/>
    <w:rsid w:val="00746DF0"/>
    <w:rsid w:val="00750D3B"/>
    <w:rsid w:val="00751961"/>
    <w:rsid w:val="00761AF9"/>
    <w:rsid w:val="0076268D"/>
    <w:rsid w:val="00764358"/>
    <w:rsid w:val="007664D2"/>
    <w:rsid w:val="00767C77"/>
    <w:rsid w:val="00770A98"/>
    <w:rsid w:val="0078021C"/>
    <w:rsid w:val="0078117A"/>
    <w:rsid w:val="007858C9"/>
    <w:rsid w:val="00790EA7"/>
    <w:rsid w:val="007913D8"/>
    <w:rsid w:val="007917ED"/>
    <w:rsid w:val="007A046F"/>
    <w:rsid w:val="007A2259"/>
    <w:rsid w:val="007A4D5B"/>
    <w:rsid w:val="007A6972"/>
    <w:rsid w:val="007A7D55"/>
    <w:rsid w:val="007A7E15"/>
    <w:rsid w:val="007B4534"/>
    <w:rsid w:val="007B5788"/>
    <w:rsid w:val="007B5CE9"/>
    <w:rsid w:val="007B5DD6"/>
    <w:rsid w:val="007B7BA8"/>
    <w:rsid w:val="007C25C8"/>
    <w:rsid w:val="007C4542"/>
    <w:rsid w:val="007C4B7A"/>
    <w:rsid w:val="007C7074"/>
    <w:rsid w:val="007C7D61"/>
    <w:rsid w:val="007D17A2"/>
    <w:rsid w:val="007D20E0"/>
    <w:rsid w:val="007D341C"/>
    <w:rsid w:val="007D3489"/>
    <w:rsid w:val="007D51B0"/>
    <w:rsid w:val="007E1FA7"/>
    <w:rsid w:val="007E3DC6"/>
    <w:rsid w:val="007E51E3"/>
    <w:rsid w:val="007F3832"/>
    <w:rsid w:val="007F4326"/>
    <w:rsid w:val="007F4A5C"/>
    <w:rsid w:val="007F5680"/>
    <w:rsid w:val="007F5851"/>
    <w:rsid w:val="00800D40"/>
    <w:rsid w:val="00806E10"/>
    <w:rsid w:val="00815A1D"/>
    <w:rsid w:val="00820293"/>
    <w:rsid w:val="0082192A"/>
    <w:rsid w:val="00823E5D"/>
    <w:rsid w:val="00830BC2"/>
    <w:rsid w:val="00833387"/>
    <w:rsid w:val="008338BB"/>
    <w:rsid w:val="00835CB3"/>
    <w:rsid w:val="00836203"/>
    <w:rsid w:val="00841372"/>
    <w:rsid w:val="008428F0"/>
    <w:rsid w:val="00842C73"/>
    <w:rsid w:val="00843369"/>
    <w:rsid w:val="00843CA3"/>
    <w:rsid w:val="00846EC9"/>
    <w:rsid w:val="00847381"/>
    <w:rsid w:val="008527E0"/>
    <w:rsid w:val="00852858"/>
    <w:rsid w:val="00854DC9"/>
    <w:rsid w:val="00854FA7"/>
    <w:rsid w:val="00855AB0"/>
    <w:rsid w:val="00860A3C"/>
    <w:rsid w:val="00862A93"/>
    <w:rsid w:val="00864115"/>
    <w:rsid w:val="00864943"/>
    <w:rsid w:val="00873F4C"/>
    <w:rsid w:val="00875506"/>
    <w:rsid w:val="0087615B"/>
    <w:rsid w:val="00877197"/>
    <w:rsid w:val="00877537"/>
    <w:rsid w:val="00880864"/>
    <w:rsid w:val="00882989"/>
    <w:rsid w:val="00882B50"/>
    <w:rsid w:val="0089025F"/>
    <w:rsid w:val="00890B15"/>
    <w:rsid w:val="0089189F"/>
    <w:rsid w:val="00891D1D"/>
    <w:rsid w:val="00895980"/>
    <w:rsid w:val="008A1AD7"/>
    <w:rsid w:val="008A1D4A"/>
    <w:rsid w:val="008A4FF3"/>
    <w:rsid w:val="008A551E"/>
    <w:rsid w:val="008B063A"/>
    <w:rsid w:val="008B724C"/>
    <w:rsid w:val="008B79BE"/>
    <w:rsid w:val="008C3B94"/>
    <w:rsid w:val="008C536C"/>
    <w:rsid w:val="008C682B"/>
    <w:rsid w:val="008D05C7"/>
    <w:rsid w:val="008D3F7C"/>
    <w:rsid w:val="008D4638"/>
    <w:rsid w:val="008D5B88"/>
    <w:rsid w:val="008D7435"/>
    <w:rsid w:val="008E1716"/>
    <w:rsid w:val="008E21DF"/>
    <w:rsid w:val="008E59FD"/>
    <w:rsid w:val="008F4AC8"/>
    <w:rsid w:val="008F5122"/>
    <w:rsid w:val="009006C9"/>
    <w:rsid w:val="009051B9"/>
    <w:rsid w:val="009134C2"/>
    <w:rsid w:val="00913EFF"/>
    <w:rsid w:val="0091594E"/>
    <w:rsid w:val="00921E33"/>
    <w:rsid w:val="00925614"/>
    <w:rsid w:val="00927B37"/>
    <w:rsid w:val="009334E4"/>
    <w:rsid w:val="00934260"/>
    <w:rsid w:val="00941C23"/>
    <w:rsid w:val="0094283D"/>
    <w:rsid w:val="009442ED"/>
    <w:rsid w:val="00945CDB"/>
    <w:rsid w:val="00945D8A"/>
    <w:rsid w:val="00953E46"/>
    <w:rsid w:val="00960B0C"/>
    <w:rsid w:val="009617D8"/>
    <w:rsid w:val="00963278"/>
    <w:rsid w:val="0096450B"/>
    <w:rsid w:val="00966AC7"/>
    <w:rsid w:val="00980DA8"/>
    <w:rsid w:val="0098102C"/>
    <w:rsid w:val="0098106D"/>
    <w:rsid w:val="00986289"/>
    <w:rsid w:val="009873F5"/>
    <w:rsid w:val="00990F46"/>
    <w:rsid w:val="009942CB"/>
    <w:rsid w:val="009974AF"/>
    <w:rsid w:val="009A1CD8"/>
    <w:rsid w:val="009A24AF"/>
    <w:rsid w:val="009A52F1"/>
    <w:rsid w:val="009A7E94"/>
    <w:rsid w:val="009B1D41"/>
    <w:rsid w:val="009B4933"/>
    <w:rsid w:val="009C7E31"/>
    <w:rsid w:val="009D1E73"/>
    <w:rsid w:val="009D415A"/>
    <w:rsid w:val="009E010D"/>
    <w:rsid w:val="009E132A"/>
    <w:rsid w:val="009E6166"/>
    <w:rsid w:val="009E6FF0"/>
    <w:rsid w:val="009F0688"/>
    <w:rsid w:val="009F5585"/>
    <w:rsid w:val="009F70F9"/>
    <w:rsid w:val="00A004AD"/>
    <w:rsid w:val="00A00AC7"/>
    <w:rsid w:val="00A04CE8"/>
    <w:rsid w:val="00A11192"/>
    <w:rsid w:val="00A12B87"/>
    <w:rsid w:val="00A1379D"/>
    <w:rsid w:val="00A15C39"/>
    <w:rsid w:val="00A15CAF"/>
    <w:rsid w:val="00A15ED4"/>
    <w:rsid w:val="00A171FD"/>
    <w:rsid w:val="00A249E8"/>
    <w:rsid w:val="00A25FD8"/>
    <w:rsid w:val="00A272C7"/>
    <w:rsid w:val="00A27BA0"/>
    <w:rsid w:val="00A31F1F"/>
    <w:rsid w:val="00A32FFD"/>
    <w:rsid w:val="00A44324"/>
    <w:rsid w:val="00A45D09"/>
    <w:rsid w:val="00A5490F"/>
    <w:rsid w:val="00A565B8"/>
    <w:rsid w:val="00A56F2D"/>
    <w:rsid w:val="00A572EC"/>
    <w:rsid w:val="00A600D5"/>
    <w:rsid w:val="00A60711"/>
    <w:rsid w:val="00A61FEE"/>
    <w:rsid w:val="00A62AD8"/>
    <w:rsid w:val="00A65CDD"/>
    <w:rsid w:val="00A65D21"/>
    <w:rsid w:val="00A67A17"/>
    <w:rsid w:val="00A76C7C"/>
    <w:rsid w:val="00A77079"/>
    <w:rsid w:val="00A80CC6"/>
    <w:rsid w:val="00A8172B"/>
    <w:rsid w:val="00A81BFF"/>
    <w:rsid w:val="00A82014"/>
    <w:rsid w:val="00A82DC3"/>
    <w:rsid w:val="00A858B1"/>
    <w:rsid w:val="00A87D7B"/>
    <w:rsid w:val="00A95185"/>
    <w:rsid w:val="00AA0AD7"/>
    <w:rsid w:val="00AA140D"/>
    <w:rsid w:val="00AA4A8B"/>
    <w:rsid w:val="00AA4E0C"/>
    <w:rsid w:val="00AA67DE"/>
    <w:rsid w:val="00AA6E30"/>
    <w:rsid w:val="00AB33A1"/>
    <w:rsid w:val="00AB3B33"/>
    <w:rsid w:val="00AB5144"/>
    <w:rsid w:val="00AC08A5"/>
    <w:rsid w:val="00AC0C66"/>
    <w:rsid w:val="00AC1A2F"/>
    <w:rsid w:val="00AC59D3"/>
    <w:rsid w:val="00AD23C2"/>
    <w:rsid w:val="00AD468B"/>
    <w:rsid w:val="00AD7AE1"/>
    <w:rsid w:val="00AE4ABF"/>
    <w:rsid w:val="00AE58D0"/>
    <w:rsid w:val="00AF0EB6"/>
    <w:rsid w:val="00AF5DF9"/>
    <w:rsid w:val="00AF6907"/>
    <w:rsid w:val="00B026C6"/>
    <w:rsid w:val="00B03E43"/>
    <w:rsid w:val="00B07AC4"/>
    <w:rsid w:val="00B11A01"/>
    <w:rsid w:val="00B11D8F"/>
    <w:rsid w:val="00B12729"/>
    <w:rsid w:val="00B14094"/>
    <w:rsid w:val="00B169D7"/>
    <w:rsid w:val="00B21BE2"/>
    <w:rsid w:val="00B261A4"/>
    <w:rsid w:val="00B27116"/>
    <w:rsid w:val="00B306EC"/>
    <w:rsid w:val="00B33C13"/>
    <w:rsid w:val="00B34159"/>
    <w:rsid w:val="00B34D26"/>
    <w:rsid w:val="00B37690"/>
    <w:rsid w:val="00B37E99"/>
    <w:rsid w:val="00B43C14"/>
    <w:rsid w:val="00B449AC"/>
    <w:rsid w:val="00B524DB"/>
    <w:rsid w:val="00B570FD"/>
    <w:rsid w:val="00B576A2"/>
    <w:rsid w:val="00B63B89"/>
    <w:rsid w:val="00B65088"/>
    <w:rsid w:val="00B65E14"/>
    <w:rsid w:val="00B66170"/>
    <w:rsid w:val="00B661FE"/>
    <w:rsid w:val="00B75D4E"/>
    <w:rsid w:val="00B801FC"/>
    <w:rsid w:val="00B82832"/>
    <w:rsid w:val="00B8483C"/>
    <w:rsid w:val="00B86426"/>
    <w:rsid w:val="00B87E05"/>
    <w:rsid w:val="00B92838"/>
    <w:rsid w:val="00B9491A"/>
    <w:rsid w:val="00B96696"/>
    <w:rsid w:val="00B97B9A"/>
    <w:rsid w:val="00BA5B6C"/>
    <w:rsid w:val="00BB07A3"/>
    <w:rsid w:val="00BB096E"/>
    <w:rsid w:val="00BB170F"/>
    <w:rsid w:val="00BB3E73"/>
    <w:rsid w:val="00BB6D28"/>
    <w:rsid w:val="00BC097B"/>
    <w:rsid w:val="00BC1FC6"/>
    <w:rsid w:val="00BC25EE"/>
    <w:rsid w:val="00BC3908"/>
    <w:rsid w:val="00BC72FA"/>
    <w:rsid w:val="00BD006E"/>
    <w:rsid w:val="00BD3430"/>
    <w:rsid w:val="00BE154C"/>
    <w:rsid w:val="00BE1FD6"/>
    <w:rsid w:val="00BE24F3"/>
    <w:rsid w:val="00BE4202"/>
    <w:rsid w:val="00BF18EA"/>
    <w:rsid w:val="00BF2F0F"/>
    <w:rsid w:val="00BF6B3F"/>
    <w:rsid w:val="00BF72F0"/>
    <w:rsid w:val="00BF75CC"/>
    <w:rsid w:val="00C002B1"/>
    <w:rsid w:val="00C0510D"/>
    <w:rsid w:val="00C05215"/>
    <w:rsid w:val="00C06A7D"/>
    <w:rsid w:val="00C15227"/>
    <w:rsid w:val="00C214B1"/>
    <w:rsid w:val="00C236C0"/>
    <w:rsid w:val="00C24B4C"/>
    <w:rsid w:val="00C27254"/>
    <w:rsid w:val="00C27A46"/>
    <w:rsid w:val="00C32ACC"/>
    <w:rsid w:val="00C33C8C"/>
    <w:rsid w:val="00C341F7"/>
    <w:rsid w:val="00C36A0B"/>
    <w:rsid w:val="00C37E74"/>
    <w:rsid w:val="00C4256A"/>
    <w:rsid w:val="00C42802"/>
    <w:rsid w:val="00C44B43"/>
    <w:rsid w:val="00C45C66"/>
    <w:rsid w:val="00C515C8"/>
    <w:rsid w:val="00C552F9"/>
    <w:rsid w:val="00C602AD"/>
    <w:rsid w:val="00C62B94"/>
    <w:rsid w:val="00C63370"/>
    <w:rsid w:val="00C63F05"/>
    <w:rsid w:val="00C66A32"/>
    <w:rsid w:val="00C70AE2"/>
    <w:rsid w:val="00C70D03"/>
    <w:rsid w:val="00C7294D"/>
    <w:rsid w:val="00C72D76"/>
    <w:rsid w:val="00C74777"/>
    <w:rsid w:val="00C747FA"/>
    <w:rsid w:val="00C759F1"/>
    <w:rsid w:val="00C774A6"/>
    <w:rsid w:val="00C77A97"/>
    <w:rsid w:val="00C84F18"/>
    <w:rsid w:val="00C86C94"/>
    <w:rsid w:val="00C9295E"/>
    <w:rsid w:val="00C95FE7"/>
    <w:rsid w:val="00C9703C"/>
    <w:rsid w:val="00CA025C"/>
    <w:rsid w:val="00CA02C6"/>
    <w:rsid w:val="00CA0333"/>
    <w:rsid w:val="00CA1CBD"/>
    <w:rsid w:val="00CA6226"/>
    <w:rsid w:val="00CA6614"/>
    <w:rsid w:val="00CA7B2C"/>
    <w:rsid w:val="00CB07B3"/>
    <w:rsid w:val="00CB2611"/>
    <w:rsid w:val="00CB2B14"/>
    <w:rsid w:val="00CB64D1"/>
    <w:rsid w:val="00CC0763"/>
    <w:rsid w:val="00CC1457"/>
    <w:rsid w:val="00CC3820"/>
    <w:rsid w:val="00CC3853"/>
    <w:rsid w:val="00CC6524"/>
    <w:rsid w:val="00CC6D39"/>
    <w:rsid w:val="00CC7A86"/>
    <w:rsid w:val="00CD0D08"/>
    <w:rsid w:val="00CD3DA6"/>
    <w:rsid w:val="00CD71DB"/>
    <w:rsid w:val="00CE0DD5"/>
    <w:rsid w:val="00CE3490"/>
    <w:rsid w:val="00CE4132"/>
    <w:rsid w:val="00CE4A57"/>
    <w:rsid w:val="00CE5A78"/>
    <w:rsid w:val="00CE685D"/>
    <w:rsid w:val="00CE6DA2"/>
    <w:rsid w:val="00CF0DD0"/>
    <w:rsid w:val="00CF0EDD"/>
    <w:rsid w:val="00CF5211"/>
    <w:rsid w:val="00CF5AA6"/>
    <w:rsid w:val="00D012EC"/>
    <w:rsid w:val="00D02C18"/>
    <w:rsid w:val="00D032E5"/>
    <w:rsid w:val="00D046C7"/>
    <w:rsid w:val="00D04CEB"/>
    <w:rsid w:val="00D06919"/>
    <w:rsid w:val="00D0691E"/>
    <w:rsid w:val="00D0724C"/>
    <w:rsid w:val="00D11685"/>
    <w:rsid w:val="00D144F1"/>
    <w:rsid w:val="00D148EF"/>
    <w:rsid w:val="00D14941"/>
    <w:rsid w:val="00D14BDA"/>
    <w:rsid w:val="00D20675"/>
    <w:rsid w:val="00D2076D"/>
    <w:rsid w:val="00D25AD3"/>
    <w:rsid w:val="00D32C1F"/>
    <w:rsid w:val="00D423F9"/>
    <w:rsid w:val="00D42934"/>
    <w:rsid w:val="00D45294"/>
    <w:rsid w:val="00D509F3"/>
    <w:rsid w:val="00D50DB1"/>
    <w:rsid w:val="00D52DAE"/>
    <w:rsid w:val="00D55EDE"/>
    <w:rsid w:val="00D56FD8"/>
    <w:rsid w:val="00D60E0A"/>
    <w:rsid w:val="00D623A6"/>
    <w:rsid w:val="00D643FE"/>
    <w:rsid w:val="00D66137"/>
    <w:rsid w:val="00D6723D"/>
    <w:rsid w:val="00D702DE"/>
    <w:rsid w:val="00D7104C"/>
    <w:rsid w:val="00D724E4"/>
    <w:rsid w:val="00D749B4"/>
    <w:rsid w:val="00D74A02"/>
    <w:rsid w:val="00D77ACE"/>
    <w:rsid w:val="00D81BE4"/>
    <w:rsid w:val="00D82147"/>
    <w:rsid w:val="00D84207"/>
    <w:rsid w:val="00D848D3"/>
    <w:rsid w:val="00D936BD"/>
    <w:rsid w:val="00D9618D"/>
    <w:rsid w:val="00D97C4A"/>
    <w:rsid w:val="00DA0600"/>
    <w:rsid w:val="00DA0FAC"/>
    <w:rsid w:val="00DA1CE2"/>
    <w:rsid w:val="00DA3DAE"/>
    <w:rsid w:val="00DA4259"/>
    <w:rsid w:val="00DA5D2C"/>
    <w:rsid w:val="00DB057F"/>
    <w:rsid w:val="00DB3086"/>
    <w:rsid w:val="00DC17CB"/>
    <w:rsid w:val="00DC1BD7"/>
    <w:rsid w:val="00DC6175"/>
    <w:rsid w:val="00DC6A3F"/>
    <w:rsid w:val="00DD06EF"/>
    <w:rsid w:val="00DD08F7"/>
    <w:rsid w:val="00DD2106"/>
    <w:rsid w:val="00DD26A3"/>
    <w:rsid w:val="00DD6870"/>
    <w:rsid w:val="00DE0B54"/>
    <w:rsid w:val="00DE27F6"/>
    <w:rsid w:val="00DE4A2F"/>
    <w:rsid w:val="00DE6131"/>
    <w:rsid w:val="00DF0A6C"/>
    <w:rsid w:val="00DF1E21"/>
    <w:rsid w:val="00DF2DDC"/>
    <w:rsid w:val="00DF4A20"/>
    <w:rsid w:val="00DF7EC3"/>
    <w:rsid w:val="00E0505A"/>
    <w:rsid w:val="00E17A1F"/>
    <w:rsid w:val="00E17C96"/>
    <w:rsid w:val="00E20A39"/>
    <w:rsid w:val="00E213CF"/>
    <w:rsid w:val="00E31E10"/>
    <w:rsid w:val="00E32752"/>
    <w:rsid w:val="00E32DD8"/>
    <w:rsid w:val="00E34697"/>
    <w:rsid w:val="00E3493B"/>
    <w:rsid w:val="00E425AC"/>
    <w:rsid w:val="00E46782"/>
    <w:rsid w:val="00E50755"/>
    <w:rsid w:val="00E52C93"/>
    <w:rsid w:val="00E5584A"/>
    <w:rsid w:val="00E56D80"/>
    <w:rsid w:val="00E5723D"/>
    <w:rsid w:val="00E57260"/>
    <w:rsid w:val="00E57803"/>
    <w:rsid w:val="00E62446"/>
    <w:rsid w:val="00E6265A"/>
    <w:rsid w:val="00E66FB7"/>
    <w:rsid w:val="00E67540"/>
    <w:rsid w:val="00E71628"/>
    <w:rsid w:val="00E72D75"/>
    <w:rsid w:val="00E7365D"/>
    <w:rsid w:val="00E74C5A"/>
    <w:rsid w:val="00E75360"/>
    <w:rsid w:val="00E76299"/>
    <w:rsid w:val="00E769E8"/>
    <w:rsid w:val="00E77AD8"/>
    <w:rsid w:val="00E82774"/>
    <w:rsid w:val="00E860A9"/>
    <w:rsid w:val="00E86817"/>
    <w:rsid w:val="00E91BED"/>
    <w:rsid w:val="00E92486"/>
    <w:rsid w:val="00E94C9D"/>
    <w:rsid w:val="00EA0591"/>
    <w:rsid w:val="00EA093E"/>
    <w:rsid w:val="00EA2A47"/>
    <w:rsid w:val="00EA370C"/>
    <w:rsid w:val="00EA6183"/>
    <w:rsid w:val="00EA6AE8"/>
    <w:rsid w:val="00EB3B3A"/>
    <w:rsid w:val="00EB4B0A"/>
    <w:rsid w:val="00EB509C"/>
    <w:rsid w:val="00EB75AC"/>
    <w:rsid w:val="00EC20C2"/>
    <w:rsid w:val="00EC39C0"/>
    <w:rsid w:val="00EC4207"/>
    <w:rsid w:val="00EC4EAD"/>
    <w:rsid w:val="00ED0234"/>
    <w:rsid w:val="00ED501C"/>
    <w:rsid w:val="00ED660B"/>
    <w:rsid w:val="00ED7398"/>
    <w:rsid w:val="00EE09AA"/>
    <w:rsid w:val="00EE409E"/>
    <w:rsid w:val="00EE433A"/>
    <w:rsid w:val="00EE65F5"/>
    <w:rsid w:val="00EF79FA"/>
    <w:rsid w:val="00F01428"/>
    <w:rsid w:val="00F0205A"/>
    <w:rsid w:val="00F02C4E"/>
    <w:rsid w:val="00F11683"/>
    <w:rsid w:val="00F12AE9"/>
    <w:rsid w:val="00F154CC"/>
    <w:rsid w:val="00F21E83"/>
    <w:rsid w:val="00F21EE9"/>
    <w:rsid w:val="00F22ED6"/>
    <w:rsid w:val="00F274C9"/>
    <w:rsid w:val="00F3022B"/>
    <w:rsid w:val="00F34D7E"/>
    <w:rsid w:val="00F3629A"/>
    <w:rsid w:val="00F431AD"/>
    <w:rsid w:val="00F44429"/>
    <w:rsid w:val="00F45783"/>
    <w:rsid w:val="00F50F1F"/>
    <w:rsid w:val="00F5175F"/>
    <w:rsid w:val="00F51D58"/>
    <w:rsid w:val="00F526EB"/>
    <w:rsid w:val="00F537AA"/>
    <w:rsid w:val="00F55450"/>
    <w:rsid w:val="00F56267"/>
    <w:rsid w:val="00F63F03"/>
    <w:rsid w:val="00F655F1"/>
    <w:rsid w:val="00F6596E"/>
    <w:rsid w:val="00F66B8E"/>
    <w:rsid w:val="00F74A45"/>
    <w:rsid w:val="00F74A72"/>
    <w:rsid w:val="00F75F40"/>
    <w:rsid w:val="00F761AE"/>
    <w:rsid w:val="00F8021E"/>
    <w:rsid w:val="00F809CC"/>
    <w:rsid w:val="00F8218C"/>
    <w:rsid w:val="00F8453F"/>
    <w:rsid w:val="00F911D2"/>
    <w:rsid w:val="00F946E0"/>
    <w:rsid w:val="00FA0733"/>
    <w:rsid w:val="00FA334F"/>
    <w:rsid w:val="00FA52FC"/>
    <w:rsid w:val="00FB243C"/>
    <w:rsid w:val="00FB32E3"/>
    <w:rsid w:val="00FB38CD"/>
    <w:rsid w:val="00FB5076"/>
    <w:rsid w:val="00FB618D"/>
    <w:rsid w:val="00FC14DE"/>
    <w:rsid w:val="00FC1824"/>
    <w:rsid w:val="00FC4919"/>
    <w:rsid w:val="00FC5DB7"/>
    <w:rsid w:val="00FC649B"/>
    <w:rsid w:val="00FC6709"/>
    <w:rsid w:val="00FD06DB"/>
    <w:rsid w:val="00FD3ABF"/>
    <w:rsid w:val="00FD4AEC"/>
    <w:rsid w:val="00FE38BA"/>
    <w:rsid w:val="00FE40EC"/>
    <w:rsid w:val="00FE4277"/>
    <w:rsid w:val="00FE7CE6"/>
    <w:rsid w:val="00FF19D5"/>
    <w:rsid w:val="00FF3CFE"/>
    <w:rsid w:val="00FF4B03"/>
    <w:rsid w:val="00FF67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FA57"/>
  <w15:chartTrackingRefBased/>
  <w15:docId w15:val="{377D4659-A24C-43DD-876B-86BA8344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85"/>
  </w:style>
  <w:style w:type="paragraph" w:styleId="Heading1">
    <w:name w:val="heading 1"/>
    <w:basedOn w:val="Normal"/>
    <w:next w:val="Normal"/>
    <w:link w:val="Heading1Char"/>
    <w:uiPriority w:val="9"/>
    <w:qFormat/>
    <w:rsid w:val="00354359"/>
    <w:pPr>
      <w:keepNext/>
      <w:keepLines/>
      <w:spacing w:before="360" w:after="80"/>
      <w:outlineLvl w:val="0"/>
    </w:pPr>
    <w:rPr>
      <w:rFonts w:eastAsiaTheme="majorEastAsia" w:cstheme="majorBidi"/>
      <w:color w:val="215E99" w:themeColor="text2" w:themeTint="BF"/>
      <w:sz w:val="32"/>
      <w:szCs w:val="40"/>
    </w:rPr>
  </w:style>
  <w:style w:type="paragraph" w:styleId="Heading2">
    <w:name w:val="heading 2"/>
    <w:basedOn w:val="Normal"/>
    <w:next w:val="Normal"/>
    <w:link w:val="Heading2Char"/>
    <w:uiPriority w:val="9"/>
    <w:semiHidden/>
    <w:unhideWhenUsed/>
    <w:qFormat/>
    <w:rsid w:val="00354359"/>
    <w:pPr>
      <w:keepNext/>
      <w:keepLines/>
      <w:spacing w:before="160" w:after="80"/>
      <w:outlineLvl w:val="1"/>
    </w:pPr>
    <w:rPr>
      <w:rFonts w:eastAsiaTheme="majorEastAsia" w:cstheme="majorBidi"/>
      <w:b/>
      <w:color w:val="215E99" w:themeColor="text2" w:themeTint="BF"/>
      <w:szCs w:val="32"/>
    </w:rPr>
  </w:style>
  <w:style w:type="paragraph" w:styleId="Heading3">
    <w:name w:val="heading 3"/>
    <w:basedOn w:val="Normal"/>
    <w:next w:val="Normal"/>
    <w:link w:val="Heading3Char"/>
    <w:uiPriority w:val="9"/>
    <w:unhideWhenUsed/>
    <w:qFormat/>
    <w:rsid w:val="0035435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354359"/>
    <w:pPr>
      <w:keepNext/>
      <w:keepLines/>
      <w:spacing w:before="80" w:after="40"/>
      <w:outlineLvl w:val="3"/>
    </w:pPr>
    <w:rPr>
      <w:rFonts w:eastAsiaTheme="majorEastAsia" w:cstheme="majorBidi"/>
      <w:i/>
      <w:iCs/>
      <w:color w:val="215E99" w:themeColor="text2" w:themeTint="BF"/>
    </w:rPr>
  </w:style>
  <w:style w:type="paragraph" w:styleId="Heading5">
    <w:name w:val="heading 5"/>
    <w:basedOn w:val="Normal"/>
    <w:next w:val="Normal"/>
    <w:link w:val="Heading5Char"/>
    <w:uiPriority w:val="9"/>
    <w:semiHidden/>
    <w:unhideWhenUsed/>
    <w:qFormat/>
    <w:rsid w:val="005357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57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57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57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57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33A1"/>
    <w:pPr>
      <w:spacing w:after="0" w:line="240" w:lineRule="auto"/>
      <w:contextualSpacing/>
    </w:pPr>
    <w:rPr>
      <w:rFonts w:eastAsiaTheme="majorEastAsia" w:cstheme="majorBidi"/>
      <w:b/>
      <w:color w:val="215E99" w:themeColor="text2" w:themeTint="BF"/>
      <w:spacing w:val="-10"/>
      <w:kern w:val="28"/>
      <w:szCs w:val="56"/>
    </w:rPr>
  </w:style>
  <w:style w:type="character" w:customStyle="1" w:styleId="TitleChar">
    <w:name w:val="Title Char"/>
    <w:basedOn w:val="DefaultParagraphFont"/>
    <w:link w:val="Title"/>
    <w:uiPriority w:val="10"/>
    <w:rsid w:val="00AB33A1"/>
    <w:rPr>
      <w:rFonts w:eastAsiaTheme="majorEastAsia" w:cstheme="majorBidi"/>
      <w:b/>
      <w:color w:val="215E99" w:themeColor="text2" w:themeTint="BF"/>
      <w:spacing w:val="-10"/>
      <w:kern w:val="28"/>
      <w:szCs w:val="56"/>
    </w:rPr>
  </w:style>
  <w:style w:type="character" w:customStyle="1" w:styleId="Heading1Char">
    <w:name w:val="Heading 1 Char"/>
    <w:basedOn w:val="DefaultParagraphFont"/>
    <w:link w:val="Heading1"/>
    <w:uiPriority w:val="9"/>
    <w:rsid w:val="00354359"/>
    <w:rPr>
      <w:rFonts w:eastAsiaTheme="majorEastAsia" w:cstheme="majorBidi"/>
      <w:color w:val="215E99" w:themeColor="text2" w:themeTint="BF"/>
      <w:sz w:val="32"/>
      <w:szCs w:val="40"/>
    </w:rPr>
  </w:style>
  <w:style w:type="character" w:customStyle="1" w:styleId="Heading2Char">
    <w:name w:val="Heading 2 Char"/>
    <w:basedOn w:val="DefaultParagraphFont"/>
    <w:link w:val="Heading2"/>
    <w:uiPriority w:val="9"/>
    <w:semiHidden/>
    <w:rsid w:val="00354359"/>
    <w:rPr>
      <w:rFonts w:eastAsiaTheme="majorEastAsia" w:cstheme="majorBidi"/>
      <w:b/>
      <w:color w:val="215E99" w:themeColor="text2" w:themeTint="BF"/>
      <w:szCs w:val="32"/>
    </w:rPr>
  </w:style>
  <w:style w:type="character" w:customStyle="1" w:styleId="Heading3Char">
    <w:name w:val="Heading 3 Char"/>
    <w:basedOn w:val="DefaultParagraphFont"/>
    <w:link w:val="Heading3"/>
    <w:uiPriority w:val="9"/>
    <w:rsid w:val="00354359"/>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rsid w:val="00354359"/>
    <w:rPr>
      <w:rFonts w:eastAsiaTheme="majorEastAsia" w:cstheme="majorBidi"/>
      <w:i/>
      <w:iCs/>
      <w:color w:val="215E99" w:themeColor="text2" w:themeTint="BF"/>
    </w:rPr>
  </w:style>
  <w:style w:type="character" w:customStyle="1" w:styleId="Heading5Char">
    <w:name w:val="Heading 5 Char"/>
    <w:basedOn w:val="DefaultParagraphFont"/>
    <w:link w:val="Heading5"/>
    <w:uiPriority w:val="9"/>
    <w:semiHidden/>
    <w:rsid w:val="005357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57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57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57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573C"/>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5357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7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573C"/>
    <w:pPr>
      <w:spacing w:before="160"/>
      <w:jc w:val="center"/>
    </w:pPr>
    <w:rPr>
      <w:i/>
      <w:iCs/>
      <w:color w:val="404040" w:themeColor="text1" w:themeTint="BF"/>
    </w:rPr>
  </w:style>
  <w:style w:type="character" w:customStyle="1" w:styleId="QuoteChar">
    <w:name w:val="Quote Char"/>
    <w:basedOn w:val="DefaultParagraphFont"/>
    <w:link w:val="Quote"/>
    <w:uiPriority w:val="29"/>
    <w:rsid w:val="0053573C"/>
    <w:rPr>
      <w:i/>
      <w:iCs/>
      <w:color w:val="404040" w:themeColor="text1" w:themeTint="BF"/>
    </w:rPr>
  </w:style>
  <w:style w:type="paragraph" w:styleId="ListParagraph">
    <w:name w:val="List Paragraph"/>
    <w:basedOn w:val="Normal"/>
    <w:uiPriority w:val="34"/>
    <w:qFormat/>
    <w:rsid w:val="0053573C"/>
    <w:pPr>
      <w:ind w:left="720"/>
      <w:contextualSpacing/>
    </w:pPr>
  </w:style>
  <w:style w:type="character" w:styleId="IntenseEmphasis">
    <w:name w:val="Intense Emphasis"/>
    <w:basedOn w:val="DefaultParagraphFont"/>
    <w:uiPriority w:val="21"/>
    <w:qFormat/>
    <w:rsid w:val="0053573C"/>
    <w:rPr>
      <w:i/>
      <w:iCs/>
      <w:color w:val="0F4761" w:themeColor="accent1" w:themeShade="BF"/>
    </w:rPr>
  </w:style>
  <w:style w:type="paragraph" w:styleId="IntenseQuote">
    <w:name w:val="Intense Quote"/>
    <w:basedOn w:val="Normal"/>
    <w:next w:val="Normal"/>
    <w:link w:val="IntenseQuoteChar"/>
    <w:uiPriority w:val="30"/>
    <w:qFormat/>
    <w:rsid w:val="005357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73C"/>
    <w:rPr>
      <w:i/>
      <w:iCs/>
      <w:color w:val="0F4761" w:themeColor="accent1" w:themeShade="BF"/>
    </w:rPr>
  </w:style>
  <w:style w:type="character" w:styleId="IntenseReference">
    <w:name w:val="Intense Reference"/>
    <w:basedOn w:val="DefaultParagraphFont"/>
    <w:uiPriority w:val="32"/>
    <w:qFormat/>
    <w:rsid w:val="0053573C"/>
    <w:rPr>
      <w:b/>
      <w:bCs/>
      <w:smallCaps/>
      <w:color w:val="0F4761" w:themeColor="accent1" w:themeShade="BF"/>
      <w:spacing w:val="5"/>
    </w:rPr>
  </w:style>
  <w:style w:type="paragraph" w:styleId="FootnoteText">
    <w:name w:val="footnote text"/>
    <w:basedOn w:val="Normal"/>
    <w:link w:val="FootnoteTextChar"/>
    <w:uiPriority w:val="99"/>
    <w:unhideWhenUsed/>
    <w:rsid w:val="00AC59D3"/>
    <w:pPr>
      <w:spacing w:after="0" w:line="240" w:lineRule="auto"/>
    </w:pPr>
    <w:rPr>
      <w:sz w:val="20"/>
      <w:szCs w:val="20"/>
    </w:rPr>
  </w:style>
  <w:style w:type="character" w:customStyle="1" w:styleId="FootnoteTextChar">
    <w:name w:val="Footnote Text Char"/>
    <w:basedOn w:val="DefaultParagraphFont"/>
    <w:link w:val="FootnoteText"/>
    <w:uiPriority w:val="99"/>
    <w:rsid w:val="00AC59D3"/>
    <w:rPr>
      <w:sz w:val="20"/>
      <w:szCs w:val="20"/>
    </w:rPr>
  </w:style>
  <w:style w:type="character" w:styleId="FootnoteReference">
    <w:name w:val="footnote reference"/>
    <w:basedOn w:val="DefaultParagraphFont"/>
    <w:unhideWhenUsed/>
    <w:rsid w:val="00AC59D3"/>
    <w:rPr>
      <w:vertAlign w:val="superscript"/>
    </w:rPr>
  </w:style>
  <w:style w:type="paragraph" w:styleId="EndnoteText">
    <w:name w:val="endnote text"/>
    <w:basedOn w:val="Normal"/>
    <w:link w:val="EndnoteTextChar"/>
    <w:uiPriority w:val="99"/>
    <w:unhideWhenUsed/>
    <w:rsid w:val="006456A9"/>
    <w:pPr>
      <w:spacing w:after="0" w:line="240" w:lineRule="auto"/>
    </w:pPr>
    <w:rPr>
      <w:sz w:val="20"/>
      <w:szCs w:val="20"/>
    </w:rPr>
  </w:style>
  <w:style w:type="character" w:customStyle="1" w:styleId="EndnoteTextChar">
    <w:name w:val="Endnote Text Char"/>
    <w:basedOn w:val="DefaultParagraphFont"/>
    <w:link w:val="EndnoteText"/>
    <w:uiPriority w:val="99"/>
    <w:rsid w:val="006456A9"/>
    <w:rPr>
      <w:sz w:val="20"/>
      <w:szCs w:val="20"/>
    </w:rPr>
  </w:style>
  <w:style w:type="character" w:styleId="EndnoteReference">
    <w:name w:val="endnote reference"/>
    <w:basedOn w:val="DefaultParagraphFont"/>
    <w:uiPriority w:val="99"/>
    <w:semiHidden/>
    <w:unhideWhenUsed/>
    <w:rsid w:val="006456A9"/>
    <w:rPr>
      <w:vertAlign w:val="superscript"/>
    </w:rPr>
  </w:style>
  <w:style w:type="character" w:styleId="Hyperlink">
    <w:name w:val="Hyperlink"/>
    <w:basedOn w:val="DefaultParagraphFont"/>
    <w:uiPriority w:val="99"/>
    <w:unhideWhenUsed/>
    <w:rsid w:val="00F5175F"/>
    <w:rPr>
      <w:color w:val="467886" w:themeColor="hyperlink"/>
      <w:u w:val="single"/>
    </w:rPr>
  </w:style>
  <w:style w:type="character" w:styleId="UnresolvedMention">
    <w:name w:val="Unresolved Mention"/>
    <w:basedOn w:val="DefaultParagraphFont"/>
    <w:uiPriority w:val="99"/>
    <w:semiHidden/>
    <w:unhideWhenUsed/>
    <w:rsid w:val="00F5175F"/>
    <w:rPr>
      <w:color w:val="605E5C"/>
      <w:shd w:val="clear" w:color="auto" w:fill="E1DFDD"/>
    </w:rPr>
  </w:style>
  <w:style w:type="character" w:styleId="FollowedHyperlink">
    <w:name w:val="FollowedHyperlink"/>
    <w:basedOn w:val="DefaultParagraphFont"/>
    <w:uiPriority w:val="99"/>
    <w:semiHidden/>
    <w:unhideWhenUsed/>
    <w:rsid w:val="00746DF0"/>
    <w:rPr>
      <w:color w:val="96607D" w:themeColor="followedHyperlink"/>
      <w:u w:val="single"/>
    </w:rPr>
  </w:style>
  <w:style w:type="paragraph" w:styleId="Header">
    <w:name w:val="header"/>
    <w:basedOn w:val="Normal"/>
    <w:link w:val="HeaderChar"/>
    <w:uiPriority w:val="99"/>
    <w:unhideWhenUsed/>
    <w:rsid w:val="00AB51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144"/>
  </w:style>
  <w:style w:type="paragraph" w:styleId="Footer">
    <w:name w:val="footer"/>
    <w:basedOn w:val="Normal"/>
    <w:link w:val="FooterChar"/>
    <w:uiPriority w:val="99"/>
    <w:unhideWhenUsed/>
    <w:rsid w:val="00AB5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144"/>
  </w:style>
  <w:style w:type="paragraph" w:styleId="Revision">
    <w:name w:val="Revision"/>
    <w:hidden/>
    <w:uiPriority w:val="99"/>
    <w:semiHidden/>
    <w:rsid w:val="00613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6867">
      <w:bodyDiv w:val="1"/>
      <w:marLeft w:val="0"/>
      <w:marRight w:val="0"/>
      <w:marTop w:val="0"/>
      <w:marBottom w:val="0"/>
      <w:divBdr>
        <w:top w:val="none" w:sz="0" w:space="0" w:color="auto"/>
        <w:left w:val="none" w:sz="0" w:space="0" w:color="auto"/>
        <w:bottom w:val="none" w:sz="0" w:space="0" w:color="auto"/>
        <w:right w:val="none" w:sz="0" w:space="0" w:color="auto"/>
      </w:divBdr>
    </w:div>
    <w:div w:id="485168021">
      <w:bodyDiv w:val="1"/>
      <w:marLeft w:val="0"/>
      <w:marRight w:val="0"/>
      <w:marTop w:val="0"/>
      <w:marBottom w:val="0"/>
      <w:divBdr>
        <w:top w:val="none" w:sz="0" w:space="0" w:color="auto"/>
        <w:left w:val="none" w:sz="0" w:space="0" w:color="auto"/>
        <w:bottom w:val="none" w:sz="0" w:space="0" w:color="auto"/>
        <w:right w:val="none" w:sz="0" w:space="0" w:color="auto"/>
      </w:divBdr>
    </w:div>
    <w:div w:id="1721325559">
      <w:bodyDiv w:val="1"/>
      <w:marLeft w:val="0"/>
      <w:marRight w:val="0"/>
      <w:marTop w:val="0"/>
      <w:marBottom w:val="0"/>
      <w:divBdr>
        <w:top w:val="none" w:sz="0" w:space="0" w:color="auto"/>
        <w:left w:val="none" w:sz="0" w:space="0" w:color="auto"/>
        <w:bottom w:val="none" w:sz="0" w:space="0" w:color="auto"/>
        <w:right w:val="none" w:sz="0" w:space="0" w:color="auto"/>
      </w:divBdr>
    </w:div>
    <w:div w:id="182284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paveepoint.ie/wp-content/uploads/2024/01/UPR-Submission-to-the-DCEDIY-11032021F.pdf" TargetMode="External"/><Relationship Id="rId13" Type="http://schemas.openxmlformats.org/officeDocument/2006/relationships/hyperlink" Target="https://www.ihrec.ie//app/uploads/2024/07/20240716-IHREC-submission-to-the-consulation-on-the-EU-AI-Act_to-OOTD.pdf" TargetMode="External"/><Relationship Id="rId3" Type="http://schemas.openxmlformats.org/officeDocument/2006/relationships/hyperlink" Target="https://administrativejusticeblog.files.wordpress.com/2015/06/ni-admin-justice-mapping-study-oct-2014.pdf" TargetMode="External"/><Relationship Id="rId7" Type="http://schemas.openxmlformats.org/officeDocument/2006/relationships/hyperlink" Target="https://www.lawsociety.ie/gazette/in-depth/2024/may/laying-down-the-law" TargetMode="External"/><Relationship Id="rId12" Type="http://schemas.openxmlformats.org/officeDocument/2006/relationships/hyperlink" Target="https://www.rtb.ie/images/uploads/forms/RTB_Annual_Report_and_Accounts_2023.pdf" TargetMode="External"/><Relationship Id="rId2" Type="http://schemas.openxmlformats.org/officeDocument/2006/relationships/hyperlink" Target="https://onlinelibrary.wiley.com/doi/10.1111/spol.13053" TargetMode="External"/><Relationship Id="rId16" Type="http://schemas.openxmlformats.org/officeDocument/2006/relationships/hyperlink" Target="https://www.judiciary.uk/related-offices-and-bodies/advisory-bodies/administrative-justice-council/working-groups/" TargetMode="External"/><Relationship Id="rId1" Type="http://schemas.openxmlformats.org/officeDocument/2006/relationships/hyperlink" Target="https://verfassungsblog.de/administrative-and-citizen-interpretations-of-unwritten-constitutional-principles-and-constitutional-silences/" TargetMode="External"/><Relationship Id="rId6" Type="http://schemas.openxmlformats.org/officeDocument/2006/relationships/hyperlink" Target="https://www.tcd.ie/law/tricon/covidobservatory/reports/index.php" TargetMode="External"/><Relationship Id="rId11" Type="http://schemas.openxmlformats.org/officeDocument/2006/relationships/hyperlink" Target="http://www.ipo.gov.ie/en/ipo/pages/whatsnew" TargetMode="External"/><Relationship Id="rId5" Type="http://schemas.openxmlformats.org/officeDocument/2006/relationships/hyperlink" Target="https://thedublinreview.com/article/the-commission-and-the-survivors/" TargetMode="External"/><Relationship Id="rId15" Type="http://schemas.openxmlformats.org/officeDocument/2006/relationships/hyperlink" Target="https://www.flac.ie/assets/files/pdf/not_fair_enough_final.pdf?issuusl=ignore" TargetMode="External"/><Relationship Id="rId10" Type="http://schemas.openxmlformats.org/officeDocument/2006/relationships/hyperlink" Target="https://onlinelibrary.wiley.com/doi/10.1111/spol.13053" TargetMode="External"/><Relationship Id="rId4" Type="http://schemas.openxmlformats.org/officeDocument/2006/relationships/hyperlink" Target="https://www.ombudsman.ie/publications/reports/in-sickness-and-in-debt/InSicknessandInDebt-2023-FINAL.pdf" TargetMode="External"/><Relationship Id="rId9" Type="http://schemas.openxmlformats.org/officeDocument/2006/relationships/hyperlink" Target="https://www.kingsfund.org.uk/insight-and-analysis/long-reads/admin-matters-nhs-patient-care" TargetMode="External"/><Relationship Id="rId14" Type="http://schemas.openxmlformats.org/officeDocument/2006/relationships/hyperlink" Target="https://doi.org/10.1093/ojls/gqae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C3546-20EE-4EFF-A3E6-079C3F50D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6081</Words>
  <Characters>34668</Characters>
  <Application>Microsoft Office Word</Application>
  <DocSecurity>0</DocSecurity>
  <Lines>288</Lines>
  <Paragraphs>81</Paragraphs>
  <ScaleCrop>false</ScaleCrop>
  <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Ryan</dc:creator>
  <cp:keywords/>
  <dc:description/>
  <cp:lastModifiedBy>Aisling Ryan</cp:lastModifiedBy>
  <cp:revision>3</cp:revision>
  <dcterms:created xsi:type="dcterms:W3CDTF">2025-04-07T12:58:00Z</dcterms:created>
  <dcterms:modified xsi:type="dcterms:W3CDTF">2025-04-07T12:59:00Z</dcterms:modified>
</cp:coreProperties>
</file>