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2DD7" w14:textId="02DD5E4C" w:rsidR="009277B1" w:rsidRPr="002E40EB" w:rsidRDefault="009277B1" w:rsidP="009277B1">
      <w:pPr>
        <w:pStyle w:val="NoSpacing"/>
        <w:rPr>
          <w:rFonts w:ascii="Arial" w:hAnsi="Arial" w:cs="Arial"/>
          <w:b/>
          <w:sz w:val="24"/>
          <w:szCs w:val="24"/>
        </w:rPr>
      </w:pPr>
      <w:r w:rsidRPr="002E40EB">
        <w:rPr>
          <w:rFonts w:ascii="Arial" w:hAnsi="Arial" w:cs="Arial"/>
          <w:b/>
          <w:sz w:val="24"/>
          <w:szCs w:val="24"/>
        </w:rPr>
        <w:t>U</w:t>
      </w:r>
      <w:r w:rsidR="00604A12" w:rsidRPr="002E40EB">
        <w:rPr>
          <w:rFonts w:ascii="Arial" w:hAnsi="Arial" w:cs="Arial"/>
          <w:b/>
          <w:sz w:val="24"/>
          <w:szCs w:val="24"/>
        </w:rPr>
        <w:t>NIVERSITY OF YORK</w:t>
      </w:r>
    </w:p>
    <w:p w14:paraId="3D2976A7" w14:textId="77777777" w:rsidR="009277B1" w:rsidRPr="002E40EB" w:rsidRDefault="009277B1" w:rsidP="009277B1">
      <w:pPr>
        <w:pStyle w:val="NoSpacing"/>
        <w:rPr>
          <w:rFonts w:ascii="Arial" w:hAnsi="Arial" w:cs="Arial"/>
          <w:b/>
          <w:sz w:val="24"/>
          <w:szCs w:val="24"/>
        </w:rPr>
      </w:pPr>
      <w:r w:rsidRPr="002E40EB">
        <w:rPr>
          <w:rFonts w:ascii="Arial" w:hAnsi="Arial" w:cs="Arial"/>
          <w:b/>
          <w:sz w:val="24"/>
          <w:szCs w:val="24"/>
        </w:rPr>
        <w:t>Social Policy Research Unit</w:t>
      </w:r>
    </w:p>
    <w:p w14:paraId="0D1D92FB" w14:textId="77777777" w:rsidR="009277B1" w:rsidRPr="002E40EB" w:rsidRDefault="009277B1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5F8FE326" w14:textId="7AA4C617" w:rsidR="00EB4C43" w:rsidRPr="002E40EB" w:rsidRDefault="003B3950" w:rsidP="009277B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E40EB">
        <w:rPr>
          <w:rFonts w:ascii="Arial" w:hAnsi="Arial" w:cs="Arial"/>
          <w:b/>
          <w:bCs/>
          <w:sz w:val="24"/>
          <w:szCs w:val="24"/>
        </w:rPr>
        <w:t>FUEL POVERTY</w:t>
      </w:r>
      <w:r w:rsidR="002A77CB" w:rsidRPr="002E40EB">
        <w:rPr>
          <w:rFonts w:ascii="Arial" w:hAnsi="Arial" w:cs="Arial"/>
          <w:b/>
          <w:bCs/>
          <w:sz w:val="24"/>
          <w:szCs w:val="24"/>
        </w:rPr>
        <w:t xml:space="preserve"> IS STILL</w:t>
      </w:r>
      <w:r w:rsidR="00F0520A" w:rsidRPr="002E40EB">
        <w:rPr>
          <w:rFonts w:ascii="Arial" w:hAnsi="Arial" w:cs="Arial"/>
          <w:b/>
          <w:bCs/>
          <w:sz w:val="24"/>
          <w:szCs w:val="24"/>
        </w:rPr>
        <w:t xml:space="preserve"> </w:t>
      </w:r>
      <w:r w:rsidR="00BF7DFC" w:rsidRPr="002E40EB">
        <w:rPr>
          <w:rFonts w:ascii="Arial" w:hAnsi="Arial" w:cs="Arial"/>
          <w:b/>
          <w:bCs/>
          <w:sz w:val="24"/>
          <w:szCs w:val="24"/>
        </w:rPr>
        <w:t>WITH US</w:t>
      </w:r>
      <w:r w:rsidR="002C0155" w:rsidRPr="002E40EB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2"/>
      </w:r>
    </w:p>
    <w:p w14:paraId="51FA6B63" w14:textId="77777777" w:rsidR="00356452" w:rsidRPr="002E40EB" w:rsidRDefault="00356452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7ADCD4CC" w14:textId="6E32B0F2" w:rsidR="00C11CD8" w:rsidRPr="002E40EB" w:rsidRDefault="00B35596" w:rsidP="009277B1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>Gianluca M</w:t>
      </w:r>
      <w:r w:rsidR="00EC32CB" w:rsidRPr="002E40EB">
        <w:rPr>
          <w:rFonts w:ascii="Arial" w:hAnsi="Arial" w:cs="Arial"/>
          <w:sz w:val="24"/>
          <w:szCs w:val="24"/>
        </w:rPr>
        <w:t>u</w:t>
      </w:r>
      <w:r w:rsidRPr="002E40EB">
        <w:rPr>
          <w:rFonts w:ascii="Arial" w:hAnsi="Arial" w:cs="Arial"/>
          <w:sz w:val="24"/>
          <w:szCs w:val="24"/>
        </w:rPr>
        <w:t>nalli</w:t>
      </w:r>
      <w:r w:rsidR="0073453C" w:rsidRPr="002E40EB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2E40EB">
        <w:rPr>
          <w:rFonts w:ascii="Arial" w:hAnsi="Arial" w:cs="Arial"/>
          <w:sz w:val="24"/>
          <w:szCs w:val="24"/>
        </w:rPr>
        <w:t>, Jonathan Bradshaw</w:t>
      </w:r>
      <w:r w:rsidR="006D480A" w:rsidRPr="002E40EB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2E40EB">
        <w:rPr>
          <w:rFonts w:ascii="Arial" w:hAnsi="Arial" w:cs="Arial"/>
          <w:sz w:val="24"/>
          <w:szCs w:val="24"/>
        </w:rPr>
        <w:t xml:space="preserve"> and Dom</w:t>
      </w:r>
      <w:r w:rsidR="00C11CD8" w:rsidRPr="002E40EB">
        <w:rPr>
          <w:rFonts w:ascii="Arial" w:hAnsi="Arial" w:cs="Arial"/>
          <w:sz w:val="24"/>
          <w:szCs w:val="24"/>
        </w:rPr>
        <w:t>inic Richardson</w:t>
      </w:r>
      <w:r w:rsidR="006D480A" w:rsidRPr="002E40EB">
        <w:rPr>
          <w:rStyle w:val="FootnoteReference"/>
          <w:rFonts w:ascii="Arial" w:hAnsi="Arial" w:cs="Arial"/>
          <w:sz w:val="24"/>
          <w:szCs w:val="24"/>
        </w:rPr>
        <w:footnoteReference w:id="5"/>
      </w:r>
    </w:p>
    <w:p w14:paraId="1CB05620" w14:textId="77777777" w:rsidR="00C11CD8" w:rsidRPr="002E40EB" w:rsidRDefault="00C11CD8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50F5D239" w14:textId="21895E5D" w:rsidR="003D07DB" w:rsidRPr="002E40EB" w:rsidRDefault="00C47C25" w:rsidP="009277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</w:t>
      </w:r>
      <w:proofErr w:type="gramStart"/>
      <w:r>
        <w:rPr>
          <w:rFonts w:ascii="Arial" w:hAnsi="Arial" w:cs="Arial"/>
          <w:sz w:val="24"/>
          <w:szCs w:val="24"/>
        </w:rPr>
        <w:t xml:space="preserve"> 2025</w:t>
      </w:r>
      <w:proofErr w:type="gramEnd"/>
    </w:p>
    <w:p w14:paraId="143CBA69" w14:textId="3DAACBD4" w:rsidR="006E4A15" w:rsidRPr="002E40EB" w:rsidRDefault="006E4A15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6746AC2B" w14:textId="4DFAE543" w:rsidR="00C2595C" w:rsidRPr="002E40EB" w:rsidRDefault="00E40033" w:rsidP="009277B1">
      <w:pPr>
        <w:pStyle w:val="NoSpacing"/>
        <w:rPr>
          <w:rFonts w:ascii="Arial" w:hAnsi="Arial" w:cs="Arial"/>
          <w:b/>
          <w:sz w:val="24"/>
          <w:szCs w:val="24"/>
        </w:rPr>
      </w:pPr>
      <w:r w:rsidRPr="002E40EB">
        <w:rPr>
          <w:rFonts w:ascii="Arial" w:hAnsi="Arial" w:cs="Arial"/>
          <w:b/>
          <w:sz w:val="24"/>
          <w:szCs w:val="24"/>
        </w:rPr>
        <w:t>Summary</w:t>
      </w:r>
    </w:p>
    <w:p w14:paraId="4FF73DA9" w14:textId="3CCEAC74" w:rsidR="00633A00" w:rsidRDefault="002D5FBE" w:rsidP="00C2595C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 xml:space="preserve">We </w:t>
      </w:r>
      <w:r w:rsidR="00EC52D5" w:rsidRPr="002E40EB">
        <w:rPr>
          <w:rFonts w:ascii="Arial" w:hAnsi="Arial" w:cs="Arial"/>
          <w:sz w:val="24"/>
          <w:szCs w:val="24"/>
        </w:rPr>
        <w:t xml:space="preserve">carried out a series of analyses of fuel poverty during the </w:t>
      </w:r>
      <w:r w:rsidR="002D28BC" w:rsidRPr="002E40EB">
        <w:rPr>
          <w:rFonts w:ascii="Arial" w:hAnsi="Arial" w:cs="Arial"/>
          <w:sz w:val="24"/>
          <w:szCs w:val="24"/>
        </w:rPr>
        <w:t>cost-of-living</w:t>
      </w:r>
      <w:r w:rsidR="00EC52D5" w:rsidRPr="002E40EB">
        <w:rPr>
          <w:rFonts w:ascii="Arial" w:hAnsi="Arial" w:cs="Arial"/>
          <w:sz w:val="24"/>
          <w:szCs w:val="24"/>
        </w:rPr>
        <w:t xml:space="preserve"> crisis</w:t>
      </w:r>
      <w:r w:rsidR="00143BC0">
        <w:rPr>
          <w:rFonts w:ascii="Arial" w:hAnsi="Arial" w:cs="Arial"/>
          <w:sz w:val="24"/>
          <w:szCs w:val="24"/>
        </w:rPr>
        <w:t>,</w:t>
      </w:r>
      <w:r w:rsidR="00F33A05" w:rsidRPr="002E40EB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F33A05" w:rsidRPr="002E40EB">
        <w:rPr>
          <w:rFonts w:ascii="Arial" w:hAnsi="Arial" w:cs="Arial"/>
          <w:sz w:val="24"/>
          <w:szCs w:val="24"/>
        </w:rPr>
        <w:t xml:space="preserve"> </w:t>
      </w:r>
      <w:r w:rsidR="008E4743" w:rsidRPr="002E40EB">
        <w:rPr>
          <w:rFonts w:ascii="Arial" w:hAnsi="Arial" w:cs="Arial"/>
          <w:sz w:val="24"/>
          <w:szCs w:val="24"/>
        </w:rPr>
        <w:t xml:space="preserve">and also explored </w:t>
      </w:r>
      <w:r w:rsidR="00861301">
        <w:rPr>
          <w:rFonts w:ascii="Arial" w:hAnsi="Arial" w:cs="Arial"/>
          <w:sz w:val="24"/>
          <w:szCs w:val="24"/>
        </w:rPr>
        <w:t xml:space="preserve">the potential </w:t>
      </w:r>
      <w:r w:rsidR="008E4743" w:rsidRPr="002E40EB">
        <w:rPr>
          <w:rFonts w:ascii="Arial" w:hAnsi="Arial" w:cs="Arial"/>
          <w:sz w:val="24"/>
          <w:szCs w:val="24"/>
        </w:rPr>
        <w:t xml:space="preserve">impact </w:t>
      </w:r>
      <w:r w:rsidR="00861301">
        <w:rPr>
          <w:rFonts w:ascii="Arial" w:hAnsi="Arial" w:cs="Arial"/>
          <w:sz w:val="24"/>
          <w:szCs w:val="24"/>
        </w:rPr>
        <w:t xml:space="preserve">of </w:t>
      </w:r>
      <w:r w:rsidR="002F6F85" w:rsidRPr="002E40EB">
        <w:rPr>
          <w:rFonts w:ascii="Arial" w:hAnsi="Arial" w:cs="Arial"/>
          <w:sz w:val="24"/>
          <w:szCs w:val="24"/>
        </w:rPr>
        <w:t>social tariffs</w:t>
      </w:r>
      <w:r w:rsidR="00861301">
        <w:rPr>
          <w:rFonts w:ascii="Arial" w:hAnsi="Arial" w:cs="Arial"/>
          <w:sz w:val="24"/>
          <w:szCs w:val="24"/>
        </w:rPr>
        <w:t>.</w:t>
      </w:r>
      <w:r w:rsidR="00FE7627" w:rsidRPr="002E40EB"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="002F6F85" w:rsidRPr="002E40EB">
        <w:rPr>
          <w:rFonts w:ascii="Arial" w:hAnsi="Arial" w:cs="Arial"/>
          <w:sz w:val="24"/>
          <w:szCs w:val="24"/>
        </w:rPr>
        <w:t xml:space="preserve"> Since </w:t>
      </w:r>
      <w:r w:rsidR="002D28BC" w:rsidRPr="002E40EB">
        <w:rPr>
          <w:rFonts w:ascii="Arial" w:hAnsi="Arial" w:cs="Arial"/>
          <w:sz w:val="24"/>
          <w:szCs w:val="24"/>
        </w:rPr>
        <w:t>then,</w:t>
      </w:r>
      <w:r w:rsidR="002F6F85" w:rsidRPr="002E40EB">
        <w:rPr>
          <w:rFonts w:ascii="Arial" w:hAnsi="Arial" w:cs="Arial"/>
          <w:sz w:val="24"/>
          <w:szCs w:val="24"/>
        </w:rPr>
        <w:t xml:space="preserve"> </w:t>
      </w:r>
      <w:r w:rsidR="00031605" w:rsidRPr="002E40EB">
        <w:rPr>
          <w:rFonts w:ascii="Arial" w:hAnsi="Arial" w:cs="Arial"/>
          <w:sz w:val="24"/>
          <w:szCs w:val="24"/>
        </w:rPr>
        <w:t>fuel prices have fallen</w:t>
      </w:r>
      <w:r w:rsidR="00861301">
        <w:rPr>
          <w:rFonts w:ascii="Arial" w:hAnsi="Arial" w:cs="Arial"/>
          <w:sz w:val="24"/>
          <w:szCs w:val="24"/>
        </w:rPr>
        <w:t>,</w:t>
      </w:r>
      <w:r w:rsidR="00031605" w:rsidRPr="002E40EB">
        <w:rPr>
          <w:rFonts w:ascii="Arial" w:hAnsi="Arial" w:cs="Arial"/>
          <w:sz w:val="24"/>
          <w:szCs w:val="24"/>
        </w:rPr>
        <w:t xml:space="preserve"> but they are still above pre</w:t>
      </w:r>
      <w:r w:rsidR="00EF1380" w:rsidRPr="002E40EB">
        <w:rPr>
          <w:rFonts w:ascii="Arial" w:hAnsi="Arial" w:cs="Arial"/>
          <w:sz w:val="24"/>
          <w:szCs w:val="24"/>
        </w:rPr>
        <w:t>-crisis levels</w:t>
      </w:r>
      <w:r w:rsidR="00660D66">
        <w:rPr>
          <w:rFonts w:ascii="Arial" w:hAnsi="Arial" w:cs="Arial"/>
          <w:sz w:val="24"/>
          <w:szCs w:val="24"/>
        </w:rPr>
        <w:t>,</w:t>
      </w:r>
      <w:r w:rsidR="00EF1380" w:rsidRPr="002E40EB">
        <w:rPr>
          <w:rFonts w:ascii="Arial" w:hAnsi="Arial" w:cs="Arial"/>
          <w:sz w:val="24"/>
          <w:szCs w:val="24"/>
        </w:rPr>
        <w:t xml:space="preserve"> </w:t>
      </w:r>
      <w:r w:rsidR="00660D66">
        <w:rPr>
          <w:rFonts w:ascii="Arial" w:hAnsi="Arial" w:cs="Arial"/>
          <w:sz w:val="24"/>
          <w:szCs w:val="24"/>
        </w:rPr>
        <w:t xml:space="preserve">they </w:t>
      </w:r>
      <w:r w:rsidR="00EF1380" w:rsidRPr="002E40EB">
        <w:rPr>
          <w:rFonts w:ascii="Arial" w:hAnsi="Arial" w:cs="Arial"/>
          <w:sz w:val="24"/>
          <w:szCs w:val="24"/>
        </w:rPr>
        <w:t>increase</w:t>
      </w:r>
      <w:r w:rsidR="0092135F" w:rsidRPr="002E40EB">
        <w:rPr>
          <w:rFonts w:ascii="Arial" w:hAnsi="Arial" w:cs="Arial"/>
          <w:sz w:val="24"/>
          <w:szCs w:val="24"/>
        </w:rPr>
        <w:t>d</w:t>
      </w:r>
      <w:r w:rsidR="00EF1380" w:rsidRPr="002E40EB">
        <w:rPr>
          <w:rFonts w:ascii="Arial" w:hAnsi="Arial" w:cs="Arial"/>
          <w:sz w:val="24"/>
          <w:szCs w:val="24"/>
        </w:rPr>
        <w:t xml:space="preserve"> in the </w:t>
      </w:r>
      <w:r w:rsidR="00FF6C63" w:rsidRPr="002E40EB">
        <w:rPr>
          <w:rFonts w:ascii="Arial" w:hAnsi="Arial" w:cs="Arial"/>
          <w:sz w:val="24"/>
          <w:szCs w:val="24"/>
        </w:rPr>
        <w:t xml:space="preserve">last </w:t>
      </w:r>
      <w:r w:rsidR="00544755" w:rsidRPr="002E40EB">
        <w:rPr>
          <w:rFonts w:ascii="Arial" w:hAnsi="Arial" w:cs="Arial"/>
          <w:sz w:val="24"/>
          <w:szCs w:val="24"/>
        </w:rPr>
        <w:t xml:space="preserve">two </w:t>
      </w:r>
      <w:r w:rsidR="00FF6C63" w:rsidRPr="002E40EB">
        <w:rPr>
          <w:rFonts w:ascii="Arial" w:hAnsi="Arial" w:cs="Arial"/>
          <w:sz w:val="24"/>
          <w:szCs w:val="24"/>
        </w:rPr>
        <w:t>quarter</w:t>
      </w:r>
      <w:r w:rsidR="00544755" w:rsidRPr="002E40EB">
        <w:rPr>
          <w:rFonts w:ascii="Arial" w:hAnsi="Arial" w:cs="Arial"/>
          <w:sz w:val="24"/>
          <w:szCs w:val="24"/>
        </w:rPr>
        <w:t>s</w:t>
      </w:r>
      <w:r w:rsidR="00FF6C63" w:rsidRPr="002E40EB">
        <w:rPr>
          <w:rFonts w:ascii="Arial" w:hAnsi="Arial" w:cs="Arial"/>
          <w:sz w:val="24"/>
          <w:szCs w:val="24"/>
        </w:rPr>
        <w:t xml:space="preserve"> of 202</w:t>
      </w:r>
      <w:r w:rsidR="00C32314" w:rsidRPr="002E40EB">
        <w:rPr>
          <w:rFonts w:ascii="Arial" w:hAnsi="Arial" w:cs="Arial"/>
          <w:sz w:val="24"/>
          <w:szCs w:val="24"/>
        </w:rPr>
        <w:t>4</w:t>
      </w:r>
      <w:r w:rsidR="00FD201F" w:rsidRPr="002E40EB">
        <w:rPr>
          <w:rFonts w:ascii="Arial" w:hAnsi="Arial" w:cs="Arial"/>
          <w:sz w:val="24"/>
          <w:szCs w:val="24"/>
        </w:rPr>
        <w:t>/2</w:t>
      </w:r>
      <w:r w:rsidR="00C32314" w:rsidRPr="002E40EB">
        <w:rPr>
          <w:rFonts w:ascii="Arial" w:hAnsi="Arial" w:cs="Arial"/>
          <w:sz w:val="24"/>
          <w:szCs w:val="24"/>
        </w:rPr>
        <w:t>5</w:t>
      </w:r>
      <w:r w:rsidR="00FD201F" w:rsidRPr="002E40EB">
        <w:rPr>
          <w:rFonts w:ascii="Arial" w:hAnsi="Arial" w:cs="Arial"/>
          <w:sz w:val="24"/>
          <w:szCs w:val="24"/>
        </w:rPr>
        <w:t xml:space="preserve"> and will increase again </w:t>
      </w:r>
      <w:r w:rsidR="000B2C5C" w:rsidRPr="002E40EB">
        <w:rPr>
          <w:rFonts w:ascii="Arial" w:hAnsi="Arial" w:cs="Arial"/>
          <w:sz w:val="24"/>
          <w:szCs w:val="24"/>
        </w:rPr>
        <w:t>in the first quarter of 2025/26</w:t>
      </w:r>
      <w:r w:rsidR="00FD201F" w:rsidRPr="002E40EB">
        <w:rPr>
          <w:rFonts w:ascii="Arial" w:hAnsi="Arial" w:cs="Arial"/>
          <w:sz w:val="24"/>
          <w:szCs w:val="24"/>
        </w:rPr>
        <w:t xml:space="preserve"> by 6.4</w:t>
      </w:r>
      <w:r w:rsidR="006D5FBF" w:rsidRPr="002E40EB">
        <w:rPr>
          <w:rFonts w:ascii="Arial" w:hAnsi="Arial" w:cs="Arial"/>
          <w:sz w:val="24"/>
          <w:szCs w:val="24"/>
        </w:rPr>
        <w:t xml:space="preserve"> per cent</w:t>
      </w:r>
      <w:r w:rsidR="00A0448C" w:rsidRPr="002E40EB">
        <w:rPr>
          <w:rFonts w:ascii="Arial" w:hAnsi="Arial" w:cs="Arial"/>
          <w:sz w:val="24"/>
          <w:szCs w:val="24"/>
        </w:rPr>
        <w:t xml:space="preserve">. </w:t>
      </w:r>
      <w:r w:rsidR="00DF025D" w:rsidRPr="002E40EB">
        <w:rPr>
          <w:rFonts w:ascii="Arial" w:hAnsi="Arial" w:cs="Arial"/>
          <w:sz w:val="24"/>
          <w:szCs w:val="24"/>
        </w:rPr>
        <w:t>At the same time</w:t>
      </w:r>
      <w:r w:rsidR="00DD343F">
        <w:rPr>
          <w:rFonts w:ascii="Arial" w:hAnsi="Arial" w:cs="Arial"/>
          <w:sz w:val="24"/>
          <w:szCs w:val="24"/>
        </w:rPr>
        <w:t>,</w:t>
      </w:r>
      <w:r w:rsidR="00DF025D" w:rsidRPr="002E40EB">
        <w:rPr>
          <w:rFonts w:ascii="Arial" w:hAnsi="Arial" w:cs="Arial"/>
          <w:sz w:val="24"/>
          <w:szCs w:val="24"/>
        </w:rPr>
        <w:t xml:space="preserve"> all mitigations have ended </w:t>
      </w:r>
      <w:r w:rsidR="000E0425" w:rsidRPr="002E40EB">
        <w:rPr>
          <w:rFonts w:ascii="Arial" w:hAnsi="Arial" w:cs="Arial"/>
          <w:sz w:val="24"/>
          <w:szCs w:val="24"/>
        </w:rPr>
        <w:t xml:space="preserve">and the winter fuel allowance for pensioners has been </w:t>
      </w:r>
      <w:r w:rsidR="00DE1367" w:rsidRPr="002E40EB">
        <w:rPr>
          <w:rFonts w:ascii="Arial" w:hAnsi="Arial" w:cs="Arial"/>
          <w:sz w:val="24"/>
          <w:szCs w:val="24"/>
        </w:rPr>
        <w:t>restricted to pensioners on Pension Credit</w:t>
      </w:r>
      <w:r w:rsidR="00544755" w:rsidRPr="002E40EB">
        <w:rPr>
          <w:rFonts w:ascii="Arial" w:hAnsi="Arial" w:cs="Arial"/>
          <w:sz w:val="24"/>
          <w:szCs w:val="24"/>
        </w:rPr>
        <w:t>.</w:t>
      </w:r>
      <w:r w:rsidR="007F39BD" w:rsidRPr="002E40EB">
        <w:rPr>
          <w:rFonts w:ascii="Arial" w:hAnsi="Arial" w:cs="Arial"/>
          <w:sz w:val="24"/>
          <w:szCs w:val="24"/>
        </w:rPr>
        <w:t xml:space="preserve"> </w:t>
      </w:r>
    </w:p>
    <w:p w14:paraId="2F4882C8" w14:textId="77777777" w:rsidR="00633A00" w:rsidRDefault="00633A00" w:rsidP="00C2595C">
      <w:pPr>
        <w:pStyle w:val="NoSpacing"/>
        <w:rPr>
          <w:rFonts w:ascii="Arial" w:hAnsi="Arial" w:cs="Arial"/>
          <w:sz w:val="24"/>
          <w:szCs w:val="24"/>
        </w:rPr>
      </w:pPr>
    </w:p>
    <w:p w14:paraId="2CD28528" w14:textId="4E2CC36A" w:rsidR="0066225B" w:rsidRPr="002E40EB" w:rsidRDefault="00C2595C" w:rsidP="00C2595C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 xml:space="preserve">This paper </w:t>
      </w:r>
      <w:r w:rsidR="00D718EF" w:rsidRPr="002E40EB">
        <w:rPr>
          <w:rFonts w:ascii="Arial" w:hAnsi="Arial" w:cs="Arial"/>
          <w:sz w:val="24"/>
          <w:szCs w:val="24"/>
        </w:rPr>
        <w:t xml:space="preserve">presents a revised analysis of </w:t>
      </w:r>
      <w:r w:rsidRPr="002E40EB">
        <w:rPr>
          <w:rFonts w:ascii="Arial" w:hAnsi="Arial" w:cs="Arial"/>
          <w:sz w:val="24"/>
          <w:szCs w:val="24"/>
        </w:rPr>
        <w:t xml:space="preserve">who will be affected by fuel poverty </w:t>
      </w:r>
      <w:r w:rsidR="00B3713A" w:rsidRPr="002E40EB">
        <w:rPr>
          <w:rFonts w:ascii="Arial" w:hAnsi="Arial" w:cs="Arial"/>
          <w:sz w:val="24"/>
          <w:szCs w:val="24"/>
        </w:rPr>
        <w:t xml:space="preserve">in </w:t>
      </w:r>
      <w:r w:rsidR="00962727" w:rsidRPr="002E40EB">
        <w:rPr>
          <w:rFonts w:ascii="Arial" w:hAnsi="Arial" w:cs="Arial"/>
          <w:sz w:val="24"/>
          <w:szCs w:val="24"/>
        </w:rPr>
        <w:t>January 20</w:t>
      </w:r>
      <w:r w:rsidR="00B3713A" w:rsidRPr="002E40EB">
        <w:rPr>
          <w:rFonts w:ascii="Arial" w:hAnsi="Arial" w:cs="Arial"/>
          <w:sz w:val="24"/>
          <w:szCs w:val="24"/>
        </w:rPr>
        <w:t>25</w:t>
      </w:r>
      <w:r w:rsidR="00633A00">
        <w:rPr>
          <w:rFonts w:ascii="Arial" w:hAnsi="Arial" w:cs="Arial"/>
          <w:sz w:val="24"/>
          <w:szCs w:val="24"/>
        </w:rPr>
        <w:t>,</w:t>
      </w:r>
      <w:r w:rsidR="0088669B" w:rsidRPr="002E40EB">
        <w:rPr>
          <w:rFonts w:ascii="Arial" w:hAnsi="Arial" w:cs="Arial"/>
          <w:sz w:val="24"/>
          <w:szCs w:val="24"/>
        </w:rPr>
        <w:t xml:space="preserve"> </w:t>
      </w:r>
      <w:r w:rsidRPr="002E40EB">
        <w:rPr>
          <w:rFonts w:ascii="Arial" w:hAnsi="Arial" w:cs="Arial"/>
          <w:sz w:val="24"/>
          <w:szCs w:val="24"/>
        </w:rPr>
        <w:t xml:space="preserve">based on analysis of the ONS Living Costs and </w:t>
      </w:r>
      <w:r w:rsidR="00BD398C" w:rsidRPr="002E40EB">
        <w:rPr>
          <w:rFonts w:ascii="Arial" w:hAnsi="Arial" w:cs="Arial"/>
          <w:sz w:val="24"/>
          <w:szCs w:val="24"/>
        </w:rPr>
        <w:t xml:space="preserve">Food </w:t>
      </w:r>
      <w:r w:rsidRPr="002E40EB">
        <w:rPr>
          <w:rFonts w:ascii="Arial" w:hAnsi="Arial" w:cs="Arial"/>
          <w:sz w:val="24"/>
          <w:szCs w:val="24"/>
        </w:rPr>
        <w:t xml:space="preserve">Survey. We use a threshold of households spending more than </w:t>
      </w:r>
      <w:r w:rsidR="006D5FBF" w:rsidRPr="002E40EB">
        <w:rPr>
          <w:rFonts w:ascii="Arial" w:hAnsi="Arial" w:cs="Arial"/>
          <w:sz w:val="24"/>
          <w:szCs w:val="24"/>
        </w:rPr>
        <w:t xml:space="preserve">10 and </w:t>
      </w:r>
      <w:r w:rsidRPr="002E40EB">
        <w:rPr>
          <w:rFonts w:ascii="Arial" w:hAnsi="Arial" w:cs="Arial"/>
          <w:sz w:val="24"/>
          <w:szCs w:val="24"/>
        </w:rPr>
        <w:t>20</w:t>
      </w:r>
      <w:r w:rsidR="00174A3A" w:rsidRPr="002E40EB">
        <w:rPr>
          <w:rFonts w:ascii="Arial" w:hAnsi="Arial" w:cs="Arial"/>
          <w:sz w:val="24"/>
          <w:szCs w:val="24"/>
        </w:rPr>
        <w:t xml:space="preserve"> per cent of</w:t>
      </w:r>
      <w:r w:rsidRPr="002E40EB">
        <w:rPr>
          <w:rFonts w:ascii="Arial" w:hAnsi="Arial" w:cs="Arial"/>
          <w:sz w:val="24"/>
          <w:szCs w:val="24"/>
        </w:rPr>
        <w:t xml:space="preserve"> their net income </w:t>
      </w:r>
      <w:r w:rsidR="00F10A31" w:rsidRPr="002E40EB">
        <w:rPr>
          <w:rFonts w:ascii="Arial" w:hAnsi="Arial" w:cs="Arial"/>
          <w:sz w:val="24"/>
          <w:szCs w:val="24"/>
        </w:rPr>
        <w:t xml:space="preserve">after housing costs </w:t>
      </w:r>
      <w:r w:rsidRPr="002E40EB">
        <w:rPr>
          <w:rFonts w:ascii="Arial" w:hAnsi="Arial" w:cs="Arial"/>
          <w:sz w:val="24"/>
          <w:szCs w:val="24"/>
        </w:rPr>
        <w:t xml:space="preserve">on fuel. The analysis describes their characteristics, fuel poverty rates, </w:t>
      </w:r>
      <w:r w:rsidR="00633A00">
        <w:rPr>
          <w:rFonts w:ascii="Arial" w:hAnsi="Arial" w:cs="Arial"/>
          <w:sz w:val="24"/>
          <w:szCs w:val="24"/>
        </w:rPr>
        <w:t xml:space="preserve">and </w:t>
      </w:r>
      <w:r w:rsidRPr="002E40EB">
        <w:rPr>
          <w:rFonts w:ascii="Arial" w:hAnsi="Arial" w:cs="Arial"/>
          <w:sz w:val="24"/>
          <w:szCs w:val="24"/>
        </w:rPr>
        <w:t>fuel poverty gaps</w:t>
      </w:r>
      <w:r w:rsidR="008C49BA" w:rsidRPr="002E40EB">
        <w:rPr>
          <w:rFonts w:ascii="Arial" w:hAnsi="Arial" w:cs="Arial"/>
          <w:sz w:val="24"/>
          <w:szCs w:val="24"/>
        </w:rPr>
        <w:t>.</w:t>
      </w:r>
      <w:r w:rsidRPr="002E40EB">
        <w:rPr>
          <w:rFonts w:ascii="Arial" w:hAnsi="Arial" w:cs="Arial"/>
          <w:sz w:val="24"/>
          <w:szCs w:val="24"/>
        </w:rPr>
        <w:t xml:space="preserve"> </w:t>
      </w:r>
    </w:p>
    <w:p w14:paraId="10C7A981" w14:textId="77777777" w:rsidR="0066225B" w:rsidRPr="002E40EB" w:rsidRDefault="0066225B" w:rsidP="00C2595C">
      <w:pPr>
        <w:pStyle w:val="NoSpacing"/>
        <w:rPr>
          <w:rFonts w:ascii="Arial" w:hAnsi="Arial" w:cs="Arial"/>
          <w:sz w:val="24"/>
          <w:szCs w:val="24"/>
        </w:rPr>
      </w:pPr>
    </w:p>
    <w:p w14:paraId="5E174F30" w14:textId="57C59EF1" w:rsidR="00174A3A" w:rsidRPr="002E40EB" w:rsidRDefault="00562E3D" w:rsidP="00C2595C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>We find that</w:t>
      </w:r>
      <w:r w:rsidR="00114310">
        <w:rPr>
          <w:rFonts w:ascii="Arial" w:hAnsi="Arial" w:cs="Arial"/>
          <w:sz w:val="24"/>
          <w:szCs w:val="24"/>
        </w:rPr>
        <w:t xml:space="preserve"> although</w:t>
      </w:r>
      <w:r w:rsidRPr="002E40EB">
        <w:rPr>
          <w:rFonts w:ascii="Arial" w:hAnsi="Arial" w:cs="Arial"/>
          <w:sz w:val="24"/>
          <w:szCs w:val="24"/>
        </w:rPr>
        <w:t xml:space="preserve"> t</w:t>
      </w:r>
      <w:r w:rsidR="00DB7567" w:rsidRPr="002E40EB">
        <w:rPr>
          <w:rFonts w:ascii="Arial" w:hAnsi="Arial" w:cs="Arial"/>
          <w:sz w:val="24"/>
          <w:szCs w:val="24"/>
        </w:rPr>
        <w:t xml:space="preserve">here is </w:t>
      </w:r>
      <w:r w:rsidR="00114310">
        <w:rPr>
          <w:rFonts w:ascii="Arial" w:hAnsi="Arial" w:cs="Arial"/>
          <w:sz w:val="24"/>
          <w:szCs w:val="24"/>
        </w:rPr>
        <w:t xml:space="preserve">a </w:t>
      </w:r>
      <w:r w:rsidR="00DB7567" w:rsidRPr="002E40EB">
        <w:rPr>
          <w:rFonts w:ascii="Arial" w:hAnsi="Arial" w:cs="Arial"/>
          <w:sz w:val="24"/>
          <w:szCs w:val="24"/>
        </w:rPr>
        <w:t>clear association between fuel poverty and net income</w:t>
      </w:r>
      <w:r w:rsidR="00174A3A" w:rsidRPr="002E40EB">
        <w:rPr>
          <w:rFonts w:ascii="Arial" w:hAnsi="Arial" w:cs="Arial"/>
          <w:sz w:val="24"/>
          <w:szCs w:val="24"/>
        </w:rPr>
        <w:t>,</w:t>
      </w:r>
      <w:r w:rsidR="00DB7567" w:rsidRPr="002E40EB">
        <w:rPr>
          <w:rFonts w:ascii="Arial" w:hAnsi="Arial" w:cs="Arial"/>
          <w:sz w:val="24"/>
          <w:szCs w:val="24"/>
        </w:rPr>
        <w:t xml:space="preserve"> with fuel poverty concentrated in the lower</w:t>
      </w:r>
      <w:r w:rsidR="00174A3A" w:rsidRPr="002E40EB">
        <w:rPr>
          <w:rFonts w:ascii="Arial" w:hAnsi="Arial" w:cs="Arial"/>
          <w:sz w:val="24"/>
          <w:szCs w:val="24"/>
        </w:rPr>
        <w:t>-</w:t>
      </w:r>
      <w:r w:rsidR="00DB7567" w:rsidRPr="002E40EB">
        <w:rPr>
          <w:rFonts w:ascii="Arial" w:hAnsi="Arial" w:cs="Arial"/>
          <w:sz w:val="24"/>
          <w:szCs w:val="24"/>
        </w:rPr>
        <w:t>income deciles, some richer households also spend more than 20</w:t>
      </w:r>
      <w:r w:rsidR="00174A3A" w:rsidRPr="002E40EB">
        <w:rPr>
          <w:rFonts w:ascii="Arial" w:hAnsi="Arial" w:cs="Arial"/>
          <w:sz w:val="24"/>
          <w:szCs w:val="24"/>
        </w:rPr>
        <w:t xml:space="preserve"> per cent</w:t>
      </w:r>
      <w:r w:rsidR="00DB7567" w:rsidRPr="002E40EB">
        <w:rPr>
          <w:rFonts w:ascii="Arial" w:hAnsi="Arial" w:cs="Arial"/>
          <w:sz w:val="24"/>
          <w:szCs w:val="24"/>
        </w:rPr>
        <w:t xml:space="preserve"> of</w:t>
      </w:r>
      <w:r w:rsidR="00174A3A" w:rsidRPr="002E40EB">
        <w:rPr>
          <w:rFonts w:ascii="Arial" w:hAnsi="Arial" w:cs="Arial"/>
          <w:sz w:val="24"/>
          <w:szCs w:val="24"/>
        </w:rPr>
        <w:t xml:space="preserve"> their</w:t>
      </w:r>
      <w:r w:rsidR="00DB7567" w:rsidRPr="002E40EB">
        <w:rPr>
          <w:rFonts w:ascii="Arial" w:hAnsi="Arial" w:cs="Arial"/>
          <w:sz w:val="24"/>
          <w:szCs w:val="24"/>
        </w:rPr>
        <w:t xml:space="preserve"> income on fuel</w:t>
      </w:r>
      <w:r w:rsidR="00114310">
        <w:rPr>
          <w:rFonts w:ascii="Arial" w:hAnsi="Arial" w:cs="Arial"/>
          <w:sz w:val="24"/>
          <w:szCs w:val="24"/>
        </w:rPr>
        <w:t>,</w:t>
      </w:r>
      <w:r w:rsidR="00DB7567" w:rsidRPr="002E40EB">
        <w:rPr>
          <w:rFonts w:ascii="Arial" w:hAnsi="Arial" w:cs="Arial"/>
          <w:sz w:val="24"/>
          <w:szCs w:val="24"/>
        </w:rPr>
        <w:t xml:space="preserve"> and </w:t>
      </w:r>
      <w:r w:rsidR="00C5599D" w:rsidRPr="002E40EB">
        <w:rPr>
          <w:rFonts w:ascii="Arial" w:hAnsi="Arial" w:cs="Arial"/>
          <w:sz w:val="24"/>
          <w:szCs w:val="24"/>
        </w:rPr>
        <w:t>26.3</w:t>
      </w:r>
      <w:r w:rsidR="0060655E" w:rsidRPr="002E40EB">
        <w:rPr>
          <w:rFonts w:ascii="Arial" w:hAnsi="Arial" w:cs="Arial"/>
          <w:sz w:val="24"/>
          <w:szCs w:val="24"/>
        </w:rPr>
        <w:t>%</w:t>
      </w:r>
      <w:r w:rsidR="00DB7567" w:rsidRPr="002E40EB">
        <w:rPr>
          <w:rFonts w:ascii="Arial" w:hAnsi="Arial" w:cs="Arial"/>
          <w:sz w:val="24"/>
          <w:szCs w:val="24"/>
        </w:rPr>
        <w:t xml:space="preserve"> of households in fuel poverty are not income poor. Childless couple</w:t>
      </w:r>
      <w:r w:rsidR="003E2EBC">
        <w:rPr>
          <w:rFonts w:ascii="Arial" w:hAnsi="Arial" w:cs="Arial"/>
          <w:sz w:val="24"/>
          <w:szCs w:val="24"/>
        </w:rPr>
        <w:t>s</w:t>
      </w:r>
      <w:r w:rsidR="00DB7567" w:rsidRPr="002E40EB">
        <w:rPr>
          <w:rFonts w:ascii="Arial" w:hAnsi="Arial" w:cs="Arial"/>
          <w:sz w:val="24"/>
          <w:szCs w:val="24"/>
        </w:rPr>
        <w:t xml:space="preserve"> </w:t>
      </w:r>
      <w:r w:rsidRPr="002E40EB">
        <w:rPr>
          <w:rFonts w:ascii="Arial" w:hAnsi="Arial" w:cs="Arial"/>
          <w:sz w:val="24"/>
          <w:szCs w:val="24"/>
        </w:rPr>
        <w:t>and couple pensioner</w:t>
      </w:r>
      <w:r w:rsidR="001A2CA6" w:rsidRPr="002E40EB">
        <w:rPr>
          <w:rFonts w:ascii="Arial" w:hAnsi="Arial" w:cs="Arial"/>
          <w:sz w:val="24"/>
          <w:szCs w:val="24"/>
        </w:rPr>
        <w:t xml:space="preserve"> </w:t>
      </w:r>
      <w:r w:rsidR="00DB7567" w:rsidRPr="002E40EB">
        <w:rPr>
          <w:rFonts w:ascii="Arial" w:hAnsi="Arial" w:cs="Arial"/>
          <w:sz w:val="24"/>
          <w:szCs w:val="24"/>
        </w:rPr>
        <w:t>households are less likely than average to be fuel poor</w:t>
      </w:r>
      <w:r w:rsidR="00174A3A" w:rsidRPr="002E40EB">
        <w:rPr>
          <w:rFonts w:ascii="Arial" w:hAnsi="Arial" w:cs="Arial"/>
          <w:sz w:val="24"/>
          <w:szCs w:val="24"/>
        </w:rPr>
        <w:t>,</w:t>
      </w:r>
      <w:r w:rsidR="00DB7567" w:rsidRPr="002E40EB">
        <w:rPr>
          <w:rFonts w:ascii="Arial" w:hAnsi="Arial" w:cs="Arial"/>
          <w:sz w:val="24"/>
          <w:szCs w:val="24"/>
        </w:rPr>
        <w:t xml:space="preserve"> and couples with </w:t>
      </w:r>
      <w:r w:rsidR="00EF4677" w:rsidRPr="002E40EB">
        <w:rPr>
          <w:rFonts w:ascii="Arial" w:hAnsi="Arial" w:cs="Arial"/>
          <w:sz w:val="24"/>
          <w:szCs w:val="24"/>
        </w:rPr>
        <w:t xml:space="preserve">two </w:t>
      </w:r>
      <w:r w:rsidR="00DB7567" w:rsidRPr="002E40EB">
        <w:rPr>
          <w:rFonts w:ascii="Arial" w:hAnsi="Arial" w:cs="Arial"/>
          <w:sz w:val="24"/>
          <w:szCs w:val="24"/>
        </w:rPr>
        <w:t>or more children and lone parent households are more likely to be fuel poor</w:t>
      </w:r>
      <w:r w:rsidR="001A2CA6" w:rsidRPr="002E40EB">
        <w:rPr>
          <w:rFonts w:ascii="Arial" w:hAnsi="Arial" w:cs="Arial"/>
          <w:sz w:val="24"/>
          <w:szCs w:val="24"/>
        </w:rPr>
        <w:t>.</w:t>
      </w:r>
      <w:r w:rsidR="00DB7567" w:rsidRPr="002E40EB">
        <w:rPr>
          <w:rFonts w:ascii="Arial" w:hAnsi="Arial" w:cs="Arial"/>
          <w:sz w:val="24"/>
          <w:szCs w:val="24"/>
        </w:rPr>
        <w:t xml:space="preserve"> </w:t>
      </w:r>
    </w:p>
    <w:p w14:paraId="710C1931" w14:textId="77777777" w:rsidR="00174A3A" w:rsidRPr="002E40EB" w:rsidRDefault="00174A3A" w:rsidP="00C2595C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5C5A4C65" w14:textId="1D47EA87" w:rsidR="00EB4C43" w:rsidRPr="002E40EB" w:rsidRDefault="00EB4C43" w:rsidP="009277B1">
      <w:pPr>
        <w:pStyle w:val="NoSpacing"/>
        <w:rPr>
          <w:rFonts w:ascii="Arial" w:hAnsi="Arial" w:cs="Arial"/>
          <w:b/>
          <w:sz w:val="24"/>
          <w:szCs w:val="24"/>
        </w:rPr>
      </w:pPr>
      <w:r w:rsidRPr="002E40EB">
        <w:rPr>
          <w:rFonts w:ascii="Arial" w:hAnsi="Arial" w:cs="Arial"/>
          <w:b/>
          <w:sz w:val="24"/>
          <w:szCs w:val="24"/>
        </w:rPr>
        <w:t>Background</w:t>
      </w:r>
    </w:p>
    <w:p w14:paraId="61C0BEE1" w14:textId="77777777" w:rsidR="003E2EBC" w:rsidRDefault="003E2EBC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44B5A9C6" w14:textId="09B8F44C" w:rsidR="004F3EF8" w:rsidRPr="002E40EB" w:rsidRDefault="009277B1" w:rsidP="009277B1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>Since August 2022</w:t>
      </w:r>
      <w:r w:rsidR="00174A3A" w:rsidRPr="002E40EB">
        <w:rPr>
          <w:rFonts w:ascii="Arial" w:hAnsi="Arial" w:cs="Arial"/>
          <w:sz w:val="24"/>
          <w:szCs w:val="24"/>
        </w:rPr>
        <w:t>,</w:t>
      </w:r>
      <w:r w:rsidRPr="002E40EB">
        <w:rPr>
          <w:rFonts w:ascii="Arial" w:hAnsi="Arial" w:cs="Arial"/>
          <w:sz w:val="24"/>
          <w:szCs w:val="24"/>
        </w:rPr>
        <w:t xml:space="preserve"> we have been </w:t>
      </w:r>
      <w:r w:rsidR="002A0950" w:rsidRPr="002E40EB">
        <w:rPr>
          <w:rFonts w:ascii="Arial" w:hAnsi="Arial" w:cs="Arial"/>
          <w:sz w:val="24"/>
          <w:szCs w:val="24"/>
        </w:rPr>
        <w:t xml:space="preserve">producing </w:t>
      </w:r>
      <w:r w:rsidR="00F8005D" w:rsidRPr="002E40EB">
        <w:rPr>
          <w:rFonts w:ascii="Arial" w:hAnsi="Arial" w:cs="Arial"/>
          <w:sz w:val="24"/>
          <w:szCs w:val="24"/>
        </w:rPr>
        <w:t>analyses</w:t>
      </w:r>
      <w:r w:rsidR="002A0950" w:rsidRPr="002E40EB">
        <w:rPr>
          <w:rFonts w:ascii="Arial" w:hAnsi="Arial" w:cs="Arial"/>
          <w:sz w:val="24"/>
          <w:szCs w:val="24"/>
        </w:rPr>
        <w:t xml:space="preserve"> o</w:t>
      </w:r>
      <w:r w:rsidR="00F8005D" w:rsidRPr="002E40EB">
        <w:rPr>
          <w:rFonts w:ascii="Arial" w:hAnsi="Arial" w:cs="Arial"/>
          <w:sz w:val="24"/>
          <w:szCs w:val="24"/>
        </w:rPr>
        <w:t>f</w:t>
      </w:r>
      <w:r w:rsidR="002A0950" w:rsidRPr="002E40EB">
        <w:rPr>
          <w:rFonts w:ascii="Arial" w:hAnsi="Arial" w:cs="Arial"/>
          <w:sz w:val="24"/>
          <w:szCs w:val="24"/>
        </w:rPr>
        <w:t xml:space="preserve"> household fuel poverty based on the secondary analysis of the ONS Living Costs and Food Survey</w:t>
      </w:r>
      <w:r w:rsidR="001C715C" w:rsidRPr="002E40EB">
        <w:rPr>
          <w:rFonts w:ascii="Arial" w:hAnsi="Arial" w:cs="Arial"/>
          <w:sz w:val="24"/>
          <w:szCs w:val="24"/>
        </w:rPr>
        <w:t xml:space="preserve"> (LCFS)</w:t>
      </w:r>
      <w:r w:rsidR="002A0950" w:rsidRPr="002E40EB">
        <w:rPr>
          <w:rFonts w:ascii="Arial" w:hAnsi="Arial" w:cs="Arial"/>
          <w:sz w:val="24"/>
          <w:szCs w:val="24"/>
        </w:rPr>
        <w:t>.</w:t>
      </w:r>
      <w:r w:rsidR="003D07DB" w:rsidRPr="002E40EB"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="002A0950" w:rsidRPr="002E40EB">
        <w:rPr>
          <w:rFonts w:ascii="Arial" w:hAnsi="Arial" w:cs="Arial"/>
          <w:sz w:val="24"/>
          <w:szCs w:val="24"/>
        </w:rPr>
        <w:t xml:space="preserve"> Among these was a paper on social tariffs which compared the impact of a simple progressive social tariff (lower tariffs for </w:t>
      </w:r>
      <w:r w:rsidR="001B3722">
        <w:rPr>
          <w:rFonts w:ascii="Arial" w:hAnsi="Arial" w:cs="Arial"/>
          <w:sz w:val="24"/>
          <w:szCs w:val="24"/>
        </w:rPr>
        <w:t xml:space="preserve">lower </w:t>
      </w:r>
      <w:r w:rsidR="002A0950" w:rsidRPr="002E40EB">
        <w:rPr>
          <w:rFonts w:ascii="Arial" w:hAnsi="Arial" w:cs="Arial"/>
          <w:sz w:val="24"/>
          <w:szCs w:val="24"/>
        </w:rPr>
        <w:t xml:space="preserve">consumers </w:t>
      </w:r>
      <w:r w:rsidR="00C6747C" w:rsidRPr="002E40EB">
        <w:rPr>
          <w:rFonts w:ascii="Arial" w:hAnsi="Arial" w:cs="Arial"/>
          <w:sz w:val="24"/>
          <w:szCs w:val="24"/>
        </w:rPr>
        <w:t>(</w:t>
      </w:r>
      <w:r w:rsidR="002A0950" w:rsidRPr="002E40EB">
        <w:rPr>
          <w:rFonts w:ascii="Arial" w:hAnsi="Arial" w:cs="Arial"/>
          <w:sz w:val="24"/>
          <w:szCs w:val="24"/>
        </w:rPr>
        <w:t>paid for</w:t>
      </w:r>
      <w:r w:rsidR="0059405D" w:rsidRPr="002E40EB">
        <w:rPr>
          <w:rFonts w:ascii="Arial" w:hAnsi="Arial" w:cs="Arial"/>
          <w:sz w:val="24"/>
          <w:szCs w:val="24"/>
        </w:rPr>
        <w:t xml:space="preserve"> </w:t>
      </w:r>
      <w:r w:rsidR="002A0950" w:rsidRPr="002E40EB">
        <w:rPr>
          <w:rFonts w:ascii="Arial" w:hAnsi="Arial" w:cs="Arial"/>
          <w:sz w:val="24"/>
          <w:szCs w:val="24"/>
        </w:rPr>
        <w:t xml:space="preserve">either by higher tariffs for </w:t>
      </w:r>
      <w:r w:rsidR="001B3722">
        <w:rPr>
          <w:rFonts w:ascii="Arial" w:hAnsi="Arial" w:cs="Arial"/>
          <w:sz w:val="24"/>
          <w:szCs w:val="24"/>
        </w:rPr>
        <w:t xml:space="preserve">higher </w:t>
      </w:r>
      <w:r w:rsidR="002A0950" w:rsidRPr="002E40EB">
        <w:rPr>
          <w:rFonts w:ascii="Arial" w:hAnsi="Arial" w:cs="Arial"/>
          <w:sz w:val="24"/>
          <w:szCs w:val="24"/>
        </w:rPr>
        <w:t>consumers or by the taxpayer) with policies providing direct support by increasing the incomes of social security recipients. Broadly</w:t>
      </w:r>
      <w:r w:rsidR="000A389F">
        <w:rPr>
          <w:rFonts w:ascii="Arial" w:hAnsi="Arial" w:cs="Arial"/>
          <w:sz w:val="24"/>
          <w:szCs w:val="24"/>
        </w:rPr>
        <w:t>,</w:t>
      </w:r>
      <w:r w:rsidR="002A0950" w:rsidRPr="002E40EB">
        <w:rPr>
          <w:rFonts w:ascii="Arial" w:hAnsi="Arial" w:cs="Arial"/>
          <w:sz w:val="24"/>
          <w:szCs w:val="24"/>
        </w:rPr>
        <w:t xml:space="preserve"> we concluded that enhancing social security incomes was a better strategy</w:t>
      </w:r>
      <w:r w:rsidR="004F3EF8" w:rsidRPr="002E40EB">
        <w:rPr>
          <w:rFonts w:ascii="Arial" w:hAnsi="Arial" w:cs="Arial"/>
          <w:sz w:val="24"/>
          <w:szCs w:val="24"/>
        </w:rPr>
        <w:t>, though far from perfect.</w:t>
      </w:r>
      <w:r w:rsidR="00FE0BEA" w:rsidRPr="002E40EB">
        <w:rPr>
          <w:rStyle w:val="FootnoteReference"/>
          <w:rFonts w:ascii="Arial" w:hAnsi="Arial" w:cs="Arial"/>
          <w:sz w:val="24"/>
          <w:szCs w:val="24"/>
        </w:rPr>
        <w:footnoteReference w:id="9"/>
      </w:r>
    </w:p>
    <w:p w14:paraId="1EC4E052" w14:textId="01DE6882" w:rsidR="004F3EF8" w:rsidRPr="002E40EB" w:rsidRDefault="004F3EF8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4C5BF7FA" w14:textId="5FD904FE" w:rsidR="004F3EF8" w:rsidRPr="002E40EB" w:rsidRDefault="00533464" w:rsidP="009277B1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lastRenderedPageBreak/>
        <w:t>To summarise</w:t>
      </w:r>
      <w:r w:rsidR="002D15E5" w:rsidRPr="002E40EB">
        <w:rPr>
          <w:rFonts w:ascii="Arial" w:hAnsi="Arial" w:cs="Arial"/>
          <w:sz w:val="24"/>
          <w:szCs w:val="24"/>
        </w:rPr>
        <w:t>:</w:t>
      </w:r>
      <w:r w:rsidRPr="002E40EB">
        <w:rPr>
          <w:rFonts w:ascii="Arial" w:hAnsi="Arial" w:cs="Arial"/>
          <w:sz w:val="24"/>
          <w:szCs w:val="24"/>
        </w:rPr>
        <w:t xml:space="preserve"> t</w:t>
      </w:r>
      <w:r w:rsidR="004F3EF8" w:rsidRPr="002E40EB">
        <w:rPr>
          <w:rFonts w:ascii="Arial" w:hAnsi="Arial" w:cs="Arial"/>
          <w:sz w:val="24"/>
          <w:szCs w:val="24"/>
        </w:rPr>
        <w:t>he problems are</w:t>
      </w:r>
      <w:r w:rsidR="00437389" w:rsidRPr="002E40EB">
        <w:rPr>
          <w:rFonts w:ascii="Arial" w:hAnsi="Arial" w:cs="Arial"/>
          <w:sz w:val="24"/>
          <w:szCs w:val="24"/>
        </w:rPr>
        <w:t xml:space="preserve"> that</w:t>
      </w:r>
      <w:r w:rsidR="004F3EF8" w:rsidRPr="002E40EB">
        <w:rPr>
          <w:rFonts w:ascii="Arial" w:hAnsi="Arial" w:cs="Arial"/>
          <w:sz w:val="24"/>
          <w:szCs w:val="24"/>
        </w:rPr>
        <w:t xml:space="preserve"> not all the fuel poor are small consumers; not all social security recipients are in fuel poverty; </w:t>
      </w:r>
      <w:r w:rsidR="00636418" w:rsidRPr="002E40EB">
        <w:rPr>
          <w:rFonts w:ascii="Arial" w:hAnsi="Arial" w:cs="Arial"/>
          <w:sz w:val="24"/>
          <w:szCs w:val="24"/>
        </w:rPr>
        <w:t xml:space="preserve">not all </w:t>
      </w:r>
      <w:r w:rsidR="002D15E5" w:rsidRPr="002E40EB">
        <w:rPr>
          <w:rFonts w:ascii="Arial" w:hAnsi="Arial" w:cs="Arial"/>
          <w:sz w:val="24"/>
          <w:szCs w:val="24"/>
        </w:rPr>
        <w:t xml:space="preserve">households </w:t>
      </w:r>
      <w:r w:rsidR="00636418" w:rsidRPr="002E40EB">
        <w:rPr>
          <w:rFonts w:ascii="Arial" w:hAnsi="Arial" w:cs="Arial"/>
          <w:sz w:val="24"/>
          <w:szCs w:val="24"/>
        </w:rPr>
        <w:t xml:space="preserve">in fuel poverty are social security recipients; </w:t>
      </w:r>
      <w:r w:rsidR="004F3EF8" w:rsidRPr="002E40EB">
        <w:rPr>
          <w:rFonts w:ascii="Arial" w:hAnsi="Arial" w:cs="Arial"/>
          <w:sz w:val="24"/>
          <w:szCs w:val="24"/>
        </w:rPr>
        <w:t xml:space="preserve">and </w:t>
      </w:r>
      <w:r w:rsidRPr="002E40EB">
        <w:rPr>
          <w:rFonts w:ascii="Arial" w:hAnsi="Arial" w:cs="Arial"/>
          <w:sz w:val="24"/>
          <w:szCs w:val="24"/>
        </w:rPr>
        <w:t xml:space="preserve">neither the government nor </w:t>
      </w:r>
      <w:r w:rsidR="004F3EF8" w:rsidRPr="002E40EB">
        <w:rPr>
          <w:rFonts w:ascii="Arial" w:hAnsi="Arial" w:cs="Arial"/>
          <w:sz w:val="24"/>
          <w:szCs w:val="24"/>
        </w:rPr>
        <w:t>fuel providers know who the ‘vul</w:t>
      </w:r>
      <w:r w:rsidRPr="002E40EB">
        <w:rPr>
          <w:rFonts w:ascii="Arial" w:hAnsi="Arial" w:cs="Arial"/>
          <w:sz w:val="24"/>
          <w:szCs w:val="24"/>
        </w:rPr>
        <w:t>n</w:t>
      </w:r>
      <w:r w:rsidR="004F3EF8" w:rsidRPr="002E40EB">
        <w:rPr>
          <w:rFonts w:ascii="Arial" w:hAnsi="Arial" w:cs="Arial"/>
          <w:sz w:val="24"/>
          <w:szCs w:val="24"/>
        </w:rPr>
        <w:t xml:space="preserve">erable customers’ are. </w:t>
      </w:r>
    </w:p>
    <w:p w14:paraId="733F7C86" w14:textId="77777777" w:rsidR="004F3EF8" w:rsidRPr="002E40EB" w:rsidRDefault="004F3EF8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2D4895CD" w14:textId="0482FC33" w:rsidR="009277B1" w:rsidRPr="002E40EB" w:rsidRDefault="009277B1" w:rsidP="009277B1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>In this paper we extend and update our previous analys</w:t>
      </w:r>
      <w:r w:rsidR="00533464" w:rsidRPr="002E40EB">
        <w:rPr>
          <w:rFonts w:ascii="Arial" w:hAnsi="Arial" w:cs="Arial"/>
          <w:sz w:val="24"/>
          <w:szCs w:val="24"/>
        </w:rPr>
        <w:t>e</w:t>
      </w:r>
      <w:r w:rsidRPr="002E40EB">
        <w:rPr>
          <w:rFonts w:ascii="Arial" w:hAnsi="Arial" w:cs="Arial"/>
          <w:sz w:val="24"/>
          <w:szCs w:val="24"/>
        </w:rPr>
        <w:t xml:space="preserve">s </w:t>
      </w:r>
      <w:r w:rsidR="00533464" w:rsidRPr="002E40EB">
        <w:rPr>
          <w:rFonts w:ascii="Arial" w:hAnsi="Arial" w:cs="Arial"/>
          <w:sz w:val="24"/>
          <w:szCs w:val="24"/>
        </w:rPr>
        <w:t>t</w:t>
      </w:r>
      <w:r w:rsidRPr="002E40EB">
        <w:rPr>
          <w:rFonts w:ascii="Arial" w:hAnsi="Arial" w:cs="Arial"/>
          <w:sz w:val="24"/>
          <w:szCs w:val="24"/>
        </w:rPr>
        <w:t>o</w:t>
      </w:r>
      <w:r w:rsidR="00533464" w:rsidRPr="002E40EB">
        <w:rPr>
          <w:rFonts w:ascii="Arial" w:hAnsi="Arial" w:cs="Arial"/>
          <w:sz w:val="24"/>
          <w:szCs w:val="24"/>
        </w:rPr>
        <w:t xml:space="preserve"> identify who the fuel poor </w:t>
      </w:r>
      <w:r w:rsidR="00F501D1" w:rsidRPr="002E40EB">
        <w:rPr>
          <w:rFonts w:ascii="Arial" w:hAnsi="Arial" w:cs="Arial"/>
          <w:sz w:val="24"/>
          <w:szCs w:val="24"/>
        </w:rPr>
        <w:t xml:space="preserve">will be after </w:t>
      </w:r>
      <w:r w:rsidR="00BB540E" w:rsidRPr="002E40EB">
        <w:rPr>
          <w:rFonts w:ascii="Arial" w:hAnsi="Arial" w:cs="Arial"/>
          <w:sz w:val="24"/>
          <w:szCs w:val="24"/>
        </w:rPr>
        <w:t>Janu</w:t>
      </w:r>
      <w:r w:rsidR="008A33F6" w:rsidRPr="002E40EB">
        <w:rPr>
          <w:rFonts w:ascii="Arial" w:hAnsi="Arial" w:cs="Arial"/>
          <w:sz w:val="24"/>
          <w:szCs w:val="24"/>
        </w:rPr>
        <w:t>ary 2025.</w:t>
      </w:r>
    </w:p>
    <w:p w14:paraId="6D9ADAB7" w14:textId="68C59384" w:rsidR="00533464" w:rsidRPr="002E40EB" w:rsidRDefault="00533464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7EB924A9" w14:textId="43DB5165" w:rsidR="00533464" w:rsidRPr="002E40EB" w:rsidRDefault="00533464" w:rsidP="009277B1">
      <w:pPr>
        <w:pStyle w:val="NoSpacing"/>
        <w:rPr>
          <w:rFonts w:ascii="Arial" w:hAnsi="Arial" w:cs="Arial"/>
          <w:b/>
          <w:sz w:val="24"/>
          <w:szCs w:val="24"/>
        </w:rPr>
      </w:pPr>
      <w:r w:rsidRPr="002E40EB">
        <w:rPr>
          <w:rFonts w:ascii="Arial" w:hAnsi="Arial" w:cs="Arial"/>
          <w:b/>
          <w:sz w:val="24"/>
          <w:szCs w:val="24"/>
        </w:rPr>
        <w:t>Methods</w:t>
      </w:r>
    </w:p>
    <w:p w14:paraId="7442F53B" w14:textId="11531EB2" w:rsidR="00E92B78" w:rsidRPr="002E40EB" w:rsidRDefault="006E4A15" w:rsidP="0032101F">
      <w:pPr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>Fuel poverty is driven by low income and high energy cost</w:t>
      </w:r>
      <w:r w:rsidR="00784FB1" w:rsidRPr="002E40EB">
        <w:rPr>
          <w:rFonts w:ascii="Arial" w:hAnsi="Arial" w:cs="Arial"/>
          <w:sz w:val="24"/>
          <w:szCs w:val="24"/>
        </w:rPr>
        <w:t>s. T</w:t>
      </w:r>
      <w:r w:rsidR="00A70EC0" w:rsidRPr="002E40EB">
        <w:rPr>
          <w:rFonts w:ascii="Arial" w:hAnsi="Arial" w:cs="Arial"/>
          <w:sz w:val="24"/>
          <w:szCs w:val="24"/>
        </w:rPr>
        <w:t>he latter can be further</w:t>
      </w:r>
      <w:r w:rsidR="00A47FF7" w:rsidRPr="002E40EB">
        <w:rPr>
          <w:rFonts w:ascii="Arial" w:hAnsi="Arial" w:cs="Arial"/>
          <w:sz w:val="24"/>
          <w:szCs w:val="24"/>
        </w:rPr>
        <w:t xml:space="preserve"> attributed</w:t>
      </w:r>
      <w:r w:rsidR="00A70EC0" w:rsidRPr="002E40EB">
        <w:rPr>
          <w:rFonts w:ascii="Arial" w:hAnsi="Arial" w:cs="Arial"/>
          <w:sz w:val="24"/>
          <w:szCs w:val="24"/>
        </w:rPr>
        <w:t xml:space="preserve"> to high unit cost of energy and </w:t>
      </w:r>
      <w:r w:rsidR="00A47FF7" w:rsidRPr="002E40EB">
        <w:rPr>
          <w:rFonts w:ascii="Arial" w:hAnsi="Arial" w:cs="Arial"/>
          <w:sz w:val="24"/>
          <w:szCs w:val="24"/>
        </w:rPr>
        <w:t>poor thermal efficiency of</w:t>
      </w:r>
      <w:r w:rsidR="004D1A4D" w:rsidRPr="002E40EB">
        <w:rPr>
          <w:rFonts w:ascii="Arial" w:hAnsi="Arial" w:cs="Arial"/>
          <w:sz w:val="24"/>
          <w:szCs w:val="24"/>
        </w:rPr>
        <w:t xml:space="preserve"> some</w:t>
      </w:r>
      <w:r w:rsidR="00A70EC0" w:rsidRPr="002E40EB">
        <w:rPr>
          <w:rFonts w:ascii="Arial" w:hAnsi="Arial" w:cs="Arial"/>
          <w:sz w:val="24"/>
          <w:szCs w:val="24"/>
        </w:rPr>
        <w:t xml:space="preserve"> dwellings</w:t>
      </w:r>
      <w:r w:rsidR="004D1A4D" w:rsidRPr="002E40EB">
        <w:rPr>
          <w:rFonts w:ascii="Arial" w:hAnsi="Arial" w:cs="Arial"/>
          <w:sz w:val="24"/>
          <w:szCs w:val="24"/>
        </w:rPr>
        <w:t>. In order to identify which households are most affected by fuel poverty, we use the latest available household data from the ONS Living Costs and Food Survey 202</w:t>
      </w:r>
      <w:r w:rsidR="009A65B9" w:rsidRPr="002E40EB">
        <w:rPr>
          <w:rFonts w:ascii="Arial" w:hAnsi="Arial" w:cs="Arial"/>
          <w:sz w:val="24"/>
          <w:szCs w:val="24"/>
        </w:rPr>
        <w:t>2</w:t>
      </w:r>
      <w:r w:rsidR="004D1A4D" w:rsidRPr="002E40EB">
        <w:rPr>
          <w:rFonts w:ascii="Arial" w:hAnsi="Arial" w:cs="Arial"/>
          <w:sz w:val="24"/>
          <w:szCs w:val="24"/>
        </w:rPr>
        <w:t>-2</w:t>
      </w:r>
      <w:r w:rsidR="00002319" w:rsidRPr="002E40EB">
        <w:rPr>
          <w:rFonts w:ascii="Arial" w:hAnsi="Arial" w:cs="Arial"/>
          <w:sz w:val="24"/>
          <w:szCs w:val="24"/>
        </w:rPr>
        <w:t>3</w:t>
      </w:r>
      <w:r w:rsidR="004D1A4D" w:rsidRPr="002E40EB">
        <w:rPr>
          <w:rFonts w:ascii="Arial" w:hAnsi="Arial" w:cs="Arial"/>
          <w:sz w:val="24"/>
          <w:szCs w:val="24"/>
        </w:rPr>
        <w:t>.</w:t>
      </w:r>
      <w:r w:rsidR="004D1A4D" w:rsidRPr="002E40E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1DC97A" w14:textId="1780CCC5" w:rsidR="004D1A4D" w:rsidRPr="002E40EB" w:rsidRDefault="00A47FF7" w:rsidP="009277B1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>There is no single agreed measure of fuel</w:t>
      </w:r>
      <w:r w:rsidR="006519F3" w:rsidRPr="002E40EB">
        <w:rPr>
          <w:rFonts w:ascii="Arial" w:hAnsi="Arial" w:cs="Arial"/>
          <w:sz w:val="24"/>
          <w:szCs w:val="24"/>
        </w:rPr>
        <w:t xml:space="preserve"> poverty</w:t>
      </w:r>
      <w:r w:rsidR="00B66B89">
        <w:rPr>
          <w:rFonts w:ascii="Arial" w:hAnsi="Arial" w:cs="Arial"/>
          <w:sz w:val="24"/>
          <w:szCs w:val="24"/>
        </w:rPr>
        <w:t>.</w:t>
      </w:r>
      <w:r w:rsidR="00B44375" w:rsidRPr="002E40EB">
        <w:rPr>
          <w:rStyle w:val="FootnoteReference"/>
          <w:rFonts w:ascii="Arial" w:hAnsi="Arial" w:cs="Arial"/>
          <w:sz w:val="24"/>
          <w:szCs w:val="24"/>
        </w:rPr>
        <w:footnoteReference w:id="10"/>
      </w:r>
      <w:r w:rsidR="00EB4C43" w:rsidRPr="002E40EB">
        <w:rPr>
          <w:rFonts w:ascii="Arial" w:hAnsi="Arial" w:cs="Arial"/>
          <w:sz w:val="24"/>
          <w:szCs w:val="24"/>
        </w:rPr>
        <w:t xml:space="preserve"> O</w:t>
      </w:r>
      <w:r w:rsidRPr="002E40EB">
        <w:rPr>
          <w:rFonts w:ascii="Arial" w:hAnsi="Arial" w:cs="Arial"/>
          <w:sz w:val="24"/>
          <w:szCs w:val="24"/>
        </w:rPr>
        <w:t>ur earlier analys</w:t>
      </w:r>
      <w:r w:rsidR="002D15E5" w:rsidRPr="002E40EB">
        <w:rPr>
          <w:rFonts w:ascii="Arial" w:hAnsi="Arial" w:cs="Arial"/>
          <w:sz w:val="24"/>
          <w:szCs w:val="24"/>
        </w:rPr>
        <w:t>e</w:t>
      </w:r>
      <w:r w:rsidRPr="002E40EB">
        <w:rPr>
          <w:rFonts w:ascii="Arial" w:hAnsi="Arial" w:cs="Arial"/>
          <w:sz w:val="24"/>
          <w:szCs w:val="24"/>
        </w:rPr>
        <w:t>s use</w:t>
      </w:r>
      <w:r w:rsidR="00EB4C43" w:rsidRPr="002E40EB">
        <w:rPr>
          <w:rFonts w:ascii="Arial" w:hAnsi="Arial" w:cs="Arial"/>
          <w:sz w:val="24"/>
          <w:szCs w:val="24"/>
        </w:rPr>
        <w:t>d</w:t>
      </w:r>
      <w:r w:rsidRPr="002E40EB">
        <w:rPr>
          <w:rFonts w:ascii="Arial" w:hAnsi="Arial" w:cs="Arial"/>
          <w:sz w:val="24"/>
          <w:szCs w:val="24"/>
        </w:rPr>
        <w:t xml:space="preserve"> </w:t>
      </w:r>
      <w:r w:rsidR="00EB4C43" w:rsidRPr="002E40EB">
        <w:rPr>
          <w:rFonts w:ascii="Arial" w:hAnsi="Arial" w:cs="Arial"/>
          <w:sz w:val="24"/>
          <w:szCs w:val="24"/>
        </w:rPr>
        <w:t>a variety of thresholds based on the percentage of net equivalent income spent on fuel (10</w:t>
      </w:r>
      <w:r w:rsidR="00FD19B0" w:rsidRPr="002E40EB">
        <w:rPr>
          <w:rFonts w:ascii="Arial" w:hAnsi="Arial" w:cs="Arial"/>
          <w:sz w:val="24"/>
          <w:szCs w:val="24"/>
        </w:rPr>
        <w:t xml:space="preserve"> per cent</w:t>
      </w:r>
      <w:r w:rsidR="00EB4C43" w:rsidRPr="002E40EB">
        <w:rPr>
          <w:rFonts w:ascii="Arial" w:hAnsi="Arial" w:cs="Arial"/>
          <w:sz w:val="24"/>
          <w:szCs w:val="24"/>
        </w:rPr>
        <w:t>,</w:t>
      </w:r>
      <w:r w:rsidR="00533464" w:rsidRPr="002E40EB">
        <w:rPr>
          <w:rFonts w:ascii="Arial" w:hAnsi="Arial" w:cs="Arial"/>
          <w:sz w:val="24"/>
          <w:szCs w:val="24"/>
        </w:rPr>
        <w:t xml:space="preserve"> </w:t>
      </w:r>
      <w:r w:rsidR="00EB4C43" w:rsidRPr="002E40EB">
        <w:rPr>
          <w:rFonts w:ascii="Arial" w:hAnsi="Arial" w:cs="Arial"/>
          <w:sz w:val="24"/>
          <w:szCs w:val="24"/>
        </w:rPr>
        <w:t>20</w:t>
      </w:r>
      <w:r w:rsidR="00FD19B0" w:rsidRPr="002E40EB">
        <w:rPr>
          <w:rFonts w:ascii="Arial" w:hAnsi="Arial" w:cs="Arial"/>
          <w:sz w:val="24"/>
          <w:szCs w:val="24"/>
        </w:rPr>
        <w:t xml:space="preserve"> per cent</w:t>
      </w:r>
      <w:r w:rsidR="00EB4C43" w:rsidRPr="002E40EB">
        <w:rPr>
          <w:rFonts w:ascii="Arial" w:hAnsi="Arial" w:cs="Arial"/>
          <w:sz w:val="24"/>
          <w:szCs w:val="24"/>
        </w:rPr>
        <w:t>,</w:t>
      </w:r>
      <w:r w:rsidR="00533464" w:rsidRPr="002E40EB">
        <w:rPr>
          <w:rFonts w:ascii="Arial" w:hAnsi="Arial" w:cs="Arial"/>
          <w:sz w:val="24"/>
          <w:szCs w:val="24"/>
        </w:rPr>
        <w:t xml:space="preserve"> </w:t>
      </w:r>
      <w:r w:rsidR="00EB4C43" w:rsidRPr="002E40EB">
        <w:rPr>
          <w:rFonts w:ascii="Arial" w:hAnsi="Arial" w:cs="Arial"/>
          <w:sz w:val="24"/>
          <w:szCs w:val="24"/>
        </w:rPr>
        <w:t>25</w:t>
      </w:r>
      <w:r w:rsidR="00FD19B0" w:rsidRPr="002E40EB">
        <w:rPr>
          <w:rFonts w:ascii="Arial" w:hAnsi="Arial" w:cs="Arial"/>
          <w:sz w:val="24"/>
          <w:szCs w:val="24"/>
        </w:rPr>
        <w:t xml:space="preserve"> per cent</w:t>
      </w:r>
      <w:r w:rsidR="00EB4C43" w:rsidRPr="002E40EB">
        <w:rPr>
          <w:rFonts w:ascii="Arial" w:hAnsi="Arial" w:cs="Arial"/>
          <w:sz w:val="24"/>
          <w:szCs w:val="24"/>
        </w:rPr>
        <w:t xml:space="preserve"> and 30</w:t>
      </w:r>
      <w:r w:rsidR="00FD19B0" w:rsidRPr="002E40EB">
        <w:rPr>
          <w:rFonts w:ascii="Arial" w:hAnsi="Arial" w:cs="Arial"/>
          <w:sz w:val="24"/>
          <w:szCs w:val="24"/>
        </w:rPr>
        <w:t xml:space="preserve"> per cent</w:t>
      </w:r>
      <w:r w:rsidR="00EB4C43" w:rsidRPr="002E40EB">
        <w:rPr>
          <w:rFonts w:ascii="Arial" w:hAnsi="Arial" w:cs="Arial"/>
          <w:sz w:val="24"/>
          <w:szCs w:val="24"/>
        </w:rPr>
        <w:t xml:space="preserve">). </w:t>
      </w:r>
      <w:r w:rsidR="00D04CD2" w:rsidRPr="002E40EB">
        <w:rPr>
          <w:rFonts w:ascii="Arial" w:hAnsi="Arial" w:cs="Arial"/>
          <w:sz w:val="24"/>
          <w:szCs w:val="24"/>
        </w:rPr>
        <w:t>Following</w:t>
      </w:r>
      <w:r w:rsidR="00F501D1" w:rsidRPr="002E40EB">
        <w:rPr>
          <w:rFonts w:ascii="Arial" w:hAnsi="Arial" w:cs="Arial"/>
          <w:sz w:val="24"/>
          <w:szCs w:val="24"/>
        </w:rPr>
        <w:t xml:space="preserve"> convention</w:t>
      </w:r>
      <w:r w:rsidR="00FD19B0" w:rsidRPr="002E40EB">
        <w:rPr>
          <w:rFonts w:ascii="Arial" w:hAnsi="Arial" w:cs="Arial"/>
          <w:sz w:val="24"/>
          <w:szCs w:val="24"/>
        </w:rPr>
        <w:t>,</w:t>
      </w:r>
      <w:r w:rsidR="00F501D1" w:rsidRPr="002E40EB">
        <w:rPr>
          <w:rFonts w:ascii="Arial" w:hAnsi="Arial" w:cs="Arial"/>
          <w:sz w:val="24"/>
          <w:szCs w:val="24"/>
        </w:rPr>
        <w:t xml:space="preserve"> w</w:t>
      </w:r>
      <w:r w:rsidR="00EB4C43" w:rsidRPr="002E40EB">
        <w:rPr>
          <w:rFonts w:ascii="Arial" w:hAnsi="Arial" w:cs="Arial"/>
          <w:sz w:val="24"/>
          <w:szCs w:val="24"/>
        </w:rPr>
        <w:t xml:space="preserve">e tended to focus on those spending more than </w:t>
      </w:r>
      <w:r w:rsidR="005E335D" w:rsidRPr="002E40EB">
        <w:rPr>
          <w:rFonts w:ascii="Arial" w:hAnsi="Arial" w:cs="Arial"/>
          <w:sz w:val="24"/>
          <w:szCs w:val="24"/>
        </w:rPr>
        <w:t>10</w:t>
      </w:r>
      <w:r w:rsidR="00FD19B0" w:rsidRPr="002E40EB">
        <w:rPr>
          <w:rFonts w:ascii="Arial" w:hAnsi="Arial" w:cs="Arial"/>
          <w:sz w:val="24"/>
          <w:szCs w:val="24"/>
        </w:rPr>
        <w:t xml:space="preserve"> per cent</w:t>
      </w:r>
      <w:r w:rsidR="00D04CD2" w:rsidRPr="002E40EB">
        <w:rPr>
          <w:rFonts w:ascii="Arial" w:hAnsi="Arial" w:cs="Arial"/>
          <w:sz w:val="24"/>
          <w:szCs w:val="24"/>
        </w:rPr>
        <w:t xml:space="preserve"> on fuel</w:t>
      </w:r>
      <w:r w:rsidR="00EB4C43" w:rsidRPr="002E40EB">
        <w:rPr>
          <w:rFonts w:ascii="Arial" w:hAnsi="Arial" w:cs="Arial"/>
          <w:sz w:val="24"/>
          <w:szCs w:val="24"/>
        </w:rPr>
        <w:t xml:space="preserve">. </w:t>
      </w:r>
      <w:r w:rsidR="00D31716" w:rsidRPr="002E40EB">
        <w:rPr>
          <w:rFonts w:ascii="Arial" w:hAnsi="Arial" w:cs="Arial"/>
          <w:sz w:val="24"/>
          <w:szCs w:val="24"/>
        </w:rPr>
        <w:t>The End Fuel Poverty Coalition</w:t>
      </w:r>
      <w:r w:rsidR="00EB4C43" w:rsidRPr="002E40EB">
        <w:rPr>
          <w:rFonts w:ascii="Arial" w:hAnsi="Arial" w:cs="Arial"/>
          <w:sz w:val="24"/>
          <w:szCs w:val="24"/>
        </w:rPr>
        <w:t xml:space="preserve"> ha</w:t>
      </w:r>
      <w:r w:rsidR="00D31716" w:rsidRPr="002E40EB">
        <w:rPr>
          <w:rFonts w:ascii="Arial" w:hAnsi="Arial" w:cs="Arial"/>
          <w:sz w:val="24"/>
          <w:szCs w:val="24"/>
        </w:rPr>
        <w:t>s</w:t>
      </w:r>
      <w:r w:rsidR="00EB4C43" w:rsidRPr="002E40EB">
        <w:rPr>
          <w:rFonts w:ascii="Arial" w:hAnsi="Arial" w:cs="Arial"/>
          <w:sz w:val="24"/>
          <w:szCs w:val="24"/>
        </w:rPr>
        <w:t xml:space="preserve"> suggested that these households should be more accurately be referred to as living in ‘fuel stress’</w:t>
      </w:r>
      <w:r w:rsidR="006519F3" w:rsidRPr="002E40EB">
        <w:rPr>
          <w:rFonts w:ascii="Arial" w:hAnsi="Arial" w:cs="Arial"/>
          <w:sz w:val="24"/>
          <w:szCs w:val="24"/>
        </w:rPr>
        <w:t>,</w:t>
      </w:r>
      <w:r w:rsidR="00EB4C43" w:rsidRPr="002E40EB">
        <w:rPr>
          <w:rFonts w:ascii="Arial" w:hAnsi="Arial" w:cs="Arial"/>
          <w:sz w:val="24"/>
          <w:szCs w:val="24"/>
        </w:rPr>
        <w:t xml:space="preserve"> and </w:t>
      </w:r>
      <w:r w:rsidR="006519F3" w:rsidRPr="002E40EB">
        <w:rPr>
          <w:rFonts w:ascii="Arial" w:hAnsi="Arial" w:cs="Arial"/>
          <w:sz w:val="24"/>
          <w:szCs w:val="24"/>
        </w:rPr>
        <w:t xml:space="preserve">that </w:t>
      </w:r>
      <w:r w:rsidR="00EB4C43" w:rsidRPr="002E40EB">
        <w:rPr>
          <w:rFonts w:ascii="Arial" w:hAnsi="Arial" w:cs="Arial"/>
          <w:sz w:val="24"/>
          <w:szCs w:val="24"/>
        </w:rPr>
        <w:t>fuel poverty should be limited to a higher threshold.</w:t>
      </w:r>
      <w:r w:rsidR="005E335D" w:rsidRPr="002E40EB">
        <w:rPr>
          <w:rFonts w:ascii="Arial" w:hAnsi="Arial" w:cs="Arial"/>
          <w:sz w:val="24"/>
          <w:szCs w:val="24"/>
        </w:rPr>
        <w:t xml:space="preserve"> </w:t>
      </w:r>
      <w:r w:rsidR="00EB4C43" w:rsidRPr="002E40EB">
        <w:rPr>
          <w:rFonts w:ascii="Arial" w:hAnsi="Arial" w:cs="Arial"/>
          <w:sz w:val="24"/>
          <w:szCs w:val="24"/>
        </w:rPr>
        <w:t>I</w:t>
      </w:r>
      <w:r w:rsidR="00BB5183" w:rsidRPr="002E40EB">
        <w:rPr>
          <w:rFonts w:ascii="Arial" w:hAnsi="Arial" w:cs="Arial"/>
          <w:sz w:val="24"/>
          <w:szCs w:val="24"/>
        </w:rPr>
        <w:t>n this paper we</w:t>
      </w:r>
      <w:r w:rsidR="00D1248B" w:rsidRPr="002E40EB">
        <w:rPr>
          <w:rFonts w:ascii="Arial" w:hAnsi="Arial" w:cs="Arial"/>
          <w:sz w:val="24"/>
          <w:szCs w:val="24"/>
        </w:rPr>
        <w:t xml:space="preserve"> decided to</w:t>
      </w:r>
      <w:r w:rsidR="00BB5183" w:rsidRPr="002E40EB">
        <w:rPr>
          <w:rFonts w:ascii="Arial" w:hAnsi="Arial" w:cs="Arial"/>
          <w:sz w:val="24"/>
          <w:szCs w:val="24"/>
        </w:rPr>
        <w:t xml:space="preserve"> adopt </w:t>
      </w:r>
      <w:r w:rsidR="00FF5FED" w:rsidRPr="002E40EB">
        <w:rPr>
          <w:rFonts w:ascii="Arial" w:hAnsi="Arial" w:cs="Arial"/>
          <w:sz w:val="24"/>
          <w:szCs w:val="24"/>
        </w:rPr>
        <w:t>both</w:t>
      </w:r>
      <w:r w:rsidR="00E62A91" w:rsidRPr="002E40EB">
        <w:rPr>
          <w:rFonts w:ascii="Arial" w:hAnsi="Arial" w:cs="Arial"/>
          <w:sz w:val="24"/>
          <w:szCs w:val="24"/>
        </w:rPr>
        <w:t xml:space="preserve"> the 10 percent </w:t>
      </w:r>
      <w:r w:rsidR="000E61FB" w:rsidRPr="002E40EB">
        <w:rPr>
          <w:rFonts w:ascii="Arial" w:hAnsi="Arial" w:cs="Arial"/>
          <w:sz w:val="24"/>
          <w:szCs w:val="24"/>
        </w:rPr>
        <w:t xml:space="preserve">(in Table 1) </w:t>
      </w:r>
      <w:r w:rsidR="00E62A91" w:rsidRPr="002E40EB">
        <w:rPr>
          <w:rFonts w:ascii="Arial" w:hAnsi="Arial" w:cs="Arial"/>
          <w:sz w:val="24"/>
          <w:szCs w:val="24"/>
        </w:rPr>
        <w:t xml:space="preserve">and </w:t>
      </w:r>
      <w:r w:rsidR="00AA39B5" w:rsidRPr="002E40EB">
        <w:rPr>
          <w:rFonts w:ascii="Arial" w:hAnsi="Arial" w:cs="Arial"/>
          <w:sz w:val="24"/>
          <w:szCs w:val="24"/>
        </w:rPr>
        <w:t xml:space="preserve">concentrate on </w:t>
      </w:r>
      <w:r w:rsidR="00D1248B" w:rsidRPr="002E40EB">
        <w:rPr>
          <w:rFonts w:ascii="Arial" w:hAnsi="Arial" w:cs="Arial"/>
          <w:sz w:val="24"/>
          <w:szCs w:val="24"/>
        </w:rPr>
        <w:t>the 20</w:t>
      </w:r>
      <w:r w:rsidR="006C24C9" w:rsidRPr="002E40EB">
        <w:rPr>
          <w:rFonts w:ascii="Arial" w:hAnsi="Arial" w:cs="Arial"/>
          <w:sz w:val="24"/>
          <w:szCs w:val="24"/>
        </w:rPr>
        <w:t xml:space="preserve"> per cent</w:t>
      </w:r>
      <w:r w:rsidR="00D1248B" w:rsidRPr="002E40EB">
        <w:rPr>
          <w:rFonts w:ascii="Arial" w:hAnsi="Arial" w:cs="Arial"/>
          <w:sz w:val="24"/>
          <w:szCs w:val="24"/>
        </w:rPr>
        <w:t xml:space="preserve"> definition</w:t>
      </w:r>
      <w:r w:rsidR="000E61FB" w:rsidRPr="002E40EB">
        <w:rPr>
          <w:rFonts w:ascii="Arial" w:hAnsi="Arial" w:cs="Arial"/>
          <w:sz w:val="24"/>
          <w:szCs w:val="24"/>
        </w:rPr>
        <w:t xml:space="preserve"> (in Table 2)</w:t>
      </w:r>
      <w:r w:rsidR="00647624" w:rsidRPr="002E40EB">
        <w:rPr>
          <w:rFonts w:ascii="Arial" w:hAnsi="Arial" w:cs="Arial"/>
          <w:sz w:val="24"/>
          <w:szCs w:val="24"/>
        </w:rPr>
        <w:t>.</w:t>
      </w:r>
      <w:r w:rsidR="00BB5183" w:rsidRPr="002E40EB">
        <w:rPr>
          <w:rFonts w:ascii="Arial" w:hAnsi="Arial" w:cs="Arial"/>
          <w:sz w:val="24"/>
          <w:szCs w:val="24"/>
        </w:rPr>
        <w:t xml:space="preserve"> </w:t>
      </w:r>
    </w:p>
    <w:p w14:paraId="3ADB5B19" w14:textId="77777777" w:rsidR="00FE0BEA" w:rsidRPr="002E40EB" w:rsidRDefault="00FE0BEA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2E8F61B6" w14:textId="6627CF12" w:rsidR="00054EA2" w:rsidRPr="002E40EB" w:rsidRDefault="00054EA2" w:rsidP="009277B1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 xml:space="preserve">The analysis is based on </w:t>
      </w:r>
      <w:r w:rsidR="00F30F7F" w:rsidRPr="002E40EB">
        <w:rPr>
          <w:rFonts w:ascii="Arial" w:hAnsi="Arial" w:cs="Arial"/>
          <w:sz w:val="24"/>
          <w:szCs w:val="24"/>
        </w:rPr>
        <w:t>the</w:t>
      </w:r>
      <w:bookmarkStart w:id="0" w:name="_Hlk194074110"/>
      <w:r w:rsidR="00F30F7F" w:rsidRPr="002E40EB">
        <w:rPr>
          <w:rFonts w:ascii="Arial" w:hAnsi="Arial" w:cs="Arial"/>
          <w:sz w:val="24"/>
          <w:szCs w:val="24"/>
        </w:rPr>
        <w:t xml:space="preserve"> LCFS for 2022-23</w:t>
      </w:r>
      <w:bookmarkEnd w:id="0"/>
      <w:r w:rsidR="006E635C" w:rsidRPr="002E40EB">
        <w:rPr>
          <w:rFonts w:ascii="Arial" w:hAnsi="Arial" w:cs="Arial"/>
          <w:sz w:val="24"/>
          <w:szCs w:val="24"/>
        </w:rPr>
        <w:t xml:space="preserve"> and we are seeking to present the situation in January 2025</w:t>
      </w:r>
      <w:r w:rsidR="00CF73EB" w:rsidRPr="002E40EB">
        <w:rPr>
          <w:rFonts w:ascii="Arial" w:hAnsi="Arial" w:cs="Arial"/>
          <w:sz w:val="24"/>
          <w:szCs w:val="24"/>
        </w:rPr>
        <w:t>. This presents us with problems.</w:t>
      </w:r>
    </w:p>
    <w:p w14:paraId="4DF8E039" w14:textId="77777777" w:rsidR="00CF73EB" w:rsidRPr="002E40EB" w:rsidRDefault="00CF73EB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33143137" w14:textId="7412210F" w:rsidR="00CF73EB" w:rsidRPr="002E40EB" w:rsidRDefault="00CF73EB" w:rsidP="009277B1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>The LCFS</w:t>
      </w:r>
      <w:r w:rsidR="00086537" w:rsidRPr="002E40EB">
        <w:rPr>
          <w:rFonts w:ascii="Arial" w:hAnsi="Arial" w:cs="Arial"/>
          <w:sz w:val="24"/>
          <w:szCs w:val="24"/>
        </w:rPr>
        <w:t xml:space="preserve"> in that year suffered a sharp decline in </w:t>
      </w:r>
      <w:r w:rsidR="00711FCF" w:rsidRPr="002E40EB">
        <w:rPr>
          <w:rFonts w:ascii="Arial" w:hAnsi="Arial" w:cs="Arial"/>
          <w:sz w:val="24"/>
          <w:szCs w:val="24"/>
        </w:rPr>
        <w:t>response rates, which has been a general problem of ONS surveys since</w:t>
      </w:r>
      <w:r w:rsidR="00270F2F" w:rsidRPr="002E40EB">
        <w:rPr>
          <w:rFonts w:ascii="Arial" w:hAnsi="Arial" w:cs="Arial"/>
          <w:sz w:val="24"/>
          <w:szCs w:val="24"/>
        </w:rPr>
        <w:t xml:space="preserve"> the pandemic.</w:t>
      </w:r>
      <w:r w:rsidR="00032737" w:rsidRPr="002E40EB">
        <w:rPr>
          <w:rFonts w:ascii="Arial" w:hAnsi="Arial" w:cs="Arial"/>
          <w:sz w:val="24"/>
          <w:szCs w:val="24"/>
        </w:rPr>
        <w:t xml:space="preserve"> The number of households in the survey was </w:t>
      </w:r>
      <w:r w:rsidR="00E4188B" w:rsidRPr="002E40EB">
        <w:rPr>
          <w:rFonts w:ascii="Arial" w:hAnsi="Arial" w:cs="Arial"/>
          <w:sz w:val="24"/>
          <w:szCs w:val="24"/>
        </w:rPr>
        <w:t xml:space="preserve">only </w:t>
      </w:r>
      <w:r w:rsidR="008D4262" w:rsidRPr="002E40EB">
        <w:rPr>
          <w:rFonts w:ascii="Arial" w:hAnsi="Arial" w:cs="Arial"/>
          <w:sz w:val="24"/>
          <w:szCs w:val="24"/>
        </w:rPr>
        <w:t>4460</w:t>
      </w:r>
      <w:r w:rsidR="00032737" w:rsidRPr="002E40EB">
        <w:rPr>
          <w:rFonts w:ascii="Arial" w:hAnsi="Arial" w:cs="Arial"/>
          <w:sz w:val="24"/>
          <w:szCs w:val="24"/>
        </w:rPr>
        <w:t xml:space="preserve"> and we </w:t>
      </w:r>
      <w:r w:rsidR="00016354" w:rsidRPr="002E40EB">
        <w:rPr>
          <w:rFonts w:ascii="Arial" w:hAnsi="Arial" w:cs="Arial"/>
          <w:sz w:val="24"/>
          <w:szCs w:val="24"/>
        </w:rPr>
        <w:t xml:space="preserve">are hoping </w:t>
      </w:r>
      <w:r w:rsidR="00E4188B" w:rsidRPr="002E40EB">
        <w:rPr>
          <w:rFonts w:ascii="Arial" w:hAnsi="Arial" w:cs="Arial"/>
          <w:sz w:val="24"/>
          <w:szCs w:val="24"/>
        </w:rPr>
        <w:t xml:space="preserve">that </w:t>
      </w:r>
      <w:r w:rsidR="00016354" w:rsidRPr="002E40EB">
        <w:rPr>
          <w:rFonts w:ascii="Arial" w:hAnsi="Arial" w:cs="Arial"/>
          <w:sz w:val="24"/>
          <w:szCs w:val="24"/>
        </w:rPr>
        <w:t>the weighted data which we use is still representative of the population.</w:t>
      </w:r>
      <w:r w:rsidR="00E866B6" w:rsidRPr="002E40EB">
        <w:rPr>
          <w:rFonts w:ascii="Arial" w:hAnsi="Arial" w:cs="Arial"/>
          <w:sz w:val="24"/>
          <w:szCs w:val="24"/>
        </w:rPr>
        <w:t xml:space="preserve"> But it does not hide a major crisis in</w:t>
      </w:r>
      <w:r w:rsidR="00E4188B" w:rsidRPr="002E40EB">
        <w:rPr>
          <w:rFonts w:ascii="Arial" w:hAnsi="Arial" w:cs="Arial"/>
          <w:sz w:val="24"/>
          <w:szCs w:val="24"/>
        </w:rPr>
        <w:t xml:space="preserve"> ONS survey research.</w:t>
      </w:r>
    </w:p>
    <w:p w14:paraId="4341E847" w14:textId="77777777" w:rsidR="00A546A0" w:rsidRPr="002E40EB" w:rsidRDefault="00A546A0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38C35F73" w14:textId="26691000" w:rsidR="00E11899" w:rsidRPr="002E40EB" w:rsidRDefault="004F07B6" w:rsidP="009277B1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 xml:space="preserve">In 2022-23 </w:t>
      </w:r>
      <w:r w:rsidR="00A542A3" w:rsidRPr="002E40EB">
        <w:rPr>
          <w:rFonts w:ascii="Arial" w:hAnsi="Arial" w:cs="Arial"/>
          <w:sz w:val="24"/>
          <w:szCs w:val="24"/>
        </w:rPr>
        <w:t>an energy price guarantee</w:t>
      </w:r>
      <w:r w:rsidR="00B7373D" w:rsidRPr="002E40EB">
        <w:rPr>
          <w:rFonts w:ascii="Arial" w:hAnsi="Arial" w:cs="Arial"/>
          <w:sz w:val="24"/>
          <w:szCs w:val="24"/>
        </w:rPr>
        <w:t xml:space="preserve"> </w:t>
      </w:r>
      <w:r w:rsidR="00511F06" w:rsidRPr="002E40EB">
        <w:rPr>
          <w:rFonts w:ascii="Arial" w:hAnsi="Arial" w:cs="Arial"/>
          <w:sz w:val="24"/>
          <w:szCs w:val="24"/>
        </w:rPr>
        <w:t>of £2500</w:t>
      </w:r>
      <w:r w:rsidR="00FD7426">
        <w:rPr>
          <w:rFonts w:ascii="Arial" w:hAnsi="Arial" w:cs="Arial"/>
          <w:sz w:val="24"/>
          <w:szCs w:val="24"/>
        </w:rPr>
        <w:t xml:space="preserve"> was still in place,</w:t>
      </w:r>
      <w:r w:rsidR="00511F06" w:rsidRPr="002E40EB">
        <w:rPr>
          <w:rFonts w:ascii="Arial" w:hAnsi="Arial" w:cs="Arial"/>
          <w:sz w:val="24"/>
          <w:szCs w:val="24"/>
        </w:rPr>
        <w:t xml:space="preserve"> </w:t>
      </w:r>
      <w:r w:rsidR="00403873" w:rsidRPr="002E40EB">
        <w:rPr>
          <w:rFonts w:ascii="Arial" w:hAnsi="Arial" w:cs="Arial"/>
          <w:sz w:val="24"/>
          <w:szCs w:val="24"/>
        </w:rPr>
        <w:t>which will have reduced the price of energy by about £5 p</w:t>
      </w:r>
      <w:r w:rsidR="00AD262C" w:rsidRPr="002E40EB">
        <w:rPr>
          <w:rFonts w:ascii="Arial" w:hAnsi="Arial" w:cs="Arial"/>
          <w:sz w:val="24"/>
          <w:szCs w:val="24"/>
        </w:rPr>
        <w:t xml:space="preserve">er week per household </w:t>
      </w:r>
      <w:r w:rsidR="00B7373D" w:rsidRPr="002E40EB">
        <w:rPr>
          <w:rFonts w:ascii="Arial" w:hAnsi="Arial" w:cs="Arial"/>
          <w:sz w:val="24"/>
          <w:szCs w:val="24"/>
        </w:rPr>
        <w:t xml:space="preserve">and </w:t>
      </w:r>
      <w:r w:rsidR="001F6CE2" w:rsidRPr="002E40EB">
        <w:rPr>
          <w:rFonts w:ascii="Arial" w:hAnsi="Arial" w:cs="Arial"/>
          <w:sz w:val="24"/>
          <w:szCs w:val="24"/>
        </w:rPr>
        <w:t xml:space="preserve">we assume this is reflected in </w:t>
      </w:r>
      <w:r w:rsidR="00F97292" w:rsidRPr="002E40EB">
        <w:rPr>
          <w:rFonts w:ascii="Arial" w:hAnsi="Arial" w:cs="Arial"/>
          <w:sz w:val="24"/>
          <w:szCs w:val="24"/>
        </w:rPr>
        <w:t xml:space="preserve">recorded expenditure. More problematic </w:t>
      </w:r>
      <w:r w:rsidR="00A7708D" w:rsidRPr="002E40EB">
        <w:rPr>
          <w:rFonts w:ascii="Arial" w:hAnsi="Arial" w:cs="Arial"/>
          <w:sz w:val="24"/>
          <w:szCs w:val="24"/>
        </w:rPr>
        <w:t xml:space="preserve">might have been </w:t>
      </w:r>
      <w:r w:rsidR="00F97292" w:rsidRPr="002E40EB">
        <w:rPr>
          <w:rFonts w:ascii="Arial" w:hAnsi="Arial" w:cs="Arial"/>
          <w:sz w:val="24"/>
          <w:szCs w:val="24"/>
        </w:rPr>
        <w:t>analysis from April 2023</w:t>
      </w:r>
      <w:r w:rsidR="00154A42" w:rsidRPr="002E40EB">
        <w:rPr>
          <w:rFonts w:ascii="Arial" w:hAnsi="Arial" w:cs="Arial"/>
          <w:sz w:val="24"/>
          <w:szCs w:val="24"/>
        </w:rPr>
        <w:t xml:space="preserve"> </w:t>
      </w:r>
      <w:r w:rsidR="005A4E7F" w:rsidRPr="002E40EB">
        <w:rPr>
          <w:rFonts w:ascii="Arial" w:hAnsi="Arial" w:cs="Arial"/>
          <w:sz w:val="24"/>
          <w:szCs w:val="24"/>
        </w:rPr>
        <w:t xml:space="preserve">as </w:t>
      </w:r>
      <w:r w:rsidR="00154A42" w:rsidRPr="002E40EB">
        <w:rPr>
          <w:rFonts w:ascii="Arial" w:hAnsi="Arial" w:cs="Arial"/>
          <w:sz w:val="24"/>
          <w:szCs w:val="24"/>
        </w:rPr>
        <w:t xml:space="preserve">this was replaced by </w:t>
      </w:r>
      <w:r w:rsidR="00E11899" w:rsidRPr="002E40EB">
        <w:rPr>
          <w:rFonts w:ascii="Arial" w:hAnsi="Arial" w:cs="Arial"/>
          <w:sz w:val="24"/>
          <w:szCs w:val="24"/>
        </w:rPr>
        <w:t xml:space="preserve">a new set of </w:t>
      </w:r>
      <w:r w:rsidR="00FC2FA8" w:rsidRPr="002E40EB">
        <w:rPr>
          <w:rFonts w:ascii="Arial" w:hAnsi="Arial" w:cs="Arial"/>
          <w:sz w:val="24"/>
          <w:szCs w:val="24"/>
        </w:rPr>
        <w:t>cost-of-living</w:t>
      </w:r>
      <w:r w:rsidR="0069649E" w:rsidRPr="002E40EB">
        <w:rPr>
          <w:rFonts w:ascii="Arial" w:hAnsi="Arial" w:cs="Arial"/>
          <w:sz w:val="24"/>
          <w:szCs w:val="24"/>
        </w:rPr>
        <w:t xml:space="preserve"> </w:t>
      </w:r>
      <w:r w:rsidR="00E11899" w:rsidRPr="002E40EB">
        <w:rPr>
          <w:rFonts w:ascii="Arial" w:hAnsi="Arial" w:cs="Arial"/>
          <w:sz w:val="24"/>
          <w:szCs w:val="24"/>
        </w:rPr>
        <w:t>payments</w:t>
      </w:r>
      <w:r w:rsidR="006519F3" w:rsidRPr="002E40EB">
        <w:rPr>
          <w:rFonts w:ascii="Arial" w:hAnsi="Arial" w:cs="Arial"/>
          <w:sz w:val="24"/>
          <w:szCs w:val="24"/>
        </w:rPr>
        <w:t xml:space="preserve">: </w:t>
      </w:r>
      <w:r w:rsidR="00533464" w:rsidRPr="002E40EB">
        <w:rPr>
          <w:rFonts w:ascii="Arial" w:hAnsi="Arial" w:cs="Arial"/>
          <w:sz w:val="24"/>
          <w:szCs w:val="24"/>
        </w:rPr>
        <w:t>£300 for all pensioner households, £150 for disability benefit recipients and £900 for recipients of means-tested working</w:t>
      </w:r>
      <w:r w:rsidR="00194867" w:rsidRPr="002E40EB">
        <w:rPr>
          <w:rFonts w:ascii="Arial" w:hAnsi="Arial" w:cs="Arial"/>
          <w:sz w:val="24"/>
          <w:szCs w:val="24"/>
        </w:rPr>
        <w:t>-</w:t>
      </w:r>
      <w:r w:rsidR="00533464" w:rsidRPr="002E40EB">
        <w:rPr>
          <w:rFonts w:ascii="Arial" w:hAnsi="Arial" w:cs="Arial"/>
          <w:sz w:val="24"/>
          <w:szCs w:val="24"/>
        </w:rPr>
        <w:t>age benefits</w:t>
      </w:r>
      <w:r w:rsidR="003A7737" w:rsidRPr="002E40EB">
        <w:rPr>
          <w:rFonts w:ascii="Arial" w:hAnsi="Arial" w:cs="Arial"/>
          <w:sz w:val="24"/>
          <w:szCs w:val="24"/>
        </w:rPr>
        <w:t xml:space="preserve">. Our modelling of fuel poverty in </w:t>
      </w:r>
      <w:r w:rsidR="00D83E17" w:rsidRPr="002E40EB">
        <w:rPr>
          <w:rFonts w:ascii="Arial" w:hAnsi="Arial" w:cs="Arial"/>
          <w:sz w:val="24"/>
          <w:szCs w:val="24"/>
        </w:rPr>
        <w:t>December 2025</w:t>
      </w:r>
      <w:r w:rsidR="00417B4F" w:rsidRPr="002E40EB">
        <w:rPr>
          <w:rFonts w:ascii="Arial" w:hAnsi="Arial" w:cs="Arial"/>
          <w:sz w:val="24"/>
          <w:szCs w:val="24"/>
        </w:rPr>
        <w:t xml:space="preserve"> can ignore those </w:t>
      </w:r>
      <w:r w:rsidR="009833D9" w:rsidRPr="002E40EB">
        <w:rPr>
          <w:rFonts w:ascii="Arial" w:hAnsi="Arial" w:cs="Arial"/>
          <w:sz w:val="24"/>
          <w:szCs w:val="24"/>
        </w:rPr>
        <w:t xml:space="preserve">payments </w:t>
      </w:r>
      <w:r w:rsidR="008F4495" w:rsidRPr="002E40EB">
        <w:rPr>
          <w:rFonts w:ascii="Arial" w:hAnsi="Arial" w:cs="Arial"/>
          <w:sz w:val="24"/>
          <w:szCs w:val="24"/>
        </w:rPr>
        <w:t>because by December they had been abolished</w:t>
      </w:r>
      <w:r w:rsidR="004A22CC">
        <w:rPr>
          <w:rFonts w:ascii="Arial" w:hAnsi="Arial" w:cs="Arial"/>
          <w:sz w:val="24"/>
          <w:szCs w:val="24"/>
        </w:rPr>
        <w:t>,</w:t>
      </w:r>
      <w:r w:rsidR="008F4495" w:rsidRPr="002E40EB">
        <w:rPr>
          <w:rFonts w:ascii="Arial" w:hAnsi="Arial" w:cs="Arial"/>
          <w:sz w:val="24"/>
          <w:szCs w:val="24"/>
        </w:rPr>
        <w:t xml:space="preserve"> </w:t>
      </w:r>
      <w:r w:rsidR="00F95C51" w:rsidRPr="002E40EB">
        <w:rPr>
          <w:rFonts w:ascii="Arial" w:hAnsi="Arial" w:cs="Arial"/>
          <w:sz w:val="24"/>
          <w:szCs w:val="24"/>
        </w:rPr>
        <w:t xml:space="preserve">as indeed had the winter fuel payments to all pensioners unless they were on </w:t>
      </w:r>
      <w:r w:rsidR="002F41F5" w:rsidRPr="002E40EB">
        <w:rPr>
          <w:rFonts w:ascii="Arial" w:hAnsi="Arial" w:cs="Arial"/>
          <w:sz w:val="24"/>
          <w:szCs w:val="24"/>
        </w:rPr>
        <w:t xml:space="preserve">Pension Credit. </w:t>
      </w:r>
    </w:p>
    <w:p w14:paraId="1B3D1CA2" w14:textId="77777777" w:rsidR="00E11899" w:rsidRPr="002E40EB" w:rsidRDefault="00E11899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25D0AD18" w14:textId="16B826C8" w:rsidR="006519F3" w:rsidRPr="002E40EB" w:rsidRDefault="004A22CC" w:rsidP="009277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60865" w:rsidRPr="002E40EB">
        <w:rPr>
          <w:rFonts w:ascii="Arial" w:hAnsi="Arial" w:cs="Arial"/>
          <w:sz w:val="24"/>
          <w:szCs w:val="24"/>
        </w:rPr>
        <w:t>e have</w:t>
      </w:r>
      <w:r w:rsidR="003E477B" w:rsidRPr="002E40EB">
        <w:rPr>
          <w:rFonts w:ascii="Arial" w:hAnsi="Arial" w:cs="Arial"/>
          <w:sz w:val="24"/>
          <w:szCs w:val="24"/>
        </w:rPr>
        <w:t xml:space="preserve"> </w:t>
      </w:r>
      <w:r w:rsidRPr="002E40EB">
        <w:rPr>
          <w:rFonts w:ascii="Arial" w:hAnsi="Arial" w:cs="Arial"/>
          <w:sz w:val="24"/>
          <w:szCs w:val="24"/>
        </w:rPr>
        <w:t xml:space="preserve">still </w:t>
      </w:r>
      <w:r w:rsidR="00AE1C38" w:rsidRPr="002E40EB">
        <w:rPr>
          <w:rFonts w:ascii="Arial" w:hAnsi="Arial" w:cs="Arial"/>
          <w:sz w:val="24"/>
          <w:szCs w:val="24"/>
        </w:rPr>
        <w:t xml:space="preserve">had to make assumptions about </w:t>
      </w:r>
      <w:r w:rsidR="00F60865" w:rsidRPr="002E40EB">
        <w:rPr>
          <w:rFonts w:ascii="Arial" w:hAnsi="Arial" w:cs="Arial"/>
          <w:sz w:val="24"/>
          <w:szCs w:val="24"/>
        </w:rPr>
        <w:t xml:space="preserve">how much </w:t>
      </w:r>
      <w:r w:rsidR="00D540C8" w:rsidRPr="002E40EB">
        <w:rPr>
          <w:rFonts w:ascii="Arial" w:hAnsi="Arial" w:cs="Arial"/>
          <w:sz w:val="24"/>
          <w:szCs w:val="24"/>
        </w:rPr>
        <w:t>household energy prices</w:t>
      </w:r>
      <w:r w:rsidR="00AC57D2" w:rsidRPr="002E40EB">
        <w:rPr>
          <w:rFonts w:ascii="Arial" w:hAnsi="Arial" w:cs="Arial"/>
          <w:sz w:val="24"/>
          <w:szCs w:val="24"/>
        </w:rPr>
        <w:t>/expenditure will have fallen b</w:t>
      </w:r>
      <w:r w:rsidR="008D44D4" w:rsidRPr="002E40EB">
        <w:rPr>
          <w:rFonts w:ascii="Arial" w:hAnsi="Arial" w:cs="Arial"/>
          <w:sz w:val="24"/>
          <w:szCs w:val="24"/>
        </w:rPr>
        <w:t>e</w:t>
      </w:r>
      <w:r w:rsidR="00AC57D2" w:rsidRPr="002E40EB">
        <w:rPr>
          <w:rFonts w:ascii="Arial" w:hAnsi="Arial" w:cs="Arial"/>
          <w:sz w:val="24"/>
          <w:szCs w:val="24"/>
        </w:rPr>
        <w:t>t</w:t>
      </w:r>
      <w:r w:rsidR="008D44D4" w:rsidRPr="002E40EB">
        <w:rPr>
          <w:rFonts w:ascii="Arial" w:hAnsi="Arial" w:cs="Arial"/>
          <w:sz w:val="24"/>
          <w:szCs w:val="24"/>
        </w:rPr>
        <w:t>we</w:t>
      </w:r>
      <w:r w:rsidR="00AC57D2" w:rsidRPr="002E40EB">
        <w:rPr>
          <w:rFonts w:ascii="Arial" w:hAnsi="Arial" w:cs="Arial"/>
          <w:sz w:val="24"/>
          <w:szCs w:val="24"/>
        </w:rPr>
        <w:t>en 2</w:t>
      </w:r>
      <w:r w:rsidR="009E32FF" w:rsidRPr="002E40EB">
        <w:rPr>
          <w:rFonts w:ascii="Arial" w:hAnsi="Arial" w:cs="Arial"/>
          <w:sz w:val="24"/>
          <w:szCs w:val="24"/>
        </w:rPr>
        <w:t>02</w:t>
      </w:r>
      <w:r w:rsidR="008D44D4" w:rsidRPr="002E40EB">
        <w:rPr>
          <w:rFonts w:ascii="Arial" w:hAnsi="Arial" w:cs="Arial"/>
          <w:sz w:val="24"/>
          <w:szCs w:val="24"/>
        </w:rPr>
        <w:t>2</w:t>
      </w:r>
      <w:r w:rsidR="009E32FF" w:rsidRPr="002E40EB">
        <w:rPr>
          <w:rFonts w:ascii="Arial" w:hAnsi="Arial" w:cs="Arial"/>
          <w:sz w:val="24"/>
          <w:szCs w:val="24"/>
        </w:rPr>
        <w:t>-23 and December 202</w:t>
      </w:r>
      <w:r w:rsidR="005F0845" w:rsidRPr="002E40EB">
        <w:rPr>
          <w:rFonts w:ascii="Arial" w:hAnsi="Arial" w:cs="Arial"/>
          <w:sz w:val="24"/>
          <w:szCs w:val="24"/>
        </w:rPr>
        <w:t>5</w:t>
      </w:r>
      <w:r w:rsidR="009E32FF" w:rsidRPr="002E40EB">
        <w:rPr>
          <w:rFonts w:ascii="Arial" w:hAnsi="Arial" w:cs="Arial"/>
          <w:sz w:val="24"/>
          <w:szCs w:val="24"/>
        </w:rPr>
        <w:t xml:space="preserve"> </w:t>
      </w:r>
      <w:r w:rsidR="00BD3C8F" w:rsidRPr="002E40EB">
        <w:rPr>
          <w:rFonts w:ascii="Arial" w:hAnsi="Arial" w:cs="Arial"/>
          <w:sz w:val="24"/>
          <w:szCs w:val="24"/>
        </w:rPr>
        <w:t>and</w:t>
      </w:r>
      <w:r w:rsidR="0042011B" w:rsidRPr="002E40EB">
        <w:rPr>
          <w:rFonts w:ascii="Arial" w:hAnsi="Arial" w:cs="Arial"/>
          <w:sz w:val="24"/>
          <w:szCs w:val="24"/>
        </w:rPr>
        <w:t>,</w:t>
      </w:r>
      <w:r w:rsidR="00DC60CD" w:rsidRPr="002E40EB">
        <w:rPr>
          <w:rFonts w:ascii="Arial" w:hAnsi="Arial" w:cs="Arial"/>
          <w:sz w:val="24"/>
          <w:szCs w:val="24"/>
        </w:rPr>
        <w:t xml:space="preserve"> more problematically</w:t>
      </w:r>
      <w:r w:rsidR="0042011B" w:rsidRPr="002E40EB">
        <w:rPr>
          <w:rFonts w:ascii="Arial" w:hAnsi="Arial" w:cs="Arial"/>
          <w:sz w:val="24"/>
          <w:szCs w:val="24"/>
        </w:rPr>
        <w:t>,</w:t>
      </w:r>
      <w:r w:rsidR="00DC60CD" w:rsidRPr="002E40EB">
        <w:rPr>
          <w:rFonts w:ascii="Arial" w:hAnsi="Arial" w:cs="Arial"/>
          <w:sz w:val="24"/>
          <w:szCs w:val="24"/>
        </w:rPr>
        <w:t xml:space="preserve"> we </w:t>
      </w:r>
      <w:proofErr w:type="gramStart"/>
      <w:r w:rsidR="00DC60CD" w:rsidRPr="002E40EB">
        <w:rPr>
          <w:rFonts w:ascii="Arial" w:hAnsi="Arial" w:cs="Arial"/>
          <w:sz w:val="24"/>
          <w:szCs w:val="24"/>
        </w:rPr>
        <w:t>have to</w:t>
      </w:r>
      <w:proofErr w:type="gramEnd"/>
      <w:r w:rsidR="00DC60CD" w:rsidRPr="002E40EB">
        <w:rPr>
          <w:rFonts w:ascii="Arial" w:hAnsi="Arial" w:cs="Arial"/>
          <w:sz w:val="24"/>
          <w:szCs w:val="24"/>
        </w:rPr>
        <w:t xml:space="preserve"> make an assumption about how much </w:t>
      </w:r>
      <w:r w:rsidR="00A55740" w:rsidRPr="002E40EB">
        <w:rPr>
          <w:rFonts w:ascii="Arial" w:hAnsi="Arial" w:cs="Arial"/>
          <w:sz w:val="24"/>
          <w:szCs w:val="24"/>
        </w:rPr>
        <w:t>real net incomes after housing cost will have risen</w:t>
      </w:r>
      <w:r w:rsidR="00E67570" w:rsidRPr="002E40EB">
        <w:rPr>
          <w:rFonts w:ascii="Arial" w:hAnsi="Arial" w:cs="Arial"/>
          <w:sz w:val="24"/>
          <w:szCs w:val="24"/>
        </w:rPr>
        <w:t xml:space="preserve">. </w:t>
      </w:r>
      <w:r w:rsidR="00212FD4" w:rsidRPr="002E40EB">
        <w:rPr>
          <w:rFonts w:ascii="Arial" w:hAnsi="Arial" w:cs="Arial"/>
          <w:sz w:val="24"/>
          <w:szCs w:val="24"/>
        </w:rPr>
        <w:t>Only time will tell how accu</w:t>
      </w:r>
      <w:r w:rsidR="008A29BE" w:rsidRPr="002E40EB">
        <w:rPr>
          <w:rFonts w:ascii="Arial" w:hAnsi="Arial" w:cs="Arial"/>
          <w:sz w:val="24"/>
          <w:szCs w:val="24"/>
        </w:rPr>
        <w:t>r</w:t>
      </w:r>
      <w:r w:rsidR="00212FD4" w:rsidRPr="002E40EB">
        <w:rPr>
          <w:rFonts w:ascii="Arial" w:hAnsi="Arial" w:cs="Arial"/>
          <w:sz w:val="24"/>
          <w:szCs w:val="24"/>
        </w:rPr>
        <w:t xml:space="preserve">ate these predictions </w:t>
      </w:r>
      <w:r w:rsidR="00FC2FA8" w:rsidRPr="002E40EB">
        <w:rPr>
          <w:rFonts w:ascii="Arial" w:hAnsi="Arial" w:cs="Arial"/>
          <w:sz w:val="24"/>
          <w:szCs w:val="24"/>
        </w:rPr>
        <w:t>are but</w:t>
      </w:r>
      <w:r w:rsidR="00212FD4" w:rsidRPr="002E40EB">
        <w:rPr>
          <w:rFonts w:ascii="Arial" w:hAnsi="Arial" w:cs="Arial"/>
          <w:sz w:val="24"/>
          <w:szCs w:val="24"/>
        </w:rPr>
        <w:t xml:space="preserve"> </w:t>
      </w:r>
      <w:r w:rsidR="00212FD4" w:rsidRPr="002E40EB">
        <w:rPr>
          <w:rFonts w:ascii="Arial" w:hAnsi="Arial" w:cs="Arial"/>
          <w:sz w:val="24"/>
          <w:szCs w:val="24"/>
        </w:rPr>
        <w:lastRenderedPageBreak/>
        <w:t xml:space="preserve">having </w:t>
      </w:r>
      <w:r w:rsidR="008A29BE" w:rsidRPr="002E40EB">
        <w:rPr>
          <w:rFonts w:ascii="Arial" w:hAnsi="Arial" w:cs="Arial"/>
          <w:sz w:val="24"/>
          <w:szCs w:val="24"/>
        </w:rPr>
        <w:t xml:space="preserve">consulted with the </w:t>
      </w:r>
      <w:r w:rsidR="00EE1092" w:rsidRPr="002E40EB">
        <w:rPr>
          <w:rFonts w:ascii="Arial" w:hAnsi="Arial" w:cs="Arial"/>
          <w:sz w:val="24"/>
          <w:szCs w:val="24"/>
        </w:rPr>
        <w:t xml:space="preserve">End </w:t>
      </w:r>
      <w:r w:rsidR="008A29BE" w:rsidRPr="002E40EB">
        <w:rPr>
          <w:rFonts w:ascii="Arial" w:hAnsi="Arial" w:cs="Arial"/>
          <w:sz w:val="24"/>
          <w:szCs w:val="24"/>
        </w:rPr>
        <w:t>Fuel Poverty Coalition and others</w:t>
      </w:r>
      <w:r w:rsidR="00271004" w:rsidRPr="002E40EB">
        <w:rPr>
          <w:rFonts w:ascii="Arial" w:hAnsi="Arial" w:cs="Arial"/>
          <w:sz w:val="24"/>
          <w:szCs w:val="24"/>
        </w:rPr>
        <w:t>,</w:t>
      </w:r>
      <w:r w:rsidR="008A29BE" w:rsidRPr="002E40EB">
        <w:rPr>
          <w:rFonts w:ascii="Arial" w:hAnsi="Arial" w:cs="Arial"/>
          <w:sz w:val="24"/>
          <w:szCs w:val="24"/>
        </w:rPr>
        <w:t xml:space="preserve"> we have </w:t>
      </w:r>
      <w:r w:rsidR="00225922" w:rsidRPr="002E40EB">
        <w:rPr>
          <w:rFonts w:ascii="Arial" w:hAnsi="Arial" w:cs="Arial"/>
          <w:sz w:val="24"/>
          <w:szCs w:val="24"/>
        </w:rPr>
        <w:t xml:space="preserve">adjusted fuel expenditure downwards by </w:t>
      </w:r>
      <w:r w:rsidR="00543528" w:rsidRPr="002E40EB">
        <w:rPr>
          <w:rFonts w:ascii="Arial" w:hAnsi="Arial" w:cs="Arial"/>
          <w:sz w:val="24"/>
          <w:szCs w:val="24"/>
        </w:rPr>
        <w:t>19</w:t>
      </w:r>
      <w:r w:rsidR="003129B9" w:rsidRPr="002E40EB">
        <w:rPr>
          <w:rFonts w:ascii="Arial" w:hAnsi="Arial" w:cs="Arial"/>
          <w:sz w:val="24"/>
          <w:szCs w:val="24"/>
        </w:rPr>
        <w:t xml:space="preserve"> per cent and increased real net income by </w:t>
      </w:r>
      <w:r w:rsidR="0085132C" w:rsidRPr="002E40EB">
        <w:rPr>
          <w:rFonts w:ascii="Arial" w:hAnsi="Arial" w:cs="Arial"/>
          <w:sz w:val="24"/>
          <w:szCs w:val="24"/>
        </w:rPr>
        <w:t>2 per cent.</w:t>
      </w:r>
    </w:p>
    <w:p w14:paraId="7F6BFEBE" w14:textId="77777777" w:rsidR="003B18CF" w:rsidRDefault="003B18CF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10A71028" w14:textId="2C95DEBC" w:rsidR="00D223CA" w:rsidRDefault="00D223CA" w:rsidP="009277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Fuel poverty gaps are estimates of how much fuel cost for a household need to fall in order to escape fuel poverty.</w:t>
      </w:r>
    </w:p>
    <w:p w14:paraId="00B5B6CD" w14:textId="77777777" w:rsidR="00D223CA" w:rsidRPr="002E40EB" w:rsidRDefault="00D223CA" w:rsidP="009277B1">
      <w:pPr>
        <w:pStyle w:val="NoSpacing"/>
        <w:rPr>
          <w:rFonts w:ascii="Arial" w:hAnsi="Arial" w:cs="Arial"/>
          <w:sz w:val="24"/>
          <w:szCs w:val="24"/>
        </w:rPr>
      </w:pPr>
    </w:p>
    <w:p w14:paraId="2C02ABBE" w14:textId="77777777" w:rsidR="00E46FD3" w:rsidRPr="002E40EB" w:rsidRDefault="00E46FD3" w:rsidP="006519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E40EB">
        <w:rPr>
          <w:rFonts w:ascii="Arial" w:hAnsi="Arial" w:cs="Arial"/>
          <w:b/>
          <w:bCs/>
          <w:sz w:val="24"/>
          <w:szCs w:val="24"/>
        </w:rPr>
        <w:t>Results</w:t>
      </w:r>
    </w:p>
    <w:p w14:paraId="61F679F5" w14:textId="77777777" w:rsidR="00DC5B0D" w:rsidRDefault="00DC5B0D" w:rsidP="006519F3">
      <w:pPr>
        <w:pStyle w:val="NoSpacing"/>
        <w:rPr>
          <w:rFonts w:ascii="Arial" w:hAnsi="Arial" w:cs="Arial"/>
          <w:sz w:val="24"/>
          <w:szCs w:val="24"/>
        </w:rPr>
      </w:pPr>
    </w:p>
    <w:p w14:paraId="7D3B6774" w14:textId="3BA102FB" w:rsidR="002816BA" w:rsidRDefault="001E34EB" w:rsidP="00955F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reported here are for the </w:t>
      </w:r>
      <w:r w:rsidRPr="002E40EB">
        <w:rPr>
          <w:rFonts w:ascii="Arial" w:hAnsi="Arial" w:cs="Arial"/>
          <w:sz w:val="24"/>
          <w:szCs w:val="24"/>
        </w:rPr>
        <w:t xml:space="preserve">fuel poverty measure </w:t>
      </w:r>
      <w:r>
        <w:rPr>
          <w:rFonts w:ascii="Arial" w:hAnsi="Arial" w:cs="Arial"/>
          <w:sz w:val="24"/>
          <w:szCs w:val="24"/>
        </w:rPr>
        <w:t>‘</w:t>
      </w:r>
      <w:r w:rsidRPr="002E40EB">
        <w:rPr>
          <w:rFonts w:ascii="Arial" w:hAnsi="Arial" w:cs="Arial"/>
          <w:sz w:val="24"/>
          <w:szCs w:val="24"/>
        </w:rPr>
        <w:t>spending more than 20% of net household income after housing costs on fuel</w:t>
      </w:r>
      <w:r>
        <w:rPr>
          <w:rFonts w:ascii="Arial" w:hAnsi="Arial" w:cs="Arial"/>
          <w:sz w:val="24"/>
          <w:szCs w:val="24"/>
        </w:rPr>
        <w:t xml:space="preserve">’ </w:t>
      </w:r>
      <w:r w:rsidR="002816BA">
        <w:rPr>
          <w:rFonts w:ascii="Arial" w:hAnsi="Arial" w:cs="Arial"/>
          <w:sz w:val="24"/>
          <w:szCs w:val="24"/>
        </w:rPr>
        <w:t xml:space="preserve">– as a measure of fuel poverty – </w:t>
      </w:r>
      <w:r w:rsidR="00FB3992">
        <w:rPr>
          <w:rFonts w:ascii="Arial" w:hAnsi="Arial" w:cs="Arial"/>
          <w:sz w:val="24"/>
          <w:szCs w:val="24"/>
        </w:rPr>
        <w:t>and compare</w:t>
      </w:r>
      <w:r>
        <w:rPr>
          <w:rFonts w:ascii="Arial" w:hAnsi="Arial" w:cs="Arial"/>
          <w:sz w:val="24"/>
          <w:szCs w:val="24"/>
        </w:rPr>
        <w:t xml:space="preserve"> estimates for households in the UK from 2022/23 with </w:t>
      </w:r>
      <w:r w:rsidRPr="002E40EB">
        <w:rPr>
          <w:rFonts w:ascii="Arial" w:hAnsi="Arial" w:cs="Arial"/>
          <w:sz w:val="24"/>
          <w:szCs w:val="24"/>
        </w:rPr>
        <w:t>our estimates for January 2025.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21F1ED" w14:textId="77777777" w:rsidR="002816BA" w:rsidRDefault="002816BA" w:rsidP="00955F17">
      <w:pPr>
        <w:pStyle w:val="NoSpacing"/>
        <w:rPr>
          <w:rFonts w:ascii="Arial" w:hAnsi="Arial" w:cs="Arial"/>
          <w:sz w:val="24"/>
          <w:szCs w:val="24"/>
        </w:rPr>
      </w:pPr>
    </w:p>
    <w:p w14:paraId="714C7CE9" w14:textId="3F003FCD" w:rsidR="001E34EB" w:rsidRPr="002E40EB" w:rsidRDefault="001E34EB" w:rsidP="00955F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specifically, Figures 1 to 8 report differences in fuel poverty rates by household characteristics (See Annex Table 1 for fuel poverty measured at </w:t>
      </w:r>
      <w:r w:rsidR="003A7E1A">
        <w:rPr>
          <w:rFonts w:ascii="Arial" w:hAnsi="Arial" w:cs="Arial"/>
          <w:sz w:val="24"/>
          <w:szCs w:val="24"/>
        </w:rPr>
        <w:t xml:space="preserve">cost of </w:t>
      </w:r>
      <w:r>
        <w:rPr>
          <w:rFonts w:ascii="Arial" w:hAnsi="Arial" w:cs="Arial"/>
          <w:sz w:val="24"/>
          <w:szCs w:val="24"/>
        </w:rPr>
        <w:t xml:space="preserve">10% </w:t>
      </w:r>
      <w:r w:rsidR="00E456F9">
        <w:rPr>
          <w:rFonts w:ascii="Arial" w:hAnsi="Arial" w:cs="Arial"/>
          <w:sz w:val="24"/>
          <w:szCs w:val="24"/>
        </w:rPr>
        <w:t xml:space="preserve">or more </w:t>
      </w:r>
      <w:r>
        <w:rPr>
          <w:rFonts w:ascii="Arial" w:hAnsi="Arial" w:cs="Arial"/>
          <w:sz w:val="24"/>
          <w:szCs w:val="24"/>
        </w:rPr>
        <w:t>of net household income after housing costs</w:t>
      </w:r>
      <w:r w:rsidR="00E456F9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Annex Table 2 for </w:t>
      </w:r>
      <w:r w:rsidR="006F27CF">
        <w:rPr>
          <w:rFonts w:ascii="Arial" w:hAnsi="Arial" w:cs="Arial"/>
          <w:sz w:val="24"/>
          <w:szCs w:val="24"/>
        </w:rPr>
        <w:t xml:space="preserve">cumulative proportions by category and </w:t>
      </w:r>
      <w:r>
        <w:rPr>
          <w:rFonts w:ascii="Arial" w:hAnsi="Arial" w:cs="Arial"/>
          <w:sz w:val="24"/>
          <w:szCs w:val="24"/>
        </w:rPr>
        <w:t>fuel poverty gaps</w:t>
      </w:r>
      <w:r w:rsidR="00E456F9">
        <w:rPr>
          <w:rFonts w:ascii="Arial" w:hAnsi="Arial" w:cs="Arial"/>
          <w:sz w:val="24"/>
          <w:szCs w:val="24"/>
        </w:rPr>
        <w:t xml:space="preserve"> at 20%)</w:t>
      </w:r>
      <w:r w:rsidR="006F27CF">
        <w:rPr>
          <w:rFonts w:ascii="Arial" w:hAnsi="Arial" w:cs="Arial"/>
          <w:sz w:val="24"/>
          <w:szCs w:val="24"/>
        </w:rPr>
        <w:t xml:space="preserve">. The </w:t>
      </w:r>
      <w:r w:rsidR="006416E4">
        <w:rPr>
          <w:rFonts w:ascii="Arial" w:hAnsi="Arial" w:cs="Arial"/>
          <w:sz w:val="24"/>
          <w:szCs w:val="24"/>
        </w:rPr>
        <w:t>F</w:t>
      </w:r>
      <w:r w:rsidR="006F27CF">
        <w:rPr>
          <w:rFonts w:ascii="Arial" w:hAnsi="Arial" w:cs="Arial"/>
          <w:sz w:val="24"/>
          <w:szCs w:val="24"/>
        </w:rPr>
        <w:t xml:space="preserve">igures also </w:t>
      </w:r>
      <w:r>
        <w:rPr>
          <w:rFonts w:ascii="Arial" w:hAnsi="Arial" w:cs="Arial"/>
          <w:sz w:val="24"/>
          <w:szCs w:val="24"/>
        </w:rPr>
        <w:t xml:space="preserve">indicate when a household type </w:t>
      </w:r>
      <w:r w:rsidR="006416E4">
        <w:rPr>
          <w:rFonts w:ascii="Arial" w:hAnsi="Arial" w:cs="Arial"/>
          <w:sz w:val="24"/>
          <w:szCs w:val="24"/>
        </w:rPr>
        <w:t>is s</w:t>
      </w:r>
      <w:r>
        <w:rPr>
          <w:rFonts w:ascii="Arial" w:hAnsi="Arial" w:cs="Arial"/>
          <w:sz w:val="24"/>
          <w:szCs w:val="24"/>
        </w:rPr>
        <w:t xml:space="preserve">ignificantly more or less likely than the average household to experience fuel poverty after controls (see Annex Table 3 for </w:t>
      </w:r>
      <w:r w:rsidR="006416E4">
        <w:rPr>
          <w:rFonts w:ascii="Arial" w:hAnsi="Arial" w:cs="Arial"/>
          <w:sz w:val="24"/>
          <w:szCs w:val="24"/>
        </w:rPr>
        <w:t>the logistic regression model, and Figure notes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0ECBB211" w14:textId="77777777" w:rsidR="00955F17" w:rsidRDefault="00955F17" w:rsidP="006519F3">
      <w:pPr>
        <w:pStyle w:val="NoSpacing"/>
        <w:rPr>
          <w:rFonts w:ascii="Arial" w:hAnsi="Arial" w:cs="Arial"/>
          <w:sz w:val="24"/>
          <w:szCs w:val="24"/>
        </w:rPr>
      </w:pPr>
    </w:p>
    <w:p w14:paraId="762C9194" w14:textId="2AFC2603" w:rsidR="006519F3" w:rsidRPr="004737AE" w:rsidRDefault="006416E4" w:rsidP="006519F3">
      <w:pPr>
        <w:pStyle w:val="NoSpacing"/>
        <w:rPr>
          <w:rFonts w:ascii="Arial" w:hAnsi="Arial" w:cs="Arial"/>
          <w:sz w:val="24"/>
          <w:szCs w:val="24"/>
        </w:rPr>
      </w:pPr>
      <w:r w:rsidRPr="004737AE">
        <w:rPr>
          <w:rFonts w:ascii="Arial" w:hAnsi="Arial" w:cs="Arial"/>
          <w:sz w:val="24"/>
          <w:szCs w:val="24"/>
        </w:rPr>
        <w:t xml:space="preserve">Figure 1 reports the total fuel </w:t>
      </w:r>
      <w:r w:rsidR="00EC55DE" w:rsidRPr="004737AE">
        <w:rPr>
          <w:rFonts w:ascii="Arial" w:hAnsi="Arial" w:cs="Arial"/>
          <w:sz w:val="24"/>
          <w:szCs w:val="24"/>
        </w:rPr>
        <w:t>poverty</w:t>
      </w:r>
      <w:r w:rsidRPr="004737AE">
        <w:rPr>
          <w:rFonts w:ascii="Arial" w:hAnsi="Arial" w:cs="Arial"/>
          <w:sz w:val="24"/>
          <w:szCs w:val="24"/>
        </w:rPr>
        <w:t xml:space="preserve"> rates as well as </w:t>
      </w:r>
      <w:r w:rsidR="00FC2FA8" w:rsidRPr="004737AE">
        <w:rPr>
          <w:rFonts w:ascii="Arial" w:hAnsi="Arial" w:cs="Arial"/>
          <w:sz w:val="24"/>
          <w:szCs w:val="24"/>
        </w:rPr>
        <w:t xml:space="preserve">total fuel poverty rates in the UK household population. </w:t>
      </w:r>
      <w:r w:rsidR="006519F3" w:rsidRPr="004737AE">
        <w:rPr>
          <w:rFonts w:ascii="Arial" w:hAnsi="Arial" w:cs="Arial"/>
          <w:sz w:val="24"/>
          <w:szCs w:val="24"/>
        </w:rPr>
        <w:t>The result</w:t>
      </w:r>
      <w:r w:rsidR="00192126" w:rsidRPr="004737AE">
        <w:rPr>
          <w:rFonts w:ascii="Arial" w:hAnsi="Arial" w:cs="Arial"/>
          <w:sz w:val="24"/>
          <w:szCs w:val="24"/>
        </w:rPr>
        <w:t>s</w:t>
      </w:r>
      <w:r w:rsidR="006519F3" w:rsidRPr="004737AE">
        <w:rPr>
          <w:rFonts w:ascii="Arial" w:hAnsi="Arial" w:cs="Arial"/>
          <w:sz w:val="24"/>
          <w:szCs w:val="24"/>
        </w:rPr>
        <w:t xml:space="preserve"> show that </w:t>
      </w:r>
      <w:bookmarkStart w:id="1" w:name="_Hlk126860662"/>
      <w:r w:rsidR="00E32903" w:rsidRPr="004737AE">
        <w:rPr>
          <w:rFonts w:ascii="Arial" w:hAnsi="Arial" w:cs="Arial"/>
          <w:sz w:val="24"/>
          <w:szCs w:val="24"/>
        </w:rPr>
        <w:t>16.8</w:t>
      </w:r>
      <w:r w:rsidR="00192126" w:rsidRPr="004737AE">
        <w:rPr>
          <w:rFonts w:ascii="Arial" w:hAnsi="Arial" w:cs="Arial"/>
          <w:sz w:val="24"/>
          <w:szCs w:val="24"/>
        </w:rPr>
        <w:t xml:space="preserve"> per cent</w:t>
      </w:r>
      <w:r w:rsidR="006519F3" w:rsidRPr="004737AE">
        <w:rPr>
          <w:rFonts w:ascii="Arial" w:hAnsi="Arial" w:cs="Arial"/>
          <w:sz w:val="24"/>
          <w:szCs w:val="24"/>
        </w:rPr>
        <w:t xml:space="preserve"> of households</w:t>
      </w:r>
      <w:r w:rsidR="00192126" w:rsidRPr="004737AE">
        <w:rPr>
          <w:rFonts w:ascii="Arial" w:hAnsi="Arial" w:cs="Arial"/>
          <w:sz w:val="24"/>
          <w:szCs w:val="24"/>
        </w:rPr>
        <w:t xml:space="preserve"> (</w:t>
      </w:r>
      <w:r w:rsidR="00EC55DE" w:rsidRPr="004737AE">
        <w:rPr>
          <w:rFonts w:ascii="Arial" w:hAnsi="Arial" w:cs="Arial"/>
          <w:sz w:val="24"/>
          <w:szCs w:val="24"/>
        </w:rPr>
        <w:t xml:space="preserve">or </w:t>
      </w:r>
      <w:r w:rsidR="00BC2D3B" w:rsidRPr="004737AE">
        <w:rPr>
          <w:rFonts w:ascii="Arial" w:hAnsi="Arial" w:cs="Arial"/>
          <w:sz w:val="24"/>
          <w:szCs w:val="24"/>
        </w:rPr>
        <w:t>4.9</w:t>
      </w:r>
      <w:r w:rsidR="00192126" w:rsidRPr="004737AE">
        <w:rPr>
          <w:rFonts w:ascii="Arial" w:hAnsi="Arial" w:cs="Arial"/>
          <w:sz w:val="24"/>
          <w:szCs w:val="24"/>
        </w:rPr>
        <w:t xml:space="preserve"> million</w:t>
      </w:r>
      <w:r w:rsidR="00EC55DE" w:rsidRPr="004737AE">
        <w:rPr>
          <w:rFonts w:ascii="Arial" w:hAnsi="Arial" w:cs="Arial"/>
          <w:sz w:val="24"/>
          <w:szCs w:val="24"/>
        </w:rPr>
        <w:t xml:space="preserve"> households</w:t>
      </w:r>
      <w:r w:rsidR="00192126" w:rsidRPr="004737AE">
        <w:rPr>
          <w:rFonts w:ascii="Arial" w:hAnsi="Arial" w:cs="Arial"/>
          <w:sz w:val="24"/>
          <w:szCs w:val="24"/>
        </w:rPr>
        <w:t>)</w:t>
      </w:r>
      <w:r w:rsidR="006519F3" w:rsidRPr="004737AE">
        <w:rPr>
          <w:rFonts w:ascii="Arial" w:hAnsi="Arial" w:cs="Arial"/>
          <w:sz w:val="24"/>
          <w:szCs w:val="24"/>
        </w:rPr>
        <w:t xml:space="preserve"> in the UK in </w:t>
      </w:r>
      <w:r w:rsidR="00BC2D3B" w:rsidRPr="004737AE">
        <w:rPr>
          <w:rFonts w:ascii="Arial" w:hAnsi="Arial" w:cs="Arial"/>
          <w:sz w:val="24"/>
          <w:szCs w:val="24"/>
        </w:rPr>
        <w:t>2022/23</w:t>
      </w:r>
      <w:r w:rsidR="008A2CC3" w:rsidRPr="004737AE">
        <w:rPr>
          <w:rFonts w:ascii="Arial" w:hAnsi="Arial" w:cs="Arial"/>
          <w:sz w:val="24"/>
          <w:szCs w:val="24"/>
        </w:rPr>
        <w:t xml:space="preserve"> were </w:t>
      </w:r>
      <w:r w:rsidR="006519F3" w:rsidRPr="004737AE">
        <w:rPr>
          <w:rFonts w:ascii="Arial" w:hAnsi="Arial" w:cs="Arial"/>
          <w:sz w:val="24"/>
          <w:szCs w:val="24"/>
        </w:rPr>
        <w:t>classified as fuel poor</w:t>
      </w:r>
      <w:r w:rsidR="001E0E0D" w:rsidRPr="004737AE">
        <w:rPr>
          <w:rFonts w:ascii="Arial" w:hAnsi="Arial" w:cs="Arial"/>
          <w:sz w:val="24"/>
          <w:szCs w:val="24"/>
        </w:rPr>
        <w:t>,</w:t>
      </w:r>
      <w:r w:rsidR="006519F3" w:rsidRPr="004737AE">
        <w:rPr>
          <w:rFonts w:ascii="Arial" w:hAnsi="Arial" w:cs="Arial"/>
          <w:sz w:val="24"/>
          <w:szCs w:val="24"/>
        </w:rPr>
        <w:t xml:space="preserve"> as they will spend more than 20</w:t>
      </w:r>
      <w:r w:rsidR="009C1F02" w:rsidRPr="004737AE">
        <w:rPr>
          <w:rFonts w:ascii="Arial" w:hAnsi="Arial" w:cs="Arial"/>
          <w:sz w:val="24"/>
          <w:szCs w:val="24"/>
        </w:rPr>
        <w:t xml:space="preserve"> per cent</w:t>
      </w:r>
      <w:r w:rsidR="006519F3" w:rsidRPr="004737AE">
        <w:rPr>
          <w:rFonts w:ascii="Arial" w:hAnsi="Arial" w:cs="Arial"/>
          <w:sz w:val="24"/>
          <w:szCs w:val="24"/>
        </w:rPr>
        <w:t xml:space="preserve"> of their net income after housing costs on their </w:t>
      </w:r>
      <w:r w:rsidR="00D223CA" w:rsidRPr="004737AE">
        <w:rPr>
          <w:rFonts w:ascii="Arial" w:hAnsi="Arial" w:cs="Arial"/>
          <w:sz w:val="24"/>
          <w:szCs w:val="24"/>
        </w:rPr>
        <w:t>fuel</w:t>
      </w:r>
      <w:r w:rsidR="006519F3" w:rsidRPr="004737AE">
        <w:rPr>
          <w:rFonts w:ascii="Arial" w:hAnsi="Arial" w:cs="Arial"/>
          <w:sz w:val="24"/>
          <w:szCs w:val="24"/>
        </w:rPr>
        <w:t xml:space="preserve"> bills</w:t>
      </w:r>
      <w:r w:rsidR="001C5FF5" w:rsidRPr="004737AE">
        <w:rPr>
          <w:rFonts w:ascii="Arial" w:hAnsi="Arial" w:cs="Arial"/>
          <w:sz w:val="24"/>
          <w:szCs w:val="24"/>
        </w:rPr>
        <w:t xml:space="preserve">. In January </w:t>
      </w:r>
      <w:r w:rsidR="002260B3" w:rsidRPr="004737AE">
        <w:rPr>
          <w:rFonts w:ascii="Arial" w:hAnsi="Arial" w:cs="Arial"/>
          <w:sz w:val="24"/>
          <w:szCs w:val="24"/>
        </w:rPr>
        <w:t xml:space="preserve">2025 this fuel poverty rate will have reduced only very slightly to </w:t>
      </w:r>
      <w:r w:rsidR="00F3246D" w:rsidRPr="004737AE">
        <w:rPr>
          <w:rFonts w:ascii="Arial" w:hAnsi="Arial" w:cs="Arial"/>
          <w:sz w:val="24"/>
          <w:szCs w:val="24"/>
        </w:rPr>
        <w:t>16.3%</w:t>
      </w:r>
      <w:r w:rsidR="00AD26CA" w:rsidRPr="004737AE">
        <w:rPr>
          <w:rFonts w:ascii="Arial" w:hAnsi="Arial" w:cs="Arial"/>
          <w:sz w:val="24"/>
          <w:szCs w:val="24"/>
        </w:rPr>
        <w:t xml:space="preserve"> of households</w:t>
      </w:r>
      <w:r w:rsidR="00273766" w:rsidRPr="004737AE">
        <w:rPr>
          <w:rFonts w:ascii="Arial" w:hAnsi="Arial" w:cs="Arial"/>
          <w:sz w:val="24"/>
          <w:szCs w:val="24"/>
        </w:rPr>
        <w:t xml:space="preserve">, a result which is not </w:t>
      </w:r>
      <w:r w:rsidR="00F8049F" w:rsidRPr="004737AE">
        <w:rPr>
          <w:rFonts w:ascii="Arial" w:hAnsi="Arial" w:cs="Arial"/>
          <w:sz w:val="24"/>
          <w:szCs w:val="24"/>
        </w:rPr>
        <w:t>significantly</w:t>
      </w:r>
      <w:r w:rsidR="00273766" w:rsidRPr="004737AE">
        <w:rPr>
          <w:rFonts w:ascii="Arial" w:hAnsi="Arial" w:cs="Arial"/>
          <w:sz w:val="24"/>
          <w:szCs w:val="24"/>
        </w:rPr>
        <w:t xml:space="preserve"> different from the 2022/3 estimates.</w:t>
      </w:r>
      <w:r w:rsidR="00D94E4A" w:rsidRPr="004737AE">
        <w:rPr>
          <w:rFonts w:ascii="Arial" w:hAnsi="Arial" w:cs="Arial"/>
          <w:sz w:val="24"/>
          <w:szCs w:val="24"/>
        </w:rPr>
        <w:t xml:space="preserve"> The same is </w:t>
      </w:r>
      <w:r w:rsidR="0065565F" w:rsidRPr="004737AE">
        <w:rPr>
          <w:rFonts w:ascii="Arial" w:hAnsi="Arial" w:cs="Arial"/>
          <w:sz w:val="24"/>
          <w:szCs w:val="24"/>
        </w:rPr>
        <w:t>true for fuel poverty gaps</w:t>
      </w:r>
      <w:r w:rsidR="00F8049F" w:rsidRPr="004737AE">
        <w:rPr>
          <w:rFonts w:ascii="Arial" w:hAnsi="Arial" w:cs="Arial"/>
          <w:sz w:val="24"/>
          <w:szCs w:val="24"/>
        </w:rPr>
        <w:t xml:space="preserve"> in the population</w:t>
      </w:r>
      <w:r w:rsidR="0088065C" w:rsidRPr="004737AE">
        <w:rPr>
          <w:rFonts w:ascii="Arial" w:hAnsi="Arial" w:cs="Arial"/>
          <w:sz w:val="24"/>
          <w:szCs w:val="24"/>
        </w:rPr>
        <w:t xml:space="preserve"> </w:t>
      </w:r>
      <w:r w:rsidR="00D76307" w:rsidRPr="004737AE">
        <w:rPr>
          <w:rFonts w:ascii="Arial" w:hAnsi="Arial" w:cs="Arial"/>
          <w:sz w:val="24"/>
          <w:szCs w:val="24"/>
        </w:rPr>
        <w:t>–</w:t>
      </w:r>
      <w:r w:rsidR="0088065C" w:rsidRPr="004737AE">
        <w:rPr>
          <w:rFonts w:ascii="Arial" w:hAnsi="Arial" w:cs="Arial"/>
          <w:sz w:val="24"/>
          <w:szCs w:val="24"/>
        </w:rPr>
        <w:t xml:space="preserve"> </w:t>
      </w:r>
      <w:r w:rsidR="00D76307" w:rsidRPr="004737AE">
        <w:rPr>
          <w:rFonts w:ascii="Arial" w:hAnsi="Arial" w:cs="Arial"/>
          <w:sz w:val="24"/>
          <w:szCs w:val="24"/>
        </w:rPr>
        <w:t>only a very small reduction will have occurred in both mean and median</w:t>
      </w:r>
      <w:r w:rsidR="00840441" w:rsidRPr="004737AE">
        <w:rPr>
          <w:rFonts w:ascii="Arial" w:hAnsi="Arial" w:cs="Arial"/>
          <w:sz w:val="24"/>
          <w:szCs w:val="24"/>
        </w:rPr>
        <w:t xml:space="preserve"> fuel poverty gaps</w:t>
      </w:r>
      <w:r w:rsidR="001E34EB" w:rsidRPr="004737AE">
        <w:rPr>
          <w:rFonts w:ascii="Arial" w:hAnsi="Arial" w:cs="Arial"/>
          <w:sz w:val="24"/>
          <w:szCs w:val="24"/>
        </w:rPr>
        <w:t xml:space="preserve"> (see Annex Table 2)</w:t>
      </w:r>
      <w:r w:rsidR="00840441" w:rsidRPr="004737AE">
        <w:rPr>
          <w:rFonts w:ascii="Arial" w:hAnsi="Arial" w:cs="Arial"/>
          <w:sz w:val="24"/>
          <w:szCs w:val="24"/>
        </w:rPr>
        <w:t>.</w:t>
      </w:r>
    </w:p>
    <w:p w14:paraId="010F4C64" w14:textId="77777777" w:rsidR="00332FA3" w:rsidRPr="00895FD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42F249DB" w14:textId="0707BA3F" w:rsidR="00332FA3" w:rsidRPr="002E40EB" w:rsidRDefault="00C47C25" w:rsidP="003111FF">
      <w:pPr>
        <w:pStyle w:val="NoSpacing"/>
        <w:rPr>
          <w:rFonts w:ascii="Arial" w:hAnsi="Arial" w:cs="Arial"/>
          <w:sz w:val="24"/>
          <w:szCs w:val="24"/>
        </w:rPr>
      </w:pPr>
      <w:r w:rsidRPr="00895FD3">
        <w:rPr>
          <w:rFonts w:ascii="Arial" w:hAnsi="Arial" w:cs="Arial"/>
          <w:sz w:val="24"/>
          <w:szCs w:val="24"/>
        </w:rPr>
        <w:t>F</w:t>
      </w:r>
      <w:r w:rsidR="00900A9B" w:rsidRPr="00895FD3">
        <w:rPr>
          <w:rFonts w:ascii="Arial" w:hAnsi="Arial" w:cs="Arial"/>
          <w:sz w:val="24"/>
          <w:szCs w:val="24"/>
        </w:rPr>
        <w:t xml:space="preserve">uel </w:t>
      </w:r>
      <w:r w:rsidR="003111FF" w:rsidRPr="00895FD3">
        <w:rPr>
          <w:rFonts w:ascii="Arial" w:hAnsi="Arial" w:cs="Arial"/>
          <w:sz w:val="24"/>
          <w:szCs w:val="24"/>
        </w:rPr>
        <w:t>poverty</w:t>
      </w:r>
      <w:r w:rsidR="00900A9B" w:rsidRPr="00895FD3">
        <w:rPr>
          <w:rFonts w:ascii="Arial" w:hAnsi="Arial" w:cs="Arial"/>
          <w:sz w:val="24"/>
          <w:szCs w:val="24"/>
        </w:rPr>
        <w:t xml:space="preserve"> is concentrated in </w:t>
      </w:r>
      <w:r w:rsidR="001C0267" w:rsidRPr="00895FD3">
        <w:rPr>
          <w:rFonts w:ascii="Arial" w:hAnsi="Arial" w:cs="Arial"/>
          <w:sz w:val="24"/>
          <w:szCs w:val="24"/>
        </w:rPr>
        <w:t>income poor households</w:t>
      </w:r>
      <w:r w:rsidR="00990E34" w:rsidRPr="00895FD3">
        <w:rPr>
          <w:rFonts w:ascii="Arial" w:hAnsi="Arial" w:cs="Arial"/>
          <w:sz w:val="24"/>
          <w:szCs w:val="24"/>
        </w:rPr>
        <w:t xml:space="preserve"> (equivalent net household income after housing costs less than 60% of the median)</w:t>
      </w:r>
      <w:r w:rsidR="001C0267" w:rsidRPr="00895FD3">
        <w:rPr>
          <w:rFonts w:ascii="Arial" w:hAnsi="Arial" w:cs="Arial"/>
          <w:sz w:val="24"/>
          <w:szCs w:val="24"/>
        </w:rPr>
        <w:t xml:space="preserve">, </w:t>
      </w:r>
      <w:r w:rsidR="00332FA3" w:rsidRPr="00895FD3">
        <w:rPr>
          <w:rFonts w:ascii="Arial" w:hAnsi="Arial" w:cs="Arial"/>
          <w:sz w:val="24"/>
          <w:szCs w:val="24"/>
        </w:rPr>
        <w:t>7</w:t>
      </w:r>
      <w:r w:rsidR="00895FD3" w:rsidRPr="00895FD3">
        <w:rPr>
          <w:rFonts w:ascii="Arial" w:hAnsi="Arial" w:cs="Arial"/>
          <w:sz w:val="24"/>
          <w:szCs w:val="24"/>
        </w:rPr>
        <w:t>5</w:t>
      </w:r>
      <w:r w:rsidR="00332FA3" w:rsidRPr="00895FD3">
        <w:rPr>
          <w:rFonts w:ascii="Arial" w:hAnsi="Arial" w:cs="Arial"/>
          <w:sz w:val="24"/>
          <w:szCs w:val="24"/>
        </w:rPr>
        <w:t xml:space="preserve">% of the </w:t>
      </w:r>
      <w:r w:rsidR="003111FF" w:rsidRPr="00895FD3">
        <w:rPr>
          <w:rFonts w:ascii="Arial" w:hAnsi="Arial" w:cs="Arial"/>
          <w:sz w:val="24"/>
          <w:szCs w:val="24"/>
        </w:rPr>
        <w:t xml:space="preserve">fuel poor are </w:t>
      </w:r>
      <w:r w:rsidR="00332FA3" w:rsidRPr="00895FD3">
        <w:rPr>
          <w:rFonts w:ascii="Arial" w:hAnsi="Arial" w:cs="Arial"/>
          <w:sz w:val="24"/>
          <w:szCs w:val="24"/>
        </w:rPr>
        <w:t>income poor</w:t>
      </w:r>
      <w:r w:rsidR="00A23F04" w:rsidRPr="00895FD3">
        <w:rPr>
          <w:rFonts w:ascii="Arial" w:hAnsi="Arial" w:cs="Arial"/>
          <w:sz w:val="24"/>
          <w:szCs w:val="24"/>
        </w:rPr>
        <w:t xml:space="preserve">, </w:t>
      </w:r>
      <w:r w:rsidR="00332FA3" w:rsidRPr="00895FD3">
        <w:rPr>
          <w:rFonts w:ascii="Arial" w:hAnsi="Arial" w:cs="Arial"/>
          <w:sz w:val="24"/>
          <w:szCs w:val="24"/>
        </w:rPr>
        <w:t>and</w:t>
      </w:r>
      <w:r w:rsidR="00A23F04" w:rsidRPr="00895FD3">
        <w:rPr>
          <w:rFonts w:ascii="Arial" w:hAnsi="Arial" w:cs="Arial"/>
          <w:sz w:val="24"/>
          <w:szCs w:val="24"/>
        </w:rPr>
        <w:t xml:space="preserve"> in January 2025</w:t>
      </w:r>
      <w:r w:rsidR="00332FA3" w:rsidRPr="00895FD3">
        <w:rPr>
          <w:rFonts w:ascii="Arial" w:hAnsi="Arial" w:cs="Arial"/>
          <w:sz w:val="24"/>
          <w:szCs w:val="24"/>
        </w:rPr>
        <w:t xml:space="preserve"> their </w:t>
      </w:r>
      <w:r w:rsidR="00A23F04" w:rsidRPr="00895FD3">
        <w:rPr>
          <w:rFonts w:ascii="Arial" w:hAnsi="Arial" w:cs="Arial"/>
          <w:sz w:val="24"/>
          <w:szCs w:val="24"/>
        </w:rPr>
        <w:t xml:space="preserve">estimated </w:t>
      </w:r>
      <w:r w:rsidR="00332FA3" w:rsidRPr="00895FD3">
        <w:rPr>
          <w:rFonts w:ascii="Arial" w:hAnsi="Arial" w:cs="Arial"/>
          <w:sz w:val="24"/>
          <w:szCs w:val="24"/>
        </w:rPr>
        <w:t>fuel poverty rate is over</w:t>
      </w:r>
      <w:r w:rsidR="002B3C09" w:rsidRPr="00895FD3">
        <w:rPr>
          <w:rFonts w:ascii="Arial" w:hAnsi="Arial" w:cs="Arial"/>
          <w:sz w:val="24"/>
          <w:szCs w:val="24"/>
        </w:rPr>
        <w:t xml:space="preserve"> 1 in 2, at</w:t>
      </w:r>
      <w:r w:rsidR="00332FA3" w:rsidRPr="00895FD3">
        <w:rPr>
          <w:rFonts w:ascii="Arial" w:hAnsi="Arial" w:cs="Arial"/>
          <w:sz w:val="24"/>
          <w:szCs w:val="24"/>
        </w:rPr>
        <w:t xml:space="preserve"> 5</w:t>
      </w:r>
      <w:r w:rsidR="00895FD3" w:rsidRPr="00895FD3">
        <w:rPr>
          <w:rFonts w:ascii="Arial" w:hAnsi="Arial" w:cs="Arial"/>
          <w:sz w:val="24"/>
          <w:szCs w:val="24"/>
        </w:rPr>
        <w:t>2</w:t>
      </w:r>
      <w:r w:rsidR="00332FA3" w:rsidRPr="00895FD3">
        <w:rPr>
          <w:rFonts w:ascii="Arial" w:hAnsi="Arial" w:cs="Arial"/>
          <w:sz w:val="24"/>
          <w:szCs w:val="24"/>
        </w:rPr>
        <w:t>%.</w:t>
      </w:r>
      <w:r w:rsidR="00332FA3" w:rsidRPr="002E40EB">
        <w:rPr>
          <w:rFonts w:ascii="Arial" w:hAnsi="Arial" w:cs="Arial"/>
          <w:sz w:val="24"/>
          <w:szCs w:val="24"/>
        </w:rPr>
        <w:t xml:space="preserve"> </w:t>
      </w:r>
    </w:p>
    <w:p w14:paraId="34DF9977" w14:textId="77777777" w:rsidR="00332FA3" w:rsidRPr="002E40EB" w:rsidRDefault="00332FA3" w:rsidP="006519F3">
      <w:pPr>
        <w:pStyle w:val="NoSpacing"/>
        <w:rPr>
          <w:rFonts w:ascii="Arial" w:hAnsi="Arial" w:cs="Arial"/>
          <w:sz w:val="24"/>
          <w:szCs w:val="24"/>
        </w:rPr>
      </w:pPr>
    </w:p>
    <w:p w14:paraId="32AD205D" w14:textId="22315451" w:rsidR="001E34EB" w:rsidRPr="00332FA3" w:rsidRDefault="001E34EB" w:rsidP="00332FA3">
      <w:pPr>
        <w:pStyle w:val="Caption"/>
        <w:keepNext/>
        <w:spacing w:after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Figure 1:</w:t>
      </w:r>
      <w:r w:rsidR="00332FA3"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 More than half of the income poor experience fuel poverty</w:t>
      </w:r>
    </w:p>
    <w:p w14:paraId="36BF6F18" w14:textId="37C10BF2" w:rsidR="001E34EB" w:rsidRDefault="00895FD3" w:rsidP="001E34EB">
      <w:pPr>
        <w:spacing w:after="0"/>
      </w:pPr>
      <w:r>
        <w:rPr>
          <w:noProof/>
        </w:rPr>
        <w:drawing>
          <wp:inline distT="0" distB="0" distL="0" distR="0" wp14:anchorId="4D2288BA" wp14:editId="1FAF5BDC">
            <wp:extent cx="6029325" cy="2491797"/>
            <wp:effectExtent l="0" t="0" r="0" b="3810"/>
            <wp:docPr id="9881529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13" cy="249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5C75B" w14:textId="77777777" w:rsidR="001E34EB" w:rsidRDefault="001E34EB" w:rsidP="001E34EB">
      <w:pPr>
        <w:spacing w:after="0"/>
      </w:pPr>
      <w:r w:rsidRPr="006504A8">
        <w:rPr>
          <w:sz w:val="20"/>
        </w:rPr>
        <w:t>Source: Authors calculations of the LCFS for 2022-23.</w:t>
      </w:r>
    </w:p>
    <w:p w14:paraId="668D218A" w14:textId="77777777" w:rsidR="00D50DF1" w:rsidRPr="002E40EB" w:rsidRDefault="00D50DF1" w:rsidP="006519F3">
      <w:pPr>
        <w:pStyle w:val="NoSpacing"/>
        <w:rPr>
          <w:rFonts w:ascii="Arial" w:hAnsi="Arial" w:cs="Arial"/>
          <w:sz w:val="24"/>
          <w:szCs w:val="24"/>
        </w:rPr>
      </w:pPr>
    </w:p>
    <w:p w14:paraId="62B8D3A1" w14:textId="06E96AB9" w:rsidR="003D55EE" w:rsidRDefault="00037D86" w:rsidP="007A76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2 </w:t>
      </w:r>
      <w:r w:rsidR="00923FBF">
        <w:rPr>
          <w:rFonts w:ascii="Arial" w:hAnsi="Arial" w:cs="Arial"/>
          <w:sz w:val="24"/>
          <w:szCs w:val="24"/>
        </w:rPr>
        <w:t xml:space="preserve">reports the rates of fuel poverty by income </w:t>
      </w:r>
      <w:r w:rsidR="00253D58">
        <w:rPr>
          <w:rFonts w:ascii="Arial" w:hAnsi="Arial" w:cs="Arial"/>
          <w:sz w:val="24"/>
          <w:szCs w:val="24"/>
        </w:rPr>
        <w:t>decile and</w:t>
      </w:r>
      <w:r w:rsidR="00923FBF">
        <w:rPr>
          <w:rFonts w:ascii="Arial" w:hAnsi="Arial" w:cs="Arial"/>
          <w:sz w:val="24"/>
          <w:szCs w:val="24"/>
        </w:rPr>
        <w:t xml:space="preserve"> clearly shows household in </w:t>
      </w:r>
      <w:r w:rsidR="00CF1605">
        <w:rPr>
          <w:rFonts w:ascii="Arial" w:hAnsi="Arial" w:cs="Arial"/>
          <w:sz w:val="24"/>
          <w:szCs w:val="24"/>
        </w:rPr>
        <w:t xml:space="preserve">poorest income deciles have the highest risks of fuel poverty, with the poorest ten per cent </w:t>
      </w:r>
      <w:r w:rsidR="00CF1605">
        <w:rPr>
          <w:rFonts w:ascii="Arial" w:hAnsi="Arial" w:cs="Arial"/>
          <w:sz w:val="24"/>
          <w:szCs w:val="24"/>
        </w:rPr>
        <w:lastRenderedPageBreak/>
        <w:t>of the population having a fuel poverty affecting 7 in every 10 hous</w:t>
      </w:r>
      <w:r w:rsidR="00CA5D66">
        <w:rPr>
          <w:rFonts w:ascii="Arial" w:hAnsi="Arial" w:cs="Arial"/>
          <w:sz w:val="24"/>
          <w:szCs w:val="24"/>
        </w:rPr>
        <w:t>e</w:t>
      </w:r>
      <w:r w:rsidR="00CF1605">
        <w:rPr>
          <w:rFonts w:ascii="Arial" w:hAnsi="Arial" w:cs="Arial"/>
          <w:sz w:val="24"/>
          <w:szCs w:val="24"/>
        </w:rPr>
        <w:t>holds.</w:t>
      </w:r>
      <w:r w:rsidR="005D3C01">
        <w:rPr>
          <w:rFonts w:ascii="Arial" w:hAnsi="Arial" w:cs="Arial"/>
          <w:sz w:val="24"/>
          <w:szCs w:val="24"/>
        </w:rPr>
        <w:t xml:space="preserve"> Indeed, </w:t>
      </w:r>
      <w:r w:rsidR="005D3C01" w:rsidRPr="002E40EB">
        <w:rPr>
          <w:rFonts w:ascii="Arial" w:hAnsi="Arial" w:cs="Arial"/>
          <w:sz w:val="24"/>
          <w:szCs w:val="24"/>
        </w:rPr>
        <w:t xml:space="preserve">84% of </w:t>
      </w:r>
      <w:r w:rsidR="005D3C01">
        <w:rPr>
          <w:rFonts w:ascii="Arial" w:hAnsi="Arial" w:cs="Arial"/>
          <w:sz w:val="24"/>
          <w:szCs w:val="24"/>
        </w:rPr>
        <w:t xml:space="preserve">all </w:t>
      </w:r>
      <w:r w:rsidR="005D3C01" w:rsidRPr="002E40EB">
        <w:rPr>
          <w:rFonts w:ascii="Arial" w:hAnsi="Arial" w:cs="Arial"/>
          <w:sz w:val="24"/>
          <w:szCs w:val="24"/>
        </w:rPr>
        <w:t xml:space="preserve">fuel poor </w:t>
      </w:r>
      <w:r w:rsidR="005D3C01">
        <w:rPr>
          <w:rFonts w:ascii="Arial" w:hAnsi="Arial" w:cs="Arial"/>
          <w:sz w:val="24"/>
          <w:szCs w:val="24"/>
        </w:rPr>
        <w:t xml:space="preserve">households </w:t>
      </w:r>
      <w:r w:rsidR="005D3C01" w:rsidRPr="002E40EB">
        <w:rPr>
          <w:rFonts w:ascii="Arial" w:hAnsi="Arial" w:cs="Arial"/>
          <w:sz w:val="24"/>
          <w:szCs w:val="24"/>
        </w:rPr>
        <w:t>are in the lowest three deciles</w:t>
      </w:r>
      <w:r w:rsidR="005D3C01">
        <w:rPr>
          <w:rFonts w:ascii="Arial" w:hAnsi="Arial" w:cs="Arial"/>
          <w:sz w:val="24"/>
          <w:szCs w:val="24"/>
        </w:rPr>
        <w:t xml:space="preserve"> (See Annex Table 2)</w:t>
      </w:r>
      <w:r w:rsidR="005D3C01" w:rsidRPr="002E40EB">
        <w:rPr>
          <w:rFonts w:ascii="Arial" w:hAnsi="Arial" w:cs="Arial"/>
          <w:sz w:val="24"/>
          <w:szCs w:val="24"/>
        </w:rPr>
        <w:t>.</w:t>
      </w:r>
      <w:r w:rsidR="00CA5D66">
        <w:rPr>
          <w:rFonts w:ascii="Arial" w:hAnsi="Arial" w:cs="Arial"/>
          <w:sz w:val="24"/>
          <w:szCs w:val="24"/>
        </w:rPr>
        <w:t xml:space="preserve"> Since 2022/3 the </w:t>
      </w:r>
      <w:r w:rsidR="00253D58">
        <w:rPr>
          <w:rFonts w:ascii="Arial" w:hAnsi="Arial" w:cs="Arial"/>
          <w:sz w:val="24"/>
          <w:szCs w:val="24"/>
        </w:rPr>
        <w:t xml:space="preserve">minor falls in the rates of fuel poverty by decile are not significant. </w:t>
      </w:r>
    </w:p>
    <w:p w14:paraId="48682EA8" w14:textId="77777777" w:rsidR="00253D58" w:rsidRDefault="00253D58" w:rsidP="007A7639">
      <w:pPr>
        <w:pStyle w:val="NoSpacing"/>
        <w:rPr>
          <w:rFonts w:ascii="Arial" w:hAnsi="Arial" w:cs="Arial"/>
          <w:sz w:val="24"/>
          <w:szCs w:val="24"/>
        </w:rPr>
      </w:pPr>
    </w:p>
    <w:p w14:paraId="309AA230" w14:textId="2C8B5BD6" w:rsidR="00253D58" w:rsidRDefault="00253D58" w:rsidP="007A76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of the logistic regression analysis show that </w:t>
      </w:r>
      <w:r w:rsidR="006730E7">
        <w:rPr>
          <w:rFonts w:ascii="Arial" w:hAnsi="Arial" w:cs="Arial"/>
          <w:sz w:val="24"/>
          <w:szCs w:val="24"/>
        </w:rPr>
        <w:t xml:space="preserve">household in the top </w:t>
      </w:r>
      <w:r w:rsidR="007B6A3A">
        <w:rPr>
          <w:rFonts w:ascii="Arial" w:hAnsi="Arial" w:cs="Arial"/>
          <w:sz w:val="24"/>
          <w:szCs w:val="24"/>
        </w:rPr>
        <w:t xml:space="preserve">four deciles and </w:t>
      </w:r>
      <w:r w:rsidR="007E40E7">
        <w:rPr>
          <w:rFonts w:ascii="Arial" w:hAnsi="Arial" w:cs="Arial"/>
          <w:sz w:val="24"/>
          <w:szCs w:val="24"/>
        </w:rPr>
        <w:t>bottom</w:t>
      </w:r>
      <w:r w:rsidR="007B6A3A">
        <w:rPr>
          <w:rFonts w:ascii="Arial" w:hAnsi="Arial" w:cs="Arial"/>
          <w:sz w:val="24"/>
          <w:szCs w:val="24"/>
        </w:rPr>
        <w:t xml:space="preserve"> four deciles are </w:t>
      </w:r>
      <w:r w:rsidR="007E40E7">
        <w:rPr>
          <w:rFonts w:ascii="Arial" w:hAnsi="Arial" w:cs="Arial"/>
          <w:sz w:val="24"/>
          <w:szCs w:val="24"/>
        </w:rPr>
        <w:t>significantly</w:t>
      </w:r>
      <w:r w:rsidR="00364DF3">
        <w:rPr>
          <w:rFonts w:ascii="Arial" w:hAnsi="Arial" w:cs="Arial"/>
          <w:sz w:val="24"/>
          <w:szCs w:val="24"/>
        </w:rPr>
        <w:t xml:space="preserve"> more likely to have lower and higher rates of sever </w:t>
      </w:r>
      <w:r w:rsidR="007E40E7">
        <w:rPr>
          <w:rFonts w:ascii="Arial" w:hAnsi="Arial" w:cs="Arial"/>
          <w:sz w:val="24"/>
          <w:szCs w:val="24"/>
        </w:rPr>
        <w:t>fuel</w:t>
      </w:r>
      <w:r w:rsidR="00364DF3">
        <w:rPr>
          <w:rFonts w:ascii="Arial" w:hAnsi="Arial" w:cs="Arial"/>
          <w:sz w:val="24"/>
          <w:szCs w:val="24"/>
        </w:rPr>
        <w:t xml:space="preserve"> poverty when compared to the average</w:t>
      </w:r>
      <w:r w:rsidR="007E40E7">
        <w:rPr>
          <w:rFonts w:ascii="Arial" w:hAnsi="Arial" w:cs="Arial"/>
          <w:sz w:val="24"/>
          <w:szCs w:val="24"/>
        </w:rPr>
        <w:t xml:space="preserve">, after controlling for </w:t>
      </w:r>
      <w:r w:rsidR="007E40E7" w:rsidRPr="007E40E7">
        <w:rPr>
          <w:rFonts w:ascii="Arial" w:hAnsi="Arial" w:cs="Arial"/>
          <w:sz w:val="24"/>
          <w:szCs w:val="24"/>
        </w:rPr>
        <w:t>region, household composition, tenure type and employment status</w:t>
      </w:r>
      <w:r w:rsidR="007E40E7">
        <w:rPr>
          <w:rFonts w:ascii="Arial" w:hAnsi="Arial" w:cs="Arial"/>
          <w:sz w:val="24"/>
          <w:szCs w:val="24"/>
        </w:rPr>
        <w:t>.</w:t>
      </w:r>
    </w:p>
    <w:p w14:paraId="12D9B3ED" w14:textId="77777777" w:rsidR="001E34EB" w:rsidRDefault="001E34EB" w:rsidP="001E34E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E19F355" w14:textId="64DFF21F" w:rsidR="001E34EB" w:rsidRPr="00332FA3" w:rsidRDefault="001E34EB" w:rsidP="00332FA3">
      <w:pPr>
        <w:pStyle w:val="Caption"/>
        <w:keepNext/>
        <w:spacing w:after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Figure 2: </w:t>
      </w:r>
      <w:r w:rsidR="00C47C25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F</w:t>
      </w:r>
      <w:r w:rsidR="0079148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uel poverty</w:t>
      </w:r>
      <w:r w:rsidR="00E0750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 affects the poorest most</w:t>
      </w:r>
      <w:r w:rsidR="0079148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 </w:t>
      </w:r>
    </w:p>
    <w:p w14:paraId="7498EB47" w14:textId="77777777" w:rsidR="001E34EB" w:rsidRDefault="001E34EB" w:rsidP="001E34EB">
      <w:pPr>
        <w:spacing w:after="0"/>
      </w:pPr>
      <w:r>
        <w:rPr>
          <w:noProof/>
        </w:rPr>
        <w:drawing>
          <wp:inline distT="0" distB="0" distL="0" distR="0" wp14:anchorId="3E00E4C4" wp14:editId="43550998">
            <wp:extent cx="5943600" cy="2451111"/>
            <wp:effectExtent l="0" t="0" r="0" b="6350"/>
            <wp:docPr id="2018488983" name="Picture 1" descr="A graph of poverty r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88983" name="Picture 1" descr="A graph of poverty ra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1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6F61C" w14:textId="2E9BA2F0" w:rsidR="001E34EB" w:rsidRPr="006504A8" w:rsidRDefault="001E34EB" w:rsidP="001E34EB">
      <w:pPr>
        <w:spacing w:after="120"/>
        <w:rPr>
          <w:sz w:val="20"/>
        </w:rPr>
      </w:pPr>
      <w:r w:rsidRPr="006504A8">
        <w:rPr>
          <w:sz w:val="20"/>
        </w:rPr>
        <w:t>Note: Results report poverty rates descriptives, with signif</w:t>
      </w:r>
      <w:r w:rsidR="00C0145A">
        <w:rPr>
          <w:sz w:val="20"/>
        </w:rPr>
        <w:t>ic</w:t>
      </w:r>
      <w:r w:rsidRPr="006504A8">
        <w:rPr>
          <w:sz w:val="20"/>
        </w:rPr>
        <w:t xml:space="preserve">ances reporting significant deviation from the average condition for the category on the likelihood of being in fuel poverty (&gt;20 per cent threshold) after controlling for region, short form household </w:t>
      </w:r>
      <w:r w:rsidR="00885511" w:rsidRPr="006504A8">
        <w:rPr>
          <w:sz w:val="20"/>
        </w:rPr>
        <w:t>composition</w:t>
      </w:r>
      <w:r w:rsidRPr="006504A8">
        <w:rPr>
          <w:sz w:val="20"/>
        </w:rPr>
        <w:t xml:space="preserve">, </w:t>
      </w:r>
      <w:r>
        <w:rPr>
          <w:sz w:val="20"/>
        </w:rPr>
        <w:t>tenure type</w:t>
      </w:r>
      <w:r w:rsidRPr="006504A8">
        <w:rPr>
          <w:sz w:val="20"/>
        </w:rPr>
        <w:t xml:space="preserve"> and </w:t>
      </w:r>
      <w:r w:rsidR="00885511" w:rsidRPr="006504A8">
        <w:rPr>
          <w:sz w:val="20"/>
        </w:rPr>
        <w:t>employment</w:t>
      </w:r>
      <w:r w:rsidRPr="006504A8">
        <w:rPr>
          <w:sz w:val="20"/>
        </w:rPr>
        <w:t xml:space="preserve"> status</w:t>
      </w:r>
      <w:r w:rsidR="00E1611F">
        <w:rPr>
          <w:sz w:val="20"/>
        </w:rPr>
        <w:t xml:space="preserve"> in a logistic regression – see Annex Table 3</w:t>
      </w:r>
      <w:r w:rsidR="00E1611F" w:rsidRPr="006504A8">
        <w:rPr>
          <w:sz w:val="20"/>
        </w:rPr>
        <w:t>. “***” is p&lt;0.001, “**” is p&lt;0.01, “*” is p&lt;0.05, “.” is p&lt;0.10.</w:t>
      </w:r>
      <w:r w:rsidR="00E1611F">
        <w:rPr>
          <w:sz w:val="20"/>
        </w:rPr>
        <w:t xml:space="preserve"> </w:t>
      </w:r>
      <w:r w:rsidR="00E1611F" w:rsidRPr="006504A8">
        <w:rPr>
          <w:sz w:val="20"/>
        </w:rPr>
        <w:t xml:space="preserve">Data for 2025 are projections – see methodological annex. </w:t>
      </w:r>
      <w:r w:rsidR="00E1611F">
        <w:rPr>
          <w:sz w:val="20"/>
        </w:rPr>
        <w:t>Poverty rates ordered low to high, based on 2025 estimates.</w:t>
      </w:r>
    </w:p>
    <w:p w14:paraId="399C58A1" w14:textId="77777777" w:rsidR="001E34EB" w:rsidRDefault="001E34EB" w:rsidP="001E34EB">
      <w:pPr>
        <w:spacing w:after="120"/>
      </w:pPr>
      <w:r w:rsidRPr="006504A8">
        <w:rPr>
          <w:sz w:val="20"/>
        </w:rPr>
        <w:t>Source: Authors calculations of the LCFS for 2022-23.</w:t>
      </w:r>
      <w:r>
        <w:t xml:space="preserve"> </w:t>
      </w:r>
    </w:p>
    <w:p w14:paraId="381051A0" w14:textId="19AABEFF" w:rsidR="001E34EB" w:rsidRDefault="00253D58" w:rsidP="00253D58">
      <w:pPr>
        <w:pStyle w:val="NoSpacing"/>
        <w:rPr>
          <w:rFonts w:ascii="Arial" w:hAnsi="Arial" w:cs="Arial"/>
          <w:sz w:val="24"/>
          <w:szCs w:val="24"/>
        </w:rPr>
      </w:pPr>
      <w:r w:rsidRPr="002E40EB">
        <w:rPr>
          <w:rFonts w:ascii="Arial" w:hAnsi="Arial" w:cs="Arial"/>
          <w:sz w:val="24"/>
          <w:szCs w:val="24"/>
        </w:rPr>
        <w:t xml:space="preserve">The size of the fuel poverty gaps </w:t>
      </w:r>
      <w:r w:rsidR="0087774B">
        <w:rPr>
          <w:rFonts w:ascii="Arial" w:hAnsi="Arial" w:cs="Arial"/>
          <w:sz w:val="24"/>
          <w:szCs w:val="24"/>
        </w:rPr>
        <w:t xml:space="preserve">by income decile </w:t>
      </w:r>
      <w:r w:rsidRPr="002E40EB">
        <w:rPr>
          <w:rFonts w:ascii="Arial" w:hAnsi="Arial" w:cs="Arial"/>
          <w:sz w:val="24"/>
          <w:szCs w:val="24"/>
        </w:rPr>
        <w:t>are not so concentrated</w:t>
      </w:r>
      <w:r>
        <w:rPr>
          <w:rFonts w:ascii="Arial" w:hAnsi="Arial" w:cs="Arial"/>
          <w:sz w:val="24"/>
          <w:szCs w:val="24"/>
        </w:rPr>
        <w:t>,</w:t>
      </w:r>
      <w:r w:rsidRPr="002E40EB">
        <w:rPr>
          <w:rFonts w:ascii="Arial" w:hAnsi="Arial" w:cs="Arial"/>
          <w:sz w:val="24"/>
          <w:szCs w:val="24"/>
        </w:rPr>
        <w:t xml:space="preserve"> but they are still larger in the first two deciles (the</w:t>
      </w:r>
      <w:r>
        <w:rPr>
          <w:rFonts w:ascii="Arial" w:hAnsi="Arial" w:cs="Arial"/>
          <w:sz w:val="24"/>
          <w:szCs w:val="24"/>
        </w:rPr>
        <w:t xml:space="preserve"> gaps</w:t>
      </w:r>
      <w:r w:rsidRPr="002E40EB">
        <w:rPr>
          <w:rFonts w:ascii="Arial" w:hAnsi="Arial" w:cs="Arial"/>
          <w:sz w:val="24"/>
          <w:szCs w:val="24"/>
        </w:rPr>
        <w:t xml:space="preserve"> are also large in the top deciles</w:t>
      </w:r>
      <w:r>
        <w:rPr>
          <w:rFonts w:ascii="Arial" w:hAnsi="Arial" w:cs="Arial"/>
          <w:sz w:val="24"/>
          <w:szCs w:val="24"/>
        </w:rPr>
        <w:t>,</w:t>
      </w:r>
      <w:r w:rsidRPr="002E40EB">
        <w:rPr>
          <w:rFonts w:ascii="Arial" w:hAnsi="Arial" w:cs="Arial"/>
          <w:sz w:val="24"/>
          <w:szCs w:val="24"/>
        </w:rPr>
        <w:t xml:space="preserve"> but the numbers are small</w:t>
      </w:r>
      <w:r w:rsidR="00C872C6">
        <w:rPr>
          <w:rFonts w:ascii="Arial" w:hAnsi="Arial" w:cs="Arial"/>
          <w:sz w:val="24"/>
          <w:szCs w:val="24"/>
        </w:rPr>
        <w:t xml:space="preserve"> – See Annex Table 2</w:t>
      </w:r>
      <w:r w:rsidRPr="002E40EB">
        <w:rPr>
          <w:rFonts w:ascii="Arial" w:hAnsi="Arial" w:cs="Arial"/>
          <w:sz w:val="24"/>
          <w:szCs w:val="24"/>
        </w:rPr>
        <w:t>).</w:t>
      </w:r>
    </w:p>
    <w:p w14:paraId="3B692503" w14:textId="77777777" w:rsidR="00FC7762" w:rsidRDefault="00FC7762" w:rsidP="00253D58">
      <w:pPr>
        <w:pStyle w:val="NoSpacing"/>
        <w:rPr>
          <w:rFonts w:ascii="Arial" w:hAnsi="Arial" w:cs="Arial"/>
          <w:sz w:val="24"/>
          <w:szCs w:val="24"/>
        </w:rPr>
      </w:pPr>
    </w:p>
    <w:p w14:paraId="5571EC87" w14:textId="7E588917" w:rsidR="00256AD6" w:rsidRDefault="00256AD6" w:rsidP="00332F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3 reports fuel poverty risk by household types</w:t>
      </w:r>
      <w:r w:rsidR="006F1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5E1DF6">
        <w:rPr>
          <w:rFonts w:ascii="Arial" w:hAnsi="Arial" w:cs="Arial"/>
          <w:sz w:val="24"/>
          <w:szCs w:val="24"/>
        </w:rPr>
        <w:t xml:space="preserve">shows that the average household with children is at the highest risk of fuel poverty, with </w:t>
      </w:r>
      <w:r w:rsidR="00AE70BC">
        <w:rPr>
          <w:rFonts w:ascii="Arial" w:hAnsi="Arial" w:cs="Arial"/>
          <w:sz w:val="24"/>
          <w:szCs w:val="24"/>
        </w:rPr>
        <w:t>rates twice that of couple without children and pensioners, at 24%.</w:t>
      </w:r>
      <w:r w:rsidR="00CD7E4E">
        <w:rPr>
          <w:rFonts w:ascii="Arial" w:hAnsi="Arial" w:cs="Arial"/>
          <w:sz w:val="24"/>
          <w:szCs w:val="24"/>
        </w:rPr>
        <w:t xml:space="preserve"> Although falls are seen since 2022/3, these are slight, and </w:t>
      </w:r>
      <w:r w:rsidR="006F1A45">
        <w:rPr>
          <w:rFonts w:ascii="Arial" w:hAnsi="Arial" w:cs="Arial"/>
          <w:sz w:val="24"/>
          <w:szCs w:val="24"/>
        </w:rPr>
        <w:t>not statistically significantly different</w:t>
      </w:r>
      <w:r w:rsidR="00CD7E4E">
        <w:rPr>
          <w:rFonts w:ascii="Arial" w:hAnsi="Arial" w:cs="Arial"/>
          <w:sz w:val="24"/>
          <w:szCs w:val="24"/>
        </w:rPr>
        <w:t xml:space="preserve">. </w:t>
      </w:r>
    </w:p>
    <w:p w14:paraId="24CAECE4" w14:textId="77777777" w:rsidR="006F1A45" w:rsidRDefault="006F1A45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37D071F0" w14:textId="0DBCB437" w:rsidR="006F1A45" w:rsidRDefault="006F1A45" w:rsidP="00332F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significant, is the differences between the categories,</w:t>
      </w:r>
      <w:r w:rsidRPr="006F1A45">
        <w:t xml:space="preserve"> </w:t>
      </w:r>
      <w:r w:rsidRPr="006F1A45">
        <w:rPr>
          <w:rFonts w:ascii="Arial" w:hAnsi="Arial" w:cs="Arial"/>
          <w:sz w:val="24"/>
          <w:szCs w:val="24"/>
        </w:rPr>
        <w:t>after controlling for income decile, region, tenure type and employment status in a logistic regression</w:t>
      </w:r>
      <w:r>
        <w:rPr>
          <w:rFonts w:ascii="Arial" w:hAnsi="Arial" w:cs="Arial"/>
          <w:sz w:val="24"/>
          <w:szCs w:val="24"/>
        </w:rPr>
        <w:t>. All categories</w:t>
      </w:r>
      <w:r w:rsidR="00CF162C">
        <w:rPr>
          <w:rFonts w:ascii="Arial" w:hAnsi="Arial" w:cs="Arial"/>
          <w:sz w:val="24"/>
          <w:szCs w:val="24"/>
        </w:rPr>
        <w:t xml:space="preserve">, </w:t>
      </w:r>
      <w:r w:rsidR="004A1919">
        <w:rPr>
          <w:rFonts w:ascii="Arial" w:hAnsi="Arial" w:cs="Arial"/>
          <w:sz w:val="24"/>
          <w:szCs w:val="24"/>
        </w:rPr>
        <w:t>except for</w:t>
      </w:r>
      <w:r w:rsidR="00CF162C">
        <w:rPr>
          <w:rFonts w:ascii="Arial" w:hAnsi="Arial" w:cs="Arial"/>
          <w:sz w:val="24"/>
          <w:szCs w:val="24"/>
        </w:rPr>
        <w:t xml:space="preserve"> couples, are either significantly more likely to have lower poverty rates (</w:t>
      </w:r>
      <w:r w:rsidR="00AE1BB0">
        <w:rPr>
          <w:rFonts w:ascii="Arial" w:hAnsi="Arial" w:cs="Arial"/>
          <w:sz w:val="24"/>
          <w:szCs w:val="24"/>
        </w:rPr>
        <w:t>pensioners</w:t>
      </w:r>
      <w:r w:rsidR="00132DDB">
        <w:rPr>
          <w:rFonts w:ascii="Arial" w:hAnsi="Arial" w:cs="Arial"/>
          <w:sz w:val="24"/>
          <w:szCs w:val="24"/>
        </w:rPr>
        <w:t xml:space="preserve"> or single person households</w:t>
      </w:r>
      <w:r w:rsidR="00CF162C">
        <w:rPr>
          <w:rFonts w:ascii="Arial" w:hAnsi="Arial" w:cs="Arial"/>
          <w:sz w:val="24"/>
          <w:szCs w:val="24"/>
        </w:rPr>
        <w:t>) or high poverty rates</w:t>
      </w:r>
      <w:r w:rsidR="00AE1BB0">
        <w:rPr>
          <w:rFonts w:ascii="Arial" w:hAnsi="Arial" w:cs="Arial"/>
          <w:sz w:val="24"/>
          <w:szCs w:val="24"/>
        </w:rPr>
        <w:t xml:space="preserve"> (</w:t>
      </w:r>
      <w:r w:rsidR="00132DDB">
        <w:rPr>
          <w:rFonts w:ascii="Arial" w:hAnsi="Arial" w:cs="Arial"/>
          <w:sz w:val="24"/>
          <w:szCs w:val="24"/>
        </w:rPr>
        <w:t>multi-unit households and households with children</w:t>
      </w:r>
      <w:r w:rsidR="00AE1BB0">
        <w:rPr>
          <w:rFonts w:ascii="Arial" w:hAnsi="Arial" w:cs="Arial"/>
          <w:sz w:val="24"/>
          <w:szCs w:val="24"/>
        </w:rPr>
        <w:t>)</w:t>
      </w:r>
      <w:r w:rsidR="00CF162C">
        <w:rPr>
          <w:rFonts w:ascii="Arial" w:hAnsi="Arial" w:cs="Arial"/>
          <w:sz w:val="24"/>
          <w:szCs w:val="24"/>
        </w:rPr>
        <w:t xml:space="preserve"> based on household type alone.  </w:t>
      </w:r>
    </w:p>
    <w:p w14:paraId="77A6E191" w14:textId="77777777" w:rsidR="00256AD6" w:rsidRDefault="00256AD6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2E428FCD" w14:textId="7E7C4018" w:rsidR="00332FA3" w:rsidRPr="00332FA3" w:rsidRDefault="00332FA3" w:rsidP="00332FA3">
      <w:pPr>
        <w:pStyle w:val="Caption"/>
        <w:keepNext/>
        <w:spacing w:after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lastRenderedPageBreak/>
        <w:t>Figure 3</w:t>
      </w:r>
      <w:r w:rsidR="0005693F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: Households with children are </w:t>
      </w:r>
      <w:r w:rsidR="002A19DE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at a higher risk of poverty than other households</w:t>
      </w:r>
    </w:p>
    <w:p w14:paraId="4A936D1C" w14:textId="77777777" w:rsidR="00332FA3" w:rsidRDefault="00332FA3" w:rsidP="00332FA3">
      <w:pPr>
        <w:spacing w:after="0"/>
      </w:pPr>
      <w:r>
        <w:rPr>
          <w:noProof/>
        </w:rPr>
        <w:drawing>
          <wp:inline distT="0" distB="0" distL="0" distR="0" wp14:anchorId="02DC24AC" wp14:editId="527798D3">
            <wp:extent cx="6041390" cy="2719070"/>
            <wp:effectExtent l="0" t="0" r="0" b="5080"/>
            <wp:docPr id="16853160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DA982" w14:textId="1E6C9159" w:rsidR="00332FA3" w:rsidRPr="006504A8" w:rsidRDefault="00332FA3" w:rsidP="00332FA3">
      <w:pPr>
        <w:spacing w:after="120"/>
        <w:rPr>
          <w:sz w:val="20"/>
        </w:rPr>
      </w:pPr>
      <w:r w:rsidRPr="006504A8">
        <w:rPr>
          <w:sz w:val="20"/>
        </w:rPr>
        <w:t>Note: Results report poverty rates descriptives, with signif</w:t>
      </w:r>
      <w:r w:rsidR="00885511">
        <w:rPr>
          <w:sz w:val="20"/>
        </w:rPr>
        <w:t>ic</w:t>
      </w:r>
      <w:r w:rsidRPr="006504A8">
        <w:rPr>
          <w:sz w:val="20"/>
        </w:rPr>
        <w:t xml:space="preserve">ances reporting significant deviation from the average condition for the category on the likelihood of being in fuel poverty (&gt;20 per cent threshold) after controlling for </w:t>
      </w:r>
      <w:r w:rsidR="00885511">
        <w:rPr>
          <w:sz w:val="20"/>
        </w:rPr>
        <w:t>income</w:t>
      </w:r>
      <w:r>
        <w:rPr>
          <w:sz w:val="20"/>
        </w:rPr>
        <w:t xml:space="preserve"> decile, </w:t>
      </w:r>
      <w:r w:rsidRPr="006504A8">
        <w:rPr>
          <w:sz w:val="20"/>
        </w:rPr>
        <w:t xml:space="preserve">region, </w:t>
      </w:r>
      <w:r>
        <w:rPr>
          <w:sz w:val="20"/>
        </w:rPr>
        <w:t>tenure type</w:t>
      </w:r>
      <w:r w:rsidRPr="006504A8">
        <w:rPr>
          <w:sz w:val="20"/>
        </w:rPr>
        <w:t xml:space="preserve"> and </w:t>
      </w:r>
      <w:r w:rsidR="00885511" w:rsidRPr="006504A8">
        <w:rPr>
          <w:sz w:val="20"/>
        </w:rPr>
        <w:t>employment</w:t>
      </w:r>
      <w:r w:rsidRPr="006504A8">
        <w:rPr>
          <w:sz w:val="20"/>
        </w:rPr>
        <w:t xml:space="preserve"> status</w:t>
      </w:r>
      <w:r w:rsidR="00E1611F">
        <w:rPr>
          <w:sz w:val="20"/>
        </w:rPr>
        <w:t xml:space="preserve"> in a logistic regression – see Annex Table 3</w:t>
      </w:r>
      <w:r w:rsidR="00E1611F" w:rsidRPr="006504A8">
        <w:rPr>
          <w:sz w:val="20"/>
        </w:rPr>
        <w:t>. “***” is p&lt;0.001, “**” is p&lt;0.01, “*” is p&lt;0.05, “.” is p&lt;0.10.</w:t>
      </w:r>
      <w:r w:rsidR="00E1611F">
        <w:rPr>
          <w:sz w:val="20"/>
        </w:rPr>
        <w:t xml:space="preserve"> </w:t>
      </w:r>
      <w:r w:rsidR="00E1611F" w:rsidRPr="006504A8">
        <w:rPr>
          <w:sz w:val="20"/>
        </w:rPr>
        <w:t xml:space="preserve">Data for 2025 are projections – see methodological annex. </w:t>
      </w:r>
      <w:r w:rsidR="00E1611F">
        <w:rPr>
          <w:sz w:val="20"/>
        </w:rPr>
        <w:t>Poverty rates ordered low to high, based on 2025 estimates.</w:t>
      </w:r>
    </w:p>
    <w:p w14:paraId="4A716B67" w14:textId="2FC6B65A" w:rsidR="00C94F92" w:rsidRDefault="00332FA3" w:rsidP="00C94F92">
      <w:pPr>
        <w:tabs>
          <w:tab w:val="center" w:pos="4876"/>
        </w:tabs>
        <w:spacing w:after="0"/>
        <w:rPr>
          <w:sz w:val="20"/>
        </w:rPr>
      </w:pPr>
      <w:r w:rsidRPr="006504A8">
        <w:rPr>
          <w:sz w:val="20"/>
        </w:rPr>
        <w:t>Source: Authors calculations of the LCFS for 2022-23.</w:t>
      </w:r>
    </w:p>
    <w:p w14:paraId="5BD9D476" w14:textId="77777777" w:rsidR="00C94F92" w:rsidRDefault="00C94F92" w:rsidP="00C94F92">
      <w:pPr>
        <w:tabs>
          <w:tab w:val="center" w:pos="4876"/>
        </w:tabs>
        <w:spacing w:after="0"/>
        <w:rPr>
          <w:sz w:val="20"/>
        </w:rPr>
      </w:pPr>
    </w:p>
    <w:p w14:paraId="30ECAE01" w14:textId="066098C7" w:rsidR="00332FA3" w:rsidRPr="00C94F92" w:rsidRDefault="00C94F92" w:rsidP="00C94F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4 further breaks down the household types and shows that f</w:t>
      </w:r>
      <w:r w:rsidRPr="002E40EB">
        <w:rPr>
          <w:rFonts w:ascii="Arial" w:hAnsi="Arial" w:cs="Arial"/>
          <w:sz w:val="24"/>
          <w:szCs w:val="24"/>
        </w:rPr>
        <w:t xml:space="preserve">uel poverty is most prevalent among </w:t>
      </w:r>
      <w:r w:rsidR="0005693F">
        <w:rPr>
          <w:rFonts w:ascii="Arial" w:hAnsi="Arial" w:cs="Arial"/>
          <w:sz w:val="24"/>
          <w:szCs w:val="24"/>
        </w:rPr>
        <w:t xml:space="preserve">large families and </w:t>
      </w:r>
      <w:r w:rsidR="002A19DE">
        <w:rPr>
          <w:rFonts w:ascii="Arial" w:hAnsi="Arial" w:cs="Arial"/>
          <w:sz w:val="24"/>
          <w:szCs w:val="24"/>
        </w:rPr>
        <w:t>single</w:t>
      </w:r>
      <w:r w:rsidRPr="002E40EB">
        <w:rPr>
          <w:rFonts w:ascii="Arial" w:hAnsi="Arial" w:cs="Arial"/>
          <w:sz w:val="24"/>
          <w:szCs w:val="24"/>
        </w:rPr>
        <w:t xml:space="preserve"> parents</w:t>
      </w:r>
      <w:r w:rsidR="0005693F">
        <w:rPr>
          <w:rFonts w:ascii="Arial" w:hAnsi="Arial" w:cs="Arial"/>
          <w:sz w:val="24"/>
          <w:szCs w:val="24"/>
        </w:rPr>
        <w:t xml:space="preserve"> specifically </w:t>
      </w:r>
      <w:r w:rsidRPr="002E40EB">
        <w:rPr>
          <w:rFonts w:ascii="Arial" w:hAnsi="Arial" w:cs="Arial"/>
          <w:sz w:val="24"/>
          <w:szCs w:val="24"/>
        </w:rPr>
        <w:t>and</w:t>
      </w:r>
      <w:r w:rsidR="0005693F">
        <w:rPr>
          <w:rFonts w:ascii="Arial" w:hAnsi="Arial" w:cs="Arial"/>
          <w:sz w:val="24"/>
          <w:szCs w:val="24"/>
        </w:rPr>
        <w:t xml:space="preserve"> </w:t>
      </w:r>
      <w:r w:rsidRPr="002E40EB">
        <w:rPr>
          <w:rFonts w:ascii="Arial" w:hAnsi="Arial" w:cs="Arial"/>
          <w:sz w:val="24"/>
          <w:szCs w:val="24"/>
        </w:rPr>
        <w:t xml:space="preserve">least prevalent among childless couples and couple pensioners. </w:t>
      </w:r>
      <w:r w:rsidR="00F112DD">
        <w:rPr>
          <w:rFonts w:ascii="Arial" w:hAnsi="Arial" w:cs="Arial"/>
          <w:sz w:val="24"/>
          <w:szCs w:val="24"/>
        </w:rPr>
        <w:t>Again,</w:t>
      </w:r>
      <w:r w:rsidR="0022578D">
        <w:rPr>
          <w:rFonts w:ascii="Arial" w:hAnsi="Arial" w:cs="Arial"/>
          <w:sz w:val="24"/>
          <w:szCs w:val="24"/>
        </w:rPr>
        <w:t xml:space="preserve"> the differences between 2022/3 and 2025 are not </w:t>
      </w:r>
      <w:r w:rsidR="00720F4E">
        <w:rPr>
          <w:rFonts w:ascii="Arial" w:hAnsi="Arial" w:cs="Arial"/>
          <w:sz w:val="24"/>
          <w:szCs w:val="24"/>
        </w:rPr>
        <w:t>significantly</w:t>
      </w:r>
      <w:r w:rsidR="0022578D">
        <w:rPr>
          <w:rFonts w:ascii="Arial" w:hAnsi="Arial" w:cs="Arial"/>
          <w:sz w:val="24"/>
          <w:szCs w:val="24"/>
        </w:rPr>
        <w:t xml:space="preserve"> </w:t>
      </w:r>
      <w:r w:rsidR="00720F4E">
        <w:rPr>
          <w:rFonts w:ascii="Arial" w:hAnsi="Arial" w:cs="Arial"/>
          <w:sz w:val="24"/>
          <w:szCs w:val="24"/>
        </w:rPr>
        <w:t>different</w:t>
      </w:r>
      <w:r w:rsidR="0022578D">
        <w:rPr>
          <w:rFonts w:ascii="Arial" w:hAnsi="Arial" w:cs="Arial"/>
          <w:sz w:val="24"/>
          <w:szCs w:val="24"/>
        </w:rPr>
        <w:t xml:space="preserve">, although </w:t>
      </w:r>
      <w:r w:rsidR="00720F4E">
        <w:rPr>
          <w:rFonts w:ascii="Arial" w:hAnsi="Arial" w:cs="Arial"/>
          <w:sz w:val="24"/>
          <w:szCs w:val="24"/>
        </w:rPr>
        <w:t xml:space="preserve">slight falls in each case are reported. </w:t>
      </w:r>
      <w:r w:rsidRPr="002E40EB">
        <w:rPr>
          <w:rFonts w:ascii="Arial" w:hAnsi="Arial" w:cs="Arial"/>
          <w:sz w:val="24"/>
          <w:szCs w:val="24"/>
        </w:rPr>
        <w:t xml:space="preserve">The size </w:t>
      </w:r>
      <w:r w:rsidR="002F0274">
        <w:rPr>
          <w:rFonts w:ascii="Arial" w:hAnsi="Arial" w:cs="Arial"/>
          <w:sz w:val="24"/>
          <w:szCs w:val="24"/>
        </w:rPr>
        <w:t>o</w:t>
      </w:r>
      <w:r w:rsidRPr="002E40EB">
        <w:rPr>
          <w:rFonts w:ascii="Arial" w:hAnsi="Arial" w:cs="Arial"/>
          <w:sz w:val="24"/>
          <w:szCs w:val="24"/>
        </w:rPr>
        <w:t>f poverty gaps do not follow the same pattern</w:t>
      </w:r>
      <w:r>
        <w:rPr>
          <w:rFonts w:ascii="Arial" w:hAnsi="Arial" w:cs="Arial"/>
          <w:sz w:val="24"/>
          <w:szCs w:val="24"/>
        </w:rPr>
        <w:t xml:space="preserve"> (See Annex Table 2)</w:t>
      </w:r>
      <w:r w:rsidRPr="002E40EB">
        <w:rPr>
          <w:rFonts w:ascii="Arial" w:hAnsi="Arial" w:cs="Arial"/>
          <w:sz w:val="24"/>
          <w:szCs w:val="24"/>
        </w:rPr>
        <w:t xml:space="preserve">. </w:t>
      </w:r>
      <w:r w:rsidR="003D7136">
        <w:rPr>
          <w:rFonts w:ascii="Arial" w:hAnsi="Arial" w:cs="Arial"/>
          <w:sz w:val="24"/>
          <w:szCs w:val="24"/>
        </w:rPr>
        <w:t xml:space="preserve">This further breakdown was not included in the logistic regression. </w:t>
      </w:r>
    </w:p>
    <w:p w14:paraId="05E6E4F9" w14:textId="77777777" w:rsidR="00332FA3" w:rsidRDefault="00332FA3" w:rsidP="00332FA3">
      <w:pPr>
        <w:spacing w:after="0"/>
        <w:rPr>
          <w:sz w:val="20"/>
        </w:rPr>
      </w:pPr>
    </w:p>
    <w:p w14:paraId="77C6B0F1" w14:textId="7880EB76" w:rsidR="00332FA3" w:rsidRPr="00332FA3" w:rsidRDefault="00332FA3" w:rsidP="00332FA3">
      <w:pPr>
        <w:pStyle w:val="Caption"/>
        <w:keepNext/>
        <w:spacing w:after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Figure 4</w:t>
      </w:r>
      <w:r w:rsidR="00C94F92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: </w:t>
      </w:r>
      <w:r w:rsidR="0005693F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Large families and single parents are at the highest risk of fuel poverty</w:t>
      </w:r>
    </w:p>
    <w:p w14:paraId="1C7F0BA8" w14:textId="77777777" w:rsidR="00332FA3" w:rsidRDefault="00332FA3" w:rsidP="00332FA3">
      <w:pPr>
        <w:spacing w:after="0"/>
      </w:pPr>
      <w:r>
        <w:rPr>
          <w:noProof/>
        </w:rPr>
        <w:drawing>
          <wp:inline distT="0" distB="0" distL="0" distR="0" wp14:anchorId="7B0C2156" wp14:editId="1B67EC96">
            <wp:extent cx="6037421" cy="2484120"/>
            <wp:effectExtent l="0" t="0" r="1905" b="0"/>
            <wp:docPr id="18435461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24" cy="248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EEFA7B" w14:textId="77777777" w:rsidR="00332FA3" w:rsidRDefault="00332FA3" w:rsidP="00332FA3">
      <w:pPr>
        <w:spacing w:after="0"/>
      </w:pPr>
      <w:r w:rsidRPr="006504A8">
        <w:rPr>
          <w:sz w:val="20"/>
        </w:rPr>
        <w:t>Source: Authors calculations of the LCFS for 2022-23.</w:t>
      </w:r>
    </w:p>
    <w:p w14:paraId="1C8D6775" w14:textId="77777777" w:rsidR="00332FA3" w:rsidRDefault="00332FA3" w:rsidP="00332FA3">
      <w:pPr>
        <w:spacing w:after="0"/>
      </w:pPr>
    </w:p>
    <w:p w14:paraId="5326BD25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49E7AC1A" w14:textId="77777777" w:rsidR="00332FA3" w:rsidRPr="002E40EB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78A765FA" w14:textId="0EB4B979" w:rsidR="00F60460" w:rsidRDefault="003D7136" w:rsidP="003D71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Figure 5 reports the findings for fuel poverty by region, and shows that </w:t>
      </w:r>
      <w:r w:rsidR="004D6A3F" w:rsidRPr="002E40EB">
        <w:rPr>
          <w:rFonts w:ascii="Arial" w:hAnsi="Arial" w:cs="Arial"/>
          <w:sz w:val="24"/>
          <w:szCs w:val="24"/>
        </w:rPr>
        <w:t xml:space="preserve">Northern Ireland and the West Midlands </w:t>
      </w:r>
      <w:r w:rsidR="00D27BE4" w:rsidRPr="002E40EB">
        <w:rPr>
          <w:rFonts w:ascii="Arial" w:hAnsi="Arial" w:cs="Arial"/>
          <w:sz w:val="24"/>
          <w:szCs w:val="24"/>
        </w:rPr>
        <w:t>have the highest poverty r</w:t>
      </w:r>
      <w:r w:rsidR="00ED2761" w:rsidRPr="002E40EB">
        <w:rPr>
          <w:rFonts w:ascii="Arial" w:hAnsi="Arial" w:cs="Arial"/>
          <w:sz w:val="24"/>
          <w:szCs w:val="24"/>
        </w:rPr>
        <w:t>a</w:t>
      </w:r>
      <w:r w:rsidR="00D27BE4" w:rsidRPr="002E40EB">
        <w:rPr>
          <w:rFonts w:ascii="Arial" w:hAnsi="Arial" w:cs="Arial"/>
          <w:sz w:val="24"/>
          <w:szCs w:val="24"/>
        </w:rPr>
        <w:t>tes</w:t>
      </w:r>
      <w:r w:rsidR="002A7CF5" w:rsidRPr="002E40EB">
        <w:rPr>
          <w:rFonts w:ascii="Arial" w:hAnsi="Arial" w:cs="Arial"/>
          <w:sz w:val="24"/>
          <w:szCs w:val="24"/>
        </w:rPr>
        <w:t xml:space="preserve"> and the lowest are in </w:t>
      </w:r>
      <w:r w:rsidR="00131E3B" w:rsidRPr="002E40EB">
        <w:rPr>
          <w:rFonts w:ascii="Arial" w:hAnsi="Arial" w:cs="Arial"/>
          <w:sz w:val="24"/>
          <w:szCs w:val="24"/>
        </w:rPr>
        <w:t xml:space="preserve">Wales and the </w:t>
      </w:r>
      <w:proofErr w:type="gramStart"/>
      <w:r w:rsidR="00131E3B" w:rsidRPr="002E40EB">
        <w:rPr>
          <w:rFonts w:ascii="Arial" w:hAnsi="Arial" w:cs="Arial"/>
          <w:sz w:val="24"/>
          <w:szCs w:val="24"/>
        </w:rPr>
        <w:t>South West</w:t>
      </w:r>
      <w:proofErr w:type="gramEnd"/>
      <w:r w:rsidR="00D9238E" w:rsidRPr="002E40EB">
        <w:rPr>
          <w:rFonts w:ascii="Arial" w:hAnsi="Arial" w:cs="Arial"/>
          <w:sz w:val="24"/>
          <w:szCs w:val="24"/>
        </w:rPr>
        <w:t>. The size of the gaps do not follow the same pattern</w:t>
      </w:r>
      <w:r w:rsidR="001944DD">
        <w:rPr>
          <w:rFonts w:ascii="Arial" w:hAnsi="Arial" w:cs="Arial"/>
          <w:sz w:val="24"/>
          <w:szCs w:val="24"/>
        </w:rPr>
        <w:t xml:space="preserve"> (</w:t>
      </w:r>
      <w:r w:rsidR="00EC561A">
        <w:rPr>
          <w:rFonts w:ascii="Arial" w:hAnsi="Arial" w:cs="Arial"/>
          <w:sz w:val="24"/>
          <w:szCs w:val="24"/>
        </w:rPr>
        <w:t>See Annex Table 2)</w:t>
      </w:r>
      <w:r w:rsidR="00990E34">
        <w:rPr>
          <w:rFonts w:ascii="Arial" w:hAnsi="Arial" w:cs="Arial"/>
          <w:sz w:val="24"/>
          <w:szCs w:val="24"/>
        </w:rPr>
        <w:t>.</w:t>
      </w:r>
      <w:r w:rsidR="00CE1D7B">
        <w:rPr>
          <w:rFonts w:ascii="Arial" w:hAnsi="Arial" w:cs="Arial"/>
          <w:sz w:val="24"/>
          <w:szCs w:val="24"/>
        </w:rPr>
        <w:t xml:space="preserve"> </w:t>
      </w:r>
    </w:p>
    <w:p w14:paraId="7ABDE507" w14:textId="77777777" w:rsidR="00EC561A" w:rsidRDefault="00EC561A" w:rsidP="003D7136">
      <w:pPr>
        <w:pStyle w:val="NoSpacing"/>
        <w:rPr>
          <w:rFonts w:ascii="Arial" w:hAnsi="Arial" w:cs="Arial"/>
          <w:sz w:val="24"/>
          <w:szCs w:val="24"/>
        </w:rPr>
      </w:pPr>
    </w:p>
    <w:p w14:paraId="6D8C844B" w14:textId="4DD674C7" w:rsidR="00EC561A" w:rsidRDefault="009D68CE" w:rsidP="003D71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of the </w:t>
      </w:r>
      <w:r w:rsidR="00DD2690">
        <w:rPr>
          <w:rFonts w:ascii="Arial" w:hAnsi="Arial" w:cs="Arial"/>
          <w:sz w:val="24"/>
          <w:szCs w:val="24"/>
        </w:rPr>
        <w:t>logistic</w:t>
      </w:r>
      <w:r>
        <w:rPr>
          <w:rFonts w:ascii="Arial" w:hAnsi="Arial" w:cs="Arial"/>
          <w:sz w:val="24"/>
          <w:szCs w:val="24"/>
        </w:rPr>
        <w:t xml:space="preserve"> regression show that, in comparison to the average regional effect, </w:t>
      </w:r>
      <w:r w:rsidR="007E6CB3">
        <w:rPr>
          <w:rFonts w:ascii="Arial" w:hAnsi="Arial" w:cs="Arial"/>
          <w:sz w:val="24"/>
          <w:szCs w:val="24"/>
        </w:rPr>
        <w:t>in Northern Ireland</w:t>
      </w:r>
      <w:r w:rsidR="00524E45">
        <w:rPr>
          <w:rFonts w:ascii="Arial" w:hAnsi="Arial" w:cs="Arial"/>
          <w:sz w:val="24"/>
          <w:szCs w:val="24"/>
        </w:rPr>
        <w:t xml:space="preserve"> employment differences, tenure, income and household type do not reduce the influence on regional difference when it comes to higher fuel </w:t>
      </w:r>
      <w:r w:rsidR="00DD2690">
        <w:rPr>
          <w:rFonts w:ascii="Arial" w:hAnsi="Arial" w:cs="Arial"/>
          <w:sz w:val="24"/>
          <w:szCs w:val="24"/>
        </w:rPr>
        <w:t>poverty</w:t>
      </w:r>
      <w:r w:rsidR="00524E45">
        <w:rPr>
          <w:rFonts w:ascii="Arial" w:hAnsi="Arial" w:cs="Arial"/>
          <w:sz w:val="24"/>
          <w:szCs w:val="24"/>
        </w:rPr>
        <w:t xml:space="preserve"> risks. </w:t>
      </w:r>
      <w:r w:rsidR="008C5940">
        <w:rPr>
          <w:rFonts w:ascii="Arial" w:hAnsi="Arial" w:cs="Arial"/>
          <w:sz w:val="24"/>
          <w:szCs w:val="24"/>
        </w:rPr>
        <w:t xml:space="preserve">Living in the </w:t>
      </w:r>
      <w:proofErr w:type="gramStart"/>
      <w:r w:rsidR="00311E68">
        <w:rPr>
          <w:rFonts w:ascii="Arial" w:hAnsi="Arial" w:cs="Arial"/>
          <w:sz w:val="24"/>
          <w:szCs w:val="24"/>
        </w:rPr>
        <w:t>South west</w:t>
      </w:r>
      <w:proofErr w:type="gramEnd"/>
      <w:r w:rsidR="008C5940">
        <w:rPr>
          <w:rFonts w:ascii="Arial" w:hAnsi="Arial" w:cs="Arial"/>
          <w:sz w:val="24"/>
          <w:szCs w:val="24"/>
        </w:rPr>
        <w:t xml:space="preserve">, </w:t>
      </w:r>
      <w:r w:rsidR="00311E68">
        <w:rPr>
          <w:rFonts w:ascii="Arial" w:hAnsi="Arial" w:cs="Arial"/>
          <w:sz w:val="24"/>
          <w:szCs w:val="24"/>
        </w:rPr>
        <w:t>E</w:t>
      </w:r>
      <w:r w:rsidR="008C5940">
        <w:rPr>
          <w:rFonts w:ascii="Arial" w:hAnsi="Arial" w:cs="Arial"/>
          <w:sz w:val="24"/>
          <w:szCs w:val="24"/>
        </w:rPr>
        <w:t>astern part</w:t>
      </w:r>
      <w:r w:rsidR="00DD2690">
        <w:rPr>
          <w:rFonts w:ascii="Arial" w:hAnsi="Arial" w:cs="Arial"/>
          <w:sz w:val="24"/>
          <w:szCs w:val="24"/>
        </w:rPr>
        <w:t xml:space="preserve">s </w:t>
      </w:r>
      <w:r w:rsidR="008C5940">
        <w:rPr>
          <w:rFonts w:ascii="Arial" w:hAnsi="Arial" w:cs="Arial"/>
          <w:sz w:val="24"/>
          <w:szCs w:val="24"/>
        </w:rPr>
        <w:t xml:space="preserve">of the UK, and in London – net of other factors – lowers fuel poverty risks in </w:t>
      </w:r>
      <w:r w:rsidR="00DD2690">
        <w:rPr>
          <w:rFonts w:ascii="Arial" w:hAnsi="Arial" w:cs="Arial"/>
          <w:sz w:val="24"/>
          <w:szCs w:val="24"/>
        </w:rPr>
        <w:t xml:space="preserve">relative to the average regional effect. </w:t>
      </w:r>
    </w:p>
    <w:p w14:paraId="41EE672D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5EFC8DCA" w14:textId="5D469CBE" w:rsidR="00332FA3" w:rsidRPr="00332FA3" w:rsidRDefault="00332FA3" w:rsidP="00332FA3">
      <w:pPr>
        <w:pStyle w:val="Caption"/>
        <w:keepNext/>
        <w:spacing w:after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Figure 5</w:t>
      </w:r>
      <w:r w:rsidR="003D7136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:</w:t>
      </w:r>
      <w:r w:rsidR="00E4359D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 Fuel poverty </w:t>
      </w:r>
      <w:r w:rsidR="009E7DFC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is highest in Northern Ireland, a finding that </w:t>
      </w:r>
      <w:r w:rsidR="00B53D1B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is </w:t>
      </w:r>
      <w:r w:rsidR="00304C8E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independent of household structure, tenure, employment and income</w:t>
      </w:r>
    </w:p>
    <w:p w14:paraId="19D85454" w14:textId="77777777" w:rsidR="00332FA3" w:rsidRDefault="00332FA3" w:rsidP="00332FA3">
      <w:pPr>
        <w:spacing w:after="0"/>
      </w:pPr>
      <w:r>
        <w:rPr>
          <w:noProof/>
        </w:rPr>
        <w:drawing>
          <wp:inline distT="0" distB="0" distL="0" distR="0" wp14:anchorId="13CE322C" wp14:editId="6867850B">
            <wp:extent cx="6011269" cy="2575560"/>
            <wp:effectExtent l="0" t="0" r="8890" b="0"/>
            <wp:docPr id="96032993" name="Picture 6" descr="A graph of poverty r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2993" name="Picture 6" descr="A graph of poverty ra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776" cy="2578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7DB1B" w14:textId="47DD8D5E" w:rsidR="00332FA3" w:rsidRPr="006504A8" w:rsidRDefault="00332FA3" w:rsidP="00332FA3">
      <w:pPr>
        <w:spacing w:after="120"/>
        <w:rPr>
          <w:sz w:val="20"/>
        </w:rPr>
      </w:pPr>
      <w:r w:rsidRPr="006504A8">
        <w:rPr>
          <w:sz w:val="20"/>
        </w:rPr>
        <w:t>Note: Results report poverty rates descriptives, with signif</w:t>
      </w:r>
      <w:r w:rsidR="00C0145A">
        <w:rPr>
          <w:sz w:val="20"/>
        </w:rPr>
        <w:t>ic</w:t>
      </w:r>
      <w:r w:rsidRPr="006504A8">
        <w:rPr>
          <w:sz w:val="20"/>
        </w:rPr>
        <w:t xml:space="preserve">ances reporting significant deviation from the average condition for the category on the likelihood of being in fuel poverty (&gt;20 per cent threshold) after controlling for </w:t>
      </w:r>
      <w:r w:rsidR="00C0145A">
        <w:rPr>
          <w:sz w:val="20"/>
        </w:rPr>
        <w:t>income</w:t>
      </w:r>
      <w:r>
        <w:rPr>
          <w:sz w:val="20"/>
        </w:rPr>
        <w:t xml:space="preserve"> decile</w:t>
      </w:r>
      <w:r w:rsidRPr="006504A8">
        <w:rPr>
          <w:sz w:val="20"/>
        </w:rPr>
        <w:t xml:space="preserve">, short form household </w:t>
      </w:r>
      <w:r w:rsidR="00C0145A" w:rsidRPr="006504A8">
        <w:rPr>
          <w:sz w:val="20"/>
        </w:rPr>
        <w:t>composition</w:t>
      </w:r>
      <w:r w:rsidRPr="006504A8">
        <w:rPr>
          <w:sz w:val="20"/>
        </w:rPr>
        <w:t xml:space="preserve">, </w:t>
      </w:r>
      <w:r>
        <w:rPr>
          <w:sz w:val="20"/>
        </w:rPr>
        <w:t>tenure type</w:t>
      </w:r>
      <w:r w:rsidRPr="006504A8">
        <w:rPr>
          <w:sz w:val="20"/>
        </w:rPr>
        <w:t xml:space="preserve"> and </w:t>
      </w:r>
      <w:r w:rsidR="00C0145A" w:rsidRPr="006504A8">
        <w:rPr>
          <w:sz w:val="20"/>
        </w:rPr>
        <w:t>employment</w:t>
      </w:r>
      <w:r w:rsidRPr="006504A8">
        <w:rPr>
          <w:sz w:val="20"/>
        </w:rPr>
        <w:t xml:space="preserve"> status</w:t>
      </w:r>
      <w:r w:rsidR="00E1611F">
        <w:rPr>
          <w:sz w:val="20"/>
        </w:rPr>
        <w:t xml:space="preserve"> in a logistic regression – see Annex Table 3</w:t>
      </w:r>
      <w:r w:rsidR="00E1611F" w:rsidRPr="006504A8">
        <w:rPr>
          <w:sz w:val="20"/>
        </w:rPr>
        <w:t>. “***” is p&lt;0.001, “**” is p&lt;0.01, “*” is p&lt;0.05, “.” is p&lt;0.10.</w:t>
      </w:r>
      <w:r w:rsidR="00E1611F">
        <w:rPr>
          <w:sz w:val="20"/>
        </w:rPr>
        <w:t xml:space="preserve"> </w:t>
      </w:r>
      <w:r w:rsidR="00E1611F" w:rsidRPr="006504A8">
        <w:rPr>
          <w:sz w:val="20"/>
        </w:rPr>
        <w:t xml:space="preserve">Data for 2025 are projections – see methodological annex. </w:t>
      </w:r>
      <w:r w:rsidR="00E1611F">
        <w:rPr>
          <w:sz w:val="20"/>
        </w:rPr>
        <w:t>Poverty rates ordered low to high, based on 2025 estimates.</w:t>
      </w:r>
    </w:p>
    <w:p w14:paraId="630D6450" w14:textId="77777777" w:rsidR="00332FA3" w:rsidRDefault="00332FA3" w:rsidP="00332FA3">
      <w:pPr>
        <w:spacing w:after="0"/>
        <w:rPr>
          <w:sz w:val="20"/>
        </w:rPr>
      </w:pPr>
      <w:r w:rsidRPr="006504A8">
        <w:rPr>
          <w:sz w:val="20"/>
        </w:rPr>
        <w:t>Source: Authors calculations of the LCFS for 2022-23.</w:t>
      </w:r>
    </w:p>
    <w:p w14:paraId="79CB10CB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689419F3" w14:textId="77777777" w:rsidR="00332FA3" w:rsidRPr="002E40EB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3F65FE08" w14:textId="1DB7E8F0" w:rsidR="003E39D8" w:rsidRDefault="004C262B" w:rsidP="004C26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6 shows that u</w:t>
      </w:r>
      <w:r w:rsidR="000E7596" w:rsidRPr="002E40EB">
        <w:rPr>
          <w:rFonts w:ascii="Arial" w:hAnsi="Arial" w:cs="Arial"/>
          <w:sz w:val="24"/>
          <w:szCs w:val="24"/>
        </w:rPr>
        <w:t xml:space="preserve">nemployment and </w:t>
      </w:r>
      <w:r w:rsidR="000577C8">
        <w:rPr>
          <w:rFonts w:ascii="Arial" w:hAnsi="Arial" w:cs="Arial"/>
          <w:sz w:val="24"/>
          <w:szCs w:val="24"/>
        </w:rPr>
        <w:t xml:space="preserve">economic </w:t>
      </w:r>
      <w:r w:rsidR="000E7596" w:rsidRPr="002E40EB">
        <w:rPr>
          <w:rFonts w:ascii="Arial" w:hAnsi="Arial" w:cs="Arial"/>
          <w:sz w:val="24"/>
          <w:szCs w:val="24"/>
        </w:rPr>
        <w:t>inactivity</w:t>
      </w:r>
      <w:r w:rsidR="00FB7631">
        <w:rPr>
          <w:rFonts w:ascii="Arial" w:hAnsi="Arial" w:cs="Arial"/>
          <w:sz w:val="24"/>
          <w:szCs w:val="24"/>
        </w:rPr>
        <w:t xml:space="preserve"> – when comparing </w:t>
      </w:r>
      <w:r w:rsidR="00E643AC">
        <w:rPr>
          <w:rFonts w:ascii="Arial" w:hAnsi="Arial" w:cs="Arial"/>
          <w:sz w:val="24"/>
          <w:szCs w:val="24"/>
        </w:rPr>
        <w:t>bivariate</w:t>
      </w:r>
      <w:r w:rsidR="00FB7631">
        <w:rPr>
          <w:rFonts w:ascii="Arial" w:hAnsi="Arial" w:cs="Arial"/>
          <w:sz w:val="24"/>
          <w:szCs w:val="24"/>
        </w:rPr>
        <w:t xml:space="preserve"> </w:t>
      </w:r>
      <w:r w:rsidR="003F5AF1">
        <w:rPr>
          <w:rFonts w:ascii="Arial" w:hAnsi="Arial" w:cs="Arial"/>
          <w:sz w:val="24"/>
          <w:szCs w:val="24"/>
        </w:rPr>
        <w:t>statistics</w:t>
      </w:r>
      <w:r w:rsidR="00FB7631">
        <w:rPr>
          <w:rFonts w:ascii="Arial" w:hAnsi="Arial" w:cs="Arial"/>
          <w:sz w:val="24"/>
          <w:szCs w:val="24"/>
        </w:rPr>
        <w:t xml:space="preserve"> – have higher and lower </w:t>
      </w:r>
      <w:r w:rsidR="00E643AC">
        <w:rPr>
          <w:rFonts w:ascii="Arial" w:hAnsi="Arial" w:cs="Arial"/>
          <w:sz w:val="24"/>
          <w:szCs w:val="24"/>
        </w:rPr>
        <w:t>rate</w:t>
      </w:r>
      <w:r w:rsidR="00FB7631">
        <w:rPr>
          <w:rFonts w:ascii="Arial" w:hAnsi="Arial" w:cs="Arial"/>
          <w:sz w:val="24"/>
          <w:szCs w:val="24"/>
        </w:rPr>
        <w:t xml:space="preserve"> of fuel poverty </w:t>
      </w:r>
      <w:r w:rsidR="00E643AC">
        <w:rPr>
          <w:rFonts w:ascii="Arial" w:hAnsi="Arial" w:cs="Arial"/>
          <w:sz w:val="24"/>
          <w:szCs w:val="24"/>
        </w:rPr>
        <w:t>respectively</w:t>
      </w:r>
      <w:r w:rsidR="00FB7631">
        <w:rPr>
          <w:rFonts w:ascii="Arial" w:hAnsi="Arial" w:cs="Arial"/>
          <w:sz w:val="24"/>
          <w:szCs w:val="24"/>
        </w:rPr>
        <w:t xml:space="preserve">. Nevertheless, when included in </w:t>
      </w:r>
      <w:r w:rsidR="00E643AC">
        <w:rPr>
          <w:rFonts w:ascii="Arial" w:hAnsi="Arial" w:cs="Arial"/>
          <w:sz w:val="24"/>
          <w:szCs w:val="24"/>
        </w:rPr>
        <w:t>m</w:t>
      </w:r>
      <w:r w:rsidR="007E03EB">
        <w:rPr>
          <w:rFonts w:ascii="Arial" w:hAnsi="Arial" w:cs="Arial"/>
          <w:sz w:val="24"/>
          <w:szCs w:val="24"/>
        </w:rPr>
        <w:t>ultivariate</w:t>
      </w:r>
      <w:r w:rsidR="00FB7631">
        <w:rPr>
          <w:rFonts w:ascii="Arial" w:hAnsi="Arial" w:cs="Arial"/>
          <w:sz w:val="24"/>
          <w:szCs w:val="24"/>
        </w:rPr>
        <w:t xml:space="preserve"> </w:t>
      </w:r>
      <w:r w:rsidR="007E03EB">
        <w:rPr>
          <w:rFonts w:ascii="Arial" w:hAnsi="Arial" w:cs="Arial"/>
          <w:sz w:val="24"/>
          <w:szCs w:val="24"/>
        </w:rPr>
        <w:t>analysis</w:t>
      </w:r>
      <w:r w:rsidR="00FB7631">
        <w:rPr>
          <w:rFonts w:ascii="Arial" w:hAnsi="Arial" w:cs="Arial"/>
          <w:sz w:val="24"/>
          <w:szCs w:val="24"/>
        </w:rPr>
        <w:t xml:space="preserve"> (the </w:t>
      </w:r>
      <w:r w:rsidR="003F5AF1">
        <w:rPr>
          <w:rFonts w:ascii="Arial" w:hAnsi="Arial" w:cs="Arial"/>
          <w:sz w:val="24"/>
          <w:szCs w:val="24"/>
        </w:rPr>
        <w:t>logistic</w:t>
      </w:r>
      <w:r w:rsidR="00FB7631">
        <w:rPr>
          <w:rFonts w:ascii="Arial" w:hAnsi="Arial" w:cs="Arial"/>
          <w:sz w:val="24"/>
          <w:szCs w:val="24"/>
        </w:rPr>
        <w:t xml:space="preserve"> </w:t>
      </w:r>
      <w:r w:rsidR="003F5AF1">
        <w:rPr>
          <w:rFonts w:ascii="Arial" w:hAnsi="Arial" w:cs="Arial"/>
          <w:sz w:val="24"/>
          <w:szCs w:val="24"/>
        </w:rPr>
        <w:t>regression</w:t>
      </w:r>
      <w:r w:rsidR="00FB7631">
        <w:rPr>
          <w:rFonts w:ascii="Arial" w:hAnsi="Arial" w:cs="Arial"/>
          <w:sz w:val="24"/>
          <w:szCs w:val="24"/>
        </w:rPr>
        <w:t xml:space="preserve"> on in Annex table 3)</w:t>
      </w:r>
      <w:r w:rsidR="0058253E">
        <w:rPr>
          <w:rFonts w:ascii="Arial" w:hAnsi="Arial" w:cs="Arial"/>
          <w:sz w:val="24"/>
          <w:szCs w:val="24"/>
        </w:rPr>
        <w:t xml:space="preserve"> no </w:t>
      </w:r>
      <w:r w:rsidR="003F5AF1">
        <w:rPr>
          <w:rFonts w:ascii="Arial" w:hAnsi="Arial" w:cs="Arial"/>
          <w:sz w:val="24"/>
          <w:szCs w:val="24"/>
        </w:rPr>
        <w:t>employment</w:t>
      </w:r>
      <w:r w:rsidR="0058253E">
        <w:rPr>
          <w:rFonts w:ascii="Arial" w:hAnsi="Arial" w:cs="Arial"/>
          <w:sz w:val="24"/>
          <w:szCs w:val="24"/>
        </w:rPr>
        <w:t xml:space="preserve"> category </w:t>
      </w:r>
      <w:r w:rsidR="002A2959">
        <w:rPr>
          <w:rFonts w:ascii="Arial" w:hAnsi="Arial" w:cs="Arial"/>
          <w:sz w:val="24"/>
          <w:szCs w:val="24"/>
        </w:rPr>
        <w:t>retains</w:t>
      </w:r>
      <w:r w:rsidR="0058253E">
        <w:rPr>
          <w:rFonts w:ascii="Arial" w:hAnsi="Arial" w:cs="Arial"/>
          <w:sz w:val="24"/>
          <w:szCs w:val="24"/>
        </w:rPr>
        <w:t xml:space="preserve"> </w:t>
      </w:r>
      <w:r w:rsidR="003D65E8">
        <w:rPr>
          <w:rFonts w:ascii="Arial" w:hAnsi="Arial" w:cs="Arial"/>
          <w:sz w:val="24"/>
          <w:szCs w:val="24"/>
        </w:rPr>
        <w:t>significant</w:t>
      </w:r>
      <w:r w:rsidR="0058253E">
        <w:rPr>
          <w:rFonts w:ascii="Arial" w:hAnsi="Arial" w:cs="Arial"/>
          <w:sz w:val="24"/>
          <w:szCs w:val="24"/>
        </w:rPr>
        <w:t xml:space="preserve"> influence </w:t>
      </w:r>
      <w:r w:rsidR="003F5AF1">
        <w:rPr>
          <w:rFonts w:ascii="Arial" w:hAnsi="Arial" w:cs="Arial"/>
          <w:sz w:val="24"/>
          <w:szCs w:val="24"/>
        </w:rPr>
        <w:t>on</w:t>
      </w:r>
      <w:r w:rsidR="0058253E">
        <w:rPr>
          <w:rFonts w:ascii="Arial" w:hAnsi="Arial" w:cs="Arial"/>
          <w:sz w:val="24"/>
          <w:szCs w:val="24"/>
        </w:rPr>
        <w:t xml:space="preserve"> </w:t>
      </w:r>
      <w:r w:rsidR="003F5AF1">
        <w:rPr>
          <w:rFonts w:ascii="Arial" w:hAnsi="Arial" w:cs="Arial"/>
          <w:sz w:val="24"/>
          <w:szCs w:val="24"/>
        </w:rPr>
        <w:t>the</w:t>
      </w:r>
      <w:r w:rsidR="0058253E">
        <w:rPr>
          <w:rFonts w:ascii="Arial" w:hAnsi="Arial" w:cs="Arial"/>
          <w:sz w:val="24"/>
          <w:szCs w:val="24"/>
        </w:rPr>
        <w:t xml:space="preserve"> likelihood of being </w:t>
      </w:r>
      <w:r w:rsidR="003F5AF1">
        <w:rPr>
          <w:rFonts w:ascii="Arial" w:hAnsi="Arial" w:cs="Arial"/>
          <w:sz w:val="24"/>
          <w:szCs w:val="24"/>
        </w:rPr>
        <w:t>fuel</w:t>
      </w:r>
      <w:r w:rsidR="0058253E">
        <w:rPr>
          <w:rFonts w:ascii="Arial" w:hAnsi="Arial" w:cs="Arial"/>
          <w:sz w:val="24"/>
          <w:szCs w:val="24"/>
        </w:rPr>
        <w:t xml:space="preserve"> poor. </w:t>
      </w:r>
      <w:r w:rsidR="003A58B8">
        <w:rPr>
          <w:rFonts w:ascii="Arial" w:hAnsi="Arial" w:cs="Arial"/>
          <w:sz w:val="24"/>
          <w:szCs w:val="24"/>
        </w:rPr>
        <w:t xml:space="preserve">This result suggest that other factors are </w:t>
      </w:r>
      <w:r w:rsidR="003F5AF1">
        <w:rPr>
          <w:rFonts w:ascii="Arial" w:hAnsi="Arial" w:cs="Arial"/>
          <w:sz w:val="24"/>
          <w:szCs w:val="24"/>
        </w:rPr>
        <w:t>mediating</w:t>
      </w:r>
      <w:r w:rsidR="003A58B8">
        <w:rPr>
          <w:rFonts w:ascii="Arial" w:hAnsi="Arial" w:cs="Arial"/>
          <w:sz w:val="24"/>
          <w:szCs w:val="24"/>
        </w:rPr>
        <w:t xml:space="preserve"> the relationship </w:t>
      </w:r>
      <w:r w:rsidR="002A2959">
        <w:rPr>
          <w:rFonts w:ascii="Arial" w:hAnsi="Arial" w:cs="Arial"/>
          <w:sz w:val="24"/>
          <w:szCs w:val="24"/>
        </w:rPr>
        <w:t>between</w:t>
      </w:r>
      <w:r w:rsidR="003A58B8">
        <w:rPr>
          <w:rFonts w:ascii="Arial" w:hAnsi="Arial" w:cs="Arial"/>
          <w:sz w:val="24"/>
          <w:szCs w:val="24"/>
        </w:rPr>
        <w:t xml:space="preserve"> employment status and fuel poverty – such as </w:t>
      </w:r>
      <w:r w:rsidR="001F13F1">
        <w:rPr>
          <w:rFonts w:ascii="Arial" w:hAnsi="Arial" w:cs="Arial"/>
          <w:sz w:val="24"/>
          <w:szCs w:val="24"/>
        </w:rPr>
        <w:t xml:space="preserve">income levels or household type. </w:t>
      </w:r>
    </w:p>
    <w:p w14:paraId="7F14ADE5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1E026521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15C5F079" w14:textId="3E97BD8F" w:rsidR="00332FA3" w:rsidRPr="00332FA3" w:rsidRDefault="00332FA3" w:rsidP="00332FA3">
      <w:pPr>
        <w:pStyle w:val="Caption"/>
        <w:keepNext/>
        <w:spacing w:after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lastRenderedPageBreak/>
        <w:t>Figure 6</w:t>
      </w:r>
      <w:r w:rsidR="00DD2690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: </w:t>
      </w:r>
      <w:r w:rsidR="00311E68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The unemployed are at the highest risk of fuel poverty</w:t>
      </w:r>
    </w:p>
    <w:p w14:paraId="65A6FED6" w14:textId="77777777" w:rsidR="00332FA3" w:rsidRDefault="00332FA3" w:rsidP="00332FA3">
      <w:pPr>
        <w:spacing w:after="0"/>
      </w:pPr>
      <w:r>
        <w:rPr>
          <w:noProof/>
        </w:rPr>
        <w:drawing>
          <wp:inline distT="0" distB="0" distL="0" distR="0" wp14:anchorId="5AF07CEC" wp14:editId="56F55ED9">
            <wp:extent cx="5755005" cy="2362389"/>
            <wp:effectExtent l="0" t="0" r="0" b="0"/>
            <wp:docPr id="12349606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38" cy="236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B5060" w14:textId="73CC5EAF" w:rsidR="00332FA3" w:rsidRPr="006504A8" w:rsidRDefault="00332FA3" w:rsidP="00332FA3">
      <w:pPr>
        <w:spacing w:after="120"/>
        <w:rPr>
          <w:sz w:val="20"/>
        </w:rPr>
      </w:pPr>
      <w:r w:rsidRPr="006504A8">
        <w:rPr>
          <w:sz w:val="20"/>
        </w:rPr>
        <w:t>Note: Results report poverty rates descriptives, with signif</w:t>
      </w:r>
      <w:r>
        <w:rPr>
          <w:sz w:val="20"/>
        </w:rPr>
        <w:t>ic</w:t>
      </w:r>
      <w:r w:rsidRPr="006504A8">
        <w:rPr>
          <w:sz w:val="20"/>
        </w:rPr>
        <w:t xml:space="preserve">ances reporting significant deviation from the average condition for the category on the likelihood of being in fuel poverty (&gt;20 per cent threshold) after controlling for </w:t>
      </w:r>
      <w:r>
        <w:rPr>
          <w:sz w:val="20"/>
        </w:rPr>
        <w:t xml:space="preserve">income deciles, </w:t>
      </w:r>
      <w:r w:rsidRPr="006504A8">
        <w:rPr>
          <w:sz w:val="20"/>
        </w:rPr>
        <w:t xml:space="preserve">region, short form household composition, </w:t>
      </w:r>
      <w:r>
        <w:rPr>
          <w:sz w:val="20"/>
        </w:rPr>
        <w:t>and tenure type</w:t>
      </w:r>
      <w:r w:rsidR="00E1611F">
        <w:rPr>
          <w:sz w:val="20"/>
        </w:rPr>
        <w:t xml:space="preserve"> in a logistic regression – see Annex Table 3</w:t>
      </w:r>
      <w:r w:rsidR="00E1611F" w:rsidRPr="006504A8">
        <w:rPr>
          <w:sz w:val="20"/>
        </w:rPr>
        <w:t>. “***” is p&lt;0.001, “**” is p&lt;0.01, “*” is p&lt;0.05, “.” is p&lt;0.10.</w:t>
      </w:r>
      <w:r w:rsidR="00E1611F">
        <w:rPr>
          <w:sz w:val="20"/>
        </w:rPr>
        <w:t xml:space="preserve"> </w:t>
      </w:r>
      <w:r w:rsidR="00E1611F" w:rsidRPr="006504A8">
        <w:rPr>
          <w:sz w:val="20"/>
        </w:rPr>
        <w:t xml:space="preserve">Data for 2025 are projections – see methodological annex. </w:t>
      </w:r>
      <w:r w:rsidR="00E1611F">
        <w:rPr>
          <w:sz w:val="20"/>
        </w:rPr>
        <w:t>Poverty rates ordered low to high, based on 2025 estimates.</w:t>
      </w:r>
    </w:p>
    <w:p w14:paraId="45975DA6" w14:textId="77777777" w:rsidR="00332FA3" w:rsidRDefault="00332FA3" w:rsidP="00332FA3">
      <w:pPr>
        <w:spacing w:after="0"/>
      </w:pPr>
      <w:r w:rsidRPr="006504A8">
        <w:rPr>
          <w:sz w:val="20"/>
        </w:rPr>
        <w:t>Source: Authors calculations of the LCFS for 2022-23.</w:t>
      </w:r>
    </w:p>
    <w:p w14:paraId="41496471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3D79D44B" w14:textId="336FFC68" w:rsidR="00332FA3" w:rsidRDefault="00B56BF7" w:rsidP="002530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7 shows again that </w:t>
      </w:r>
      <w:r w:rsidR="00EF19E5">
        <w:rPr>
          <w:rFonts w:ascii="Arial" w:hAnsi="Arial" w:cs="Arial"/>
          <w:sz w:val="24"/>
          <w:szCs w:val="24"/>
        </w:rPr>
        <w:t xml:space="preserve">categories of </w:t>
      </w:r>
      <w:r>
        <w:rPr>
          <w:rFonts w:ascii="Arial" w:hAnsi="Arial" w:cs="Arial"/>
          <w:sz w:val="24"/>
          <w:szCs w:val="24"/>
        </w:rPr>
        <w:t>fuel poverty risk</w:t>
      </w:r>
      <w:r w:rsidR="009D606A">
        <w:rPr>
          <w:rFonts w:ascii="Arial" w:hAnsi="Arial" w:cs="Arial"/>
          <w:sz w:val="24"/>
          <w:szCs w:val="24"/>
        </w:rPr>
        <w:t xml:space="preserve"> by council tax band</w:t>
      </w:r>
      <w:r>
        <w:rPr>
          <w:rFonts w:ascii="Arial" w:hAnsi="Arial" w:cs="Arial"/>
          <w:sz w:val="24"/>
          <w:szCs w:val="24"/>
        </w:rPr>
        <w:t xml:space="preserve"> are statistically unchanged since 2022/3, </w:t>
      </w:r>
      <w:r w:rsidR="009D606A">
        <w:rPr>
          <w:rFonts w:ascii="Arial" w:hAnsi="Arial" w:cs="Arial"/>
          <w:sz w:val="24"/>
          <w:szCs w:val="24"/>
        </w:rPr>
        <w:t>with less a percentage point difference separating</w:t>
      </w:r>
      <w:r w:rsidR="00057558">
        <w:rPr>
          <w:rFonts w:ascii="Arial" w:hAnsi="Arial" w:cs="Arial"/>
          <w:sz w:val="24"/>
          <w:szCs w:val="24"/>
        </w:rPr>
        <w:t xml:space="preserve"> each council tax band category. </w:t>
      </w:r>
      <w:r w:rsidR="00332FA3" w:rsidRPr="002E40EB">
        <w:rPr>
          <w:rFonts w:ascii="Arial" w:hAnsi="Arial" w:cs="Arial"/>
          <w:sz w:val="24"/>
          <w:szCs w:val="24"/>
        </w:rPr>
        <w:t xml:space="preserve">There is an expected relationship with Council Tax Bands – the lower the band the higher the fuel poverty rate (except for the highest bands with very small numbers). There is much less variation in fuel poverty gaps. </w:t>
      </w:r>
    </w:p>
    <w:p w14:paraId="05D216E5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67C4F3E7" w14:textId="1E2BF543" w:rsidR="00332FA3" w:rsidRPr="00332FA3" w:rsidRDefault="00332FA3" w:rsidP="00332FA3">
      <w:pPr>
        <w:pStyle w:val="Caption"/>
        <w:keepNext/>
        <w:spacing w:after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Figure 7</w:t>
      </w:r>
      <w:r w:rsidR="00D12A60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: </w:t>
      </w:r>
    </w:p>
    <w:p w14:paraId="09CDE546" w14:textId="77777777" w:rsidR="00332FA3" w:rsidRDefault="00332FA3" w:rsidP="00332FA3">
      <w:pPr>
        <w:spacing w:after="0"/>
      </w:pPr>
      <w:r>
        <w:rPr>
          <w:noProof/>
        </w:rPr>
        <w:drawing>
          <wp:inline distT="0" distB="0" distL="0" distR="0" wp14:anchorId="745328FE" wp14:editId="35588D9D">
            <wp:extent cx="5724525" cy="2349877"/>
            <wp:effectExtent l="0" t="0" r="0" b="0"/>
            <wp:docPr id="1862471985" name="Picture 4" descr="A graph of a number of people with blue and gray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71985" name="Picture 4" descr="A graph of a number of people with blue and gray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81" cy="23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167AD" w14:textId="39CA902C" w:rsidR="00332FA3" w:rsidRDefault="0017069E" w:rsidP="00332FA3">
      <w:pPr>
        <w:spacing w:after="0"/>
      </w:pPr>
      <w:r>
        <w:rPr>
          <w:sz w:val="20"/>
        </w:rPr>
        <w:t xml:space="preserve">Note: Poverty rates ordered low to high, based on 2025 estimates. </w:t>
      </w:r>
      <w:r w:rsidR="00332FA3" w:rsidRPr="006504A8">
        <w:rPr>
          <w:sz w:val="20"/>
        </w:rPr>
        <w:t>Source: Authors calculations of the LCFS for 2022-23.</w:t>
      </w:r>
    </w:p>
    <w:p w14:paraId="0A24B67F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4E8E664E" w14:textId="6A32E49D" w:rsidR="00F2279D" w:rsidRDefault="0009047A" w:rsidP="000904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Tenure type is the final factor considered in this </w:t>
      </w:r>
      <w:r w:rsidR="001F13F1">
        <w:rPr>
          <w:rFonts w:ascii="Arial" w:hAnsi="Arial" w:cs="Arial"/>
          <w:sz w:val="24"/>
          <w:szCs w:val="24"/>
        </w:rPr>
        <w:t>analysis</w:t>
      </w:r>
      <w:r>
        <w:rPr>
          <w:rFonts w:ascii="Arial" w:hAnsi="Arial" w:cs="Arial"/>
          <w:sz w:val="24"/>
          <w:szCs w:val="24"/>
        </w:rPr>
        <w:t xml:space="preserve">, and </w:t>
      </w:r>
      <w:r w:rsidR="00DD71A2">
        <w:rPr>
          <w:rFonts w:ascii="Arial" w:hAnsi="Arial" w:cs="Arial"/>
          <w:sz w:val="24"/>
          <w:szCs w:val="24"/>
        </w:rPr>
        <w:t xml:space="preserve">results </w:t>
      </w:r>
      <w:r w:rsidR="003F5AF1">
        <w:rPr>
          <w:rFonts w:ascii="Arial" w:hAnsi="Arial" w:cs="Arial"/>
          <w:sz w:val="24"/>
          <w:szCs w:val="24"/>
        </w:rPr>
        <w:t>show</w:t>
      </w:r>
      <w:r w:rsidR="00DD71A2">
        <w:rPr>
          <w:rFonts w:ascii="Arial" w:hAnsi="Arial" w:cs="Arial"/>
          <w:sz w:val="24"/>
          <w:szCs w:val="24"/>
        </w:rPr>
        <w:t xml:space="preserve"> that h</w:t>
      </w:r>
      <w:r w:rsidR="00193B89" w:rsidRPr="002E40EB">
        <w:rPr>
          <w:rFonts w:ascii="Arial" w:hAnsi="Arial" w:cs="Arial"/>
          <w:sz w:val="24"/>
          <w:szCs w:val="24"/>
        </w:rPr>
        <w:t>ousing association</w:t>
      </w:r>
      <w:r w:rsidR="0086037D" w:rsidRPr="002E40EB">
        <w:rPr>
          <w:rFonts w:ascii="Arial" w:hAnsi="Arial" w:cs="Arial"/>
          <w:sz w:val="24"/>
          <w:szCs w:val="24"/>
        </w:rPr>
        <w:t xml:space="preserve"> and local authority renting</w:t>
      </w:r>
      <w:r w:rsidR="00FB0623" w:rsidRPr="002E40EB">
        <w:rPr>
          <w:rFonts w:ascii="Arial" w:hAnsi="Arial" w:cs="Arial"/>
          <w:sz w:val="24"/>
          <w:szCs w:val="24"/>
        </w:rPr>
        <w:t xml:space="preserve"> </w:t>
      </w:r>
      <w:r w:rsidR="000577C8">
        <w:rPr>
          <w:rFonts w:ascii="Arial" w:hAnsi="Arial" w:cs="Arial"/>
          <w:sz w:val="24"/>
          <w:szCs w:val="24"/>
        </w:rPr>
        <w:t xml:space="preserve">are </w:t>
      </w:r>
      <w:r w:rsidR="00DD71A2">
        <w:rPr>
          <w:rFonts w:ascii="Arial" w:hAnsi="Arial" w:cs="Arial"/>
          <w:sz w:val="24"/>
          <w:szCs w:val="24"/>
        </w:rPr>
        <w:t xml:space="preserve">most closely </w:t>
      </w:r>
      <w:r w:rsidR="001F13F1">
        <w:rPr>
          <w:rFonts w:ascii="Arial" w:hAnsi="Arial" w:cs="Arial"/>
          <w:sz w:val="24"/>
          <w:szCs w:val="24"/>
        </w:rPr>
        <w:t>related</w:t>
      </w:r>
      <w:r w:rsidR="00DD71A2">
        <w:rPr>
          <w:rFonts w:ascii="Arial" w:hAnsi="Arial" w:cs="Arial"/>
          <w:sz w:val="24"/>
          <w:szCs w:val="24"/>
        </w:rPr>
        <w:t xml:space="preserve"> to higher rates of </w:t>
      </w:r>
      <w:r w:rsidR="000577C8">
        <w:rPr>
          <w:rFonts w:ascii="Arial" w:hAnsi="Arial" w:cs="Arial"/>
          <w:sz w:val="24"/>
          <w:szCs w:val="24"/>
        </w:rPr>
        <w:t>fuel poverty</w:t>
      </w:r>
      <w:r w:rsidR="00F2279D">
        <w:rPr>
          <w:rFonts w:ascii="Arial" w:hAnsi="Arial" w:cs="Arial"/>
          <w:sz w:val="24"/>
          <w:szCs w:val="24"/>
        </w:rPr>
        <w:t xml:space="preserve">. Rates in these housing groups </w:t>
      </w:r>
      <w:r w:rsidR="001F13F1">
        <w:rPr>
          <w:rFonts w:ascii="Arial" w:hAnsi="Arial" w:cs="Arial"/>
          <w:sz w:val="24"/>
          <w:szCs w:val="24"/>
        </w:rPr>
        <w:t>are</w:t>
      </w:r>
      <w:r w:rsidR="00F2279D">
        <w:rPr>
          <w:rFonts w:ascii="Arial" w:hAnsi="Arial" w:cs="Arial"/>
          <w:sz w:val="24"/>
          <w:szCs w:val="24"/>
        </w:rPr>
        <w:t xml:space="preserve"> as high as 1 in 4 or 1 on 3 households </w:t>
      </w:r>
      <w:r w:rsidR="001F13F1">
        <w:rPr>
          <w:rFonts w:ascii="Arial" w:hAnsi="Arial" w:cs="Arial"/>
          <w:sz w:val="24"/>
          <w:szCs w:val="24"/>
        </w:rPr>
        <w:t>effected</w:t>
      </w:r>
      <w:r w:rsidR="00F2279D">
        <w:rPr>
          <w:rFonts w:ascii="Arial" w:hAnsi="Arial" w:cs="Arial"/>
          <w:sz w:val="24"/>
          <w:szCs w:val="24"/>
        </w:rPr>
        <w:t xml:space="preserve"> by fuel poverty. </w:t>
      </w:r>
      <w:r w:rsidR="000577C8">
        <w:rPr>
          <w:rFonts w:ascii="Arial" w:hAnsi="Arial" w:cs="Arial"/>
          <w:sz w:val="24"/>
          <w:szCs w:val="24"/>
        </w:rPr>
        <w:t xml:space="preserve"> </w:t>
      </w:r>
    </w:p>
    <w:p w14:paraId="03B4E412" w14:textId="77777777" w:rsidR="00F2279D" w:rsidRDefault="00F2279D" w:rsidP="0009047A">
      <w:pPr>
        <w:pStyle w:val="NoSpacing"/>
        <w:rPr>
          <w:rFonts w:ascii="Arial" w:hAnsi="Arial" w:cs="Arial"/>
          <w:sz w:val="24"/>
          <w:szCs w:val="24"/>
        </w:rPr>
      </w:pPr>
    </w:p>
    <w:p w14:paraId="3BE7DE93" w14:textId="22319252" w:rsidR="00332FA3" w:rsidRDefault="00F2279D" w:rsidP="000904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looking instead as the </w:t>
      </w:r>
      <w:r w:rsidR="003C40A0">
        <w:rPr>
          <w:rFonts w:ascii="Arial" w:hAnsi="Arial" w:cs="Arial"/>
          <w:sz w:val="24"/>
          <w:szCs w:val="24"/>
        </w:rPr>
        <w:t xml:space="preserve">raw numbers of fuel poor – influenced by the overall rate of tenure type </w:t>
      </w:r>
      <w:r w:rsidR="000529C3">
        <w:rPr>
          <w:rFonts w:ascii="Arial" w:hAnsi="Arial" w:cs="Arial"/>
          <w:sz w:val="24"/>
          <w:szCs w:val="24"/>
        </w:rPr>
        <w:t>–</w:t>
      </w:r>
      <w:r w:rsidR="003C40A0">
        <w:rPr>
          <w:rFonts w:ascii="Arial" w:hAnsi="Arial" w:cs="Arial"/>
          <w:sz w:val="24"/>
          <w:szCs w:val="24"/>
        </w:rPr>
        <w:t xml:space="preserve"> </w:t>
      </w:r>
      <w:r w:rsidR="000529C3">
        <w:rPr>
          <w:rFonts w:ascii="Arial" w:hAnsi="Arial" w:cs="Arial"/>
          <w:sz w:val="24"/>
          <w:szCs w:val="24"/>
        </w:rPr>
        <w:t xml:space="preserve">results show that </w:t>
      </w:r>
      <w:r w:rsidR="002E6C44" w:rsidRPr="002E40EB">
        <w:rPr>
          <w:rFonts w:ascii="Arial" w:hAnsi="Arial" w:cs="Arial"/>
          <w:sz w:val="24"/>
          <w:szCs w:val="24"/>
        </w:rPr>
        <w:t xml:space="preserve">45% of the fuel poor </w:t>
      </w:r>
      <w:r w:rsidR="00741DB2">
        <w:rPr>
          <w:rFonts w:ascii="Arial" w:hAnsi="Arial" w:cs="Arial"/>
          <w:sz w:val="24"/>
          <w:szCs w:val="24"/>
        </w:rPr>
        <w:t xml:space="preserve">live in </w:t>
      </w:r>
      <w:r w:rsidR="002E6C44" w:rsidRPr="002E40EB">
        <w:rPr>
          <w:rFonts w:ascii="Arial" w:hAnsi="Arial" w:cs="Arial"/>
          <w:sz w:val="24"/>
          <w:szCs w:val="24"/>
        </w:rPr>
        <w:t>owner occupied dwellings</w:t>
      </w:r>
      <w:r w:rsidR="000529C3">
        <w:rPr>
          <w:rFonts w:ascii="Arial" w:hAnsi="Arial" w:cs="Arial"/>
          <w:sz w:val="24"/>
          <w:szCs w:val="24"/>
        </w:rPr>
        <w:t xml:space="preserve"> (see </w:t>
      </w:r>
      <w:r w:rsidR="000529C3">
        <w:rPr>
          <w:rFonts w:ascii="Arial" w:hAnsi="Arial" w:cs="Arial"/>
          <w:sz w:val="24"/>
          <w:szCs w:val="24"/>
        </w:rPr>
        <w:lastRenderedPageBreak/>
        <w:t>Annex Table 2)</w:t>
      </w:r>
      <w:r w:rsidR="002E6C44" w:rsidRPr="002E40EB">
        <w:rPr>
          <w:rFonts w:ascii="Arial" w:hAnsi="Arial" w:cs="Arial"/>
          <w:sz w:val="24"/>
          <w:szCs w:val="24"/>
        </w:rPr>
        <w:t>.</w:t>
      </w:r>
      <w:r w:rsidR="000529C3">
        <w:rPr>
          <w:rFonts w:ascii="Arial" w:hAnsi="Arial" w:cs="Arial"/>
          <w:sz w:val="24"/>
          <w:szCs w:val="24"/>
        </w:rPr>
        <w:t xml:space="preserve"> </w:t>
      </w:r>
      <w:r w:rsidR="00503DEE">
        <w:rPr>
          <w:rFonts w:ascii="Arial" w:hAnsi="Arial" w:cs="Arial"/>
          <w:sz w:val="24"/>
          <w:szCs w:val="24"/>
        </w:rPr>
        <w:t>This result</w:t>
      </w:r>
      <w:r w:rsidR="000529C3">
        <w:rPr>
          <w:rFonts w:ascii="Arial" w:hAnsi="Arial" w:cs="Arial"/>
          <w:sz w:val="24"/>
          <w:szCs w:val="24"/>
        </w:rPr>
        <w:t xml:space="preserve"> i</w:t>
      </w:r>
      <w:r w:rsidR="00ED1DBF">
        <w:rPr>
          <w:rFonts w:ascii="Arial" w:hAnsi="Arial" w:cs="Arial"/>
          <w:sz w:val="24"/>
          <w:szCs w:val="24"/>
        </w:rPr>
        <w:t xml:space="preserve">s due to the higher </w:t>
      </w:r>
      <w:r w:rsidR="00503DEE">
        <w:rPr>
          <w:rFonts w:ascii="Arial" w:hAnsi="Arial" w:cs="Arial"/>
          <w:sz w:val="24"/>
          <w:szCs w:val="24"/>
        </w:rPr>
        <w:t>rates</w:t>
      </w:r>
      <w:r w:rsidR="00ED1DBF">
        <w:rPr>
          <w:rFonts w:ascii="Arial" w:hAnsi="Arial" w:cs="Arial"/>
          <w:sz w:val="24"/>
          <w:szCs w:val="24"/>
        </w:rPr>
        <w:t xml:space="preserve"> of </w:t>
      </w:r>
      <w:r w:rsidR="002A2959">
        <w:rPr>
          <w:rFonts w:ascii="Arial" w:hAnsi="Arial" w:cs="Arial"/>
          <w:sz w:val="24"/>
          <w:szCs w:val="24"/>
        </w:rPr>
        <w:t>owner-occupied</w:t>
      </w:r>
      <w:r w:rsidR="00ED1DBF">
        <w:rPr>
          <w:rFonts w:ascii="Arial" w:hAnsi="Arial" w:cs="Arial"/>
          <w:sz w:val="24"/>
          <w:szCs w:val="24"/>
        </w:rPr>
        <w:t xml:space="preserve"> accommodation in </w:t>
      </w:r>
      <w:r w:rsidR="00503DEE">
        <w:rPr>
          <w:rFonts w:ascii="Arial" w:hAnsi="Arial" w:cs="Arial"/>
          <w:sz w:val="24"/>
          <w:szCs w:val="24"/>
        </w:rPr>
        <w:t>comparison</w:t>
      </w:r>
      <w:r w:rsidR="00ED1DBF">
        <w:rPr>
          <w:rFonts w:ascii="Arial" w:hAnsi="Arial" w:cs="Arial"/>
          <w:sz w:val="24"/>
          <w:szCs w:val="24"/>
        </w:rPr>
        <w:t xml:space="preserve"> to other tenure types. </w:t>
      </w:r>
    </w:p>
    <w:p w14:paraId="57AA7A1D" w14:textId="77777777" w:rsidR="003E3166" w:rsidRDefault="003E3166" w:rsidP="0009047A">
      <w:pPr>
        <w:pStyle w:val="NoSpacing"/>
        <w:rPr>
          <w:rFonts w:ascii="Arial" w:hAnsi="Arial" w:cs="Arial"/>
          <w:sz w:val="24"/>
          <w:szCs w:val="24"/>
        </w:rPr>
      </w:pPr>
    </w:p>
    <w:p w14:paraId="3461AC2B" w14:textId="559D9C40" w:rsidR="003E3166" w:rsidRDefault="003E3166" w:rsidP="000904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</w:t>
      </w:r>
      <w:r w:rsidR="00503DEE">
        <w:rPr>
          <w:rFonts w:ascii="Arial" w:hAnsi="Arial" w:cs="Arial"/>
          <w:sz w:val="24"/>
          <w:szCs w:val="24"/>
        </w:rPr>
        <w:t>controlling</w:t>
      </w:r>
      <w:r>
        <w:rPr>
          <w:rFonts w:ascii="Arial" w:hAnsi="Arial" w:cs="Arial"/>
          <w:sz w:val="24"/>
          <w:szCs w:val="24"/>
        </w:rPr>
        <w:t xml:space="preserve"> for income, employment status, household type and region, </w:t>
      </w:r>
      <w:r w:rsidR="00503DEE">
        <w:rPr>
          <w:rFonts w:ascii="Arial" w:hAnsi="Arial" w:cs="Arial"/>
          <w:sz w:val="24"/>
          <w:szCs w:val="24"/>
        </w:rPr>
        <w:t xml:space="preserve">private </w:t>
      </w:r>
      <w:r>
        <w:rPr>
          <w:rFonts w:ascii="Arial" w:hAnsi="Arial" w:cs="Arial"/>
          <w:sz w:val="24"/>
          <w:szCs w:val="24"/>
        </w:rPr>
        <w:t xml:space="preserve">renters are still more likely to have lower fuel poverty rate </w:t>
      </w:r>
      <w:r w:rsidR="00503DEE">
        <w:rPr>
          <w:rFonts w:ascii="Arial" w:hAnsi="Arial" w:cs="Arial"/>
          <w:sz w:val="24"/>
          <w:szCs w:val="24"/>
        </w:rPr>
        <w:t>than</w:t>
      </w:r>
      <w:r>
        <w:rPr>
          <w:rFonts w:ascii="Arial" w:hAnsi="Arial" w:cs="Arial"/>
          <w:sz w:val="24"/>
          <w:szCs w:val="24"/>
        </w:rPr>
        <w:t xml:space="preserve"> the average </w:t>
      </w:r>
      <w:r w:rsidR="00503DEE">
        <w:rPr>
          <w:rFonts w:ascii="Arial" w:hAnsi="Arial" w:cs="Arial"/>
          <w:sz w:val="24"/>
          <w:szCs w:val="24"/>
        </w:rPr>
        <w:t>household</w:t>
      </w:r>
      <w:r>
        <w:rPr>
          <w:rFonts w:ascii="Arial" w:hAnsi="Arial" w:cs="Arial"/>
          <w:sz w:val="24"/>
          <w:szCs w:val="24"/>
        </w:rPr>
        <w:t xml:space="preserve">, and </w:t>
      </w:r>
      <w:r w:rsidR="00F01D44">
        <w:rPr>
          <w:rFonts w:ascii="Arial" w:hAnsi="Arial" w:cs="Arial"/>
          <w:sz w:val="24"/>
          <w:szCs w:val="24"/>
        </w:rPr>
        <w:t xml:space="preserve">housing </w:t>
      </w:r>
      <w:r w:rsidR="00503DEE">
        <w:rPr>
          <w:rFonts w:ascii="Arial" w:hAnsi="Arial" w:cs="Arial"/>
          <w:sz w:val="24"/>
          <w:szCs w:val="24"/>
        </w:rPr>
        <w:t>association</w:t>
      </w:r>
      <w:r w:rsidR="00F01D44">
        <w:rPr>
          <w:rFonts w:ascii="Arial" w:hAnsi="Arial" w:cs="Arial"/>
          <w:sz w:val="24"/>
          <w:szCs w:val="24"/>
        </w:rPr>
        <w:t xml:space="preserve"> renters </w:t>
      </w:r>
      <w:r w:rsidR="003F5AF1">
        <w:rPr>
          <w:rFonts w:ascii="Arial" w:hAnsi="Arial" w:cs="Arial"/>
          <w:sz w:val="24"/>
          <w:szCs w:val="24"/>
        </w:rPr>
        <w:t>are more</w:t>
      </w:r>
      <w:r w:rsidR="00F01D44">
        <w:rPr>
          <w:rFonts w:ascii="Arial" w:hAnsi="Arial" w:cs="Arial"/>
          <w:sz w:val="24"/>
          <w:szCs w:val="24"/>
        </w:rPr>
        <w:t xml:space="preserve"> likely to have higher fuel poverty rates </w:t>
      </w:r>
      <w:r w:rsidR="004C262B">
        <w:rPr>
          <w:rFonts w:ascii="Arial" w:hAnsi="Arial" w:cs="Arial"/>
          <w:sz w:val="24"/>
          <w:szCs w:val="24"/>
        </w:rPr>
        <w:t xml:space="preserve">regardless of these other conditions. </w:t>
      </w:r>
    </w:p>
    <w:p w14:paraId="7B32A8B0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p w14:paraId="548AADC2" w14:textId="3D795C23" w:rsidR="00332FA3" w:rsidRPr="00332FA3" w:rsidRDefault="00332FA3" w:rsidP="00332FA3">
      <w:pPr>
        <w:pStyle w:val="Caption"/>
        <w:keepNext/>
        <w:spacing w:after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332FA3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Figure 8</w:t>
      </w:r>
      <w:r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: After controlling for other factors, housing association tenants are more likely to experience fuel poverty than other tenure types</w:t>
      </w:r>
    </w:p>
    <w:p w14:paraId="6738C550" w14:textId="77777777" w:rsidR="00332FA3" w:rsidRDefault="00332FA3" w:rsidP="00332FA3">
      <w:pPr>
        <w:spacing w:after="0"/>
      </w:pPr>
      <w:r>
        <w:rPr>
          <w:noProof/>
        </w:rPr>
        <w:drawing>
          <wp:inline distT="0" distB="0" distL="0" distR="0" wp14:anchorId="22335E2F" wp14:editId="27B0FCD4">
            <wp:extent cx="5983605" cy="2461977"/>
            <wp:effectExtent l="0" t="0" r="0" b="0"/>
            <wp:docPr id="15529218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76" cy="246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6861A" w14:textId="312166FF" w:rsidR="00332FA3" w:rsidRPr="006504A8" w:rsidRDefault="00332FA3" w:rsidP="00332FA3">
      <w:pPr>
        <w:spacing w:after="120"/>
        <w:rPr>
          <w:sz w:val="20"/>
        </w:rPr>
      </w:pPr>
      <w:r w:rsidRPr="006504A8">
        <w:rPr>
          <w:sz w:val="20"/>
        </w:rPr>
        <w:t>Note: Results report poverty rates descriptives, with signif</w:t>
      </w:r>
      <w:r w:rsidR="00C0145A">
        <w:rPr>
          <w:sz w:val="20"/>
        </w:rPr>
        <w:t>ic</w:t>
      </w:r>
      <w:r w:rsidRPr="006504A8">
        <w:rPr>
          <w:sz w:val="20"/>
        </w:rPr>
        <w:t xml:space="preserve">ances reporting significant deviation from the average condition for the category on the likelihood of being in fuel poverty (&gt;20 per cent threshold) after controlling for </w:t>
      </w:r>
      <w:r w:rsidR="00C0145A">
        <w:rPr>
          <w:sz w:val="20"/>
        </w:rPr>
        <w:t>income</w:t>
      </w:r>
      <w:r>
        <w:rPr>
          <w:sz w:val="20"/>
        </w:rPr>
        <w:t xml:space="preserve"> decile, </w:t>
      </w:r>
      <w:r w:rsidRPr="006504A8">
        <w:rPr>
          <w:sz w:val="20"/>
        </w:rPr>
        <w:t xml:space="preserve">region, short form household </w:t>
      </w:r>
      <w:r w:rsidR="00C0145A" w:rsidRPr="006504A8">
        <w:rPr>
          <w:sz w:val="20"/>
        </w:rPr>
        <w:t>composition</w:t>
      </w:r>
      <w:r w:rsidRPr="006504A8">
        <w:rPr>
          <w:sz w:val="20"/>
        </w:rPr>
        <w:t xml:space="preserve">, and </w:t>
      </w:r>
      <w:r w:rsidR="00C0145A" w:rsidRPr="006504A8">
        <w:rPr>
          <w:sz w:val="20"/>
        </w:rPr>
        <w:t>employment</w:t>
      </w:r>
      <w:r w:rsidRPr="006504A8">
        <w:rPr>
          <w:sz w:val="20"/>
        </w:rPr>
        <w:t xml:space="preserve"> status</w:t>
      </w:r>
      <w:r w:rsidR="00773BD9">
        <w:rPr>
          <w:sz w:val="20"/>
        </w:rPr>
        <w:t xml:space="preserve"> in a logistic regression – see Annex Table 3</w:t>
      </w:r>
      <w:r w:rsidRPr="006504A8">
        <w:rPr>
          <w:sz w:val="20"/>
        </w:rPr>
        <w:t>. “***” is p&lt;0.001, “**” is p&lt;0.01, “*” is p&lt;0.05, “.” is p&lt;0.10.</w:t>
      </w:r>
      <w:r w:rsidR="0017069E">
        <w:rPr>
          <w:sz w:val="20"/>
        </w:rPr>
        <w:t xml:space="preserve"> </w:t>
      </w:r>
      <w:r w:rsidR="00773BD9" w:rsidRPr="006504A8">
        <w:rPr>
          <w:sz w:val="20"/>
        </w:rPr>
        <w:t xml:space="preserve">Data for 2025 are projections – see methodological annex. </w:t>
      </w:r>
      <w:r w:rsidR="0017069E">
        <w:rPr>
          <w:sz w:val="20"/>
        </w:rPr>
        <w:t xml:space="preserve">Poverty rates ordered low to high, based on 2025 estimates. </w:t>
      </w:r>
    </w:p>
    <w:p w14:paraId="17834679" w14:textId="77777777" w:rsidR="00332FA3" w:rsidRDefault="00332FA3" w:rsidP="00332FA3">
      <w:pPr>
        <w:spacing w:after="0"/>
      </w:pPr>
      <w:r w:rsidRPr="006504A8">
        <w:rPr>
          <w:sz w:val="20"/>
        </w:rPr>
        <w:t>Source: Authors calculations of the LCFS for 2022-23.</w:t>
      </w:r>
    </w:p>
    <w:p w14:paraId="48572B72" w14:textId="77777777" w:rsidR="00332FA3" w:rsidRDefault="00332FA3" w:rsidP="00332FA3">
      <w:pPr>
        <w:pStyle w:val="NoSpacing"/>
        <w:rPr>
          <w:rFonts w:ascii="Arial" w:hAnsi="Arial" w:cs="Arial"/>
          <w:sz w:val="24"/>
          <w:szCs w:val="24"/>
        </w:rPr>
      </w:pPr>
    </w:p>
    <w:bookmarkEnd w:id="1"/>
    <w:p w14:paraId="5FA30843" w14:textId="77777777" w:rsidR="00211D84" w:rsidRPr="002E40EB" w:rsidRDefault="00211D84" w:rsidP="009277B1">
      <w:pPr>
        <w:pStyle w:val="NoSpacing"/>
        <w:rPr>
          <w:rFonts w:ascii="Arial" w:hAnsi="Arial" w:cs="Arial"/>
          <w:b/>
          <w:sz w:val="24"/>
          <w:szCs w:val="24"/>
        </w:rPr>
        <w:sectPr w:rsidR="00211D84" w:rsidRPr="002E40EB" w:rsidSect="007E3E28">
          <w:footerReference w:type="default" r:id="rId16"/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14:paraId="048A380D" w14:textId="77777777" w:rsidR="005E3876" w:rsidRPr="002E40EB" w:rsidRDefault="005E3876" w:rsidP="009277B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10CEE2" w14:textId="31248433" w:rsidR="005E3876" w:rsidRPr="002E40EB" w:rsidRDefault="00781784" w:rsidP="009277B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Annex </w:t>
      </w:r>
      <w:r w:rsidR="005E3876" w:rsidRPr="002E40EB">
        <w:rPr>
          <w:rFonts w:ascii="Arial" w:hAnsi="Arial" w:cs="Arial"/>
          <w:b/>
          <w:sz w:val="24"/>
          <w:szCs w:val="24"/>
        </w:rPr>
        <w:t xml:space="preserve">Table 1: Fuel </w:t>
      </w:r>
      <w:r w:rsidR="005C68FF">
        <w:rPr>
          <w:rFonts w:ascii="Arial" w:hAnsi="Arial" w:cs="Arial"/>
          <w:b/>
          <w:sz w:val="24"/>
          <w:szCs w:val="24"/>
        </w:rPr>
        <w:t>stress</w:t>
      </w:r>
      <w:r w:rsidR="00CB753E" w:rsidRPr="002E40EB">
        <w:rPr>
          <w:rFonts w:ascii="Arial" w:hAnsi="Arial" w:cs="Arial"/>
          <w:b/>
          <w:sz w:val="24"/>
          <w:szCs w:val="24"/>
        </w:rPr>
        <w:t xml:space="preserve"> </w:t>
      </w:r>
      <w:r w:rsidR="00EC5C1A" w:rsidRPr="002E40EB">
        <w:rPr>
          <w:rFonts w:ascii="Arial" w:hAnsi="Arial" w:cs="Arial"/>
          <w:b/>
          <w:sz w:val="24"/>
          <w:szCs w:val="24"/>
        </w:rPr>
        <w:t>number</w:t>
      </w:r>
      <w:r w:rsidR="00F732A1" w:rsidRPr="002E40EB">
        <w:rPr>
          <w:rFonts w:ascii="Arial" w:hAnsi="Arial" w:cs="Arial"/>
          <w:b/>
          <w:sz w:val="24"/>
          <w:szCs w:val="24"/>
        </w:rPr>
        <w:t xml:space="preserve"> </w:t>
      </w:r>
      <w:r w:rsidR="002A1A50" w:rsidRPr="002E40EB">
        <w:rPr>
          <w:rFonts w:ascii="Arial" w:hAnsi="Arial" w:cs="Arial"/>
          <w:b/>
          <w:sz w:val="24"/>
          <w:szCs w:val="24"/>
        </w:rPr>
        <w:t xml:space="preserve">and % </w:t>
      </w:r>
      <w:r w:rsidR="00F732A1" w:rsidRPr="002E40EB">
        <w:rPr>
          <w:rFonts w:ascii="Arial" w:hAnsi="Arial" w:cs="Arial"/>
          <w:b/>
          <w:sz w:val="24"/>
          <w:szCs w:val="24"/>
        </w:rPr>
        <w:t>of</w:t>
      </w:r>
      <w:r w:rsidR="002A1A50" w:rsidRPr="002E40EB">
        <w:rPr>
          <w:rFonts w:ascii="Arial" w:hAnsi="Arial" w:cs="Arial"/>
          <w:b/>
          <w:sz w:val="24"/>
          <w:szCs w:val="24"/>
        </w:rPr>
        <w:t xml:space="preserve"> households</w:t>
      </w:r>
      <w:r w:rsidR="00EC5C1A" w:rsidRPr="002E40EB">
        <w:rPr>
          <w:rFonts w:ascii="Arial" w:hAnsi="Arial" w:cs="Arial"/>
          <w:b/>
          <w:sz w:val="24"/>
          <w:szCs w:val="24"/>
        </w:rPr>
        <w:t xml:space="preserve">, rates and gaps </w:t>
      </w:r>
      <w:r w:rsidR="00473DD2" w:rsidRPr="002E40EB">
        <w:rPr>
          <w:rFonts w:ascii="Arial" w:hAnsi="Arial" w:cs="Arial"/>
          <w:b/>
          <w:sz w:val="24"/>
          <w:szCs w:val="24"/>
        </w:rPr>
        <w:t xml:space="preserve"> </w:t>
      </w:r>
      <w:r w:rsidR="00A66637" w:rsidRPr="002E40EB">
        <w:rPr>
          <w:rFonts w:ascii="Arial" w:hAnsi="Arial" w:cs="Arial"/>
          <w:b/>
          <w:sz w:val="24"/>
          <w:szCs w:val="24"/>
        </w:rPr>
        <w:t>a</w:t>
      </w:r>
      <w:r w:rsidR="00473DD2" w:rsidRPr="002E40EB">
        <w:rPr>
          <w:rFonts w:ascii="Arial" w:hAnsi="Arial" w:cs="Arial"/>
          <w:b/>
          <w:sz w:val="24"/>
          <w:szCs w:val="24"/>
        </w:rPr>
        <w:t>t the &gt;10% threshold</w:t>
      </w:r>
      <w:r w:rsidR="00EC5C1A" w:rsidRPr="002E40EB">
        <w:rPr>
          <w:rFonts w:ascii="Arial" w:hAnsi="Arial" w:cs="Arial"/>
          <w:b/>
          <w:sz w:val="24"/>
          <w:szCs w:val="24"/>
        </w:rPr>
        <w:t xml:space="preserve"> in 2022/3 and </w:t>
      </w:r>
      <w:r w:rsidR="00CB753E" w:rsidRPr="002E40EB">
        <w:rPr>
          <w:rFonts w:ascii="Arial" w:hAnsi="Arial" w:cs="Arial"/>
          <w:b/>
          <w:sz w:val="24"/>
          <w:szCs w:val="24"/>
        </w:rPr>
        <w:t xml:space="preserve">estimates for </w:t>
      </w:r>
      <w:r w:rsidR="00EC5C1A" w:rsidRPr="002E40EB">
        <w:rPr>
          <w:rFonts w:ascii="Arial" w:hAnsi="Arial" w:cs="Arial"/>
          <w:b/>
          <w:sz w:val="24"/>
          <w:szCs w:val="24"/>
        </w:rPr>
        <w:t xml:space="preserve">January </w:t>
      </w:r>
      <w:r w:rsidR="00CB753E" w:rsidRPr="002E40EB">
        <w:rPr>
          <w:rFonts w:ascii="Arial" w:hAnsi="Arial" w:cs="Arial"/>
          <w:b/>
          <w:sz w:val="24"/>
          <w:szCs w:val="24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1177"/>
        <w:gridCol w:w="915"/>
        <w:gridCol w:w="905"/>
        <w:gridCol w:w="1085"/>
        <w:gridCol w:w="1303"/>
        <w:gridCol w:w="1316"/>
        <w:gridCol w:w="1013"/>
        <w:gridCol w:w="841"/>
        <w:gridCol w:w="773"/>
        <w:gridCol w:w="841"/>
      </w:tblGrid>
      <w:tr w:rsidR="00D223CA" w:rsidRPr="00BF4C4E" w14:paraId="5518A006" w14:textId="77777777" w:rsidTr="0055717F">
        <w:trPr>
          <w:trHeight w:val="20"/>
          <w:tblHeader/>
        </w:trPr>
        <w:tc>
          <w:tcPr>
            <w:tcW w:w="0" w:type="auto"/>
            <w:noWrap/>
            <w:hideMark/>
          </w:tcPr>
          <w:p w14:paraId="6BB7CECD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92" w:type="dxa"/>
            <w:gridSpan w:val="2"/>
            <w:noWrap/>
            <w:hideMark/>
          </w:tcPr>
          <w:p w14:paraId="05856E4F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2022/23</w:t>
            </w:r>
          </w:p>
        </w:tc>
        <w:tc>
          <w:tcPr>
            <w:tcW w:w="1990" w:type="dxa"/>
            <w:gridSpan w:val="2"/>
            <w:noWrap/>
            <w:hideMark/>
          </w:tcPr>
          <w:p w14:paraId="6AE58C76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2025</w:t>
            </w:r>
          </w:p>
        </w:tc>
        <w:tc>
          <w:tcPr>
            <w:tcW w:w="1303" w:type="dxa"/>
            <w:noWrap/>
            <w:hideMark/>
          </w:tcPr>
          <w:p w14:paraId="034A7AD0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2022/23</w:t>
            </w:r>
          </w:p>
        </w:tc>
        <w:tc>
          <w:tcPr>
            <w:tcW w:w="1316" w:type="dxa"/>
            <w:noWrap/>
            <w:hideMark/>
          </w:tcPr>
          <w:p w14:paraId="5B563F6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2025</w:t>
            </w:r>
          </w:p>
        </w:tc>
        <w:tc>
          <w:tcPr>
            <w:tcW w:w="1854" w:type="dxa"/>
            <w:gridSpan w:val="2"/>
            <w:noWrap/>
            <w:hideMark/>
          </w:tcPr>
          <w:p w14:paraId="16CC057B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2022/23</w:t>
            </w:r>
          </w:p>
        </w:tc>
        <w:tc>
          <w:tcPr>
            <w:tcW w:w="0" w:type="auto"/>
            <w:gridSpan w:val="2"/>
            <w:noWrap/>
            <w:hideMark/>
          </w:tcPr>
          <w:p w14:paraId="2BFAF1BD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2025</w:t>
            </w:r>
          </w:p>
        </w:tc>
      </w:tr>
      <w:tr w:rsidR="00D223CA" w:rsidRPr="00BF4C4E" w14:paraId="4FA9AA66" w14:textId="77777777" w:rsidTr="0055717F">
        <w:trPr>
          <w:trHeight w:val="20"/>
          <w:tblHeader/>
        </w:trPr>
        <w:tc>
          <w:tcPr>
            <w:tcW w:w="0" w:type="auto"/>
            <w:noWrap/>
            <w:hideMark/>
          </w:tcPr>
          <w:p w14:paraId="2CBFE125" w14:textId="77777777" w:rsidR="00A141D5" w:rsidRPr="00BF4C4E" w:rsidRDefault="00A141D5" w:rsidP="00A141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key variables</w:t>
            </w:r>
          </w:p>
        </w:tc>
        <w:tc>
          <w:tcPr>
            <w:tcW w:w="1177" w:type="dxa"/>
            <w:noWrap/>
            <w:hideMark/>
          </w:tcPr>
          <w:p w14:paraId="582D0F8C" w14:textId="60CD79E4" w:rsidR="00A141D5" w:rsidRPr="00BF4C4E" w:rsidRDefault="00D223CA" w:rsidP="00A141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of </w:t>
            </w:r>
            <w:r w:rsidR="002A2959"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households</w:t>
            </w: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in fuel poverty</w:t>
            </w:r>
          </w:p>
        </w:tc>
        <w:tc>
          <w:tcPr>
            <w:tcW w:w="915" w:type="dxa"/>
            <w:noWrap/>
            <w:hideMark/>
          </w:tcPr>
          <w:p w14:paraId="53BA5629" w14:textId="77777777" w:rsidR="00A141D5" w:rsidRPr="00BF4C4E" w:rsidRDefault="00A141D5" w:rsidP="00A141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Fuel poor </w:t>
            </w:r>
          </w:p>
        </w:tc>
        <w:tc>
          <w:tcPr>
            <w:tcW w:w="905" w:type="dxa"/>
            <w:noWrap/>
            <w:hideMark/>
          </w:tcPr>
          <w:p w14:paraId="2E8836BE" w14:textId="77777777" w:rsidR="00A141D5" w:rsidRPr="00BF4C4E" w:rsidRDefault="00A141D5" w:rsidP="00A141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0" w:type="auto"/>
            <w:noWrap/>
            <w:hideMark/>
          </w:tcPr>
          <w:p w14:paraId="3AA8D451" w14:textId="77777777" w:rsidR="00A141D5" w:rsidRPr="00BF4C4E" w:rsidRDefault="00A141D5" w:rsidP="00A141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Fuel poor </w:t>
            </w:r>
          </w:p>
        </w:tc>
        <w:tc>
          <w:tcPr>
            <w:tcW w:w="1303" w:type="dxa"/>
            <w:noWrap/>
            <w:hideMark/>
          </w:tcPr>
          <w:p w14:paraId="79E5F13A" w14:textId="77777777" w:rsidR="00A141D5" w:rsidRPr="00BF4C4E" w:rsidRDefault="00A141D5" w:rsidP="00A141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Fuel poverty rate</w:t>
            </w:r>
          </w:p>
        </w:tc>
        <w:tc>
          <w:tcPr>
            <w:tcW w:w="1316" w:type="dxa"/>
            <w:noWrap/>
            <w:hideMark/>
          </w:tcPr>
          <w:p w14:paraId="05643B0E" w14:textId="77777777" w:rsidR="00A141D5" w:rsidRPr="00BF4C4E" w:rsidRDefault="00A141D5" w:rsidP="00A141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Fuel poverty rate</w:t>
            </w:r>
          </w:p>
        </w:tc>
        <w:tc>
          <w:tcPr>
            <w:tcW w:w="1854" w:type="dxa"/>
            <w:gridSpan w:val="2"/>
            <w:noWrap/>
            <w:hideMark/>
          </w:tcPr>
          <w:p w14:paraId="713A3AA9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Fuel poor gap</w:t>
            </w:r>
          </w:p>
        </w:tc>
        <w:tc>
          <w:tcPr>
            <w:tcW w:w="0" w:type="auto"/>
            <w:gridSpan w:val="2"/>
            <w:noWrap/>
            <w:hideMark/>
          </w:tcPr>
          <w:p w14:paraId="61E95689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Fuel poor gap</w:t>
            </w:r>
          </w:p>
        </w:tc>
      </w:tr>
      <w:tr w:rsidR="00D223CA" w:rsidRPr="00BF4C4E" w14:paraId="4F2EA818" w14:textId="77777777" w:rsidTr="0055717F">
        <w:trPr>
          <w:trHeight w:val="20"/>
          <w:tblHeader/>
        </w:trPr>
        <w:tc>
          <w:tcPr>
            <w:tcW w:w="0" w:type="auto"/>
            <w:noWrap/>
            <w:hideMark/>
          </w:tcPr>
          <w:p w14:paraId="3AFAE2B9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45D89A9D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(000)</w:t>
            </w:r>
          </w:p>
        </w:tc>
        <w:tc>
          <w:tcPr>
            <w:tcW w:w="915" w:type="dxa"/>
            <w:noWrap/>
            <w:hideMark/>
          </w:tcPr>
          <w:p w14:paraId="21B056D9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905" w:type="dxa"/>
            <w:noWrap/>
            <w:hideMark/>
          </w:tcPr>
          <w:p w14:paraId="05008632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(000)</w:t>
            </w:r>
          </w:p>
        </w:tc>
        <w:tc>
          <w:tcPr>
            <w:tcW w:w="0" w:type="auto"/>
            <w:noWrap/>
            <w:hideMark/>
          </w:tcPr>
          <w:p w14:paraId="0028EAF5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303" w:type="dxa"/>
            <w:noWrap/>
            <w:hideMark/>
          </w:tcPr>
          <w:p w14:paraId="3CCA74B9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316" w:type="dxa"/>
            <w:noWrap/>
            <w:hideMark/>
          </w:tcPr>
          <w:p w14:paraId="3DECAE22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013" w:type="dxa"/>
            <w:noWrap/>
            <w:hideMark/>
          </w:tcPr>
          <w:p w14:paraId="3BE116CF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4534CF7A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Median</w:t>
            </w:r>
          </w:p>
        </w:tc>
        <w:tc>
          <w:tcPr>
            <w:tcW w:w="773" w:type="dxa"/>
            <w:noWrap/>
            <w:hideMark/>
          </w:tcPr>
          <w:p w14:paraId="160851B7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841" w:type="dxa"/>
            <w:noWrap/>
            <w:hideMark/>
          </w:tcPr>
          <w:p w14:paraId="58339D84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Median</w:t>
            </w:r>
          </w:p>
        </w:tc>
      </w:tr>
      <w:tr w:rsidR="00D223CA" w:rsidRPr="00BF4C4E" w14:paraId="0BF87C91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4BF38413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income decile</w:t>
            </w:r>
          </w:p>
        </w:tc>
        <w:tc>
          <w:tcPr>
            <w:tcW w:w="1177" w:type="dxa"/>
            <w:noWrap/>
            <w:hideMark/>
          </w:tcPr>
          <w:p w14:paraId="581EA132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A1AE244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64672224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395BE4E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02B2A083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6" w:type="dxa"/>
            <w:noWrap/>
            <w:hideMark/>
          </w:tcPr>
          <w:p w14:paraId="19C483D4" w14:textId="77777777" w:rsidR="00A141D5" w:rsidRPr="00BF4C4E" w:rsidRDefault="00A141D5" w:rsidP="00A141D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13" w:type="dxa"/>
            <w:noWrap/>
            <w:hideMark/>
          </w:tcPr>
          <w:p w14:paraId="23022560" w14:textId="77777777" w:rsidR="00A141D5" w:rsidRPr="00BF4C4E" w:rsidRDefault="00A141D5" w:rsidP="00A141D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246097B0" w14:textId="77777777" w:rsidR="00A141D5" w:rsidRPr="00BF4C4E" w:rsidRDefault="00A141D5" w:rsidP="00A141D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73" w:type="dxa"/>
            <w:noWrap/>
            <w:hideMark/>
          </w:tcPr>
          <w:p w14:paraId="28A7FD2D" w14:textId="77777777" w:rsidR="00A141D5" w:rsidRPr="00BF4C4E" w:rsidRDefault="00A141D5" w:rsidP="00A141D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41" w:type="dxa"/>
            <w:noWrap/>
            <w:hideMark/>
          </w:tcPr>
          <w:p w14:paraId="4FA870B4" w14:textId="77777777" w:rsidR="00A141D5" w:rsidRPr="00BF4C4E" w:rsidRDefault="00A141D5" w:rsidP="00A141D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223CA" w:rsidRPr="00BF4C4E" w14:paraId="23772E9C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56CF6B9D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77" w:type="dxa"/>
            <w:noWrap/>
            <w:hideMark/>
          </w:tcPr>
          <w:p w14:paraId="6E6054E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3000.6</w:t>
            </w:r>
          </w:p>
        </w:tc>
        <w:tc>
          <w:tcPr>
            <w:tcW w:w="915" w:type="dxa"/>
            <w:noWrap/>
            <w:hideMark/>
          </w:tcPr>
          <w:p w14:paraId="00A701B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905" w:type="dxa"/>
            <w:noWrap/>
            <w:hideMark/>
          </w:tcPr>
          <w:p w14:paraId="21F94F1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2975.6</w:t>
            </w:r>
          </w:p>
        </w:tc>
        <w:tc>
          <w:tcPr>
            <w:tcW w:w="0" w:type="auto"/>
            <w:noWrap/>
            <w:hideMark/>
          </w:tcPr>
          <w:p w14:paraId="745C63D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1303" w:type="dxa"/>
            <w:noWrap/>
            <w:hideMark/>
          </w:tcPr>
          <w:p w14:paraId="176E70A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88.8</w:t>
            </w:r>
          </w:p>
        </w:tc>
        <w:tc>
          <w:tcPr>
            <w:tcW w:w="1316" w:type="dxa"/>
            <w:noWrap/>
            <w:hideMark/>
          </w:tcPr>
          <w:p w14:paraId="02E4948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88.1</w:t>
            </w:r>
          </w:p>
        </w:tc>
        <w:tc>
          <w:tcPr>
            <w:tcW w:w="1013" w:type="dxa"/>
            <w:noWrap/>
            <w:hideMark/>
          </w:tcPr>
          <w:p w14:paraId="1623D5E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28.5</w:t>
            </w:r>
          </w:p>
        </w:tc>
        <w:tc>
          <w:tcPr>
            <w:tcW w:w="0" w:type="auto"/>
            <w:noWrap/>
            <w:hideMark/>
          </w:tcPr>
          <w:p w14:paraId="77D2530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21.1</w:t>
            </w:r>
          </w:p>
        </w:tc>
        <w:tc>
          <w:tcPr>
            <w:tcW w:w="773" w:type="dxa"/>
            <w:noWrap/>
            <w:hideMark/>
          </w:tcPr>
          <w:p w14:paraId="5AC8A01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28.6</w:t>
            </w:r>
          </w:p>
        </w:tc>
        <w:tc>
          <w:tcPr>
            <w:tcW w:w="841" w:type="dxa"/>
            <w:noWrap/>
            <w:hideMark/>
          </w:tcPr>
          <w:p w14:paraId="5DB27D2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21.3</w:t>
            </w:r>
          </w:p>
        </w:tc>
      </w:tr>
      <w:tr w:rsidR="00D223CA" w:rsidRPr="00BF4C4E" w14:paraId="34E0237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2E43E56C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77" w:type="dxa"/>
            <w:noWrap/>
            <w:hideMark/>
          </w:tcPr>
          <w:p w14:paraId="7DC5366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2489.8</w:t>
            </w:r>
          </w:p>
        </w:tc>
        <w:tc>
          <w:tcPr>
            <w:tcW w:w="915" w:type="dxa"/>
            <w:noWrap/>
            <w:hideMark/>
          </w:tcPr>
          <w:p w14:paraId="11C4E2E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19.8</w:t>
            </w:r>
          </w:p>
        </w:tc>
        <w:tc>
          <w:tcPr>
            <w:tcW w:w="905" w:type="dxa"/>
            <w:noWrap/>
            <w:hideMark/>
          </w:tcPr>
          <w:p w14:paraId="4941E83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2444.1</w:t>
            </w:r>
          </w:p>
        </w:tc>
        <w:tc>
          <w:tcPr>
            <w:tcW w:w="0" w:type="auto"/>
            <w:noWrap/>
            <w:hideMark/>
          </w:tcPr>
          <w:p w14:paraId="0076BBE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20.2</w:t>
            </w:r>
          </w:p>
        </w:tc>
        <w:tc>
          <w:tcPr>
            <w:tcW w:w="1303" w:type="dxa"/>
            <w:noWrap/>
            <w:hideMark/>
          </w:tcPr>
          <w:p w14:paraId="66138E0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79.2</w:t>
            </w:r>
          </w:p>
        </w:tc>
        <w:tc>
          <w:tcPr>
            <w:tcW w:w="1316" w:type="dxa"/>
            <w:noWrap/>
            <w:hideMark/>
          </w:tcPr>
          <w:p w14:paraId="173C2E6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77.8</w:t>
            </w:r>
          </w:p>
        </w:tc>
        <w:tc>
          <w:tcPr>
            <w:tcW w:w="1013" w:type="dxa"/>
            <w:noWrap/>
            <w:hideMark/>
          </w:tcPr>
          <w:p w14:paraId="7ACC3F5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24.9</w:t>
            </w:r>
          </w:p>
        </w:tc>
        <w:tc>
          <w:tcPr>
            <w:tcW w:w="0" w:type="auto"/>
            <w:noWrap/>
            <w:hideMark/>
          </w:tcPr>
          <w:p w14:paraId="08A7C3D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</w:t>
            </w:r>
          </w:p>
        </w:tc>
        <w:tc>
          <w:tcPr>
            <w:tcW w:w="773" w:type="dxa"/>
            <w:noWrap/>
            <w:hideMark/>
          </w:tcPr>
          <w:p w14:paraId="27115FC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841" w:type="dxa"/>
            <w:noWrap/>
            <w:hideMark/>
          </w:tcPr>
          <w:p w14:paraId="6094507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17.4</w:t>
            </w:r>
          </w:p>
        </w:tc>
      </w:tr>
      <w:tr w:rsidR="00D223CA" w:rsidRPr="00BF4C4E" w14:paraId="6D0EFBF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15BDB9EB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77" w:type="dxa"/>
            <w:noWrap/>
            <w:hideMark/>
          </w:tcPr>
          <w:p w14:paraId="2A92217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1789.2</w:t>
            </w:r>
          </w:p>
        </w:tc>
        <w:tc>
          <w:tcPr>
            <w:tcW w:w="915" w:type="dxa"/>
            <w:noWrap/>
            <w:hideMark/>
          </w:tcPr>
          <w:p w14:paraId="431BD6A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</w:t>
            </w:r>
          </w:p>
        </w:tc>
        <w:tc>
          <w:tcPr>
            <w:tcW w:w="905" w:type="dxa"/>
            <w:noWrap/>
            <w:hideMark/>
          </w:tcPr>
          <w:p w14:paraId="1E06DCD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1772.6</w:t>
            </w:r>
          </w:p>
        </w:tc>
        <w:tc>
          <w:tcPr>
            <w:tcW w:w="0" w:type="auto"/>
            <w:noWrap/>
            <w:hideMark/>
          </w:tcPr>
          <w:p w14:paraId="0853474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14.6</w:t>
            </w:r>
          </w:p>
        </w:tc>
        <w:tc>
          <w:tcPr>
            <w:tcW w:w="1303" w:type="dxa"/>
            <w:noWrap/>
            <w:hideMark/>
          </w:tcPr>
          <w:p w14:paraId="7DE31FF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62.3</w:t>
            </w:r>
          </w:p>
        </w:tc>
        <w:tc>
          <w:tcPr>
            <w:tcW w:w="1316" w:type="dxa"/>
            <w:noWrap/>
            <w:hideMark/>
          </w:tcPr>
          <w:p w14:paraId="0D4E8CD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61.7</w:t>
            </w:r>
          </w:p>
        </w:tc>
        <w:tc>
          <w:tcPr>
            <w:tcW w:w="1013" w:type="dxa"/>
            <w:noWrap/>
            <w:hideMark/>
          </w:tcPr>
          <w:p w14:paraId="197DF7D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0" w:type="auto"/>
            <w:noWrap/>
            <w:hideMark/>
          </w:tcPr>
          <w:p w14:paraId="10999D8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73" w:type="dxa"/>
            <w:noWrap/>
            <w:hideMark/>
          </w:tcPr>
          <w:p w14:paraId="703CA37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21.7</w:t>
            </w:r>
          </w:p>
        </w:tc>
        <w:tc>
          <w:tcPr>
            <w:tcW w:w="841" w:type="dxa"/>
            <w:noWrap/>
            <w:hideMark/>
          </w:tcPr>
          <w:p w14:paraId="61574C1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14.8</w:t>
            </w:r>
          </w:p>
        </w:tc>
      </w:tr>
      <w:tr w:rsidR="00D223CA" w:rsidRPr="00BF4C4E" w14:paraId="4C9CAC13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2E575B1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77" w:type="dxa"/>
            <w:noWrap/>
            <w:hideMark/>
          </w:tcPr>
          <w:p w14:paraId="67E0F96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1515</w:t>
            </w:r>
          </w:p>
        </w:tc>
        <w:tc>
          <w:tcPr>
            <w:tcW w:w="915" w:type="dxa"/>
            <w:noWrap/>
            <w:hideMark/>
          </w:tcPr>
          <w:p w14:paraId="3CCD49E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05" w:type="dxa"/>
            <w:noWrap/>
            <w:hideMark/>
          </w:tcPr>
          <w:p w14:paraId="2A99CA9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1399.8</w:t>
            </w:r>
          </w:p>
        </w:tc>
        <w:tc>
          <w:tcPr>
            <w:tcW w:w="0" w:type="auto"/>
            <w:noWrap/>
            <w:hideMark/>
          </w:tcPr>
          <w:p w14:paraId="68FDACE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1303" w:type="dxa"/>
            <w:noWrap/>
            <w:hideMark/>
          </w:tcPr>
          <w:p w14:paraId="66DE7CD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51.4</w:t>
            </w:r>
          </w:p>
        </w:tc>
        <w:tc>
          <w:tcPr>
            <w:tcW w:w="1316" w:type="dxa"/>
            <w:noWrap/>
            <w:hideMark/>
          </w:tcPr>
          <w:p w14:paraId="0068586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1013" w:type="dxa"/>
            <w:noWrap/>
            <w:hideMark/>
          </w:tcPr>
          <w:p w14:paraId="3E13B9B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0" w:type="auto"/>
            <w:noWrap/>
            <w:hideMark/>
          </w:tcPr>
          <w:p w14:paraId="15C85C9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</w:t>
            </w:r>
          </w:p>
        </w:tc>
        <w:tc>
          <w:tcPr>
            <w:tcW w:w="773" w:type="dxa"/>
            <w:noWrap/>
            <w:hideMark/>
          </w:tcPr>
          <w:p w14:paraId="42954DD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19.8</w:t>
            </w:r>
          </w:p>
        </w:tc>
        <w:tc>
          <w:tcPr>
            <w:tcW w:w="841" w:type="dxa"/>
            <w:noWrap/>
            <w:hideMark/>
          </w:tcPr>
          <w:p w14:paraId="74D93A4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</w:t>
            </w:r>
          </w:p>
        </w:tc>
      </w:tr>
      <w:tr w:rsidR="00D223CA" w:rsidRPr="00BF4C4E" w14:paraId="547E1BA1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1823470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77" w:type="dxa"/>
            <w:noWrap/>
            <w:hideMark/>
          </w:tcPr>
          <w:p w14:paraId="6B2276D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1063.6</w:t>
            </w:r>
          </w:p>
        </w:tc>
        <w:tc>
          <w:tcPr>
            <w:tcW w:w="915" w:type="dxa"/>
            <w:noWrap/>
            <w:hideMark/>
          </w:tcPr>
          <w:p w14:paraId="2436F5B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8.4</w:t>
            </w:r>
          </w:p>
        </w:tc>
        <w:tc>
          <w:tcPr>
            <w:tcW w:w="905" w:type="dxa"/>
            <w:noWrap/>
            <w:hideMark/>
          </w:tcPr>
          <w:p w14:paraId="6B7E64C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1013.4</w:t>
            </w:r>
          </w:p>
        </w:tc>
        <w:tc>
          <w:tcPr>
            <w:tcW w:w="0" w:type="auto"/>
            <w:noWrap/>
            <w:hideMark/>
          </w:tcPr>
          <w:p w14:paraId="6AEDB9B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8.4</w:t>
            </w:r>
          </w:p>
        </w:tc>
        <w:tc>
          <w:tcPr>
            <w:tcW w:w="1303" w:type="dxa"/>
            <w:noWrap/>
            <w:hideMark/>
          </w:tcPr>
          <w:p w14:paraId="3CFB09A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37.1</w:t>
            </w:r>
          </w:p>
        </w:tc>
        <w:tc>
          <w:tcPr>
            <w:tcW w:w="1316" w:type="dxa"/>
            <w:noWrap/>
            <w:hideMark/>
          </w:tcPr>
          <w:p w14:paraId="05AF54D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35.6</w:t>
            </w:r>
          </w:p>
        </w:tc>
        <w:tc>
          <w:tcPr>
            <w:tcW w:w="1013" w:type="dxa"/>
            <w:noWrap/>
            <w:hideMark/>
          </w:tcPr>
          <w:p w14:paraId="3255B26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0" w:type="auto"/>
            <w:noWrap/>
            <w:hideMark/>
          </w:tcPr>
          <w:p w14:paraId="1CA95F5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  <w:tc>
          <w:tcPr>
            <w:tcW w:w="773" w:type="dxa"/>
            <w:noWrap/>
            <w:hideMark/>
          </w:tcPr>
          <w:p w14:paraId="28BBBBF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19.2</w:t>
            </w:r>
          </w:p>
        </w:tc>
        <w:tc>
          <w:tcPr>
            <w:tcW w:w="841" w:type="dxa"/>
            <w:noWrap/>
            <w:hideMark/>
          </w:tcPr>
          <w:p w14:paraId="4525C18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</w:tr>
      <w:tr w:rsidR="00D223CA" w:rsidRPr="00BF4C4E" w14:paraId="6710B652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4F6C330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77" w:type="dxa"/>
            <w:noWrap/>
            <w:hideMark/>
          </w:tcPr>
          <w:p w14:paraId="09AAB7C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947.5</w:t>
            </w:r>
          </w:p>
        </w:tc>
        <w:tc>
          <w:tcPr>
            <w:tcW w:w="915" w:type="dxa"/>
            <w:noWrap/>
            <w:hideMark/>
          </w:tcPr>
          <w:p w14:paraId="7559B8C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7.5</w:t>
            </w:r>
          </w:p>
        </w:tc>
        <w:tc>
          <w:tcPr>
            <w:tcW w:w="905" w:type="dxa"/>
            <w:noWrap/>
            <w:hideMark/>
          </w:tcPr>
          <w:p w14:paraId="0E13199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924</w:t>
            </w:r>
          </w:p>
        </w:tc>
        <w:tc>
          <w:tcPr>
            <w:tcW w:w="0" w:type="auto"/>
            <w:noWrap/>
            <w:hideMark/>
          </w:tcPr>
          <w:p w14:paraId="0DCA7C2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7.6</w:t>
            </w:r>
          </w:p>
        </w:tc>
        <w:tc>
          <w:tcPr>
            <w:tcW w:w="1303" w:type="dxa"/>
            <w:noWrap/>
            <w:hideMark/>
          </w:tcPr>
          <w:p w14:paraId="2C0A592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34.5</w:t>
            </w:r>
          </w:p>
        </w:tc>
        <w:tc>
          <w:tcPr>
            <w:tcW w:w="1316" w:type="dxa"/>
            <w:noWrap/>
            <w:hideMark/>
          </w:tcPr>
          <w:p w14:paraId="240C389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33.5</w:t>
            </w:r>
          </w:p>
        </w:tc>
        <w:tc>
          <w:tcPr>
            <w:tcW w:w="1013" w:type="dxa"/>
            <w:noWrap/>
            <w:hideMark/>
          </w:tcPr>
          <w:p w14:paraId="03E2DA0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21.7</w:t>
            </w:r>
          </w:p>
        </w:tc>
        <w:tc>
          <w:tcPr>
            <w:tcW w:w="0" w:type="auto"/>
            <w:noWrap/>
            <w:hideMark/>
          </w:tcPr>
          <w:p w14:paraId="30D2559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  <w:tc>
          <w:tcPr>
            <w:tcW w:w="773" w:type="dxa"/>
            <w:noWrap/>
            <w:hideMark/>
          </w:tcPr>
          <w:p w14:paraId="1029898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22.2</w:t>
            </w:r>
          </w:p>
        </w:tc>
        <w:tc>
          <w:tcPr>
            <w:tcW w:w="841" w:type="dxa"/>
            <w:noWrap/>
            <w:hideMark/>
          </w:tcPr>
          <w:p w14:paraId="248D981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</w:t>
            </w:r>
          </w:p>
        </w:tc>
      </w:tr>
      <w:tr w:rsidR="00D223CA" w:rsidRPr="00BF4C4E" w14:paraId="76107FED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72F4D52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177" w:type="dxa"/>
            <w:noWrap/>
            <w:hideMark/>
          </w:tcPr>
          <w:p w14:paraId="3CB5FAF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672.1</w:t>
            </w:r>
          </w:p>
        </w:tc>
        <w:tc>
          <w:tcPr>
            <w:tcW w:w="915" w:type="dxa"/>
            <w:noWrap/>
            <w:hideMark/>
          </w:tcPr>
          <w:p w14:paraId="2C6A783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</w:t>
            </w:r>
          </w:p>
        </w:tc>
        <w:tc>
          <w:tcPr>
            <w:tcW w:w="905" w:type="dxa"/>
            <w:noWrap/>
            <w:hideMark/>
          </w:tcPr>
          <w:p w14:paraId="0B932B6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581.1</w:t>
            </w:r>
          </w:p>
        </w:tc>
        <w:tc>
          <w:tcPr>
            <w:tcW w:w="0" w:type="auto"/>
            <w:noWrap/>
            <w:hideMark/>
          </w:tcPr>
          <w:p w14:paraId="27F3E7B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1303" w:type="dxa"/>
            <w:noWrap/>
            <w:hideMark/>
          </w:tcPr>
          <w:p w14:paraId="530CB87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1316" w:type="dxa"/>
            <w:noWrap/>
            <w:hideMark/>
          </w:tcPr>
          <w:p w14:paraId="2A0D591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1013" w:type="dxa"/>
            <w:noWrap/>
            <w:hideMark/>
          </w:tcPr>
          <w:p w14:paraId="5D1E9E9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</w:t>
            </w:r>
          </w:p>
        </w:tc>
        <w:tc>
          <w:tcPr>
            <w:tcW w:w="0" w:type="auto"/>
            <w:noWrap/>
            <w:hideMark/>
          </w:tcPr>
          <w:p w14:paraId="7AB7EB2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773" w:type="dxa"/>
            <w:noWrap/>
            <w:hideMark/>
          </w:tcPr>
          <w:p w14:paraId="7CC4927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19.2</w:t>
            </w:r>
          </w:p>
        </w:tc>
        <w:tc>
          <w:tcPr>
            <w:tcW w:w="841" w:type="dxa"/>
            <w:noWrap/>
            <w:hideMark/>
          </w:tcPr>
          <w:p w14:paraId="1C3345F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</w:t>
            </w:r>
          </w:p>
        </w:tc>
      </w:tr>
      <w:tr w:rsidR="00D223CA" w:rsidRPr="00BF4C4E" w14:paraId="17C9C9A6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208ADD1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77" w:type="dxa"/>
            <w:noWrap/>
            <w:hideMark/>
          </w:tcPr>
          <w:p w14:paraId="52011B8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530.2</w:t>
            </w:r>
          </w:p>
        </w:tc>
        <w:tc>
          <w:tcPr>
            <w:tcW w:w="915" w:type="dxa"/>
            <w:noWrap/>
            <w:hideMark/>
          </w:tcPr>
          <w:p w14:paraId="0F8A7DA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905" w:type="dxa"/>
            <w:noWrap/>
            <w:hideMark/>
          </w:tcPr>
          <w:p w14:paraId="4F029D6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486.8</w:t>
            </w:r>
          </w:p>
        </w:tc>
        <w:tc>
          <w:tcPr>
            <w:tcW w:w="0" w:type="auto"/>
            <w:noWrap/>
            <w:hideMark/>
          </w:tcPr>
          <w:p w14:paraId="325D1AF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303" w:type="dxa"/>
            <w:noWrap/>
            <w:hideMark/>
          </w:tcPr>
          <w:p w14:paraId="38E01F1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19.8</w:t>
            </w:r>
          </w:p>
        </w:tc>
        <w:tc>
          <w:tcPr>
            <w:tcW w:w="1316" w:type="dxa"/>
            <w:noWrap/>
            <w:hideMark/>
          </w:tcPr>
          <w:p w14:paraId="0915996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18.2</w:t>
            </w:r>
          </w:p>
        </w:tc>
        <w:tc>
          <w:tcPr>
            <w:tcW w:w="1013" w:type="dxa"/>
            <w:noWrap/>
            <w:hideMark/>
          </w:tcPr>
          <w:p w14:paraId="1CAA314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26.1</w:t>
            </w:r>
          </w:p>
        </w:tc>
        <w:tc>
          <w:tcPr>
            <w:tcW w:w="0" w:type="auto"/>
            <w:noWrap/>
            <w:hideMark/>
          </w:tcPr>
          <w:p w14:paraId="4830264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</w:t>
            </w:r>
          </w:p>
        </w:tc>
        <w:tc>
          <w:tcPr>
            <w:tcW w:w="773" w:type="dxa"/>
            <w:noWrap/>
            <w:hideMark/>
          </w:tcPr>
          <w:p w14:paraId="7A38B32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27.9</w:t>
            </w:r>
          </w:p>
        </w:tc>
        <w:tc>
          <w:tcPr>
            <w:tcW w:w="841" w:type="dxa"/>
            <w:noWrap/>
            <w:hideMark/>
          </w:tcPr>
          <w:p w14:paraId="6C3DBEB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</w:t>
            </w:r>
          </w:p>
        </w:tc>
      </w:tr>
      <w:tr w:rsidR="00D223CA" w:rsidRPr="00BF4C4E" w14:paraId="353B0B57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3499915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177" w:type="dxa"/>
            <w:noWrap/>
            <w:hideMark/>
          </w:tcPr>
          <w:p w14:paraId="298281D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407</w:t>
            </w:r>
          </w:p>
        </w:tc>
        <w:tc>
          <w:tcPr>
            <w:tcW w:w="915" w:type="dxa"/>
            <w:noWrap/>
            <w:hideMark/>
          </w:tcPr>
          <w:p w14:paraId="0EBAD17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905" w:type="dxa"/>
            <w:noWrap/>
            <w:hideMark/>
          </w:tcPr>
          <w:p w14:paraId="3002B85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373.6</w:t>
            </w:r>
          </w:p>
        </w:tc>
        <w:tc>
          <w:tcPr>
            <w:tcW w:w="0" w:type="auto"/>
            <w:noWrap/>
            <w:hideMark/>
          </w:tcPr>
          <w:p w14:paraId="7365DF7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</w:t>
            </w:r>
          </w:p>
        </w:tc>
        <w:tc>
          <w:tcPr>
            <w:tcW w:w="1303" w:type="dxa"/>
            <w:noWrap/>
            <w:hideMark/>
          </w:tcPr>
          <w:p w14:paraId="263A51C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1316" w:type="dxa"/>
            <w:noWrap/>
            <w:hideMark/>
          </w:tcPr>
          <w:p w14:paraId="2660748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1013" w:type="dxa"/>
            <w:noWrap/>
            <w:hideMark/>
          </w:tcPr>
          <w:p w14:paraId="5D63E13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BC5052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16.3</w:t>
            </w:r>
          </w:p>
        </w:tc>
        <w:tc>
          <w:tcPr>
            <w:tcW w:w="773" w:type="dxa"/>
            <w:noWrap/>
            <w:hideMark/>
          </w:tcPr>
          <w:p w14:paraId="306480A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30.2</w:t>
            </w:r>
          </w:p>
        </w:tc>
        <w:tc>
          <w:tcPr>
            <w:tcW w:w="841" w:type="dxa"/>
            <w:noWrap/>
            <w:hideMark/>
          </w:tcPr>
          <w:p w14:paraId="1AA7DFA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</w:t>
            </w:r>
          </w:p>
        </w:tc>
      </w:tr>
      <w:tr w:rsidR="00D223CA" w:rsidRPr="00BF4C4E" w14:paraId="661F5DD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52ED901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177" w:type="dxa"/>
            <w:noWrap/>
            <w:hideMark/>
          </w:tcPr>
          <w:p w14:paraId="6147D16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174.9</w:t>
            </w:r>
          </w:p>
        </w:tc>
        <w:tc>
          <w:tcPr>
            <w:tcW w:w="915" w:type="dxa"/>
            <w:noWrap/>
            <w:hideMark/>
          </w:tcPr>
          <w:p w14:paraId="1B38642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905" w:type="dxa"/>
            <w:noWrap/>
            <w:hideMark/>
          </w:tcPr>
          <w:p w14:paraId="5D673E4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144.2</w:t>
            </w:r>
          </w:p>
        </w:tc>
        <w:tc>
          <w:tcPr>
            <w:tcW w:w="0" w:type="auto"/>
            <w:noWrap/>
            <w:hideMark/>
          </w:tcPr>
          <w:p w14:paraId="5CCD0B4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1303" w:type="dxa"/>
            <w:noWrap/>
            <w:hideMark/>
          </w:tcPr>
          <w:p w14:paraId="4136625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5.8</w:t>
            </w:r>
          </w:p>
        </w:tc>
        <w:tc>
          <w:tcPr>
            <w:tcW w:w="1316" w:type="dxa"/>
            <w:noWrap/>
            <w:hideMark/>
          </w:tcPr>
          <w:p w14:paraId="5E6731E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1013" w:type="dxa"/>
            <w:noWrap/>
            <w:hideMark/>
          </w:tcPr>
          <w:p w14:paraId="37F2D27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26.4</w:t>
            </w:r>
          </w:p>
        </w:tc>
        <w:tc>
          <w:tcPr>
            <w:tcW w:w="0" w:type="auto"/>
            <w:noWrap/>
            <w:hideMark/>
          </w:tcPr>
          <w:p w14:paraId="7980439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8.67</w:t>
            </w:r>
          </w:p>
        </w:tc>
        <w:tc>
          <w:tcPr>
            <w:tcW w:w="773" w:type="dxa"/>
            <w:noWrap/>
            <w:hideMark/>
          </w:tcPr>
          <w:p w14:paraId="48ADF27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29.7</w:t>
            </w:r>
          </w:p>
        </w:tc>
        <w:tc>
          <w:tcPr>
            <w:tcW w:w="841" w:type="dxa"/>
            <w:noWrap/>
            <w:hideMark/>
          </w:tcPr>
          <w:p w14:paraId="543A92D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8.73</w:t>
            </w:r>
          </w:p>
        </w:tc>
      </w:tr>
      <w:tr w:rsidR="00D223CA" w:rsidRPr="00BF4C4E" w14:paraId="6A322E8A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5C604CAF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77" w:type="dxa"/>
            <w:noWrap/>
            <w:hideMark/>
          </w:tcPr>
          <w:p w14:paraId="756AC34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12590.1</w:t>
            </w:r>
          </w:p>
        </w:tc>
        <w:tc>
          <w:tcPr>
            <w:tcW w:w="915" w:type="dxa"/>
            <w:noWrap/>
            <w:hideMark/>
          </w:tcPr>
          <w:p w14:paraId="1BD204E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noWrap/>
            <w:hideMark/>
          </w:tcPr>
          <w:p w14:paraId="6313263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12115.2</w:t>
            </w:r>
          </w:p>
        </w:tc>
        <w:tc>
          <w:tcPr>
            <w:tcW w:w="0" w:type="auto"/>
            <w:noWrap/>
            <w:hideMark/>
          </w:tcPr>
          <w:p w14:paraId="70AD5E4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303" w:type="dxa"/>
            <w:noWrap/>
            <w:hideMark/>
          </w:tcPr>
          <w:p w14:paraId="460684E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325C4A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5AF4E9C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0B8F48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52898DD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214920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30674A9B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37437CE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Household type (brief)</w:t>
            </w:r>
          </w:p>
        </w:tc>
        <w:tc>
          <w:tcPr>
            <w:tcW w:w="1177" w:type="dxa"/>
            <w:noWrap/>
            <w:hideMark/>
          </w:tcPr>
          <w:p w14:paraId="1C8D8C0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D4229E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6E4F888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C362AB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45118FD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DC6F69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64EF5C3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DB0B35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0EDE08C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7025AE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73B8231F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5A5F6C0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single</w:t>
            </w:r>
          </w:p>
        </w:tc>
        <w:tc>
          <w:tcPr>
            <w:tcW w:w="1177" w:type="dxa"/>
            <w:noWrap/>
            <w:hideMark/>
          </w:tcPr>
          <w:p w14:paraId="4AF7E07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1763.8</w:t>
            </w:r>
          </w:p>
        </w:tc>
        <w:tc>
          <w:tcPr>
            <w:tcW w:w="915" w:type="dxa"/>
            <w:noWrap/>
            <w:hideMark/>
          </w:tcPr>
          <w:p w14:paraId="226A2DD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05" w:type="dxa"/>
            <w:noWrap/>
            <w:hideMark/>
          </w:tcPr>
          <w:p w14:paraId="5E6D3BF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1676.7</w:t>
            </w:r>
          </w:p>
        </w:tc>
        <w:tc>
          <w:tcPr>
            <w:tcW w:w="0" w:type="auto"/>
            <w:noWrap/>
            <w:hideMark/>
          </w:tcPr>
          <w:p w14:paraId="1FA248A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1303" w:type="dxa"/>
            <w:noWrap/>
            <w:hideMark/>
          </w:tcPr>
          <w:p w14:paraId="2FCAD57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1316" w:type="dxa"/>
            <w:noWrap/>
            <w:hideMark/>
          </w:tcPr>
          <w:p w14:paraId="136AF3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33.1</w:t>
            </w:r>
          </w:p>
        </w:tc>
        <w:tc>
          <w:tcPr>
            <w:tcW w:w="1013" w:type="dxa"/>
            <w:noWrap/>
            <w:hideMark/>
          </w:tcPr>
          <w:p w14:paraId="09007FE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0" w:type="auto"/>
            <w:noWrap/>
            <w:hideMark/>
          </w:tcPr>
          <w:p w14:paraId="7337D0B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</w:t>
            </w:r>
          </w:p>
        </w:tc>
        <w:tc>
          <w:tcPr>
            <w:tcW w:w="773" w:type="dxa"/>
            <w:noWrap/>
            <w:hideMark/>
          </w:tcPr>
          <w:p w14:paraId="3F4E790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841" w:type="dxa"/>
            <w:noWrap/>
            <w:hideMark/>
          </w:tcPr>
          <w:p w14:paraId="40861A9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14.7</w:t>
            </w:r>
          </w:p>
        </w:tc>
      </w:tr>
      <w:tr w:rsidR="00D223CA" w:rsidRPr="00BF4C4E" w14:paraId="351C18ED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A284289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</w:t>
            </w:r>
          </w:p>
        </w:tc>
        <w:tc>
          <w:tcPr>
            <w:tcW w:w="1177" w:type="dxa"/>
            <w:noWrap/>
            <w:hideMark/>
          </w:tcPr>
          <w:p w14:paraId="758D7FB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1896.9</w:t>
            </w:r>
          </w:p>
        </w:tc>
        <w:tc>
          <w:tcPr>
            <w:tcW w:w="915" w:type="dxa"/>
            <w:noWrap/>
            <w:hideMark/>
          </w:tcPr>
          <w:p w14:paraId="5069C31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</w:t>
            </w:r>
          </w:p>
        </w:tc>
        <w:tc>
          <w:tcPr>
            <w:tcW w:w="905" w:type="dxa"/>
            <w:noWrap/>
            <w:hideMark/>
          </w:tcPr>
          <w:p w14:paraId="046DE59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1822.3</w:t>
            </w:r>
          </w:p>
        </w:tc>
        <w:tc>
          <w:tcPr>
            <w:tcW w:w="0" w:type="auto"/>
            <w:noWrap/>
            <w:hideMark/>
          </w:tcPr>
          <w:p w14:paraId="070E312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303" w:type="dxa"/>
            <w:noWrap/>
            <w:hideMark/>
          </w:tcPr>
          <w:p w14:paraId="4680170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30.8</w:t>
            </w:r>
          </w:p>
        </w:tc>
        <w:tc>
          <w:tcPr>
            <w:tcW w:w="1316" w:type="dxa"/>
            <w:noWrap/>
            <w:hideMark/>
          </w:tcPr>
          <w:p w14:paraId="3AFF74E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29.6</w:t>
            </w:r>
          </w:p>
        </w:tc>
        <w:tc>
          <w:tcPr>
            <w:tcW w:w="1013" w:type="dxa"/>
            <w:noWrap/>
            <w:hideMark/>
          </w:tcPr>
          <w:p w14:paraId="75349F3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26.3</w:t>
            </w:r>
          </w:p>
        </w:tc>
        <w:tc>
          <w:tcPr>
            <w:tcW w:w="0" w:type="auto"/>
            <w:noWrap/>
            <w:hideMark/>
          </w:tcPr>
          <w:p w14:paraId="7ECC6D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</w:t>
            </w:r>
          </w:p>
        </w:tc>
        <w:tc>
          <w:tcPr>
            <w:tcW w:w="773" w:type="dxa"/>
            <w:noWrap/>
            <w:hideMark/>
          </w:tcPr>
          <w:p w14:paraId="0386192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</w:t>
            </w:r>
          </w:p>
        </w:tc>
        <w:tc>
          <w:tcPr>
            <w:tcW w:w="841" w:type="dxa"/>
            <w:noWrap/>
            <w:hideMark/>
          </w:tcPr>
          <w:p w14:paraId="4A803FC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17.1</w:t>
            </w:r>
          </w:p>
        </w:tc>
      </w:tr>
      <w:tr w:rsidR="00D223CA" w:rsidRPr="00BF4C4E" w14:paraId="31944842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11F50F32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household with kids</w:t>
            </w:r>
          </w:p>
        </w:tc>
        <w:tc>
          <w:tcPr>
            <w:tcW w:w="1177" w:type="dxa"/>
            <w:noWrap/>
            <w:hideMark/>
          </w:tcPr>
          <w:p w14:paraId="0154B58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4098.8</w:t>
            </w:r>
          </w:p>
        </w:tc>
        <w:tc>
          <w:tcPr>
            <w:tcW w:w="915" w:type="dxa"/>
            <w:noWrap/>
            <w:hideMark/>
          </w:tcPr>
          <w:p w14:paraId="29C3BC2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32.6</w:t>
            </w:r>
          </w:p>
        </w:tc>
        <w:tc>
          <w:tcPr>
            <w:tcW w:w="905" w:type="dxa"/>
            <w:noWrap/>
            <w:hideMark/>
          </w:tcPr>
          <w:p w14:paraId="5515F70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3967.8</w:t>
            </w:r>
          </w:p>
        </w:tc>
        <w:tc>
          <w:tcPr>
            <w:tcW w:w="0" w:type="auto"/>
            <w:noWrap/>
            <w:hideMark/>
          </w:tcPr>
          <w:p w14:paraId="46B31BE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32.8</w:t>
            </w:r>
          </w:p>
        </w:tc>
        <w:tc>
          <w:tcPr>
            <w:tcW w:w="1303" w:type="dxa"/>
            <w:noWrap/>
            <w:hideMark/>
          </w:tcPr>
          <w:p w14:paraId="60433AC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316" w:type="dxa"/>
            <w:noWrap/>
            <w:hideMark/>
          </w:tcPr>
          <w:p w14:paraId="0E338CF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1013" w:type="dxa"/>
            <w:noWrap/>
            <w:hideMark/>
          </w:tcPr>
          <w:p w14:paraId="6AB28B1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26.7</w:t>
            </w:r>
          </w:p>
        </w:tc>
        <w:tc>
          <w:tcPr>
            <w:tcW w:w="0" w:type="auto"/>
            <w:noWrap/>
            <w:hideMark/>
          </w:tcPr>
          <w:p w14:paraId="5E8E91C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20.6</w:t>
            </w:r>
          </w:p>
        </w:tc>
        <w:tc>
          <w:tcPr>
            <w:tcW w:w="773" w:type="dxa"/>
            <w:noWrap/>
            <w:hideMark/>
          </w:tcPr>
          <w:p w14:paraId="1E7C31E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26.9</w:t>
            </w:r>
          </w:p>
        </w:tc>
        <w:tc>
          <w:tcPr>
            <w:tcW w:w="841" w:type="dxa"/>
            <w:noWrap/>
            <w:hideMark/>
          </w:tcPr>
          <w:p w14:paraId="1D9328E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20.5</w:t>
            </w:r>
          </w:p>
        </w:tc>
      </w:tr>
      <w:tr w:rsidR="00D223CA" w:rsidRPr="00BF4C4E" w14:paraId="612FA11B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20A4E3DF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pensioners</w:t>
            </w:r>
          </w:p>
        </w:tc>
        <w:tc>
          <w:tcPr>
            <w:tcW w:w="1177" w:type="dxa"/>
            <w:noWrap/>
            <w:hideMark/>
          </w:tcPr>
          <w:p w14:paraId="70C697F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3290.4</w:t>
            </w:r>
          </w:p>
        </w:tc>
        <w:tc>
          <w:tcPr>
            <w:tcW w:w="915" w:type="dxa"/>
            <w:noWrap/>
            <w:hideMark/>
          </w:tcPr>
          <w:p w14:paraId="0DC089D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26.1</w:t>
            </w:r>
          </w:p>
        </w:tc>
        <w:tc>
          <w:tcPr>
            <w:tcW w:w="905" w:type="dxa"/>
            <w:noWrap/>
            <w:hideMark/>
          </w:tcPr>
          <w:p w14:paraId="2E73DB7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3160.2</w:t>
            </w:r>
          </w:p>
        </w:tc>
        <w:tc>
          <w:tcPr>
            <w:tcW w:w="0" w:type="auto"/>
            <w:noWrap/>
            <w:hideMark/>
          </w:tcPr>
          <w:p w14:paraId="2DB8059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26.1</w:t>
            </w:r>
          </w:p>
        </w:tc>
        <w:tc>
          <w:tcPr>
            <w:tcW w:w="1303" w:type="dxa"/>
            <w:noWrap/>
            <w:hideMark/>
          </w:tcPr>
          <w:p w14:paraId="07BBD1D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41.7</w:t>
            </w:r>
          </w:p>
        </w:tc>
        <w:tc>
          <w:tcPr>
            <w:tcW w:w="1316" w:type="dxa"/>
            <w:noWrap/>
            <w:hideMark/>
          </w:tcPr>
          <w:p w14:paraId="4B6D15D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013" w:type="dxa"/>
            <w:noWrap/>
            <w:hideMark/>
          </w:tcPr>
          <w:p w14:paraId="32EBCDE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B47910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</w:t>
            </w:r>
          </w:p>
        </w:tc>
        <w:tc>
          <w:tcPr>
            <w:tcW w:w="773" w:type="dxa"/>
            <w:noWrap/>
            <w:hideMark/>
          </w:tcPr>
          <w:p w14:paraId="23939F8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841" w:type="dxa"/>
            <w:noWrap/>
            <w:hideMark/>
          </w:tcPr>
          <w:p w14:paraId="715B935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13.3</w:t>
            </w:r>
          </w:p>
        </w:tc>
      </w:tr>
      <w:tr w:rsidR="00D223CA" w:rsidRPr="00BF4C4E" w14:paraId="7369B7E6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B446D6F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multi-unit household</w:t>
            </w:r>
          </w:p>
        </w:tc>
        <w:tc>
          <w:tcPr>
            <w:tcW w:w="1177" w:type="dxa"/>
            <w:noWrap/>
            <w:hideMark/>
          </w:tcPr>
          <w:p w14:paraId="0B27395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1540.2</w:t>
            </w:r>
          </w:p>
        </w:tc>
        <w:tc>
          <w:tcPr>
            <w:tcW w:w="915" w:type="dxa"/>
            <w:noWrap/>
            <w:hideMark/>
          </w:tcPr>
          <w:p w14:paraId="7AD01F9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905" w:type="dxa"/>
            <w:noWrap/>
            <w:hideMark/>
          </w:tcPr>
          <w:p w14:paraId="1D59B5C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1488.2</w:t>
            </w:r>
          </w:p>
        </w:tc>
        <w:tc>
          <w:tcPr>
            <w:tcW w:w="0" w:type="auto"/>
            <w:noWrap/>
            <w:hideMark/>
          </w:tcPr>
          <w:p w14:paraId="159F9B4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12.3</w:t>
            </w:r>
          </w:p>
        </w:tc>
        <w:tc>
          <w:tcPr>
            <w:tcW w:w="1303" w:type="dxa"/>
            <w:noWrap/>
            <w:hideMark/>
          </w:tcPr>
          <w:p w14:paraId="2715335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1316" w:type="dxa"/>
            <w:noWrap/>
            <w:hideMark/>
          </w:tcPr>
          <w:p w14:paraId="7360233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013" w:type="dxa"/>
            <w:noWrap/>
            <w:hideMark/>
          </w:tcPr>
          <w:p w14:paraId="4A33EA2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29.2</w:t>
            </w:r>
          </w:p>
        </w:tc>
        <w:tc>
          <w:tcPr>
            <w:tcW w:w="0" w:type="auto"/>
            <w:noWrap/>
            <w:hideMark/>
          </w:tcPr>
          <w:p w14:paraId="44AB50C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21.6</w:t>
            </w:r>
          </w:p>
        </w:tc>
        <w:tc>
          <w:tcPr>
            <w:tcW w:w="773" w:type="dxa"/>
            <w:noWrap/>
            <w:hideMark/>
          </w:tcPr>
          <w:p w14:paraId="7B45F3D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29.4</w:t>
            </w:r>
          </w:p>
        </w:tc>
        <w:tc>
          <w:tcPr>
            <w:tcW w:w="841" w:type="dxa"/>
            <w:noWrap/>
            <w:hideMark/>
          </w:tcPr>
          <w:p w14:paraId="45A8AFB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</w:tr>
      <w:tr w:rsidR="00D223CA" w:rsidRPr="00BF4C4E" w14:paraId="486C9BEA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9C0EA24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38E33D0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12590.1</w:t>
            </w:r>
          </w:p>
        </w:tc>
        <w:tc>
          <w:tcPr>
            <w:tcW w:w="915" w:type="dxa"/>
            <w:noWrap/>
            <w:hideMark/>
          </w:tcPr>
          <w:p w14:paraId="00A8CFC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noWrap/>
            <w:hideMark/>
          </w:tcPr>
          <w:p w14:paraId="6737821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12115.2</w:t>
            </w:r>
          </w:p>
        </w:tc>
        <w:tc>
          <w:tcPr>
            <w:tcW w:w="0" w:type="auto"/>
            <w:noWrap/>
            <w:hideMark/>
          </w:tcPr>
          <w:p w14:paraId="5785CDA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303" w:type="dxa"/>
            <w:noWrap/>
            <w:hideMark/>
          </w:tcPr>
          <w:p w14:paraId="432F27D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317D7A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44B8906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89D4B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7DB2013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0E47BC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3D5B48F5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27510E4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Household type </w:t>
            </w:r>
          </w:p>
        </w:tc>
        <w:tc>
          <w:tcPr>
            <w:tcW w:w="1177" w:type="dxa"/>
            <w:noWrap/>
            <w:hideMark/>
          </w:tcPr>
          <w:p w14:paraId="5015D9B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14D0D2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33FD7CD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A9F88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79B0190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3BCEE0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3205075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F8863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2A423A2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9BEF21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416C289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20AB398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single</w:t>
            </w:r>
          </w:p>
        </w:tc>
        <w:tc>
          <w:tcPr>
            <w:tcW w:w="1177" w:type="dxa"/>
            <w:noWrap/>
            <w:hideMark/>
          </w:tcPr>
          <w:p w14:paraId="1F98D1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1763.8</w:t>
            </w:r>
          </w:p>
        </w:tc>
        <w:tc>
          <w:tcPr>
            <w:tcW w:w="915" w:type="dxa"/>
            <w:noWrap/>
            <w:hideMark/>
          </w:tcPr>
          <w:p w14:paraId="449E321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05" w:type="dxa"/>
            <w:noWrap/>
            <w:hideMark/>
          </w:tcPr>
          <w:p w14:paraId="03F5A9A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1676.7</w:t>
            </w:r>
          </w:p>
        </w:tc>
        <w:tc>
          <w:tcPr>
            <w:tcW w:w="0" w:type="auto"/>
            <w:noWrap/>
            <w:hideMark/>
          </w:tcPr>
          <w:p w14:paraId="02793B3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1303" w:type="dxa"/>
            <w:noWrap/>
            <w:hideMark/>
          </w:tcPr>
          <w:p w14:paraId="7FE1698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1316" w:type="dxa"/>
            <w:noWrap/>
            <w:hideMark/>
          </w:tcPr>
          <w:p w14:paraId="059A0A8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33.1</w:t>
            </w:r>
          </w:p>
        </w:tc>
        <w:tc>
          <w:tcPr>
            <w:tcW w:w="1013" w:type="dxa"/>
            <w:noWrap/>
            <w:hideMark/>
          </w:tcPr>
          <w:p w14:paraId="0192CD8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0" w:type="auto"/>
            <w:noWrap/>
            <w:hideMark/>
          </w:tcPr>
          <w:p w14:paraId="77E2E6B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</w:t>
            </w:r>
          </w:p>
        </w:tc>
        <w:tc>
          <w:tcPr>
            <w:tcW w:w="773" w:type="dxa"/>
            <w:noWrap/>
            <w:hideMark/>
          </w:tcPr>
          <w:p w14:paraId="56B9E94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841" w:type="dxa"/>
            <w:noWrap/>
            <w:hideMark/>
          </w:tcPr>
          <w:p w14:paraId="353806D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14.7</w:t>
            </w:r>
          </w:p>
        </w:tc>
      </w:tr>
      <w:tr w:rsidR="00D223CA" w:rsidRPr="00BF4C4E" w14:paraId="6709F13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D5E4707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single with 1 child</w:t>
            </w:r>
          </w:p>
        </w:tc>
        <w:tc>
          <w:tcPr>
            <w:tcW w:w="1177" w:type="dxa"/>
            <w:noWrap/>
            <w:hideMark/>
          </w:tcPr>
          <w:p w14:paraId="54D7C26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408.6</w:t>
            </w:r>
          </w:p>
        </w:tc>
        <w:tc>
          <w:tcPr>
            <w:tcW w:w="915" w:type="dxa"/>
            <w:noWrap/>
            <w:hideMark/>
          </w:tcPr>
          <w:p w14:paraId="7449511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905" w:type="dxa"/>
            <w:noWrap/>
            <w:hideMark/>
          </w:tcPr>
          <w:p w14:paraId="3BB7D1B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408.6</w:t>
            </w:r>
          </w:p>
        </w:tc>
        <w:tc>
          <w:tcPr>
            <w:tcW w:w="0" w:type="auto"/>
            <w:noWrap/>
            <w:hideMark/>
          </w:tcPr>
          <w:p w14:paraId="15F6347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</w:t>
            </w:r>
          </w:p>
        </w:tc>
        <w:tc>
          <w:tcPr>
            <w:tcW w:w="1303" w:type="dxa"/>
            <w:noWrap/>
            <w:hideMark/>
          </w:tcPr>
          <w:p w14:paraId="2147E69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1316" w:type="dxa"/>
            <w:noWrap/>
            <w:hideMark/>
          </w:tcPr>
          <w:p w14:paraId="5E66FB0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1013" w:type="dxa"/>
            <w:noWrap/>
            <w:hideMark/>
          </w:tcPr>
          <w:p w14:paraId="2FB8841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20.9</w:t>
            </w:r>
          </w:p>
        </w:tc>
        <w:tc>
          <w:tcPr>
            <w:tcW w:w="0" w:type="auto"/>
            <w:noWrap/>
            <w:hideMark/>
          </w:tcPr>
          <w:p w14:paraId="54B07D0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14.5</w:t>
            </w:r>
          </w:p>
        </w:tc>
        <w:tc>
          <w:tcPr>
            <w:tcW w:w="773" w:type="dxa"/>
            <w:noWrap/>
            <w:hideMark/>
          </w:tcPr>
          <w:p w14:paraId="11B9A6D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20.4</w:t>
            </w:r>
          </w:p>
        </w:tc>
        <w:tc>
          <w:tcPr>
            <w:tcW w:w="841" w:type="dxa"/>
            <w:noWrap/>
            <w:hideMark/>
          </w:tcPr>
          <w:p w14:paraId="1A41BD5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13.6</w:t>
            </w:r>
          </w:p>
        </w:tc>
      </w:tr>
      <w:tr w:rsidR="00D223CA" w:rsidRPr="00BF4C4E" w14:paraId="13297756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377F526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single with 2 or more children</w:t>
            </w:r>
          </w:p>
        </w:tc>
        <w:tc>
          <w:tcPr>
            <w:tcW w:w="1177" w:type="dxa"/>
            <w:noWrap/>
            <w:hideMark/>
          </w:tcPr>
          <w:p w14:paraId="2C04535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556.9</w:t>
            </w:r>
          </w:p>
        </w:tc>
        <w:tc>
          <w:tcPr>
            <w:tcW w:w="915" w:type="dxa"/>
            <w:noWrap/>
            <w:hideMark/>
          </w:tcPr>
          <w:p w14:paraId="3CFD6A8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905" w:type="dxa"/>
            <w:noWrap/>
            <w:hideMark/>
          </w:tcPr>
          <w:p w14:paraId="60ED5D1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556.9</w:t>
            </w:r>
          </w:p>
        </w:tc>
        <w:tc>
          <w:tcPr>
            <w:tcW w:w="0" w:type="auto"/>
            <w:noWrap/>
            <w:hideMark/>
          </w:tcPr>
          <w:p w14:paraId="0D1837B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</w:t>
            </w:r>
          </w:p>
        </w:tc>
        <w:tc>
          <w:tcPr>
            <w:tcW w:w="1303" w:type="dxa"/>
            <w:noWrap/>
            <w:hideMark/>
          </w:tcPr>
          <w:p w14:paraId="751DEF1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78.1</w:t>
            </w:r>
          </w:p>
        </w:tc>
        <w:tc>
          <w:tcPr>
            <w:tcW w:w="1316" w:type="dxa"/>
            <w:noWrap/>
            <w:hideMark/>
          </w:tcPr>
          <w:p w14:paraId="186B665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78.1</w:t>
            </w:r>
          </w:p>
        </w:tc>
        <w:tc>
          <w:tcPr>
            <w:tcW w:w="1013" w:type="dxa"/>
            <w:noWrap/>
            <w:hideMark/>
          </w:tcPr>
          <w:p w14:paraId="6B419E4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31.4</w:t>
            </w:r>
          </w:p>
        </w:tc>
        <w:tc>
          <w:tcPr>
            <w:tcW w:w="0" w:type="auto"/>
            <w:noWrap/>
            <w:hideMark/>
          </w:tcPr>
          <w:p w14:paraId="4F61C3A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773" w:type="dxa"/>
            <w:noWrap/>
            <w:hideMark/>
          </w:tcPr>
          <w:p w14:paraId="749B26B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30.9</w:t>
            </w:r>
          </w:p>
        </w:tc>
        <w:tc>
          <w:tcPr>
            <w:tcW w:w="841" w:type="dxa"/>
            <w:noWrap/>
            <w:hideMark/>
          </w:tcPr>
          <w:p w14:paraId="7F2A41C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21.8</w:t>
            </w:r>
          </w:p>
        </w:tc>
      </w:tr>
      <w:tr w:rsidR="00D223CA" w:rsidRPr="00BF4C4E" w14:paraId="1A0A0EC0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8D3D936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</w:t>
            </w:r>
          </w:p>
        </w:tc>
        <w:tc>
          <w:tcPr>
            <w:tcW w:w="1177" w:type="dxa"/>
            <w:noWrap/>
            <w:hideMark/>
          </w:tcPr>
          <w:p w14:paraId="3240C49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1896.9</w:t>
            </w:r>
          </w:p>
        </w:tc>
        <w:tc>
          <w:tcPr>
            <w:tcW w:w="915" w:type="dxa"/>
            <w:noWrap/>
            <w:hideMark/>
          </w:tcPr>
          <w:p w14:paraId="79C26B6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</w:t>
            </w:r>
          </w:p>
        </w:tc>
        <w:tc>
          <w:tcPr>
            <w:tcW w:w="905" w:type="dxa"/>
            <w:noWrap/>
            <w:hideMark/>
          </w:tcPr>
          <w:p w14:paraId="329F687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1822.3</w:t>
            </w:r>
          </w:p>
        </w:tc>
        <w:tc>
          <w:tcPr>
            <w:tcW w:w="0" w:type="auto"/>
            <w:noWrap/>
            <w:hideMark/>
          </w:tcPr>
          <w:p w14:paraId="2877AED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303" w:type="dxa"/>
            <w:noWrap/>
            <w:hideMark/>
          </w:tcPr>
          <w:p w14:paraId="127A5EF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30.8</w:t>
            </w:r>
          </w:p>
        </w:tc>
        <w:tc>
          <w:tcPr>
            <w:tcW w:w="1316" w:type="dxa"/>
            <w:noWrap/>
            <w:hideMark/>
          </w:tcPr>
          <w:p w14:paraId="7B9B12A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29.6</w:t>
            </w:r>
          </w:p>
        </w:tc>
        <w:tc>
          <w:tcPr>
            <w:tcW w:w="1013" w:type="dxa"/>
            <w:noWrap/>
            <w:hideMark/>
          </w:tcPr>
          <w:p w14:paraId="0727B5D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26.3</w:t>
            </w:r>
          </w:p>
        </w:tc>
        <w:tc>
          <w:tcPr>
            <w:tcW w:w="0" w:type="auto"/>
            <w:noWrap/>
            <w:hideMark/>
          </w:tcPr>
          <w:p w14:paraId="1976ACE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</w:t>
            </w:r>
          </w:p>
        </w:tc>
        <w:tc>
          <w:tcPr>
            <w:tcW w:w="773" w:type="dxa"/>
            <w:noWrap/>
            <w:hideMark/>
          </w:tcPr>
          <w:p w14:paraId="78D4DB0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</w:t>
            </w:r>
          </w:p>
        </w:tc>
        <w:tc>
          <w:tcPr>
            <w:tcW w:w="841" w:type="dxa"/>
            <w:noWrap/>
            <w:hideMark/>
          </w:tcPr>
          <w:p w14:paraId="18E4BBE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17.1</w:t>
            </w:r>
          </w:p>
        </w:tc>
      </w:tr>
      <w:tr w:rsidR="00D223CA" w:rsidRPr="00BF4C4E" w14:paraId="6E7F6173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EE49034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 with 1 child</w:t>
            </w:r>
          </w:p>
        </w:tc>
        <w:tc>
          <w:tcPr>
            <w:tcW w:w="1177" w:type="dxa"/>
            <w:noWrap/>
            <w:hideMark/>
          </w:tcPr>
          <w:p w14:paraId="717CD40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983.4</w:t>
            </w:r>
          </w:p>
        </w:tc>
        <w:tc>
          <w:tcPr>
            <w:tcW w:w="915" w:type="dxa"/>
            <w:noWrap/>
            <w:hideMark/>
          </w:tcPr>
          <w:p w14:paraId="5CE033F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</w:t>
            </w:r>
          </w:p>
        </w:tc>
        <w:tc>
          <w:tcPr>
            <w:tcW w:w="905" w:type="dxa"/>
            <w:noWrap/>
            <w:hideMark/>
          </w:tcPr>
          <w:p w14:paraId="20376A8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947</w:t>
            </w:r>
          </w:p>
        </w:tc>
        <w:tc>
          <w:tcPr>
            <w:tcW w:w="0" w:type="auto"/>
            <w:noWrap/>
            <w:hideMark/>
          </w:tcPr>
          <w:p w14:paraId="08FE429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</w:t>
            </w:r>
          </w:p>
        </w:tc>
        <w:tc>
          <w:tcPr>
            <w:tcW w:w="1303" w:type="dxa"/>
            <w:noWrap/>
            <w:hideMark/>
          </w:tcPr>
          <w:p w14:paraId="1D4D5F4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43.2</w:t>
            </w:r>
          </w:p>
        </w:tc>
        <w:tc>
          <w:tcPr>
            <w:tcW w:w="1316" w:type="dxa"/>
            <w:noWrap/>
            <w:hideMark/>
          </w:tcPr>
          <w:p w14:paraId="3C4C875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41.6</w:t>
            </w:r>
          </w:p>
        </w:tc>
        <w:tc>
          <w:tcPr>
            <w:tcW w:w="1013" w:type="dxa"/>
            <w:noWrap/>
            <w:hideMark/>
          </w:tcPr>
          <w:p w14:paraId="5EF049E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22.9</w:t>
            </w:r>
          </w:p>
        </w:tc>
        <w:tc>
          <w:tcPr>
            <w:tcW w:w="0" w:type="auto"/>
            <w:noWrap/>
            <w:hideMark/>
          </w:tcPr>
          <w:p w14:paraId="434FF91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</w:t>
            </w:r>
          </w:p>
        </w:tc>
        <w:tc>
          <w:tcPr>
            <w:tcW w:w="773" w:type="dxa"/>
            <w:noWrap/>
            <w:hideMark/>
          </w:tcPr>
          <w:p w14:paraId="6E13967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841" w:type="dxa"/>
            <w:noWrap/>
            <w:hideMark/>
          </w:tcPr>
          <w:p w14:paraId="0080F68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16.6</w:t>
            </w:r>
          </w:p>
        </w:tc>
      </w:tr>
      <w:tr w:rsidR="00D223CA" w:rsidRPr="00BF4C4E" w14:paraId="593C80A0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27CA7E01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 with 2 children</w:t>
            </w:r>
          </w:p>
        </w:tc>
        <w:tc>
          <w:tcPr>
            <w:tcW w:w="1177" w:type="dxa"/>
            <w:noWrap/>
            <w:hideMark/>
          </w:tcPr>
          <w:p w14:paraId="1E50A9B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1463.6</w:t>
            </w:r>
          </w:p>
        </w:tc>
        <w:tc>
          <w:tcPr>
            <w:tcW w:w="915" w:type="dxa"/>
            <w:noWrap/>
            <w:hideMark/>
          </w:tcPr>
          <w:p w14:paraId="178C3BB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905" w:type="dxa"/>
            <w:noWrap/>
            <w:hideMark/>
          </w:tcPr>
          <w:p w14:paraId="79DB613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1369</w:t>
            </w:r>
          </w:p>
        </w:tc>
        <w:tc>
          <w:tcPr>
            <w:tcW w:w="0" w:type="auto"/>
            <w:noWrap/>
            <w:hideMark/>
          </w:tcPr>
          <w:p w14:paraId="702EAD9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11.3</w:t>
            </w:r>
          </w:p>
        </w:tc>
        <w:tc>
          <w:tcPr>
            <w:tcW w:w="1303" w:type="dxa"/>
            <w:noWrap/>
            <w:hideMark/>
          </w:tcPr>
          <w:p w14:paraId="49C55AE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57.7</w:t>
            </w:r>
          </w:p>
        </w:tc>
        <w:tc>
          <w:tcPr>
            <w:tcW w:w="1316" w:type="dxa"/>
            <w:noWrap/>
            <w:hideMark/>
          </w:tcPr>
          <w:p w14:paraId="333E52C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1013" w:type="dxa"/>
            <w:noWrap/>
            <w:hideMark/>
          </w:tcPr>
          <w:p w14:paraId="78FA487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34BC36C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</w:t>
            </w:r>
          </w:p>
        </w:tc>
        <w:tc>
          <w:tcPr>
            <w:tcW w:w="773" w:type="dxa"/>
            <w:noWrap/>
            <w:hideMark/>
          </w:tcPr>
          <w:p w14:paraId="338E803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24.9</w:t>
            </w:r>
          </w:p>
        </w:tc>
        <w:tc>
          <w:tcPr>
            <w:tcW w:w="841" w:type="dxa"/>
            <w:noWrap/>
            <w:hideMark/>
          </w:tcPr>
          <w:p w14:paraId="7CDA2EA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</w:t>
            </w:r>
          </w:p>
        </w:tc>
      </w:tr>
      <w:tr w:rsidR="00D223CA" w:rsidRPr="00BF4C4E" w14:paraId="31CE9C2B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11F70BE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 with 3 children</w:t>
            </w:r>
          </w:p>
        </w:tc>
        <w:tc>
          <w:tcPr>
            <w:tcW w:w="1177" w:type="dxa"/>
            <w:noWrap/>
            <w:hideMark/>
          </w:tcPr>
          <w:p w14:paraId="2E34CAB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915" w:type="dxa"/>
            <w:noWrap/>
            <w:hideMark/>
          </w:tcPr>
          <w:p w14:paraId="3A52AAD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905" w:type="dxa"/>
            <w:noWrap/>
            <w:hideMark/>
          </w:tcPr>
          <w:p w14:paraId="107030C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0" w:type="auto"/>
            <w:noWrap/>
            <w:hideMark/>
          </w:tcPr>
          <w:p w14:paraId="3B0C862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3.3</w:t>
            </w:r>
          </w:p>
        </w:tc>
        <w:tc>
          <w:tcPr>
            <w:tcW w:w="1303" w:type="dxa"/>
            <w:noWrap/>
            <w:hideMark/>
          </w:tcPr>
          <w:p w14:paraId="6A837F0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69.7</w:t>
            </w:r>
          </w:p>
        </w:tc>
        <w:tc>
          <w:tcPr>
            <w:tcW w:w="1316" w:type="dxa"/>
            <w:noWrap/>
            <w:hideMark/>
          </w:tcPr>
          <w:p w14:paraId="51AD08D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69.7</w:t>
            </w:r>
          </w:p>
        </w:tc>
        <w:tc>
          <w:tcPr>
            <w:tcW w:w="1013" w:type="dxa"/>
            <w:noWrap/>
            <w:hideMark/>
          </w:tcPr>
          <w:p w14:paraId="7639A72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33.7</w:t>
            </w:r>
          </w:p>
        </w:tc>
        <w:tc>
          <w:tcPr>
            <w:tcW w:w="0" w:type="auto"/>
            <w:noWrap/>
            <w:hideMark/>
          </w:tcPr>
          <w:p w14:paraId="1CCF5F9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26.7</w:t>
            </w:r>
          </w:p>
        </w:tc>
        <w:tc>
          <w:tcPr>
            <w:tcW w:w="773" w:type="dxa"/>
            <w:noWrap/>
            <w:hideMark/>
          </w:tcPr>
          <w:p w14:paraId="5A92C93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32.9</w:t>
            </w:r>
          </w:p>
        </w:tc>
        <w:tc>
          <w:tcPr>
            <w:tcW w:w="841" w:type="dxa"/>
            <w:noWrap/>
            <w:hideMark/>
          </w:tcPr>
          <w:p w14:paraId="4C3F41D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26.3</w:t>
            </w:r>
          </w:p>
        </w:tc>
      </w:tr>
      <w:tr w:rsidR="00D223CA" w:rsidRPr="00BF4C4E" w14:paraId="53F6FC15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5E49F224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couple with 4 or more children </w:t>
            </w:r>
          </w:p>
        </w:tc>
        <w:tc>
          <w:tcPr>
            <w:tcW w:w="1177" w:type="dxa"/>
            <w:noWrap/>
            <w:hideMark/>
          </w:tcPr>
          <w:p w14:paraId="55DB24B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283.4</w:t>
            </w:r>
          </w:p>
        </w:tc>
        <w:tc>
          <w:tcPr>
            <w:tcW w:w="915" w:type="dxa"/>
            <w:noWrap/>
            <w:hideMark/>
          </w:tcPr>
          <w:p w14:paraId="531C984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905" w:type="dxa"/>
            <w:noWrap/>
            <w:hideMark/>
          </w:tcPr>
          <w:p w14:paraId="0B0B028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283.4</w:t>
            </w:r>
          </w:p>
        </w:tc>
        <w:tc>
          <w:tcPr>
            <w:tcW w:w="0" w:type="auto"/>
            <w:noWrap/>
            <w:hideMark/>
          </w:tcPr>
          <w:p w14:paraId="406C14D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303" w:type="dxa"/>
            <w:noWrap/>
            <w:hideMark/>
          </w:tcPr>
          <w:p w14:paraId="0D6826E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99.6</w:t>
            </w:r>
          </w:p>
        </w:tc>
        <w:tc>
          <w:tcPr>
            <w:tcW w:w="1316" w:type="dxa"/>
            <w:noWrap/>
            <w:hideMark/>
          </w:tcPr>
          <w:p w14:paraId="6FA8C7C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99.6</w:t>
            </w:r>
          </w:p>
        </w:tc>
        <w:tc>
          <w:tcPr>
            <w:tcW w:w="1013" w:type="dxa"/>
            <w:noWrap/>
            <w:hideMark/>
          </w:tcPr>
          <w:p w14:paraId="3905EE8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43.4</w:t>
            </w:r>
          </w:p>
        </w:tc>
        <w:tc>
          <w:tcPr>
            <w:tcW w:w="0" w:type="auto"/>
            <w:noWrap/>
            <w:hideMark/>
          </w:tcPr>
          <w:p w14:paraId="339D3A1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73" w:type="dxa"/>
            <w:noWrap/>
            <w:hideMark/>
          </w:tcPr>
          <w:p w14:paraId="31C9636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841" w:type="dxa"/>
            <w:noWrap/>
            <w:hideMark/>
          </w:tcPr>
          <w:p w14:paraId="15F786B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26.7</w:t>
            </w:r>
          </w:p>
        </w:tc>
      </w:tr>
      <w:tr w:rsidR="00D223CA" w:rsidRPr="00BF4C4E" w14:paraId="0AE7CB9A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45318BEB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multi-unit household</w:t>
            </w:r>
          </w:p>
        </w:tc>
        <w:tc>
          <w:tcPr>
            <w:tcW w:w="1177" w:type="dxa"/>
            <w:noWrap/>
            <w:hideMark/>
          </w:tcPr>
          <w:p w14:paraId="18D18B7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1540.2</w:t>
            </w:r>
          </w:p>
        </w:tc>
        <w:tc>
          <w:tcPr>
            <w:tcW w:w="915" w:type="dxa"/>
            <w:noWrap/>
            <w:hideMark/>
          </w:tcPr>
          <w:p w14:paraId="39E1217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905" w:type="dxa"/>
            <w:noWrap/>
            <w:hideMark/>
          </w:tcPr>
          <w:p w14:paraId="0CCC962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1488.2</w:t>
            </w:r>
          </w:p>
        </w:tc>
        <w:tc>
          <w:tcPr>
            <w:tcW w:w="0" w:type="auto"/>
            <w:noWrap/>
            <w:hideMark/>
          </w:tcPr>
          <w:p w14:paraId="1FA97FE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12.3</w:t>
            </w:r>
          </w:p>
        </w:tc>
        <w:tc>
          <w:tcPr>
            <w:tcW w:w="1303" w:type="dxa"/>
            <w:noWrap/>
            <w:hideMark/>
          </w:tcPr>
          <w:p w14:paraId="449BC48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1316" w:type="dxa"/>
            <w:noWrap/>
            <w:hideMark/>
          </w:tcPr>
          <w:p w14:paraId="26CFA7E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013" w:type="dxa"/>
            <w:noWrap/>
            <w:hideMark/>
          </w:tcPr>
          <w:p w14:paraId="0768B3C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29.2</w:t>
            </w:r>
          </w:p>
        </w:tc>
        <w:tc>
          <w:tcPr>
            <w:tcW w:w="0" w:type="auto"/>
            <w:noWrap/>
            <w:hideMark/>
          </w:tcPr>
          <w:p w14:paraId="56C61DA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21.6</w:t>
            </w:r>
          </w:p>
        </w:tc>
        <w:tc>
          <w:tcPr>
            <w:tcW w:w="773" w:type="dxa"/>
            <w:noWrap/>
            <w:hideMark/>
          </w:tcPr>
          <w:p w14:paraId="096D792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29.4</w:t>
            </w:r>
          </w:p>
        </w:tc>
        <w:tc>
          <w:tcPr>
            <w:tcW w:w="841" w:type="dxa"/>
            <w:noWrap/>
            <w:hideMark/>
          </w:tcPr>
          <w:p w14:paraId="47CC7D1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</w:tr>
      <w:tr w:rsidR="00D223CA" w:rsidRPr="00BF4C4E" w14:paraId="2EA84D15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97A8A2A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pensioner single</w:t>
            </w:r>
          </w:p>
        </w:tc>
        <w:tc>
          <w:tcPr>
            <w:tcW w:w="1177" w:type="dxa"/>
            <w:noWrap/>
            <w:hideMark/>
          </w:tcPr>
          <w:p w14:paraId="6D13687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1554.5</w:t>
            </w:r>
          </w:p>
        </w:tc>
        <w:tc>
          <w:tcPr>
            <w:tcW w:w="915" w:type="dxa"/>
            <w:noWrap/>
            <w:hideMark/>
          </w:tcPr>
          <w:p w14:paraId="1C9A823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12.3</w:t>
            </w:r>
          </w:p>
        </w:tc>
        <w:tc>
          <w:tcPr>
            <w:tcW w:w="905" w:type="dxa"/>
            <w:noWrap/>
            <w:hideMark/>
          </w:tcPr>
          <w:p w14:paraId="6E81E5E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1497</w:t>
            </w:r>
          </w:p>
        </w:tc>
        <w:tc>
          <w:tcPr>
            <w:tcW w:w="0" w:type="auto"/>
            <w:noWrap/>
            <w:hideMark/>
          </w:tcPr>
          <w:p w14:paraId="085E71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303" w:type="dxa"/>
            <w:noWrap/>
            <w:hideMark/>
          </w:tcPr>
          <w:p w14:paraId="2A29325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1316" w:type="dxa"/>
            <w:noWrap/>
            <w:hideMark/>
          </w:tcPr>
          <w:p w14:paraId="097D807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1013" w:type="dxa"/>
            <w:noWrap/>
            <w:hideMark/>
          </w:tcPr>
          <w:p w14:paraId="2EB5F99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</w:t>
            </w:r>
          </w:p>
        </w:tc>
        <w:tc>
          <w:tcPr>
            <w:tcW w:w="0" w:type="auto"/>
            <w:noWrap/>
            <w:hideMark/>
          </w:tcPr>
          <w:p w14:paraId="1634338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73" w:type="dxa"/>
            <w:noWrap/>
            <w:hideMark/>
          </w:tcPr>
          <w:p w14:paraId="6BAA761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841" w:type="dxa"/>
            <w:noWrap/>
            <w:hideMark/>
          </w:tcPr>
          <w:p w14:paraId="0580862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</w:t>
            </w:r>
          </w:p>
        </w:tc>
      </w:tr>
      <w:tr w:rsidR="00D223CA" w:rsidRPr="00BF4C4E" w14:paraId="6DDDEF14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9A1E537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pensioner couple</w:t>
            </w:r>
          </w:p>
        </w:tc>
        <w:tc>
          <w:tcPr>
            <w:tcW w:w="1177" w:type="dxa"/>
            <w:noWrap/>
            <w:hideMark/>
          </w:tcPr>
          <w:p w14:paraId="22E3268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1735.9</w:t>
            </w:r>
          </w:p>
        </w:tc>
        <w:tc>
          <w:tcPr>
            <w:tcW w:w="915" w:type="dxa"/>
            <w:noWrap/>
            <w:hideMark/>
          </w:tcPr>
          <w:p w14:paraId="7F48ED3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905" w:type="dxa"/>
            <w:noWrap/>
            <w:hideMark/>
          </w:tcPr>
          <w:p w14:paraId="2BC051D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1663.2</w:t>
            </w:r>
          </w:p>
        </w:tc>
        <w:tc>
          <w:tcPr>
            <w:tcW w:w="0" w:type="auto"/>
            <w:noWrap/>
            <w:hideMark/>
          </w:tcPr>
          <w:p w14:paraId="0C103AE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  <w:tc>
          <w:tcPr>
            <w:tcW w:w="1303" w:type="dxa"/>
            <w:noWrap/>
            <w:hideMark/>
          </w:tcPr>
          <w:p w14:paraId="65B0D10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316" w:type="dxa"/>
            <w:noWrap/>
            <w:hideMark/>
          </w:tcPr>
          <w:p w14:paraId="4B4F4E2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40.2</w:t>
            </w:r>
          </w:p>
        </w:tc>
        <w:tc>
          <w:tcPr>
            <w:tcW w:w="1013" w:type="dxa"/>
            <w:noWrap/>
            <w:hideMark/>
          </w:tcPr>
          <w:p w14:paraId="3C764E3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</w:t>
            </w:r>
          </w:p>
        </w:tc>
        <w:tc>
          <w:tcPr>
            <w:tcW w:w="0" w:type="auto"/>
            <w:noWrap/>
            <w:hideMark/>
          </w:tcPr>
          <w:p w14:paraId="21A36D3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13.6</w:t>
            </w:r>
          </w:p>
        </w:tc>
        <w:tc>
          <w:tcPr>
            <w:tcW w:w="773" w:type="dxa"/>
            <w:noWrap/>
            <w:hideMark/>
          </w:tcPr>
          <w:p w14:paraId="15A1E40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841" w:type="dxa"/>
            <w:noWrap/>
            <w:hideMark/>
          </w:tcPr>
          <w:p w14:paraId="7EB481A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13.4</w:t>
            </w:r>
          </w:p>
        </w:tc>
      </w:tr>
      <w:tr w:rsidR="00D223CA" w:rsidRPr="00BF4C4E" w14:paraId="7B10E161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629BA30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77" w:type="dxa"/>
            <w:noWrap/>
            <w:hideMark/>
          </w:tcPr>
          <w:p w14:paraId="39D8C13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12590.1</w:t>
            </w:r>
          </w:p>
        </w:tc>
        <w:tc>
          <w:tcPr>
            <w:tcW w:w="915" w:type="dxa"/>
            <w:noWrap/>
            <w:hideMark/>
          </w:tcPr>
          <w:p w14:paraId="4B7A407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noWrap/>
            <w:hideMark/>
          </w:tcPr>
          <w:p w14:paraId="2C07E00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12115.2</w:t>
            </w:r>
          </w:p>
        </w:tc>
        <w:tc>
          <w:tcPr>
            <w:tcW w:w="0" w:type="auto"/>
            <w:noWrap/>
            <w:hideMark/>
          </w:tcPr>
          <w:p w14:paraId="4529913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303" w:type="dxa"/>
            <w:noWrap/>
            <w:hideMark/>
          </w:tcPr>
          <w:p w14:paraId="66B467F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3205FE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2AF5A13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C36F87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53E721F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50E925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3194CCE6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E70C4F4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Region</w:t>
            </w:r>
          </w:p>
        </w:tc>
        <w:tc>
          <w:tcPr>
            <w:tcW w:w="1177" w:type="dxa"/>
            <w:noWrap/>
            <w:hideMark/>
          </w:tcPr>
          <w:p w14:paraId="1740815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0AE78A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6057E2F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6AB8D2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1E51EB9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7C7564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4545762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D35F6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0C00086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85009C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4EBE335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4855BB6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North East</w:t>
            </w:r>
            <w:proofErr w:type="gramEnd"/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77" w:type="dxa"/>
            <w:noWrap/>
            <w:hideMark/>
          </w:tcPr>
          <w:p w14:paraId="7B1C2BE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583.5</w:t>
            </w:r>
          </w:p>
        </w:tc>
        <w:tc>
          <w:tcPr>
            <w:tcW w:w="915" w:type="dxa"/>
            <w:noWrap/>
            <w:hideMark/>
          </w:tcPr>
          <w:p w14:paraId="02CC63F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</w:t>
            </w:r>
          </w:p>
        </w:tc>
        <w:tc>
          <w:tcPr>
            <w:tcW w:w="905" w:type="dxa"/>
            <w:noWrap/>
            <w:hideMark/>
          </w:tcPr>
          <w:p w14:paraId="762456C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535.7</w:t>
            </w:r>
          </w:p>
        </w:tc>
        <w:tc>
          <w:tcPr>
            <w:tcW w:w="0" w:type="auto"/>
            <w:noWrap/>
            <w:hideMark/>
          </w:tcPr>
          <w:p w14:paraId="6B2295F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1303" w:type="dxa"/>
            <w:noWrap/>
            <w:hideMark/>
          </w:tcPr>
          <w:p w14:paraId="28DF3A8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1316" w:type="dxa"/>
            <w:noWrap/>
            <w:hideMark/>
          </w:tcPr>
          <w:p w14:paraId="16D64B1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44.5</w:t>
            </w:r>
          </w:p>
        </w:tc>
        <w:tc>
          <w:tcPr>
            <w:tcW w:w="1013" w:type="dxa"/>
            <w:noWrap/>
            <w:hideMark/>
          </w:tcPr>
          <w:p w14:paraId="360C056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23.5</w:t>
            </w:r>
          </w:p>
        </w:tc>
        <w:tc>
          <w:tcPr>
            <w:tcW w:w="0" w:type="auto"/>
            <w:noWrap/>
            <w:hideMark/>
          </w:tcPr>
          <w:p w14:paraId="06381BE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16.3</w:t>
            </w:r>
          </w:p>
        </w:tc>
        <w:tc>
          <w:tcPr>
            <w:tcW w:w="773" w:type="dxa"/>
            <w:noWrap/>
            <w:hideMark/>
          </w:tcPr>
          <w:p w14:paraId="319364C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841" w:type="dxa"/>
            <w:noWrap/>
            <w:hideMark/>
          </w:tcPr>
          <w:p w14:paraId="7E8EFE4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</w:t>
            </w:r>
          </w:p>
        </w:tc>
      </w:tr>
      <w:tr w:rsidR="00D223CA" w:rsidRPr="00BF4C4E" w14:paraId="0CDDD58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1C4CED8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North West</w:t>
            </w:r>
            <w:proofErr w:type="gramEnd"/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Merseyside </w:t>
            </w:r>
          </w:p>
        </w:tc>
        <w:tc>
          <w:tcPr>
            <w:tcW w:w="1177" w:type="dxa"/>
            <w:noWrap/>
            <w:hideMark/>
          </w:tcPr>
          <w:p w14:paraId="26403BC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1532.5</w:t>
            </w:r>
          </w:p>
        </w:tc>
        <w:tc>
          <w:tcPr>
            <w:tcW w:w="915" w:type="dxa"/>
            <w:noWrap/>
            <w:hideMark/>
          </w:tcPr>
          <w:p w14:paraId="0942900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905" w:type="dxa"/>
            <w:noWrap/>
            <w:hideMark/>
          </w:tcPr>
          <w:p w14:paraId="599BEF4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1472.9</w:t>
            </w:r>
          </w:p>
        </w:tc>
        <w:tc>
          <w:tcPr>
            <w:tcW w:w="0" w:type="auto"/>
            <w:noWrap/>
            <w:hideMark/>
          </w:tcPr>
          <w:p w14:paraId="4E373A0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1303" w:type="dxa"/>
            <w:noWrap/>
            <w:hideMark/>
          </w:tcPr>
          <w:p w14:paraId="37B90F9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1316" w:type="dxa"/>
            <w:noWrap/>
            <w:hideMark/>
          </w:tcPr>
          <w:p w14:paraId="51978B1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45.5</w:t>
            </w:r>
          </w:p>
        </w:tc>
        <w:tc>
          <w:tcPr>
            <w:tcW w:w="1013" w:type="dxa"/>
            <w:noWrap/>
            <w:hideMark/>
          </w:tcPr>
          <w:p w14:paraId="3DBFC18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21.7</w:t>
            </w:r>
          </w:p>
        </w:tc>
        <w:tc>
          <w:tcPr>
            <w:tcW w:w="0" w:type="auto"/>
            <w:noWrap/>
            <w:hideMark/>
          </w:tcPr>
          <w:p w14:paraId="00703F8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13.9</w:t>
            </w:r>
          </w:p>
        </w:tc>
        <w:tc>
          <w:tcPr>
            <w:tcW w:w="773" w:type="dxa"/>
            <w:noWrap/>
            <w:hideMark/>
          </w:tcPr>
          <w:p w14:paraId="6D41A53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21.9</w:t>
            </w:r>
          </w:p>
        </w:tc>
        <w:tc>
          <w:tcPr>
            <w:tcW w:w="841" w:type="dxa"/>
            <w:noWrap/>
            <w:hideMark/>
          </w:tcPr>
          <w:p w14:paraId="0A6CD96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14.3</w:t>
            </w:r>
          </w:p>
        </w:tc>
      </w:tr>
      <w:tr w:rsidR="00D223CA" w:rsidRPr="00BF4C4E" w14:paraId="52F96B77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5559F51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Yorkshire and the Humber </w:t>
            </w:r>
          </w:p>
        </w:tc>
        <w:tc>
          <w:tcPr>
            <w:tcW w:w="1177" w:type="dxa"/>
            <w:noWrap/>
            <w:hideMark/>
          </w:tcPr>
          <w:p w14:paraId="30CDC94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1120.3</w:t>
            </w:r>
          </w:p>
        </w:tc>
        <w:tc>
          <w:tcPr>
            <w:tcW w:w="915" w:type="dxa"/>
            <w:noWrap/>
            <w:hideMark/>
          </w:tcPr>
          <w:p w14:paraId="61AEB2D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905" w:type="dxa"/>
            <w:noWrap/>
            <w:hideMark/>
          </w:tcPr>
          <w:p w14:paraId="0610592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1093.7</w:t>
            </w:r>
          </w:p>
        </w:tc>
        <w:tc>
          <w:tcPr>
            <w:tcW w:w="0" w:type="auto"/>
            <w:noWrap/>
            <w:hideMark/>
          </w:tcPr>
          <w:p w14:paraId="3C38B54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303" w:type="dxa"/>
            <w:noWrap/>
            <w:hideMark/>
          </w:tcPr>
          <w:p w14:paraId="668E967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1316" w:type="dxa"/>
            <w:noWrap/>
            <w:hideMark/>
          </w:tcPr>
          <w:p w14:paraId="073040B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45.4</w:t>
            </w:r>
          </w:p>
        </w:tc>
        <w:tc>
          <w:tcPr>
            <w:tcW w:w="1013" w:type="dxa"/>
            <w:noWrap/>
            <w:hideMark/>
          </w:tcPr>
          <w:p w14:paraId="6130216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0" w:type="auto"/>
            <w:noWrap/>
            <w:hideMark/>
          </w:tcPr>
          <w:p w14:paraId="0E7EFDC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</w:t>
            </w:r>
          </w:p>
        </w:tc>
        <w:tc>
          <w:tcPr>
            <w:tcW w:w="773" w:type="dxa"/>
            <w:noWrap/>
            <w:hideMark/>
          </w:tcPr>
          <w:p w14:paraId="38D9C6E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841" w:type="dxa"/>
            <w:noWrap/>
            <w:hideMark/>
          </w:tcPr>
          <w:p w14:paraId="15B16EE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</w:t>
            </w:r>
          </w:p>
        </w:tc>
      </w:tr>
      <w:tr w:rsidR="00D223CA" w:rsidRPr="00BF4C4E" w14:paraId="5686EA14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459C8740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East Midlands </w:t>
            </w:r>
          </w:p>
        </w:tc>
        <w:tc>
          <w:tcPr>
            <w:tcW w:w="1177" w:type="dxa"/>
            <w:noWrap/>
            <w:hideMark/>
          </w:tcPr>
          <w:p w14:paraId="20FD85F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906.7</w:t>
            </w:r>
          </w:p>
        </w:tc>
        <w:tc>
          <w:tcPr>
            <w:tcW w:w="915" w:type="dxa"/>
            <w:noWrap/>
            <w:hideMark/>
          </w:tcPr>
          <w:p w14:paraId="3909BEF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7.2</w:t>
            </w:r>
          </w:p>
        </w:tc>
        <w:tc>
          <w:tcPr>
            <w:tcW w:w="905" w:type="dxa"/>
            <w:noWrap/>
            <w:hideMark/>
          </w:tcPr>
          <w:p w14:paraId="45EF8F8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852.5</w:t>
            </w:r>
          </w:p>
        </w:tc>
        <w:tc>
          <w:tcPr>
            <w:tcW w:w="0" w:type="auto"/>
            <w:noWrap/>
            <w:hideMark/>
          </w:tcPr>
          <w:p w14:paraId="1260FAD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303" w:type="dxa"/>
            <w:noWrap/>
            <w:hideMark/>
          </w:tcPr>
          <w:p w14:paraId="2D82EB2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43.5</w:t>
            </w:r>
          </w:p>
        </w:tc>
        <w:tc>
          <w:tcPr>
            <w:tcW w:w="1316" w:type="dxa"/>
            <w:noWrap/>
            <w:hideMark/>
          </w:tcPr>
          <w:p w14:paraId="128539F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40.9</w:t>
            </w:r>
          </w:p>
        </w:tc>
        <w:tc>
          <w:tcPr>
            <w:tcW w:w="1013" w:type="dxa"/>
            <w:noWrap/>
            <w:hideMark/>
          </w:tcPr>
          <w:p w14:paraId="1C0CEAE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0" w:type="auto"/>
            <w:noWrap/>
            <w:hideMark/>
          </w:tcPr>
          <w:p w14:paraId="369B9E2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13.3</w:t>
            </w:r>
          </w:p>
        </w:tc>
        <w:tc>
          <w:tcPr>
            <w:tcW w:w="773" w:type="dxa"/>
            <w:noWrap/>
            <w:hideMark/>
          </w:tcPr>
          <w:p w14:paraId="0B0EB43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18.3</w:t>
            </w:r>
          </w:p>
        </w:tc>
        <w:tc>
          <w:tcPr>
            <w:tcW w:w="841" w:type="dxa"/>
            <w:noWrap/>
            <w:hideMark/>
          </w:tcPr>
          <w:p w14:paraId="4E2402A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</w:t>
            </w:r>
          </w:p>
        </w:tc>
      </w:tr>
      <w:tr w:rsidR="00D223CA" w:rsidRPr="00BF4C4E" w14:paraId="2489B5F1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10CEF58F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West Midlands </w:t>
            </w:r>
          </w:p>
        </w:tc>
        <w:tc>
          <w:tcPr>
            <w:tcW w:w="1177" w:type="dxa"/>
            <w:noWrap/>
            <w:hideMark/>
          </w:tcPr>
          <w:p w14:paraId="6EAF1ED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1302.2</w:t>
            </w:r>
          </w:p>
        </w:tc>
        <w:tc>
          <w:tcPr>
            <w:tcW w:w="915" w:type="dxa"/>
            <w:noWrap/>
            <w:hideMark/>
          </w:tcPr>
          <w:p w14:paraId="4F3E877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10.3</w:t>
            </w:r>
          </w:p>
        </w:tc>
        <w:tc>
          <w:tcPr>
            <w:tcW w:w="905" w:type="dxa"/>
            <w:noWrap/>
            <w:hideMark/>
          </w:tcPr>
          <w:p w14:paraId="2CE032D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1283.1</w:t>
            </w:r>
          </w:p>
        </w:tc>
        <w:tc>
          <w:tcPr>
            <w:tcW w:w="0" w:type="auto"/>
            <w:noWrap/>
            <w:hideMark/>
          </w:tcPr>
          <w:p w14:paraId="300BC5B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10.6</w:t>
            </w:r>
          </w:p>
        </w:tc>
        <w:tc>
          <w:tcPr>
            <w:tcW w:w="1303" w:type="dxa"/>
            <w:noWrap/>
            <w:hideMark/>
          </w:tcPr>
          <w:p w14:paraId="4EADB6C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1316" w:type="dxa"/>
            <w:noWrap/>
            <w:hideMark/>
          </w:tcPr>
          <w:p w14:paraId="7948F4C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51.2</w:t>
            </w:r>
          </w:p>
        </w:tc>
        <w:tc>
          <w:tcPr>
            <w:tcW w:w="1013" w:type="dxa"/>
            <w:noWrap/>
            <w:hideMark/>
          </w:tcPr>
          <w:p w14:paraId="7EE49C3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2349BCE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</w:t>
            </w:r>
          </w:p>
        </w:tc>
        <w:tc>
          <w:tcPr>
            <w:tcW w:w="773" w:type="dxa"/>
            <w:noWrap/>
            <w:hideMark/>
          </w:tcPr>
          <w:p w14:paraId="5EE1ACE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841" w:type="dxa"/>
            <w:noWrap/>
            <w:hideMark/>
          </w:tcPr>
          <w:p w14:paraId="12B428B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</w:t>
            </w:r>
          </w:p>
        </w:tc>
      </w:tr>
      <w:tr w:rsidR="00D223CA" w:rsidRPr="00BF4C4E" w14:paraId="50613D60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52159566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Eastern </w:t>
            </w:r>
          </w:p>
        </w:tc>
        <w:tc>
          <w:tcPr>
            <w:tcW w:w="1177" w:type="dxa"/>
            <w:noWrap/>
            <w:hideMark/>
          </w:tcPr>
          <w:p w14:paraId="2111426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1113.6</w:t>
            </w:r>
          </w:p>
        </w:tc>
        <w:tc>
          <w:tcPr>
            <w:tcW w:w="915" w:type="dxa"/>
            <w:noWrap/>
            <w:hideMark/>
          </w:tcPr>
          <w:p w14:paraId="2E2CFC7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05" w:type="dxa"/>
            <w:noWrap/>
            <w:hideMark/>
          </w:tcPr>
          <w:p w14:paraId="0EDDA6D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1081.4</w:t>
            </w:r>
          </w:p>
        </w:tc>
        <w:tc>
          <w:tcPr>
            <w:tcW w:w="0" w:type="auto"/>
            <w:noWrap/>
            <w:hideMark/>
          </w:tcPr>
          <w:p w14:paraId="6857330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1303" w:type="dxa"/>
            <w:noWrap/>
            <w:hideMark/>
          </w:tcPr>
          <w:p w14:paraId="744D0C4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1316" w:type="dxa"/>
            <w:noWrap/>
            <w:hideMark/>
          </w:tcPr>
          <w:p w14:paraId="4ADCC1E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1013" w:type="dxa"/>
            <w:noWrap/>
            <w:hideMark/>
          </w:tcPr>
          <w:p w14:paraId="1206B6A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69AA77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</w:t>
            </w:r>
          </w:p>
        </w:tc>
        <w:tc>
          <w:tcPr>
            <w:tcW w:w="773" w:type="dxa"/>
            <w:noWrap/>
            <w:hideMark/>
          </w:tcPr>
          <w:p w14:paraId="16178F4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41" w:type="dxa"/>
            <w:noWrap/>
            <w:hideMark/>
          </w:tcPr>
          <w:p w14:paraId="20E01A6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</w:t>
            </w:r>
          </w:p>
        </w:tc>
      </w:tr>
      <w:tr w:rsidR="00D223CA" w:rsidRPr="00BF4C4E" w14:paraId="6ED9482E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D7C7DEB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 xml:space="preserve">London </w:t>
            </w:r>
          </w:p>
        </w:tc>
        <w:tc>
          <w:tcPr>
            <w:tcW w:w="1177" w:type="dxa"/>
            <w:noWrap/>
            <w:hideMark/>
          </w:tcPr>
          <w:p w14:paraId="6BF7656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1239.2</w:t>
            </w:r>
          </w:p>
        </w:tc>
        <w:tc>
          <w:tcPr>
            <w:tcW w:w="915" w:type="dxa"/>
            <w:noWrap/>
            <w:hideMark/>
          </w:tcPr>
          <w:p w14:paraId="0CF91F3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</w:t>
            </w:r>
          </w:p>
        </w:tc>
        <w:tc>
          <w:tcPr>
            <w:tcW w:w="905" w:type="dxa"/>
            <w:noWrap/>
            <w:hideMark/>
          </w:tcPr>
          <w:p w14:paraId="4C3061A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1213.5</w:t>
            </w:r>
          </w:p>
        </w:tc>
        <w:tc>
          <w:tcPr>
            <w:tcW w:w="0" w:type="auto"/>
            <w:noWrap/>
            <w:hideMark/>
          </w:tcPr>
          <w:p w14:paraId="771FB64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303" w:type="dxa"/>
            <w:noWrap/>
            <w:hideMark/>
          </w:tcPr>
          <w:p w14:paraId="16A0EE3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31.8</w:t>
            </w:r>
          </w:p>
        </w:tc>
        <w:tc>
          <w:tcPr>
            <w:tcW w:w="1316" w:type="dxa"/>
            <w:noWrap/>
            <w:hideMark/>
          </w:tcPr>
          <w:p w14:paraId="36DF191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31.1</w:t>
            </w:r>
          </w:p>
        </w:tc>
        <w:tc>
          <w:tcPr>
            <w:tcW w:w="1013" w:type="dxa"/>
            <w:noWrap/>
            <w:hideMark/>
          </w:tcPr>
          <w:p w14:paraId="27D20C7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25.1</w:t>
            </w:r>
          </w:p>
        </w:tc>
        <w:tc>
          <w:tcPr>
            <w:tcW w:w="0" w:type="auto"/>
            <w:noWrap/>
            <w:hideMark/>
          </w:tcPr>
          <w:p w14:paraId="40347F1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18.2</w:t>
            </w:r>
          </w:p>
        </w:tc>
        <w:tc>
          <w:tcPr>
            <w:tcW w:w="773" w:type="dxa"/>
            <w:noWrap/>
            <w:hideMark/>
          </w:tcPr>
          <w:p w14:paraId="38FCF4C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841" w:type="dxa"/>
            <w:noWrap/>
            <w:hideMark/>
          </w:tcPr>
          <w:p w14:paraId="5B47DC3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</w:t>
            </w:r>
          </w:p>
        </w:tc>
      </w:tr>
      <w:tr w:rsidR="00D223CA" w:rsidRPr="00BF4C4E" w14:paraId="00E191F3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20B3111D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South East</w:t>
            </w:r>
            <w:proofErr w:type="gramEnd"/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77" w:type="dxa"/>
            <w:noWrap/>
            <w:hideMark/>
          </w:tcPr>
          <w:p w14:paraId="10A4378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1538.2</w:t>
            </w:r>
          </w:p>
        </w:tc>
        <w:tc>
          <w:tcPr>
            <w:tcW w:w="915" w:type="dxa"/>
            <w:noWrap/>
            <w:hideMark/>
          </w:tcPr>
          <w:p w14:paraId="06F27C5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905" w:type="dxa"/>
            <w:noWrap/>
            <w:hideMark/>
          </w:tcPr>
          <w:p w14:paraId="1F99416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1441.5</w:t>
            </w:r>
          </w:p>
        </w:tc>
        <w:tc>
          <w:tcPr>
            <w:tcW w:w="0" w:type="auto"/>
            <w:noWrap/>
            <w:hideMark/>
          </w:tcPr>
          <w:p w14:paraId="556F6C9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11.9</w:t>
            </w:r>
          </w:p>
        </w:tc>
        <w:tc>
          <w:tcPr>
            <w:tcW w:w="1303" w:type="dxa"/>
            <w:noWrap/>
            <w:hideMark/>
          </w:tcPr>
          <w:p w14:paraId="2EA63BC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38.6</w:t>
            </w:r>
          </w:p>
        </w:tc>
        <w:tc>
          <w:tcPr>
            <w:tcW w:w="1316" w:type="dxa"/>
            <w:noWrap/>
            <w:hideMark/>
          </w:tcPr>
          <w:p w14:paraId="3A4FB6A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36.2</w:t>
            </w:r>
          </w:p>
        </w:tc>
        <w:tc>
          <w:tcPr>
            <w:tcW w:w="1013" w:type="dxa"/>
            <w:noWrap/>
            <w:hideMark/>
          </w:tcPr>
          <w:p w14:paraId="1F1F067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25.7</w:t>
            </w:r>
          </w:p>
        </w:tc>
        <w:tc>
          <w:tcPr>
            <w:tcW w:w="0" w:type="auto"/>
            <w:noWrap/>
            <w:hideMark/>
          </w:tcPr>
          <w:p w14:paraId="044745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17.3</w:t>
            </w:r>
          </w:p>
        </w:tc>
        <w:tc>
          <w:tcPr>
            <w:tcW w:w="773" w:type="dxa"/>
            <w:noWrap/>
            <w:hideMark/>
          </w:tcPr>
          <w:p w14:paraId="3D36335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</w:t>
            </w:r>
          </w:p>
        </w:tc>
        <w:tc>
          <w:tcPr>
            <w:tcW w:w="841" w:type="dxa"/>
            <w:noWrap/>
            <w:hideMark/>
          </w:tcPr>
          <w:p w14:paraId="635CF9A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</w:t>
            </w:r>
          </w:p>
        </w:tc>
      </w:tr>
      <w:tr w:rsidR="00D223CA" w:rsidRPr="00BF4C4E" w14:paraId="1D33A23B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8A8BF70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South West</w:t>
            </w:r>
            <w:proofErr w:type="gramEnd"/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77" w:type="dxa"/>
            <w:noWrap/>
            <w:hideMark/>
          </w:tcPr>
          <w:p w14:paraId="2CC5135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991.3</w:t>
            </w:r>
          </w:p>
        </w:tc>
        <w:tc>
          <w:tcPr>
            <w:tcW w:w="915" w:type="dxa"/>
            <w:noWrap/>
            <w:hideMark/>
          </w:tcPr>
          <w:p w14:paraId="1F82D16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7.9</w:t>
            </w:r>
          </w:p>
        </w:tc>
        <w:tc>
          <w:tcPr>
            <w:tcW w:w="905" w:type="dxa"/>
            <w:noWrap/>
            <w:hideMark/>
          </w:tcPr>
          <w:p w14:paraId="78A776F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962.5</w:t>
            </w:r>
          </w:p>
        </w:tc>
        <w:tc>
          <w:tcPr>
            <w:tcW w:w="0" w:type="auto"/>
            <w:noWrap/>
            <w:hideMark/>
          </w:tcPr>
          <w:p w14:paraId="4B8BBDD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7.9</w:t>
            </w:r>
          </w:p>
        </w:tc>
        <w:tc>
          <w:tcPr>
            <w:tcW w:w="1303" w:type="dxa"/>
            <w:noWrap/>
            <w:hideMark/>
          </w:tcPr>
          <w:p w14:paraId="4AFDDDE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1316" w:type="dxa"/>
            <w:noWrap/>
            <w:hideMark/>
          </w:tcPr>
          <w:p w14:paraId="0836E51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38.4</w:t>
            </w:r>
          </w:p>
        </w:tc>
        <w:tc>
          <w:tcPr>
            <w:tcW w:w="1013" w:type="dxa"/>
            <w:noWrap/>
            <w:hideMark/>
          </w:tcPr>
          <w:p w14:paraId="3CFFC56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0" w:type="auto"/>
            <w:noWrap/>
            <w:hideMark/>
          </w:tcPr>
          <w:p w14:paraId="3B45BC2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</w:t>
            </w:r>
          </w:p>
        </w:tc>
        <w:tc>
          <w:tcPr>
            <w:tcW w:w="773" w:type="dxa"/>
            <w:noWrap/>
            <w:hideMark/>
          </w:tcPr>
          <w:p w14:paraId="7D5081B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23.3</w:t>
            </w:r>
          </w:p>
        </w:tc>
        <w:tc>
          <w:tcPr>
            <w:tcW w:w="841" w:type="dxa"/>
            <w:noWrap/>
            <w:hideMark/>
          </w:tcPr>
          <w:p w14:paraId="148DC10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14.5</w:t>
            </w:r>
          </w:p>
        </w:tc>
      </w:tr>
      <w:tr w:rsidR="00D223CA" w:rsidRPr="00BF4C4E" w14:paraId="29034880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0E3861A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Wales </w:t>
            </w:r>
          </w:p>
        </w:tc>
        <w:tc>
          <w:tcPr>
            <w:tcW w:w="1177" w:type="dxa"/>
            <w:noWrap/>
            <w:hideMark/>
          </w:tcPr>
          <w:p w14:paraId="139C770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599.7</w:t>
            </w:r>
          </w:p>
        </w:tc>
        <w:tc>
          <w:tcPr>
            <w:tcW w:w="915" w:type="dxa"/>
            <w:noWrap/>
            <w:hideMark/>
          </w:tcPr>
          <w:p w14:paraId="748F0A6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905" w:type="dxa"/>
            <w:noWrap/>
            <w:hideMark/>
          </w:tcPr>
          <w:p w14:paraId="2E8E05F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592.9</w:t>
            </w:r>
          </w:p>
        </w:tc>
        <w:tc>
          <w:tcPr>
            <w:tcW w:w="0" w:type="auto"/>
            <w:noWrap/>
            <w:hideMark/>
          </w:tcPr>
          <w:p w14:paraId="1988207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</w:t>
            </w:r>
          </w:p>
        </w:tc>
        <w:tc>
          <w:tcPr>
            <w:tcW w:w="1303" w:type="dxa"/>
            <w:noWrap/>
            <w:hideMark/>
          </w:tcPr>
          <w:p w14:paraId="1652242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42.7</w:t>
            </w:r>
          </w:p>
        </w:tc>
        <w:tc>
          <w:tcPr>
            <w:tcW w:w="1316" w:type="dxa"/>
            <w:noWrap/>
            <w:hideMark/>
          </w:tcPr>
          <w:p w14:paraId="6841215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1013" w:type="dxa"/>
            <w:noWrap/>
            <w:hideMark/>
          </w:tcPr>
          <w:p w14:paraId="25A7E8A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359552C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  <w:tc>
          <w:tcPr>
            <w:tcW w:w="773" w:type="dxa"/>
            <w:noWrap/>
            <w:hideMark/>
          </w:tcPr>
          <w:p w14:paraId="3C950BF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22.5</w:t>
            </w:r>
          </w:p>
        </w:tc>
        <w:tc>
          <w:tcPr>
            <w:tcW w:w="841" w:type="dxa"/>
            <w:noWrap/>
            <w:hideMark/>
          </w:tcPr>
          <w:p w14:paraId="3CF89F4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14.9</w:t>
            </w:r>
          </w:p>
        </w:tc>
      </w:tr>
      <w:tr w:rsidR="00D223CA" w:rsidRPr="00BF4C4E" w14:paraId="2FBD6667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E012AF1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Scotland </w:t>
            </w:r>
          </w:p>
        </w:tc>
        <w:tc>
          <w:tcPr>
            <w:tcW w:w="1177" w:type="dxa"/>
            <w:noWrap/>
            <w:hideMark/>
          </w:tcPr>
          <w:p w14:paraId="0DD9549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1208.8</w:t>
            </w:r>
          </w:p>
        </w:tc>
        <w:tc>
          <w:tcPr>
            <w:tcW w:w="915" w:type="dxa"/>
            <w:noWrap/>
            <w:hideMark/>
          </w:tcPr>
          <w:p w14:paraId="658EF43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</w:t>
            </w:r>
          </w:p>
        </w:tc>
        <w:tc>
          <w:tcPr>
            <w:tcW w:w="905" w:type="dxa"/>
            <w:noWrap/>
            <w:hideMark/>
          </w:tcPr>
          <w:p w14:paraId="383B567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1138.4</w:t>
            </w:r>
          </w:p>
        </w:tc>
        <w:tc>
          <w:tcPr>
            <w:tcW w:w="0" w:type="auto"/>
            <w:noWrap/>
            <w:hideMark/>
          </w:tcPr>
          <w:p w14:paraId="577007F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</w:t>
            </w:r>
          </w:p>
        </w:tc>
        <w:tc>
          <w:tcPr>
            <w:tcW w:w="1303" w:type="dxa"/>
            <w:noWrap/>
            <w:hideMark/>
          </w:tcPr>
          <w:p w14:paraId="7FED68B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1316" w:type="dxa"/>
            <w:noWrap/>
            <w:hideMark/>
          </w:tcPr>
          <w:p w14:paraId="51D6145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1013" w:type="dxa"/>
            <w:noWrap/>
            <w:hideMark/>
          </w:tcPr>
          <w:p w14:paraId="1CD7E0F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0" w:type="auto"/>
            <w:noWrap/>
            <w:hideMark/>
          </w:tcPr>
          <w:p w14:paraId="20DE51E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73" w:type="dxa"/>
            <w:noWrap/>
            <w:hideMark/>
          </w:tcPr>
          <w:p w14:paraId="0BF7D8A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841" w:type="dxa"/>
            <w:noWrap/>
            <w:hideMark/>
          </w:tcPr>
          <w:p w14:paraId="3E3FC6E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</w:t>
            </w:r>
          </w:p>
        </w:tc>
      </w:tr>
      <w:tr w:rsidR="00D223CA" w:rsidRPr="00BF4C4E" w14:paraId="6B513B60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100E4DE5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Northern Ireland </w:t>
            </w:r>
          </w:p>
        </w:tc>
        <w:tc>
          <w:tcPr>
            <w:tcW w:w="1177" w:type="dxa"/>
            <w:noWrap/>
            <w:hideMark/>
          </w:tcPr>
          <w:p w14:paraId="0FCF00D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454.3</w:t>
            </w:r>
          </w:p>
        </w:tc>
        <w:tc>
          <w:tcPr>
            <w:tcW w:w="915" w:type="dxa"/>
            <w:noWrap/>
            <w:hideMark/>
          </w:tcPr>
          <w:p w14:paraId="135F155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</w:t>
            </w:r>
          </w:p>
        </w:tc>
        <w:tc>
          <w:tcPr>
            <w:tcW w:w="905" w:type="dxa"/>
            <w:noWrap/>
            <w:hideMark/>
          </w:tcPr>
          <w:p w14:paraId="41C3568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447.2</w:t>
            </w:r>
          </w:p>
        </w:tc>
        <w:tc>
          <w:tcPr>
            <w:tcW w:w="0" w:type="auto"/>
            <w:noWrap/>
            <w:hideMark/>
          </w:tcPr>
          <w:p w14:paraId="7DDBF07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</w:t>
            </w:r>
          </w:p>
        </w:tc>
        <w:tc>
          <w:tcPr>
            <w:tcW w:w="1303" w:type="dxa"/>
            <w:noWrap/>
            <w:hideMark/>
          </w:tcPr>
          <w:p w14:paraId="79A489C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60.2</w:t>
            </w:r>
          </w:p>
        </w:tc>
        <w:tc>
          <w:tcPr>
            <w:tcW w:w="1316" w:type="dxa"/>
            <w:noWrap/>
            <w:hideMark/>
          </w:tcPr>
          <w:p w14:paraId="38475A7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59.3</w:t>
            </w:r>
          </w:p>
        </w:tc>
        <w:tc>
          <w:tcPr>
            <w:tcW w:w="1013" w:type="dxa"/>
            <w:noWrap/>
            <w:hideMark/>
          </w:tcPr>
          <w:p w14:paraId="2466246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31.5</w:t>
            </w:r>
          </w:p>
        </w:tc>
        <w:tc>
          <w:tcPr>
            <w:tcW w:w="0" w:type="auto"/>
            <w:noWrap/>
            <w:hideMark/>
          </w:tcPr>
          <w:p w14:paraId="7D8E69F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23.7</w:t>
            </w:r>
          </w:p>
        </w:tc>
        <w:tc>
          <w:tcPr>
            <w:tcW w:w="773" w:type="dxa"/>
            <w:noWrap/>
            <w:hideMark/>
          </w:tcPr>
          <w:p w14:paraId="5B84029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31.3</w:t>
            </w:r>
          </w:p>
        </w:tc>
        <w:tc>
          <w:tcPr>
            <w:tcW w:w="841" w:type="dxa"/>
            <w:noWrap/>
            <w:hideMark/>
          </w:tcPr>
          <w:p w14:paraId="72636CC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23.5</w:t>
            </w:r>
          </w:p>
        </w:tc>
      </w:tr>
      <w:tr w:rsidR="00D223CA" w:rsidRPr="00BF4C4E" w14:paraId="67DFB341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265FC27E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77" w:type="dxa"/>
            <w:noWrap/>
            <w:hideMark/>
          </w:tcPr>
          <w:p w14:paraId="42B535E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12590.1</w:t>
            </w:r>
          </w:p>
        </w:tc>
        <w:tc>
          <w:tcPr>
            <w:tcW w:w="915" w:type="dxa"/>
            <w:noWrap/>
            <w:hideMark/>
          </w:tcPr>
          <w:p w14:paraId="3CE2193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noWrap/>
            <w:hideMark/>
          </w:tcPr>
          <w:p w14:paraId="48ED35B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12115.2</w:t>
            </w:r>
          </w:p>
        </w:tc>
        <w:tc>
          <w:tcPr>
            <w:tcW w:w="0" w:type="auto"/>
            <w:noWrap/>
            <w:hideMark/>
          </w:tcPr>
          <w:p w14:paraId="4F32307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303" w:type="dxa"/>
            <w:noWrap/>
            <w:hideMark/>
          </w:tcPr>
          <w:p w14:paraId="537A9C5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1CCEEF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4DF8D5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17B9F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4F468B5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05CEC3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541CB1D6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2BE474B6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Council Tax band</w:t>
            </w:r>
          </w:p>
        </w:tc>
        <w:tc>
          <w:tcPr>
            <w:tcW w:w="1177" w:type="dxa"/>
            <w:noWrap/>
            <w:hideMark/>
          </w:tcPr>
          <w:p w14:paraId="765E450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98A1DD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62A893B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8375A3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7E8D23E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7A6739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17AD1D4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491A3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7A7E84C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2B8518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0AAC3B31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BDF3A01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1177" w:type="dxa"/>
            <w:noWrap/>
            <w:hideMark/>
          </w:tcPr>
          <w:p w14:paraId="6DC11B5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2950.4</w:t>
            </w:r>
          </w:p>
        </w:tc>
        <w:tc>
          <w:tcPr>
            <w:tcW w:w="915" w:type="dxa"/>
            <w:noWrap/>
            <w:hideMark/>
          </w:tcPr>
          <w:p w14:paraId="2442D6D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905" w:type="dxa"/>
            <w:noWrap/>
            <w:hideMark/>
          </w:tcPr>
          <w:p w14:paraId="3339924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2808.2</w:t>
            </w:r>
          </w:p>
        </w:tc>
        <w:tc>
          <w:tcPr>
            <w:tcW w:w="0" w:type="auto"/>
            <w:noWrap/>
            <w:hideMark/>
          </w:tcPr>
          <w:p w14:paraId="42AEB91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24.1</w:t>
            </w:r>
          </w:p>
        </w:tc>
        <w:tc>
          <w:tcPr>
            <w:tcW w:w="1303" w:type="dxa"/>
            <w:noWrap/>
            <w:hideMark/>
          </w:tcPr>
          <w:p w14:paraId="4400744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51.7</w:t>
            </w:r>
          </w:p>
        </w:tc>
        <w:tc>
          <w:tcPr>
            <w:tcW w:w="1316" w:type="dxa"/>
            <w:noWrap/>
            <w:hideMark/>
          </w:tcPr>
          <w:p w14:paraId="6079094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49.2</w:t>
            </w:r>
          </w:p>
        </w:tc>
        <w:tc>
          <w:tcPr>
            <w:tcW w:w="1013" w:type="dxa"/>
            <w:noWrap/>
            <w:hideMark/>
          </w:tcPr>
          <w:p w14:paraId="1E66BC7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21.6</w:t>
            </w:r>
          </w:p>
        </w:tc>
        <w:tc>
          <w:tcPr>
            <w:tcW w:w="0" w:type="auto"/>
            <w:noWrap/>
            <w:hideMark/>
          </w:tcPr>
          <w:p w14:paraId="6658235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15.2</w:t>
            </w:r>
          </w:p>
        </w:tc>
        <w:tc>
          <w:tcPr>
            <w:tcW w:w="773" w:type="dxa"/>
            <w:noWrap/>
            <w:hideMark/>
          </w:tcPr>
          <w:p w14:paraId="5E51078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841" w:type="dxa"/>
            <w:noWrap/>
            <w:hideMark/>
          </w:tcPr>
          <w:p w14:paraId="659B1CC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</w:t>
            </w:r>
          </w:p>
        </w:tc>
      </w:tr>
      <w:tr w:rsidR="00D223CA" w:rsidRPr="00BF4C4E" w14:paraId="5DE83806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C67770F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77" w:type="dxa"/>
            <w:noWrap/>
            <w:hideMark/>
          </w:tcPr>
          <w:p w14:paraId="784F2D0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2511.3</w:t>
            </w:r>
          </w:p>
        </w:tc>
        <w:tc>
          <w:tcPr>
            <w:tcW w:w="915" w:type="dxa"/>
            <w:noWrap/>
            <w:hideMark/>
          </w:tcPr>
          <w:p w14:paraId="107F305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905" w:type="dxa"/>
            <w:noWrap/>
            <w:hideMark/>
          </w:tcPr>
          <w:p w14:paraId="7A6D9E6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2418.1</w:t>
            </w:r>
          </w:p>
        </w:tc>
        <w:tc>
          <w:tcPr>
            <w:tcW w:w="0" w:type="auto"/>
            <w:noWrap/>
            <w:hideMark/>
          </w:tcPr>
          <w:p w14:paraId="5A63468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303" w:type="dxa"/>
            <w:noWrap/>
            <w:hideMark/>
          </w:tcPr>
          <w:p w14:paraId="2D95E3B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42.8</w:t>
            </w:r>
          </w:p>
        </w:tc>
        <w:tc>
          <w:tcPr>
            <w:tcW w:w="1316" w:type="dxa"/>
            <w:noWrap/>
            <w:hideMark/>
          </w:tcPr>
          <w:p w14:paraId="6A4CC2A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41.2</w:t>
            </w:r>
          </w:p>
        </w:tc>
        <w:tc>
          <w:tcPr>
            <w:tcW w:w="1013" w:type="dxa"/>
            <w:noWrap/>
            <w:hideMark/>
          </w:tcPr>
          <w:p w14:paraId="1DD5950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20.9</w:t>
            </w:r>
          </w:p>
        </w:tc>
        <w:tc>
          <w:tcPr>
            <w:tcW w:w="0" w:type="auto"/>
            <w:noWrap/>
            <w:hideMark/>
          </w:tcPr>
          <w:p w14:paraId="25C41FF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  <w:tc>
          <w:tcPr>
            <w:tcW w:w="773" w:type="dxa"/>
            <w:noWrap/>
            <w:hideMark/>
          </w:tcPr>
          <w:p w14:paraId="700C07F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21.1</w:t>
            </w:r>
          </w:p>
        </w:tc>
        <w:tc>
          <w:tcPr>
            <w:tcW w:w="841" w:type="dxa"/>
            <w:noWrap/>
            <w:hideMark/>
          </w:tcPr>
          <w:p w14:paraId="1899C35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</w:t>
            </w:r>
          </w:p>
        </w:tc>
      </w:tr>
      <w:tr w:rsidR="00D223CA" w:rsidRPr="00BF4C4E" w14:paraId="3180AD7E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0BA2056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1177" w:type="dxa"/>
            <w:noWrap/>
            <w:hideMark/>
          </w:tcPr>
          <w:p w14:paraId="6F775B2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2334.9</w:t>
            </w:r>
          </w:p>
        </w:tc>
        <w:tc>
          <w:tcPr>
            <w:tcW w:w="915" w:type="dxa"/>
            <w:noWrap/>
            <w:hideMark/>
          </w:tcPr>
          <w:p w14:paraId="50F003A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19.2</w:t>
            </w:r>
          </w:p>
        </w:tc>
        <w:tc>
          <w:tcPr>
            <w:tcW w:w="905" w:type="dxa"/>
            <w:noWrap/>
            <w:hideMark/>
          </w:tcPr>
          <w:p w14:paraId="22C9623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2269.2</w:t>
            </w:r>
          </w:p>
        </w:tc>
        <w:tc>
          <w:tcPr>
            <w:tcW w:w="0" w:type="auto"/>
            <w:noWrap/>
            <w:hideMark/>
          </w:tcPr>
          <w:p w14:paraId="22C94FB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</w:t>
            </w:r>
          </w:p>
        </w:tc>
        <w:tc>
          <w:tcPr>
            <w:tcW w:w="1303" w:type="dxa"/>
            <w:noWrap/>
            <w:hideMark/>
          </w:tcPr>
          <w:p w14:paraId="2004E04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1316" w:type="dxa"/>
            <w:noWrap/>
            <w:hideMark/>
          </w:tcPr>
          <w:p w14:paraId="761BC1E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1013" w:type="dxa"/>
            <w:noWrap/>
            <w:hideMark/>
          </w:tcPr>
          <w:p w14:paraId="21E9AB4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0" w:type="auto"/>
            <w:noWrap/>
            <w:hideMark/>
          </w:tcPr>
          <w:p w14:paraId="1C5CBB3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13.6</w:t>
            </w:r>
          </w:p>
        </w:tc>
        <w:tc>
          <w:tcPr>
            <w:tcW w:w="773" w:type="dxa"/>
            <w:noWrap/>
            <w:hideMark/>
          </w:tcPr>
          <w:p w14:paraId="2C868FC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23.5</w:t>
            </w:r>
          </w:p>
        </w:tc>
        <w:tc>
          <w:tcPr>
            <w:tcW w:w="841" w:type="dxa"/>
            <w:noWrap/>
            <w:hideMark/>
          </w:tcPr>
          <w:p w14:paraId="4145E57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14.4</w:t>
            </w:r>
          </w:p>
        </w:tc>
      </w:tr>
      <w:tr w:rsidR="00D223CA" w:rsidRPr="00BF4C4E" w14:paraId="72F54CAD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08C9B82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77" w:type="dxa"/>
            <w:noWrap/>
            <w:hideMark/>
          </w:tcPr>
          <w:p w14:paraId="1D3690D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1893.5</w:t>
            </w:r>
          </w:p>
        </w:tc>
        <w:tc>
          <w:tcPr>
            <w:tcW w:w="915" w:type="dxa"/>
            <w:noWrap/>
            <w:hideMark/>
          </w:tcPr>
          <w:p w14:paraId="515E331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</w:t>
            </w:r>
          </w:p>
        </w:tc>
        <w:tc>
          <w:tcPr>
            <w:tcW w:w="905" w:type="dxa"/>
            <w:noWrap/>
            <w:hideMark/>
          </w:tcPr>
          <w:p w14:paraId="25DA9D5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1810.6</w:t>
            </w:r>
          </w:p>
        </w:tc>
        <w:tc>
          <w:tcPr>
            <w:tcW w:w="0" w:type="auto"/>
            <w:noWrap/>
            <w:hideMark/>
          </w:tcPr>
          <w:p w14:paraId="4ED233D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</w:t>
            </w:r>
          </w:p>
        </w:tc>
        <w:tc>
          <w:tcPr>
            <w:tcW w:w="1303" w:type="dxa"/>
            <w:noWrap/>
            <w:hideMark/>
          </w:tcPr>
          <w:p w14:paraId="711AE1B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1316" w:type="dxa"/>
            <w:noWrap/>
            <w:hideMark/>
          </w:tcPr>
          <w:p w14:paraId="2F5329C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38.2</w:t>
            </w:r>
          </w:p>
        </w:tc>
        <w:tc>
          <w:tcPr>
            <w:tcW w:w="1013" w:type="dxa"/>
            <w:noWrap/>
            <w:hideMark/>
          </w:tcPr>
          <w:p w14:paraId="2476F64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</w:t>
            </w:r>
          </w:p>
        </w:tc>
        <w:tc>
          <w:tcPr>
            <w:tcW w:w="0" w:type="auto"/>
            <w:noWrap/>
            <w:hideMark/>
          </w:tcPr>
          <w:p w14:paraId="02D3287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</w:t>
            </w:r>
          </w:p>
        </w:tc>
        <w:tc>
          <w:tcPr>
            <w:tcW w:w="773" w:type="dxa"/>
            <w:noWrap/>
            <w:hideMark/>
          </w:tcPr>
          <w:p w14:paraId="79C302F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20.2</w:t>
            </w:r>
          </w:p>
        </w:tc>
        <w:tc>
          <w:tcPr>
            <w:tcW w:w="841" w:type="dxa"/>
            <w:noWrap/>
            <w:hideMark/>
          </w:tcPr>
          <w:p w14:paraId="4955930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</w:t>
            </w:r>
          </w:p>
        </w:tc>
      </w:tr>
      <w:tr w:rsidR="00D223CA" w:rsidRPr="00BF4C4E" w14:paraId="0AAA7ECB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478B7558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177" w:type="dxa"/>
            <w:noWrap/>
            <w:hideMark/>
          </w:tcPr>
          <w:p w14:paraId="4C218B6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1286.6</w:t>
            </w:r>
          </w:p>
        </w:tc>
        <w:tc>
          <w:tcPr>
            <w:tcW w:w="915" w:type="dxa"/>
            <w:noWrap/>
            <w:hideMark/>
          </w:tcPr>
          <w:p w14:paraId="3DEDF7D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10.6</w:t>
            </w:r>
          </w:p>
        </w:tc>
        <w:tc>
          <w:tcPr>
            <w:tcW w:w="905" w:type="dxa"/>
            <w:noWrap/>
            <w:hideMark/>
          </w:tcPr>
          <w:p w14:paraId="6D49AB8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1266.9</w:t>
            </w:r>
          </w:p>
        </w:tc>
        <w:tc>
          <w:tcPr>
            <w:tcW w:w="0" w:type="auto"/>
            <w:noWrap/>
            <w:hideMark/>
          </w:tcPr>
          <w:p w14:paraId="3E462B4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10.9</w:t>
            </w:r>
          </w:p>
        </w:tc>
        <w:tc>
          <w:tcPr>
            <w:tcW w:w="1303" w:type="dxa"/>
            <w:noWrap/>
            <w:hideMark/>
          </w:tcPr>
          <w:p w14:paraId="24F6A5A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1316" w:type="dxa"/>
            <w:noWrap/>
            <w:hideMark/>
          </w:tcPr>
          <w:p w14:paraId="253D91E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39.3</w:t>
            </w:r>
          </w:p>
        </w:tc>
        <w:tc>
          <w:tcPr>
            <w:tcW w:w="1013" w:type="dxa"/>
            <w:noWrap/>
            <w:hideMark/>
          </w:tcPr>
          <w:p w14:paraId="4612C7B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23.2</w:t>
            </w:r>
          </w:p>
        </w:tc>
        <w:tc>
          <w:tcPr>
            <w:tcW w:w="0" w:type="auto"/>
            <w:noWrap/>
            <w:hideMark/>
          </w:tcPr>
          <w:p w14:paraId="5983D8C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17.4</w:t>
            </w:r>
          </w:p>
        </w:tc>
        <w:tc>
          <w:tcPr>
            <w:tcW w:w="773" w:type="dxa"/>
            <w:noWrap/>
            <w:hideMark/>
          </w:tcPr>
          <w:p w14:paraId="321FE6F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22.8</w:t>
            </w:r>
          </w:p>
        </w:tc>
        <w:tc>
          <w:tcPr>
            <w:tcW w:w="841" w:type="dxa"/>
            <w:noWrap/>
            <w:hideMark/>
          </w:tcPr>
          <w:p w14:paraId="0CED678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17.3</w:t>
            </w:r>
          </w:p>
        </w:tc>
      </w:tr>
      <w:tr w:rsidR="00D223CA" w:rsidRPr="00BF4C4E" w14:paraId="4265B87D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49CEDACE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1177" w:type="dxa"/>
            <w:noWrap/>
            <w:hideMark/>
          </w:tcPr>
          <w:p w14:paraId="1FACFF5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691</w:t>
            </w:r>
          </w:p>
        </w:tc>
        <w:tc>
          <w:tcPr>
            <w:tcW w:w="915" w:type="dxa"/>
            <w:noWrap/>
            <w:hideMark/>
          </w:tcPr>
          <w:p w14:paraId="4ACD1CD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5.7</w:t>
            </w:r>
          </w:p>
        </w:tc>
        <w:tc>
          <w:tcPr>
            <w:tcW w:w="905" w:type="dxa"/>
            <w:noWrap/>
            <w:hideMark/>
          </w:tcPr>
          <w:p w14:paraId="39D7B18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632.7</w:t>
            </w:r>
          </w:p>
        </w:tc>
        <w:tc>
          <w:tcPr>
            <w:tcW w:w="0" w:type="auto"/>
            <w:noWrap/>
            <w:hideMark/>
          </w:tcPr>
          <w:p w14:paraId="22C270F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5.4</w:t>
            </w:r>
          </w:p>
        </w:tc>
        <w:tc>
          <w:tcPr>
            <w:tcW w:w="1303" w:type="dxa"/>
            <w:noWrap/>
            <w:hideMark/>
          </w:tcPr>
          <w:p w14:paraId="1873B2C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39.1</w:t>
            </w:r>
          </w:p>
        </w:tc>
        <w:tc>
          <w:tcPr>
            <w:tcW w:w="1316" w:type="dxa"/>
            <w:noWrap/>
            <w:hideMark/>
          </w:tcPr>
          <w:p w14:paraId="299E655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35.8</w:t>
            </w:r>
          </w:p>
        </w:tc>
        <w:tc>
          <w:tcPr>
            <w:tcW w:w="1013" w:type="dxa"/>
            <w:noWrap/>
            <w:hideMark/>
          </w:tcPr>
          <w:p w14:paraId="3CA2ADC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</w:t>
            </w:r>
          </w:p>
        </w:tc>
        <w:tc>
          <w:tcPr>
            <w:tcW w:w="0" w:type="auto"/>
            <w:noWrap/>
            <w:hideMark/>
          </w:tcPr>
          <w:p w14:paraId="47F13F6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773" w:type="dxa"/>
            <w:noWrap/>
            <w:hideMark/>
          </w:tcPr>
          <w:p w14:paraId="0D19136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33.5</w:t>
            </w:r>
          </w:p>
        </w:tc>
        <w:tc>
          <w:tcPr>
            <w:tcW w:w="841" w:type="dxa"/>
            <w:noWrap/>
            <w:hideMark/>
          </w:tcPr>
          <w:p w14:paraId="160B165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22.9</w:t>
            </w:r>
          </w:p>
        </w:tc>
      </w:tr>
      <w:tr w:rsidR="00D223CA" w:rsidRPr="00BF4C4E" w14:paraId="014BDCE4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536370EB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77" w:type="dxa"/>
            <w:noWrap/>
            <w:hideMark/>
          </w:tcPr>
          <w:p w14:paraId="28EFDB9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391</w:t>
            </w:r>
          </w:p>
        </w:tc>
        <w:tc>
          <w:tcPr>
            <w:tcW w:w="915" w:type="dxa"/>
            <w:noWrap/>
            <w:hideMark/>
          </w:tcPr>
          <w:p w14:paraId="14C7D8C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905" w:type="dxa"/>
            <w:noWrap/>
            <w:hideMark/>
          </w:tcPr>
          <w:p w14:paraId="51D3B7C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385.3</w:t>
            </w:r>
          </w:p>
        </w:tc>
        <w:tc>
          <w:tcPr>
            <w:tcW w:w="0" w:type="auto"/>
            <w:noWrap/>
            <w:hideMark/>
          </w:tcPr>
          <w:p w14:paraId="423E790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3.3</w:t>
            </w:r>
          </w:p>
        </w:tc>
        <w:tc>
          <w:tcPr>
            <w:tcW w:w="1303" w:type="dxa"/>
            <w:noWrap/>
            <w:hideMark/>
          </w:tcPr>
          <w:p w14:paraId="71B5E7A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41.7</w:t>
            </w:r>
          </w:p>
        </w:tc>
        <w:tc>
          <w:tcPr>
            <w:tcW w:w="1316" w:type="dxa"/>
            <w:noWrap/>
            <w:hideMark/>
          </w:tcPr>
          <w:p w14:paraId="6A857B1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1013" w:type="dxa"/>
            <w:noWrap/>
            <w:hideMark/>
          </w:tcPr>
          <w:p w14:paraId="1DCEFD0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0" w:type="auto"/>
            <w:noWrap/>
            <w:hideMark/>
          </w:tcPr>
          <w:p w14:paraId="28CE358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29.8</w:t>
            </w:r>
          </w:p>
        </w:tc>
        <w:tc>
          <w:tcPr>
            <w:tcW w:w="773" w:type="dxa"/>
            <w:noWrap/>
            <w:hideMark/>
          </w:tcPr>
          <w:p w14:paraId="09E7A40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50.1</w:t>
            </w:r>
          </w:p>
        </w:tc>
        <w:tc>
          <w:tcPr>
            <w:tcW w:w="841" w:type="dxa"/>
            <w:noWrap/>
            <w:hideMark/>
          </w:tcPr>
          <w:p w14:paraId="168B83C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30.8</w:t>
            </w:r>
          </w:p>
        </w:tc>
      </w:tr>
      <w:tr w:rsidR="00D223CA" w:rsidRPr="00BF4C4E" w14:paraId="0D47AEBC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5665B7A5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</w:t>
            </w:r>
          </w:p>
        </w:tc>
        <w:tc>
          <w:tcPr>
            <w:tcW w:w="1177" w:type="dxa"/>
            <w:noWrap/>
            <w:hideMark/>
          </w:tcPr>
          <w:p w14:paraId="1743243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74.1</w:t>
            </w:r>
          </w:p>
        </w:tc>
        <w:tc>
          <w:tcPr>
            <w:tcW w:w="915" w:type="dxa"/>
            <w:noWrap/>
            <w:hideMark/>
          </w:tcPr>
          <w:p w14:paraId="05D106C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905" w:type="dxa"/>
            <w:noWrap/>
            <w:hideMark/>
          </w:tcPr>
          <w:p w14:paraId="3EFEE8D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74.1</w:t>
            </w:r>
          </w:p>
        </w:tc>
        <w:tc>
          <w:tcPr>
            <w:tcW w:w="0" w:type="auto"/>
            <w:noWrap/>
            <w:hideMark/>
          </w:tcPr>
          <w:p w14:paraId="5437A8C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1303" w:type="dxa"/>
            <w:noWrap/>
            <w:hideMark/>
          </w:tcPr>
          <w:p w14:paraId="7652628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60.1</w:t>
            </w:r>
          </w:p>
        </w:tc>
        <w:tc>
          <w:tcPr>
            <w:tcW w:w="1316" w:type="dxa"/>
            <w:noWrap/>
            <w:hideMark/>
          </w:tcPr>
          <w:p w14:paraId="519AFAD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60.3</w:t>
            </w:r>
          </w:p>
        </w:tc>
        <w:tc>
          <w:tcPr>
            <w:tcW w:w="1013" w:type="dxa"/>
            <w:noWrap/>
            <w:hideMark/>
          </w:tcPr>
          <w:p w14:paraId="4196A2B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72.8</w:t>
            </w:r>
          </w:p>
        </w:tc>
        <w:tc>
          <w:tcPr>
            <w:tcW w:w="0" w:type="auto"/>
            <w:noWrap/>
            <w:hideMark/>
          </w:tcPr>
          <w:p w14:paraId="4AED035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63.6</w:t>
            </w:r>
          </w:p>
        </w:tc>
        <w:tc>
          <w:tcPr>
            <w:tcW w:w="773" w:type="dxa"/>
            <w:noWrap/>
            <w:hideMark/>
          </w:tcPr>
          <w:p w14:paraId="01A54D8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71.5</w:t>
            </w:r>
          </w:p>
        </w:tc>
        <w:tc>
          <w:tcPr>
            <w:tcW w:w="841" w:type="dxa"/>
            <w:noWrap/>
            <w:hideMark/>
          </w:tcPr>
          <w:p w14:paraId="3D9B639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61.8</w:t>
            </w:r>
          </w:p>
        </w:tc>
      </w:tr>
      <w:tr w:rsidR="00D223CA" w:rsidRPr="00BF4C4E" w14:paraId="51F45BFB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1207274F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Household accommodation not valued separately</w:t>
            </w:r>
          </w:p>
        </w:tc>
        <w:tc>
          <w:tcPr>
            <w:tcW w:w="1177" w:type="dxa"/>
            <w:noWrap/>
            <w:hideMark/>
          </w:tcPr>
          <w:p w14:paraId="377BC05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15" w:type="dxa"/>
            <w:noWrap/>
            <w:hideMark/>
          </w:tcPr>
          <w:p w14:paraId="218E9DC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05" w:type="dxa"/>
            <w:noWrap/>
            <w:hideMark/>
          </w:tcPr>
          <w:p w14:paraId="7746A7E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CA49BB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303" w:type="dxa"/>
            <w:noWrap/>
            <w:hideMark/>
          </w:tcPr>
          <w:p w14:paraId="01F5AD7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10.9</w:t>
            </w:r>
          </w:p>
        </w:tc>
        <w:tc>
          <w:tcPr>
            <w:tcW w:w="1316" w:type="dxa"/>
            <w:noWrap/>
            <w:hideMark/>
          </w:tcPr>
          <w:p w14:paraId="490D8CA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10.9</w:t>
            </w:r>
          </w:p>
        </w:tc>
        <w:tc>
          <w:tcPr>
            <w:tcW w:w="1013" w:type="dxa"/>
            <w:noWrap/>
            <w:hideMark/>
          </w:tcPr>
          <w:p w14:paraId="27DA6A6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13163B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73" w:type="dxa"/>
            <w:noWrap/>
            <w:hideMark/>
          </w:tcPr>
          <w:p w14:paraId="5ECC0D7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41" w:type="dxa"/>
            <w:noWrap/>
            <w:hideMark/>
          </w:tcPr>
          <w:p w14:paraId="552D9D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D223CA" w:rsidRPr="00BF4C4E" w14:paraId="614F1870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26799DB4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77" w:type="dxa"/>
            <w:noWrap/>
            <w:hideMark/>
          </w:tcPr>
          <w:p w14:paraId="22A3BCF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12135.9</w:t>
            </w:r>
          </w:p>
        </w:tc>
        <w:tc>
          <w:tcPr>
            <w:tcW w:w="915" w:type="dxa"/>
            <w:noWrap/>
            <w:hideMark/>
          </w:tcPr>
          <w:p w14:paraId="7E95EB0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noWrap/>
            <w:hideMark/>
          </w:tcPr>
          <w:p w14:paraId="586689C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11668.1</w:t>
            </w:r>
          </w:p>
        </w:tc>
        <w:tc>
          <w:tcPr>
            <w:tcW w:w="0" w:type="auto"/>
            <w:noWrap/>
            <w:hideMark/>
          </w:tcPr>
          <w:p w14:paraId="70C0FC3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1303" w:type="dxa"/>
            <w:noWrap/>
            <w:hideMark/>
          </w:tcPr>
          <w:p w14:paraId="369806F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1512FC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22A3395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DB9A1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05B367B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E9FBE2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3FFE67BA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677A7BE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177" w:type="dxa"/>
            <w:noWrap/>
            <w:hideMark/>
          </w:tcPr>
          <w:p w14:paraId="376AD6A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8BA8AF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477210C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FB77F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3336235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3EF7582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31FE11A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F74D8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7C66913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5DE661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7D8E031D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1DDE2456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Employed</w:t>
            </w:r>
          </w:p>
        </w:tc>
        <w:tc>
          <w:tcPr>
            <w:tcW w:w="1177" w:type="dxa"/>
            <w:noWrap/>
            <w:hideMark/>
          </w:tcPr>
          <w:p w14:paraId="6E24C1F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4370.3</w:t>
            </w:r>
          </w:p>
        </w:tc>
        <w:tc>
          <w:tcPr>
            <w:tcW w:w="915" w:type="dxa"/>
            <w:noWrap/>
            <w:hideMark/>
          </w:tcPr>
          <w:p w14:paraId="13313E6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905" w:type="dxa"/>
            <w:noWrap/>
            <w:hideMark/>
          </w:tcPr>
          <w:p w14:paraId="6334A97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4115</w:t>
            </w:r>
          </w:p>
        </w:tc>
        <w:tc>
          <w:tcPr>
            <w:tcW w:w="0" w:type="auto"/>
            <w:noWrap/>
            <w:hideMark/>
          </w:tcPr>
          <w:p w14:paraId="7655700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34.0</w:t>
            </w:r>
          </w:p>
        </w:tc>
        <w:tc>
          <w:tcPr>
            <w:tcW w:w="1303" w:type="dxa"/>
            <w:noWrap/>
            <w:hideMark/>
          </w:tcPr>
          <w:p w14:paraId="46B8834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30.4</w:t>
            </w:r>
          </w:p>
        </w:tc>
        <w:tc>
          <w:tcPr>
            <w:tcW w:w="1316" w:type="dxa"/>
            <w:noWrap/>
            <w:hideMark/>
          </w:tcPr>
          <w:p w14:paraId="2F92266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28.6</w:t>
            </w:r>
          </w:p>
        </w:tc>
        <w:tc>
          <w:tcPr>
            <w:tcW w:w="1013" w:type="dxa"/>
            <w:noWrap/>
            <w:hideMark/>
          </w:tcPr>
          <w:p w14:paraId="14D8C3F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24.1</w:t>
            </w:r>
          </w:p>
        </w:tc>
        <w:tc>
          <w:tcPr>
            <w:tcW w:w="0" w:type="auto"/>
            <w:noWrap/>
            <w:hideMark/>
          </w:tcPr>
          <w:p w14:paraId="5AE2C68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15.9</w:t>
            </w:r>
          </w:p>
        </w:tc>
        <w:tc>
          <w:tcPr>
            <w:tcW w:w="773" w:type="dxa"/>
            <w:noWrap/>
            <w:hideMark/>
          </w:tcPr>
          <w:p w14:paraId="48E7F7A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841" w:type="dxa"/>
            <w:noWrap/>
            <w:hideMark/>
          </w:tcPr>
          <w:p w14:paraId="0615634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16.6</w:t>
            </w:r>
          </w:p>
        </w:tc>
      </w:tr>
      <w:tr w:rsidR="00D223CA" w:rsidRPr="00BF4C4E" w14:paraId="73DE4C60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4C1A6074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Unemployed</w:t>
            </w:r>
          </w:p>
        </w:tc>
        <w:tc>
          <w:tcPr>
            <w:tcW w:w="1177" w:type="dxa"/>
            <w:noWrap/>
            <w:hideMark/>
          </w:tcPr>
          <w:p w14:paraId="2AF311C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450.2</w:t>
            </w:r>
          </w:p>
        </w:tc>
        <w:tc>
          <w:tcPr>
            <w:tcW w:w="915" w:type="dxa"/>
            <w:noWrap/>
            <w:hideMark/>
          </w:tcPr>
          <w:p w14:paraId="49FE4F7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</w:t>
            </w:r>
          </w:p>
        </w:tc>
        <w:tc>
          <w:tcPr>
            <w:tcW w:w="905" w:type="dxa"/>
            <w:noWrap/>
            <w:hideMark/>
          </w:tcPr>
          <w:p w14:paraId="3C3A92D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441.7</w:t>
            </w:r>
          </w:p>
        </w:tc>
        <w:tc>
          <w:tcPr>
            <w:tcW w:w="0" w:type="auto"/>
            <w:noWrap/>
            <w:hideMark/>
          </w:tcPr>
          <w:p w14:paraId="2E1F43E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</w:t>
            </w:r>
          </w:p>
        </w:tc>
        <w:tc>
          <w:tcPr>
            <w:tcW w:w="1303" w:type="dxa"/>
            <w:noWrap/>
            <w:hideMark/>
          </w:tcPr>
          <w:p w14:paraId="007DB97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65.2</w:t>
            </w:r>
          </w:p>
        </w:tc>
        <w:tc>
          <w:tcPr>
            <w:tcW w:w="1316" w:type="dxa"/>
            <w:noWrap/>
            <w:hideMark/>
          </w:tcPr>
          <w:p w14:paraId="723FA51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1013" w:type="dxa"/>
            <w:noWrap/>
            <w:hideMark/>
          </w:tcPr>
          <w:p w14:paraId="0EAD9EC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22.6</w:t>
            </w:r>
          </w:p>
        </w:tc>
        <w:tc>
          <w:tcPr>
            <w:tcW w:w="0" w:type="auto"/>
            <w:noWrap/>
            <w:hideMark/>
          </w:tcPr>
          <w:p w14:paraId="35B01C1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17.3</w:t>
            </w:r>
          </w:p>
        </w:tc>
        <w:tc>
          <w:tcPr>
            <w:tcW w:w="773" w:type="dxa"/>
            <w:noWrap/>
            <w:hideMark/>
          </w:tcPr>
          <w:p w14:paraId="40319CB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22.7</w:t>
            </w:r>
          </w:p>
        </w:tc>
        <w:tc>
          <w:tcPr>
            <w:tcW w:w="841" w:type="dxa"/>
            <w:noWrap/>
            <w:hideMark/>
          </w:tcPr>
          <w:p w14:paraId="4A5682A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</w:t>
            </w:r>
          </w:p>
        </w:tc>
      </w:tr>
      <w:tr w:rsidR="00D223CA" w:rsidRPr="00BF4C4E" w14:paraId="590AA278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322502AD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Inactive</w:t>
            </w:r>
          </w:p>
        </w:tc>
        <w:tc>
          <w:tcPr>
            <w:tcW w:w="1177" w:type="dxa"/>
            <w:noWrap/>
            <w:hideMark/>
          </w:tcPr>
          <w:p w14:paraId="50E46DC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5665.8</w:t>
            </w:r>
          </w:p>
        </w:tc>
        <w:tc>
          <w:tcPr>
            <w:tcW w:w="915" w:type="dxa"/>
            <w:noWrap/>
            <w:hideMark/>
          </w:tcPr>
          <w:p w14:paraId="6655523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905" w:type="dxa"/>
            <w:noWrap/>
            <w:hideMark/>
          </w:tcPr>
          <w:p w14:paraId="723F4A9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5494.6</w:t>
            </w:r>
          </w:p>
        </w:tc>
        <w:tc>
          <w:tcPr>
            <w:tcW w:w="0" w:type="auto"/>
            <w:noWrap/>
            <w:hideMark/>
          </w:tcPr>
          <w:p w14:paraId="011E4BF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45.4</w:t>
            </w:r>
          </w:p>
        </w:tc>
        <w:tc>
          <w:tcPr>
            <w:tcW w:w="1303" w:type="dxa"/>
            <w:noWrap/>
            <w:hideMark/>
          </w:tcPr>
          <w:p w14:paraId="02542D6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52.3</w:t>
            </w:r>
          </w:p>
        </w:tc>
        <w:tc>
          <w:tcPr>
            <w:tcW w:w="1316" w:type="dxa"/>
            <w:noWrap/>
            <w:hideMark/>
          </w:tcPr>
          <w:p w14:paraId="725E7B8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50.7</w:t>
            </w:r>
          </w:p>
        </w:tc>
        <w:tc>
          <w:tcPr>
            <w:tcW w:w="1013" w:type="dxa"/>
            <w:noWrap/>
            <w:hideMark/>
          </w:tcPr>
          <w:p w14:paraId="2DB57E0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6AFF86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  <w:tc>
          <w:tcPr>
            <w:tcW w:w="773" w:type="dxa"/>
            <w:noWrap/>
            <w:hideMark/>
          </w:tcPr>
          <w:p w14:paraId="47D973E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841" w:type="dxa"/>
            <w:noWrap/>
            <w:hideMark/>
          </w:tcPr>
          <w:p w14:paraId="7C40B27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</w:tr>
      <w:tr w:rsidR="00D223CA" w:rsidRPr="00BF4C4E" w14:paraId="1FAE14F8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807B488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Not recorded </w:t>
            </w:r>
          </w:p>
        </w:tc>
        <w:tc>
          <w:tcPr>
            <w:tcW w:w="1177" w:type="dxa"/>
            <w:noWrap/>
            <w:hideMark/>
          </w:tcPr>
          <w:p w14:paraId="2AA57E3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2089.5</w:t>
            </w:r>
          </w:p>
        </w:tc>
        <w:tc>
          <w:tcPr>
            <w:tcW w:w="915" w:type="dxa"/>
            <w:noWrap/>
            <w:hideMark/>
          </w:tcPr>
          <w:p w14:paraId="29E75E9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16.6</w:t>
            </w:r>
          </w:p>
        </w:tc>
        <w:tc>
          <w:tcPr>
            <w:tcW w:w="905" w:type="dxa"/>
            <w:noWrap/>
            <w:hideMark/>
          </w:tcPr>
          <w:p w14:paraId="2C24AE8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2049.7</w:t>
            </w:r>
          </w:p>
        </w:tc>
        <w:tc>
          <w:tcPr>
            <w:tcW w:w="0" w:type="auto"/>
            <w:noWrap/>
            <w:hideMark/>
          </w:tcPr>
          <w:p w14:paraId="1649666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16.9</w:t>
            </w:r>
          </w:p>
        </w:tc>
        <w:tc>
          <w:tcPr>
            <w:tcW w:w="1303" w:type="dxa"/>
            <w:noWrap/>
            <w:hideMark/>
          </w:tcPr>
          <w:p w14:paraId="18EAA86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61.8</w:t>
            </w:r>
          </w:p>
        </w:tc>
        <w:tc>
          <w:tcPr>
            <w:tcW w:w="1316" w:type="dxa"/>
            <w:noWrap/>
            <w:hideMark/>
          </w:tcPr>
          <w:p w14:paraId="7D4B649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1013" w:type="dxa"/>
            <w:noWrap/>
            <w:hideMark/>
          </w:tcPr>
          <w:p w14:paraId="505EC14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28.6</w:t>
            </w:r>
          </w:p>
        </w:tc>
        <w:tc>
          <w:tcPr>
            <w:tcW w:w="0" w:type="auto"/>
            <w:noWrap/>
            <w:hideMark/>
          </w:tcPr>
          <w:p w14:paraId="5E29CB7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21.6</w:t>
            </w:r>
          </w:p>
        </w:tc>
        <w:tc>
          <w:tcPr>
            <w:tcW w:w="773" w:type="dxa"/>
            <w:noWrap/>
            <w:hideMark/>
          </w:tcPr>
          <w:p w14:paraId="0470363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28.5</w:t>
            </w:r>
          </w:p>
        </w:tc>
        <w:tc>
          <w:tcPr>
            <w:tcW w:w="841" w:type="dxa"/>
            <w:noWrap/>
            <w:hideMark/>
          </w:tcPr>
          <w:p w14:paraId="5FDC40C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21.3</w:t>
            </w:r>
          </w:p>
        </w:tc>
      </w:tr>
      <w:tr w:rsidR="00D223CA" w:rsidRPr="00BF4C4E" w14:paraId="73CEABCA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4673F8A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77" w:type="dxa"/>
            <w:noWrap/>
            <w:hideMark/>
          </w:tcPr>
          <w:p w14:paraId="37FD7BF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12575.9</w:t>
            </w:r>
          </w:p>
        </w:tc>
        <w:tc>
          <w:tcPr>
            <w:tcW w:w="915" w:type="dxa"/>
            <w:noWrap/>
            <w:hideMark/>
          </w:tcPr>
          <w:p w14:paraId="128A26E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noWrap/>
            <w:hideMark/>
          </w:tcPr>
          <w:p w14:paraId="5904044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12101</w:t>
            </w:r>
          </w:p>
        </w:tc>
        <w:tc>
          <w:tcPr>
            <w:tcW w:w="0" w:type="auto"/>
            <w:noWrap/>
            <w:hideMark/>
          </w:tcPr>
          <w:p w14:paraId="0A25CC4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303" w:type="dxa"/>
            <w:noWrap/>
            <w:hideMark/>
          </w:tcPr>
          <w:p w14:paraId="671A6C2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BB3DC0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3E0CB37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4CA0D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7EC300B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19FF578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1FFED061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5AA14FFB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798623B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A1584B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16913AE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8E2C6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554B306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08BF0D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53A2A49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191422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5CA45B7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2856AB8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34BB0108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D8CE286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Tenure type</w:t>
            </w:r>
          </w:p>
        </w:tc>
        <w:tc>
          <w:tcPr>
            <w:tcW w:w="1177" w:type="dxa"/>
            <w:noWrap/>
            <w:hideMark/>
          </w:tcPr>
          <w:p w14:paraId="70DAD48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617C1B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28705E2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9D9E17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36ABEC3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C91232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66FDE1E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D08C9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3FADB09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55BFB0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7D69F8A4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05236B8C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Local authority</w:t>
            </w:r>
          </w:p>
        </w:tc>
        <w:tc>
          <w:tcPr>
            <w:tcW w:w="1177" w:type="dxa"/>
            <w:noWrap/>
            <w:hideMark/>
          </w:tcPr>
          <w:p w14:paraId="3AE192F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1526.1</w:t>
            </w:r>
          </w:p>
        </w:tc>
        <w:tc>
          <w:tcPr>
            <w:tcW w:w="915" w:type="dxa"/>
            <w:noWrap/>
            <w:hideMark/>
          </w:tcPr>
          <w:p w14:paraId="7ACF843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905" w:type="dxa"/>
            <w:noWrap/>
            <w:hideMark/>
          </w:tcPr>
          <w:p w14:paraId="0610093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1479.1</w:t>
            </w:r>
          </w:p>
        </w:tc>
        <w:tc>
          <w:tcPr>
            <w:tcW w:w="0" w:type="auto"/>
            <w:noWrap/>
            <w:hideMark/>
          </w:tcPr>
          <w:p w14:paraId="303DAD7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1303" w:type="dxa"/>
            <w:noWrap/>
            <w:hideMark/>
          </w:tcPr>
          <w:p w14:paraId="4935649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68.9</w:t>
            </w:r>
          </w:p>
        </w:tc>
        <w:tc>
          <w:tcPr>
            <w:tcW w:w="1316" w:type="dxa"/>
            <w:noWrap/>
            <w:hideMark/>
          </w:tcPr>
          <w:p w14:paraId="20608F9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66.8</w:t>
            </w:r>
          </w:p>
        </w:tc>
        <w:tc>
          <w:tcPr>
            <w:tcW w:w="1013" w:type="dxa"/>
            <w:noWrap/>
            <w:hideMark/>
          </w:tcPr>
          <w:p w14:paraId="3372013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0" w:type="auto"/>
            <w:noWrap/>
            <w:hideMark/>
          </w:tcPr>
          <w:p w14:paraId="37A5F8B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</w:t>
            </w:r>
          </w:p>
        </w:tc>
        <w:tc>
          <w:tcPr>
            <w:tcW w:w="773" w:type="dxa"/>
            <w:noWrap/>
            <w:hideMark/>
          </w:tcPr>
          <w:p w14:paraId="75428A5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841" w:type="dxa"/>
            <w:noWrap/>
            <w:hideMark/>
          </w:tcPr>
          <w:p w14:paraId="14C24F5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</w:t>
            </w:r>
          </w:p>
        </w:tc>
      </w:tr>
      <w:tr w:rsidR="00D223CA" w:rsidRPr="00BF4C4E" w14:paraId="5DDFBBB4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574B572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Housing Association </w:t>
            </w:r>
          </w:p>
        </w:tc>
        <w:tc>
          <w:tcPr>
            <w:tcW w:w="1177" w:type="dxa"/>
            <w:noWrap/>
            <w:hideMark/>
          </w:tcPr>
          <w:p w14:paraId="4961B8A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915" w:type="dxa"/>
            <w:noWrap/>
            <w:hideMark/>
          </w:tcPr>
          <w:p w14:paraId="44F570C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05" w:type="dxa"/>
            <w:noWrap/>
            <w:hideMark/>
          </w:tcPr>
          <w:p w14:paraId="16F540A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1099.9</w:t>
            </w:r>
          </w:p>
        </w:tc>
        <w:tc>
          <w:tcPr>
            <w:tcW w:w="0" w:type="auto"/>
            <w:noWrap/>
            <w:hideMark/>
          </w:tcPr>
          <w:p w14:paraId="59BE8B9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</w:t>
            </w:r>
          </w:p>
        </w:tc>
        <w:tc>
          <w:tcPr>
            <w:tcW w:w="1303" w:type="dxa"/>
            <w:noWrap/>
            <w:hideMark/>
          </w:tcPr>
          <w:p w14:paraId="7DFD941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1316" w:type="dxa"/>
            <w:noWrap/>
            <w:hideMark/>
          </w:tcPr>
          <w:p w14:paraId="042722B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1013" w:type="dxa"/>
            <w:noWrap/>
            <w:hideMark/>
          </w:tcPr>
          <w:p w14:paraId="6C6B200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23.2</w:t>
            </w:r>
          </w:p>
        </w:tc>
        <w:tc>
          <w:tcPr>
            <w:tcW w:w="0" w:type="auto"/>
            <w:noWrap/>
            <w:hideMark/>
          </w:tcPr>
          <w:p w14:paraId="64B918D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773" w:type="dxa"/>
            <w:noWrap/>
            <w:hideMark/>
          </w:tcPr>
          <w:p w14:paraId="2BFBD29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841" w:type="dxa"/>
            <w:noWrap/>
            <w:hideMark/>
          </w:tcPr>
          <w:p w14:paraId="76CAD1C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</w:t>
            </w:r>
          </w:p>
        </w:tc>
      </w:tr>
      <w:tr w:rsidR="00D223CA" w:rsidRPr="00BF4C4E" w14:paraId="19EE81BC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B30C992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Private rented</w:t>
            </w:r>
          </w:p>
        </w:tc>
        <w:tc>
          <w:tcPr>
            <w:tcW w:w="1177" w:type="dxa"/>
            <w:noWrap/>
            <w:hideMark/>
          </w:tcPr>
          <w:p w14:paraId="49B1D66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2633.6</w:t>
            </w:r>
          </w:p>
        </w:tc>
        <w:tc>
          <w:tcPr>
            <w:tcW w:w="915" w:type="dxa"/>
            <w:noWrap/>
            <w:hideMark/>
          </w:tcPr>
          <w:p w14:paraId="467C257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20.9</w:t>
            </w:r>
          </w:p>
        </w:tc>
        <w:tc>
          <w:tcPr>
            <w:tcW w:w="905" w:type="dxa"/>
            <w:noWrap/>
            <w:hideMark/>
          </w:tcPr>
          <w:p w14:paraId="23B6D2A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2548.7</w:t>
            </w:r>
          </w:p>
        </w:tc>
        <w:tc>
          <w:tcPr>
            <w:tcW w:w="0" w:type="auto"/>
            <w:noWrap/>
            <w:hideMark/>
          </w:tcPr>
          <w:p w14:paraId="37BB100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303" w:type="dxa"/>
            <w:noWrap/>
            <w:hideMark/>
          </w:tcPr>
          <w:p w14:paraId="1E62B67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1316" w:type="dxa"/>
            <w:noWrap/>
            <w:hideMark/>
          </w:tcPr>
          <w:p w14:paraId="4BFE7F2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46.9</w:t>
            </w:r>
          </w:p>
        </w:tc>
        <w:tc>
          <w:tcPr>
            <w:tcW w:w="1013" w:type="dxa"/>
            <w:noWrap/>
            <w:hideMark/>
          </w:tcPr>
          <w:p w14:paraId="7D6083B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0" w:type="auto"/>
            <w:noWrap/>
            <w:hideMark/>
          </w:tcPr>
          <w:p w14:paraId="7AA9ABB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17.3</w:t>
            </w:r>
          </w:p>
        </w:tc>
        <w:tc>
          <w:tcPr>
            <w:tcW w:w="773" w:type="dxa"/>
            <w:noWrap/>
            <w:hideMark/>
          </w:tcPr>
          <w:p w14:paraId="5A2D7A2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841" w:type="dxa"/>
            <w:noWrap/>
            <w:hideMark/>
          </w:tcPr>
          <w:p w14:paraId="1DB3E89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D223CA" w:rsidRPr="00BF4C4E" w14:paraId="3199FE4E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DF3C875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Owned/ mortgaged/ outright</w:t>
            </w:r>
          </w:p>
        </w:tc>
        <w:tc>
          <w:tcPr>
            <w:tcW w:w="1177" w:type="dxa"/>
            <w:noWrap/>
            <w:hideMark/>
          </w:tcPr>
          <w:p w14:paraId="3C5E356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7143.7</w:t>
            </w:r>
          </w:p>
        </w:tc>
        <w:tc>
          <w:tcPr>
            <w:tcW w:w="915" w:type="dxa"/>
            <w:noWrap/>
            <w:hideMark/>
          </w:tcPr>
          <w:p w14:paraId="0534796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56.7</w:t>
            </w:r>
          </w:p>
        </w:tc>
        <w:tc>
          <w:tcPr>
            <w:tcW w:w="905" w:type="dxa"/>
            <w:noWrap/>
            <w:hideMark/>
          </w:tcPr>
          <w:p w14:paraId="49233AD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6835.7</w:t>
            </w:r>
          </w:p>
        </w:tc>
        <w:tc>
          <w:tcPr>
            <w:tcW w:w="0" w:type="auto"/>
            <w:noWrap/>
            <w:hideMark/>
          </w:tcPr>
          <w:p w14:paraId="679527B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56.4</w:t>
            </w:r>
          </w:p>
        </w:tc>
        <w:tc>
          <w:tcPr>
            <w:tcW w:w="1303" w:type="dxa"/>
            <w:noWrap/>
            <w:hideMark/>
          </w:tcPr>
          <w:p w14:paraId="6020861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37.2</w:t>
            </w:r>
          </w:p>
        </w:tc>
        <w:tc>
          <w:tcPr>
            <w:tcW w:w="1316" w:type="dxa"/>
            <w:noWrap/>
            <w:hideMark/>
          </w:tcPr>
          <w:p w14:paraId="5AC61E6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35.6</w:t>
            </w:r>
          </w:p>
        </w:tc>
        <w:tc>
          <w:tcPr>
            <w:tcW w:w="1013" w:type="dxa"/>
            <w:noWrap/>
            <w:hideMark/>
          </w:tcPr>
          <w:p w14:paraId="7D89A97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23.5</w:t>
            </w:r>
          </w:p>
        </w:tc>
        <w:tc>
          <w:tcPr>
            <w:tcW w:w="0" w:type="auto"/>
            <w:noWrap/>
            <w:hideMark/>
          </w:tcPr>
          <w:p w14:paraId="253715B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73" w:type="dxa"/>
            <w:noWrap/>
            <w:hideMark/>
          </w:tcPr>
          <w:p w14:paraId="4D49057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841" w:type="dxa"/>
            <w:noWrap/>
            <w:hideMark/>
          </w:tcPr>
          <w:p w14:paraId="0562927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D223CA" w:rsidRPr="00BF4C4E" w14:paraId="6975AF18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7BBDC1B6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Rent free</w:t>
            </w:r>
          </w:p>
        </w:tc>
        <w:tc>
          <w:tcPr>
            <w:tcW w:w="1177" w:type="dxa"/>
            <w:noWrap/>
            <w:hideMark/>
          </w:tcPr>
          <w:p w14:paraId="39BD58F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151.9</w:t>
            </w:r>
          </w:p>
        </w:tc>
        <w:tc>
          <w:tcPr>
            <w:tcW w:w="915" w:type="dxa"/>
            <w:noWrap/>
            <w:hideMark/>
          </w:tcPr>
          <w:p w14:paraId="300B646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905" w:type="dxa"/>
            <w:noWrap/>
            <w:hideMark/>
          </w:tcPr>
          <w:p w14:paraId="4016DD3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151.9</w:t>
            </w:r>
          </w:p>
        </w:tc>
        <w:tc>
          <w:tcPr>
            <w:tcW w:w="0" w:type="auto"/>
            <w:noWrap/>
            <w:hideMark/>
          </w:tcPr>
          <w:p w14:paraId="48316A1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1303" w:type="dxa"/>
            <w:noWrap/>
            <w:hideMark/>
          </w:tcPr>
          <w:p w14:paraId="2AC099E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1316" w:type="dxa"/>
            <w:noWrap/>
            <w:hideMark/>
          </w:tcPr>
          <w:p w14:paraId="39DDE63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1013" w:type="dxa"/>
            <w:noWrap/>
            <w:hideMark/>
          </w:tcPr>
          <w:p w14:paraId="10D508D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24.9</w:t>
            </w:r>
          </w:p>
        </w:tc>
        <w:tc>
          <w:tcPr>
            <w:tcW w:w="0" w:type="auto"/>
            <w:noWrap/>
            <w:hideMark/>
          </w:tcPr>
          <w:p w14:paraId="57C129E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28.8</w:t>
            </w:r>
          </w:p>
        </w:tc>
        <w:tc>
          <w:tcPr>
            <w:tcW w:w="773" w:type="dxa"/>
            <w:noWrap/>
            <w:hideMark/>
          </w:tcPr>
          <w:p w14:paraId="287137D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841" w:type="dxa"/>
            <w:noWrap/>
            <w:hideMark/>
          </w:tcPr>
          <w:p w14:paraId="1A772FE9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D223CA" w:rsidRPr="00BF4C4E" w14:paraId="74E6F1C7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2CB276C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77" w:type="dxa"/>
            <w:noWrap/>
            <w:hideMark/>
          </w:tcPr>
          <w:p w14:paraId="26B4562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12590.1</w:t>
            </w:r>
          </w:p>
        </w:tc>
        <w:tc>
          <w:tcPr>
            <w:tcW w:w="915" w:type="dxa"/>
            <w:noWrap/>
            <w:hideMark/>
          </w:tcPr>
          <w:p w14:paraId="6F5A73B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noWrap/>
            <w:hideMark/>
          </w:tcPr>
          <w:p w14:paraId="7C16AB0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12115.2</w:t>
            </w:r>
          </w:p>
        </w:tc>
        <w:tc>
          <w:tcPr>
            <w:tcW w:w="0" w:type="auto"/>
            <w:noWrap/>
            <w:hideMark/>
          </w:tcPr>
          <w:p w14:paraId="0CACA43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303" w:type="dxa"/>
            <w:noWrap/>
            <w:hideMark/>
          </w:tcPr>
          <w:p w14:paraId="5625402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6E1BE8E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3FC27E4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372F84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0CAAB1A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B6D231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68DFC5F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5AD65EBF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6CFD9E2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8AA078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0DF098F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2844E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3DE7DBE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2EB4D0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17F632C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B05AE3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03FA5DB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6EACDA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44C67B49" w14:textId="77777777" w:rsidTr="00BF4C4E">
        <w:trPr>
          <w:trHeight w:val="20"/>
        </w:trPr>
        <w:tc>
          <w:tcPr>
            <w:tcW w:w="0" w:type="auto"/>
            <w:noWrap/>
            <w:hideMark/>
          </w:tcPr>
          <w:p w14:paraId="6BBAC08A" w14:textId="77777777" w:rsidR="00A141D5" w:rsidRPr="00BF4C4E" w:rsidRDefault="00A141D5" w:rsidP="00A141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Income poverty</w:t>
            </w:r>
          </w:p>
        </w:tc>
        <w:tc>
          <w:tcPr>
            <w:tcW w:w="1177" w:type="dxa"/>
            <w:noWrap/>
            <w:hideMark/>
          </w:tcPr>
          <w:p w14:paraId="76795B3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8ADABE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29A8325B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A08F72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0EABDFB5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2B1EDAE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2EF81EA1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BBC80C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noWrap/>
            <w:hideMark/>
          </w:tcPr>
          <w:p w14:paraId="61F67216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683AE67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223CA" w:rsidRPr="00BF4C4E" w14:paraId="12C1BDD2" w14:textId="77777777" w:rsidTr="00CA39D8">
        <w:trPr>
          <w:trHeight w:val="196"/>
        </w:trPr>
        <w:tc>
          <w:tcPr>
            <w:tcW w:w="0" w:type="auto"/>
            <w:noWrap/>
            <w:hideMark/>
          </w:tcPr>
          <w:p w14:paraId="0D747F82" w14:textId="75E38B4B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(</w:t>
            </w:r>
            <w:r w:rsidR="00503DEE"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i.e.</w:t>
            </w: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&gt;=60% median income) </w:t>
            </w:r>
          </w:p>
        </w:tc>
        <w:tc>
          <w:tcPr>
            <w:tcW w:w="1177" w:type="dxa"/>
            <w:noWrap/>
          </w:tcPr>
          <w:p w14:paraId="494C457D" w14:textId="691EC4F4" w:rsidR="00A141D5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6801</w:t>
            </w:r>
          </w:p>
        </w:tc>
        <w:tc>
          <w:tcPr>
            <w:tcW w:w="915" w:type="dxa"/>
            <w:noWrap/>
          </w:tcPr>
          <w:p w14:paraId="0E12AD25" w14:textId="1446545A" w:rsidR="00A141D5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905" w:type="dxa"/>
            <w:noWrap/>
          </w:tcPr>
          <w:p w14:paraId="7D892B05" w14:textId="5A4ED642" w:rsidR="00A141D5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6426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</w:tcPr>
          <w:p w14:paraId="12446311" w14:textId="1A521C3A" w:rsidR="00A141D5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03" w:type="dxa"/>
            <w:noWrap/>
          </w:tcPr>
          <w:p w14:paraId="64994D94" w14:textId="21A90FFA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30.4</w:t>
            </w:r>
          </w:p>
        </w:tc>
        <w:tc>
          <w:tcPr>
            <w:tcW w:w="1316" w:type="dxa"/>
            <w:noWrap/>
          </w:tcPr>
          <w:p w14:paraId="68420EC4" w14:textId="3E39BC21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28.7</w:t>
            </w:r>
          </w:p>
        </w:tc>
        <w:tc>
          <w:tcPr>
            <w:tcW w:w="1013" w:type="dxa"/>
            <w:noWrap/>
          </w:tcPr>
          <w:p w14:paraId="493D538A" w14:textId="1AB7C579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0" w:type="auto"/>
            <w:noWrap/>
          </w:tcPr>
          <w:p w14:paraId="50BAA2E8" w14:textId="34A3FFEB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14.8</w:t>
            </w:r>
          </w:p>
        </w:tc>
        <w:tc>
          <w:tcPr>
            <w:tcW w:w="773" w:type="dxa"/>
            <w:noWrap/>
          </w:tcPr>
          <w:p w14:paraId="23088CF4" w14:textId="5C75FFF9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21.9</w:t>
            </w:r>
          </w:p>
        </w:tc>
        <w:tc>
          <w:tcPr>
            <w:tcW w:w="841" w:type="dxa"/>
            <w:noWrap/>
          </w:tcPr>
          <w:p w14:paraId="1A142AFC" w14:textId="6D8A4E2E" w:rsidR="00CA39D8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14.9</w:t>
            </w:r>
          </w:p>
        </w:tc>
      </w:tr>
      <w:tr w:rsidR="00D223CA" w:rsidRPr="00BF4C4E" w14:paraId="7D65A59E" w14:textId="77777777" w:rsidTr="00C060F9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D9BE493" w14:textId="4E093A7D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 (</w:t>
            </w:r>
            <w:r w:rsidR="00503DEE"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i.e.</w:t>
            </w: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&lt; 60% median income) 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noWrap/>
          </w:tcPr>
          <w:p w14:paraId="509CB996" w14:textId="3F3A8324" w:rsidR="00A141D5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5789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noWrap/>
          </w:tcPr>
          <w:p w14:paraId="278895B2" w14:textId="506526EE" w:rsidR="00A141D5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noWrap/>
          </w:tcPr>
          <w:p w14:paraId="3DE39E36" w14:textId="3AF446CF" w:rsidR="00A141D5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5688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0396192" w14:textId="4E3621C3" w:rsidR="00A141D5" w:rsidRPr="00BF4C4E" w:rsidRDefault="00CA39D8" w:rsidP="00CA39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  <w:r w:rsidRPr="00CA3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noWrap/>
          </w:tcPr>
          <w:p w14:paraId="146103B8" w14:textId="0DEEB73E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83.4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</w:tcPr>
          <w:p w14:paraId="68D86FF9" w14:textId="6A412407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82.2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</w:tcPr>
          <w:p w14:paraId="524CA442" w14:textId="23B0A2B7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1465B08" w14:textId="198B0580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noWrap/>
          </w:tcPr>
          <w:p w14:paraId="631F20B0" w14:textId="0A2772BA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</w:tcPr>
          <w:p w14:paraId="3C35F786" w14:textId="53BA8597" w:rsidR="00A141D5" w:rsidRPr="00BF4C4E" w:rsidRDefault="00CA39D8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</w:tr>
      <w:tr w:rsidR="00D223CA" w:rsidRPr="00BF4C4E" w14:paraId="16194312" w14:textId="77777777" w:rsidTr="00732CDF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F8FABB7" w14:textId="77777777" w:rsidR="00A141D5" w:rsidRPr="00BF4C4E" w:rsidRDefault="00A141D5" w:rsidP="00A141D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noWrap/>
            <w:hideMark/>
          </w:tcPr>
          <w:p w14:paraId="05BB552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12590.1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noWrap/>
            <w:hideMark/>
          </w:tcPr>
          <w:p w14:paraId="7EBDE86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noWrap/>
            <w:hideMark/>
          </w:tcPr>
          <w:p w14:paraId="56894BD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12115.2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C309A7A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noWrap/>
            <w:hideMark/>
          </w:tcPr>
          <w:p w14:paraId="1FA32CD0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hideMark/>
          </w:tcPr>
          <w:p w14:paraId="51FAF004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hideMark/>
          </w:tcPr>
          <w:p w14:paraId="22D6BC18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2FABB1D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noWrap/>
            <w:hideMark/>
          </w:tcPr>
          <w:p w14:paraId="07E90B93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hideMark/>
          </w:tcPr>
          <w:p w14:paraId="126DB72F" w14:textId="7777777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F4C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5717F" w:rsidRPr="00BF4C4E" w14:paraId="2A4BACCF" w14:textId="77777777" w:rsidTr="00732CDF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1DC6A739" w14:textId="41DF6BB4" w:rsidR="0055717F" w:rsidRPr="0055717F" w:rsidRDefault="0055717F" w:rsidP="0055717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noWrap/>
          </w:tcPr>
          <w:p w14:paraId="6909EF2D" w14:textId="6B79F78E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12590.1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noWrap/>
          </w:tcPr>
          <w:p w14:paraId="3D297767" w14:textId="411AF66D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noWrap/>
          </w:tcPr>
          <w:p w14:paraId="7AD66D07" w14:textId="426C868B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12115.2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0F2191BE" w14:textId="58725F42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noWrap/>
          </w:tcPr>
          <w:p w14:paraId="15E0E497" w14:textId="420372D4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</w:tcPr>
          <w:p w14:paraId="6FAE4207" w14:textId="1958FA65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</w:tcPr>
          <w:p w14:paraId="0B280A32" w14:textId="058AC432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23.83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1A1BD930" w14:textId="37955AED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16.43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noWrap/>
          </w:tcPr>
          <w:p w14:paraId="3967C2AE" w14:textId="77CE08BE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24.09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</w:tcPr>
          <w:p w14:paraId="5CA4688C" w14:textId="36324847" w:rsidR="0055717F" w:rsidRPr="0055717F" w:rsidRDefault="0055717F" w:rsidP="0055717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71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16.82</w:t>
            </w:r>
          </w:p>
        </w:tc>
      </w:tr>
      <w:tr w:rsidR="00D223CA" w:rsidRPr="00BF4C4E" w14:paraId="60CC853C" w14:textId="77777777" w:rsidTr="00732C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2BA13FE" w14:textId="4BDB08AD" w:rsidR="00A141D5" w:rsidRPr="00BF4C4E" w:rsidRDefault="00A141D5" w:rsidP="00A141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79DE232" w14:textId="69DFDAD5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EFB79CC" w14:textId="4B111859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07C5497" w14:textId="39FA1C01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CC5D14A" w14:textId="4289C291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BFAD2B6" w14:textId="2B4649CB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072525B" w14:textId="6465AA61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CCE366A" w14:textId="2C73753F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E0A53AD" w14:textId="376B5A49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D390583" w14:textId="01D0842D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F95618F" w14:textId="58A30A57" w:rsidR="00A141D5" w:rsidRPr="00BF4C4E" w:rsidRDefault="00A141D5" w:rsidP="00A141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9A25080" w14:textId="77777777" w:rsidR="00BF4C4E" w:rsidRDefault="00BF4C4E" w:rsidP="00C93A6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C9E7115" w14:textId="77777777" w:rsidR="00BF4C4E" w:rsidRDefault="00BF4C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D56B33" w14:textId="42F7199D" w:rsidR="006A535D" w:rsidRPr="002E40EB" w:rsidRDefault="00781784" w:rsidP="00C93A6E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Annex </w:t>
      </w:r>
      <w:r w:rsidR="00183677" w:rsidRPr="002E40EB">
        <w:rPr>
          <w:rFonts w:ascii="Arial" w:hAnsi="Arial" w:cs="Arial"/>
          <w:b/>
          <w:bCs/>
          <w:sz w:val="24"/>
          <w:szCs w:val="24"/>
        </w:rPr>
        <w:t>Table 2:</w:t>
      </w:r>
      <w:r w:rsidR="00183677" w:rsidRPr="002E40EB">
        <w:rPr>
          <w:rFonts w:ascii="Arial" w:hAnsi="Arial" w:cs="Arial"/>
          <w:sz w:val="24"/>
          <w:szCs w:val="24"/>
        </w:rPr>
        <w:t xml:space="preserve"> </w:t>
      </w:r>
      <w:r w:rsidR="00183677" w:rsidRPr="002E40EB">
        <w:rPr>
          <w:rFonts w:ascii="Arial" w:hAnsi="Arial" w:cs="Arial"/>
          <w:b/>
          <w:sz w:val="24"/>
          <w:szCs w:val="24"/>
        </w:rPr>
        <w:t>Fuel poverty number and % of households, rates and gaps  at the &gt;</w:t>
      </w:r>
      <w:r w:rsidR="00DA6BD8" w:rsidRPr="002E40EB">
        <w:rPr>
          <w:rFonts w:ascii="Arial" w:hAnsi="Arial" w:cs="Arial"/>
          <w:b/>
          <w:sz w:val="24"/>
          <w:szCs w:val="24"/>
        </w:rPr>
        <w:t>2</w:t>
      </w:r>
      <w:r w:rsidR="00183677" w:rsidRPr="002E40EB">
        <w:rPr>
          <w:rFonts w:ascii="Arial" w:hAnsi="Arial" w:cs="Arial"/>
          <w:b/>
          <w:sz w:val="24"/>
          <w:szCs w:val="24"/>
        </w:rPr>
        <w:t>0% threshold in 2022/3 and estimates for January 2025</w:t>
      </w:r>
    </w:p>
    <w:tbl>
      <w:tblPr>
        <w:tblStyle w:val="TableGrid"/>
        <w:tblW w:w="4818" w:type="pct"/>
        <w:tblLook w:val="04A0" w:firstRow="1" w:lastRow="0" w:firstColumn="1" w:lastColumn="0" w:noHBand="0" w:noVBand="1"/>
      </w:tblPr>
      <w:tblGrid>
        <w:gridCol w:w="3722"/>
        <w:gridCol w:w="819"/>
        <w:gridCol w:w="946"/>
        <w:gridCol w:w="819"/>
        <w:gridCol w:w="946"/>
        <w:gridCol w:w="1507"/>
        <w:gridCol w:w="1507"/>
        <w:gridCol w:w="884"/>
        <w:gridCol w:w="744"/>
        <w:gridCol w:w="1145"/>
        <w:gridCol w:w="991"/>
      </w:tblGrid>
      <w:tr w:rsidR="00BF4C4E" w:rsidRPr="002E40EB" w14:paraId="55B0DA03" w14:textId="77777777" w:rsidTr="0055717F">
        <w:trPr>
          <w:trHeight w:val="20"/>
          <w:tblHeader/>
        </w:trPr>
        <w:tc>
          <w:tcPr>
            <w:tcW w:w="1326" w:type="pct"/>
            <w:noWrap/>
            <w:hideMark/>
          </w:tcPr>
          <w:p w14:paraId="27ACBFD6" w14:textId="77777777" w:rsidR="00C96CD2" w:rsidRPr="002E40EB" w:rsidRDefault="00C96CD2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9" w:type="pct"/>
            <w:gridSpan w:val="2"/>
            <w:noWrap/>
            <w:hideMark/>
          </w:tcPr>
          <w:p w14:paraId="294839D4" w14:textId="77777777" w:rsidR="00C96CD2" w:rsidRPr="002E40EB" w:rsidRDefault="00C96CD2" w:rsidP="006A535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2022/23</w:t>
            </w:r>
          </w:p>
        </w:tc>
        <w:tc>
          <w:tcPr>
            <w:tcW w:w="629" w:type="pct"/>
            <w:gridSpan w:val="2"/>
            <w:noWrap/>
            <w:hideMark/>
          </w:tcPr>
          <w:p w14:paraId="46E33197" w14:textId="68AA9A56" w:rsidR="00C96CD2" w:rsidRPr="002E40EB" w:rsidRDefault="00C96CD2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2025</w:t>
            </w:r>
          </w:p>
        </w:tc>
        <w:tc>
          <w:tcPr>
            <w:tcW w:w="537" w:type="pct"/>
          </w:tcPr>
          <w:p w14:paraId="5998AD26" w14:textId="39D7ACCC" w:rsidR="00C96CD2" w:rsidRPr="002E40EB" w:rsidRDefault="00C96CD2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2022/23</w:t>
            </w:r>
          </w:p>
        </w:tc>
        <w:tc>
          <w:tcPr>
            <w:tcW w:w="537" w:type="pct"/>
            <w:noWrap/>
            <w:hideMark/>
          </w:tcPr>
          <w:p w14:paraId="51376458" w14:textId="77777777" w:rsidR="00C96CD2" w:rsidRPr="002E40EB" w:rsidRDefault="00C96CD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2025</w:t>
            </w:r>
          </w:p>
        </w:tc>
        <w:tc>
          <w:tcPr>
            <w:tcW w:w="580" w:type="pct"/>
            <w:gridSpan w:val="2"/>
            <w:noWrap/>
            <w:hideMark/>
          </w:tcPr>
          <w:p w14:paraId="55116021" w14:textId="77777777" w:rsidR="00C96CD2" w:rsidRPr="002E40EB" w:rsidRDefault="00C96CD2" w:rsidP="006A535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2022/23</w:t>
            </w:r>
          </w:p>
        </w:tc>
        <w:tc>
          <w:tcPr>
            <w:tcW w:w="761" w:type="pct"/>
            <w:gridSpan w:val="2"/>
            <w:noWrap/>
            <w:hideMark/>
          </w:tcPr>
          <w:p w14:paraId="16A1BBDD" w14:textId="77777777" w:rsidR="00C96CD2" w:rsidRPr="002E40EB" w:rsidRDefault="00C96CD2" w:rsidP="006A535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2025</w:t>
            </w:r>
          </w:p>
        </w:tc>
      </w:tr>
      <w:tr w:rsidR="00BF4C4E" w:rsidRPr="002E40EB" w14:paraId="63677E8B" w14:textId="77777777" w:rsidTr="0055717F">
        <w:trPr>
          <w:trHeight w:val="20"/>
          <w:tblHeader/>
        </w:trPr>
        <w:tc>
          <w:tcPr>
            <w:tcW w:w="1326" w:type="pct"/>
            <w:noWrap/>
            <w:hideMark/>
          </w:tcPr>
          <w:p w14:paraId="7CA87EED" w14:textId="77777777" w:rsidR="006A535D" w:rsidRPr="002E40EB" w:rsidRDefault="006A535D" w:rsidP="006A535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key variables</w:t>
            </w:r>
          </w:p>
        </w:tc>
        <w:tc>
          <w:tcPr>
            <w:tcW w:w="292" w:type="pct"/>
            <w:noWrap/>
            <w:hideMark/>
          </w:tcPr>
          <w:p w14:paraId="671A4221" w14:textId="77777777" w:rsidR="006A535D" w:rsidRPr="002E40EB" w:rsidRDefault="006A535D" w:rsidP="006A535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337" w:type="pct"/>
            <w:noWrap/>
            <w:hideMark/>
          </w:tcPr>
          <w:p w14:paraId="7567EBE3" w14:textId="77777777" w:rsidR="006A535D" w:rsidRPr="002E40EB" w:rsidRDefault="006A535D" w:rsidP="006A535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Fuel poor </w:t>
            </w:r>
          </w:p>
        </w:tc>
        <w:tc>
          <w:tcPr>
            <w:tcW w:w="292" w:type="pct"/>
            <w:noWrap/>
            <w:hideMark/>
          </w:tcPr>
          <w:p w14:paraId="2ED165FE" w14:textId="77777777" w:rsidR="006A535D" w:rsidRPr="002E40EB" w:rsidRDefault="006A535D" w:rsidP="006A535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Count</w:t>
            </w:r>
          </w:p>
        </w:tc>
        <w:tc>
          <w:tcPr>
            <w:tcW w:w="337" w:type="pct"/>
            <w:noWrap/>
            <w:hideMark/>
          </w:tcPr>
          <w:p w14:paraId="324284EF" w14:textId="77777777" w:rsidR="006A535D" w:rsidRPr="002E40EB" w:rsidRDefault="006A535D" w:rsidP="006A535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Fuel poor </w:t>
            </w:r>
          </w:p>
        </w:tc>
        <w:tc>
          <w:tcPr>
            <w:tcW w:w="537" w:type="pct"/>
            <w:noWrap/>
            <w:hideMark/>
          </w:tcPr>
          <w:p w14:paraId="3CF29F7D" w14:textId="77777777" w:rsidR="006A535D" w:rsidRPr="002E40EB" w:rsidRDefault="006A535D" w:rsidP="006A535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Fuel poverty rate </w:t>
            </w:r>
          </w:p>
        </w:tc>
        <w:tc>
          <w:tcPr>
            <w:tcW w:w="537" w:type="pct"/>
            <w:noWrap/>
            <w:hideMark/>
          </w:tcPr>
          <w:p w14:paraId="42DD5002" w14:textId="77777777" w:rsidR="006A535D" w:rsidRPr="002E40EB" w:rsidRDefault="006A535D" w:rsidP="006A535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Fuel poverty rate </w:t>
            </w:r>
          </w:p>
        </w:tc>
        <w:tc>
          <w:tcPr>
            <w:tcW w:w="580" w:type="pct"/>
            <w:gridSpan w:val="2"/>
            <w:noWrap/>
            <w:hideMark/>
          </w:tcPr>
          <w:p w14:paraId="3F532F26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Fuel poor gap</w:t>
            </w:r>
          </w:p>
        </w:tc>
        <w:tc>
          <w:tcPr>
            <w:tcW w:w="761" w:type="pct"/>
            <w:gridSpan w:val="2"/>
            <w:noWrap/>
            <w:hideMark/>
          </w:tcPr>
          <w:p w14:paraId="75449726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Fuel poor gap</w:t>
            </w:r>
          </w:p>
        </w:tc>
      </w:tr>
      <w:tr w:rsidR="00BF4C4E" w:rsidRPr="002E40EB" w14:paraId="6464FADF" w14:textId="77777777" w:rsidTr="0055717F">
        <w:trPr>
          <w:trHeight w:val="20"/>
          <w:tblHeader/>
        </w:trPr>
        <w:tc>
          <w:tcPr>
            <w:tcW w:w="1326" w:type="pct"/>
            <w:noWrap/>
            <w:hideMark/>
          </w:tcPr>
          <w:p w14:paraId="146E9083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70AAA849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(000)</w:t>
            </w:r>
          </w:p>
        </w:tc>
        <w:tc>
          <w:tcPr>
            <w:tcW w:w="337" w:type="pct"/>
            <w:noWrap/>
            <w:hideMark/>
          </w:tcPr>
          <w:p w14:paraId="5E06E949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292" w:type="pct"/>
            <w:noWrap/>
            <w:hideMark/>
          </w:tcPr>
          <w:p w14:paraId="4A307D98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(000)</w:t>
            </w:r>
          </w:p>
        </w:tc>
        <w:tc>
          <w:tcPr>
            <w:tcW w:w="337" w:type="pct"/>
            <w:noWrap/>
            <w:hideMark/>
          </w:tcPr>
          <w:p w14:paraId="414F158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37" w:type="pct"/>
            <w:noWrap/>
            <w:hideMark/>
          </w:tcPr>
          <w:p w14:paraId="11F97F5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37" w:type="pct"/>
            <w:noWrap/>
            <w:hideMark/>
          </w:tcPr>
          <w:p w14:paraId="2B96CEED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315" w:type="pct"/>
            <w:noWrap/>
            <w:hideMark/>
          </w:tcPr>
          <w:p w14:paraId="538D14E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265" w:type="pct"/>
            <w:noWrap/>
            <w:hideMark/>
          </w:tcPr>
          <w:p w14:paraId="6668456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Median</w:t>
            </w:r>
          </w:p>
        </w:tc>
        <w:tc>
          <w:tcPr>
            <w:tcW w:w="408" w:type="pct"/>
            <w:noWrap/>
            <w:hideMark/>
          </w:tcPr>
          <w:p w14:paraId="493B4594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353" w:type="pct"/>
            <w:noWrap/>
            <w:hideMark/>
          </w:tcPr>
          <w:p w14:paraId="01E90B59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Median</w:t>
            </w:r>
          </w:p>
        </w:tc>
      </w:tr>
      <w:tr w:rsidR="00BF4C4E" w:rsidRPr="002E40EB" w14:paraId="7DC4FD0F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0F916EE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income decile</w:t>
            </w:r>
          </w:p>
        </w:tc>
        <w:tc>
          <w:tcPr>
            <w:tcW w:w="292" w:type="pct"/>
            <w:noWrap/>
            <w:hideMark/>
          </w:tcPr>
          <w:p w14:paraId="3EF171BE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4FA5523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14504A7F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6746B24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37" w:type="pct"/>
            <w:noWrap/>
            <w:hideMark/>
          </w:tcPr>
          <w:p w14:paraId="1E32BE04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1BB05FF8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585E6FA1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39ED58B8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61714D87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52B82735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554E61C2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92D1C5E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22A5F5A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2341.8</w:t>
            </w:r>
          </w:p>
        </w:tc>
        <w:tc>
          <w:tcPr>
            <w:tcW w:w="337" w:type="pct"/>
            <w:noWrap/>
            <w:hideMark/>
          </w:tcPr>
          <w:p w14:paraId="53CCCCC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292" w:type="pct"/>
            <w:noWrap/>
            <w:hideMark/>
          </w:tcPr>
          <w:p w14:paraId="72D9877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2318.3</w:t>
            </w:r>
          </w:p>
        </w:tc>
        <w:tc>
          <w:tcPr>
            <w:tcW w:w="337" w:type="pct"/>
            <w:noWrap/>
            <w:hideMark/>
          </w:tcPr>
          <w:p w14:paraId="1E3007B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48.6</w:t>
            </w:r>
          </w:p>
        </w:tc>
        <w:tc>
          <w:tcPr>
            <w:tcW w:w="537" w:type="pct"/>
            <w:noWrap/>
            <w:hideMark/>
          </w:tcPr>
          <w:p w14:paraId="33A5365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69.3</w:t>
            </w:r>
          </w:p>
        </w:tc>
        <w:tc>
          <w:tcPr>
            <w:tcW w:w="537" w:type="pct"/>
            <w:noWrap/>
            <w:hideMark/>
          </w:tcPr>
          <w:p w14:paraId="6421DA2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68.6</w:t>
            </w:r>
          </w:p>
        </w:tc>
        <w:tc>
          <w:tcPr>
            <w:tcW w:w="315" w:type="pct"/>
            <w:noWrap/>
            <w:hideMark/>
          </w:tcPr>
          <w:p w14:paraId="01BA04E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27.7</w:t>
            </w:r>
          </w:p>
        </w:tc>
        <w:tc>
          <w:tcPr>
            <w:tcW w:w="265" w:type="pct"/>
            <w:noWrap/>
            <w:hideMark/>
          </w:tcPr>
          <w:p w14:paraId="5859B38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20.2</w:t>
            </w:r>
          </w:p>
        </w:tc>
        <w:tc>
          <w:tcPr>
            <w:tcW w:w="408" w:type="pct"/>
            <w:noWrap/>
            <w:hideMark/>
          </w:tcPr>
          <w:p w14:paraId="04493E0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27.6</w:t>
            </w:r>
          </w:p>
        </w:tc>
        <w:tc>
          <w:tcPr>
            <w:tcW w:w="353" w:type="pct"/>
            <w:noWrap/>
            <w:hideMark/>
          </w:tcPr>
          <w:p w14:paraId="08DE5AC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20.3</w:t>
            </w:r>
          </w:p>
        </w:tc>
      </w:tr>
      <w:tr w:rsidR="00BF4C4E" w:rsidRPr="002E40EB" w14:paraId="7E0C1CDD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B092FE9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6A7FCEB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1237.6</w:t>
            </w:r>
          </w:p>
        </w:tc>
        <w:tc>
          <w:tcPr>
            <w:tcW w:w="337" w:type="pct"/>
            <w:noWrap/>
            <w:hideMark/>
          </w:tcPr>
          <w:p w14:paraId="442A30D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25.1</w:t>
            </w:r>
          </w:p>
        </w:tc>
        <w:tc>
          <w:tcPr>
            <w:tcW w:w="292" w:type="pct"/>
            <w:noWrap/>
            <w:hideMark/>
          </w:tcPr>
          <w:p w14:paraId="21A0E40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1155.1</w:t>
            </w:r>
          </w:p>
        </w:tc>
        <w:tc>
          <w:tcPr>
            <w:tcW w:w="337" w:type="pct"/>
            <w:noWrap/>
            <w:hideMark/>
          </w:tcPr>
          <w:p w14:paraId="3458A94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24.2</w:t>
            </w:r>
          </w:p>
        </w:tc>
        <w:tc>
          <w:tcPr>
            <w:tcW w:w="537" w:type="pct"/>
            <w:noWrap/>
            <w:hideMark/>
          </w:tcPr>
          <w:p w14:paraId="4863B0C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537" w:type="pct"/>
            <w:noWrap/>
            <w:hideMark/>
          </w:tcPr>
          <w:p w14:paraId="3380EEC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36.8</w:t>
            </w:r>
          </w:p>
        </w:tc>
        <w:tc>
          <w:tcPr>
            <w:tcW w:w="315" w:type="pct"/>
            <w:noWrap/>
            <w:hideMark/>
          </w:tcPr>
          <w:p w14:paraId="7454014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22.9</w:t>
            </w:r>
          </w:p>
        </w:tc>
        <w:tc>
          <w:tcPr>
            <w:tcW w:w="265" w:type="pct"/>
            <w:noWrap/>
            <w:hideMark/>
          </w:tcPr>
          <w:p w14:paraId="55C2169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</w:t>
            </w:r>
          </w:p>
        </w:tc>
        <w:tc>
          <w:tcPr>
            <w:tcW w:w="408" w:type="pct"/>
            <w:noWrap/>
            <w:hideMark/>
          </w:tcPr>
          <w:p w14:paraId="11E8E32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23.2</w:t>
            </w:r>
          </w:p>
        </w:tc>
        <w:tc>
          <w:tcPr>
            <w:tcW w:w="353" w:type="pct"/>
            <w:noWrap/>
            <w:hideMark/>
          </w:tcPr>
          <w:p w14:paraId="2E5E987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</w:t>
            </w:r>
          </w:p>
        </w:tc>
      </w:tr>
      <w:tr w:rsidR="00BF4C4E" w:rsidRPr="002E40EB" w14:paraId="5CC1EBA3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1BC525B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92" w:type="pct"/>
            <w:noWrap/>
            <w:hideMark/>
          </w:tcPr>
          <w:p w14:paraId="20B0418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530.8</w:t>
            </w:r>
          </w:p>
        </w:tc>
        <w:tc>
          <w:tcPr>
            <w:tcW w:w="337" w:type="pct"/>
            <w:noWrap/>
            <w:hideMark/>
          </w:tcPr>
          <w:p w14:paraId="24CDC08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10.8</w:t>
            </w:r>
          </w:p>
        </w:tc>
        <w:tc>
          <w:tcPr>
            <w:tcW w:w="292" w:type="pct"/>
            <w:noWrap/>
            <w:hideMark/>
          </w:tcPr>
          <w:p w14:paraId="04603D5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506.9</w:t>
            </w:r>
          </w:p>
        </w:tc>
        <w:tc>
          <w:tcPr>
            <w:tcW w:w="337" w:type="pct"/>
            <w:noWrap/>
            <w:hideMark/>
          </w:tcPr>
          <w:p w14:paraId="7B1DBF7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10.6</w:t>
            </w:r>
          </w:p>
        </w:tc>
        <w:tc>
          <w:tcPr>
            <w:tcW w:w="537" w:type="pct"/>
            <w:noWrap/>
            <w:hideMark/>
          </w:tcPr>
          <w:p w14:paraId="3F4827E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18.5</w:t>
            </w:r>
          </w:p>
        </w:tc>
        <w:tc>
          <w:tcPr>
            <w:tcW w:w="537" w:type="pct"/>
            <w:noWrap/>
            <w:hideMark/>
          </w:tcPr>
          <w:p w14:paraId="4E2FAEB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</w:t>
            </w:r>
          </w:p>
        </w:tc>
        <w:tc>
          <w:tcPr>
            <w:tcW w:w="315" w:type="pct"/>
            <w:noWrap/>
            <w:hideMark/>
          </w:tcPr>
          <w:p w14:paraId="164FA97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</w:t>
            </w:r>
          </w:p>
        </w:tc>
        <w:tc>
          <w:tcPr>
            <w:tcW w:w="265" w:type="pct"/>
            <w:noWrap/>
            <w:hideMark/>
          </w:tcPr>
          <w:p w14:paraId="0924BFB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  <w:tc>
          <w:tcPr>
            <w:tcW w:w="408" w:type="pct"/>
            <w:noWrap/>
            <w:hideMark/>
          </w:tcPr>
          <w:p w14:paraId="61DB19D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353" w:type="pct"/>
            <w:noWrap/>
            <w:hideMark/>
          </w:tcPr>
          <w:p w14:paraId="2D7AD81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</w:t>
            </w:r>
          </w:p>
        </w:tc>
      </w:tr>
      <w:tr w:rsidR="00BF4C4E" w:rsidRPr="002E40EB" w14:paraId="6A4C2480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679A5E8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53DE790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361.9</w:t>
            </w:r>
          </w:p>
        </w:tc>
        <w:tc>
          <w:tcPr>
            <w:tcW w:w="337" w:type="pct"/>
            <w:noWrap/>
            <w:hideMark/>
          </w:tcPr>
          <w:p w14:paraId="18D5701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</w:t>
            </w:r>
          </w:p>
        </w:tc>
        <w:tc>
          <w:tcPr>
            <w:tcW w:w="292" w:type="pct"/>
            <w:noWrap/>
            <w:hideMark/>
          </w:tcPr>
          <w:p w14:paraId="4F39C97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338.5</w:t>
            </w:r>
          </w:p>
        </w:tc>
        <w:tc>
          <w:tcPr>
            <w:tcW w:w="337" w:type="pct"/>
            <w:noWrap/>
            <w:hideMark/>
          </w:tcPr>
          <w:p w14:paraId="76F2D36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</w:t>
            </w:r>
          </w:p>
        </w:tc>
        <w:tc>
          <w:tcPr>
            <w:tcW w:w="537" w:type="pct"/>
            <w:noWrap/>
            <w:hideMark/>
          </w:tcPr>
          <w:p w14:paraId="5CA4722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12.3</w:t>
            </w:r>
          </w:p>
        </w:tc>
        <w:tc>
          <w:tcPr>
            <w:tcW w:w="537" w:type="pct"/>
            <w:noWrap/>
            <w:hideMark/>
          </w:tcPr>
          <w:p w14:paraId="2BBC1F4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11.5</w:t>
            </w:r>
          </w:p>
        </w:tc>
        <w:tc>
          <w:tcPr>
            <w:tcW w:w="315" w:type="pct"/>
            <w:noWrap/>
            <w:hideMark/>
          </w:tcPr>
          <w:p w14:paraId="6B09C4B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</w:t>
            </w:r>
          </w:p>
        </w:tc>
        <w:tc>
          <w:tcPr>
            <w:tcW w:w="265" w:type="pct"/>
            <w:noWrap/>
            <w:hideMark/>
          </w:tcPr>
          <w:p w14:paraId="70CC37A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</w:t>
            </w:r>
          </w:p>
        </w:tc>
        <w:tc>
          <w:tcPr>
            <w:tcW w:w="408" w:type="pct"/>
            <w:noWrap/>
            <w:hideMark/>
          </w:tcPr>
          <w:p w14:paraId="657F20A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53" w:type="pct"/>
            <w:noWrap/>
            <w:hideMark/>
          </w:tcPr>
          <w:p w14:paraId="5913DE8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</w:t>
            </w:r>
          </w:p>
        </w:tc>
      </w:tr>
      <w:tr w:rsidR="00BF4C4E" w:rsidRPr="002E40EB" w14:paraId="43583538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621255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92" w:type="pct"/>
            <w:noWrap/>
            <w:hideMark/>
          </w:tcPr>
          <w:p w14:paraId="40A1F7C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179.7</w:t>
            </w:r>
          </w:p>
        </w:tc>
        <w:tc>
          <w:tcPr>
            <w:tcW w:w="337" w:type="pct"/>
            <w:noWrap/>
            <w:hideMark/>
          </w:tcPr>
          <w:p w14:paraId="20AAAB1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</w:t>
            </w:r>
          </w:p>
        </w:tc>
        <w:tc>
          <w:tcPr>
            <w:tcW w:w="292" w:type="pct"/>
            <w:noWrap/>
            <w:hideMark/>
          </w:tcPr>
          <w:p w14:paraId="4E7159A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166.9</w:t>
            </w:r>
          </w:p>
        </w:tc>
        <w:tc>
          <w:tcPr>
            <w:tcW w:w="337" w:type="pct"/>
            <w:noWrap/>
            <w:hideMark/>
          </w:tcPr>
          <w:p w14:paraId="6D88670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3.5</w:t>
            </w:r>
          </w:p>
        </w:tc>
        <w:tc>
          <w:tcPr>
            <w:tcW w:w="537" w:type="pct"/>
            <w:noWrap/>
            <w:hideMark/>
          </w:tcPr>
          <w:p w14:paraId="24E4725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6.3</w:t>
            </w:r>
          </w:p>
        </w:tc>
        <w:tc>
          <w:tcPr>
            <w:tcW w:w="537" w:type="pct"/>
            <w:noWrap/>
            <w:hideMark/>
          </w:tcPr>
          <w:p w14:paraId="6B028F6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</w:t>
            </w:r>
          </w:p>
        </w:tc>
        <w:tc>
          <w:tcPr>
            <w:tcW w:w="315" w:type="pct"/>
            <w:noWrap/>
            <w:hideMark/>
          </w:tcPr>
          <w:p w14:paraId="5C45280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20.2</w:t>
            </w:r>
          </w:p>
        </w:tc>
        <w:tc>
          <w:tcPr>
            <w:tcW w:w="265" w:type="pct"/>
            <w:noWrap/>
            <w:hideMark/>
          </w:tcPr>
          <w:p w14:paraId="641E8AC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</w:t>
            </w:r>
          </w:p>
        </w:tc>
        <w:tc>
          <w:tcPr>
            <w:tcW w:w="408" w:type="pct"/>
            <w:noWrap/>
            <w:hideMark/>
          </w:tcPr>
          <w:p w14:paraId="02C00C5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</w:t>
            </w:r>
          </w:p>
        </w:tc>
        <w:tc>
          <w:tcPr>
            <w:tcW w:w="353" w:type="pct"/>
            <w:noWrap/>
            <w:hideMark/>
          </w:tcPr>
          <w:p w14:paraId="1CA6BAC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</w:t>
            </w:r>
          </w:p>
        </w:tc>
      </w:tr>
      <w:tr w:rsidR="00BF4C4E" w:rsidRPr="002E40EB" w14:paraId="30CFC1B8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29FE766B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92" w:type="pct"/>
            <w:noWrap/>
            <w:hideMark/>
          </w:tcPr>
          <w:p w14:paraId="2211AEE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134.7</w:t>
            </w:r>
          </w:p>
        </w:tc>
        <w:tc>
          <w:tcPr>
            <w:tcW w:w="337" w:type="pct"/>
            <w:noWrap/>
            <w:hideMark/>
          </w:tcPr>
          <w:p w14:paraId="1B6EB69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</w:t>
            </w:r>
          </w:p>
        </w:tc>
        <w:tc>
          <w:tcPr>
            <w:tcW w:w="292" w:type="pct"/>
            <w:noWrap/>
            <w:hideMark/>
          </w:tcPr>
          <w:p w14:paraId="015EC7C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144.9</w:t>
            </w:r>
          </w:p>
        </w:tc>
        <w:tc>
          <w:tcPr>
            <w:tcW w:w="337" w:type="pct"/>
            <w:noWrap/>
            <w:hideMark/>
          </w:tcPr>
          <w:p w14:paraId="2C239EE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537" w:type="pct"/>
            <w:noWrap/>
            <w:hideMark/>
          </w:tcPr>
          <w:p w14:paraId="6D93A37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</w:t>
            </w:r>
          </w:p>
        </w:tc>
        <w:tc>
          <w:tcPr>
            <w:tcW w:w="537" w:type="pct"/>
            <w:noWrap/>
            <w:hideMark/>
          </w:tcPr>
          <w:p w14:paraId="53F2DD4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</w:t>
            </w:r>
          </w:p>
        </w:tc>
        <w:tc>
          <w:tcPr>
            <w:tcW w:w="315" w:type="pct"/>
            <w:noWrap/>
            <w:hideMark/>
          </w:tcPr>
          <w:p w14:paraId="271F517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30.0</w:t>
            </w:r>
          </w:p>
        </w:tc>
        <w:tc>
          <w:tcPr>
            <w:tcW w:w="265" w:type="pct"/>
            <w:noWrap/>
            <w:hideMark/>
          </w:tcPr>
          <w:p w14:paraId="778450C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19.9</w:t>
            </w:r>
          </w:p>
        </w:tc>
        <w:tc>
          <w:tcPr>
            <w:tcW w:w="408" w:type="pct"/>
            <w:noWrap/>
            <w:hideMark/>
          </w:tcPr>
          <w:p w14:paraId="2A1C2F1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353" w:type="pct"/>
            <w:noWrap/>
            <w:hideMark/>
          </w:tcPr>
          <w:p w14:paraId="1646AFB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21.2</w:t>
            </w:r>
          </w:p>
        </w:tc>
      </w:tr>
      <w:tr w:rsidR="00BF4C4E" w:rsidRPr="002E40EB" w14:paraId="755B5F17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2D477933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92" w:type="pct"/>
            <w:noWrap/>
            <w:hideMark/>
          </w:tcPr>
          <w:p w14:paraId="2A016CB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337" w:type="pct"/>
            <w:noWrap/>
            <w:hideMark/>
          </w:tcPr>
          <w:p w14:paraId="13B3DA5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292" w:type="pct"/>
            <w:noWrap/>
            <w:hideMark/>
          </w:tcPr>
          <w:p w14:paraId="75CBB76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337" w:type="pct"/>
            <w:noWrap/>
            <w:hideMark/>
          </w:tcPr>
          <w:p w14:paraId="23480A6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537" w:type="pct"/>
            <w:noWrap/>
            <w:hideMark/>
          </w:tcPr>
          <w:p w14:paraId="1DC370A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537" w:type="pct"/>
            <w:noWrap/>
            <w:hideMark/>
          </w:tcPr>
          <w:p w14:paraId="6DC6683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315" w:type="pct"/>
            <w:noWrap/>
            <w:hideMark/>
          </w:tcPr>
          <w:p w14:paraId="6F99489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29.8</w:t>
            </w:r>
          </w:p>
        </w:tc>
        <w:tc>
          <w:tcPr>
            <w:tcW w:w="265" w:type="pct"/>
            <w:noWrap/>
            <w:hideMark/>
          </w:tcPr>
          <w:p w14:paraId="6681D83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</w:t>
            </w:r>
          </w:p>
        </w:tc>
        <w:tc>
          <w:tcPr>
            <w:tcW w:w="408" w:type="pct"/>
            <w:noWrap/>
            <w:hideMark/>
          </w:tcPr>
          <w:p w14:paraId="1E5175D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27.9</w:t>
            </w:r>
          </w:p>
        </w:tc>
        <w:tc>
          <w:tcPr>
            <w:tcW w:w="353" w:type="pct"/>
            <w:noWrap/>
            <w:hideMark/>
          </w:tcPr>
          <w:p w14:paraId="3622EFE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11.2</w:t>
            </w:r>
          </w:p>
        </w:tc>
      </w:tr>
      <w:tr w:rsidR="00BF4C4E" w:rsidRPr="002E40EB" w14:paraId="6CAC06AE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D5BE932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92" w:type="pct"/>
            <w:noWrap/>
            <w:hideMark/>
          </w:tcPr>
          <w:p w14:paraId="5A0DF61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337" w:type="pct"/>
            <w:noWrap/>
            <w:hideMark/>
          </w:tcPr>
          <w:p w14:paraId="64A76CE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292" w:type="pct"/>
            <w:noWrap/>
            <w:hideMark/>
          </w:tcPr>
          <w:p w14:paraId="060AE1B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337" w:type="pct"/>
            <w:noWrap/>
            <w:hideMark/>
          </w:tcPr>
          <w:p w14:paraId="6A8221F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537" w:type="pct"/>
            <w:noWrap/>
            <w:hideMark/>
          </w:tcPr>
          <w:p w14:paraId="1D5DDD9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537" w:type="pct"/>
            <w:noWrap/>
            <w:hideMark/>
          </w:tcPr>
          <w:p w14:paraId="3509DF8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315" w:type="pct"/>
            <w:noWrap/>
            <w:hideMark/>
          </w:tcPr>
          <w:p w14:paraId="56D17F2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43.7</w:t>
            </w:r>
          </w:p>
        </w:tc>
        <w:tc>
          <w:tcPr>
            <w:tcW w:w="265" w:type="pct"/>
            <w:noWrap/>
            <w:hideMark/>
          </w:tcPr>
          <w:p w14:paraId="3E07189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408" w:type="pct"/>
            <w:noWrap/>
            <w:hideMark/>
          </w:tcPr>
          <w:p w14:paraId="314624A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40.9</w:t>
            </w:r>
          </w:p>
        </w:tc>
        <w:tc>
          <w:tcPr>
            <w:tcW w:w="353" w:type="pct"/>
            <w:noWrap/>
            <w:hideMark/>
          </w:tcPr>
          <w:p w14:paraId="6AF8FA6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22.5</w:t>
            </w:r>
          </w:p>
        </w:tc>
      </w:tr>
      <w:tr w:rsidR="00BF4C4E" w:rsidRPr="002E40EB" w14:paraId="4026B017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E892E62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292" w:type="pct"/>
            <w:noWrap/>
            <w:hideMark/>
          </w:tcPr>
          <w:p w14:paraId="0FC5321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337" w:type="pct"/>
            <w:noWrap/>
            <w:hideMark/>
          </w:tcPr>
          <w:p w14:paraId="1B1FFAB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292" w:type="pct"/>
            <w:noWrap/>
            <w:hideMark/>
          </w:tcPr>
          <w:p w14:paraId="34E3290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337" w:type="pct"/>
            <w:noWrap/>
            <w:hideMark/>
          </w:tcPr>
          <w:p w14:paraId="09AAFCB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537" w:type="pct"/>
            <w:noWrap/>
            <w:hideMark/>
          </w:tcPr>
          <w:p w14:paraId="7FADD14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537" w:type="pct"/>
            <w:noWrap/>
            <w:hideMark/>
          </w:tcPr>
          <w:p w14:paraId="4A42274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315" w:type="pct"/>
            <w:noWrap/>
            <w:hideMark/>
          </w:tcPr>
          <w:p w14:paraId="66E96EC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265" w:type="pct"/>
            <w:noWrap/>
            <w:hideMark/>
          </w:tcPr>
          <w:p w14:paraId="244C045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55.8</w:t>
            </w:r>
          </w:p>
        </w:tc>
        <w:tc>
          <w:tcPr>
            <w:tcW w:w="408" w:type="pct"/>
            <w:noWrap/>
            <w:hideMark/>
          </w:tcPr>
          <w:p w14:paraId="13503A7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353" w:type="pct"/>
            <w:noWrap/>
            <w:hideMark/>
          </w:tcPr>
          <w:p w14:paraId="07E03A3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52.4</w:t>
            </w:r>
          </w:p>
        </w:tc>
      </w:tr>
      <w:tr w:rsidR="00BF4C4E" w:rsidRPr="002E40EB" w14:paraId="5CB961FF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273E473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92" w:type="pct"/>
            <w:noWrap/>
            <w:hideMark/>
          </w:tcPr>
          <w:p w14:paraId="1B3EA8D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</w:t>
            </w:r>
          </w:p>
        </w:tc>
        <w:tc>
          <w:tcPr>
            <w:tcW w:w="337" w:type="pct"/>
            <w:noWrap/>
            <w:hideMark/>
          </w:tcPr>
          <w:p w14:paraId="4DDF880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292" w:type="pct"/>
            <w:noWrap/>
            <w:hideMark/>
          </w:tcPr>
          <w:p w14:paraId="1373866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</w:t>
            </w:r>
          </w:p>
        </w:tc>
        <w:tc>
          <w:tcPr>
            <w:tcW w:w="337" w:type="pct"/>
            <w:noWrap/>
            <w:hideMark/>
          </w:tcPr>
          <w:p w14:paraId="51F73CC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537" w:type="pct"/>
            <w:noWrap/>
            <w:hideMark/>
          </w:tcPr>
          <w:p w14:paraId="14E2D28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537" w:type="pct"/>
            <w:noWrap/>
            <w:hideMark/>
          </w:tcPr>
          <w:p w14:paraId="5CB3DFD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15" w:type="pct"/>
            <w:noWrap/>
            <w:hideMark/>
          </w:tcPr>
          <w:p w14:paraId="7B9ED73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30.5</w:t>
            </w:r>
          </w:p>
        </w:tc>
        <w:tc>
          <w:tcPr>
            <w:tcW w:w="265" w:type="pct"/>
            <w:noWrap/>
            <w:hideMark/>
          </w:tcPr>
          <w:p w14:paraId="17B2C42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30.5</w:t>
            </w:r>
          </w:p>
        </w:tc>
        <w:tc>
          <w:tcPr>
            <w:tcW w:w="408" w:type="pct"/>
            <w:noWrap/>
            <w:hideMark/>
          </w:tcPr>
          <w:p w14:paraId="401BD32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25.2</w:t>
            </w:r>
          </w:p>
        </w:tc>
        <w:tc>
          <w:tcPr>
            <w:tcW w:w="353" w:type="pct"/>
            <w:noWrap/>
            <w:hideMark/>
          </w:tcPr>
          <w:p w14:paraId="067F4CF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25.2</w:t>
            </w:r>
          </w:p>
        </w:tc>
      </w:tr>
      <w:tr w:rsidR="00BF4C4E" w:rsidRPr="002E40EB" w14:paraId="105551A0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EF1568B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92" w:type="pct"/>
            <w:noWrap/>
            <w:hideMark/>
          </w:tcPr>
          <w:p w14:paraId="1B91E35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4929.4</w:t>
            </w:r>
          </w:p>
        </w:tc>
        <w:tc>
          <w:tcPr>
            <w:tcW w:w="337" w:type="pct"/>
            <w:noWrap/>
            <w:hideMark/>
          </w:tcPr>
          <w:p w14:paraId="46CB806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2" w:type="pct"/>
            <w:noWrap/>
            <w:hideMark/>
          </w:tcPr>
          <w:p w14:paraId="080AF78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4773.6</w:t>
            </w:r>
          </w:p>
        </w:tc>
        <w:tc>
          <w:tcPr>
            <w:tcW w:w="337" w:type="pct"/>
            <w:noWrap/>
            <w:hideMark/>
          </w:tcPr>
          <w:p w14:paraId="27C670F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537" w:type="pct"/>
            <w:noWrap/>
            <w:hideMark/>
          </w:tcPr>
          <w:p w14:paraId="02E7E6A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15878BD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0C0CEA1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667E22B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1005B71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464CEE0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77E1F014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42925FE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Household type (brief)</w:t>
            </w:r>
          </w:p>
        </w:tc>
        <w:tc>
          <w:tcPr>
            <w:tcW w:w="292" w:type="pct"/>
            <w:noWrap/>
            <w:hideMark/>
          </w:tcPr>
          <w:p w14:paraId="29A343F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7773012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1200AF6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3F56DC8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0256675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47C7D8C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58D38E5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4708F78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3E0DA26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2C1D375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2DACFA9F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1C434C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single</w:t>
            </w:r>
          </w:p>
        </w:tc>
        <w:tc>
          <w:tcPr>
            <w:tcW w:w="292" w:type="pct"/>
            <w:noWrap/>
            <w:hideMark/>
          </w:tcPr>
          <w:p w14:paraId="4F29F73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943.5</w:t>
            </w:r>
          </w:p>
        </w:tc>
        <w:tc>
          <w:tcPr>
            <w:tcW w:w="337" w:type="pct"/>
            <w:noWrap/>
            <w:hideMark/>
          </w:tcPr>
          <w:p w14:paraId="17FE881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292" w:type="pct"/>
            <w:noWrap/>
            <w:hideMark/>
          </w:tcPr>
          <w:p w14:paraId="1AB6FB2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922.8</w:t>
            </w:r>
          </w:p>
        </w:tc>
        <w:tc>
          <w:tcPr>
            <w:tcW w:w="337" w:type="pct"/>
            <w:noWrap/>
            <w:hideMark/>
          </w:tcPr>
          <w:p w14:paraId="78CCB34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537" w:type="pct"/>
            <w:noWrap/>
            <w:hideMark/>
          </w:tcPr>
          <w:p w14:paraId="6006443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</w:t>
            </w:r>
          </w:p>
        </w:tc>
        <w:tc>
          <w:tcPr>
            <w:tcW w:w="537" w:type="pct"/>
            <w:noWrap/>
            <w:hideMark/>
          </w:tcPr>
          <w:p w14:paraId="6B72FBD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18.2</w:t>
            </w:r>
          </w:p>
        </w:tc>
        <w:tc>
          <w:tcPr>
            <w:tcW w:w="315" w:type="pct"/>
            <w:noWrap/>
            <w:hideMark/>
          </w:tcPr>
          <w:p w14:paraId="35336FF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265" w:type="pct"/>
            <w:noWrap/>
            <w:hideMark/>
          </w:tcPr>
          <w:p w14:paraId="115B5E6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408" w:type="pct"/>
            <w:noWrap/>
            <w:hideMark/>
          </w:tcPr>
          <w:p w14:paraId="7942538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353" w:type="pct"/>
            <w:noWrap/>
            <w:hideMark/>
          </w:tcPr>
          <w:p w14:paraId="008C9E9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</w:t>
            </w:r>
          </w:p>
        </w:tc>
      </w:tr>
      <w:tr w:rsidR="00BF4C4E" w:rsidRPr="002E40EB" w14:paraId="6C8E5C6C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60177197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</w:t>
            </w:r>
          </w:p>
        </w:tc>
        <w:tc>
          <w:tcPr>
            <w:tcW w:w="292" w:type="pct"/>
            <w:noWrap/>
            <w:hideMark/>
          </w:tcPr>
          <w:p w14:paraId="7E6D8C4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668.7</w:t>
            </w:r>
          </w:p>
        </w:tc>
        <w:tc>
          <w:tcPr>
            <w:tcW w:w="337" w:type="pct"/>
            <w:noWrap/>
            <w:hideMark/>
          </w:tcPr>
          <w:p w14:paraId="4BAC516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13.6</w:t>
            </w:r>
          </w:p>
        </w:tc>
        <w:tc>
          <w:tcPr>
            <w:tcW w:w="292" w:type="pct"/>
            <w:noWrap/>
            <w:hideMark/>
          </w:tcPr>
          <w:p w14:paraId="2CBC61F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655</w:t>
            </w:r>
          </w:p>
        </w:tc>
        <w:tc>
          <w:tcPr>
            <w:tcW w:w="337" w:type="pct"/>
            <w:noWrap/>
            <w:hideMark/>
          </w:tcPr>
          <w:p w14:paraId="52082B3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  <w:tc>
          <w:tcPr>
            <w:tcW w:w="537" w:type="pct"/>
            <w:noWrap/>
            <w:hideMark/>
          </w:tcPr>
          <w:p w14:paraId="1E6F6E1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10.8</w:t>
            </w:r>
          </w:p>
        </w:tc>
        <w:tc>
          <w:tcPr>
            <w:tcW w:w="537" w:type="pct"/>
            <w:noWrap/>
            <w:hideMark/>
          </w:tcPr>
          <w:p w14:paraId="33DF6BA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10.6</w:t>
            </w:r>
          </w:p>
        </w:tc>
        <w:tc>
          <w:tcPr>
            <w:tcW w:w="315" w:type="pct"/>
            <w:noWrap/>
            <w:hideMark/>
          </w:tcPr>
          <w:p w14:paraId="1D30E25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33.2</w:t>
            </w:r>
          </w:p>
        </w:tc>
        <w:tc>
          <w:tcPr>
            <w:tcW w:w="265" w:type="pct"/>
            <w:noWrap/>
            <w:hideMark/>
          </w:tcPr>
          <w:p w14:paraId="77672DA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23.0</w:t>
            </w:r>
          </w:p>
        </w:tc>
        <w:tc>
          <w:tcPr>
            <w:tcW w:w="408" w:type="pct"/>
            <w:noWrap/>
            <w:hideMark/>
          </w:tcPr>
          <w:p w14:paraId="4C4FD6B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32.9</w:t>
            </w:r>
          </w:p>
        </w:tc>
        <w:tc>
          <w:tcPr>
            <w:tcW w:w="353" w:type="pct"/>
            <w:noWrap/>
            <w:hideMark/>
          </w:tcPr>
          <w:p w14:paraId="2DECB2A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22.7</w:t>
            </w:r>
          </w:p>
        </w:tc>
      </w:tr>
      <w:tr w:rsidR="00BF4C4E" w:rsidRPr="002E40EB" w14:paraId="4E4356F9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2C7C9E6F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household with kids</w:t>
            </w:r>
          </w:p>
        </w:tc>
        <w:tc>
          <w:tcPr>
            <w:tcW w:w="292" w:type="pct"/>
            <w:noWrap/>
            <w:hideMark/>
          </w:tcPr>
          <w:p w14:paraId="43D6E44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1757.8</w:t>
            </w:r>
          </w:p>
        </w:tc>
        <w:tc>
          <w:tcPr>
            <w:tcW w:w="337" w:type="pct"/>
            <w:noWrap/>
            <w:hideMark/>
          </w:tcPr>
          <w:p w14:paraId="25FFB34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35.7</w:t>
            </w:r>
          </w:p>
        </w:tc>
        <w:tc>
          <w:tcPr>
            <w:tcW w:w="292" w:type="pct"/>
            <w:noWrap/>
            <w:hideMark/>
          </w:tcPr>
          <w:p w14:paraId="5D8EB6C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1709.9</w:t>
            </w:r>
          </w:p>
        </w:tc>
        <w:tc>
          <w:tcPr>
            <w:tcW w:w="337" w:type="pct"/>
            <w:noWrap/>
            <w:hideMark/>
          </w:tcPr>
          <w:p w14:paraId="47073C1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35.8</w:t>
            </w:r>
          </w:p>
        </w:tc>
        <w:tc>
          <w:tcPr>
            <w:tcW w:w="537" w:type="pct"/>
            <w:noWrap/>
            <w:hideMark/>
          </w:tcPr>
          <w:p w14:paraId="7B99675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537" w:type="pct"/>
            <w:noWrap/>
            <w:hideMark/>
          </w:tcPr>
          <w:p w14:paraId="471D7F4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315" w:type="pct"/>
            <w:noWrap/>
            <w:hideMark/>
          </w:tcPr>
          <w:p w14:paraId="51A842D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26.3</w:t>
            </w:r>
          </w:p>
        </w:tc>
        <w:tc>
          <w:tcPr>
            <w:tcW w:w="265" w:type="pct"/>
            <w:noWrap/>
            <w:hideMark/>
          </w:tcPr>
          <w:p w14:paraId="3F185A7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</w:t>
            </w:r>
          </w:p>
        </w:tc>
        <w:tc>
          <w:tcPr>
            <w:tcW w:w="408" w:type="pct"/>
            <w:noWrap/>
            <w:hideMark/>
          </w:tcPr>
          <w:p w14:paraId="245266F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26.1</w:t>
            </w:r>
          </w:p>
        </w:tc>
        <w:tc>
          <w:tcPr>
            <w:tcW w:w="353" w:type="pct"/>
            <w:noWrap/>
            <w:hideMark/>
          </w:tcPr>
          <w:p w14:paraId="0844B0E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16.1</w:t>
            </w:r>
          </w:p>
        </w:tc>
      </w:tr>
      <w:tr w:rsidR="00BF4C4E" w:rsidRPr="002E40EB" w14:paraId="495AD498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86C6C1F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pensioners</w:t>
            </w:r>
          </w:p>
        </w:tc>
        <w:tc>
          <w:tcPr>
            <w:tcW w:w="292" w:type="pct"/>
            <w:noWrap/>
            <w:hideMark/>
          </w:tcPr>
          <w:p w14:paraId="427C96B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964.3</w:t>
            </w:r>
          </w:p>
        </w:tc>
        <w:tc>
          <w:tcPr>
            <w:tcW w:w="337" w:type="pct"/>
            <w:noWrap/>
            <w:hideMark/>
          </w:tcPr>
          <w:p w14:paraId="40ADA4F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</w:t>
            </w:r>
          </w:p>
        </w:tc>
        <w:tc>
          <w:tcPr>
            <w:tcW w:w="292" w:type="pct"/>
            <w:noWrap/>
            <w:hideMark/>
          </w:tcPr>
          <w:p w14:paraId="609E9F6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931.9</w:t>
            </w:r>
          </w:p>
        </w:tc>
        <w:tc>
          <w:tcPr>
            <w:tcW w:w="337" w:type="pct"/>
            <w:noWrap/>
            <w:hideMark/>
          </w:tcPr>
          <w:p w14:paraId="4056F09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537" w:type="pct"/>
            <w:noWrap/>
            <w:hideMark/>
          </w:tcPr>
          <w:p w14:paraId="6257A79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537" w:type="pct"/>
            <w:noWrap/>
            <w:hideMark/>
          </w:tcPr>
          <w:p w14:paraId="57C53F8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</w:t>
            </w:r>
          </w:p>
        </w:tc>
        <w:tc>
          <w:tcPr>
            <w:tcW w:w="315" w:type="pct"/>
            <w:noWrap/>
            <w:hideMark/>
          </w:tcPr>
          <w:p w14:paraId="4523A2B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20.9</w:t>
            </w:r>
          </w:p>
        </w:tc>
        <w:tc>
          <w:tcPr>
            <w:tcW w:w="265" w:type="pct"/>
            <w:noWrap/>
            <w:hideMark/>
          </w:tcPr>
          <w:p w14:paraId="032643E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15.2</w:t>
            </w:r>
          </w:p>
        </w:tc>
        <w:tc>
          <w:tcPr>
            <w:tcW w:w="408" w:type="pct"/>
            <w:noWrap/>
            <w:hideMark/>
          </w:tcPr>
          <w:p w14:paraId="6E081E0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353" w:type="pct"/>
            <w:noWrap/>
            <w:hideMark/>
          </w:tcPr>
          <w:p w14:paraId="4874F15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</w:t>
            </w:r>
          </w:p>
        </w:tc>
      </w:tr>
      <w:tr w:rsidR="00BF4C4E" w:rsidRPr="002E40EB" w14:paraId="64012751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C9AA41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multi-unit household</w:t>
            </w:r>
          </w:p>
        </w:tc>
        <w:tc>
          <w:tcPr>
            <w:tcW w:w="292" w:type="pct"/>
            <w:noWrap/>
            <w:hideMark/>
          </w:tcPr>
          <w:p w14:paraId="1395A3C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595.1</w:t>
            </w:r>
          </w:p>
        </w:tc>
        <w:tc>
          <w:tcPr>
            <w:tcW w:w="337" w:type="pct"/>
            <w:noWrap/>
            <w:hideMark/>
          </w:tcPr>
          <w:p w14:paraId="6EB9D81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292" w:type="pct"/>
            <w:noWrap/>
            <w:hideMark/>
          </w:tcPr>
          <w:p w14:paraId="6AA31A4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553.9</w:t>
            </w:r>
          </w:p>
        </w:tc>
        <w:tc>
          <w:tcPr>
            <w:tcW w:w="337" w:type="pct"/>
            <w:noWrap/>
            <w:hideMark/>
          </w:tcPr>
          <w:p w14:paraId="0E33293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537" w:type="pct"/>
            <w:noWrap/>
            <w:hideMark/>
          </w:tcPr>
          <w:p w14:paraId="5BC141F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37" w:type="pct"/>
            <w:noWrap/>
            <w:hideMark/>
          </w:tcPr>
          <w:p w14:paraId="200CFE9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</w:t>
            </w:r>
          </w:p>
        </w:tc>
        <w:tc>
          <w:tcPr>
            <w:tcW w:w="315" w:type="pct"/>
            <w:noWrap/>
            <w:hideMark/>
          </w:tcPr>
          <w:p w14:paraId="2D8FE0D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30.9</w:t>
            </w:r>
          </w:p>
        </w:tc>
        <w:tc>
          <w:tcPr>
            <w:tcW w:w="265" w:type="pct"/>
            <w:noWrap/>
            <w:hideMark/>
          </w:tcPr>
          <w:p w14:paraId="03B166D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408" w:type="pct"/>
            <w:noWrap/>
            <w:hideMark/>
          </w:tcPr>
          <w:p w14:paraId="47C3B5B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53" w:type="pct"/>
            <w:noWrap/>
            <w:hideMark/>
          </w:tcPr>
          <w:p w14:paraId="3A1F761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</w:t>
            </w:r>
          </w:p>
        </w:tc>
      </w:tr>
      <w:tr w:rsidR="00BF4C4E" w:rsidRPr="002E40EB" w14:paraId="147CC475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B4E30A9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92" w:type="pct"/>
            <w:noWrap/>
            <w:hideMark/>
          </w:tcPr>
          <w:p w14:paraId="21AD7BE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4929.4</w:t>
            </w:r>
          </w:p>
        </w:tc>
        <w:tc>
          <w:tcPr>
            <w:tcW w:w="337" w:type="pct"/>
            <w:noWrap/>
            <w:hideMark/>
          </w:tcPr>
          <w:p w14:paraId="1776B20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2" w:type="pct"/>
            <w:noWrap/>
            <w:hideMark/>
          </w:tcPr>
          <w:p w14:paraId="3F983BA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4773.6</w:t>
            </w:r>
          </w:p>
        </w:tc>
        <w:tc>
          <w:tcPr>
            <w:tcW w:w="337" w:type="pct"/>
            <w:noWrap/>
            <w:hideMark/>
          </w:tcPr>
          <w:p w14:paraId="4E34C38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537" w:type="pct"/>
            <w:noWrap/>
            <w:hideMark/>
          </w:tcPr>
          <w:p w14:paraId="593E717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4B94482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12A21E6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7074008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2D45D32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6AC14B9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37D5FBC8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1897A9F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Household type </w:t>
            </w:r>
          </w:p>
        </w:tc>
        <w:tc>
          <w:tcPr>
            <w:tcW w:w="292" w:type="pct"/>
            <w:noWrap/>
            <w:hideMark/>
          </w:tcPr>
          <w:p w14:paraId="6231EF7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30BD846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718E004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6FAE2E0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0828112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04275DA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754006D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34532AA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75989D6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7ADAD2C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2B1C651A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2729047F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single</w:t>
            </w:r>
          </w:p>
        </w:tc>
        <w:tc>
          <w:tcPr>
            <w:tcW w:w="292" w:type="pct"/>
            <w:noWrap/>
            <w:hideMark/>
          </w:tcPr>
          <w:p w14:paraId="6B9E31A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943.5</w:t>
            </w:r>
          </w:p>
        </w:tc>
        <w:tc>
          <w:tcPr>
            <w:tcW w:w="337" w:type="pct"/>
            <w:noWrap/>
            <w:hideMark/>
          </w:tcPr>
          <w:p w14:paraId="2EE3083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292" w:type="pct"/>
            <w:noWrap/>
            <w:hideMark/>
          </w:tcPr>
          <w:p w14:paraId="56BF034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922.8</w:t>
            </w:r>
          </w:p>
        </w:tc>
        <w:tc>
          <w:tcPr>
            <w:tcW w:w="337" w:type="pct"/>
            <w:noWrap/>
            <w:hideMark/>
          </w:tcPr>
          <w:p w14:paraId="78ED270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537" w:type="pct"/>
            <w:noWrap/>
            <w:hideMark/>
          </w:tcPr>
          <w:p w14:paraId="3CFE79B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</w:t>
            </w:r>
          </w:p>
        </w:tc>
        <w:tc>
          <w:tcPr>
            <w:tcW w:w="537" w:type="pct"/>
            <w:noWrap/>
            <w:hideMark/>
          </w:tcPr>
          <w:p w14:paraId="0990B41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18.2</w:t>
            </w:r>
          </w:p>
        </w:tc>
        <w:tc>
          <w:tcPr>
            <w:tcW w:w="315" w:type="pct"/>
            <w:noWrap/>
            <w:hideMark/>
          </w:tcPr>
          <w:p w14:paraId="0F5A39F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265" w:type="pct"/>
            <w:noWrap/>
            <w:hideMark/>
          </w:tcPr>
          <w:p w14:paraId="136F720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408" w:type="pct"/>
            <w:noWrap/>
            <w:hideMark/>
          </w:tcPr>
          <w:p w14:paraId="35757B1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353" w:type="pct"/>
            <w:noWrap/>
            <w:hideMark/>
          </w:tcPr>
          <w:p w14:paraId="76FEE17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</w:t>
            </w:r>
          </w:p>
        </w:tc>
      </w:tr>
      <w:tr w:rsidR="00BF4C4E" w:rsidRPr="002E40EB" w14:paraId="1C3416F2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B5F6C63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single with 1 child</w:t>
            </w:r>
          </w:p>
        </w:tc>
        <w:tc>
          <w:tcPr>
            <w:tcW w:w="292" w:type="pct"/>
            <w:noWrap/>
            <w:hideMark/>
          </w:tcPr>
          <w:p w14:paraId="16CDF8E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209.9</w:t>
            </w:r>
          </w:p>
        </w:tc>
        <w:tc>
          <w:tcPr>
            <w:tcW w:w="337" w:type="pct"/>
            <w:noWrap/>
            <w:hideMark/>
          </w:tcPr>
          <w:p w14:paraId="76D3190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4.3</w:t>
            </w:r>
          </w:p>
        </w:tc>
        <w:tc>
          <w:tcPr>
            <w:tcW w:w="292" w:type="pct"/>
            <w:noWrap/>
            <w:hideMark/>
          </w:tcPr>
          <w:p w14:paraId="1B73EA3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209.9</w:t>
            </w:r>
          </w:p>
        </w:tc>
        <w:tc>
          <w:tcPr>
            <w:tcW w:w="337" w:type="pct"/>
            <w:noWrap/>
            <w:hideMark/>
          </w:tcPr>
          <w:p w14:paraId="48ED6E0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537" w:type="pct"/>
            <w:noWrap/>
            <w:hideMark/>
          </w:tcPr>
          <w:p w14:paraId="57A34D9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26.4</w:t>
            </w:r>
          </w:p>
        </w:tc>
        <w:tc>
          <w:tcPr>
            <w:tcW w:w="537" w:type="pct"/>
            <w:noWrap/>
            <w:hideMark/>
          </w:tcPr>
          <w:p w14:paraId="2EE4C9D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26.4</w:t>
            </w:r>
          </w:p>
        </w:tc>
        <w:tc>
          <w:tcPr>
            <w:tcW w:w="315" w:type="pct"/>
            <w:noWrap/>
            <w:hideMark/>
          </w:tcPr>
          <w:p w14:paraId="1A20F09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21.6</w:t>
            </w:r>
          </w:p>
        </w:tc>
        <w:tc>
          <w:tcPr>
            <w:tcW w:w="265" w:type="pct"/>
            <w:noWrap/>
            <w:hideMark/>
          </w:tcPr>
          <w:p w14:paraId="7CBB7BE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14.5</w:t>
            </w:r>
          </w:p>
        </w:tc>
        <w:tc>
          <w:tcPr>
            <w:tcW w:w="408" w:type="pct"/>
            <w:noWrap/>
            <w:hideMark/>
          </w:tcPr>
          <w:p w14:paraId="3F8CD74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20.9</w:t>
            </w:r>
          </w:p>
        </w:tc>
        <w:tc>
          <w:tcPr>
            <w:tcW w:w="353" w:type="pct"/>
            <w:noWrap/>
            <w:hideMark/>
          </w:tcPr>
          <w:p w14:paraId="192ADB8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</w:tr>
      <w:tr w:rsidR="00BF4C4E" w:rsidRPr="002E40EB" w14:paraId="43C4D1E5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560FA0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single with 2 or more children</w:t>
            </w:r>
          </w:p>
        </w:tc>
        <w:tc>
          <w:tcPr>
            <w:tcW w:w="292" w:type="pct"/>
            <w:noWrap/>
            <w:hideMark/>
          </w:tcPr>
          <w:p w14:paraId="446506F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349.1</w:t>
            </w:r>
          </w:p>
        </w:tc>
        <w:tc>
          <w:tcPr>
            <w:tcW w:w="337" w:type="pct"/>
            <w:noWrap/>
            <w:hideMark/>
          </w:tcPr>
          <w:p w14:paraId="72C9B19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</w:t>
            </w:r>
          </w:p>
        </w:tc>
        <w:tc>
          <w:tcPr>
            <w:tcW w:w="292" w:type="pct"/>
            <w:noWrap/>
            <w:hideMark/>
          </w:tcPr>
          <w:p w14:paraId="3EAF932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349.1</w:t>
            </w:r>
          </w:p>
        </w:tc>
        <w:tc>
          <w:tcPr>
            <w:tcW w:w="337" w:type="pct"/>
            <w:noWrap/>
            <w:hideMark/>
          </w:tcPr>
          <w:p w14:paraId="70AC0A5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</w:t>
            </w:r>
          </w:p>
        </w:tc>
        <w:tc>
          <w:tcPr>
            <w:tcW w:w="537" w:type="pct"/>
            <w:noWrap/>
            <w:hideMark/>
          </w:tcPr>
          <w:p w14:paraId="1316868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537" w:type="pct"/>
            <w:noWrap/>
            <w:hideMark/>
          </w:tcPr>
          <w:p w14:paraId="62339C8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315" w:type="pct"/>
            <w:noWrap/>
            <w:hideMark/>
          </w:tcPr>
          <w:p w14:paraId="71086BF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28.4</w:t>
            </w:r>
          </w:p>
        </w:tc>
        <w:tc>
          <w:tcPr>
            <w:tcW w:w="265" w:type="pct"/>
            <w:noWrap/>
            <w:hideMark/>
          </w:tcPr>
          <w:p w14:paraId="6B23A24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20.3</w:t>
            </w:r>
          </w:p>
        </w:tc>
        <w:tc>
          <w:tcPr>
            <w:tcW w:w="408" w:type="pct"/>
            <w:noWrap/>
            <w:hideMark/>
          </w:tcPr>
          <w:p w14:paraId="5116324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27.6</w:t>
            </w:r>
          </w:p>
        </w:tc>
        <w:tc>
          <w:tcPr>
            <w:tcW w:w="353" w:type="pct"/>
            <w:noWrap/>
            <w:hideMark/>
          </w:tcPr>
          <w:p w14:paraId="5B937A3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BF4C4E" w:rsidRPr="002E40EB" w14:paraId="24A8DD38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0B51B53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</w:t>
            </w:r>
          </w:p>
        </w:tc>
        <w:tc>
          <w:tcPr>
            <w:tcW w:w="292" w:type="pct"/>
            <w:noWrap/>
            <w:hideMark/>
          </w:tcPr>
          <w:p w14:paraId="6EE636E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668.7</w:t>
            </w:r>
          </w:p>
        </w:tc>
        <w:tc>
          <w:tcPr>
            <w:tcW w:w="337" w:type="pct"/>
            <w:noWrap/>
            <w:hideMark/>
          </w:tcPr>
          <w:p w14:paraId="10D4867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13.6</w:t>
            </w:r>
          </w:p>
        </w:tc>
        <w:tc>
          <w:tcPr>
            <w:tcW w:w="292" w:type="pct"/>
            <w:noWrap/>
            <w:hideMark/>
          </w:tcPr>
          <w:p w14:paraId="44387C7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655</w:t>
            </w:r>
          </w:p>
        </w:tc>
        <w:tc>
          <w:tcPr>
            <w:tcW w:w="337" w:type="pct"/>
            <w:noWrap/>
            <w:hideMark/>
          </w:tcPr>
          <w:p w14:paraId="460CDD1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  <w:tc>
          <w:tcPr>
            <w:tcW w:w="537" w:type="pct"/>
            <w:noWrap/>
            <w:hideMark/>
          </w:tcPr>
          <w:p w14:paraId="768B9E9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10.8</w:t>
            </w:r>
          </w:p>
        </w:tc>
        <w:tc>
          <w:tcPr>
            <w:tcW w:w="537" w:type="pct"/>
            <w:noWrap/>
            <w:hideMark/>
          </w:tcPr>
          <w:p w14:paraId="654FE6C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10.6</w:t>
            </w:r>
          </w:p>
        </w:tc>
        <w:tc>
          <w:tcPr>
            <w:tcW w:w="315" w:type="pct"/>
            <w:noWrap/>
            <w:hideMark/>
          </w:tcPr>
          <w:p w14:paraId="4554B3D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33.2</w:t>
            </w:r>
          </w:p>
        </w:tc>
        <w:tc>
          <w:tcPr>
            <w:tcW w:w="265" w:type="pct"/>
            <w:noWrap/>
            <w:hideMark/>
          </w:tcPr>
          <w:p w14:paraId="5D84E3C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23.0</w:t>
            </w:r>
          </w:p>
        </w:tc>
        <w:tc>
          <w:tcPr>
            <w:tcW w:w="408" w:type="pct"/>
            <w:noWrap/>
            <w:hideMark/>
          </w:tcPr>
          <w:p w14:paraId="4E230F8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32.9</w:t>
            </w:r>
          </w:p>
        </w:tc>
        <w:tc>
          <w:tcPr>
            <w:tcW w:w="353" w:type="pct"/>
            <w:noWrap/>
            <w:hideMark/>
          </w:tcPr>
          <w:p w14:paraId="321682E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22.7</w:t>
            </w:r>
          </w:p>
        </w:tc>
      </w:tr>
      <w:tr w:rsidR="00BF4C4E" w:rsidRPr="002E40EB" w14:paraId="11F1F46E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D3B6623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 with 1 child</w:t>
            </w:r>
          </w:p>
        </w:tc>
        <w:tc>
          <w:tcPr>
            <w:tcW w:w="292" w:type="pct"/>
            <w:noWrap/>
            <w:hideMark/>
          </w:tcPr>
          <w:p w14:paraId="6ACA40C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307.6</w:t>
            </w:r>
          </w:p>
        </w:tc>
        <w:tc>
          <w:tcPr>
            <w:tcW w:w="337" w:type="pct"/>
            <w:noWrap/>
            <w:hideMark/>
          </w:tcPr>
          <w:p w14:paraId="6C23FA1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</w:t>
            </w:r>
          </w:p>
        </w:tc>
        <w:tc>
          <w:tcPr>
            <w:tcW w:w="292" w:type="pct"/>
            <w:noWrap/>
            <w:hideMark/>
          </w:tcPr>
          <w:p w14:paraId="3B3D4E0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297.3</w:t>
            </w:r>
          </w:p>
        </w:tc>
        <w:tc>
          <w:tcPr>
            <w:tcW w:w="337" w:type="pct"/>
            <w:noWrap/>
            <w:hideMark/>
          </w:tcPr>
          <w:p w14:paraId="39E7DD2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</w:t>
            </w:r>
          </w:p>
        </w:tc>
        <w:tc>
          <w:tcPr>
            <w:tcW w:w="537" w:type="pct"/>
            <w:noWrap/>
            <w:hideMark/>
          </w:tcPr>
          <w:p w14:paraId="0F1CF7B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</w:t>
            </w:r>
          </w:p>
        </w:tc>
        <w:tc>
          <w:tcPr>
            <w:tcW w:w="537" w:type="pct"/>
            <w:noWrap/>
            <w:hideMark/>
          </w:tcPr>
          <w:p w14:paraId="6558F92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</w:t>
            </w:r>
          </w:p>
        </w:tc>
        <w:tc>
          <w:tcPr>
            <w:tcW w:w="315" w:type="pct"/>
            <w:noWrap/>
            <w:hideMark/>
          </w:tcPr>
          <w:p w14:paraId="215C4CA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265" w:type="pct"/>
            <w:noWrap/>
            <w:hideMark/>
          </w:tcPr>
          <w:p w14:paraId="6CF56E9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</w:t>
            </w:r>
          </w:p>
        </w:tc>
        <w:tc>
          <w:tcPr>
            <w:tcW w:w="408" w:type="pct"/>
            <w:noWrap/>
            <w:hideMark/>
          </w:tcPr>
          <w:p w14:paraId="1E9FB0F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353" w:type="pct"/>
            <w:noWrap/>
            <w:hideMark/>
          </w:tcPr>
          <w:p w14:paraId="6F54594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15.9</w:t>
            </w:r>
          </w:p>
        </w:tc>
      </w:tr>
      <w:tr w:rsidR="00BF4C4E" w:rsidRPr="002E40EB" w14:paraId="2F0A3579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A3AC85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 with 2 children</w:t>
            </w:r>
          </w:p>
        </w:tc>
        <w:tc>
          <w:tcPr>
            <w:tcW w:w="292" w:type="pct"/>
            <w:noWrap/>
            <w:hideMark/>
          </w:tcPr>
          <w:p w14:paraId="0C24D48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493.9</w:t>
            </w:r>
          </w:p>
        </w:tc>
        <w:tc>
          <w:tcPr>
            <w:tcW w:w="337" w:type="pct"/>
            <w:noWrap/>
            <w:hideMark/>
          </w:tcPr>
          <w:p w14:paraId="7BF907F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92" w:type="pct"/>
            <w:noWrap/>
            <w:hideMark/>
          </w:tcPr>
          <w:p w14:paraId="1BB47EC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472.9</w:t>
            </w:r>
          </w:p>
        </w:tc>
        <w:tc>
          <w:tcPr>
            <w:tcW w:w="337" w:type="pct"/>
            <w:noWrap/>
            <w:hideMark/>
          </w:tcPr>
          <w:p w14:paraId="76707A8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</w:t>
            </w:r>
          </w:p>
        </w:tc>
        <w:tc>
          <w:tcPr>
            <w:tcW w:w="537" w:type="pct"/>
            <w:noWrap/>
            <w:hideMark/>
          </w:tcPr>
          <w:p w14:paraId="5419458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537" w:type="pct"/>
            <w:noWrap/>
            <w:hideMark/>
          </w:tcPr>
          <w:p w14:paraId="688D977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</w:t>
            </w:r>
          </w:p>
        </w:tc>
        <w:tc>
          <w:tcPr>
            <w:tcW w:w="315" w:type="pct"/>
            <w:noWrap/>
            <w:hideMark/>
          </w:tcPr>
          <w:p w14:paraId="1AF8DCB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22.4</w:t>
            </w:r>
          </w:p>
        </w:tc>
        <w:tc>
          <w:tcPr>
            <w:tcW w:w="265" w:type="pct"/>
            <w:noWrap/>
            <w:hideMark/>
          </w:tcPr>
          <w:p w14:paraId="5838379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14.8</w:t>
            </w:r>
          </w:p>
        </w:tc>
        <w:tc>
          <w:tcPr>
            <w:tcW w:w="408" w:type="pct"/>
            <w:noWrap/>
            <w:hideMark/>
          </w:tcPr>
          <w:p w14:paraId="7FB87C6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22.2</w:t>
            </w:r>
          </w:p>
        </w:tc>
        <w:tc>
          <w:tcPr>
            <w:tcW w:w="353" w:type="pct"/>
            <w:noWrap/>
            <w:hideMark/>
          </w:tcPr>
          <w:p w14:paraId="63898D9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</w:tr>
      <w:tr w:rsidR="00BF4C4E" w:rsidRPr="002E40EB" w14:paraId="5BE55487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5B22558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couple with 3 children</w:t>
            </w:r>
          </w:p>
        </w:tc>
        <w:tc>
          <w:tcPr>
            <w:tcW w:w="292" w:type="pct"/>
            <w:noWrap/>
            <w:hideMark/>
          </w:tcPr>
          <w:p w14:paraId="0E4F784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197.1</w:t>
            </w:r>
          </w:p>
        </w:tc>
        <w:tc>
          <w:tcPr>
            <w:tcW w:w="337" w:type="pct"/>
            <w:noWrap/>
            <w:hideMark/>
          </w:tcPr>
          <w:p w14:paraId="19C56D4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45FDBC1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193.5</w:t>
            </w:r>
          </w:p>
        </w:tc>
        <w:tc>
          <w:tcPr>
            <w:tcW w:w="337" w:type="pct"/>
            <w:noWrap/>
            <w:hideMark/>
          </w:tcPr>
          <w:p w14:paraId="3226B2C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537" w:type="pct"/>
            <w:noWrap/>
            <w:hideMark/>
          </w:tcPr>
          <w:p w14:paraId="11A4402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34.1</w:t>
            </w:r>
          </w:p>
        </w:tc>
        <w:tc>
          <w:tcPr>
            <w:tcW w:w="537" w:type="pct"/>
            <w:noWrap/>
            <w:hideMark/>
          </w:tcPr>
          <w:p w14:paraId="653DC7D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33.5</w:t>
            </w:r>
          </w:p>
        </w:tc>
        <w:tc>
          <w:tcPr>
            <w:tcW w:w="315" w:type="pct"/>
            <w:noWrap/>
            <w:hideMark/>
          </w:tcPr>
          <w:p w14:paraId="0E27B13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28.6</w:t>
            </w:r>
          </w:p>
        </w:tc>
        <w:tc>
          <w:tcPr>
            <w:tcW w:w="265" w:type="pct"/>
            <w:noWrap/>
            <w:hideMark/>
          </w:tcPr>
          <w:p w14:paraId="23C62A0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17.9</w:t>
            </w:r>
          </w:p>
        </w:tc>
        <w:tc>
          <w:tcPr>
            <w:tcW w:w="408" w:type="pct"/>
            <w:noWrap/>
            <w:hideMark/>
          </w:tcPr>
          <w:p w14:paraId="0446237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353" w:type="pct"/>
            <w:noWrap/>
            <w:hideMark/>
          </w:tcPr>
          <w:p w14:paraId="11CC0B9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BF4C4E" w:rsidRPr="002E40EB" w14:paraId="0005A1AE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7E8B37C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couple with 4 or more children </w:t>
            </w:r>
          </w:p>
        </w:tc>
        <w:tc>
          <w:tcPr>
            <w:tcW w:w="292" w:type="pct"/>
            <w:noWrap/>
            <w:hideMark/>
          </w:tcPr>
          <w:p w14:paraId="053A59D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200.3</w:t>
            </w:r>
          </w:p>
        </w:tc>
        <w:tc>
          <w:tcPr>
            <w:tcW w:w="337" w:type="pct"/>
            <w:noWrap/>
            <w:hideMark/>
          </w:tcPr>
          <w:p w14:paraId="2A96478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292" w:type="pct"/>
            <w:noWrap/>
            <w:hideMark/>
          </w:tcPr>
          <w:p w14:paraId="6241FFF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187.3</w:t>
            </w:r>
          </w:p>
        </w:tc>
        <w:tc>
          <w:tcPr>
            <w:tcW w:w="337" w:type="pct"/>
            <w:noWrap/>
            <w:hideMark/>
          </w:tcPr>
          <w:p w14:paraId="1906B53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3.9</w:t>
            </w:r>
          </w:p>
        </w:tc>
        <w:tc>
          <w:tcPr>
            <w:tcW w:w="537" w:type="pct"/>
            <w:noWrap/>
            <w:hideMark/>
          </w:tcPr>
          <w:p w14:paraId="31623E0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70.4</w:t>
            </w:r>
          </w:p>
        </w:tc>
        <w:tc>
          <w:tcPr>
            <w:tcW w:w="537" w:type="pct"/>
            <w:noWrap/>
            <w:hideMark/>
          </w:tcPr>
          <w:p w14:paraId="20F20D2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65.8</w:t>
            </w:r>
          </w:p>
        </w:tc>
        <w:tc>
          <w:tcPr>
            <w:tcW w:w="315" w:type="pct"/>
            <w:noWrap/>
            <w:hideMark/>
          </w:tcPr>
          <w:p w14:paraId="00EF41A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37.5</w:t>
            </w:r>
          </w:p>
        </w:tc>
        <w:tc>
          <w:tcPr>
            <w:tcW w:w="265" w:type="pct"/>
            <w:noWrap/>
            <w:hideMark/>
          </w:tcPr>
          <w:p w14:paraId="75B644C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13.9</w:t>
            </w:r>
          </w:p>
        </w:tc>
        <w:tc>
          <w:tcPr>
            <w:tcW w:w="408" w:type="pct"/>
            <w:noWrap/>
            <w:hideMark/>
          </w:tcPr>
          <w:p w14:paraId="6C79B7C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39.2</w:t>
            </w:r>
          </w:p>
        </w:tc>
        <w:tc>
          <w:tcPr>
            <w:tcW w:w="353" w:type="pct"/>
            <w:noWrap/>
            <w:hideMark/>
          </w:tcPr>
          <w:p w14:paraId="148CFE5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</w:t>
            </w:r>
          </w:p>
        </w:tc>
      </w:tr>
      <w:tr w:rsidR="00BF4C4E" w:rsidRPr="002E40EB" w14:paraId="56E5A641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318366C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multi-unit household</w:t>
            </w:r>
          </w:p>
        </w:tc>
        <w:tc>
          <w:tcPr>
            <w:tcW w:w="292" w:type="pct"/>
            <w:noWrap/>
            <w:hideMark/>
          </w:tcPr>
          <w:p w14:paraId="02ECBF8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595.1</w:t>
            </w:r>
          </w:p>
        </w:tc>
        <w:tc>
          <w:tcPr>
            <w:tcW w:w="337" w:type="pct"/>
            <w:noWrap/>
            <w:hideMark/>
          </w:tcPr>
          <w:p w14:paraId="4F7B794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292" w:type="pct"/>
            <w:noWrap/>
            <w:hideMark/>
          </w:tcPr>
          <w:p w14:paraId="4EE8623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553.9</w:t>
            </w:r>
          </w:p>
        </w:tc>
        <w:tc>
          <w:tcPr>
            <w:tcW w:w="337" w:type="pct"/>
            <w:noWrap/>
            <w:hideMark/>
          </w:tcPr>
          <w:p w14:paraId="440D15D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537" w:type="pct"/>
            <w:noWrap/>
            <w:hideMark/>
          </w:tcPr>
          <w:p w14:paraId="450C0A5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37" w:type="pct"/>
            <w:noWrap/>
            <w:hideMark/>
          </w:tcPr>
          <w:p w14:paraId="79F468C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</w:t>
            </w:r>
          </w:p>
        </w:tc>
        <w:tc>
          <w:tcPr>
            <w:tcW w:w="315" w:type="pct"/>
            <w:noWrap/>
            <w:hideMark/>
          </w:tcPr>
          <w:p w14:paraId="3065036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30.9</w:t>
            </w:r>
          </w:p>
        </w:tc>
        <w:tc>
          <w:tcPr>
            <w:tcW w:w="265" w:type="pct"/>
            <w:noWrap/>
            <w:hideMark/>
          </w:tcPr>
          <w:p w14:paraId="2E4016D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408" w:type="pct"/>
            <w:noWrap/>
            <w:hideMark/>
          </w:tcPr>
          <w:p w14:paraId="6BB8946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53" w:type="pct"/>
            <w:noWrap/>
            <w:hideMark/>
          </w:tcPr>
          <w:p w14:paraId="23217DD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</w:t>
            </w:r>
          </w:p>
        </w:tc>
      </w:tr>
      <w:tr w:rsidR="00BF4C4E" w:rsidRPr="002E40EB" w14:paraId="32D88A26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327DCD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pensioner single</w:t>
            </w:r>
          </w:p>
        </w:tc>
        <w:tc>
          <w:tcPr>
            <w:tcW w:w="292" w:type="pct"/>
            <w:noWrap/>
            <w:hideMark/>
          </w:tcPr>
          <w:p w14:paraId="6B4FD3A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570.2</w:t>
            </w:r>
          </w:p>
        </w:tc>
        <w:tc>
          <w:tcPr>
            <w:tcW w:w="337" w:type="pct"/>
            <w:noWrap/>
            <w:hideMark/>
          </w:tcPr>
          <w:p w14:paraId="7078C78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292" w:type="pct"/>
            <w:noWrap/>
            <w:hideMark/>
          </w:tcPr>
          <w:p w14:paraId="648B4FB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566.1</w:t>
            </w:r>
          </w:p>
        </w:tc>
        <w:tc>
          <w:tcPr>
            <w:tcW w:w="337" w:type="pct"/>
            <w:noWrap/>
            <w:hideMark/>
          </w:tcPr>
          <w:p w14:paraId="4F7D4EC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11.9</w:t>
            </w:r>
          </w:p>
        </w:tc>
        <w:tc>
          <w:tcPr>
            <w:tcW w:w="537" w:type="pct"/>
            <w:noWrap/>
            <w:hideMark/>
          </w:tcPr>
          <w:p w14:paraId="154436C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15.2</w:t>
            </w:r>
          </w:p>
        </w:tc>
        <w:tc>
          <w:tcPr>
            <w:tcW w:w="537" w:type="pct"/>
            <w:noWrap/>
            <w:hideMark/>
          </w:tcPr>
          <w:p w14:paraId="74F7691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</w:t>
            </w:r>
          </w:p>
        </w:tc>
        <w:tc>
          <w:tcPr>
            <w:tcW w:w="315" w:type="pct"/>
            <w:noWrap/>
            <w:hideMark/>
          </w:tcPr>
          <w:p w14:paraId="52881CB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265" w:type="pct"/>
            <w:noWrap/>
            <w:hideMark/>
          </w:tcPr>
          <w:p w14:paraId="4AC214C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14.4</w:t>
            </w:r>
          </w:p>
        </w:tc>
        <w:tc>
          <w:tcPr>
            <w:tcW w:w="408" w:type="pct"/>
            <w:noWrap/>
            <w:hideMark/>
          </w:tcPr>
          <w:p w14:paraId="12A526D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18.9</w:t>
            </w:r>
          </w:p>
        </w:tc>
        <w:tc>
          <w:tcPr>
            <w:tcW w:w="353" w:type="pct"/>
            <w:noWrap/>
            <w:hideMark/>
          </w:tcPr>
          <w:p w14:paraId="64D0A1B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14.5</w:t>
            </w:r>
          </w:p>
        </w:tc>
      </w:tr>
      <w:tr w:rsidR="00BF4C4E" w:rsidRPr="002E40EB" w14:paraId="429272E0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838B523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pensioner couple</w:t>
            </w:r>
          </w:p>
        </w:tc>
        <w:tc>
          <w:tcPr>
            <w:tcW w:w="292" w:type="pct"/>
            <w:noWrap/>
            <w:hideMark/>
          </w:tcPr>
          <w:p w14:paraId="7289D7A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394.1</w:t>
            </w:r>
          </w:p>
        </w:tc>
        <w:tc>
          <w:tcPr>
            <w:tcW w:w="337" w:type="pct"/>
            <w:noWrap/>
            <w:hideMark/>
          </w:tcPr>
          <w:p w14:paraId="2D24117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92" w:type="pct"/>
            <w:noWrap/>
            <w:hideMark/>
          </w:tcPr>
          <w:p w14:paraId="5BBFDC2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365.8</w:t>
            </w:r>
          </w:p>
        </w:tc>
        <w:tc>
          <w:tcPr>
            <w:tcW w:w="337" w:type="pct"/>
            <w:noWrap/>
            <w:hideMark/>
          </w:tcPr>
          <w:p w14:paraId="6A6E762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</w:t>
            </w:r>
          </w:p>
        </w:tc>
        <w:tc>
          <w:tcPr>
            <w:tcW w:w="537" w:type="pct"/>
            <w:noWrap/>
            <w:hideMark/>
          </w:tcPr>
          <w:p w14:paraId="2AB86F4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</w:t>
            </w:r>
          </w:p>
        </w:tc>
        <w:tc>
          <w:tcPr>
            <w:tcW w:w="537" w:type="pct"/>
            <w:noWrap/>
            <w:hideMark/>
          </w:tcPr>
          <w:p w14:paraId="00926D0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315" w:type="pct"/>
            <w:noWrap/>
            <w:hideMark/>
          </w:tcPr>
          <w:p w14:paraId="0C6CBAA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22.7</w:t>
            </w:r>
          </w:p>
        </w:tc>
        <w:tc>
          <w:tcPr>
            <w:tcW w:w="265" w:type="pct"/>
            <w:noWrap/>
            <w:hideMark/>
          </w:tcPr>
          <w:p w14:paraId="424037E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  <w:tc>
          <w:tcPr>
            <w:tcW w:w="408" w:type="pct"/>
            <w:noWrap/>
            <w:hideMark/>
          </w:tcPr>
          <w:p w14:paraId="34ACC17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23.3</w:t>
            </w:r>
          </w:p>
        </w:tc>
        <w:tc>
          <w:tcPr>
            <w:tcW w:w="353" w:type="pct"/>
            <w:noWrap/>
            <w:hideMark/>
          </w:tcPr>
          <w:p w14:paraId="6285D03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15.9</w:t>
            </w:r>
          </w:p>
        </w:tc>
      </w:tr>
      <w:tr w:rsidR="00BF4C4E" w:rsidRPr="002E40EB" w14:paraId="6CB2367A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74DD67E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92" w:type="pct"/>
            <w:noWrap/>
            <w:hideMark/>
          </w:tcPr>
          <w:p w14:paraId="502A4E7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4929.4</w:t>
            </w:r>
          </w:p>
        </w:tc>
        <w:tc>
          <w:tcPr>
            <w:tcW w:w="337" w:type="pct"/>
            <w:noWrap/>
            <w:hideMark/>
          </w:tcPr>
          <w:p w14:paraId="0210983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2" w:type="pct"/>
            <w:noWrap/>
            <w:hideMark/>
          </w:tcPr>
          <w:p w14:paraId="51ABB11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4773.6</w:t>
            </w:r>
          </w:p>
        </w:tc>
        <w:tc>
          <w:tcPr>
            <w:tcW w:w="337" w:type="pct"/>
            <w:noWrap/>
            <w:hideMark/>
          </w:tcPr>
          <w:p w14:paraId="42B6CEE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537" w:type="pct"/>
            <w:noWrap/>
            <w:hideMark/>
          </w:tcPr>
          <w:p w14:paraId="7A2B455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690FC58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1D1A1C1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0DB594B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0A165CC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16F268F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244CCFE1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BE0E999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Region</w:t>
            </w:r>
          </w:p>
        </w:tc>
        <w:tc>
          <w:tcPr>
            <w:tcW w:w="292" w:type="pct"/>
            <w:noWrap/>
            <w:hideMark/>
          </w:tcPr>
          <w:p w14:paraId="4E6E4F0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78DB6F9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1555448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0332EA4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53535E1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404D9B8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7C55897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7886EC1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6B1B72E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1715398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2EA8DD04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1CFAA6E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North East</w:t>
            </w:r>
            <w:proofErr w:type="gramEnd"/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92" w:type="pct"/>
            <w:noWrap/>
            <w:hideMark/>
          </w:tcPr>
          <w:p w14:paraId="06CA009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212.4</w:t>
            </w:r>
          </w:p>
        </w:tc>
        <w:tc>
          <w:tcPr>
            <w:tcW w:w="337" w:type="pct"/>
            <w:noWrap/>
            <w:hideMark/>
          </w:tcPr>
          <w:p w14:paraId="0E84CD3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4.3</w:t>
            </w:r>
          </w:p>
        </w:tc>
        <w:tc>
          <w:tcPr>
            <w:tcW w:w="292" w:type="pct"/>
            <w:noWrap/>
            <w:hideMark/>
          </w:tcPr>
          <w:p w14:paraId="17C25BB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212.4</w:t>
            </w:r>
          </w:p>
        </w:tc>
        <w:tc>
          <w:tcPr>
            <w:tcW w:w="337" w:type="pct"/>
            <w:noWrap/>
            <w:hideMark/>
          </w:tcPr>
          <w:p w14:paraId="1645BBC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537" w:type="pct"/>
            <w:noWrap/>
            <w:hideMark/>
          </w:tcPr>
          <w:p w14:paraId="0C406BA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</w:t>
            </w:r>
          </w:p>
        </w:tc>
        <w:tc>
          <w:tcPr>
            <w:tcW w:w="537" w:type="pct"/>
            <w:noWrap/>
            <w:hideMark/>
          </w:tcPr>
          <w:p w14:paraId="1E6F84C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</w:t>
            </w:r>
          </w:p>
        </w:tc>
        <w:tc>
          <w:tcPr>
            <w:tcW w:w="315" w:type="pct"/>
            <w:noWrap/>
            <w:hideMark/>
          </w:tcPr>
          <w:p w14:paraId="37463B6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265" w:type="pct"/>
            <w:noWrap/>
            <w:hideMark/>
          </w:tcPr>
          <w:p w14:paraId="1C60FE1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13.6</w:t>
            </w:r>
          </w:p>
        </w:tc>
        <w:tc>
          <w:tcPr>
            <w:tcW w:w="408" w:type="pct"/>
            <w:noWrap/>
            <w:hideMark/>
          </w:tcPr>
          <w:p w14:paraId="4FFF6F0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22.5</w:t>
            </w:r>
          </w:p>
        </w:tc>
        <w:tc>
          <w:tcPr>
            <w:tcW w:w="353" w:type="pct"/>
            <w:noWrap/>
            <w:hideMark/>
          </w:tcPr>
          <w:p w14:paraId="1553106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12.6</w:t>
            </w:r>
          </w:p>
        </w:tc>
      </w:tr>
      <w:tr w:rsidR="00BF4C4E" w:rsidRPr="002E40EB" w14:paraId="1FAC9123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F33B2A1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North West</w:t>
            </w:r>
            <w:proofErr w:type="gramEnd"/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Merseyside </w:t>
            </w:r>
          </w:p>
        </w:tc>
        <w:tc>
          <w:tcPr>
            <w:tcW w:w="292" w:type="pct"/>
            <w:noWrap/>
            <w:hideMark/>
          </w:tcPr>
          <w:p w14:paraId="1D588B9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541.7</w:t>
            </w:r>
          </w:p>
        </w:tc>
        <w:tc>
          <w:tcPr>
            <w:tcW w:w="337" w:type="pct"/>
            <w:noWrap/>
            <w:hideMark/>
          </w:tcPr>
          <w:p w14:paraId="68F066D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92" w:type="pct"/>
            <w:noWrap/>
            <w:hideMark/>
          </w:tcPr>
          <w:p w14:paraId="69A716E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541.7</w:t>
            </w:r>
          </w:p>
        </w:tc>
        <w:tc>
          <w:tcPr>
            <w:tcW w:w="337" w:type="pct"/>
            <w:noWrap/>
            <w:hideMark/>
          </w:tcPr>
          <w:p w14:paraId="4A26AE5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11.3</w:t>
            </w:r>
          </w:p>
        </w:tc>
        <w:tc>
          <w:tcPr>
            <w:tcW w:w="537" w:type="pct"/>
            <w:noWrap/>
            <w:hideMark/>
          </w:tcPr>
          <w:p w14:paraId="48FAA38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</w:t>
            </w:r>
          </w:p>
        </w:tc>
        <w:tc>
          <w:tcPr>
            <w:tcW w:w="537" w:type="pct"/>
            <w:noWrap/>
            <w:hideMark/>
          </w:tcPr>
          <w:p w14:paraId="525F87A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</w:t>
            </w:r>
          </w:p>
        </w:tc>
        <w:tc>
          <w:tcPr>
            <w:tcW w:w="315" w:type="pct"/>
            <w:noWrap/>
            <w:hideMark/>
          </w:tcPr>
          <w:p w14:paraId="35E3A17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24.0</w:t>
            </w:r>
          </w:p>
        </w:tc>
        <w:tc>
          <w:tcPr>
            <w:tcW w:w="265" w:type="pct"/>
            <w:noWrap/>
            <w:hideMark/>
          </w:tcPr>
          <w:p w14:paraId="78B6ABA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408" w:type="pct"/>
            <w:noWrap/>
            <w:hideMark/>
          </w:tcPr>
          <w:p w14:paraId="12E4C3F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353" w:type="pct"/>
            <w:noWrap/>
            <w:hideMark/>
          </w:tcPr>
          <w:p w14:paraId="6D3EDCE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20.2</w:t>
            </w:r>
          </w:p>
        </w:tc>
      </w:tr>
      <w:tr w:rsidR="00BF4C4E" w:rsidRPr="002E40EB" w14:paraId="62EA7F3E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A48A6AF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Yorkshire and the Humber </w:t>
            </w:r>
          </w:p>
        </w:tc>
        <w:tc>
          <w:tcPr>
            <w:tcW w:w="292" w:type="pct"/>
            <w:noWrap/>
            <w:hideMark/>
          </w:tcPr>
          <w:p w14:paraId="102F5F8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411.9</w:t>
            </w:r>
          </w:p>
        </w:tc>
        <w:tc>
          <w:tcPr>
            <w:tcW w:w="337" w:type="pct"/>
            <w:noWrap/>
            <w:hideMark/>
          </w:tcPr>
          <w:p w14:paraId="0471146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8.4</w:t>
            </w:r>
          </w:p>
        </w:tc>
        <w:tc>
          <w:tcPr>
            <w:tcW w:w="292" w:type="pct"/>
            <w:noWrap/>
            <w:hideMark/>
          </w:tcPr>
          <w:p w14:paraId="0128F3D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411.9</w:t>
            </w:r>
          </w:p>
        </w:tc>
        <w:tc>
          <w:tcPr>
            <w:tcW w:w="337" w:type="pct"/>
            <w:noWrap/>
            <w:hideMark/>
          </w:tcPr>
          <w:p w14:paraId="1B1F1D9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537" w:type="pct"/>
            <w:noWrap/>
            <w:hideMark/>
          </w:tcPr>
          <w:p w14:paraId="13BF740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17.1</w:t>
            </w:r>
          </w:p>
        </w:tc>
        <w:tc>
          <w:tcPr>
            <w:tcW w:w="537" w:type="pct"/>
            <w:noWrap/>
            <w:hideMark/>
          </w:tcPr>
          <w:p w14:paraId="32D27EF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17.1</w:t>
            </w:r>
          </w:p>
        </w:tc>
        <w:tc>
          <w:tcPr>
            <w:tcW w:w="315" w:type="pct"/>
            <w:noWrap/>
            <w:hideMark/>
          </w:tcPr>
          <w:p w14:paraId="505E23E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29.1</w:t>
            </w:r>
          </w:p>
        </w:tc>
        <w:tc>
          <w:tcPr>
            <w:tcW w:w="265" w:type="pct"/>
            <w:noWrap/>
            <w:hideMark/>
          </w:tcPr>
          <w:p w14:paraId="46937C3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16.0</w:t>
            </w:r>
          </w:p>
        </w:tc>
        <w:tc>
          <w:tcPr>
            <w:tcW w:w="408" w:type="pct"/>
            <w:noWrap/>
            <w:hideMark/>
          </w:tcPr>
          <w:p w14:paraId="23121E4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28.1</w:t>
            </w:r>
          </w:p>
        </w:tc>
        <w:tc>
          <w:tcPr>
            <w:tcW w:w="353" w:type="pct"/>
            <w:noWrap/>
            <w:hideMark/>
          </w:tcPr>
          <w:p w14:paraId="092170A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14.9</w:t>
            </w:r>
          </w:p>
        </w:tc>
      </w:tr>
      <w:tr w:rsidR="00BF4C4E" w:rsidRPr="002E40EB" w14:paraId="4D99FA00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5920548C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East Midlands </w:t>
            </w:r>
          </w:p>
        </w:tc>
        <w:tc>
          <w:tcPr>
            <w:tcW w:w="292" w:type="pct"/>
            <w:noWrap/>
            <w:hideMark/>
          </w:tcPr>
          <w:p w14:paraId="485875B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313.4</w:t>
            </w:r>
          </w:p>
        </w:tc>
        <w:tc>
          <w:tcPr>
            <w:tcW w:w="337" w:type="pct"/>
            <w:noWrap/>
            <w:hideMark/>
          </w:tcPr>
          <w:p w14:paraId="04A80AA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</w:t>
            </w:r>
          </w:p>
        </w:tc>
        <w:tc>
          <w:tcPr>
            <w:tcW w:w="292" w:type="pct"/>
            <w:noWrap/>
            <w:hideMark/>
          </w:tcPr>
          <w:p w14:paraId="3DAD6C1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297.4</w:t>
            </w:r>
          </w:p>
        </w:tc>
        <w:tc>
          <w:tcPr>
            <w:tcW w:w="337" w:type="pct"/>
            <w:noWrap/>
            <w:hideMark/>
          </w:tcPr>
          <w:p w14:paraId="41190D9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</w:t>
            </w:r>
          </w:p>
        </w:tc>
        <w:tc>
          <w:tcPr>
            <w:tcW w:w="537" w:type="pct"/>
            <w:noWrap/>
            <w:hideMark/>
          </w:tcPr>
          <w:p w14:paraId="792A51A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37" w:type="pct"/>
            <w:noWrap/>
            <w:hideMark/>
          </w:tcPr>
          <w:p w14:paraId="678AAB8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14.3</w:t>
            </w:r>
          </w:p>
        </w:tc>
        <w:tc>
          <w:tcPr>
            <w:tcW w:w="315" w:type="pct"/>
            <w:noWrap/>
            <w:hideMark/>
          </w:tcPr>
          <w:p w14:paraId="4DE29D9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</w:t>
            </w:r>
          </w:p>
        </w:tc>
        <w:tc>
          <w:tcPr>
            <w:tcW w:w="265" w:type="pct"/>
            <w:noWrap/>
            <w:hideMark/>
          </w:tcPr>
          <w:p w14:paraId="09C3FA3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408" w:type="pct"/>
            <w:noWrap/>
            <w:hideMark/>
          </w:tcPr>
          <w:p w14:paraId="3E6262A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353" w:type="pct"/>
            <w:noWrap/>
            <w:hideMark/>
          </w:tcPr>
          <w:p w14:paraId="5F6F584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</w:t>
            </w:r>
          </w:p>
        </w:tc>
      </w:tr>
      <w:tr w:rsidR="00BF4C4E" w:rsidRPr="002E40EB" w14:paraId="25C34008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2718AEE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West Midlands </w:t>
            </w:r>
          </w:p>
        </w:tc>
        <w:tc>
          <w:tcPr>
            <w:tcW w:w="292" w:type="pct"/>
            <w:noWrap/>
            <w:hideMark/>
          </w:tcPr>
          <w:p w14:paraId="78FB037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592.4</w:t>
            </w:r>
          </w:p>
        </w:tc>
        <w:tc>
          <w:tcPr>
            <w:tcW w:w="337" w:type="pct"/>
            <w:noWrap/>
            <w:hideMark/>
          </w:tcPr>
          <w:p w14:paraId="50C1293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92" w:type="pct"/>
            <w:noWrap/>
            <w:hideMark/>
          </w:tcPr>
          <w:p w14:paraId="1D56674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559.8</w:t>
            </w:r>
          </w:p>
        </w:tc>
        <w:tc>
          <w:tcPr>
            <w:tcW w:w="337" w:type="pct"/>
            <w:noWrap/>
            <w:hideMark/>
          </w:tcPr>
          <w:p w14:paraId="16C4581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11.7</w:t>
            </w:r>
          </w:p>
        </w:tc>
        <w:tc>
          <w:tcPr>
            <w:tcW w:w="537" w:type="pct"/>
            <w:noWrap/>
            <w:hideMark/>
          </w:tcPr>
          <w:p w14:paraId="057479F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537" w:type="pct"/>
            <w:noWrap/>
            <w:hideMark/>
          </w:tcPr>
          <w:p w14:paraId="6078E6F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22.3</w:t>
            </w:r>
          </w:p>
        </w:tc>
        <w:tc>
          <w:tcPr>
            <w:tcW w:w="315" w:type="pct"/>
            <w:noWrap/>
            <w:hideMark/>
          </w:tcPr>
          <w:p w14:paraId="1941FFA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24.2</w:t>
            </w:r>
          </w:p>
        </w:tc>
        <w:tc>
          <w:tcPr>
            <w:tcW w:w="265" w:type="pct"/>
            <w:noWrap/>
            <w:hideMark/>
          </w:tcPr>
          <w:p w14:paraId="13F8922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14.4</w:t>
            </w:r>
          </w:p>
        </w:tc>
        <w:tc>
          <w:tcPr>
            <w:tcW w:w="408" w:type="pct"/>
            <w:noWrap/>
            <w:hideMark/>
          </w:tcPr>
          <w:p w14:paraId="420C247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353" w:type="pct"/>
            <w:noWrap/>
            <w:hideMark/>
          </w:tcPr>
          <w:p w14:paraId="66DF761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15.8</w:t>
            </w:r>
          </w:p>
        </w:tc>
      </w:tr>
      <w:tr w:rsidR="00BF4C4E" w:rsidRPr="002E40EB" w14:paraId="7E0709DD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E7C324C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Eastern </w:t>
            </w:r>
          </w:p>
        </w:tc>
        <w:tc>
          <w:tcPr>
            <w:tcW w:w="292" w:type="pct"/>
            <w:noWrap/>
            <w:hideMark/>
          </w:tcPr>
          <w:p w14:paraId="0DA25AB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385.1</w:t>
            </w:r>
          </w:p>
        </w:tc>
        <w:tc>
          <w:tcPr>
            <w:tcW w:w="337" w:type="pct"/>
            <w:noWrap/>
            <w:hideMark/>
          </w:tcPr>
          <w:p w14:paraId="287ECE7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</w:t>
            </w:r>
          </w:p>
        </w:tc>
        <w:tc>
          <w:tcPr>
            <w:tcW w:w="292" w:type="pct"/>
            <w:noWrap/>
            <w:hideMark/>
          </w:tcPr>
          <w:p w14:paraId="23C25BC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379.7</w:t>
            </w:r>
          </w:p>
        </w:tc>
        <w:tc>
          <w:tcPr>
            <w:tcW w:w="337" w:type="pct"/>
            <w:noWrap/>
            <w:hideMark/>
          </w:tcPr>
          <w:p w14:paraId="7246D66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37" w:type="pct"/>
            <w:noWrap/>
            <w:hideMark/>
          </w:tcPr>
          <w:p w14:paraId="229B03D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</w:t>
            </w:r>
          </w:p>
        </w:tc>
        <w:tc>
          <w:tcPr>
            <w:tcW w:w="537" w:type="pct"/>
            <w:noWrap/>
            <w:hideMark/>
          </w:tcPr>
          <w:p w14:paraId="2FEFC07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13.9</w:t>
            </w:r>
          </w:p>
        </w:tc>
        <w:tc>
          <w:tcPr>
            <w:tcW w:w="315" w:type="pct"/>
            <w:noWrap/>
            <w:hideMark/>
          </w:tcPr>
          <w:p w14:paraId="1BB6D81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265" w:type="pct"/>
            <w:noWrap/>
            <w:hideMark/>
          </w:tcPr>
          <w:p w14:paraId="508CBBC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14.7</w:t>
            </w:r>
          </w:p>
        </w:tc>
        <w:tc>
          <w:tcPr>
            <w:tcW w:w="408" w:type="pct"/>
            <w:noWrap/>
            <w:hideMark/>
          </w:tcPr>
          <w:p w14:paraId="420D925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</w:t>
            </w:r>
          </w:p>
        </w:tc>
        <w:tc>
          <w:tcPr>
            <w:tcW w:w="353" w:type="pct"/>
            <w:noWrap/>
            <w:hideMark/>
          </w:tcPr>
          <w:p w14:paraId="1DB32E6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13.9</w:t>
            </w:r>
          </w:p>
        </w:tc>
      </w:tr>
      <w:tr w:rsidR="00BF4C4E" w:rsidRPr="002E40EB" w14:paraId="1431D6F1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6F126030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London </w:t>
            </w:r>
          </w:p>
        </w:tc>
        <w:tc>
          <w:tcPr>
            <w:tcW w:w="292" w:type="pct"/>
            <w:noWrap/>
            <w:hideMark/>
          </w:tcPr>
          <w:p w14:paraId="2F0109D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655.7</w:t>
            </w:r>
          </w:p>
        </w:tc>
        <w:tc>
          <w:tcPr>
            <w:tcW w:w="337" w:type="pct"/>
            <w:noWrap/>
            <w:hideMark/>
          </w:tcPr>
          <w:p w14:paraId="55E39FC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13.3</w:t>
            </w:r>
          </w:p>
        </w:tc>
        <w:tc>
          <w:tcPr>
            <w:tcW w:w="292" w:type="pct"/>
            <w:noWrap/>
            <w:hideMark/>
          </w:tcPr>
          <w:p w14:paraId="187555E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655.7</w:t>
            </w:r>
          </w:p>
        </w:tc>
        <w:tc>
          <w:tcPr>
            <w:tcW w:w="337" w:type="pct"/>
            <w:noWrap/>
            <w:hideMark/>
          </w:tcPr>
          <w:p w14:paraId="686C889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  <w:tc>
          <w:tcPr>
            <w:tcW w:w="537" w:type="pct"/>
            <w:noWrap/>
            <w:hideMark/>
          </w:tcPr>
          <w:p w14:paraId="26C1836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</w:t>
            </w:r>
          </w:p>
        </w:tc>
        <w:tc>
          <w:tcPr>
            <w:tcW w:w="537" w:type="pct"/>
            <w:noWrap/>
            <w:hideMark/>
          </w:tcPr>
          <w:p w14:paraId="68DB62E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</w:t>
            </w:r>
          </w:p>
        </w:tc>
        <w:tc>
          <w:tcPr>
            <w:tcW w:w="315" w:type="pct"/>
            <w:noWrap/>
            <w:hideMark/>
          </w:tcPr>
          <w:p w14:paraId="436F341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26.1</w:t>
            </w:r>
          </w:p>
        </w:tc>
        <w:tc>
          <w:tcPr>
            <w:tcW w:w="265" w:type="pct"/>
            <w:noWrap/>
            <w:hideMark/>
          </w:tcPr>
          <w:p w14:paraId="1C2EBC0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18.9</w:t>
            </w:r>
          </w:p>
        </w:tc>
        <w:tc>
          <w:tcPr>
            <w:tcW w:w="408" w:type="pct"/>
            <w:noWrap/>
            <w:hideMark/>
          </w:tcPr>
          <w:p w14:paraId="47EF8E8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25.3</w:t>
            </w:r>
          </w:p>
        </w:tc>
        <w:tc>
          <w:tcPr>
            <w:tcW w:w="353" w:type="pct"/>
            <w:noWrap/>
            <w:hideMark/>
          </w:tcPr>
          <w:p w14:paraId="4C3B261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18.2</w:t>
            </w:r>
          </w:p>
        </w:tc>
      </w:tr>
      <w:tr w:rsidR="00BF4C4E" w:rsidRPr="002E40EB" w14:paraId="2346FD2D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570F9C10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South East</w:t>
            </w:r>
            <w:proofErr w:type="gramEnd"/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92" w:type="pct"/>
            <w:noWrap/>
            <w:hideMark/>
          </w:tcPr>
          <w:p w14:paraId="0CE2FAB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617.7</w:t>
            </w:r>
          </w:p>
        </w:tc>
        <w:tc>
          <w:tcPr>
            <w:tcW w:w="337" w:type="pct"/>
            <w:noWrap/>
            <w:hideMark/>
          </w:tcPr>
          <w:p w14:paraId="7AB8FD5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12.5</w:t>
            </w:r>
          </w:p>
        </w:tc>
        <w:tc>
          <w:tcPr>
            <w:tcW w:w="292" w:type="pct"/>
            <w:noWrap/>
            <w:hideMark/>
          </w:tcPr>
          <w:p w14:paraId="25DC020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562.5</w:t>
            </w:r>
          </w:p>
        </w:tc>
        <w:tc>
          <w:tcPr>
            <w:tcW w:w="337" w:type="pct"/>
            <w:noWrap/>
            <w:hideMark/>
          </w:tcPr>
          <w:p w14:paraId="044646C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</w:t>
            </w:r>
          </w:p>
        </w:tc>
        <w:tc>
          <w:tcPr>
            <w:tcW w:w="537" w:type="pct"/>
            <w:noWrap/>
            <w:hideMark/>
          </w:tcPr>
          <w:p w14:paraId="1715BBF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</w:t>
            </w:r>
          </w:p>
        </w:tc>
        <w:tc>
          <w:tcPr>
            <w:tcW w:w="537" w:type="pct"/>
            <w:noWrap/>
            <w:hideMark/>
          </w:tcPr>
          <w:p w14:paraId="37D81E9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</w:t>
            </w:r>
          </w:p>
        </w:tc>
        <w:tc>
          <w:tcPr>
            <w:tcW w:w="315" w:type="pct"/>
            <w:noWrap/>
            <w:hideMark/>
          </w:tcPr>
          <w:p w14:paraId="791A3B0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27.6</w:t>
            </w:r>
          </w:p>
        </w:tc>
        <w:tc>
          <w:tcPr>
            <w:tcW w:w="265" w:type="pct"/>
            <w:noWrap/>
            <w:hideMark/>
          </w:tcPr>
          <w:p w14:paraId="7E567F6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</w:t>
            </w:r>
          </w:p>
        </w:tc>
        <w:tc>
          <w:tcPr>
            <w:tcW w:w="408" w:type="pct"/>
            <w:noWrap/>
            <w:hideMark/>
          </w:tcPr>
          <w:p w14:paraId="5761D3B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29.3</w:t>
            </w:r>
          </w:p>
        </w:tc>
        <w:tc>
          <w:tcPr>
            <w:tcW w:w="353" w:type="pct"/>
            <w:noWrap/>
            <w:hideMark/>
          </w:tcPr>
          <w:p w14:paraId="5F03790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17.9</w:t>
            </w:r>
          </w:p>
        </w:tc>
      </w:tr>
      <w:tr w:rsidR="00BF4C4E" w:rsidRPr="002E40EB" w14:paraId="325E3389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56B75F2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South West</w:t>
            </w:r>
            <w:proofErr w:type="gramEnd"/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92" w:type="pct"/>
            <w:noWrap/>
            <w:hideMark/>
          </w:tcPr>
          <w:p w14:paraId="3698B38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326</w:t>
            </w:r>
          </w:p>
        </w:tc>
        <w:tc>
          <w:tcPr>
            <w:tcW w:w="337" w:type="pct"/>
            <w:noWrap/>
            <w:hideMark/>
          </w:tcPr>
          <w:p w14:paraId="1B2B5FF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</w:t>
            </w:r>
          </w:p>
        </w:tc>
        <w:tc>
          <w:tcPr>
            <w:tcW w:w="292" w:type="pct"/>
            <w:noWrap/>
            <w:hideMark/>
          </w:tcPr>
          <w:p w14:paraId="6A0D431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306.8</w:t>
            </w:r>
          </w:p>
        </w:tc>
        <w:tc>
          <w:tcPr>
            <w:tcW w:w="337" w:type="pct"/>
            <w:noWrap/>
            <w:hideMark/>
          </w:tcPr>
          <w:p w14:paraId="19D4E58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</w:t>
            </w:r>
          </w:p>
        </w:tc>
        <w:tc>
          <w:tcPr>
            <w:tcW w:w="537" w:type="pct"/>
            <w:noWrap/>
            <w:hideMark/>
          </w:tcPr>
          <w:p w14:paraId="17769A7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37" w:type="pct"/>
            <w:noWrap/>
            <w:hideMark/>
          </w:tcPr>
          <w:p w14:paraId="3C110EC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315" w:type="pct"/>
            <w:noWrap/>
            <w:hideMark/>
          </w:tcPr>
          <w:p w14:paraId="757043E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27.6</w:t>
            </w:r>
          </w:p>
        </w:tc>
        <w:tc>
          <w:tcPr>
            <w:tcW w:w="265" w:type="pct"/>
            <w:noWrap/>
            <w:hideMark/>
          </w:tcPr>
          <w:p w14:paraId="6EE8DDE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408" w:type="pct"/>
            <w:noWrap/>
            <w:hideMark/>
          </w:tcPr>
          <w:p w14:paraId="769719E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28.1</w:t>
            </w:r>
          </w:p>
        </w:tc>
        <w:tc>
          <w:tcPr>
            <w:tcW w:w="353" w:type="pct"/>
            <w:noWrap/>
            <w:hideMark/>
          </w:tcPr>
          <w:p w14:paraId="1DC8908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</w:t>
            </w:r>
          </w:p>
        </w:tc>
      </w:tr>
      <w:tr w:rsidR="00BF4C4E" w:rsidRPr="002E40EB" w14:paraId="6F1BDD57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62EBDF17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Wales </w:t>
            </w:r>
          </w:p>
        </w:tc>
        <w:tc>
          <w:tcPr>
            <w:tcW w:w="292" w:type="pct"/>
            <w:noWrap/>
            <w:hideMark/>
          </w:tcPr>
          <w:p w14:paraId="0DDA6AC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170.1</w:t>
            </w:r>
          </w:p>
        </w:tc>
        <w:tc>
          <w:tcPr>
            <w:tcW w:w="337" w:type="pct"/>
            <w:noWrap/>
            <w:hideMark/>
          </w:tcPr>
          <w:p w14:paraId="0F3ED33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3.5</w:t>
            </w:r>
          </w:p>
        </w:tc>
        <w:tc>
          <w:tcPr>
            <w:tcW w:w="292" w:type="pct"/>
            <w:noWrap/>
            <w:hideMark/>
          </w:tcPr>
          <w:p w14:paraId="783ADCE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170.1</w:t>
            </w:r>
          </w:p>
        </w:tc>
        <w:tc>
          <w:tcPr>
            <w:tcW w:w="337" w:type="pct"/>
            <w:noWrap/>
            <w:hideMark/>
          </w:tcPr>
          <w:p w14:paraId="0539223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</w:t>
            </w:r>
          </w:p>
        </w:tc>
        <w:tc>
          <w:tcPr>
            <w:tcW w:w="537" w:type="pct"/>
            <w:noWrap/>
            <w:hideMark/>
          </w:tcPr>
          <w:p w14:paraId="7BE1AC4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537" w:type="pct"/>
            <w:noWrap/>
            <w:hideMark/>
          </w:tcPr>
          <w:p w14:paraId="1B9C2BD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315" w:type="pct"/>
            <w:noWrap/>
            <w:hideMark/>
          </w:tcPr>
          <w:p w14:paraId="514B9D1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25.0</w:t>
            </w:r>
          </w:p>
        </w:tc>
        <w:tc>
          <w:tcPr>
            <w:tcW w:w="265" w:type="pct"/>
            <w:noWrap/>
            <w:hideMark/>
          </w:tcPr>
          <w:p w14:paraId="5CD76DF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14.9</w:t>
            </w:r>
          </w:p>
        </w:tc>
        <w:tc>
          <w:tcPr>
            <w:tcW w:w="408" w:type="pct"/>
            <w:noWrap/>
            <w:hideMark/>
          </w:tcPr>
          <w:p w14:paraId="4FA1EC4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353" w:type="pct"/>
            <w:noWrap/>
            <w:hideMark/>
          </w:tcPr>
          <w:p w14:paraId="11F13F7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</w:tr>
      <w:tr w:rsidR="00BF4C4E" w:rsidRPr="002E40EB" w14:paraId="0EDC348F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B07462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 xml:space="preserve">Scotland </w:t>
            </w:r>
          </w:p>
        </w:tc>
        <w:tc>
          <w:tcPr>
            <w:tcW w:w="292" w:type="pct"/>
            <w:noWrap/>
            <w:hideMark/>
          </w:tcPr>
          <w:p w14:paraId="011AD6E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486</w:t>
            </w:r>
          </w:p>
        </w:tc>
        <w:tc>
          <w:tcPr>
            <w:tcW w:w="337" w:type="pct"/>
            <w:noWrap/>
            <w:hideMark/>
          </w:tcPr>
          <w:p w14:paraId="7DB23C9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</w:t>
            </w:r>
          </w:p>
        </w:tc>
        <w:tc>
          <w:tcPr>
            <w:tcW w:w="292" w:type="pct"/>
            <w:noWrap/>
            <w:hideMark/>
          </w:tcPr>
          <w:p w14:paraId="39CC732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465.4</w:t>
            </w:r>
          </w:p>
        </w:tc>
        <w:tc>
          <w:tcPr>
            <w:tcW w:w="337" w:type="pct"/>
            <w:noWrap/>
            <w:hideMark/>
          </w:tcPr>
          <w:p w14:paraId="736AB15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</w:t>
            </w:r>
          </w:p>
        </w:tc>
        <w:tc>
          <w:tcPr>
            <w:tcW w:w="537" w:type="pct"/>
            <w:noWrap/>
            <w:hideMark/>
          </w:tcPr>
          <w:p w14:paraId="5F22B22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18.9</w:t>
            </w:r>
          </w:p>
        </w:tc>
        <w:tc>
          <w:tcPr>
            <w:tcW w:w="537" w:type="pct"/>
            <w:noWrap/>
            <w:hideMark/>
          </w:tcPr>
          <w:p w14:paraId="5119175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315" w:type="pct"/>
            <w:noWrap/>
            <w:hideMark/>
          </w:tcPr>
          <w:p w14:paraId="4AA280D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25.6</w:t>
            </w:r>
          </w:p>
        </w:tc>
        <w:tc>
          <w:tcPr>
            <w:tcW w:w="265" w:type="pct"/>
            <w:noWrap/>
            <w:hideMark/>
          </w:tcPr>
          <w:p w14:paraId="5736609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17.4</w:t>
            </w:r>
          </w:p>
        </w:tc>
        <w:tc>
          <w:tcPr>
            <w:tcW w:w="408" w:type="pct"/>
            <w:noWrap/>
            <w:hideMark/>
          </w:tcPr>
          <w:p w14:paraId="5C249DE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25.8</w:t>
            </w:r>
          </w:p>
        </w:tc>
        <w:tc>
          <w:tcPr>
            <w:tcW w:w="353" w:type="pct"/>
            <w:noWrap/>
            <w:hideMark/>
          </w:tcPr>
          <w:p w14:paraId="03CA9C5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BF4C4E" w:rsidRPr="002E40EB" w14:paraId="6F9CF9A1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0D916F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Northern Ireland </w:t>
            </w:r>
          </w:p>
        </w:tc>
        <w:tc>
          <w:tcPr>
            <w:tcW w:w="292" w:type="pct"/>
            <w:noWrap/>
            <w:hideMark/>
          </w:tcPr>
          <w:p w14:paraId="13529A0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217</w:t>
            </w:r>
          </w:p>
        </w:tc>
        <w:tc>
          <w:tcPr>
            <w:tcW w:w="337" w:type="pct"/>
            <w:noWrap/>
            <w:hideMark/>
          </w:tcPr>
          <w:p w14:paraId="62EB12D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292" w:type="pct"/>
            <w:noWrap/>
            <w:hideMark/>
          </w:tcPr>
          <w:p w14:paraId="6F3FCE2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337" w:type="pct"/>
            <w:noWrap/>
            <w:hideMark/>
          </w:tcPr>
          <w:p w14:paraId="7DD5740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537" w:type="pct"/>
            <w:noWrap/>
            <w:hideMark/>
          </w:tcPr>
          <w:p w14:paraId="00D12F1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28.8</w:t>
            </w:r>
          </w:p>
        </w:tc>
        <w:tc>
          <w:tcPr>
            <w:tcW w:w="537" w:type="pct"/>
            <w:noWrap/>
            <w:hideMark/>
          </w:tcPr>
          <w:p w14:paraId="7408A3F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27.9</w:t>
            </w:r>
          </w:p>
        </w:tc>
        <w:tc>
          <w:tcPr>
            <w:tcW w:w="315" w:type="pct"/>
            <w:noWrap/>
            <w:hideMark/>
          </w:tcPr>
          <w:p w14:paraId="0A879C1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25.5</w:t>
            </w:r>
          </w:p>
        </w:tc>
        <w:tc>
          <w:tcPr>
            <w:tcW w:w="265" w:type="pct"/>
            <w:noWrap/>
            <w:hideMark/>
          </w:tcPr>
          <w:p w14:paraId="0F7CF84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408" w:type="pct"/>
            <w:noWrap/>
            <w:hideMark/>
          </w:tcPr>
          <w:p w14:paraId="484E6DC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25.3</w:t>
            </w:r>
          </w:p>
        </w:tc>
        <w:tc>
          <w:tcPr>
            <w:tcW w:w="353" w:type="pct"/>
            <w:noWrap/>
            <w:hideMark/>
          </w:tcPr>
          <w:p w14:paraId="03D7246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</w:tr>
      <w:tr w:rsidR="00BF4C4E" w:rsidRPr="002E40EB" w14:paraId="2218377A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42190BE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92" w:type="pct"/>
            <w:noWrap/>
            <w:hideMark/>
          </w:tcPr>
          <w:p w14:paraId="46BAC19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4929.4</w:t>
            </w:r>
          </w:p>
        </w:tc>
        <w:tc>
          <w:tcPr>
            <w:tcW w:w="337" w:type="pct"/>
            <w:noWrap/>
            <w:hideMark/>
          </w:tcPr>
          <w:p w14:paraId="05A1550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2" w:type="pct"/>
            <w:noWrap/>
            <w:hideMark/>
          </w:tcPr>
          <w:p w14:paraId="19470C7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4773.6</w:t>
            </w:r>
          </w:p>
        </w:tc>
        <w:tc>
          <w:tcPr>
            <w:tcW w:w="337" w:type="pct"/>
            <w:noWrap/>
            <w:hideMark/>
          </w:tcPr>
          <w:p w14:paraId="55B4EEF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537" w:type="pct"/>
            <w:noWrap/>
            <w:hideMark/>
          </w:tcPr>
          <w:p w14:paraId="193F6D9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315D069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58D3820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45316F2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14825F7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6894734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10973E85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7376A7B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Council Tax band</w:t>
            </w:r>
          </w:p>
        </w:tc>
        <w:tc>
          <w:tcPr>
            <w:tcW w:w="292" w:type="pct"/>
            <w:noWrap/>
            <w:hideMark/>
          </w:tcPr>
          <w:p w14:paraId="73FCA12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3DBF8FB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78FA2A9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3040B00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3CAE005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7A4FF6D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68BDDC9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56C46D2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489BC13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1A502B3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5641E42D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5461DC1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92" w:type="pct"/>
            <w:noWrap/>
            <w:hideMark/>
          </w:tcPr>
          <w:p w14:paraId="3DF039C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1392.9</w:t>
            </w:r>
          </w:p>
        </w:tc>
        <w:tc>
          <w:tcPr>
            <w:tcW w:w="337" w:type="pct"/>
            <w:noWrap/>
            <w:hideMark/>
          </w:tcPr>
          <w:p w14:paraId="43E43CE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29.6</w:t>
            </w:r>
          </w:p>
        </w:tc>
        <w:tc>
          <w:tcPr>
            <w:tcW w:w="292" w:type="pct"/>
            <w:noWrap/>
            <w:hideMark/>
          </w:tcPr>
          <w:p w14:paraId="26019F6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1346.3</w:t>
            </w:r>
          </w:p>
        </w:tc>
        <w:tc>
          <w:tcPr>
            <w:tcW w:w="337" w:type="pct"/>
            <w:noWrap/>
            <w:hideMark/>
          </w:tcPr>
          <w:p w14:paraId="274CBCF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29.5</w:t>
            </w:r>
          </w:p>
        </w:tc>
        <w:tc>
          <w:tcPr>
            <w:tcW w:w="537" w:type="pct"/>
            <w:noWrap/>
            <w:hideMark/>
          </w:tcPr>
          <w:p w14:paraId="45FADA7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537" w:type="pct"/>
            <w:noWrap/>
            <w:hideMark/>
          </w:tcPr>
          <w:p w14:paraId="439C465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315" w:type="pct"/>
            <w:noWrap/>
            <w:hideMark/>
          </w:tcPr>
          <w:p w14:paraId="5D44925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20.3</w:t>
            </w:r>
          </w:p>
        </w:tc>
        <w:tc>
          <w:tcPr>
            <w:tcW w:w="265" w:type="pct"/>
            <w:noWrap/>
            <w:hideMark/>
          </w:tcPr>
          <w:p w14:paraId="2AAFCA2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</w:t>
            </w:r>
          </w:p>
        </w:tc>
        <w:tc>
          <w:tcPr>
            <w:tcW w:w="408" w:type="pct"/>
            <w:noWrap/>
            <w:hideMark/>
          </w:tcPr>
          <w:p w14:paraId="34EC431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20.2</w:t>
            </w:r>
          </w:p>
        </w:tc>
        <w:tc>
          <w:tcPr>
            <w:tcW w:w="353" w:type="pct"/>
            <w:noWrap/>
            <w:hideMark/>
          </w:tcPr>
          <w:p w14:paraId="66D6B74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</w:t>
            </w:r>
          </w:p>
        </w:tc>
      </w:tr>
      <w:tr w:rsidR="00BF4C4E" w:rsidRPr="002E40EB" w14:paraId="57ED57BB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8DB73D5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292" w:type="pct"/>
            <w:noWrap/>
            <w:hideMark/>
          </w:tcPr>
          <w:p w14:paraId="55F771E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914.6</w:t>
            </w:r>
          </w:p>
        </w:tc>
        <w:tc>
          <w:tcPr>
            <w:tcW w:w="337" w:type="pct"/>
            <w:noWrap/>
            <w:hideMark/>
          </w:tcPr>
          <w:p w14:paraId="10DA1F6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</w:t>
            </w:r>
          </w:p>
        </w:tc>
        <w:tc>
          <w:tcPr>
            <w:tcW w:w="292" w:type="pct"/>
            <w:noWrap/>
            <w:hideMark/>
          </w:tcPr>
          <w:p w14:paraId="1AF3CD3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900.2</w:t>
            </w:r>
          </w:p>
        </w:tc>
        <w:tc>
          <w:tcPr>
            <w:tcW w:w="337" w:type="pct"/>
            <w:noWrap/>
            <w:hideMark/>
          </w:tcPr>
          <w:p w14:paraId="1614C18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537" w:type="pct"/>
            <w:noWrap/>
            <w:hideMark/>
          </w:tcPr>
          <w:p w14:paraId="355105E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</w:t>
            </w:r>
          </w:p>
        </w:tc>
        <w:tc>
          <w:tcPr>
            <w:tcW w:w="537" w:type="pct"/>
            <w:noWrap/>
            <w:hideMark/>
          </w:tcPr>
          <w:p w14:paraId="005C28B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  <w:tc>
          <w:tcPr>
            <w:tcW w:w="315" w:type="pct"/>
            <w:noWrap/>
            <w:hideMark/>
          </w:tcPr>
          <w:p w14:paraId="6A91C37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265" w:type="pct"/>
            <w:noWrap/>
            <w:hideMark/>
          </w:tcPr>
          <w:p w14:paraId="7505DDF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17.4</w:t>
            </w:r>
          </w:p>
        </w:tc>
        <w:tc>
          <w:tcPr>
            <w:tcW w:w="408" w:type="pct"/>
            <w:noWrap/>
            <w:hideMark/>
          </w:tcPr>
          <w:p w14:paraId="7D222EF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353" w:type="pct"/>
            <w:noWrap/>
            <w:hideMark/>
          </w:tcPr>
          <w:p w14:paraId="2371985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17.1</w:t>
            </w:r>
          </w:p>
        </w:tc>
      </w:tr>
      <w:tr w:rsidR="00BF4C4E" w:rsidRPr="002E40EB" w14:paraId="57A3E90C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74B87E3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292" w:type="pct"/>
            <w:noWrap/>
            <w:hideMark/>
          </w:tcPr>
          <w:p w14:paraId="37A8D8F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919.9</w:t>
            </w:r>
          </w:p>
        </w:tc>
        <w:tc>
          <w:tcPr>
            <w:tcW w:w="337" w:type="pct"/>
            <w:noWrap/>
            <w:hideMark/>
          </w:tcPr>
          <w:p w14:paraId="6398833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292" w:type="pct"/>
            <w:noWrap/>
            <w:hideMark/>
          </w:tcPr>
          <w:p w14:paraId="6CEE24F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869.6</w:t>
            </w:r>
          </w:p>
        </w:tc>
        <w:tc>
          <w:tcPr>
            <w:tcW w:w="337" w:type="pct"/>
            <w:noWrap/>
            <w:hideMark/>
          </w:tcPr>
          <w:p w14:paraId="070C6DE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537" w:type="pct"/>
            <w:noWrap/>
            <w:hideMark/>
          </w:tcPr>
          <w:p w14:paraId="02E1C31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37" w:type="pct"/>
            <w:noWrap/>
            <w:hideMark/>
          </w:tcPr>
          <w:p w14:paraId="2A06005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</w:t>
            </w:r>
          </w:p>
        </w:tc>
        <w:tc>
          <w:tcPr>
            <w:tcW w:w="315" w:type="pct"/>
            <w:noWrap/>
            <w:hideMark/>
          </w:tcPr>
          <w:p w14:paraId="434862F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26.4</w:t>
            </w:r>
          </w:p>
        </w:tc>
        <w:tc>
          <w:tcPr>
            <w:tcW w:w="265" w:type="pct"/>
            <w:noWrap/>
            <w:hideMark/>
          </w:tcPr>
          <w:p w14:paraId="4B09D8F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18.4</w:t>
            </w:r>
          </w:p>
        </w:tc>
        <w:tc>
          <w:tcPr>
            <w:tcW w:w="408" w:type="pct"/>
            <w:noWrap/>
            <w:hideMark/>
          </w:tcPr>
          <w:p w14:paraId="53D5C59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53" w:type="pct"/>
            <w:noWrap/>
            <w:hideMark/>
          </w:tcPr>
          <w:p w14:paraId="4B09F25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18.2</w:t>
            </w:r>
          </w:p>
        </w:tc>
      </w:tr>
      <w:tr w:rsidR="00BF4C4E" w:rsidRPr="002E40EB" w14:paraId="745B92F2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6305696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292" w:type="pct"/>
            <w:noWrap/>
            <w:hideMark/>
          </w:tcPr>
          <w:p w14:paraId="4776A18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625.5</w:t>
            </w:r>
          </w:p>
        </w:tc>
        <w:tc>
          <w:tcPr>
            <w:tcW w:w="337" w:type="pct"/>
            <w:noWrap/>
            <w:hideMark/>
          </w:tcPr>
          <w:p w14:paraId="2D201E4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13.3</w:t>
            </w:r>
          </w:p>
        </w:tc>
        <w:tc>
          <w:tcPr>
            <w:tcW w:w="292" w:type="pct"/>
            <w:noWrap/>
            <w:hideMark/>
          </w:tcPr>
          <w:p w14:paraId="44372A6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613.4</w:t>
            </w:r>
          </w:p>
        </w:tc>
        <w:tc>
          <w:tcPr>
            <w:tcW w:w="337" w:type="pct"/>
            <w:noWrap/>
            <w:hideMark/>
          </w:tcPr>
          <w:p w14:paraId="1363186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13.4</w:t>
            </w:r>
          </w:p>
        </w:tc>
        <w:tc>
          <w:tcPr>
            <w:tcW w:w="537" w:type="pct"/>
            <w:noWrap/>
            <w:hideMark/>
          </w:tcPr>
          <w:p w14:paraId="5BACC0F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537" w:type="pct"/>
            <w:noWrap/>
            <w:hideMark/>
          </w:tcPr>
          <w:p w14:paraId="0D74E7B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</w:t>
            </w:r>
          </w:p>
        </w:tc>
        <w:tc>
          <w:tcPr>
            <w:tcW w:w="315" w:type="pct"/>
            <w:noWrap/>
            <w:hideMark/>
          </w:tcPr>
          <w:p w14:paraId="58E9C1E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20.0</w:t>
            </w:r>
          </w:p>
        </w:tc>
        <w:tc>
          <w:tcPr>
            <w:tcW w:w="265" w:type="pct"/>
            <w:noWrap/>
            <w:hideMark/>
          </w:tcPr>
          <w:p w14:paraId="1AC088C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16.1</w:t>
            </w:r>
          </w:p>
        </w:tc>
        <w:tc>
          <w:tcPr>
            <w:tcW w:w="408" w:type="pct"/>
            <w:noWrap/>
            <w:hideMark/>
          </w:tcPr>
          <w:p w14:paraId="674BBCD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</w:t>
            </w:r>
          </w:p>
        </w:tc>
        <w:tc>
          <w:tcPr>
            <w:tcW w:w="353" w:type="pct"/>
            <w:noWrap/>
            <w:hideMark/>
          </w:tcPr>
          <w:p w14:paraId="5F9864B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</w:t>
            </w:r>
          </w:p>
        </w:tc>
      </w:tr>
      <w:tr w:rsidR="00BF4C4E" w:rsidRPr="002E40EB" w14:paraId="13095F4E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821340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292" w:type="pct"/>
            <w:noWrap/>
            <w:hideMark/>
          </w:tcPr>
          <w:p w14:paraId="2CD653A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408.9</w:t>
            </w:r>
          </w:p>
        </w:tc>
        <w:tc>
          <w:tcPr>
            <w:tcW w:w="337" w:type="pct"/>
            <w:noWrap/>
            <w:hideMark/>
          </w:tcPr>
          <w:p w14:paraId="3553F66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8.7</w:t>
            </w:r>
          </w:p>
        </w:tc>
        <w:tc>
          <w:tcPr>
            <w:tcW w:w="292" w:type="pct"/>
            <w:noWrap/>
            <w:hideMark/>
          </w:tcPr>
          <w:p w14:paraId="7121756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403.5</w:t>
            </w:r>
          </w:p>
        </w:tc>
        <w:tc>
          <w:tcPr>
            <w:tcW w:w="337" w:type="pct"/>
            <w:noWrap/>
            <w:hideMark/>
          </w:tcPr>
          <w:p w14:paraId="2BA11CE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537" w:type="pct"/>
            <w:noWrap/>
            <w:hideMark/>
          </w:tcPr>
          <w:p w14:paraId="5EDD82F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537" w:type="pct"/>
            <w:noWrap/>
            <w:hideMark/>
          </w:tcPr>
          <w:p w14:paraId="72F6CD9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12.5</w:t>
            </w:r>
          </w:p>
        </w:tc>
        <w:tc>
          <w:tcPr>
            <w:tcW w:w="315" w:type="pct"/>
            <w:noWrap/>
            <w:hideMark/>
          </w:tcPr>
          <w:p w14:paraId="0139339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265" w:type="pct"/>
            <w:noWrap/>
            <w:hideMark/>
          </w:tcPr>
          <w:p w14:paraId="0A7C910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</w:t>
            </w:r>
          </w:p>
        </w:tc>
        <w:tc>
          <w:tcPr>
            <w:tcW w:w="408" w:type="pct"/>
            <w:noWrap/>
            <w:hideMark/>
          </w:tcPr>
          <w:p w14:paraId="67D39DD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21.6</w:t>
            </w:r>
          </w:p>
        </w:tc>
        <w:tc>
          <w:tcPr>
            <w:tcW w:w="353" w:type="pct"/>
            <w:noWrap/>
            <w:hideMark/>
          </w:tcPr>
          <w:p w14:paraId="3C5B3B9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15.9</w:t>
            </w:r>
          </w:p>
        </w:tc>
      </w:tr>
      <w:tr w:rsidR="00BF4C4E" w:rsidRPr="002E40EB" w14:paraId="21686D74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6999F233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92" w:type="pct"/>
            <w:noWrap/>
            <w:hideMark/>
          </w:tcPr>
          <w:p w14:paraId="51ED779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207.6</w:t>
            </w:r>
          </w:p>
        </w:tc>
        <w:tc>
          <w:tcPr>
            <w:tcW w:w="337" w:type="pct"/>
            <w:noWrap/>
            <w:hideMark/>
          </w:tcPr>
          <w:p w14:paraId="1E11359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292" w:type="pct"/>
            <w:noWrap/>
            <w:hideMark/>
          </w:tcPr>
          <w:p w14:paraId="1540DC7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337" w:type="pct"/>
            <w:noWrap/>
            <w:hideMark/>
          </w:tcPr>
          <w:p w14:paraId="74574E9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537" w:type="pct"/>
            <w:noWrap/>
            <w:hideMark/>
          </w:tcPr>
          <w:p w14:paraId="546F1D5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</w:t>
            </w:r>
          </w:p>
        </w:tc>
        <w:tc>
          <w:tcPr>
            <w:tcW w:w="537" w:type="pct"/>
            <w:noWrap/>
            <w:hideMark/>
          </w:tcPr>
          <w:p w14:paraId="45C5AA2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11.3</w:t>
            </w:r>
          </w:p>
        </w:tc>
        <w:tc>
          <w:tcPr>
            <w:tcW w:w="315" w:type="pct"/>
            <w:noWrap/>
            <w:hideMark/>
          </w:tcPr>
          <w:p w14:paraId="4B1EB88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265" w:type="pct"/>
            <w:noWrap/>
            <w:hideMark/>
          </w:tcPr>
          <w:p w14:paraId="7499B24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28.8</w:t>
            </w:r>
          </w:p>
        </w:tc>
        <w:tc>
          <w:tcPr>
            <w:tcW w:w="408" w:type="pct"/>
            <w:noWrap/>
            <w:hideMark/>
          </w:tcPr>
          <w:p w14:paraId="475990E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353" w:type="pct"/>
            <w:noWrap/>
            <w:hideMark/>
          </w:tcPr>
          <w:p w14:paraId="5218EDD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26.1</w:t>
            </w:r>
          </w:p>
        </w:tc>
      </w:tr>
      <w:tr w:rsidR="00BF4C4E" w:rsidRPr="002E40EB" w14:paraId="303A6415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E3BBEA7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292" w:type="pct"/>
            <w:noWrap/>
            <w:hideMark/>
          </w:tcPr>
          <w:p w14:paraId="150DD96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187.2</w:t>
            </w:r>
          </w:p>
        </w:tc>
        <w:tc>
          <w:tcPr>
            <w:tcW w:w="337" w:type="pct"/>
            <w:noWrap/>
            <w:hideMark/>
          </w:tcPr>
          <w:p w14:paraId="4F59D18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43C8201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176</w:t>
            </w:r>
          </w:p>
        </w:tc>
        <w:tc>
          <w:tcPr>
            <w:tcW w:w="337" w:type="pct"/>
            <w:noWrap/>
            <w:hideMark/>
          </w:tcPr>
          <w:p w14:paraId="6F8378A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3.9</w:t>
            </w:r>
          </w:p>
        </w:tc>
        <w:tc>
          <w:tcPr>
            <w:tcW w:w="537" w:type="pct"/>
            <w:noWrap/>
            <w:hideMark/>
          </w:tcPr>
          <w:p w14:paraId="21B8934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19.9</w:t>
            </w:r>
          </w:p>
        </w:tc>
        <w:tc>
          <w:tcPr>
            <w:tcW w:w="537" w:type="pct"/>
            <w:noWrap/>
            <w:hideMark/>
          </w:tcPr>
          <w:p w14:paraId="40F616B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315" w:type="pct"/>
            <w:noWrap/>
            <w:hideMark/>
          </w:tcPr>
          <w:p w14:paraId="3BD2CFE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53.3</w:t>
            </w:r>
          </w:p>
        </w:tc>
        <w:tc>
          <w:tcPr>
            <w:tcW w:w="265" w:type="pct"/>
            <w:noWrap/>
            <w:hideMark/>
          </w:tcPr>
          <w:p w14:paraId="217EFE8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40.2</w:t>
            </w:r>
          </w:p>
        </w:tc>
        <w:tc>
          <w:tcPr>
            <w:tcW w:w="408" w:type="pct"/>
            <w:noWrap/>
            <w:hideMark/>
          </w:tcPr>
          <w:p w14:paraId="1FF7559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353" w:type="pct"/>
            <w:noWrap/>
            <w:hideMark/>
          </w:tcPr>
          <w:p w14:paraId="6E9A4AF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38.7</w:t>
            </w:r>
          </w:p>
        </w:tc>
      </w:tr>
      <w:tr w:rsidR="00BF4C4E" w:rsidRPr="002E40EB" w14:paraId="609CE942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B1E53C4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</w:t>
            </w:r>
          </w:p>
        </w:tc>
        <w:tc>
          <w:tcPr>
            <w:tcW w:w="292" w:type="pct"/>
            <w:noWrap/>
            <w:hideMark/>
          </w:tcPr>
          <w:p w14:paraId="658073B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52.6</w:t>
            </w:r>
          </w:p>
        </w:tc>
        <w:tc>
          <w:tcPr>
            <w:tcW w:w="337" w:type="pct"/>
            <w:noWrap/>
            <w:hideMark/>
          </w:tcPr>
          <w:p w14:paraId="0BE555A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292" w:type="pct"/>
            <w:noWrap/>
            <w:hideMark/>
          </w:tcPr>
          <w:p w14:paraId="7813DDC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52.6</w:t>
            </w:r>
          </w:p>
        </w:tc>
        <w:tc>
          <w:tcPr>
            <w:tcW w:w="337" w:type="pct"/>
            <w:noWrap/>
            <w:hideMark/>
          </w:tcPr>
          <w:p w14:paraId="2D2F192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537" w:type="pct"/>
            <w:noWrap/>
            <w:hideMark/>
          </w:tcPr>
          <w:p w14:paraId="02E466C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537" w:type="pct"/>
            <w:noWrap/>
            <w:hideMark/>
          </w:tcPr>
          <w:p w14:paraId="0F488F7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315" w:type="pct"/>
            <w:noWrap/>
            <w:hideMark/>
          </w:tcPr>
          <w:p w14:paraId="6DB42BD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50.8</w:t>
            </w:r>
          </w:p>
        </w:tc>
        <w:tc>
          <w:tcPr>
            <w:tcW w:w="265" w:type="pct"/>
            <w:noWrap/>
            <w:hideMark/>
          </w:tcPr>
          <w:p w14:paraId="3402814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53.8</w:t>
            </w:r>
          </w:p>
        </w:tc>
        <w:tc>
          <w:tcPr>
            <w:tcW w:w="408" w:type="pct"/>
            <w:noWrap/>
            <w:hideMark/>
          </w:tcPr>
          <w:p w14:paraId="5F26D7E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353" w:type="pct"/>
            <w:noWrap/>
            <w:hideMark/>
          </w:tcPr>
          <w:p w14:paraId="7035F24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51.2</w:t>
            </w:r>
          </w:p>
        </w:tc>
      </w:tr>
      <w:tr w:rsidR="00BF4C4E" w:rsidRPr="002E40EB" w14:paraId="662280FF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EAD63DC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Household accommodation not valued separately</w:t>
            </w:r>
          </w:p>
        </w:tc>
        <w:tc>
          <w:tcPr>
            <w:tcW w:w="292" w:type="pct"/>
            <w:noWrap/>
            <w:hideMark/>
          </w:tcPr>
          <w:p w14:paraId="5CDCFBC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24B43A7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292" w:type="pct"/>
            <w:noWrap/>
            <w:hideMark/>
          </w:tcPr>
          <w:p w14:paraId="3132D48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060FD97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537" w:type="pct"/>
            <w:noWrap/>
            <w:hideMark/>
          </w:tcPr>
          <w:p w14:paraId="2917952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10.9</w:t>
            </w:r>
          </w:p>
        </w:tc>
        <w:tc>
          <w:tcPr>
            <w:tcW w:w="537" w:type="pct"/>
            <w:noWrap/>
            <w:hideMark/>
          </w:tcPr>
          <w:p w14:paraId="08C300D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10.9</w:t>
            </w:r>
          </w:p>
        </w:tc>
        <w:tc>
          <w:tcPr>
            <w:tcW w:w="315" w:type="pct"/>
            <w:noWrap/>
            <w:hideMark/>
          </w:tcPr>
          <w:p w14:paraId="3C033C7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65" w:type="pct"/>
            <w:noWrap/>
            <w:hideMark/>
          </w:tcPr>
          <w:p w14:paraId="6333D30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8" w:type="pct"/>
            <w:noWrap/>
            <w:hideMark/>
          </w:tcPr>
          <w:p w14:paraId="5633DB6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53" w:type="pct"/>
            <w:noWrap/>
            <w:hideMark/>
          </w:tcPr>
          <w:p w14:paraId="1E7413A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BF4C4E" w:rsidRPr="002E40EB" w14:paraId="58A90937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54BBB198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92" w:type="pct"/>
            <w:noWrap/>
            <w:hideMark/>
          </w:tcPr>
          <w:p w14:paraId="3F98F0D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4712.4</w:t>
            </w:r>
          </w:p>
        </w:tc>
        <w:tc>
          <w:tcPr>
            <w:tcW w:w="337" w:type="pct"/>
            <w:noWrap/>
            <w:hideMark/>
          </w:tcPr>
          <w:p w14:paraId="695BE25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2" w:type="pct"/>
            <w:noWrap/>
            <w:hideMark/>
          </w:tcPr>
          <w:p w14:paraId="0506D79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4563.5</w:t>
            </w:r>
          </w:p>
        </w:tc>
        <w:tc>
          <w:tcPr>
            <w:tcW w:w="337" w:type="pct"/>
            <w:noWrap/>
            <w:hideMark/>
          </w:tcPr>
          <w:p w14:paraId="728A316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537" w:type="pct"/>
            <w:noWrap/>
            <w:hideMark/>
          </w:tcPr>
          <w:p w14:paraId="3A95D29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20BD086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0EF93D6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0AB653C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0FB95A6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54CD079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4F1520A7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71BF0F7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292" w:type="pct"/>
            <w:noWrap/>
            <w:hideMark/>
          </w:tcPr>
          <w:p w14:paraId="55F7E9C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22CF698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0A1046C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2D77CE8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683AFE8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3A42CFE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302E31A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7734772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32CB69E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40A9D9C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66D86D83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89293AF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Employed</w:t>
            </w:r>
          </w:p>
        </w:tc>
        <w:tc>
          <w:tcPr>
            <w:tcW w:w="292" w:type="pct"/>
            <w:noWrap/>
            <w:hideMark/>
          </w:tcPr>
          <w:p w14:paraId="2A38ABC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1401.9</w:t>
            </w:r>
          </w:p>
        </w:tc>
        <w:tc>
          <w:tcPr>
            <w:tcW w:w="337" w:type="pct"/>
            <w:noWrap/>
            <w:hideMark/>
          </w:tcPr>
          <w:p w14:paraId="5B23511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28.5</w:t>
            </w:r>
          </w:p>
        </w:tc>
        <w:tc>
          <w:tcPr>
            <w:tcW w:w="292" w:type="pct"/>
            <w:noWrap/>
            <w:hideMark/>
          </w:tcPr>
          <w:p w14:paraId="74EB41C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1350.7</w:t>
            </w:r>
          </w:p>
        </w:tc>
        <w:tc>
          <w:tcPr>
            <w:tcW w:w="337" w:type="pct"/>
            <w:noWrap/>
            <w:hideMark/>
          </w:tcPr>
          <w:p w14:paraId="0047B91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28.3</w:t>
            </w:r>
          </w:p>
        </w:tc>
        <w:tc>
          <w:tcPr>
            <w:tcW w:w="537" w:type="pct"/>
            <w:noWrap/>
            <w:hideMark/>
          </w:tcPr>
          <w:p w14:paraId="5A93EDE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</w:t>
            </w:r>
          </w:p>
        </w:tc>
        <w:tc>
          <w:tcPr>
            <w:tcW w:w="537" w:type="pct"/>
            <w:noWrap/>
            <w:hideMark/>
          </w:tcPr>
          <w:p w14:paraId="7819EB1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</w:t>
            </w:r>
          </w:p>
        </w:tc>
        <w:tc>
          <w:tcPr>
            <w:tcW w:w="315" w:type="pct"/>
            <w:noWrap/>
            <w:hideMark/>
          </w:tcPr>
          <w:p w14:paraId="155CC07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29.0</w:t>
            </w:r>
          </w:p>
        </w:tc>
        <w:tc>
          <w:tcPr>
            <w:tcW w:w="265" w:type="pct"/>
            <w:noWrap/>
            <w:hideMark/>
          </w:tcPr>
          <w:p w14:paraId="2250CA2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408" w:type="pct"/>
            <w:noWrap/>
            <w:hideMark/>
          </w:tcPr>
          <w:p w14:paraId="106939F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28.9</w:t>
            </w:r>
          </w:p>
        </w:tc>
        <w:tc>
          <w:tcPr>
            <w:tcW w:w="353" w:type="pct"/>
            <w:noWrap/>
            <w:hideMark/>
          </w:tcPr>
          <w:p w14:paraId="2FE1070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</w:tr>
      <w:tr w:rsidR="00BF4C4E" w:rsidRPr="002E40EB" w14:paraId="714AB91D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7EE3B18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Unemployed</w:t>
            </w:r>
          </w:p>
        </w:tc>
        <w:tc>
          <w:tcPr>
            <w:tcW w:w="292" w:type="pct"/>
            <w:noWrap/>
            <w:hideMark/>
          </w:tcPr>
          <w:p w14:paraId="295DCEE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256.5</w:t>
            </w:r>
          </w:p>
        </w:tc>
        <w:tc>
          <w:tcPr>
            <w:tcW w:w="337" w:type="pct"/>
            <w:noWrap/>
            <w:hideMark/>
          </w:tcPr>
          <w:p w14:paraId="0ED73CD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5.2</w:t>
            </w:r>
          </w:p>
        </w:tc>
        <w:tc>
          <w:tcPr>
            <w:tcW w:w="292" w:type="pct"/>
            <w:noWrap/>
            <w:hideMark/>
          </w:tcPr>
          <w:p w14:paraId="72453A6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226.5</w:t>
            </w:r>
          </w:p>
        </w:tc>
        <w:tc>
          <w:tcPr>
            <w:tcW w:w="337" w:type="pct"/>
            <w:noWrap/>
            <w:hideMark/>
          </w:tcPr>
          <w:p w14:paraId="64DD58E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537" w:type="pct"/>
            <w:noWrap/>
            <w:hideMark/>
          </w:tcPr>
          <w:p w14:paraId="1AA882A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37.2</w:t>
            </w:r>
          </w:p>
        </w:tc>
        <w:tc>
          <w:tcPr>
            <w:tcW w:w="537" w:type="pct"/>
            <w:noWrap/>
            <w:hideMark/>
          </w:tcPr>
          <w:p w14:paraId="4DA8968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32.8</w:t>
            </w:r>
          </w:p>
        </w:tc>
        <w:tc>
          <w:tcPr>
            <w:tcW w:w="315" w:type="pct"/>
            <w:noWrap/>
            <w:hideMark/>
          </w:tcPr>
          <w:p w14:paraId="57A4C2A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265" w:type="pct"/>
            <w:noWrap/>
            <w:hideMark/>
          </w:tcPr>
          <w:p w14:paraId="66CBED7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23.7</w:t>
            </w:r>
          </w:p>
        </w:tc>
        <w:tc>
          <w:tcPr>
            <w:tcW w:w="408" w:type="pct"/>
            <w:noWrap/>
            <w:hideMark/>
          </w:tcPr>
          <w:p w14:paraId="38629B1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353" w:type="pct"/>
            <w:noWrap/>
            <w:hideMark/>
          </w:tcPr>
          <w:p w14:paraId="39E3C00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</w:t>
            </w:r>
          </w:p>
        </w:tc>
      </w:tr>
      <w:tr w:rsidR="00BF4C4E" w:rsidRPr="002E40EB" w14:paraId="63C63945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5AAC6EF1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Inactive</w:t>
            </w:r>
          </w:p>
        </w:tc>
        <w:tc>
          <w:tcPr>
            <w:tcW w:w="292" w:type="pct"/>
            <w:noWrap/>
            <w:hideMark/>
          </w:tcPr>
          <w:p w14:paraId="2428F27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2313.7</w:t>
            </w:r>
          </w:p>
        </w:tc>
        <w:tc>
          <w:tcPr>
            <w:tcW w:w="337" w:type="pct"/>
            <w:noWrap/>
            <w:hideMark/>
          </w:tcPr>
          <w:p w14:paraId="51EB5E3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292" w:type="pct"/>
            <w:noWrap/>
            <w:hideMark/>
          </w:tcPr>
          <w:p w14:paraId="4D89E4F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2275.9</w:t>
            </w:r>
          </w:p>
        </w:tc>
        <w:tc>
          <w:tcPr>
            <w:tcW w:w="337" w:type="pct"/>
            <w:noWrap/>
            <w:hideMark/>
          </w:tcPr>
          <w:p w14:paraId="3E214C5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537" w:type="pct"/>
            <w:noWrap/>
            <w:hideMark/>
          </w:tcPr>
          <w:p w14:paraId="1E7A8E6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537" w:type="pct"/>
            <w:noWrap/>
            <w:hideMark/>
          </w:tcPr>
          <w:p w14:paraId="5EB6F03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15" w:type="pct"/>
            <w:noWrap/>
            <w:hideMark/>
          </w:tcPr>
          <w:p w14:paraId="2B2A818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22.4</w:t>
            </w:r>
          </w:p>
        </w:tc>
        <w:tc>
          <w:tcPr>
            <w:tcW w:w="265" w:type="pct"/>
            <w:noWrap/>
            <w:hideMark/>
          </w:tcPr>
          <w:p w14:paraId="18B7716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17.1</w:t>
            </w:r>
          </w:p>
        </w:tc>
        <w:tc>
          <w:tcPr>
            <w:tcW w:w="408" w:type="pct"/>
            <w:noWrap/>
            <w:hideMark/>
          </w:tcPr>
          <w:p w14:paraId="50857A9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21.9</w:t>
            </w:r>
          </w:p>
        </w:tc>
        <w:tc>
          <w:tcPr>
            <w:tcW w:w="353" w:type="pct"/>
            <w:noWrap/>
            <w:hideMark/>
          </w:tcPr>
          <w:p w14:paraId="2BBBEED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16.3</w:t>
            </w:r>
          </w:p>
        </w:tc>
      </w:tr>
      <w:tr w:rsidR="00BF4C4E" w:rsidRPr="002E40EB" w14:paraId="6E3EC441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68FE861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Not recorded </w:t>
            </w:r>
          </w:p>
        </w:tc>
        <w:tc>
          <w:tcPr>
            <w:tcW w:w="292" w:type="pct"/>
            <w:noWrap/>
            <w:hideMark/>
          </w:tcPr>
          <w:p w14:paraId="19D2A2B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951.3</w:t>
            </w:r>
          </w:p>
        </w:tc>
        <w:tc>
          <w:tcPr>
            <w:tcW w:w="337" w:type="pct"/>
            <w:noWrap/>
            <w:hideMark/>
          </w:tcPr>
          <w:p w14:paraId="40B7FE6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292" w:type="pct"/>
            <w:noWrap/>
            <w:hideMark/>
          </w:tcPr>
          <w:p w14:paraId="6DA84FD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914.4</w:t>
            </w:r>
          </w:p>
        </w:tc>
        <w:tc>
          <w:tcPr>
            <w:tcW w:w="337" w:type="pct"/>
            <w:noWrap/>
            <w:hideMark/>
          </w:tcPr>
          <w:p w14:paraId="6D0B1C4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19.2</w:t>
            </w:r>
          </w:p>
        </w:tc>
        <w:tc>
          <w:tcPr>
            <w:tcW w:w="537" w:type="pct"/>
            <w:noWrap/>
            <w:hideMark/>
          </w:tcPr>
          <w:p w14:paraId="5E48CCB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28.1</w:t>
            </w:r>
          </w:p>
        </w:tc>
        <w:tc>
          <w:tcPr>
            <w:tcW w:w="537" w:type="pct"/>
            <w:noWrap/>
            <w:hideMark/>
          </w:tcPr>
          <w:p w14:paraId="29E1C11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15" w:type="pct"/>
            <w:noWrap/>
            <w:hideMark/>
          </w:tcPr>
          <w:p w14:paraId="54B8CBC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28.4</w:t>
            </w:r>
          </w:p>
        </w:tc>
        <w:tc>
          <w:tcPr>
            <w:tcW w:w="265" w:type="pct"/>
            <w:noWrap/>
            <w:hideMark/>
          </w:tcPr>
          <w:p w14:paraId="506E248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</w:t>
            </w:r>
          </w:p>
        </w:tc>
        <w:tc>
          <w:tcPr>
            <w:tcW w:w="408" w:type="pct"/>
            <w:noWrap/>
            <w:hideMark/>
          </w:tcPr>
          <w:p w14:paraId="2C7D02D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28.5</w:t>
            </w:r>
          </w:p>
        </w:tc>
        <w:tc>
          <w:tcPr>
            <w:tcW w:w="353" w:type="pct"/>
            <w:noWrap/>
            <w:hideMark/>
          </w:tcPr>
          <w:p w14:paraId="52E31F9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16.9</w:t>
            </w:r>
          </w:p>
        </w:tc>
      </w:tr>
      <w:tr w:rsidR="00BF4C4E" w:rsidRPr="002E40EB" w14:paraId="5334EBF8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78FBF5DC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92" w:type="pct"/>
            <w:noWrap/>
            <w:hideMark/>
          </w:tcPr>
          <w:p w14:paraId="7513E9B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4923.4</w:t>
            </w:r>
          </w:p>
        </w:tc>
        <w:tc>
          <w:tcPr>
            <w:tcW w:w="337" w:type="pct"/>
            <w:noWrap/>
            <w:hideMark/>
          </w:tcPr>
          <w:p w14:paraId="17F8ED0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2" w:type="pct"/>
            <w:noWrap/>
            <w:hideMark/>
          </w:tcPr>
          <w:p w14:paraId="43A9717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4767.5</w:t>
            </w:r>
          </w:p>
        </w:tc>
        <w:tc>
          <w:tcPr>
            <w:tcW w:w="337" w:type="pct"/>
            <w:noWrap/>
            <w:hideMark/>
          </w:tcPr>
          <w:p w14:paraId="5672D93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537" w:type="pct"/>
            <w:noWrap/>
            <w:hideMark/>
          </w:tcPr>
          <w:p w14:paraId="0F03FDE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2730687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0724D6D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2B5259E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1150F44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69B8021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438DE45C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504C37A4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Tenure type</w:t>
            </w:r>
          </w:p>
        </w:tc>
        <w:tc>
          <w:tcPr>
            <w:tcW w:w="292" w:type="pct"/>
            <w:noWrap/>
            <w:hideMark/>
          </w:tcPr>
          <w:p w14:paraId="16FF67D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5F3EA393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011638C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4C8C5C1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3FB4E01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1906284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1C43F5A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7634A51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5CAD785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05EF2C9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65ED6F9A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357E78E9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Local authority</w:t>
            </w:r>
          </w:p>
        </w:tc>
        <w:tc>
          <w:tcPr>
            <w:tcW w:w="292" w:type="pct"/>
            <w:noWrap/>
            <w:hideMark/>
          </w:tcPr>
          <w:p w14:paraId="4FF1542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800.3</w:t>
            </w:r>
          </w:p>
        </w:tc>
        <w:tc>
          <w:tcPr>
            <w:tcW w:w="337" w:type="pct"/>
            <w:noWrap/>
            <w:hideMark/>
          </w:tcPr>
          <w:p w14:paraId="7836C11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</w:t>
            </w:r>
          </w:p>
        </w:tc>
        <w:tc>
          <w:tcPr>
            <w:tcW w:w="292" w:type="pct"/>
            <w:noWrap/>
            <w:hideMark/>
          </w:tcPr>
          <w:p w14:paraId="6799CC5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781.8</w:t>
            </w:r>
          </w:p>
        </w:tc>
        <w:tc>
          <w:tcPr>
            <w:tcW w:w="337" w:type="pct"/>
            <w:noWrap/>
            <w:hideMark/>
          </w:tcPr>
          <w:p w14:paraId="124223A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</w:t>
            </w:r>
          </w:p>
        </w:tc>
        <w:tc>
          <w:tcPr>
            <w:tcW w:w="537" w:type="pct"/>
            <w:noWrap/>
            <w:hideMark/>
          </w:tcPr>
          <w:p w14:paraId="0E5F11B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36.1</w:t>
            </w:r>
          </w:p>
        </w:tc>
        <w:tc>
          <w:tcPr>
            <w:tcW w:w="537" w:type="pct"/>
            <w:noWrap/>
            <w:hideMark/>
          </w:tcPr>
          <w:p w14:paraId="703774F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35.3</w:t>
            </w:r>
          </w:p>
        </w:tc>
        <w:tc>
          <w:tcPr>
            <w:tcW w:w="315" w:type="pct"/>
            <w:noWrap/>
            <w:hideMark/>
          </w:tcPr>
          <w:p w14:paraId="1A8F1F9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265" w:type="pct"/>
            <w:noWrap/>
            <w:hideMark/>
          </w:tcPr>
          <w:p w14:paraId="7FBCBBD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15.0</w:t>
            </w:r>
          </w:p>
        </w:tc>
        <w:tc>
          <w:tcPr>
            <w:tcW w:w="408" w:type="pct"/>
            <w:noWrap/>
            <w:hideMark/>
          </w:tcPr>
          <w:p w14:paraId="067F70A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23.1</w:t>
            </w:r>
          </w:p>
        </w:tc>
        <w:tc>
          <w:tcPr>
            <w:tcW w:w="353" w:type="pct"/>
            <w:noWrap/>
            <w:hideMark/>
          </w:tcPr>
          <w:p w14:paraId="6211F4E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</w:tr>
      <w:tr w:rsidR="00BF4C4E" w:rsidRPr="002E40EB" w14:paraId="2E8720EB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60DF426E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Housing Association </w:t>
            </w:r>
          </w:p>
        </w:tc>
        <w:tc>
          <w:tcPr>
            <w:tcW w:w="292" w:type="pct"/>
            <w:noWrap/>
            <w:hideMark/>
          </w:tcPr>
          <w:p w14:paraId="70046DD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565.1</w:t>
            </w:r>
          </w:p>
        </w:tc>
        <w:tc>
          <w:tcPr>
            <w:tcW w:w="337" w:type="pct"/>
            <w:noWrap/>
            <w:hideMark/>
          </w:tcPr>
          <w:p w14:paraId="74F6E94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11.5</w:t>
            </w:r>
          </w:p>
        </w:tc>
        <w:tc>
          <w:tcPr>
            <w:tcW w:w="292" w:type="pct"/>
            <w:noWrap/>
            <w:hideMark/>
          </w:tcPr>
          <w:p w14:paraId="3F606C1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553.9</w:t>
            </w:r>
          </w:p>
        </w:tc>
        <w:tc>
          <w:tcPr>
            <w:tcW w:w="337" w:type="pct"/>
            <w:noWrap/>
            <w:hideMark/>
          </w:tcPr>
          <w:p w14:paraId="711E73D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537" w:type="pct"/>
            <w:noWrap/>
            <w:hideMark/>
          </w:tcPr>
          <w:p w14:paraId="384F94C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</w:t>
            </w:r>
          </w:p>
        </w:tc>
        <w:tc>
          <w:tcPr>
            <w:tcW w:w="537" w:type="pct"/>
            <w:noWrap/>
            <w:hideMark/>
          </w:tcPr>
          <w:p w14:paraId="600BE98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26.1</w:t>
            </w:r>
          </w:p>
        </w:tc>
        <w:tc>
          <w:tcPr>
            <w:tcW w:w="315" w:type="pct"/>
            <w:noWrap/>
            <w:hideMark/>
          </w:tcPr>
          <w:p w14:paraId="440A488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23.2</w:t>
            </w:r>
          </w:p>
        </w:tc>
        <w:tc>
          <w:tcPr>
            <w:tcW w:w="265" w:type="pct"/>
            <w:noWrap/>
            <w:hideMark/>
          </w:tcPr>
          <w:p w14:paraId="598CC87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21.7</w:t>
            </w:r>
          </w:p>
        </w:tc>
        <w:tc>
          <w:tcPr>
            <w:tcW w:w="408" w:type="pct"/>
            <w:noWrap/>
            <w:hideMark/>
          </w:tcPr>
          <w:p w14:paraId="08F284C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22.8</w:t>
            </w:r>
          </w:p>
        </w:tc>
        <w:tc>
          <w:tcPr>
            <w:tcW w:w="353" w:type="pct"/>
            <w:noWrap/>
            <w:hideMark/>
          </w:tcPr>
          <w:p w14:paraId="5ADB6A3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21.8</w:t>
            </w:r>
          </w:p>
        </w:tc>
      </w:tr>
      <w:tr w:rsidR="00BF4C4E" w:rsidRPr="002E40EB" w14:paraId="004C500A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110695CA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Private rented</w:t>
            </w:r>
          </w:p>
        </w:tc>
        <w:tc>
          <w:tcPr>
            <w:tcW w:w="292" w:type="pct"/>
            <w:noWrap/>
            <w:hideMark/>
          </w:tcPr>
          <w:p w14:paraId="44AD259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1234.1</w:t>
            </w:r>
          </w:p>
        </w:tc>
        <w:tc>
          <w:tcPr>
            <w:tcW w:w="337" w:type="pct"/>
            <w:noWrap/>
            <w:hideMark/>
          </w:tcPr>
          <w:p w14:paraId="41892A4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292" w:type="pct"/>
            <w:noWrap/>
            <w:hideMark/>
          </w:tcPr>
          <w:p w14:paraId="4628377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1197.4</w:t>
            </w:r>
          </w:p>
        </w:tc>
        <w:tc>
          <w:tcPr>
            <w:tcW w:w="337" w:type="pct"/>
            <w:noWrap/>
            <w:hideMark/>
          </w:tcPr>
          <w:p w14:paraId="0FE3CCB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25.1</w:t>
            </w:r>
          </w:p>
        </w:tc>
        <w:tc>
          <w:tcPr>
            <w:tcW w:w="537" w:type="pct"/>
            <w:noWrap/>
            <w:hideMark/>
          </w:tcPr>
          <w:p w14:paraId="3132043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22.7</w:t>
            </w:r>
          </w:p>
        </w:tc>
        <w:tc>
          <w:tcPr>
            <w:tcW w:w="537" w:type="pct"/>
            <w:noWrap/>
            <w:hideMark/>
          </w:tcPr>
          <w:p w14:paraId="66D97DF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315" w:type="pct"/>
            <w:noWrap/>
            <w:hideMark/>
          </w:tcPr>
          <w:p w14:paraId="40C326F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25.6</w:t>
            </w:r>
          </w:p>
        </w:tc>
        <w:tc>
          <w:tcPr>
            <w:tcW w:w="265" w:type="pct"/>
            <w:noWrap/>
            <w:hideMark/>
          </w:tcPr>
          <w:p w14:paraId="19BB3D6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16.1</w:t>
            </w:r>
          </w:p>
        </w:tc>
        <w:tc>
          <w:tcPr>
            <w:tcW w:w="408" w:type="pct"/>
            <w:noWrap/>
            <w:hideMark/>
          </w:tcPr>
          <w:p w14:paraId="3F2E960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25.5</w:t>
            </w:r>
          </w:p>
        </w:tc>
        <w:tc>
          <w:tcPr>
            <w:tcW w:w="353" w:type="pct"/>
            <w:noWrap/>
            <w:hideMark/>
          </w:tcPr>
          <w:p w14:paraId="793EFBB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</w:t>
            </w:r>
          </w:p>
        </w:tc>
      </w:tr>
      <w:tr w:rsidR="00BF4C4E" w:rsidRPr="002E40EB" w14:paraId="5829A5AF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0AA7431D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Owned/ mortgaged/ outright</w:t>
            </w:r>
          </w:p>
        </w:tc>
        <w:tc>
          <w:tcPr>
            <w:tcW w:w="292" w:type="pct"/>
            <w:noWrap/>
            <w:hideMark/>
          </w:tcPr>
          <w:p w14:paraId="4DC65AD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2247.1</w:t>
            </w:r>
          </w:p>
        </w:tc>
        <w:tc>
          <w:tcPr>
            <w:tcW w:w="337" w:type="pct"/>
            <w:noWrap/>
            <w:hideMark/>
          </w:tcPr>
          <w:p w14:paraId="4D97F83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45.6</w:t>
            </w:r>
          </w:p>
        </w:tc>
        <w:tc>
          <w:tcPr>
            <w:tcW w:w="292" w:type="pct"/>
            <w:noWrap/>
            <w:hideMark/>
          </w:tcPr>
          <w:p w14:paraId="5A1AF64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2157.7</w:t>
            </w:r>
          </w:p>
        </w:tc>
        <w:tc>
          <w:tcPr>
            <w:tcW w:w="337" w:type="pct"/>
            <w:noWrap/>
            <w:hideMark/>
          </w:tcPr>
          <w:p w14:paraId="5767E66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537" w:type="pct"/>
            <w:noWrap/>
            <w:hideMark/>
          </w:tcPr>
          <w:p w14:paraId="47FDDB2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11.7</w:t>
            </w:r>
          </w:p>
        </w:tc>
        <w:tc>
          <w:tcPr>
            <w:tcW w:w="537" w:type="pct"/>
            <w:noWrap/>
            <w:hideMark/>
          </w:tcPr>
          <w:p w14:paraId="70CC23D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11.2</w:t>
            </w:r>
          </w:p>
        </w:tc>
        <w:tc>
          <w:tcPr>
            <w:tcW w:w="315" w:type="pct"/>
            <w:noWrap/>
            <w:hideMark/>
          </w:tcPr>
          <w:p w14:paraId="6287679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26.9</w:t>
            </w:r>
          </w:p>
        </w:tc>
        <w:tc>
          <w:tcPr>
            <w:tcW w:w="265" w:type="pct"/>
            <w:noWrap/>
            <w:hideMark/>
          </w:tcPr>
          <w:p w14:paraId="7F9EC59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18.0</w:t>
            </w:r>
          </w:p>
        </w:tc>
        <w:tc>
          <w:tcPr>
            <w:tcW w:w="408" w:type="pct"/>
            <w:noWrap/>
            <w:hideMark/>
          </w:tcPr>
          <w:p w14:paraId="090EACE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26.9</w:t>
            </w:r>
          </w:p>
        </w:tc>
        <w:tc>
          <w:tcPr>
            <w:tcW w:w="353" w:type="pct"/>
            <w:noWrap/>
            <w:hideMark/>
          </w:tcPr>
          <w:p w14:paraId="130C411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</w:tr>
      <w:tr w:rsidR="00BF4C4E" w:rsidRPr="002E40EB" w14:paraId="43988BC2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50C6095C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Rent free</w:t>
            </w:r>
          </w:p>
        </w:tc>
        <w:tc>
          <w:tcPr>
            <w:tcW w:w="292" w:type="pct"/>
            <w:noWrap/>
            <w:hideMark/>
          </w:tcPr>
          <w:p w14:paraId="5861DFA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82.8</w:t>
            </w:r>
          </w:p>
        </w:tc>
        <w:tc>
          <w:tcPr>
            <w:tcW w:w="337" w:type="pct"/>
            <w:noWrap/>
            <w:hideMark/>
          </w:tcPr>
          <w:p w14:paraId="3DCD92E2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292" w:type="pct"/>
            <w:noWrap/>
            <w:hideMark/>
          </w:tcPr>
          <w:p w14:paraId="1288CF0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82.8</w:t>
            </w:r>
          </w:p>
        </w:tc>
        <w:tc>
          <w:tcPr>
            <w:tcW w:w="337" w:type="pct"/>
            <w:noWrap/>
            <w:hideMark/>
          </w:tcPr>
          <w:p w14:paraId="257C159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537" w:type="pct"/>
            <w:noWrap/>
            <w:hideMark/>
          </w:tcPr>
          <w:p w14:paraId="245522F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537" w:type="pct"/>
            <w:noWrap/>
            <w:hideMark/>
          </w:tcPr>
          <w:p w14:paraId="712B20C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315" w:type="pct"/>
            <w:noWrap/>
            <w:hideMark/>
          </w:tcPr>
          <w:p w14:paraId="1E95D50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18.7</w:t>
            </w:r>
          </w:p>
        </w:tc>
        <w:tc>
          <w:tcPr>
            <w:tcW w:w="265" w:type="pct"/>
            <w:noWrap/>
            <w:hideMark/>
          </w:tcPr>
          <w:p w14:paraId="751A39E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17.2</w:t>
            </w:r>
          </w:p>
        </w:tc>
        <w:tc>
          <w:tcPr>
            <w:tcW w:w="408" w:type="pct"/>
            <w:noWrap/>
            <w:hideMark/>
          </w:tcPr>
          <w:p w14:paraId="0A2BE38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17.9</w:t>
            </w:r>
          </w:p>
        </w:tc>
        <w:tc>
          <w:tcPr>
            <w:tcW w:w="353" w:type="pct"/>
            <w:noWrap/>
            <w:hideMark/>
          </w:tcPr>
          <w:p w14:paraId="50C57EA6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16.6</w:t>
            </w:r>
          </w:p>
        </w:tc>
      </w:tr>
      <w:tr w:rsidR="00BF4C4E" w:rsidRPr="002E40EB" w14:paraId="73B389DF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45E02AD1" w14:textId="77777777" w:rsidR="006A535D" w:rsidRPr="002E40EB" w:rsidRDefault="006A535D" w:rsidP="006A5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Income poverty</w:t>
            </w:r>
          </w:p>
        </w:tc>
        <w:tc>
          <w:tcPr>
            <w:tcW w:w="292" w:type="pct"/>
            <w:noWrap/>
            <w:hideMark/>
          </w:tcPr>
          <w:p w14:paraId="43D76C1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3A5B8CB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6532562B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57209BF7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190C459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06D6C385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78177CFC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3822CE2D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2A4C6D4A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51097AA9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F4C4E" w:rsidRPr="002E40EB" w14:paraId="0249108F" w14:textId="77777777" w:rsidTr="00C060F9">
        <w:trPr>
          <w:trHeight w:val="20"/>
        </w:trPr>
        <w:tc>
          <w:tcPr>
            <w:tcW w:w="1326" w:type="pct"/>
            <w:noWrap/>
            <w:hideMark/>
          </w:tcPr>
          <w:p w14:paraId="49BD201B" w14:textId="45EBA2BA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(</w:t>
            </w:r>
            <w:r w:rsidR="00503DEE"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i.e.</w:t>
            </w: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&gt;=60% median income) </w:t>
            </w:r>
          </w:p>
        </w:tc>
        <w:tc>
          <w:tcPr>
            <w:tcW w:w="292" w:type="pct"/>
            <w:noWrap/>
          </w:tcPr>
          <w:p w14:paraId="77857B74" w14:textId="35EC34D1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1222.3</w:t>
            </w:r>
          </w:p>
        </w:tc>
        <w:tc>
          <w:tcPr>
            <w:tcW w:w="337" w:type="pct"/>
            <w:noWrap/>
          </w:tcPr>
          <w:p w14:paraId="56DE1490" w14:textId="6ADB6DB0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292" w:type="pct"/>
            <w:noWrap/>
          </w:tcPr>
          <w:p w14:paraId="20C7C93B" w14:textId="17744790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1187.8</w:t>
            </w:r>
          </w:p>
        </w:tc>
        <w:tc>
          <w:tcPr>
            <w:tcW w:w="337" w:type="pct"/>
            <w:noWrap/>
          </w:tcPr>
          <w:p w14:paraId="2B7FAC02" w14:textId="1B37B9C0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24.9</w:t>
            </w:r>
          </w:p>
        </w:tc>
        <w:tc>
          <w:tcPr>
            <w:tcW w:w="537" w:type="pct"/>
            <w:noWrap/>
          </w:tcPr>
          <w:p w14:paraId="5BF69ED1" w14:textId="2173248D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5.5</w:t>
            </w:r>
          </w:p>
        </w:tc>
        <w:tc>
          <w:tcPr>
            <w:tcW w:w="537" w:type="pct"/>
            <w:noWrap/>
          </w:tcPr>
          <w:p w14:paraId="1F37ACD1" w14:textId="6DDA39DB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</w:t>
            </w:r>
          </w:p>
        </w:tc>
        <w:tc>
          <w:tcPr>
            <w:tcW w:w="315" w:type="pct"/>
            <w:noWrap/>
          </w:tcPr>
          <w:p w14:paraId="35ED8F30" w14:textId="07E7431A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265" w:type="pct"/>
            <w:noWrap/>
          </w:tcPr>
          <w:p w14:paraId="759B064A" w14:textId="53F743E4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</w:t>
            </w:r>
          </w:p>
        </w:tc>
        <w:tc>
          <w:tcPr>
            <w:tcW w:w="408" w:type="pct"/>
            <w:noWrap/>
          </w:tcPr>
          <w:p w14:paraId="574D4DA0" w14:textId="1F6C01C3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353" w:type="pct"/>
            <w:noWrap/>
          </w:tcPr>
          <w:p w14:paraId="4BA7DFFF" w14:textId="07F7ABB7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15.2</w:t>
            </w:r>
          </w:p>
        </w:tc>
      </w:tr>
      <w:tr w:rsidR="00BF4C4E" w:rsidRPr="002E40EB" w14:paraId="0BA22930" w14:textId="77777777" w:rsidTr="00C060F9">
        <w:trPr>
          <w:trHeight w:val="20"/>
        </w:trPr>
        <w:tc>
          <w:tcPr>
            <w:tcW w:w="1326" w:type="pct"/>
            <w:noWrap/>
            <w:hideMark/>
          </w:tcPr>
          <w:p w14:paraId="480CE609" w14:textId="25A93188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 (</w:t>
            </w:r>
            <w:r w:rsidR="00503DEE"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i.e.</w:t>
            </w: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&lt; 60% median income) </w:t>
            </w:r>
          </w:p>
        </w:tc>
        <w:tc>
          <w:tcPr>
            <w:tcW w:w="292" w:type="pct"/>
            <w:noWrap/>
          </w:tcPr>
          <w:p w14:paraId="31E1C7EE" w14:textId="799B3DC8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3707.1</w:t>
            </w:r>
          </w:p>
        </w:tc>
        <w:tc>
          <w:tcPr>
            <w:tcW w:w="337" w:type="pct"/>
            <w:noWrap/>
          </w:tcPr>
          <w:p w14:paraId="3DBFCC14" w14:textId="2C2DEA9E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75.2</w:t>
            </w:r>
          </w:p>
        </w:tc>
        <w:tc>
          <w:tcPr>
            <w:tcW w:w="292" w:type="pct"/>
            <w:noWrap/>
          </w:tcPr>
          <w:p w14:paraId="0204F436" w14:textId="07251673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3585.8</w:t>
            </w:r>
          </w:p>
        </w:tc>
        <w:tc>
          <w:tcPr>
            <w:tcW w:w="337" w:type="pct"/>
            <w:noWrap/>
          </w:tcPr>
          <w:p w14:paraId="13196009" w14:textId="6976AD1D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75.1</w:t>
            </w:r>
          </w:p>
        </w:tc>
        <w:tc>
          <w:tcPr>
            <w:tcW w:w="537" w:type="pct"/>
            <w:noWrap/>
          </w:tcPr>
          <w:p w14:paraId="4F85F763" w14:textId="135C3AFF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53.4</w:t>
            </w:r>
          </w:p>
        </w:tc>
        <w:tc>
          <w:tcPr>
            <w:tcW w:w="537" w:type="pct"/>
            <w:noWrap/>
          </w:tcPr>
          <w:p w14:paraId="617071B2" w14:textId="40CA81A0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315" w:type="pct"/>
            <w:noWrap/>
          </w:tcPr>
          <w:p w14:paraId="31C6A69C" w14:textId="2A72EF70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25.8</w:t>
            </w:r>
          </w:p>
        </w:tc>
        <w:tc>
          <w:tcPr>
            <w:tcW w:w="265" w:type="pct"/>
            <w:noWrap/>
          </w:tcPr>
          <w:p w14:paraId="2CF28C8F" w14:textId="669D0CF8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18.3</w:t>
            </w:r>
          </w:p>
        </w:tc>
        <w:tc>
          <w:tcPr>
            <w:tcW w:w="408" w:type="pct"/>
            <w:noWrap/>
          </w:tcPr>
          <w:p w14:paraId="70071447" w14:textId="509D527A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25.9</w:t>
            </w:r>
          </w:p>
        </w:tc>
        <w:tc>
          <w:tcPr>
            <w:tcW w:w="353" w:type="pct"/>
            <w:noWrap/>
          </w:tcPr>
          <w:p w14:paraId="5AA1C8D3" w14:textId="773D763E" w:rsidR="006A535D" w:rsidRPr="002E40EB" w:rsidRDefault="00D977B2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</w:tr>
      <w:tr w:rsidR="00BF4C4E" w:rsidRPr="002E40EB" w14:paraId="393ED052" w14:textId="77777777" w:rsidTr="00BF4C4E">
        <w:trPr>
          <w:trHeight w:val="20"/>
        </w:trPr>
        <w:tc>
          <w:tcPr>
            <w:tcW w:w="1326" w:type="pct"/>
            <w:noWrap/>
            <w:hideMark/>
          </w:tcPr>
          <w:p w14:paraId="6712C471" w14:textId="77777777" w:rsidR="006A535D" w:rsidRPr="002E40EB" w:rsidRDefault="006A535D" w:rsidP="006A535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92" w:type="pct"/>
            <w:noWrap/>
            <w:hideMark/>
          </w:tcPr>
          <w:p w14:paraId="5607111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4929.4</w:t>
            </w:r>
          </w:p>
        </w:tc>
        <w:tc>
          <w:tcPr>
            <w:tcW w:w="337" w:type="pct"/>
            <w:noWrap/>
            <w:hideMark/>
          </w:tcPr>
          <w:p w14:paraId="6828A594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2" w:type="pct"/>
            <w:noWrap/>
            <w:hideMark/>
          </w:tcPr>
          <w:p w14:paraId="7A651E5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4773.6</w:t>
            </w:r>
          </w:p>
        </w:tc>
        <w:tc>
          <w:tcPr>
            <w:tcW w:w="337" w:type="pct"/>
            <w:noWrap/>
            <w:hideMark/>
          </w:tcPr>
          <w:p w14:paraId="144AE2C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537" w:type="pct"/>
            <w:noWrap/>
            <w:hideMark/>
          </w:tcPr>
          <w:p w14:paraId="17EBA69F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4663D490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5" w:type="pct"/>
            <w:noWrap/>
            <w:hideMark/>
          </w:tcPr>
          <w:p w14:paraId="7EDE77F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5" w:type="pct"/>
            <w:noWrap/>
            <w:hideMark/>
          </w:tcPr>
          <w:p w14:paraId="37AE49C1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8" w:type="pct"/>
            <w:noWrap/>
            <w:hideMark/>
          </w:tcPr>
          <w:p w14:paraId="34503BF8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" w:type="pct"/>
            <w:noWrap/>
            <w:hideMark/>
          </w:tcPr>
          <w:p w14:paraId="05195E2E" w14:textId="77777777" w:rsidR="006A535D" w:rsidRPr="002E40EB" w:rsidRDefault="006A535D" w:rsidP="006A535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E4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C4F3F" w:rsidRPr="002E40EB" w14:paraId="23905002" w14:textId="77777777" w:rsidTr="00BF4C4E">
        <w:trPr>
          <w:trHeight w:val="20"/>
        </w:trPr>
        <w:tc>
          <w:tcPr>
            <w:tcW w:w="1326" w:type="pct"/>
            <w:noWrap/>
          </w:tcPr>
          <w:p w14:paraId="6044E15C" w14:textId="19272322" w:rsidR="000C4F3F" w:rsidRPr="000C4F3F" w:rsidRDefault="000C4F3F" w:rsidP="000C4F3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C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92" w:type="pct"/>
            <w:noWrap/>
          </w:tcPr>
          <w:p w14:paraId="4D865DCA" w14:textId="1A2F510D" w:rsidR="000C4F3F" w:rsidRPr="000C4F3F" w:rsidRDefault="000C4F3F" w:rsidP="000C4F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C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4929.4</w:t>
            </w:r>
          </w:p>
        </w:tc>
        <w:tc>
          <w:tcPr>
            <w:tcW w:w="337" w:type="pct"/>
            <w:noWrap/>
          </w:tcPr>
          <w:p w14:paraId="36C8E048" w14:textId="24451E5D" w:rsidR="000C4F3F" w:rsidRPr="000C4F3F" w:rsidRDefault="000C4F3F" w:rsidP="000C4F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C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2" w:type="pct"/>
            <w:noWrap/>
          </w:tcPr>
          <w:p w14:paraId="5350F216" w14:textId="0AAAA9EF" w:rsidR="000C4F3F" w:rsidRPr="000C4F3F" w:rsidRDefault="000C4F3F" w:rsidP="000C4F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C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4773.6</w:t>
            </w:r>
          </w:p>
        </w:tc>
        <w:tc>
          <w:tcPr>
            <w:tcW w:w="337" w:type="pct"/>
            <w:noWrap/>
          </w:tcPr>
          <w:p w14:paraId="63641E37" w14:textId="5045E8A0" w:rsidR="000C4F3F" w:rsidRPr="000C4F3F" w:rsidRDefault="000C4F3F" w:rsidP="000C4F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C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537" w:type="pct"/>
            <w:noWrap/>
          </w:tcPr>
          <w:p w14:paraId="12E81739" w14:textId="485C6A66" w:rsidR="000C4F3F" w:rsidRPr="002E40EB" w:rsidRDefault="000C4F3F" w:rsidP="000C4F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16.8</w:t>
            </w:r>
          </w:p>
        </w:tc>
        <w:tc>
          <w:tcPr>
            <w:tcW w:w="537" w:type="pct"/>
            <w:noWrap/>
          </w:tcPr>
          <w:p w14:paraId="6CCFA71E" w14:textId="1C6AB142" w:rsidR="000C4F3F" w:rsidRPr="002E40EB" w:rsidRDefault="000C4F3F" w:rsidP="000C4F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16.3</w:t>
            </w:r>
          </w:p>
        </w:tc>
        <w:tc>
          <w:tcPr>
            <w:tcW w:w="315" w:type="pct"/>
            <w:noWrap/>
          </w:tcPr>
          <w:p w14:paraId="754B19B0" w14:textId="441F0186" w:rsidR="000C4F3F" w:rsidRPr="002E40EB" w:rsidRDefault="000C4F3F" w:rsidP="000C4F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25.41</w:t>
            </w:r>
          </w:p>
        </w:tc>
        <w:tc>
          <w:tcPr>
            <w:tcW w:w="265" w:type="pct"/>
            <w:noWrap/>
          </w:tcPr>
          <w:p w14:paraId="5D257570" w14:textId="748A55A2" w:rsidR="000C4F3F" w:rsidRPr="002E40EB" w:rsidRDefault="000C4F3F" w:rsidP="000C4F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17.29</w:t>
            </w:r>
          </w:p>
        </w:tc>
        <w:tc>
          <w:tcPr>
            <w:tcW w:w="408" w:type="pct"/>
            <w:noWrap/>
          </w:tcPr>
          <w:p w14:paraId="01173750" w14:textId="7A040D87" w:rsidR="000C4F3F" w:rsidRPr="002E40EB" w:rsidRDefault="000C4F3F" w:rsidP="000C4F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25.29</w:t>
            </w:r>
          </w:p>
        </w:tc>
        <w:tc>
          <w:tcPr>
            <w:tcW w:w="353" w:type="pct"/>
            <w:noWrap/>
          </w:tcPr>
          <w:p w14:paraId="72B1A192" w14:textId="0887E09E" w:rsidR="000C4F3F" w:rsidRPr="002E40EB" w:rsidRDefault="000C4F3F" w:rsidP="000C4F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16.90</w:t>
            </w:r>
          </w:p>
        </w:tc>
      </w:tr>
    </w:tbl>
    <w:p w14:paraId="461D8732" w14:textId="0CB02615" w:rsidR="009F47CC" w:rsidRDefault="009F47CC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55E9C776" w14:textId="77777777" w:rsidR="009F47CC" w:rsidRDefault="009F47CC" w:rsidP="009F47CC">
      <w:pPr>
        <w:spacing w:after="0" w:line="240" w:lineRule="auto"/>
        <w:rPr>
          <w:rFonts w:ascii="Aptos Narrow" w:eastAsia="Times New Roman" w:hAnsi="Aptos Narrow" w:cs="Times New Roman"/>
          <w:color w:val="000000"/>
          <w:lang w:val="en-US"/>
        </w:rPr>
        <w:sectPr w:rsidR="009F47CC" w:rsidSect="00211D84">
          <w:pgSz w:w="16838" w:h="11906" w:orient="landscape"/>
          <w:pgMar w:top="1077" w:right="1134" w:bottom="1077" w:left="1134" w:header="709" w:footer="709" w:gutter="0"/>
          <w:cols w:space="708"/>
          <w:docGrid w:linePitch="360"/>
        </w:sectPr>
      </w:pPr>
    </w:p>
    <w:p w14:paraId="3938CCF8" w14:textId="2112FC08" w:rsidR="009F47CC" w:rsidRPr="001E34EB" w:rsidRDefault="009F47CC" w:rsidP="001E34E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E34EB">
        <w:rPr>
          <w:rFonts w:ascii="Arial" w:hAnsi="Arial" w:cs="Arial"/>
          <w:b/>
          <w:bCs/>
          <w:sz w:val="24"/>
          <w:szCs w:val="24"/>
        </w:rPr>
        <w:lastRenderedPageBreak/>
        <w:t>Annex Table 3: Logistic regression analysis: likelihood of being fuel poor at &gt;20 per cent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3758"/>
        <w:gridCol w:w="1720"/>
        <w:gridCol w:w="1054"/>
        <w:gridCol w:w="960"/>
        <w:gridCol w:w="1054"/>
        <w:gridCol w:w="960"/>
      </w:tblGrid>
      <w:tr w:rsidR="009F47CC" w:rsidRPr="009F47CC" w14:paraId="07B06114" w14:textId="77777777" w:rsidTr="00BF4C4E">
        <w:trPr>
          <w:trHeight w:val="2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0FD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908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9B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792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z value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803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B1D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3B7C80A1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21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(Intercept)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39AF" w14:textId="2649B11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-2.688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E1A9" w14:textId="5C28260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099" w14:textId="48642320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-24.707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8F53" w14:textId="6EAA67DA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9DF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196C7AEA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A8E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9CD" w14:textId="496A412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3.631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A81" w14:textId="4ADF063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FDA" w14:textId="0529E5F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35.032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F63" w14:textId="64A07DE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D7D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6075CF66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910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4A6" w14:textId="613685F3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2.297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5545" w14:textId="1C955FFC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E0D" w14:textId="15A530C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24.020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539" w14:textId="7C18950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70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76BCB85D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5453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694" w14:textId="66DB4839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1.351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5EF8" w14:textId="00A79F4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CD1" w14:textId="529F4B0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13.723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6E8" w14:textId="60380DF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28F9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2CCC3B52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4CE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27C4" w14:textId="1C855263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762" w14:textId="0B91DD6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187" w14:textId="29E9350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6.245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50FD" w14:textId="20311923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D58C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0D5A7B53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C00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338" w14:textId="4810AE4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F4D" w14:textId="1493B14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4383" w14:textId="426B24E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9B3" w14:textId="7D8F5B3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250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65F2CF93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E4D5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BCBC" w14:textId="4BB38FB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-0.148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DB7" w14:textId="042846F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4204" w14:textId="3F521EF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-1.141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79CD" w14:textId="41E95CD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B25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587C0AC4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7E0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7E4F" w14:textId="7F31FDD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-1.551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6E8" w14:textId="1E78E10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5EF" w14:textId="62AE954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-7.215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1FF" w14:textId="02A9F2C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B3E4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05C13640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259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E73" w14:textId="061ADDA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-1.449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B81" w14:textId="35C8F65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9E0" w14:textId="72AC09E3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-7.008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3383" w14:textId="36858E26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F9F7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549424E5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D98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0D6" w14:textId="095F4956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-1.909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BCF" w14:textId="6C618885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46A" w14:textId="6A95279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-7.565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D389" w14:textId="10EDA90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151F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7AEFD06E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4ED7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decile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6C4B" w14:textId="74D964A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-3.027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3916" w14:textId="668565A0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18A" w14:textId="4490A52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-6.660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7F16" w14:textId="5774231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54D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47049A05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0B90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region </w:t>
            </w: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North East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7A0B" w14:textId="0647F176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AC99" w14:textId="504CE955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30B0" w14:textId="6C2287E0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1.878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B83D" w14:textId="7E72588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00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47CC" w:rsidRPr="009F47CC" w14:paraId="7021DACC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BA0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region </w:t>
            </w: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North West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and Merseyside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5960" w14:textId="2BD84DF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-0.091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72E" w14:textId="793351BA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A90" w14:textId="03550F3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-0.846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1C3" w14:textId="16B2199C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1B73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7EA57658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403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region Yorkshire and the Humber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354" w14:textId="4AAC433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F7FF" w14:textId="7640F3BC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A3F" w14:textId="30223A5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B6BE" w14:textId="7B203B4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3ECF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6A3AD95E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46F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region East Midlands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08A" w14:textId="5D82DC8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-0.435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381" w14:textId="7D21735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91FE" w14:textId="36AA8DE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-3.433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86DB" w14:textId="0DF48C9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4145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3BEDB169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B2A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region West Midlands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94D" w14:textId="3131091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704D" w14:textId="42D78B29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384D" w14:textId="13BE310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-0.472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540" w14:textId="23282075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BF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41852D25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037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region Eastern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401" w14:textId="10A0205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-0.128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82C7" w14:textId="029BCE43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F305" w14:textId="19FB52A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-1.073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1C9" w14:textId="57DAD47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CC3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34073142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A8ED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region London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6AF" w14:textId="5EDED16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-0.233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3891" w14:textId="41A40B1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E938" w14:textId="12D2065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-1.976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DB50" w14:textId="1D4694AA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153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9F47CC" w:rsidRPr="009F47CC" w14:paraId="2BF24CB5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E3B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region </w:t>
            </w: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South East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B54" w14:textId="25A6C41A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5A57" w14:textId="534B55C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79E" w14:textId="6C46EE1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1.526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457" w14:textId="33ADA10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C37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4A33822D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479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region </w:t>
            </w: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South West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BD4" w14:textId="4E885293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-0.303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4DC" w14:textId="218BE63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34AE" w14:textId="7881C4A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-2.705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B901" w14:textId="48DA5C5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FAE8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</w:t>
            </w:r>
          </w:p>
        </w:tc>
      </w:tr>
      <w:tr w:rsidR="009F47CC" w:rsidRPr="009F47CC" w14:paraId="0003BB6C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7C4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region Wales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27DE" w14:textId="3D6C32E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-0.119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512" w14:textId="1187DE35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0F0" w14:textId="39F212C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-0.636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8229" w14:textId="2013C616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1080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06A90BDD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533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region Scotland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A64" w14:textId="5306E00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CDB" w14:textId="1018A8A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A6F" w14:textId="6A52789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1.922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074" w14:textId="3A861C8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A99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47CC" w:rsidRPr="009F47CC" w14:paraId="0495340F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CD5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region Northen Ireland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077" w14:textId="6709DF16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602" w14:textId="6BCACCEC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E14" w14:textId="34C37360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8.272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FED" w14:textId="0503B8A6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7E8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4DD239A0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1D4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hh_comp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Single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C91" w14:textId="01C2D0B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-0.649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58B" w14:textId="424B9AD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82F" w14:textId="54737FF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-5.969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BFE1" w14:textId="61A3AD59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52F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78B85836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8E4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hh_comp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Couple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D88" w14:textId="6EC0F74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07EB" w14:textId="4C67E05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039" w14:textId="79AFE87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9FB" w14:textId="78FDC4B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E2C5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6ECF40E8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5BE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hh_comp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Household with children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6A0B" w14:textId="3BFD1789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0AE" w14:textId="0434C2B0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FE07" w14:textId="44C9A18A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7.418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2F0" w14:textId="6F6E00E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658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6EA0DE9B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F68D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hh_comp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Pensioners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32D9" w14:textId="53913DC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-0.518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8E71" w14:textId="3EC9B21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632" w14:textId="42780B9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-6.088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B180" w14:textId="4016586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694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7AA66473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BE8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hh_comp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Multi-unit</w:t>
            </w:r>
            <w:proofErr w:type="gram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household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56D4" w14:textId="7E3D742A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ACB" w14:textId="5860257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CE66" w14:textId="5C19BF0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8.587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440" w14:textId="33A529EC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02E2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</w:tr>
      <w:tr w:rsidR="009F47CC" w:rsidRPr="009F47CC" w14:paraId="2207D4D5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380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housing_type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Local authority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BEE" w14:textId="334DACE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88D" w14:textId="01372406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0D0" w14:textId="7921DDE9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-0.165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25D" w14:textId="13DDA28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BB8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07247E38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1B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housing_type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Housing association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3A0" w14:textId="5F9950D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002D" w14:textId="0DF5834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A06" w14:textId="0751626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-2.279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38E" w14:textId="43B9A5B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4D3A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9F47CC" w:rsidRPr="009F47CC" w14:paraId="3182501B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DD26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housing_type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Private rented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421" w14:textId="6992C74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7BE" w14:textId="51BCCFD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EE0" w14:textId="45465F4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-2.033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2D3" w14:textId="4FC0B5D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E69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9F47CC" w:rsidRPr="009F47CC" w14:paraId="19716ADB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ED1A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housing_type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Owned/mortgaged/outright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01B8" w14:textId="00DBA169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2AD" w14:textId="1CA653E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0BB" w14:textId="642A53DA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D29" w14:textId="0F3D86C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C5B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0B7E57E5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516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housing_type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Rent free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94F" w14:textId="51D76C13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6C8" w14:textId="264DF382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181" w14:textId="297549F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1.887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C9A" w14:textId="27D42B5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884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47CC" w:rsidRPr="009F47CC" w14:paraId="61D4A940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88E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employment_status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Employed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813" w14:textId="673C4B25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-0.094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9D5" w14:textId="38062FF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5DE3" w14:textId="5EAA752C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-1.255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A87" w14:textId="4CDD077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EAB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3A55F90D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201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employment_status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Unemployed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D77" w14:textId="23268F5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48C" w14:textId="7764DEAF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24A" w14:textId="1F04D491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-0.367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C25" w14:textId="2A2014E0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A6C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5551660A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D12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employment_status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Inactive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ABF" w14:textId="0BE76CBE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580" w14:textId="5F292FD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73F" w14:textId="76AD2C38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B1F" w14:textId="769AD5FD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B8EE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7CD4BC9D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6D5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employment_status</w:t>
            </w:r>
            <w:proofErr w:type="spellEnd"/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Not recorded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41E" w14:textId="62838749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EB76" w14:textId="28321604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0288" w14:textId="6147DFCC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E34" w14:textId="3F20A3FB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BF4C4E">
              <w:rPr>
                <w:rFonts w:ascii="Aptos Narrow" w:hAnsi="Aptos Narrow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FB6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F47CC" w:rsidRPr="009F47CC" w14:paraId="7C44247C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A6D8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86D5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7578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3923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C491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A1C7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7CC" w:rsidRPr="009F47CC" w14:paraId="696D29F6" w14:textId="77777777" w:rsidTr="00BF4C4E">
        <w:trPr>
          <w:trHeight w:val="2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70A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Null deviance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4D59" w14:textId="7777777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9457.5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CB2" w14:textId="7777777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6894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CD49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22FD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7CC" w:rsidRPr="009F47CC" w14:paraId="170CF8A0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AB58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Residual deviance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14CD" w14:textId="7777777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5922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E167" w14:textId="7777777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998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1982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492B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7CC" w:rsidRPr="009F47CC" w14:paraId="77388005" w14:textId="77777777" w:rsidTr="00BF4C4E">
        <w:trPr>
          <w:trHeight w:val="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B4B" w14:textId="77777777" w:rsidR="009F47CC" w:rsidRPr="009F47CC" w:rsidRDefault="009F47CC" w:rsidP="009F47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n-US"/>
              </w:rPr>
              <w:t>AIC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CCA" w14:textId="7777777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  <w:r w:rsidRPr="009F47C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  <w:t>5986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47A" w14:textId="77777777" w:rsidR="009F47CC" w:rsidRPr="009F47CC" w:rsidRDefault="009F47CC" w:rsidP="009F47C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3704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777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D977" w14:textId="77777777" w:rsidR="009F47CC" w:rsidRPr="009F47CC" w:rsidRDefault="009F47CC" w:rsidP="009F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39963AC" w14:textId="77777777" w:rsidR="009F47CC" w:rsidRDefault="009F47CC" w:rsidP="00C93A6E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0495DBBA" w14:textId="745402CC" w:rsidR="00BF4C4E" w:rsidRDefault="00BF4C4E" w:rsidP="00C93A6E">
      <w:pPr>
        <w:pStyle w:val="NoSpacing"/>
        <w:rPr>
          <w:rFonts w:ascii="Arial" w:hAnsi="Arial" w:cs="Arial"/>
          <w:sz w:val="24"/>
          <w:szCs w:val="24"/>
          <w:highlight w:val="yellow"/>
        </w:rPr>
        <w:sectPr w:rsidR="00BF4C4E" w:rsidSect="009F47CC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14:paraId="5CB19844" w14:textId="7C8E8644" w:rsidR="00FA3586" w:rsidRPr="002E40EB" w:rsidRDefault="00FA3586" w:rsidP="00C93A6E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sectPr w:rsidR="00FA3586" w:rsidRPr="002E40EB" w:rsidSect="00211D84">
      <w:pgSz w:w="16838" w:h="11906" w:orient="landscape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1B53" w14:textId="77777777" w:rsidR="009845A9" w:rsidRDefault="009845A9" w:rsidP="00843154">
      <w:pPr>
        <w:spacing w:after="0" w:line="240" w:lineRule="auto"/>
      </w:pPr>
      <w:r>
        <w:separator/>
      </w:r>
    </w:p>
  </w:endnote>
  <w:endnote w:type="continuationSeparator" w:id="0">
    <w:p w14:paraId="5AA6A21C" w14:textId="77777777" w:rsidR="009845A9" w:rsidRDefault="009845A9" w:rsidP="00843154">
      <w:pPr>
        <w:spacing w:after="0" w:line="240" w:lineRule="auto"/>
      </w:pPr>
      <w:r>
        <w:continuationSeparator/>
      </w:r>
    </w:p>
  </w:endnote>
  <w:endnote w:type="continuationNotice" w:id="1">
    <w:p w14:paraId="080E576C" w14:textId="77777777" w:rsidR="009845A9" w:rsidRDefault="00984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719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5F01E" w14:textId="184CEC89" w:rsidR="00B249D1" w:rsidRDefault="00B249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DA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0969CA" w14:textId="77777777" w:rsidR="00B249D1" w:rsidRDefault="00B2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DAE3" w14:textId="77777777" w:rsidR="009845A9" w:rsidRDefault="009845A9" w:rsidP="00843154">
      <w:pPr>
        <w:spacing w:after="0" w:line="240" w:lineRule="auto"/>
      </w:pPr>
      <w:r>
        <w:separator/>
      </w:r>
    </w:p>
  </w:footnote>
  <w:footnote w:type="continuationSeparator" w:id="0">
    <w:p w14:paraId="4921DFFA" w14:textId="77777777" w:rsidR="009845A9" w:rsidRDefault="009845A9" w:rsidP="00843154">
      <w:pPr>
        <w:spacing w:after="0" w:line="240" w:lineRule="auto"/>
      </w:pPr>
      <w:r>
        <w:continuationSeparator/>
      </w:r>
    </w:p>
  </w:footnote>
  <w:footnote w:type="continuationNotice" w:id="1">
    <w:p w14:paraId="402CA73A" w14:textId="77777777" w:rsidR="009845A9" w:rsidRDefault="009845A9">
      <w:pPr>
        <w:spacing w:after="0" w:line="240" w:lineRule="auto"/>
      </w:pPr>
    </w:p>
  </w:footnote>
  <w:footnote w:id="2">
    <w:p w14:paraId="1E5049DB" w14:textId="336BB5A6" w:rsidR="002C0155" w:rsidRPr="009B31FF" w:rsidRDefault="002C0155">
      <w:pPr>
        <w:pStyle w:val="FootnoteText"/>
        <w:rPr>
          <w:rFonts w:ascii="Times New Roman" w:hAnsi="Times New Roman" w:cs="Times New Roman"/>
        </w:rPr>
      </w:pPr>
      <w:r w:rsidRPr="009B31FF">
        <w:rPr>
          <w:rStyle w:val="FootnoteReference"/>
          <w:rFonts w:ascii="Times New Roman" w:hAnsi="Times New Roman" w:cs="Times New Roman"/>
        </w:rPr>
        <w:footnoteRef/>
      </w:r>
      <w:r w:rsidRPr="009B31FF">
        <w:rPr>
          <w:rFonts w:ascii="Times New Roman" w:hAnsi="Times New Roman" w:cs="Times New Roman"/>
        </w:rPr>
        <w:t xml:space="preserve"> </w:t>
      </w:r>
      <w:r w:rsidR="00743E67" w:rsidRPr="009B31FF">
        <w:rPr>
          <w:rFonts w:ascii="Times New Roman" w:hAnsi="Times New Roman" w:cs="Times New Roman"/>
        </w:rPr>
        <w:t>T</w:t>
      </w:r>
      <w:r w:rsidR="00B1605C" w:rsidRPr="009B31FF">
        <w:rPr>
          <w:rFonts w:ascii="Times New Roman" w:hAnsi="Times New Roman" w:cs="Times New Roman"/>
        </w:rPr>
        <w:t xml:space="preserve">his </w:t>
      </w:r>
      <w:r w:rsidR="00743E67" w:rsidRPr="009B31FF">
        <w:rPr>
          <w:rFonts w:ascii="Times New Roman" w:hAnsi="Times New Roman" w:cs="Times New Roman"/>
        </w:rPr>
        <w:t xml:space="preserve">analysis </w:t>
      </w:r>
      <w:r w:rsidR="00B1605C" w:rsidRPr="009B31FF">
        <w:rPr>
          <w:rFonts w:ascii="Times New Roman" w:hAnsi="Times New Roman" w:cs="Times New Roman"/>
        </w:rPr>
        <w:t>was funded by Research England Policy Support Fund, distributed by The York Policy Engine</w:t>
      </w:r>
      <w:r w:rsidR="004A2630">
        <w:rPr>
          <w:rFonts w:ascii="Times New Roman" w:hAnsi="Times New Roman" w:cs="Times New Roman"/>
        </w:rPr>
        <w:t>. It is dedicate</w:t>
      </w:r>
      <w:r w:rsidR="00C842F8">
        <w:rPr>
          <w:rFonts w:ascii="Times New Roman" w:hAnsi="Times New Roman" w:cs="Times New Roman"/>
        </w:rPr>
        <w:t>d</w:t>
      </w:r>
      <w:r w:rsidR="004A2630">
        <w:rPr>
          <w:rFonts w:ascii="Times New Roman" w:hAnsi="Times New Roman" w:cs="Times New Roman"/>
        </w:rPr>
        <w:t xml:space="preserve"> to </w:t>
      </w:r>
      <w:r w:rsidR="00F2438F">
        <w:rPr>
          <w:rFonts w:ascii="Times New Roman" w:hAnsi="Times New Roman" w:cs="Times New Roman"/>
        </w:rPr>
        <w:t xml:space="preserve">our memories </w:t>
      </w:r>
      <w:r w:rsidR="00F77545">
        <w:rPr>
          <w:rFonts w:ascii="Times New Roman" w:hAnsi="Times New Roman" w:cs="Times New Roman"/>
        </w:rPr>
        <w:t xml:space="preserve">of </w:t>
      </w:r>
      <w:r w:rsidR="004A2630">
        <w:rPr>
          <w:rFonts w:ascii="Times New Roman" w:hAnsi="Times New Roman" w:cs="Times New Roman"/>
        </w:rPr>
        <w:t>Dr Antonia Keung</w:t>
      </w:r>
      <w:r w:rsidR="00C842F8">
        <w:rPr>
          <w:rFonts w:ascii="Times New Roman" w:hAnsi="Times New Roman" w:cs="Times New Roman"/>
        </w:rPr>
        <w:t xml:space="preserve"> who undertook most of</w:t>
      </w:r>
      <w:r w:rsidR="0068071E">
        <w:rPr>
          <w:rFonts w:ascii="Times New Roman" w:hAnsi="Times New Roman" w:cs="Times New Roman"/>
        </w:rPr>
        <w:t xml:space="preserve"> our work on fuel poverty before she died </w:t>
      </w:r>
      <w:r w:rsidR="00852284">
        <w:rPr>
          <w:rFonts w:ascii="Times New Roman" w:hAnsi="Times New Roman" w:cs="Times New Roman"/>
        </w:rPr>
        <w:t>tra</w:t>
      </w:r>
      <w:r w:rsidR="00F2438F">
        <w:rPr>
          <w:rFonts w:ascii="Times New Roman" w:hAnsi="Times New Roman" w:cs="Times New Roman"/>
        </w:rPr>
        <w:t>g</w:t>
      </w:r>
      <w:r w:rsidR="00852284">
        <w:rPr>
          <w:rFonts w:ascii="Times New Roman" w:hAnsi="Times New Roman" w:cs="Times New Roman"/>
        </w:rPr>
        <w:t xml:space="preserve">ically in </w:t>
      </w:r>
      <w:r w:rsidR="00F2438F">
        <w:rPr>
          <w:rFonts w:ascii="Times New Roman" w:hAnsi="Times New Roman" w:cs="Times New Roman"/>
        </w:rPr>
        <w:t>2024</w:t>
      </w:r>
    </w:p>
  </w:footnote>
  <w:footnote w:id="3">
    <w:p w14:paraId="3D3B4615" w14:textId="121CBA16" w:rsidR="0073453C" w:rsidRPr="009B31FF" w:rsidRDefault="0073453C">
      <w:pPr>
        <w:pStyle w:val="FootnoteText"/>
        <w:rPr>
          <w:rFonts w:ascii="Times New Roman" w:hAnsi="Times New Roman" w:cs="Times New Roman"/>
        </w:rPr>
      </w:pPr>
      <w:r w:rsidRPr="009B31FF">
        <w:rPr>
          <w:rStyle w:val="FootnoteReference"/>
          <w:rFonts w:ascii="Times New Roman" w:hAnsi="Times New Roman" w:cs="Times New Roman"/>
        </w:rPr>
        <w:footnoteRef/>
      </w:r>
      <w:r w:rsidRPr="009B31FF">
        <w:rPr>
          <w:rFonts w:ascii="Times New Roman" w:hAnsi="Times New Roman" w:cs="Times New Roman"/>
        </w:rPr>
        <w:t xml:space="preserve"> </w:t>
      </w:r>
      <w:r w:rsidR="00301648" w:rsidRPr="009B31FF">
        <w:rPr>
          <w:rFonts w:ascii="Times New Roman" w:hAnsi="Times New Roman" w:cs="Times New Roman"/>
        </w:rPr>
        <w:t>D</w:t>
      </w:r>
      <w:r w:rsidR="00EE4382" w:rsidRPr="009B31FF">
        <w:rPr>
          <w:rFonts w:ascii="Times New Roman" w:hAnsi="Times New Roman" w:cs="Times New Roman"/>
        </w:rPr>
        <w:t>ata scientist, The Learning for Well-being Institute</w:t>
      </w:r>
    </w:p>
  </w:footnote>
  <w:footnote w:id="4">
    <w:p w14:paraId="376A9A84" w14:textId="3C184180" w:rsidR="006D480A" w:rsidRPr="009B31FF" w:rsidRDefault="006D480A">
      <w:pPr>
        <w:pStyle w:val="FootnoteText"/>
        <w:rPr>
          <w:rFonts w:ascii="Times New Roman" w:hAnsi="Times New Roman" w:cs="Times New Roman"/>
        </w:rPr>
      </w:pPr>
      <w:r w:rsidRPr="009B31FF">
        <w:rPr>
          <w:rStyle w:val="FootnoteReference"/>
          <w:rFonts w:ascii="Times New Roman" w:hAnsi="Times New Roman" w:cs="Times New Roman"/>
        </w:rPr>
        <w:footnoteRef/>
      </w:r>
      <w:r w:rsidRPr="009B31FF">
        <w:rPr>
          <w:rFonts w:ascii="Times New Roman" w:hAnsi="Times New Roman" w:cs="Times New Roman"/>
        </w:rPr>
        <w:t xml:space="preserve"> </w:t>
      </w:r>
      <w:r w:rsidR="00301648" w:rsidRPr="009B31FF">
        <w:rPr>
          <w:rFonts w:ascii="Times New Roman" w:hAnsi="Times New Roman" w:cs="Times New Roman"/>
        </w:rPr>
        <w:t>E</w:t>
      </w:r>
      <w:r w:rsidR="00D56D7A" w:rsidRPr="009B31FF">
        <w:rPr>
          <w:rFonts w:ascii="Times New Roman" w:hAnsi="Times New Roman" w:cs="Times New Roman"/>
        </w:rPr>
        <w:t xml:space="preserve">meritus </w:t>
      </w:r>
      <w:r w:rsidR="007A4D4A" w:rsidRPr="009B31FF">
        <w:rPr>
          <w:rFonts w:ascii="Times New Roman" w:hAnsi="Times New Roman" w:cs="Times New Roman"/>
        </w:rPr>
        <w:t>P</w:t>
      </w:r>
      <w:r w:rsidR="00D56D7A" w:rsidRPr="009B31FF">
        <w:rPr>
          <w:rFonts w:ascii="Times New Roman" w:hAnsi="Times New Roman" w:cs="Times New Roman"/>
        </w:rPr>
        <w:t>rofessor, University of York</w:t>
      </w:r>
    </w:p>
  </w:footnote>
  <w:footnote w:id="5">
    <w:p w14:paraId="5DDBC2B6" w14:textId="4C2330B7" w:rsidR="006D480A" w:rsidRPr="009B31FF" w:rsidRDefault="006D480A">
      <w:pPr>
        <w:pStyle w:val="FootnoteText"/>
        <w:rPr>
          <w:rFonts w:ascii="Times New Roman" w:hAnsi="Times New Roman" w:cs="Times New Roman"/>
        </w:rPr>
      </w:pPr>
      <w:r w:rsidRPr="009B31FF">
        <w:rPr>
          <w:rStyle w:val="FootnoteReference"/>
          <w:rFonts w:ascii="Times New Roman" w:hAnsi="Times New Roman" w:cs="Times New Roman"/>
        </w:rPr>
        <w:footnoteRef/>
      </w:r>
      <w:r w:rsidRPr="009B31FF">
        <w:rPr>
          <w:rFonts w:ascii="Times New Roman" w:hAnsi="Times New Roman" w:cs="Times New Roman"/>
        </w:rPr>
        <w:t xml:space="preserve"> </w:t>
      </w:r>
      <w:r w:rsidR="00301648" w:rsidRPr="009B31FF">
        <w:rPr>
          <w:rFonts w:ascii="Times New Roman" w:hAnsi="Times New Roman" w:cs="Times New Roman"/>
        </w:rPr>
        <w:t>M</w:t>
      </w:r>
      <w:r w:rsidR="002C0155" w:rsidRPr="009B31FF">
        <w:rPr>
          <w:rFonts w:ascii="Times New Roman" w:hAnsi="Times New Roman" w:cs="Times New Roman"/>
        </w:rPr>
        <w:t xml:space="preserve">anaging </w:t>
      </w:r>
      <w:r w:rsidR="007A2F4D">
        <w:rPr>
          <w:rFonts w:ascii="Times New Roman" w:hAnsi="Times New Roman" w:cs="Times New Roman"/>
        </w:rPr>
        <w:t>D</w:t>
      </w:r>
      <w:r w:rsidR="002C0155" w:rsidRPr="009B31FF">
        <w:rPr>
          <w:rFonts w:ascii="Times New Roman" w:hAnsi="Times New Roman" w:cs="Times New Roman"/>
        </w:rPr>
        <w:t>irector, The Learning for Well-being Institute</w:t>
      </w:r>
    </w:p>
  </w:footnote>
  <w:footnote w:id="6">
    <w:p w14:paraId="7E96FE90" w14:textId="77777777" w:rsidR="00F33A05" w:rsidRPr="009B31FF" w:rsidRDefault="00F33A05" w:rsidP="00F33A05">
      <w:pPr>
        <w:pStyle w:val="FootnoteText"/>
        <w:rPr>
          <w:rFonts w:ascii="Times New Roman" w:hAnsi="Times New Roman" w:cs="Times New Roman"/>
        </w:rPr>
      </w:pPr>
      <w:r w:rsidRPr="009B31FF">
        <w:rPr>
          <w:rStyle w:val="FootnoteReference"/>
          <w:rFonts w:ascii="Times New Roman" w:hAnsi="Times New Roman" w:cs="Times New Roman"/>
        </w:rPr>
        <w:footnoteRef/>
      </w:r>
      <w:r w:rsidRPr="009B31FF">
        <w:rPr>
          <w:rFonts w:ascii="Times New Roman" w:hAnsi="Times New Roman" w:cs="Times New Roman"/>
        </w:rPr>
        <w:t xml:space="preserve"> </w:t>
      </w:r>
      <w:hyperlink r:id="rId1" w:history="1">
        <w:r w:rsidRPr="009B31FF">
          <w:rPr>
            <w:rStyle w:val="Hyperlink"/>
            <w:rFonts w:ascii="Times New Roman" w:hAnsi="Times New Roman" w:cs="Times New Roman"/>
          </w:rPr>
          <w:t>https://cpag.org.uk/policy-and-campaigns/briefing/who-are-fuel-poor</w:t>
        </w:r>
      </w:hyperlink>
      <w:r w:rsidRPr="009B31FF">
        <w:rPr>
          <w:rFonts w:ascii="Times New Roman" w:hAnsi="Times New Roman" w:cs="Times New Roman"/>
        </w:rPr>
        <w:t xml:space="preserve"> </w:t>
      </w:r>
    </w:p>
  </w:footnote>
  <w:footnote w:id="7">
    <w:p w14:paraId="3127CC3C" w14:textId="74438414" w:rsidR="00FE7627" w:rsidRPr="00580B87" w:rsidRDefault="00FE7627" w:rsidP="00FE762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80B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80B87">
        <w:rPr>
          <w:rFonts w:ascii="Times New Roman" w:hAnsi="Times New Roman" w:cs="Times New Roman"/>
          <w:sz w:val="20"/>
          <w:szCs w:val="20"/>
        </w:rPr>
        <w:t xml:space="preserve"> J Bradshaw and A Keung, </w:t>
      </w:r>
      <w:hyperlink r:id="rId2" w:history="1">
        <w:r w:rsidRPr="00580B87">
          <w:rPr>
            <w:rStyle w:val="Hyperlink"/>
            <w:rFonts w:ascii="Times New Roman" w:hAnsi="Times New Roman" w:cs="Times New Roman"/>
            <w:i/>
            <w:iCs/>
            <w:color w:val="0563C1"/>
            <w:sz w:val="20"/>
            <w:szCs w:val="20"/>
          </w:rPr>
          <w:t>Is a social tariff for energy feasible and effective?</w:t>
        </w:r>
      </w:hyperlink>
      <w:r w:rsidRPr="00580B87">
        <w:rPr>
          <w:rFonts w:ascii="Times New Roman" w:hAnsi="Times New Roman" w:cs="Times New Roman"/>
          <w:sz w:val="20"/>
          <w:szCs w:val="20"/>
        </w:rPr>
        <w:t>, University of York, 2022</w:t>
      </w:r>
      <w:r w:rsidR="00336A2B">
        <w:rPr>
          <w:rFonts w:ascii="Times New Roman" w:hAnsi="Times New Roman" w:cs="Times New Roman"/>
          <w:sz w:val="20"/>
          <w:szCs w:val="20"/>
        </w:rPr>
        <w:t xml:space="preserve"> </w:t>
      </w:r>
      <w:r w:rsidR="00336A2B" w:rsidRPr="00336A2B">
        <w:rPr>
          <w:rFonts w:ascii="Times New Roman" w:hAnsi="Times New Roman" w:cs="Times New Roman"/>
          <w:sz w:val="20"/>
          <w:szCs w:val="20"/>
        </w:rPr>
        <w:t>https://cpag.org.uk/sites/default/files/2023-08/Exploring%20social%20tariffs%20for%20energy.pdf</w:t>
      </w:r>
    </w:p>
  </w:footnote>
  <w:footnote w:id="8">
    <w:p w14:paraId="57930D26" w14:textId="63720B7B" w:rsidR="00B249D1" w:rsidRPr="00580B87" w:rsidRDefault="00B249D1" w:rsidP="00E602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B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80B87">
        <w:rPr>
          <w:rFonts w:ascii="Times New Roman" w:hAnsi="Times New Roman" w:cs="Times New Roman"/>
          <w:sz w:val="20"/>
          <w:szCs w:val="20"/>
        </w:rPr>
        <w:t xml:space="preserve"> See </w:t>
      </w:r>
      <w:r w:rsidRPr="00580B87">
        <w:rPr>
          <w:rFonts w:ascii="Times New Roman" w:hAnsi="Times New Roman" w:cs="Times New Roman"/>
          <w:sz w:val="20"/>
          <w:szCs w:val="20"/>
          <w:shd w:val="clear" w:color="auto" w:fill="FFFFFF"/>
        </w:rPr>
        <w:t>J Bradshaw and A Keung,</w:t>
      </w:r>
      <w:r w:rsidRPr="00580B87">
        <w:rPr>
          <w:rFonts w:ascii="Times New Roman" w:hAnsi="Times New Roman" w:cs="Times New Roman"/>
          <w:sz w:val="20"/>
          <w:szCs w:val="20"/>
        </w:rPr>
        <w:t xml:space="preserve"> ‘</w:t>
      </w:r>
      <w:hyperlink r:id="rId3" w:history="1">
        <w:r w:rsidRPr="00580B87">
          <w:rPr>
            <w:rStyle w:val="Hyperlink"/>
            <w:rFonts w:ascii="Times New Roman" w:hAnsi="Times New Roman" w:cs="Times New Roman"/>
            <w:sz w:val="20"/>
            <w:szCs w:val="20"/>
          </w:rPr>
          <w:t>Rising fuel poverty</w:t>
        </w:r>
      </w:hyperlink>
      <w:r w:rsidRPr="00580B87">
        <w:rPr>
          <w:rFonts w:ascii="Times New Roman" w:hAnsi="Times New Roman" w:cs="Times New Roman"/>
          <w:sz w:val="20"/>
          <w:szCs w:val="20"/>
        </w:rPr>
        <w:t xml:space="preserve">’, </w:t>
      </w:r>
      <w:r w:rsidRPr="00580B87">
        <w:rPr>
          <w:rFonts w:ascii="Times New Roman" w:hAnsi="Times New Roman" w:cs="Times New Roman"/>
          <w:i/>
          <w:iCs/>
          <w:sz w:val="20"/>
          <w:szCs w:val="20"/>
        </w:rPr>
        <w:t xml:space="preserve">Poverty, </w:t>
      </w:r>
      <w:r w:rsidRPr="00580B87">
        <w:rPr>
          <w:rFonts w:ascii="Times New Roman" w:hAnsi="Times New Roman" w:cs="Times New Roman"/>
          <w:sz w:val="20"/>
          <w:szCs w:val="20"/>
        </w:rPr>
        <w:t xml:space="preserve">CPAG, 173, 2022, and </w:t>
      </w:r>
      <w:r w:rsidRPr="00580B87">
        <w:rPr>
          <w:rFonts w:ascii="Times New Roman" w:hAnsi="Times New Roman" w:cs="Times New Roman"/>
          <w:sz w:val="20"/>
          <w:szCs w:val="20"/>
          <w:shd w:val="clear" w:color="auto" w:fill="FFFFFF"/>
        </w:rPr>
        <w:t>A Keung and J Bradshaw, ‘</w:t>
      </w:r>
      <w:hyperlink r:id="rId4" w:history="1">
        <w:r w:rsidRPr="00580B87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Fuel poverty estimates for April 2023 following the Autumn Statement, including social security mitigations</w:t>
        </w:r>
      </w:hyperlink>
      <w:r w:rsidRPr="00580B87">
        <w:rPr>
          <w:rFonts w:ascii="Times New Roman" w:hAnsi="Times New Roman" w:cs="Times New Roman"/>
          <w:sz w:val="20"/>
          <w:szCs w:val="20"/>
          <w:shd w:val="clear" w:color="auto" w:fill="FFFFFF"/>
        </w:rPr>
        <w:t>’</w:t>
      </w:r>
      <w:r w:rsidRPr="00580B87">
        <w:rPr>
          <w:rFonts w:ascii="Times New Roman" w:hAnsi="Times New Roman" w:cs="Times New Roman"/>
          <w:sz w:val="20"/>
          <w:szCs w:val="20"/>
        </w:rPr>
        <w:t xml:space="preserve">, CPAG, 9 December 2022 </w:t>
      </w:r>
    </w:p>
  </w:footnote>
  <w:footnote w:id="9">
    <w:p w14:paraId="1A389F84" w14:textId="18EBC9C9" w:rsidR="00B249D1" w:rsidRPr="00580B87" w:rsidRDefault="00B249D1" w:rsidP="00876C5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80B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80B87">
        <w:rPr>
          <w:rFonts w:ascii="Times New Roman" w:hAnsi="Times New Roman" w:cs="Times New Roman"/>
          <w:sz w:val="20"/>
          <w:szCs w:val="20"/>
        </w:rPr>
        <w:t xml:space="preserve"> J Bradshaw and A Keung, </w:t>
      </w:r>
      <w:hyperlink r:id="rId5" w:history="1">
        <w:r w:rsidRPr="00580B87">
          <w:rPr>
            <w:rStyle w:val="Hyperlink"/>
            <w:rFonts w:ascii="Times New Roman" w:hAnsi="Times New Roman" w:cs="Times New Roman"/>
            <w:i/>
            <w:iCs/>
            <w:color w:val="0563C1"/>
            <w:sz w:val="20"/>
            <w:szCs w:val="20"/>
          </w:rPr>
          <w:t>Is a social tariff for energy feasible and effective?</w:t>
        </w:r>
      </w:hyperlink>
      <w:r w:rsidRPr="00580B87">
        <w:rPr>
          <w:rFonts w:ascii="Times New Roman" w:hAnsi="Times New Roman" w:cs="Times New Roman"/>
          <w:sz w:val="20"/>
          <w:szCs w:val="20"/>
        </w:rPr>
        <w:t>, University of York, 2022</w:t>
      </w:r>
    </w:p>
  </w:footnote>
  <w:footnote w:id="10">
    <w:p w14:paraId="45013E77" w14:textId="2D4755E3" w:rsidR="00381810" w:rsidRPr="00580B87" w:rsidRDefault="00B44375" w:rsidP="00381810">
      <w:pPr>
        <w:pStyle w:val="NoSpacing"/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</w:pPr>
      <w:r w:rsidRPr="00580B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80B87">
        <w:rPr>
          <w:rFonts w:ascii="Times New Roman" w:hAnsi="Times New Roman" w:cs="Times New Roman"/>
          <w:sz w:val="20"/>
          <w:szCs w:val="20"/>
        </w:rPr>
        <w:t xml:space="preserve">  The official definition of fuel poverty</w:t>
      </w:r>
      <w:r w:rsidR="004A1919">
        <w:rPr>
          <w:rFonts w:ascii="Times New Roman" w:hAnsi="Times New Roman" w:cs="Times New Roman"/>
          <w:sz w:val="20"/>
          <w:szCs w:val="20"/>
        </w:rPr>
        <w:t>(</w:t>
      </w:r>
      <w:r w:rsidRPr="00580B87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4A1919" w:rsidRPr="00305695">
          <w:rPr>
            <w:rStyle w:val="Hyperlink"/>
            <w:rFonts w:ascii="Times New Roman" w:hAnsi="Times New Roman" w:cs="Times New Roman"/>
            <w:sz w:val="20"/>
            <w:szCs w:val="20"/>
          </w:rPr>
          <w:t>https://assets.publishing.service.gov.uk/media/67e51e2cbb6002588a90d5d5/annual-fuel-poverty-statistics-report-2025.pdf</w:t>
        </w:r>
      </w:hyperlink>
      <w:r w:rsidR="004A1919">
        <w:rPr>
          <w:rFonts w:ascii="Times New Roman" w:hAnsi="Times New Roman" w:cs="Times New Roman"/>
          <w:sz w:val="20"/>
          <w:szCs w:val="20"/>
        </w:rPr>
        <w:t xml:space="preserve">) </w:t>
      </w:r>
      <w:r w:rsidRPr="00580B87">
        <w:rPr>
          <w:rFonts w:ascii="Times New Roman" w:hAnsi="Times New Roman" w:cs="Times New Roman"/>
          <w:sz w:val="20"/>
          <w:szCs w:val="20"/>
        </w:rPr>
        <w:t>is based on the En</w:t>
      </w:r>
      <w:r w:rsidR="00D51E31" w:rsidRPr="00580B87">
        <w:rPr>
          <w:rFonts w:ascii="Times New Roman" w:hAnsi="Times New Roman" w:cs="Times New Roman"/>
          <w:sz w:val="20"/>
          <w:szCs w:val="20"/>
        </w:rPr>
        <w:t>glish House Conditions Survey</w:t>
      </w:r>
      <w:r w:rsidR="00A30FAD" w:rsidRPr="00580B87">
        <w:rPr>
          <w:rFonts w:ascii="Times New Roman" w:hAnsi="Times New Roman" w:cs="Times New Roman"/>
          <w:sz w:val="20"/>
          <w:szCs w:val="20"/>
        </w:rPr>
        <w:t xml:space="preserve"> and involves a dwelling thermal efficiency rating</w:t>
      </w:r>
      <w:r w:rsidR="007B0D52" w:rsidRPr="00580B87">
        <w:rPr>
          <w:rFonts w:ascii="Times New Roman" w:hAnsi="Times New Roman" w:cs="Times New Roman"/>
          <w:sz w:val="20"/>
          <w:szCs w:val="20"/>
        </w:rPr>
        <w:t>. We cannot replicate this and indeed have criticisms</w:t>
      </w:r>
      <w:r w:rsidR="00225189" w:rsidRPr="00580B87">
        <w:rPr>
          <w:rFonts w:ascii="Times New Roman" w:hAnsi="Times New Roman" w:cs="Times New Roman"/>
          <w:sz w:val="20"/>
          <w:szCs w:val="20"/>
        </w:rPr>
        <w:t xml:space="preserve"> of it (see </w:t>
      </w:r>
      <w:r w:rsidR="00381810" w:rsidRPr="00580B87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Bradshaw, JR 2024, 'New Fuel Poverty Statistics', </w:t>
      </w:r>
      <w:r w:rsidR="00381810" w:rsidRPr="00580B87">
        <w:rPr>
          <w:rStyle w:val="Emphasis"/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Blog fuel poverty statistics</w:t>
      </w:r>
      <w:r w:rsidR="00381810" w:rsidRPr="00580B87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, pp. 1. </w:t>
      </w:r>
      <w:hyperlink r:id="rId7" w:history="1">
        <w:r w:rsidR="00381810" w:rsidRPr="00580B87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https://www.york.ac.uk/policy-engine/cost-of-living/news-and-blogs/2024/blogfuelpovertystatisticsfor2024/</w:t>
        </w:r>
      </w:hyperlink>
      <w:r w:rsidR="00A614EA" w:rsidRPr="00580B87">
        <w:rPr>
          <w:rFonts w:ascii="Times New Roman" w:hAnsi="Times New Roman" w:cs="Times New Roman"/>
          <w:sz w:val="20"/>
          <w:szCs w:val="20"/>
        </w:rPr>
        <w:t>)</w:t>
      </w:r>
      <w:r w:rsidR="00B80603" w:rsidRPr="00580B87">
        <w:rPr>
          <w:rFonts w:ascii="Times New Roman" w:hAnsi="Times New Roman" w:cs="Times New Roman"/>
          <w:sz w:val="20"/>
          <w:szCs w:val="20"/>
        </w:rPr>
        <w:t xml:space="preserve">. The main criticism is that </w:t>
      </w:r>
      <w:r w:rsidR="00352BAE" w:rsidRPr="00580B87">
        <w:rPr>
          <w:rFonts w:ascii="Times New Roman" w:hAnsi="Times New Roman" w:cs="Times New Roman"/>
          <w:sz w:val="20"/>
          <w:szCs w:val="20"/>
        </w:rPr>
        <w:t>better insulated households are excluded from fuel poverty</w:t>
      </w:r>
      <w:r w:rsidR="00652E19">
        <w:rPr>
          <w:rFonts w:ascii="Times New Roman" w:hAnsi="Times New Roman" w:cs="Times New Roman"/>
          <w:sz w:val="20"/>
          <w:szCs w:val="20"/>
        </w:rPr>
        <w:t>,</w:t>
      </w:r>
      <w:r w:rsidR="00352BAE" w:rsidRPr="00580B87">
        <w:rPr>
          <w:rFonts w:ascii="Times New Roman" w:hAnsi="Times New Roman" w:cs="Times New Roman"/>
          <w:sz w:val="20"/>
          <w:szCs w:val="20"/>
        </w:rPr>
        <w:t xml:space="preserve"> despite the </w:t>
      </w:r>
      <w:r w:rsidR="00560613" w:rsidRPr="00580B87">
        <w:rPr>
          <w:rFonts w:ascii="Times New Roman" w:hAnsi="Times New Roman" w:cs="Times New Roman"/>
          <w:sz w:val="20"/>
          <w:szCs w:val="20"/>
        </w:rPr>
        <w:t xml:space="preserve">fact that are </w:t>
      </w:r>
      <w:r w:rsidR="00F47B58">
        <w:rPr>
          <w:rFonts w:ascii="Times New Roman" w:hAnsi="Times New Roman" w:cs="Times New Roman"/>
          <w:sz w:val="20"/>
          <w:szCs w:val="20"/>
        </w:rPr>
        <w:t>often</w:t>
      </w:r>
      <w:r w:rsidR="00560613" w:rsidRPr="00580B87">
        <w:rPr>
          <w:rFonts w:ascii="Times New Roman" w:hAnsi="Times New Roman" w:cs="Times New Roman"/>
          <w:sz w:val="20"/>
          <w:szCs w:val="20"/>
        </w:rPr>
        <w:t xml:space="preserve"> very poor households </w:t>
      </w:r>
      <w:r w:rsidR="000D5177">
        <w:rPr>
          <w:rFonts w:ascii="Times New Roman" w:hAnsi="Times New Roman" w:cs="Times New Roman"/>
          <w:sz w:val="20"/>
          <w:szCs w:val="20"/>
        </w:rPr>
        <w:t>li</w:t>
      </w:r>
      <w:r w:rsidR="00560613" w:rsidRPr="00580B87">
        <w:rPr>
          <w:rFonts w:ascii="Times New Roman" w:hAnsi="Times New Roman" w:cs="Times New Roman"/>
          <w:sz w:val="20"/>
          <w:szCs w:val="20"/>
        </w:rPr>
        <w:t>ving in social housing</w:t>
      </w:r>
      <w:r w:rsidR="000D5177">
        <w:rPr>
          <w:rFonts w:ascii="Times New Roman" w:hAnsi="Times New Roman" w:cs="Times New Roman"/>
          <w:sz w:val="20"/>
          <w:szCs w:val="20"/>
        </w:rPr>
        <w:t xml:space="preserve"> and spending more than 10</w:t>
      </w:r>
      <w:r w:rsidR="00C50D55">
        <w:rPr>
          <w:rFonts w:ascii="Times New Roman" w:hAnsi="Times New Roman" w:cs="Times New Roman"/>
          <w:sz w:val="20"/>
          <w:szCs w:val="20"/>
        </w:rPr>
        <w:t xml:space="preserve"> </w:t>
      </w:r>
      <w:r w:rsidR="00F47B58">
        <w:rPr>
          <w:rFonts w:ascii="Times New Roman" w:hAnsi="Times New Roman" w:cs="Times New Roman"/>
          <w:sz w:val="20"/>
          <w:szCs w:val="20"/>
        </w:rPr>
        <w:t>or 20 percent of net income on fuel</w:t>
      </w:r>
      <w:r w:rsidR="00560613" w:rsidRPr="00580B87">
        <w:rPr>
          <w:rFonts w:ascii="Times New Roman" w:hAnsi="Times New Roman" w:cs="Times New Roman"/>
          <w:sz w:val="20"/>
          <w:szCs w:val="20"/>
        </w:rPr>
        <w:t>.</w:t>
      </w:r>
    </w:p>
    <w:p w14:paraId="2704D427" w14:textId="5BC647BA" w:rsidR="00B44375" w:rsidRDefault="00B4437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892"/>
    <w:multiLevelType w:val="hybridMultilevel"/>
    <w:tmpl w:val="5280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6D45"/>
    <w:multiLevelType w:val="hybridMultilevel"/>
    <w:tmpl w:val="5F3CD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67862">
    <w:abstractNumId w:val="0"/>
  </w:num>
  <w:num w:numId="2" w16cid:durableId="35477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15"/>
    <w:rsid w:val="0000174C"/>
    <w:rsid w:val="00002319"/>
    <w:rsid w:val="00006179"/>
    <w:rsid w:val="00007A7A"/>
    <w:rsid w:val="00012463"/>
    <w:rsid w:val="000141DB"/>
    <w:rsid w:val="00014282"/>
    <w:rsid w:val="000146F8"/>
    <w:rsid w:val="00016354"/>
    <w:rsid w:val="00017495"/>
    <w:rsid w:val="000256B7"/>
    <w:rsid w:val="00026427"/>
    <w:rsid w:val="00027AC3"/>
    <w:rsid w:val="00031605"/>
    <w:rsid w:val="00032737"/>
    <w:rsid w:val="00033797"/>
    <w:rsid w:val="00037D86"/>
    <w:rsid w:val="00040633"/>
    <w:rsid w:val="00051BB8"/>
    <w:rsid w:val="000529C3"/>
    <w:rsid w:val="00054EA2"/>
    <w:rsid w:val="0005693F"/>
    <w:rsid w:val="00057558"/>
    <w:rsid w:val="000577C8"/>
    <w:rsid w:val="00064089"/>
    <w:rsid w:val="0007153F"/>
    <w:rsid w:val="00071F7D"/>
    <w:rsid w:val="00075CF1"/>
    <w:rsid w:val="00082606"/>
    <w:rsid w:val="0008410A"/>
    <w:rsid w:val="000853BB"/>
    <w:rsid w:val="00086537"/>
    <w:rsid w:val="0009047A"/>
    <w:rsid w:val="000A389F"/>
    <w:rsid w:val="000B2592"/>
    <w:rsid w:val="000B2C5C"/>
    <w:rsid w:val="000C2276"/>
    <w:rsid w:val="000C4B3D"/>
    <w:rsid w:val="000C4F3F"/>
    <w:rsid w:val="000C6BEE"/>
    <w:rsid w:val="000D0EC1"/>
    <w:rsid w:val="000D30C4"/>
    <w:rsid w:val="000D5177"/>
    <w:rsid w:val="000D5FB4"/>
    <w:rsid w:val="000D609B"/>
    <w:rsid w:val="000D6A07"/>
    <w:rsid w:val="000D72F2"/>
    <w:rsid w:val="000E0425"/>
    <w:rsid w:val="000E1384"/>
    <w:rsid w:val="000E5C4E"/>
    <w:rsid w:val="000E61FB"/>
    <w:rsid w:val="000E7596"/>
    <w:rsid w:val="000F3F75"/>
    <w:rsid w:val="00104F6E"/>
    <w:rsid w:val="0010548D"/>
    <w:rsid w:val="00114310"/>
    <w:rsid w:val="00114F15"/>
    <w:rsid w:val="00117038"/>
    <w:rsid w:val="001244BF"/>
    <w:rsid w:val="00126BF1"/>
    <w:rsid w:val="00126C90"/>
    <w:rsid w:val="001271AE"/>
    <w:rsid w:val="0012730B"/>
    <w:rsid w:val="00131E3B"/>
    <w:rsid w:val="00132DDB"/>
    <w:rsid w:val="00133D81"/>
    <w:rsid w:val="00137BE1"/>
    <w:rsid w:val="00141805"/>
    <w:rsid w:val="001418A2"/>
    <w:rsid w:val="00143BC0"/>
    <w:rsid w:val="00145547"/>
    <w:rsid w:val="0014571C"/>
    <w:rsid w:val="00147B94"/>
    <w:rsid w:val="00147CA3"/>
    <w:rsid w:val="00154A42"/>
    <w:rsid w:val="0015567E"/>
    <w:rsid w:val="00156BBB"/>
    <w:rsid w:val="00157C39"/>
    <w:rsid w:val="00164D8F"/>
    <w:rsid w:val="0017069E"/>
    <w:rsid w:val="001742CF"/>
    <w:rsid w:val="001745C7"/>
    <w:rsid w:val="00174A3A"/>
    <w:rsid w:val="001764BA"/>
    <w:rsid w:val="00183677"/>
    <w:rsid w:val="00192126"/>
    <w:rsid w:val="00193B89"/>
    <w:rsid w:val="001944DD"/>
    <w:rsid w:val="00194867"/>
    <w:rsid w:val="001A2109"/>
    <w:rsid w:val="001A2CA6"/>
    <w:rsid w:val="001A41E0"/>
    <w:rsid w:val="001B3722"/>
    <w:rsid w:val="001C0267"/>
    <w:rsid w:val="001C5FF5"/>
    <w:rsid w:val="001C715C"/>
    <w:rsid w:val="001C7C64"/>
    <w:rsid w:val="001D71C5"/>
    <w:rsid w:val="001E0E0D"/>
    <w:rsid w:val="001E34EB"/>
    <w:rsid w:val="001E749E"/>
    <w:rsid w:val="001E7890"/>
    <w:rsid w:val="001F03D2"/>
    <w:rsid w:val="001F1301"/>
    <w:rsid w:val="001F13F1"/>
    <w:rsid w:val="001F3DCD"/>
    <w:rsid w:val="001F4232"/>
    <w:rsid w:val="001F651A"/>
    <w:rsid w:val="001F6CE2"/>
    <w:rsid w:val="00200AAB"/>
    <w:rsid w:val="002026F7"/>
    <w:rsid w:val="00206C9F"/>
    <w:rsid w:val="00206DAF"/>
    <w:rsid w:val="00211D84"/>
    <w:rsid w:val="00212FD4"/>
    <w:rsid w:val="00215184"/>
    <w:rsid w:val="00221CEE"/>
    <w:rsid w:val="00222FB6"/>
    <w:rsid w:val="00222FED"/>
    <w:rsid w:val="0022382F"/>
    <w:rsid w:val="00225189"/>
    <w:rsid w:val="0022578D"/>
    <w:rsid w:val="00225922"/>
    <w:rsid w:val="002260B3"/>
    <w:rsid w:val="002271BA"/>
    <w:rsid w:val="0023009A"/>
    <w:rsid w:val="002329D3"/>
    <w:rsid w:val="0023775E"/>
    <w:rsid w:val="00242ED2"/>
    <w:rsid w:val="00244071"/>
    <w:rsid w:val="00246426"/>
    <w:rsid w:val="002530EA"/>
    <w:rsid w:val="00253D58"/>
    <w:rsid w:val="00256AD6"/>
    <w:rsid w:val="00260128"/>
    <w:rsid w:val="00270F2F"/>
    <w:rsid w:val="00271004"/>
    <w:rsid w:val="002716D4"/>
    <w:rsid w:val="00273766"/>
    <w:rsid w:val="002747B0"/>
    <w:rsid w:val="002756BE"/>
    <w:rsid w:val="002816BA"/>
    <w:rsid w:val="002860BE"/>
    <w:rsid w:val="00286174"/>
    <w:rsid w:val="00293981"/>
    <w:rsid w:val="00297DE3"/>
    <w:rsid w:val="002A0950"/>
    <w:rsid w:val="002A19DE"/>
    <w:rsid w:val="002A1A50"/>
    <w:rsid w:val="002A2959"/>
    <w:rsid w:val="002A77CB"/>
    <w:rsid w:val="002A7CF5"/>
    <w:rsid w:val="002B24B8"/>
    <w:rsid w:val="002B3C09"/>
    <w:rsid w:val="002B7CDB"/>
    <w:rsid w:val="002C0155"/>
    <w:rsid w:val="002C666B"/>
    <w:rsid w:val="002D15E5"/>
    <w:rsid w:val="002D28BC"/>
    <w:rsid w:val="002D5EB6"/>
    <w:rsid w:val="002D5FBE"/>
    <w:rsid w:val="002D7D52"/>
    <w:rsid w:val="002E0943"/>
    <w:rsid w:val="002E40EB"/>
    <w:rsid w:val="002E6C44"/>
    <w:rsid w:val="002F00FF"/>
    <w:rsid w:val="002F0274"/>
    <w:rsid w:val="002F0AC2"/>
    <w:rsid w:val="002F1970"/>
    <w:rsid w:val="002F41F5"/>
    <w:rsid w:val="002F6F85"/>
    <w:rsid w:val="00301648"/>
    <w:rsid w:val="00302518"/>
    <w:rsid w:val="00304BD1"/>
    <w:rsid w:val="00304C8E"/>
    <w:rsid w:val="003076B2"/>
    <w:rsid w:val="00307E6A"/>
    <w:rsid w:val="003111FF"/>
    <w:rsid w:val="00311E68"/>
    <w:rsid w:val="003129B9"/>
    <w:rsid w:val="0032101F"/>
    <w:rsid w:val="0032279B"/>
    <w:rsid w:val="0032412C"/>
    <w:rsid w:val="00332FA3"/>
    <w:rsid w:val="00336A2B"/>
    <w:rsid w:val="00336FD3"/>
    <w:rsid w:val="00340419"/>
    <w:rsid w:val="00346070"/>
    <w:rsid w:val="00346D85"/>
    <w:rsid w:val="00347C3B"/>
    <w:rsid w:val="0035170C"/>
    <w:rsid w:val="00352BAE"/>
    <w:rsid w:val="00356452"/>
    <w:rsid w:val="003603A6"/>
    <w:rsid w:val="003606DA"/>
    <w:rsid w:val="00364DF3"/>
    <w:rsid w:val="0037040C"/>
    <w:rsid w:val="003705D0"/>
    <w:rsid w:val="00380CD2"/>
    <w:rsid w:val="00381810"/>
    <w:rsid w:val="00382F09"/>
    <w:rsid w:val="003867B4"/>
    <w:rsid w:val="00392BD6"/>
    <w:rsid w:val="00396650"/>
    <w:rsid w:val="003A427E"/>
    <w:rsid w:val="003A521E"/>
    <w:rsid w:val="003A58B8"/>
    <w:rsid w:val="003A7737"/>
    <w:rsid w:val="003A7E1A"/>
    <w:rsid w:val="003B00EA"/>
    <w:rsid w:val="003B18CF"/>
    <w:rsid w:val="003B305E"/>
    <w:rsid w:val="003B3950"/>
    <w:rsid w:val="003C40A0"/>
    <w:rsid w:val="003C454A"/>
    <w:rsid w:val="003C4F97"/>
    <w:rsid w:val="003C66DE"/>
    <w:rsid w:val="003D07DB"/>
    <w:rsid w:val="003D0A6C"/>
    <w:rsid w:val="003D5190"/>
    <w:rsid w:val="003D55EE"/>
    <w:rsid w:val="003D65CB"/>
    <w:rsid w:val="003D65E8"/>
    <w:rsid w:val="003D6967"/>
    <w:rsid w:val="003D7136"/>
    <w:rsid w:val="003E2EBC"/>
    <w:rsid w:val="003E3166"/>
    <w:rsid w:val="003E39D8"/>
    <w:rsid w:val="003E477B"/>
    <w:rsid w:val="003F0982"/>
    <w:rsid w:val="003F19D1"/>
    <w:rsid w:val="003F1BB8"/>
    <w:rsid w:val="003F5AF1"/>
    <w:rsid w:val="00403305"/>
    <w:rsid w:val="00403873"/>
    <w:rsid w:val="00417AAA"/>
    <w:rsid w:val="00417B4F"/>
    <w:rsid w:val="0042011B"/>
    <w:rsid w:val="00437389"/>
    <w:rsid w:val="004544F3"/>
    <w:rsid w:val="00457D0E"/>
    <w:rsid w:val="004663F8"/>
    <w:rsid w:val="00471955"/>
    <w:rsid w:val="004719A3"/>
    <w:rsid w:val="004737AE"/>
    <w:rsid w:val="00473DD2"/>
    <w:rsid w:val="00481506"/>
    <w:rsid w:val="00490581"/>
    <w:rsid w:val="00491012"/>
    <w:rsid w:val="0049269B"/>
    <w:rsid w:val="004A1919"/>
    <w:rsid w:val="004A219B"/>
    <w:rsid w:val="004A22CC"/>
    <w:rsid w:val="004A2630"/>
    <w:rsid w:val="004B68FD"/>
    <w:rsid w:val="004C0AE3"/>
    <w:rsid w:val="004C1DB7"/>
    <w:rsid w:val="004C262B"/>
    <w:rsid w:val="004C3007"/>
    <w:rsid w:val="004D1A4D"/>
    <w:rsid w:val="004D2D9F"/>
    <w:rsid w:val="004D3D19"/>
    <w:rsid w:val="004D5B11"/>
    <w:rsid w:val="004D5B9F"/>
    <w:rsid w:val="004D5D5D"/>
    <w:rsid w:val="004D6A3F"/>
    <w:rsid w:val="004F07B6"/>
    <w:rsid w:val="004F3EF8"/>
    <w:rsid w:val="00503DEE"/>
    <w:rsid w:val="00511F06"/>
    <w:rsid w:val="0051323D"/>
    <w:rsid w:val="00517DA7"/>
    <w:rsid w:val="00521FAA"/>
    <w:rsid w:val="00524E45"/>
    <w:rsid w:val="00525DFA"/>
    <w:rsid w:val="00526FCD"/>
    <w:rsid w:val="0053195B"/>
    <w:rsid w:val="00533464"/>
    <w:rsid w:val="00540790"/>
    <w:rsid w:val="00541DEE"/>
    <w:rsid w:val="00543528"/>
    <w:rsid w:val="005438AE"/>
    <w:rsid w:val="00544755"/>
    <w:rsid w:val="0055048F"/>
    <w:rsid w:val="005556AF"/>
    <w:rsid w:val="00556F3F"/>
    <w:rsid w:val="0055717F"/>
    <w:rsid w:val="00560613"/>
    <w:rsid w:val="00562E3D"/>
    <w:rsid w:val="00565405"/>
    <w:rsid w:val="00566A7C"/>
    <w:rsid w:val="00576310"/>
    <w:rsid w:val="0057651F"/>
    <w:rsid w:val="00580B87"/>
    <w:rsid w:val="00580C6B"/>
    <w:rsid w:val="00580CD7"/>
    <w:rsid w:val="0058253E"/>
    <w:rsid w:val="0059228E"/>
    <w:rsid w:val="0059398A"/>
    <w:rsid w:val="0059405D"/>
    <w:rsid w:val="005975AC"/>
    <w:rsid w:val="005A4287"/>
    <w:rsid w:val="005A4E7F"/>
    <w:rsid w:val="005A6FCC"/>
    <w:rsid w:val="005A7113"/>
    <w:rsid w:val="005B3F1E"/>
    <w:rsid w:val="005C68FF"/>
    <w:rsid w:val="005C6F21"/>
    <w:rsid w:val="005D3C01"/>
    <w:rsid w:val="005D43FE"/>
    <w:rsid w:val="005E1DF6"/>
    <w:rsid w:val="005E335D"/>
    <w:rsid w:val="005E3876"/>
    <w:rsid w:val="005E45F1"/>
    <w:rsid w:val="005E5ADA"/>
    <w:rsid w:val="005F0845"/>
    <w:rsid w:val="0060224A"/>
    <w:rsid w:val="00604A12"/>
    <w:rsid w:val="00606359"/>
    <w:rsid w:val="0060655E"/>
    <w:rsid w:val="00626AB4"/>
    <w:rsid w:val="00633A00"/>
    <w:rsid w:val="0063592B"/>
    <w:rsid w:val="00636418"/>
    <w:rsid w:val="006416E4"/>
    <w:rsid w:val="00642E36"/>
    <w:rsid w:val="00647624"/>
    <w:rsid w:val="006478EA"/>
    <w:rsid w:val="006519F3"/>
    <w:rsid w:val="00651F48"/>
    <w:rsid w:val="00652E19"/>
    <w:rsid w:val="0065565F"/>
    <w:rsid w:val="00660D66"/>
    <w:rsid w:val="0066225B"/>
    <w:rsid w:val="00663F06"/>
    <w:rsid w:val="006653F8"/>
    <w:rsid w:val="006730E7"/>
    <w:rsid w:val="006737C1"/>
    <w:rsid w:val="0068071E"/>
    <w:rsid w:val="0069315D"/>
    <w:rsid w:val="006937B2"/>
    <w:rsid w:val="0069649E"/>
    <w:rsid w:val="00697159"/>
    <w:rsid w:val="00697A8F"/>
    <w:rsid w:val="006A136A"/>
    <w:rsid w:val="006A1A61"/>
    <w:rsid w:val="006A535D"/>
    <w:rsid w:val="006B037A"/>
    <w:rsid w:val="006B0BEE"/>
    <w:rsid w:val="006B38B4"/>
    <w:rsid w:val="006B4D5C"/>
    <w:rsid w:val="006B53CE"/>
    <w:rsid w:val="006C24C9"/>
    <w:rsid w:val="006C2552"/>
    <w:rsid w:val="006C5040"/>
    <w:rsid w:val="006C6B7E"/>
    <w:rsid w:val="006C7142"/>
    <w:rsid w:val="006C7385"/>
    <w:rsid w:val="006D480A"/>
    <w:rsid w:val="006D4B53"/>
    <w:rsid w:val="006D5FBF"/>
    <w:rsid w:val="006E4A15"/>
    <w:rsid w:val="006E635C"/>
    <w:rsid w:val="006E6606"/>
    <w:rsid w:val="006F1A45"/>
    <w:rsid w:val="006F27CF"/>
    <w:rsid w:val="006F4498"/>
    <w:rsid w:val="006F6EE1"/>
    <w:rsid w:val="00702347"/>
    <w:rsid w:val="00710FD7"/>
    <w:rsid w:val="007118EA"/>
    <w:rsid w:val="00711FCF"/>
    <w:rsid w:val="00712661"/>
    <w:rsid w:val="00714822"/>
    <w:rsid w:val="00720A84"/>
    <w:rsid w:val="00720F4E"/>
    <w:rsid w:val="00721F85"/>
    <w:rsid w:val="00726CF6"/>
    <w:rsid w:val="00732CDF"/>
    <w:rsid w:val="0073453C"/>
    <w:rsid w:val="0073454D"/>
    <w:rsid w:val="00741DB2"/>
    <w:rsid w:val="00743E67"/>
    <w:rsid w:val="0074471F"/>
    <w:rsid w:val="00751EE0"/>
    <w:rsid w:val="00753CE4"/>
    <w:rsid w:val="00755EEC"/>
    <w:rsid w:val="007616EE"/>
    <w:rsid w:val="00770D15"/>
    <w:rsid w:val="0077371B"/>
    <w:rsid w:val="00773BD9"/>
    <w:rsid w:val="00773EA5"/>
    <w:rsid w:val="007804D5"/>
    <w:rsid w:val="00781784"/>
    <w:rsid w:val="00784FB1"/>
    <w:rsid w:val="00791484"/>
    <w:rsid w:val="007915C1"/>
    <w:rsid w:val="007A2F4D"/>
    <w:rsid w:val="007A4D4A"/>
    <w:rsid w:val="007A7639"/>
    <w:rsid w:val="007B0D52"/>
    <w:rsid w:val="007B6A3A"/>
    <w:rsid w:val="007B6B4E"/>
    <w:rsid w:val="007C3EEE"/>
    <w:rsid w:val="007D1BF8"/>
    <w:rsid w:val="007D43D7"/>
    <w:rsid w:val="007D67A4"/>
    <w:rsid w:val="007E03EB"/>
    <w:rsid w:val="007E1DBE"/>
    <w:rsid w:val="007E28A6"/>
    <w:rsid w:val="007E37B1"/>
    <w:rsid w:val="007E3B76"/>
    <w:rsid w:val="007E3E28"/>
    <w:rsid w:val="007E40E7"/>
    <w:rsid w:val="007E6CB3"/>
    <w:rsid w:val="007F39BD"/>
    <w:rsid w:val="0080067A"/>
    <w:rsid w:val="00803F30"/>
    <w:rsid w:val="00804A2F"/>
    <w:rsid w:val="008061AD"/>
    <w:rsid w:val="00812186"/>
    <w:rsid w:val="00815145"/>
    <w:rsid w:val="00815D8D"/>
    <w:rsid w:val="0081678A"/>
    <w:rsid w:val="00822871"/>
    <w:rsid w:val="00824D7E"/>
    <w:rsid w:val="00826D93"/>
    <w:rsid w:val="00832995"/>
    <w:rsid w:val="00837BC8"/>
    <w:rsid w:val="00840080"/>
    <w:rsid w:val="00840441"/>
    <w:rsid w:val="00842842"/>
    <w:rsid w:val="00843154"/>
    <w:rsid w:val="00846CD0"/>
    <w:rsid w:val="0085132C"/>
    <w:rsid w:val="00852284"/>
    <w:rsid w:val="00852ECF"/>
    <w:rsid w:val="00854728"/>
    <w:rsid w:val="0086037D"/>
    <w:rsid w:val="00861301"/>
    <w:rsid w:val="00862706"/>
    <w:rsid w:val="0087074F"/>
    <w:rsid w:val="00870CC1"/>
    <w:rsid w:val="0087184B"/>
    <w:rsid w:val="00876A95"/>
    <w:rsid w:val="00876C5A"/>
    <w:rsid w:val="0087774B"/>
    <w:rsid w:val="0088065C"/>
    <w:rsid w:val="00885511"/>
    <w:rsid w:val="00885C02"/>
    <w:rsid w:val="0088669B"/>
    <w:rsid w:val="00895FD3"/>
    <w:rsid w:val="008A29BE"/>
    <w:rsid w:val="008A2B96"/>
    <w:rsid w:val="008A2CC3"/>
    <w:rsid w:val="008A33F6"/>
    <w:rsid w:val="008A7A35"/>
    <w:rsid w:val="008B4F94"/>
    <w:rsid w:val="008B51A5"/>
    <w:rsid w:val="008B6117"/>
    <w:rsid w:val="008C37AC"/>
    <w:rsid w:val="008C49BA"/>
    <w:rsid w:val="008C5940"/>
    <w:rsid w:val="008D0E92"/>
    <w:rsid w:val="008D4262"/>
    <w:rsid w:val="008D44D4"/>
    <w:rsid w:val="008E4743"/>
    <w:rsid w:val="008F3942"/>
    <w:rsid w:val="008F4495"/>
    <w:rsid w:val="00900A9B"/>
    <w:rsid w:val="00902F27"/>
    <w:rsid w:val="00904AB6"/>
    <w:rsid w:val="00904DF8"/>
    <w:rsid w:val="00910916"/>
    <w:rsid w:val="0091682C"/>
    <w:rsid w:val="0092135F"/>
    <w:rsid w:val="00923FBF"/>
    <w:rsid w:val="00926099"/>
    <w:rsid w:val="009277B1"/>
    <w:rsid w:val="00935501"/>
    <w:rsid w:val="00943537"/>
    <w:rsid w:val="00944EDE"/>
    <w:rsid w:val="0095495D"/>
    <w:rsid w:val="00955F17"/>
    <w:rsid w:val="00960AFA"/>
    <w:rsid w:val="009613D1"/>
    <w:rsid w:val="00962727"/>
    <w:rsid w:val="00964FAC"/>
    <w:rsid w:val="0097054F"/>
    <w:rsid w:val="00974847"/>
    <w:rsid w:val="009833D9"/>
    <w:rsid w:val="009845A9"/>
    <w:rsid w:val="00990E34"/>
    <w:rsid w:val="009932BB"/>
    <w:rsid w:val="00997D8C"/>
    <w:rsid w:val="009A4837"/>
    <w:rsid w:val="009A65B9"/>
    <w:rsid w:val="009A7A4C"/>
    <w:rsid w:val="009B0DA2"/>
    <w:rsid w:val="009B31FF"/>
    <w:rsid w:val="009C045E"/>
    <w:rsid w:val="009C1F02"/>
    <w:rsid w:val="009C7FC7"/>
    <w:rsid w:val="009D07B1"/>
    <w:rsid w:val="009D2098"/>
    <w:rsid w:val="009D41D9"/>
    <w:rsid w:val="009D4920"/>
    <w:rsid w:val="009D606A"/>
    <w:rsid w:val="009D682F"/>
    <w:rsid w:val="009D68CE"/>
    <w:rsid w:val="009E32FF"/>
    <w:rsid w:val="009E4DC0"/>
    <w:rsid w:val="009E7DFC"/>
    <w:rsid w:val="009F47CC"/>
    <w:rsid w:val="00A0448C"/>
    <w:rsid w:val="00A141D5"/>
    <w:rsid w:val="00A1577C"/>
    <w:rsid w:val="00A1606B"/>
    <w:rsid w:val="00A23F04"/>
    <w:rsid w:val="00A30FAD"/>
    <w:rsid w:val="00A3480C"/>
    <w:rsid w:val="00A40847"/>
    <w:rsid w:val="00A40E93"/>
    <w:rsid w:val="00A467C9"/>
    <w:rsid w:val="00A473A4"/>
    <w:rsid w:val="00A47FF7"/>
    <w:rsid w:val="00A542A3"/>
    <w:rsid w:val="00A546A0"/>
    <w:rsid w:val="00A55740"/>
    <w:rsid w:val="00A56949"/>
    <w:rsid w:val="00A614EA"/>
    <w:rsid w:val="00A66637"/>
    <w:rsid w:val="00A66DAF"/>
    <w:rsid w:val="00A70EC0"/>
    <w:rsid w:val="00A7708D"/>
    <w:rsid w:val="00A863DB"/>
    <w:rsid w:val="00A903FB"/>
    <w:rsid w:val="00A92559"/>
    <w:rsid w:val="00A92A26"/>
    <w:rsid w:val="00A94F14"/>
    <w:rsid w:val="00A959FF"/>
    <w:rsid w:val="00AA2543"/>
    <w:rsid w:val="00AA39B5"/>
    <w:rsid w:val="00AA3B8C"/>
    <w:rsid w:val="00AA42EA"/>
    <w:rsid w:val="00AA4EC6"/>
    <w:rsid w:val="00AA70B1"/>
    <w:rsid w:val="00AB0943"/>
    <w:rsid w:val="00AC36F4"/>
    <w:rsid w:val="00AC387A"/>
    <w:rsid w:val="00AC57D2"/>
    <w:rsid w:val="00AC6431"/>
    <w:rsid w:val="00AD1579"/>
    <w:rsid w:val="00AD2505"/>
    <w:rsid w:val="00AD262C"/>
    <w:rsid w:val="00AD26CA"/>
    <w:rsid w:val="00AE1BB0"/>
    <w:rsid w:val="00AE1C38"/>
    <w:rsid w:val="00AE70BC"/>
    <w:rsid w:val="00B13875"/>
    <w:rsid w:val="00B15DBC"/>
    <w:rsid w:val="00B1605C"/>
    <w:rsid w:val="00B249D1"/>
    <w:rsid w:val="00B257B4"/>
    <w:rsid w:val="00B27569"/>
    <w:rsid w:val="00B3000D"/>
    <w:rsid w:val="00B30636"/>
    <w:rsid w:val="00B31936"/>
    <w:rsid w:val="00B33E99"/>
    <w:rsid w:val="00B35596"/>
    <w:rsid w:val="00B35D0D"/>
    <w:rsid w:val="00B3713A"/>
    <w:rsid w:val="00B37CFD"/>
    <w:rsid w:val="00B4143B"/>
    <w:rsid w:val="00B42A20"/>
    <w:rsid w:val="00B44375"/>
    <w:rsid w:val="00B46B9F"/>
    <w:rsid w:val="00B53D1B"/>
    <w:rsid w:val="00B56BF7"/>
    <w:rsid w:val="00B65CF5"/>
    <w:rsid w:val="00B66B89"/>
    <w:rsid w:val="00B72097"/>
    <w:rsid w:val="00B7369B"/>
    <w:rsid w:val="00B7373D"/>
    <w:rsid w:val="00B80603"/>
    <w:rsid w:val="00B94514"/>
    <w:rsid w:val="00B97A85"/>
    <w:rsid w:val="00BA35C2"/>
    <w:rsid w:val="00BA389B"/>
    <w:rsid w:val="00BB09E0"/>
    <w:rsid w:val="00BB1C16"/>
    <w:rsid w:val="00BB3D12"/>
    <w:rsid w:val="00BB5183"/>
    <w:rsid w:val="00BB540E"/>
    <w:rsid w:val="00BB7311"/>
    <w:rsid w:val="00BC2D3B"/>
    <w:rsid w:val="00BD207B"/>
    <w:rsid w:val="00BD398C"/>
    <w:rsid w:val="00BD3C8F"/>
    <w:rsid w:val="00BE175A"/>
    <w:rsid w:val="00BE4616"/>
    <w:rsid w:val="00BE6E0B"/>
    <w:rsid w:val="00BE6F2D"/>
    <w:rsid w:val="00BE731D"/>
    <w:rsid w:val="00BF3072"/>
    <w:rsid w:val="00BF3E83"/>
    <w:rsid w:val="00BF45E7"/>
    <w:rsid w:val="00BF4876"/>
    <w:rsid w:val="00BF4C4E"/>
    <w:rsid w:val="00BF6BAD"/>
    <w:rsid w:val="00BF7DFC"/>
    <w:rsid w:val="00C0145A"/>
    <w:rsid w:val="00C060F9"/>
    <w:rsid w:val="00C06593"/>
    <w:rsid w:val="00C11CD8"/>
    <w:rsid w:val="00C123B2"/>
    <w:rsid w:val="00C17ECA"/>
    <w:rsid w:val="00C23DEC"/>
    <w:rsid w:val="00C25261"/>
    <w:rsid w:val="00C2595C"/>
    <w:rsid w:val="00C32314"/>
    <w:rsid w:val="00C47C25"/>
    <w:rsid w:val="00C50D55"/>
    <w:rsid w:val="00C53A35"/>
    <w:rsid w:val="00C54E01"/>
    <w:rsid w:val="00C5599D"/>
    <w:rsid w:val="00C66971"/>
    <w:rsid w:val="00C6747C"/>
    <w:rsid w:val="00C70B24"/>
    <w:rsid w:val="00C71F25"/>
    <w:rsid w:val="00C735AD"/>
    <w:rsid w:val="00C83F07"/>
    <w:rsid w:val="00C842F8"/>
    <w:rsid w:val="00C872C6"/>
    <w:rsid w:val="00C93A6E"/>
    <w:rsid w:val="00C94F92"/>
    <w:rsid w:val="00C96CD2"/>
    <w:rsid w:val="00CA39D8"/>
    <w:rsid w:val="00CA5D66"/>
    <w:rsid w:val="00CA6869"/>
    <w:rsid w:val="00CB0B70"/>
    <w:rsid w:val="00CB753E"/>
    <w:rsid w:val="00CD103F"/>
    <w:rsid w:val="00CD6444"/>
    <w:rsid w:val="00CD7135"/>
    <w:rsid w:val="00CD7E4E"/>
    <w:rsid w:val="00CE1D7B"/>
    <w:rsid w:val="00CE77AD"/>
    <w:rsid w:val="00CF1605"/>
    <w:rsid w:val="00CF162C"/>
    <w:rsid w:val="00CF2A44"/>
    <w:rsid w:val="00CF73EB"/>
    <w:rsid w:val="00D01E1A"/>
    <w:rsid w:val="00D04CD2"/>
    <w:rsid w:val="00D05298"/>
    <w:rsid w:val="00D1248B"/>
    <w:rsid w:val="00D124B5"/>
    <w:rsid w:val="00D12827"/>
    <w:rsid w:val="00D12A60"/>
    <w:rsid w:val="00D223CA"/>
    <w:rsid w:val="00D254C3"/>
    <w:rsid w:val="00D27BE4"/>
    <w:rsid w:val="00D27FB6"/>
    <w:rsid w:val="00D313DA"/>
    <w:rsid w:val="00D31716"/>
    <w:rsid w:val="00D35810"/>
    <w:rsid w:val="00D40DBE"/>
    <w:rsid w:val="00D41C24"/>
    <w:rsid w:val="00D428DD"/>
    <w:rsid w:val="00D42D21"/>
    <w:rsid w:val="00D50DF1"/>
    <w:rsid w:val="00D51E31"/>
    <w:rsid w:val="00D525B9"/>
    <w:rsid w:val="00D540C8"/>
    <w:rsid w:val="00D56C12"/>
    <w:rsid w:val="00D56D7A"/>
    <w:rsid w:val="00D602DF"/>
    <w:rsid w:val="00D718EF"/>
    <w:rsid w:val="00D75A15"/>
    <w:rsid w:val="00D76307"/>
    <w:rsid w:val="00D83103"/>
    <w:rsid w:val="00D83E17"/>
    <w:rsid w:val="00D9238E"/>
    <w:rsid w:val="00D94E4A"/>
    <w:rsid w:val="00D977B2"/>
    <w:rsid w:val="00DA3630"/>
    <w:rsid w:val="00DA6BD8"/>
    <w:rsid w:val="00DB7567"/>
    <w:rsid w:val="00DC095F"/>
    <w:rsid w:val="00DC5B0D"/>
    <w:rsid w:val="00DC60CD"/>
    <w:rsid w:val="00DC7671"/>
    <w:rsid w:val="00DD2690"/>
    <w:rsid w:val="00DD343F"/>
    <w:rsid w:val="00DD54D3"/>
    <w:rsid w:val="00DD71A2"/>
    <w:rsid w:val="00DD7A69"/>
    <w:rsid w:val="00DE1367"/>
    <w:rsid w:val="00DE7694"/>
    <w:rsid w:val="00DE7CB2"/>
    <w:rsid w:val="00DF025D"/>
    <w:rsid w:val="00E00E06"/>
    <w:rsid w:val="00E04865"/>
    <w:rsid w:val="00E07503"/>
    <w:rsid w:val="00E11899"/>
    <w:rsid w:val="00E1611F"/>
    <w:rsid w:val="00E202D5"/>
    <w:rsid w:val="00E32903"/>
    <w:rsid w:val="00E36BEE"/>
    <w:rsid w:val="00E40033"/>
    <w:rsid w:val="00E4188B"/>
    <w:rsid w:val="00E430E5"/>
    <w:rsid w:val="00E4359D"/>
    <w:rsid w:val="00E456F9"/>
    <w:rsid w:val="00E46FD3"/>
    <w:rsid w:val="00E50D2B"/>
    <w:rsid w:val="00E5193E"/>
    <w:rsid w:val="00E57361"/>
    <w:rsid w:val="00E60274"/>
    <w:rsid w:val="00E616C4"/>
    <w:rsid w:val="00E62A91"/>
    <w:rsid w:val="00E643AC"/>
    <w:rsid w:val="00E67570"/>
    <w:rsid w:val="00E708CC"/>
    <w:rsid w:val="00E7438E"/>
    <w:rsid w:val="00E85147"/>
    <w:rsid w:val="00E866B6"/>
    <w:rsid w:val="00E92B78"/>
    <w:rsid w:val="00E95030"/>
    <w:rsid w:val="00EB3FD8"/>
    <w:rsid w:val="00EB4C43"/>
    <w:rsid w:val="00EB77C9"/>
    <w:rsid w:val="00EC32CB"/>
    <w:rsid w:val="00EC52D5"/>
    <w:rsid w:val="00EC55DE"/>
    <w:rsid w:val="00EC561A"/>
    <w:rsid w:val="00EC5C1A"/>
    <w:rsid w:val="00EC795B"/>
    <w:rsid w:val="00ED0168"/>
    <w:rsid w:val="00ED1DBF"/>
    <w:rsid w:val="00ED2761"/>
    <w:rsid w:val="00EE1092"/>
    <w:rsid w:val="00EE4382"/>
    <w:rsid w:val="00EF1380"/>
    <w:rsid w:val="00EF19E5"/>
    <w:rsid w:val="00EF2E3D"/>
    <w:rsid w:val="00EF4677"/>
    <w:rsid w:val="00EF547E"/>
    <w:rsid w:val="00EF6485"/>
    <w:rsid w:val="00F00056"/>
    <w:rsid w:val="00F01D44"/>
    <w:rsid w:val="00F0520A"/>
    <w:rsid w:val="00F05211"/>
    <w:rsid w:val="00F107B6"/>
    <w:rsid w:val="00F10A31"/>
    <w:rsid w:val="00F112DD"/>
    <w:rsid w:val="00F128D8"/>
    <w:rsid w:val="00F165BF"/>
    <w:rsid w:val="00F2279D"/>
    <w:rsid w:val="00F2438F"/>
    <w:rsid w:val="00F3049F"/>
    <w:rsid w:val="00F30F7F"/>
    <w:rsid w:val="00F3246D"/>
    <w:rsid w:val="00F33A05"/>
    <w:rsid w:val="00F408CF"/>
    <w:rsid w:val="00F42ED0"/>
    <w:rsid w:val="00F473F2"/>
    <w:rsid w:val="00F47B58"/>
    <w:rsid w:val="00F501D1"/>
    <w:rsid w:val="00F51D39"/>
    <w:rsid w:val="00F52E0D"/>
    <w:rsid w:val="00F52E11"/>
    <w:rsid w:val="00F53D4A"/>
    <w:rsid w:val="00F56E3A"/>
    <w:rsid w:val="00F571E0"/>
    <w:rsid w:val="00F60460"/>
    <w:rsid w:val="00F60865"/>
    <w:rsid w:val="00F62913"/>
    <w:rsid w:val="00F64F82"/>
    <w:rsid w:val="00F67AD0"/>
    <w:rsid w:val="00F732A1"/>
    <w:rsid w:val="00F76C5F"/>
    <w:rsid w:val="00F77545"/>
    <w:rsid w:val="00F8005D"/>
    <w:rsid w:val="00F8049F"/>
    <w:rsid w:val="00F81B69"/>
    <w:rsid w:val="00F82735"/>
    <w:rsid w:val="00F82E2C"/>
    <w:rsid w:val="00F83878"/>
    <w:rsid w:val="00F83FCA"/>
    <w:rsid w:val="00F8417E"/>
    <w:rsid w:val="00F8534A"/>
    <w:rsid w:val="00F85CFC"/>
    <w:rsid w:val="00F8709D"/>
    <w:rsid w:val="00F91D5E"/>
    <w:rsid w:val="00F94154"/>
    <w:rsid w:val="00F95C51"/>
    <w:rsid w:val="00F97292"/>
    <w:rsid w:val="00FA3586"/>
    <w:rsid w:val="00FA3AB4"/>
    <w:rsid w:val="00FB0623"/>
    <w:rsid w:val="00FB1A50"/>
    <w:rsid w:val="00FB30F1"/>
    <w:rsid w:val="00FB3992"/>
    <w:rsid w:val="00FB7631"/>
    <w:rsid w:val="00FC04A6"/>
    <w:rsid w:val="00FC2FA8"/>
    <w:rsid w:val="00FC7762"/>
    <w:rsid w:val="00FD19B0"/>
    <w:rsid w:val="00FD201F"/>
    <w:rsid w:val="00FD72FE"/>
    <w:rsid w:val="00FD7426"/>
    <w:rsid w:val="00FE0BEA"/>
    <w:rsid w:val="00FE1A0F"/>
    <w:rsid w:val="00FE330F"/>
    <w:rsid w:val="00FE739F"/>
    <w:rsid w:val="00FE7627"/>
    <w:rsid w:val="00FF5FED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527C"/>
  <w15:chartTrackingRefBased/>
  <w15:docId w15:val="{8474AD84-B9B5-4647-84E3-D306891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C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70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4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154"/>
  </w:style>
  <w:style w:type="paragraph" w:styleId="Footer">
    <w:name w:val="footer"/>
    <w:basedOn w:val="Normal"/>
    <w:link w:val="FooterChar"/>
    <w:uiPriority w:val="99"/>
    <w:unhideWhenUsed/>
    <w:rsid w:val="0084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154"/>
  </w:style>
  <w:style w:type="table" w:styleId="TableGrid">
    <w:name w:val="Table Grid"/>
    <w:basedOn w:val="TableNormal"/>
    <w:uiPriority w:val="39"/>
    <w:rsid w:val="0045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4C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C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4C43"/>
    <w:rPr>
      <w:vertAlign w:val="superscript"/>
    </w:rPr>
  </w:style>
  <w:style w:type="paragraph" w:styleId="NoSpacing">
    <w:name w:val="No Spacing"/>
    <w:uiPriority w:val="1"/>
    <w:qFormat/>
    <w:rsid w:val="009277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07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7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3A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2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398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4A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D5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F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F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F85"/>
    <w:rPr>
      <w:vertAlign w:val="superscript"/>
    </w:rPr>
  </w:style>
  <w:style w:type="character" w:styleId="Emphasis">
    <w:name w:val="Emphasis"/>
    <w:uiPriority w:val="20"/>
    <w:qFormat/>
    <w:rsid w:val="00381810"/>
    <w:rPr>
      <w:i/>
      <w:iCs/>
    </w:rPr>
  </w:style>
  <w:style w:type="paragraph" w:customStyle="1" w:styleId="msonormal0">
    <w:name w:val="msonormal"/>
    <w:basedOn w:val="Normal"/>
    <w:rsid w:val="00A1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A14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A141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A14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A14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A141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A141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A141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A141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A14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6A53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6A53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6A5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F47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skcpag.org.uk/content/208471/rising_fuel_poverty" TargetMode="External"/><Relationship Id="rId7" Type="http://schemas.openxmlformats.org/officeDocument/2006/relationships/hyperlink" Target="https://www.york.ac.uk/policy-engine/cost-of-living/news-and-blogs/2024/blogfuelpovertystatisticsfor2024/" TargetMode="External"/><Relationship Id="rId2" Type="http://schemas.openxmlformats.org/officeDocument/2006/relationships/hyperlink" Target="https://pure.york.ac.uk/portal/files/81132848/Social_tariffs_final_19_Oct_cp_latest_.docx" TargetMode="External"/><Relationship Id="rId1" Type="http://schemas.openxmlformats.org/officeDocument/2006/relationships/hyperlink" Target="https://cpag.org.uk/policy-and-campaigns/briefing/who-are-fuel-poor" TargetMode="External"/><Relationship Id="rId6" Type="http://schemas.openxmlformats.org/officeDocument/2006/relationships/hyperlink" Target="https://assets.publishing.service.gov.uk/media/67e51e2cbb6002588a90d5d5/annual-fuel-poverty-statistics-report-2025.pdf" TargetMode="External"/><Relationship Id="rId5" Type="http://schemas.openxmlformats.org/officeDocument/2006/relationships/hyperlink" Target="https://pure.york.ac.uk/portal/files/81132848/Social_tariffs_final_19_Oct_cp_latest_.docx" TargetMode="External"/><Relationship Id="rId4" Type="http://schemas.openxmlformats.org/officeDocument/2006/relationships/hyperlink" Target="https://cpag.org.uk/news-blogs/news-listings/fuel-poverty-estimates-april-2023-following-autumn-statement-inclu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938D2-D2CF-4019-B2BE-CAB585D0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Keung</dc:creator>
  <cp:keywords/>
  <dc:description/>
  <cp:lastModifiedBy>Jonathan Bradshaw</cp:lastModifiedBy>
  <cp:revision>2</cp:revision>
  <cp:lastPrinted>2025-03-10T12:48:00Z</cp:lastPrinted>
  <dcterms:created xsi:type="dcterms:W3CDTF">2025-04-02T13:06:00Z</dcterms:created>
  <dcterms:modified xsi:type="dcterms:W3CDTF">2025-04-02T13:06:00Z</dcterms:modified>
</cp:coreProperties>
</file>