
<file path=[Content_Types].xml><?xml version="1.0" encoding="utf-8"?>
<Types xmlns="http://schemas.openxmlformats.org/package/2006/content-types">
  <Default Extension="emf" ContentType="image/x-emf"/>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04AB4DD" w14:textId="03CA9C11" w:rsidR="009D78A4" w:rsidRPr="00880B2B" w:rsidRDefault="001500C9" w:rsidP="002F195B">
      <w:pPr>
        <w:spacing w:line="360" w:lineRule="auto"/>
        <w:ind w:leftChars="50" w:left="120"/>
        <w:jc w:val="center"/>
        <w:rPr>
          <w:b/>
          <w:bCs/>
          <w:sz w:val="30"/>
          <w:szCs w:val="30"/>
        </w:rPr>
      </w:pPr>
      <w:r>
        <w:rPr>
          <w:rFonts w:hint="eastAsia"/>
          <w:b/>
          <w:bCs/>
          <w:sz w:val="30"/>
          <w:szCs w:val="30"/>
        </w:rPr>
        <w:t>B</w:t>
      </w:r>
      <w:r w:rsidRPr="00517623">
        <w:rPr>
          <w:b/>
          <w:bCs/>
          <w:sz w:val="30"/>
          <w:szCs w:val="30"/>
        </w:rPr>
        <w:t xml:space="preserve">iodiversity </w:t>
      </w:r>
      <w:r>
        <w:rPr>
          <w:rFonts w:hint="eastAsia"/>
          <w:b/>
          <w:bCs/>
          <w:sz w:val="30"/>
          <w:szCs w:val="30"/>
        </w:rPr>
        <w:t>i</w:t>
      </w:r>
      <w:r w:rsidR="006A581A" w:rsidRPr="00517623">
        <w:rPr>
          <w:b/>
          <w:bCs/>
          <w:sz w:val="30"/>
          <w:szCs w:val="30"/>
        </w:rPr>
        <w:t xml:space="preserve">mpacts of land </w:t>
      </w:r>
      <w:r w:rsidR="00BE1DC6">
        <w:rPr>
          <w:rFonts w:hint="eastAsia"/>
          <w:b/>
          <w:bCs/>
          <w:sz w:val="30"/>
          <w:szCs w:val="30"/>
        </w:rPr>
        <w:t>occupation</w:t>
      </w:r>
      <w:r w:rsidR="006A581A" w:rsidRPr="00517623">
        <w:rPr>
          <w:b/>
          <w:bCs/>
          <w:sz w:val="30"/>
          <w:szCs w:val="30"/>
        </w:rPr>
        <w:t xml:space="preserve"> for renewable energy infrastructure in a globally connected world</w:t>
      </w:r>
    </w:p>
    <w:p w14:paraId="05E30FA5" w14:textId="77777777" w:rsidR="00143F80" w:rsidRPr="000C24B8" w:rsidRDefault="00143F80" w:rsidP="00CA1AB1">
      <w:pPr>
        <w:spacing w:line="360" w:lineRule="auto"/>
        <w:ind w:leftChars="50" w:left="120"/>
        <w:jc w:val="center"/>
        <w:rPr>
          <w:sz w:val="30"/>
          <w:szCs w:val="30"/>
        </w:rPr>
      </w:pPr>
    </w:p>
    <w:p w14:paraId="78B7D91A" w14:textId="4F182349" w:rsidR="00CA1AB1" w:rsidRDefault="00143F80" w:rsidP="000C24B8">
      <w:pPr>
        <w:spacing w:line="360" w:lineRule="auto"/>
        <w:ind w:leftChars="50" w:left="120"/>
        <w:jc w:val="center"/>
        <w:rPr>
          <w:szCs w:val="24"/>
          <w:vertAlign w:val="superscript"/>
        </w:rPr>
      </w:pPr>
      <w:r w:rsidRPr="00143F80">
        <w:rPr>
          <w:szCs w:val="24"/>
        </w:rPr>
        <w:t>Jingyu</w:t>
      </w:r>
      <w:r w:rsidR="00A44701">
        <w:rPr>
          <w:szCs w:val="24"/>
        </w:rPr>
        <w:t xml:space="preserve"> Wang</w:t>
      </w:r>
      <w:r w:rsidRPr="00143F80">
        <w:rPr>
          <w:szCs w:val="24"/>
          <w:vertAlign w:val="superscript"/>
        </w:rPr>
        <w:t>1</w:t>
      </w:r>
      <w:r w:rsidRPr="00143F80">
        <w:rPr>
          <w:szCs w:val="24"/>
        </w:rPr>
        <w:t>, Cai</w:t>
      </w:r>
      <w:r w:rsidR="00A44701">
        <w:rPr>
          <w:szCs w:val="24"/>
        </w:rPr>
        <w:t xml:space="preserve"> Li</w:t>
      </w:r>
      <w:r w:rsidRPr="00143F80">
        <w:rPr>
          <w:szCs w:val="24"/>
          <w:vertAlign w:val="superscript"/>
        </w:rPr>
        <w:t>1</w:t>
      </w:r>
      <w:r w:rsidRPr="00143F80">
        <w:rPr>
          <w:szCs w:val="24"/>
        </w:rPr>
        <w:t>, Zhongci</w:t>
      </w:r>
      <w:r w:rsidR="00A44701">
        <w:rPr>
          <w:szCs w:val="24"/>
        </w:rPr>
        <w:t xml:space="preserve"> Deng</w:t>
      </w:r>
      <w:r w:rsidRPr="00143F80">
        <w:rPr>
          <w:szCs w:val="24"/>
          <w:vertAlign w:val="superscript"/>
        </w:rPr>
        <w:t>1</w:t>
      </w:r>
      <w:r w:rsidRPr="00143F80">
        <w:rPr>
          <w:szCs w:val="24"/>
        </w:rPr>
        <w:t>, Jamie</w:t>
      </w:r>
      <w:r w:rsidR="00A44701">
        <w:rPr>
          <w:szCs w:val="24"/>
        </w:rPr>
        <w:t xml:space="preserve"> Carr</w:t>
      </w:r>
      <w:r w:rsidRPr="00143F80">
        <w:rPr>
          <w:szCs w:val="24"/>
          <w:vertAlign w:val="superscript"/>
        </w:rPr>
        <w:t>2</w:t>
      </w:r>
      <w:r>
        <w:rPr>
          <w:szCs w:val="24"/>
          <w:vertAlign w:val="superscript"/>
        </w:rPr>
        <w:t>,3</w:t>
      </w:r>
      <w:r w:rsidRPr="00143F80">
        <w:rPr>
          <w:szCs w:val="24"/>
        </w:rPr>
        <w:t xml:space="preserve">, </w:t>
      </w:r>
      <w:r w:rsidR="00A44701">
        <w:rPr>
          <w:szCs w:val="24"/>
        </w:rPr>
        <w:t>Lindsay</w:t>
      </w:r>
      <w:r>
        <w:rPr>
          <w:szCs w:val="24"/>
        </w:rPr>
        <w:t xml:space="preserve"> C.</w:t>
      </w:r>
      <w:r w:rsidRPr="00143F80">
        <w:rPr>
          <w:szCs w:val="24"/>
        </w:rPr>
        <w:t xml:space="preserve"> </w:t>
      </w:r>
      <w:r w:rsidR="00A44701">
        <w:rPr>
          <w:szCs w:val="24"/>
        </w:rPr>
        <w:t>Str</w:t>
      </w:r>
      <w:r w:rsidR="00EA4F32">
        <w:rPr>
          <w:szCs w:val="24"/>
        </w:rPr>
        <w:t>i</w:t>
      </w:r>
      <w:r w:rsidR="00A44701">
        <w:rPr>
          <w:szCs w:val="24"/>
        </w:rPr>
        <w:t>nger</w:t>
      </w:r>
      <w:r w:rsidRPr="00143F80">
        <w:rPr>
          <w:szCs w:val="24"/>
          <w:vertAlign w:val="superscript"/>
        </w:rPr>
        <w:t>2</w:t>
      </w:r>
      <w:r>
        <w:rPr>
          <w:szCs w:val="24"/>
          <w:vertAlign w:val="superscript"/>
        </w:rPr>
        <w:t>,3</w:t>
      </w:r>
      <w:r w:rsidRPr="00143F80">
        <w:rPr>
          <w:szCs w:val="24"/>
        </w:rPr>
        <w:t>, Keke</w:t>
      </w:r>
      <w:r w:rsidR="00A44701">
        <w:rPr>
          <w:szCs w:val="24"/>
        </w:rPr>
        <w:t xml:space="preserve"> Li</w:t>
      </w:r>
      <w:r w:rsidRPr="00143F80">
        <w:rPr>
          <w:szCs w:val="24"/>
          <w:vertAlign w:val="superscript"/>
        </w:rPr>
        <w:t>1</w:t>
      </w:r>
      <w:r w:rsidRPr="00143F80">
        <w:rPr>
          <w:szCs w:val="24"/>
        </w:rPr>
        <w:t>, Yuanchao</w:t>
      </w:r>
      <w:r w:rsidR="00A44701">
        <w:rPr>
          <w:szCs w:val="24"/>
        </w:rPr>
        <w:t xml:space="preserve"> Hu</w:t>
      </w:r>
      <w:r>
        <w:rPr>
          <w:szCs w:val="24"/>
          <w:vertAlign w:val="superscript"/>
        </w:rPr>
        <w:t>4</w:t>
      </w:r>
      <w:r w:rsidRPr="00143F80">
        <w:rPr>
          <w:szCs w:val="24"/>
        </w:rPr>
        <w:t>, Chen</w:t>
      </w:r>
      <w:r w:rsidR="00A44701">
        <w:rPr>
          <w:szCs w:val="24"/>
        </w:rPr>
        <w:t xml:space="preserve"> Zeng</w:t>
      </w:r>
      <w:r>
        <w:rPr>
          <w:szCs w:val="24"/>
          <w:vertAlign w:val="superscript"/>
        </w:rPr>
        <w:t>5,6</w:t>
      </w:r>
      <w:r w:rsidRPr="00143F80">
        <w:rPr>
          <w:szCs w:val="24"/>
        </w:rPr>
        <w:t>, Kai</w:t>
      </w:r>
      <w:r w:rsidR="00A44701">
        <w:rPr>
          <w:szCs w:val="24"/>
        </w:rPr>
        <w:t xml:space="preserve"> Huang</w:t>
      </w:r>
      <w:r>
        <w:rPr>
          <w:szCs w:val="24"/>
          <w:vertAlign w:val="superscript"/>
        </w:rPr>
        <w:t>7</w:t>
      </w:r>
      <w:r w:rsidRPr="00143F80">
        <w:rPr>
          <w:szCs w:val="24"/>
        </w:rPr>
        <w:t xml:space="preserve">, </w:t>
      </w:r>
      <w:r w:rsidR="00A44701">
        <w:rPr>
          <w:szCs w:val="24"/>
        </w:rPr>
        <w:t xml:space="preserve">Sha </w:t>
      </w:r>
      <w:r w:rsidR="00825A87">
        <w:rPr>
          <w:rFonts w:hint="eastAsia"/>
          <w:szCs w:val="24"/>
        </w:rPr>
        <w:t>Peng</w:t>
      </w:r>
      <w:r w:rsidR="00825A87" w:rsidRPr="00825A87">
        <w:rPr>
          <w:rFonts w:hint="eastAsia"/>
          <w:szCs w:val="24"/>
          <w:vertAlign w:val="superscript"/>
        </w:rPr>
        <w:t>8</w:t>
      </w:r>
      <w:r w:rsidR="00825A87">
        <w:rPr>
          <w:rFonts w:hint="eastAsia"/>
          <w:szCs w:val="24"/>
        </w:rPr>
        <w:t xml:space="preserve">, </w:t>
      </w:r>
      <w:r w:rsidRPr="00143F80">
        <w:rPr>
          <w:szCs w:val="24"/>
        </w:rPr>
        <w:t>Zhen</w:t>
      </w:r>
      <w:r w:rsidR="00A44701">
        <w:rPr>
          <w:szCs w:val="24"/>
        </w:rPr>
        <w:t xml:space="preserve"> Wang</w:t>
      </w:r>
      <w:r w:rsidRPr="00143F80">
        <w:rPr>
          <w:szCs w:val="24"/>
          <w:vertAlign w:val="superscript"/>
        </w:rPr>
        <w:t>1,</w:t>
      </w:r>
      <w:r>
        <w:rPr>
          <w:szCs w:val="24"/>
          <w:vertAlign w:val="superscript"/>
        </w:rPr>
        <w:t>6,*</w:t>
      </w:r>
    </w:p>
    <w:p w14:paraId="3011BE5A" w14:textId="77777777" w:rsidR="00143F80" w:rsidRDefault="00143F80" w:rsidP="000C24B8">
      <w:pPr>
        <w:spacing w:line="360" w:lineRule="auto"/>
        <w:ind w:leftChars="50" w:left="120"/>
        <w:jc w:val="center"/>
        <w:rPr>
          <w:szCs w:val="24"/>
          <w:vertAlign w:val="superscript"/>
        </w:rPr>
      </w:pPr>
    </w:p>
    <w:p w14:paraId="6D07A1E5" w14:textId="77777777" w:rsidR="00143F80" w:rsidRDefault="00143F80" w:rsidP="00143F80">
      <w:pPr>
        <w:spacing w:line="360" w:lineRule="exact"/>
        <w:rPr>
          <w:szCs w:val="24"/>
        </w:rPr>
      </w:pPr>
      <w:r w:rsidRPr="002E4961">
        <w:rPr>
          <w:szCs w:val="24"/>
          <w:vertAlign w:val="superscript"/>
        </w:rPr>
        <w:t>1</w:t>
      </w:r>
      <w:r w:rsidRPr="00246C32">
        <w:rPr>
          <w:szCs w:val="24"/>
        </w:rPr>
        <w:t xml:space="preserve"> College of Resource and Environment, Huazhong Agricultural University, Wuhan 430070, China;</w:t>
      </w:r>
    </w:p>
    <w:p w14:paraId="21F48EE1" w14:textId="03F7F422" w:rsidR="00143F80" w:rsidRDefault="00143F80" w:rsidP="00143F80">
      <w:pPr>
        <w:spacing w:line="360" w:lineRule="exact"/>
        <w:rPr>
          <w:szCs w:val="24"/>
        </w:rPr>
      </w:pPr>
      <w:r w:rsidRPr="00143F80">
        <w:rPr>
          <w:szCs w:val="24"/>
          <w:vertAlign w:val="superscript"/>
        </w:rPr>
        <w:t xml:space="preserve">2 </w:t>
      </w:r>
      <w:r w:rsidR="00066EF7" w:rsidRPr="00D22961">
        <w:rPr>
          <w:szCs w:val="24"/>
        </w:rPr>
        <w:t>York Environmental Sustainability Institute (YESI), University of York, Wentworth Way, York, YO10 5NG, United Kingdom</w:t>
      </w:r>
      <w:r w:rsidR="00066EF7" w:rsidRPr="00143F80" w:rsidDel="00066EF7">
        <w:rPr>
          <w:szCs w:val="24"/>
        </w:rPr>
        <w:t xml:space="preserve"> </w:t>
      </w:r>
    </w:p>
    <w:p w14:paraId="55429B4A" w14:textId="5A5D6ACE" w:rsidR="00143F80" w:rsidRPr="00143F80" w:rsidRDefault="00143F80" w:rsidP="00143F80">
      <w:pPr>
        <w:spacing w:line="360" w:lineRule="exact"/>
        <w:rPr>
          <w:szCs w:val="24"/>
        </w:rPr>
      </w:pPr>
      <w:r w:rsidRPr="00143F80">
        <w:rPr>
          <w:szCs w:val="24"/>
          <w:vertAlign w:val="superscript"/>
        </w:rPr>
        <w:t>3</w:t>
      </w:r>
      <w:r>
        <w:rPr>
          <w:szCs w:val="24"/>
        </w:rPr>
        <w:t xml:space="preserve"> </w:t>
      </w:r>
      <w:r w:rsidRPr="00143F80">
        <w:rPr>
          <w:szCs w:val="24"/>
        </w:rPr>
        <w:t xml:space="preserve">Department of Environment and Geography, University of York, </w:t>
      </w:r>
      <w:r w:rsidR="001620B8">
        <w:rPr>
          <w:rFonts w:hint="eastAsia"/>
          <w:szCs w:val="24"/>
        </w:rPr>
        <w:t>W</w:t>
      </w:r>
      <w:r w:rsidR="001620B8" w:rsidRPr="00552566">
        <w:rPr>
          <w:szCs w:val="24"/>
        </w:rPr>
        <w:t>entworth Way, York, YO10 5NG, United Kingdom</w:t>
      </w:r>
    </w:p>
    <w:p w14:paraId="6EF5115B" w14:textId="77199292" w:rsidR="00143F80" w:rsidRDefault="00143F80" w:rsidP="00143F80">
      <w:pPr>
        <w:spacing w:line="360" w:lineRule="exact"/>
        <w:rPr>
          <w:szCs w:val="24"/>
        </w:rPr>
      </w:pPr>
      <w:r>
        <w:rPr>
          <w:szCs w:val="24"/>
          <w:vertAlign w:val="superscript"/>
        </w:rPr>
        <w:t>4</w:t>
      </w:r>
      <w:r w:rsidRPr="00246C32">
        <w:rPr>
          <w:szCs w:val="24"/>
        </w:rPr>
        <w:t xml:space="preserve"> School of Resource and Environmental Sciences, Wuhan University, Wuhan 430079, China;</w:t>
      </w:r>
    </w:p>
    <w:p w14:paraId="1ECA02BE" w14:textId="2357EA44" w:rsidR="00143F80" w:rsidRPr="00143F80" w:rsidRDefault="00143F80" w:rsidP="00143F80">
      <w:pPr>
        <w:spacing w:line="360" w:lineRule="exact"/>
        <w:rPr>
          <w:szCs w:val="24"/>
        </w:rPr>
      </w:pPr>
      <w:r>
        <w:rPr>
          <w:szCs w:val="24"/>
          <w:vertAlign w:val="superscript"/>
        </w:rPr>
        <w:t>5</w:t>
      </w:r>
      <w:r>
        <w:rPr>
          <w:szCs w:val="24"/>
        </w:rPr>
        <w:t xml:space="preserve"> Co</w:t>
      </w:r>
      <w:r>
        <w:rPr>
          <w:rFonts w:hint="eastAsia"/>
          <w:szCs w:val="24"/>
        </w:rPr>
        <w:t>llege</w:t>
      </w:r>
      <w:r>
        <w:rPr>
          <w:szCs w:val="24"/>
        </w:rPr>
        <w:t xml:space="preserve"> of Public Administration, Huazhong Agricultural University, Wuhan 430070, China;</w:t>
      </w:r>
    </w:p>
    <w:p w14:paraId="33C9EFC1" w14:textId="058B21D5" w:rsidR="00143F80" w:rsidRDefault="00143F80" w:rsidP="00143F80">
      <w:pPr>
        <w:spacing w:line="360" w:lineRule="exact"/>
        <w:rPr>
          <w:szCs w:val="24"/>
        </w:rPr>
      </w:pPr>
      <w:r>
        <w:rPr>
          <w:szCs w:val="24"/>
          <w:vertAlign w:val="superscript"/>
        </w:rPr>
        <w:t>6</w:t>
      </w:r>
      <w:r w:rsidRPr="00246C32">
        <w:rPr>
          <w:szCs w:val="24"/>
        </w:rPr>
        <w:t xml:space="preserve"> Interdisciplinary Research Center for Territorial Spatial Governance and Green Development, Huazhong Agricultural University, Wuhan 430070, China;</w:t>
      </w:r>
    </w:p>
    <w:p w14:paraId="2269C3E9" w14:textId="1F22C10C" w:rsidR="00143F80" w:rsidRDefault="009752AA" w:rsidP="00143F80">
      <w:pPr>
        <w:spacing w:line="360" w:lineRule="exact"/>
        <w:rPr>
          <w:szCs w:val="24"/>
        </w:rPr>
      </w:pPr>
      <w:r w:rsidRPr="009752AA">
        <w:rPr>
          <w:rFonts w:hint="eastAsia"/>
          <w:szCs w:val="24"/>
          <w:vertAlign w:val="superscript"/>
        </w:rPr>
        <w:t>7</w:t>
      </w:r>
      <w:r>
        <w:rPr>
          <w:rFonts w:hint="eastAsia"/>
          <w:szCs w:val="24"/>
        </w:rPr>
        <w:t xml:space="preserve"> </w:t>
      </w:r>
      <w:r w:rsidRPr="009752AA">
        <w:rPr>
          <w:szCs w:val="24"/>
        </w:rPr>
        <w:t>Beijing Key Lab for Source Control Technology of Water Pollution, College of Environmental Science and Engineering, Beijing Forestry University, Beijing 100083, China</w:t>
      </w:r>
    </w:p>
    <w:p w14:paraId="20BEF816" w14:textId="77777777" w:rsidR="00825A87" w:rsidRDefault="00825A87" w:rsidP="00825A87">
      <w:r w:rsidRPr="00825A87">
        <w:rPr>
          <w:rFonts w:hint="eastAsia"/>
          <w:szCs w:val="24"/>
          <w:vertAlign w:val="superscript"/>
        </w:rPr>
        <w:t>8</w:t>
      </w:r>
      <w:r>
        <w:rPr>
          <w:rFonts w:hint="eastAsia"/>
          <w:szCs w:val="24"/>
        </w:rPr>
        <w:t xml:space="preserve"> </w:t>
      </w:r>
      <w:r w:rsidRPr="003D6A3F">
        <w:t>School of Low Carbon Economics, Hubei University of Economics, Wuhan, 430205, China</w:t>
      </w:r>
    </w:p>
    <w:p w14:paraId="67054B33" w14:textId="5940306B" w:rsidR="00825A87" w:rsidRDefault="00825A87" w:rsidP="00143F80">
      <w:pPr>
        <w:spacing w:line="360" w:lineRule="exact"/>
        <w:rPr>
          <w:szCs w:val="24"/>
        </w:rPr>
      </w:pPr>
    </w:p>
    <w:p w14:paraId="1CD01C75" w14:textId="0A66F5CF" w:rsidR="00143F80" w:rsidRDefault="009752AA" w:rsidP="00143F80">
      <w:pPr>
        <w:spacing w:line="360" w:lineRule="exact"/>
        <w:rPr>
          <w:szCs w:val="24"/>
        </w:rPr>
      </w:pPr>
      <w:r>
        <w:rPr>
          <w:rFonts w:hint="eastAsia"/>
          <w:szCs w:val="24"/>
        </w:rPr>
        <w:t xml:space="preserve">* </w:t>
      </w:r>
      <w:r w:rsidR="00143F80">
        <w:rPr>
          <w:szCs w:val="24"/>
        </w:rPr>
        <w:t xml:space="preserve">Corresponding author: Zhen Wang, </w:t>
      </w:r>
      <w:hyperlink r:id="rId8" w:history="1">
        <w:r w:rsidR="00143F80" w:rsidRPr="002F0673">
          <w:rPr>
            <w:rStyle w:val="Hyperlink"/>
            <w:szCs w:val="24"/>
          </w:rPr>
          <w:t>sinoo@mail.hzau.edu.cn</w:t>
        </w:r>
      </w:hyperlink>
    </w:p>
    <w:p w14:paraId="6046F829" w14:textId="77777777" w:rsidR="00143F80" w:rsidRPr="009752AA" w:rsidRDefault="00143F80" w:rsidP="00143F80">
      <w:pPr>
        <w:spacing w:line="360" w:lineRule="auto"/>
        <w:rPr>
          <w:szCs w:val="24"/>
        </w:rPr>
      </w:pPr>
    </w:p>
    <w:p w14:paraId="597DE8ED" w14:textId="2DDCF311" w:rsidR="00547872" w:rsidRPr="00D56A55" w:rsidRDefault="00547872" w:rsidP="00B92D35">
      <w:pPr>
        <w:spacing w:line="360" w:lineRule="auto"/>
        <w:rPr>
          <w:b/>
          <w:bCs/>
          <w:sz w:val="32"/>
          <w:szCs w:val="36"/>
        </w:rPr>
      </w:pPr>
      <w:r w:rsidRPr="00D56A55">
        <w:rPr>
          <w:b/>
          <w:bCs/>
        </w:rPr>
        <w:t>Abst</w:t>
      </w:r>
      <w:r w:rsidR="00C46707" w:rsidRPr="00D56A55">
        <w:rPr>
          <w:b/>
          <w:bCs/>
        </w:rPr>
        <w:t>ract</w:t>
      </w:r>
    </w:p>
    <w:p w14:paraId="7B8F582E" w14:textId="7B3B1728" w:rsidR="00E02A67" w:rsidRDefault="003235CF" w:rsidP="00F167BA">
      <w:pPr>
        <w:spacing w:line="360" w:lineRule="auto"/>
        <w:ind w:firstLineChars="150" w:firstLine="360"/>
      </w:pPr>
      <w:r w:rsidRPr="00D56A55">
        <w:rPr>
          <w:rFonts w:hint="eastAsia"/>
        </w:rPr>
        <w:t>The t</w:t>
      </w:r>
      <w:r w:rsidR="00F80F0F" w:rsidRPr="00D56A55">
        <w:rPr>
          <w:rFonts w:hint="eastAsia"/>
        </w:rPr>
        <w:t>ransition to</w:t>
      </w:r>
      <w:r w:rsidR="002D0E78" w:rsidRPr="00D56A55">
        <w:t xml:space="preserve"> </w:t>
      </w:r>
      <w:r w:rsidR="00F80F0F" w:rsidRPr="00D56A55">
        <w:rPr>
          <w:rFonts w:hint="eastAsia"/>
        </w:rPr>
        <w:t>renewable</w:t>
      </w:r>
      <w:r w:rsidR="002D0E78" w:rsidRPr="00D56A55">
        <w:t xml:space="preserve"> energy </w:t>
      </w:r>
      <w:r w:rsidR="007B10EC">
        <w:t>exacerbates</w:t>
      </w:r>
      <w:r w:rsidR="007B10EC">
        <w:rPr>
          <w:rFonts w:hint="eastAsia"/>
        </w:rPr>
        <w:t xml:space="preserve"> </w:t>
      </w:r>
      <w:r w:rsidR="00D57A28">
        <w:rPr>
          <w:rFonts w:hint="eastAsia"/>
        </w:rPr>
        <w:t xml:space="preserve">direct </w:t>
      </w:r>
      <w:r w:rsidR="00F80F0F" w:rsidRPr="00D56A55">
        <w:rPr>
          <w:rFonts w:hint="eastAsia"/>
        </w:rPr>
        <w:t>land</w:t>
      </w:r>
      <w:r w:rsidR="00B3787C">
        <w:t xml:space="preserve"> occupation</w:t>
      </w:r>
      <w:r w:rsidR="00D57A28">
        <w:rPr>
          <w:rFonts w:hint="eastAsia"/>
        </w:rPr>
        <w:t xml:space="preserve"> </w:t>
      </w:r>
      <w:r w:rsidR="007B10EC">
        <w:t xml:space="preserve">by </w:t>
      </w:r>
      <w:r w:rsidR="00D57A28">
        <w:rPr>
          <w:rFonts w:hint="eastAsia"/>
        </w:rPr>
        <w:t>infrastructure</w:t>
      </w:r>
      <w:r w:rsidR="00F80F0F" w:rsidRPr="00D56A55">
        <w:rPr>
          <w:rFonts w:hint="eastAsia"/>
        </w:rPr>
        <w:t>, leading to</w:t>
      </w:r>
      <w:r w:rsidR="002D0E78" w:rsidRPr="00D56A55">
        <w:t xml:space="preserve"> </w:t>
      </w:r>
      <w:r w:rsidRPr="00D56A55">
        <w:rPr>
          <w:rFonts w:hint="eastAsia"/>
        </w:rPr>
        <w:t xml:space="preserve">habitat </w:t>
      </w:r>
      <w:r w:rsidR="002D0E78" w:rsidRPr="00D56A55">
        <w:t>degradation and biodiversity loss</w:t>
      </w:r>
      <w:r w:rsidR="00B3787C">
        <w:t>.</w:t>
      </w:r>
      <w:r w:rsidR="00B3787C" w:rsidRPr="00D56A55">
        <w:rPr>
          <w:rFonts w:hint="eastAsia"/>
        </w:rPr>
        <w:t xml:space="preserve"> </w:t>
      </w:r>
      <w:r w:rsidR="00B3787C">
        <w:t xml:space="preserve">However, </w:t>
      </w:r>
      <w:r w:rsidR="00AE1EFA">
        <w:t xml:space="preserve">the </w:t>
      </w:r>
      <w:r w:rsidR="00AE1EFA" w:rsidRPr="00D56A55">
        <w:t>biodiversity loss</w:t>
      </w:r>
      <w:r w:rsidR="00AE1EFA" w:rsidRPr="00D56A55" w:rsidDel="00F32EB6">
        <w:rPr>
          <w:rFonts w:hint="eastAsia"/>
        </w:rPr>
        <w:t xml:space="preserve"> </w:t>
      </w:r>
      <w:r w:rsidR="00AE1EFA">
        <w:t xml:space="preserve">driven by </w:t>
      </w:r>
      <w:r w:rsidR="00EC5F5B">
        <w:t xml:space="preserve">the </w:t>
      </w:r>
      <w:r w:rsidR="00AE1EFA">
        <w:t xml:space="preserve">production and consumption </w:t>
      </w:r>
      <w:r w:rsidR="003A65B0">
        <w:t>of</w:t>
      </w:r>
      <w:r w:rsidR="00AE1EFA">
        <w:t xml:space="preserve"> </w:t>
      </w:r>
      <w:r w:rsidR="00A55C22">
        <w:t>different rene</w:t>
      </w:r>
      <w:r w:rsidR="00A55C22">
        <w:rPr>
          <w:rFonts w:hint="eastAsia"/>
        </w:rPr>
        <w:t>w</w:t>
      </w:r>
      <w:r w:rsidR="00A55C22">
        <w:t xml:space="preserve">able energy </w:t>
      </w:r>
      <w:r w:rsidR="00444EA8" w:rsidRPr="00D56A55">
        <w:rPr>
          <w:rFonts w:hint="eastAsia"/>
        </w:rPr>
        <w:t xml:space="preserve">deployment </w:t>
      </w:r>
      <w:r w:rsidR="00A55C22">
        <w:t xml:space="preserve">scenarios remains </w:t>
      </w:r>
      <w:r w:rsidR="00286BCF">
        <w:t>largely unquantified</w:t>
      </w:r>
      <w:r w:rsidR="001C15AA" w:rsidRPr="00D56A55">
        <w:t xml:space="preserve">. </w:t>
      </w:r>
      <w:r w:rsidR="004A2611" w:rsidRPr="004A2611">
        <w:t>Quantifying</w:t>
      </w:r>
      <w:r w:rsidR="004A2611" w:rsidRPr="004A2611" w:rsidDel="004A2611">
        <w:t xml:space="preserve"> </w:t>
      </w:r>
      <w:r w:rsidRPr="00D56A55">
        <w:t xml:space="preserve">biodiversity loss associated with </w:t>
      </w:r>
      <w:r w:rsidR="001500C9">
        <w:rPr>
          <w:rFonts w:hint="eastAsia"/>
        </w:rPr>
        <w:t xml:space="preserve">land occupation of </w:t>
      </w:r>
      <w:r w:rsidRPr="00D56A55">
        <w:t xml:space="preserve">renewable energy </w:t>
      </w:r>
      <w:r w:rsidR="00D57A28">
        <w:rPr>
          <w:rFonts w:hint="eastAsia"/>
        </w:rPr>
        <w:t xml:space="preserve">infrastructure </w:t>
      </w:r>
      <w:r w:rsidRPr="00D56A55">
        <w:rPr>
          <w:rFonts w:hint="eastAsia"/>
        </w:rPr>
        <w:t>i</w:t>
      </w:r>
      <w:r w:rsidRPr="00D56A55">
        <w:t xml:space="preserve">s essential for </w:t>
      </w:r>
      <w:r w:rsidRPr="00D56A55">
        <w:lastRenderedPageBreak/>
        <w:t>a sustainable energy transition</w:t>
      </w:r>
      <w:r w:rsidRPr="00D56A55">
        <w:rPr>
          <w:rFonts w:hint="eastAsia"/>
        </w:rPr>
        <w:t>.</w:t>
      </w:r>
      <w:r w:rsidR="001C15AA" w:rsidRPr="00D56A55">
        <w:t xml:space="preserve"> </w:t>
      </w:r>
      <w:r w:rsidR="001534B7" w:rsidRPr="00D56A55">
        <w:t xml:space="preserve">Here, we </w:t>
      </w:r>
      <w:r w:rsidR="007B10EC">
        <w:t xml:space="preserve">developed </w:t>
      </w:r>
      <w:r w:rsidR="00F9276B">
        <w:t xml:space="preserve">a </w:t>
      </w:r>
      <w:r w:rsidR="004A2611">
        <w:rPr>
          <w:rFonts w:hint="eastAsia"/>
        </w:rPr>
        <w:t xml:space="preserve">novel </w:t>
      </w:r>
      <w:r w:rsidR="00F9276B">
        <w:t>dataset to</w:t>
      </w:r>
      <w:r w:rsidR="001534B7" w:rsidRPr="00D56A55">
        <w:t xml:space="preserve"> </w:t>
      </w:r>
      <w:r w:rsidR="007B10EC">
        <w:t>evaluate</w:t>
      </w:r>
      <w:r w:rsidR="007B10EC" w:rsidRPr="00D56A55">
        <w:t xml:space="preserve"> </w:t>
      </w:r>
      <w:r w:rsidRPr="00D56A55">
        <w:rPr>
          <w:rFonts w:hint="eastAsia"/>
        </w:rPr>
        <w:t>renewable energy-related</w:t>
      </w:r>
      <w:r w:rsidRPr="00D56A55" w:rsidDel="003235CF">
        <w:t xml:space="preserve"> </w:t>
      </w:r>
      <w:r w:rsidR="001534B7" w:rsidRPr="00D56A55">
        <w:t>biodiversity</w:t>
      </w:r>
      <w:r w:rsidR="00B23C66" w:rsidRPr="00D56A55">
        <w:rPr>
          <w:rFonts w:hint="eastAsia"/>
        </w:rPr>
        <w:t xml:space="preserve"> loss</w:t>
      </w:r>
      <w:r w:rsidRPr="00D56A55">
        <w:rPr>
          <w:rFonts w:hint="eastAsia"/>
        </w:rPr>
        <w:t xml:space="preserve"> by considering the</w:t>
      </w:r>
      <w:r w:rsidR="00F9276B">
        <w:t xml:space="preserve"> current</w:t>
      </w:r>
      <w:r w:rsidRPr="00D56A55">
        <w:rPr>
          <w:rFonts w:hint="eastAsia"/>
        </w:rPr>
        <w:t xml:space="preserve"> infrastructure setting and </w:t>
      </w:r>
      <w:r w:rsidR="00F9276B">
        <w:t xml:space="preserve">future </w:t>
      </w:r>
      <w:r w:rsidR="004A2611">
        <w:rPr>
          <w:rFonts w:hint="eastAsia"/>
        </w:rPr>
        <w:t xml:space="preserve">development </w:t>
      </w:r>
      <w:r w:rsidR="00F9276B">
        <w:t>pathways</w:t>
      </w:r>
      <w:r w:rsidR="001534B7" w:rsidRPr="00D56A55">
        <w:t>.</w:t>
      </w:r>
      <w:r w:rsidR="001C15AA" w:rsidRPr="00D56A55">
        <w:t xml:space="preserve"> </w:t>
      </w:r>
      <w:r w:rsidRPr="00D56A55">
        <w:rPr>
          <w:rFonts w:hint="eastAsia"/>
        </w:rPr>
        <w:t>We found</w:t>
      </w:r>
      <w:r w:rsidR="001534B7" w:rsidRPr="00D56A55">
        <w:t xml:space="preserve"> that </w:t>
      </w:r>
      <w:r w:rsidR="001500C9">
        <w:rPr>
          <w:rFonts w:hint="eastAsia"/>
        </w:rPr>
        <w:t xml:space="preserve">the land occupation of </w:t>
      </w:r>
      <w:r w:rsidR="00B23C66" w:rsidRPr="00D56A55">
        <w:t xml:space="preserve">renewable energy infrastructure </w:t>
      </w:r>
      <w:r w:rsidRPr="00D56A55">
        <w:rPr>
          <w:rFonts w:hint="eastAsia"/>
        </w:rPr>
        <w:t>resulted in</w:t>
      </w:r>
      <w:r w:rsidR="00B23C66" w:rsidRPr="00D56A55">
        <w:t xml:space="preserve"> </w:t>
      </w:r>
      <w:r w:rsidR="00BA44F4">
        <w:t xml:space="preserve">global </w:t>
      </w:r>
      <w:r w:rsidR="00B23C66" w:rsidRPr="00D56A55">
        <w:t xml:space="preserve">biodiversity loss </w:t>
      </w:r>
      <w:r w:rsidRPr="00D56A55">
        <w:rPr>
          <w:rFonts w:hint="eastAsia"/>
        </w:rPr>
        <w:t xml:space="preserve">equivalent </w:t>
      </w:r>
      <w:r w:rsidR="00B23C66" w:rsidRPr="00D56A55">
        <w:t xml:space="preserve">amounting to </w:t>
      </w:r>
      <m:oMath>
        <m:r>
          <w:rPr>
            <w:rFonts w:ascii="Cambria Math" w:hAnsi="Cambria Math"/>
          </w:rPr>
          <m:t>19×1</m:t>
        </m:r>
        <m:sSup>
          <m:sSupPr>
            <m:ctrlPr>
              <w:rPr>
                <w:rFonts w:ascii="Cambria Math" w:hAnsi="Cambria Math"/>
              </w:rPr>
            </m:ctrlPr>
          </m:sSupPr>
          <m:e>
            <m:r>
              <w:rPr>
                <w:rFonts w:ascii="Cambria Math" w:hAnsi="Cambria Math"/>
              </w:rPr>
              <m:t>0</m:t>
            </m:r>
          </m:e>
          <m:sup>
            <m:r>
              <w:rPr>
                <w:rFonts w:ascii="Cambria Math" w:hAnsi="Cambria Math"/>
              </w:rPr>
              <m:t>-4</m:t>
            </m:r>
          </m:sup>
        </m:sSup>
      </m:oMath>
      <w:r w:rsidR="006C1AE8" w:rsidRPr="00D56A55">
        <w:t xml:space="preserve"> </w:t>
      </w:r>
      <w:r w:rsidR="006C1AE8">
        <w:rPr>
          <w:rFonts w:hint="eastAsia"/>
        </w:rPr>
        <w:t>global pdf</w:t>
      </w:r>
      <w:r w:rsidR="00274AAF">
        <w:t xml:space="preserve"> in 2015</w:t>
      </w:r>
      <w:r w:rsidR="00B23C66" w:rsidRPr="00D56A55">
        <w:rPr>
          <w:rFonts w:hint="eastAsia"/>
        </w:rPr>
        <w:t>. S</w:t>
      </w:r>
      <w:r w:rsidR="001534B7" w:rsidRPr="00D56A55">
        <w:t xml:space="preserve">evere biodiversity loss was concentrated primarily in densely populated and economically advanced </w:t>
      </w:r>
      <w:r w:rsidR="0043521B" w:rsidRPr="00D56A55">
        <w:t>countries</w:t>
      </w:r>
      <w:r w:rsidR="001534B7" w:rsidRPr="00D56A55">
        <w:t xml:space="preserve">, such as China, the United States, Brazil, India, Australia, Russia, and </w:t>
      </w:r>
      <w:r w:rsidR="00343F94">
        <w:rPr>
          <w:rFonts w:hint="eastAsia"/>
        </w:rPr>
        <w:t>countri</w:t>
      </w:r>
      <w:r w:rsidR="00343F94">
        <w:t xml:space="preserve">es across </w:t>
      </w:r>
      <w:r w:rsidR="001534B7" w:rsidRPr="00D56A55">
        <w:t>Western Europe.</w:t>
      </w:r>
      <w:r w:rsidR="00F9276B" w:rsidRPr="00F9276B">
        <w:rPr>
          <w:rFonts w:hint="eastAsia"/>
        </w:rPr>
        <w:t xml:space="preserve"> </w:t>
      </w:r>
      <w:r w:rsidR="004A2611" w:rsidRPr="004A2611">
        <w:t>International trade accounted for 1</w:t>
      </w:r>
      <w:r w:rsidR="00FA1AB3">
        <w:rPr>
          <w:rFonts w:hint="eastAsia"/>
        </w:rPr>
        <w:t>4</w:t>
      </w:r>
      <w:r w:rsidR="004A2611" w:rsidRPr="004A2611">
        <w:t>% of this biodiversity loss.</w:t>
      </w:r>
      <w:r w:rsidR="00FE5A18">
        <w:t xml:space="preserve"> Future renewable energy transition scenarios will lead</w:t>
      </w:r>
      <w:r w:rsidR="00F32EB6">
        <w:t xml:space="preserve"> </w:t>
      </w:r>
      <w:r w:rsidR="00570A68" w:rsidRPr="00D56A55">
        <w:t xml:space="preserve">to a </w:t>
      </w:r>
      <w:r w:rsidR="00570A68" w:rsidRPr="00D56A55">
        <w:rPr>
          <w:rFonts w:hint="eastAsia"/>
        </w:rPr>
        <w:t xml:space="preserve">global </w:t>
      </w:r>
      <w:r w:rsidR="00F32EB6">
        <w:t xml:space="preserve">cumulative </w:t>
      </w:r>
      <w:r w:rsidR="00570A68" w:rsidRPr="00D56A55">
        <w:t xml:space="preserve">biodiversity loss </w:t>
      </w:r>
      <w:r w:rsidR="00F32EB6">
        <w:t xml:space="preserve">of </w:t>
      </w:r>
      <m:oMath>
        <m:r>
          <w:rPr>
            <w:rFonts w:ascii="Cambria Math" w:hAnsi="Cambria Math"/>
          </w:rPr>
          <m:t>1.2×1</m:t>
        </m:r>
        <m:sSup>
          <m:sSupPr>
            <m:ctrlPr>
              <w:rPr>
                <w:rFonts w:ascii="Cambria Math" w:hAnsi="Cambria Math"/>
              </w:rPr>
            </m:ctrlPr>
          </m:sSupPr>
          <m:e>
            <m:r>
              <w:rPr>
                <w:rFonts w:ascii="Cambria Math" w:hAnsi="Cambria Math"/>
              </w:rPr>
              <m:t>0</m:t>
            </m:r>
          </m:e>
          <m:sup>
            <m:r>
              <w:rPr>
                <w:rFonts w:ascii="Cambria Math" w:hAnsi="Cambria Math"/>
              </w:rPr>
              <m:t>-2</m:t>
            </m:r>
          </m:sup>
        </m:sSup>
      </m:oMath>
      <w:r w:rsidR="007B10EC" w:rsidRPr="00BF5065">
        <w:rPr>
          <w:rFonts w:eastAsia="KaiTi"/>
          <w:color w:val="000000" w:themeColor="text1"/>
          <w:szCs w:val="21"/>
        </w:rPr>
        <w:t>–</w:t>
      </w:r>
      <m:oMath>
        <m:r>
          <w:rPr>
            <w:rFonts w:ascii="Cambria Math" w:hAnsi="Cambria Math"/>
          </w:rPr>
          <m:t>2.2×1</m:t>
        </m:r>
        <m:sSup>
          <m:sSupPr>
            <m:ctrlPr>
              <w:rPr>
                <w:rFonts w:ascii="Cambria Math" w:hAnsi="Cambria Math"/>
              </w:rPr>
            </m:ctrlPr>
          </m:sSupPr>
          <m:e>
            <m:r>
              <w:rPr>
                <w:rFonts w:ascii="Cambria Math" w:hAnsi="Cambria Math"/>
              </w:rPr>
              <m:t>0</m:t>
            </m:r>
          </m:e>
          <m:sup>
            <m:r>
              <w:rPr>
                <w:rFonts w:ascii="Cambria Math" w:hAnsi="Cambria Math"/>
              </w:rPr>
              <m:t>-2</m:t>
            </m:r>
          </m:sup>
        </m:sSup>
      </m:oMath>
      <w:r w:rsidR="006C1AE8" w:rsidRPr="00D56A55">
        <w:t xml:space="preserve"> </w:t>
      </w:r>
      <w:r w:rsidR="006C1AE8">
        <w:rPr>
          <w:rFonts w:hint="eastAsia"/>
        </w:rPr>
        <w:t>global pdf</w:t>
      </w:r>
      <w:r w:rsidR="006C1AE8" w:rsidRPr="00D56A55" w:rsidDel="006C1AE8">
        <w:t xml:space="preserve"> </w:t>
      </w:r>
      <w:r w:rsidR="00570A68" w:rsidRPr="00D56A55">
        <w:rPr>
          <w:rFonts w:hint="eastAsia"/>
        </w:rPr>
        <w:t xml:space="preserve">during </w:t>
      </w:r>
      <w:r w:rsidR="00274AAF">
        <w:t>2015-2060</w:t>
      </w:r>
      <w:r w:rsidR="001C15AA" w:rsidRPr="00D56A55">
        <w:t xml:space="preserve">. </w:t>
      </w:r>
      <w:r w:rsidR="00532CC8" w:rsidRPr="00D56A55">
        <w:t xml:space="preserve">By 2060, </w:t>
      </w:r>
      <w:r w:rsidR="00953E9D">
        <w:t>ambitious</w:t>
      </w:r>
      <w:r w:rsidR="007F30D0" w:rsidRPr="000C24B8">
        <w:t xml:space="preserve"> energy transition policies are projected to lead to </w:t>
      </w:r>
      <w:r w:rsidR="00E3610A" w:rsidRPr="000C24B8">
        <w:t>a</w:t>
      </w:r>
      <w:r w:rsidR="007F30D0" w:rsidRPr="000C24B8">
        <w:t xml:space="preserve"> </w:t>
      </w:r>
      <w:r w:rsidR="006C1AE8">
        <w:rPr>
          <w:rFonts w:hint="eastAsia"/>
        </w:rPr>
        <w:t>1</w:t>
      </w:r>
      <w:r w:rsidR="006C1AE8" w:rsidRPr="00D56A55">
        <w:t>.</w:t>
      </w:r>
      <w:r w:rsidR="006C1AE8">
        <w:rPr>
          <w:rFonts w:hint="eastAsia"/>
        </w:rPr>
        <w:t>7</w:t>
      </w:r>
      <w:r w:rsidR="007B10EC">
        <w:rPr>
          <w:rFonts w:eastAsia="KaiTi"/>
          <w:color w:val="000000" w:themeColor="text1"/>
          <w:szCs w:val="21"/>
        </w:rPr>
        <w:t xml:space="preserve"> </w:t>
      </w:r>
      <w:r w:rsidR="007B10EC" w:rsidRPr="00BF5065">
        <w:rPr>
          <w:rFonts w:eastAsia="KaiTi"/>
          <w:color w:val="000000" w:themeColor="text1"/>
          <w:szCs w:val="21"/>
        </w:rPr>
        <w:t>–</w:t>
      </w:r>
      <w:r w:rsidR="007B10EC">
        <w:rPr>
          <w:rFonts w:eastAsia="KaiTi"/>
          <w:color w:val="000000" w:themeColor="text1"/>
          <w:szCs w:val="21"/>
        </w:rPr>
        <w:t xml:space="preserve"> </w:t>
      </w:r>
      <w:r w:rsidR="006C1AE8">
        <w:rPr>
          <w:rFonts w:hint="eastAsia"/>
        </w:rPr>
        <w:t>1</w:t>
      </w:r>
      <w:r w:rsidR="006C1AE8" w:rsidRPr="00D56A55">
        <w:t>.</w:t>
      </w:r>
      <w:r w:rsidR="006C1AE8">
        <w:rPr>
          <w:rFonts w:hint="eastAsia"/>
        </w:rPr>
        <w:t>8</w:t>
      </w:r>
      <w:r w:rsidR="007F30D0" w:rsidRPr="000C24B8">
        <w:t>-</w:t>
      </w:r>
      <w:r w:rsidR="00EE0AAC">
        <w:t>times</w:t>
      </w:r>
      <w:r w:rsidR="007F30D0" w:rsidRPr="000C24B8">
        <w:t xml:space="preserve"> increase in biodiversity loss. </w:t>
      </w:r>
      <w:r w:rsidR="00532CC8" w:rsidRPr="00D56A55">
        <w:t xml:space="preserve">The results </w:t>
      </w:r>
      <w:r w:rsidR="00F32EB6" w:rsidRPr="00D56A55">
        <w:t>under</w:t>
      </w:r>
      <w:r w:rsidR="00F32EB6">
        <w:t>score</w:t>
      </w:r>
      <w:r w:rsidR="00F32EB6" w:rsidRPr="00D56A55">
        <w:t xml:space="preserve"> </w:t>
      </w:r>
      <w:r w:rsidR="00444EA8">
        <w:t xml:space="preserve">that while renewable energy could tackle climate change, its deployment should avoid encroaching </w:t>
      </w:r>
      <w:r w:rsidR="00AC04EE">
        <w:t>on</w:t>
      </w:r>
      <w:r w:rsidR="00444EA8">
        <w:t xml:space="preserve"> biodiversity hotspots</w:t>
      </w:r>
      <w:r w:rsidR="00532CC8" w:rsidRPr="00D56A55">
        <w:t>.</w:t>
      </w:r>
      <w:r w:rsidR="00F167BA">
        <w:rPr>
          <w:rFonts w:hint="eastAsia"/>
        </w:rPr>
        <w:t xml:space="preserve"> </w:t>
      </w:r>
    </w:p>
    <w:p w14:paraId="059F31BE" w14:textId="108440A3" w:rsidR="00F167BA" w:rsidRPr="006D51E6" w:rsidRDefault="00965328" w:rsidP="007F469F">
      <w:pPr>
        <w:spacing w:line="360" w:lineRule="auto"/>
        <w:jc w:val="center"/>
      </w:pPr>
      <w:r>
        <w:rPr>
          <w:noProof/>
          <w14:ligatures w14:val="none"/>
        </w:rPr>
        <w:drawing>
          <wp:inline distT="0" distB="0" distL="0" distR="0" wp14:anchorId="3CB06C3B" wp14:editId="71E628F5">
            <wp:extent cx="5060550" cy="2724912"/>
            <wp:effectExtent l="0" t="0" r="0" b="5715"/>
            <wp:docPr id="43255877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558770" name="图片 432558770"/>
                    <pic:cNvPicPr/>
                  </pic:nvPicPr>
                  <pic:blipFill>
                    <a:blip r:embed="rId9"/>
                    <a:stretch>
                      <a:fillRect/>
                    </a:stretch>
                  </pic:blipFill>
                  <pic:spPr>
                    <a:xfrm>
                      <a:off x="0" y="0"/>
                      <a:ext cx="5081568" cy="2736230"/>
                    </a:xfrm>
                    <a:prstGeom prst="rect">
                      <a:avLst/>
                    </a:prstGeom>
                  </pic:spPr>
                </pic:pic>
              </a:graphicData>
            </a:graphic>
          </wp:inline>
        </w:drawing>
      </w:r>
    </w:p>
    <w:p w14:paraId="267D3CA8" w14:textId="4A44E8DC" w:rsidR="005A0243" w:rsidRPr="00D56A55" w:rsidRDefault="005A0243">
      <w:pPr>
        <w:spacing w:line="360" w:lineRule="auto"/>
      </w:pPr>
      <w:r w:rsidRPr="00D56A55">
        <w:rPr>
          <w:b/>
          <w:bCs/>
        </w:rPr>
        <w:t xml:space="preserve">Key words: </w:t>
      </w:r>
      <w:r w:rsidR="00BA44F4">
        <w:t>Trade;</w:t>
      </w:r>
      <w:r w:rsidR="006866A7" w:rsidRPr="00D56A55">
        <w:t xml:space="preserve"> infrastructure</w:t>
      </w:r>
      <w:r w:rsidR="009D78A4" w:rsidRPr="00D56A55">
        <w:rPr>
          <w:rFonts w:hint="eastAsia"/>
        </w:rPr>
        <w:t>;</w:t>
      </w:r>
      <w:r w:rsidRPr="00D56A55">
        <w:t xml:space="preserve"> </w:t>
      </w:r>
      <w:r w:rsidR="009D78A4" w:rsidRPr="00D56A55">
        <w:rPr>
          <w:rFonts w:hint="eastAsia"/>
        </w:rPr>
        <w:t xml:space="preserve">Biodiversity loss; </w:t>
      </w:r>
      <w:r w:rsidR="006866A7" w:rsidRPr="00D56A55">
        <w:rPr>
          <w:rFonts w:hint="eastAsia"/>
        </w:rPr>
        <w:t>Biodiversity</w:t>
      </w:r>
      <w:r w:rsidR="006866A7" w:rsidRPr="00D56A55">
        <w:t xml:space="preserve"> f</w:t>
      </w:r>
      <w:r w:rsidR="009D78A4" w:rsidRPr="00D56A55">
        <w:rPr>
          <w:rFonts w:hint="eastAsia"/>
        </w:rPr>
        <w:t>ootprint; Energy transition</w:t>
      </w:r>
      <w:r w:rsidR="000F34D1">
        <w:t>;</w:t>
      </w:r>
      <w:r w:rsidR="00F32EB6">
        <w:t xml:space="preserve"> Net zero</w:t>
      </w:r>
    </w:p>
    <w:p w14:paraId="2198B30D" w14:textId="2D381917" w:rsidR="009B74B6" w:rsidRDefault="00667A5B" w:rsidP="009D78A4">
      <w:pPr>
        <w:spacing w:line="360" w:lineRule="auto"/>
      </w:pPr>
      <w:r w:rsidRPr="00667A5B">
        <w:rPr>
          <w:b/>
          <w:bCs/>
          <w:color w:val="000000"/>
          <w:szCs w:val="24"/>
        </w:rPr>
        <w:t>Synopsis:</w:t>
      </w:r>
      <w:r w:rsidRPr="00667A5B">
        <w:rPr>
          <w:color w:val="000000"/>
          <w:szCs w:val="24"/>
        </w:rPr>
        <w:t xml:space="preserve"> </w:t>
      </w:r>
      <w:r w:rsidR="002B26E0" w:rsidRPr="003C5416">
        <w:t>The global renewable energy</w:t>
      </w:r>
      <w:r w:rsidR="002B26E0">
        <w:t xml:space="preserve"> expansion</w:t>
      </w:r>
      <w:r w:rsidR="002B26E0" w:rsidRPr="003C5416">
        <w:t xml:space="preserve">, while crucial for climate, presents a trade-off by impacting terrestrial biodiversity through land </w:t>
      </w:r>
      <w:r w:rsidR="00D57A28">
        <w:rPr>
          <w:rFonts w:hint="eastAsia"/>
        </w:rPr>
        <w:t>occupation</w:t>
      </w:r>
      <w:r w:rsidR="002B26E0" w:rsidRPr="003C5416">
        <w:t xml:space="preserve"> and international trade, requiring careful planning to ensure sustainability.</w:t>
      </w:r>
    </w:p>
    <w:p w14:paraId="3EAC1A63" w14:textId="77777777" w:rsidR="00B81BF6" w:rsidRPr="00D51C37" w:rsidRDefault="00B81BF6" w:rsidP="009D78A4">
      <w:pPr>
        <w:spacing w:line="360" w:lineRule="auto"/>
      </w:pPr>
    </w:p>
    <w:p w14:paraId="4C72029B" w14:textId="77777777" w:rsidR="00044FF4" w:rsidRPr="00D56A55" w:rsidRDefault="00044FF4" w:rsidP="00044FF4">
      <w:pPr>
        <w:pStyle w:val="ListParagraph"/>
        <w:numPr>
          <w:ilvl w:val="0"/>
          <w:numId w:val="1"/>
        </w:numPr>
        <w:spacing w:line="360" w:lineRule="auto"/>
        <w:ind w:firstLineChars="0"/>
        <w:rPr>
          <w:rFonts w:ascii="Times New Roman" w:hAnsi="Times New Roman" w:cs="Times New Roman"/>
          <w:b/>
          <w:bCs/>
          <w:sz w:val="24"/>
          <w:szCs w:val="32"/>
        </w:rPr>
      </w:pPr>
      <w:r w:rsidRPr="00D56A55">
        <w:rPr>
          <w:rFonts w:ascii="Times New Roman" w:hAnsi="Times New Roman" w:cs="Times New Roman"/>
          <w:b/>
          <w:bCs/>
          <w:sz w:val="24"/>
          <w:szCs w:val="32"/>
        </w:rPr>
        <w:lastRenderedPageBreak/>
        <w:t>Introduction</w:t>
      </w:r>
      <w:r w:rsidRPr="00D56A55">
        <w:rPr>
          <w:rFonts w:ascii="Times New Roman" w:hAnsi="Times New Roman" w:cs="Times New Roman"/>
          <w:b/>
          <w:bCs/>
          <w:sz w:val="24"/>
          <w:szCs w:val="32"/>
        </w:rPr>
        <w:tab/>
      </w:r>
    </w:p>
    <w:p w14:paraId="6AA443F2" w14:textId="1BE5FEEC" w:rsidR="00D56A55" w:rsidRPr="00844949" w:rsidRDefault="007B10EC" w:rsidP="008D6456">
      <w:pPr>
        <w:spacing w:line="360" w:lineRule="auto"/>
        <w:ind w:firstLine="360"/>
        <w:rPr>
          <w:color w:val="0070C0"/>
        </w:rPr>
      </w:pPr>
      <w:r>
        <w:t>Humanity is confronted with two interlinked crises:</w:t>
      </w:r>
      <w:r w:rsidR="00D36CF1">
        <w:rPr>
          <w:rFonts w:hint="eastAsia"/>
        </w:rPr>
        <w:t xml:space="preserve"> </w:t>
      </w:r>
      <w:r w:rsidR="00772915" w:rsidRPr="00D56A55">
        <w:t xml:space="preserve">climate change and the sixth mass extinction, </w:t>
      </w:r>
      <w:r>
        <w:t>necessitating urgent and simultaneous actions to mitigate climate change and conserve biodiversity, despite potential trade-offs between these objectives</w:t>
      </w:r>
      <w:r w:rsidR="00844949" w:rsidRPr="00844949">
        <w:rPr>
          <w:rFonts w:hint="eastAsia"/>
        </w:rPr>
        <w:t>.</w:t>
      </w:r>
      <w:r w:rsidR="00844949" w:rsidRPr="00844949">
        <w:rPr>
          <w:vertAlign w:val="superscript"/>
        </w:rPr>
        <w:fldChar w:fldCharType="begin"/>
      </w:r>
      <w:r w:rsidR="00A43A89">
        <w:rPr>
          <w:vertAlign w:val="superscript"/>
        </w:rPr>
        <w:instrText xml:space="preserve"> ADDIN ZOTERO_ITEM CSL_CITATION {"citationID":"mG4ZCRP5","properties":{"formattedCitation":"\\super 1\\uc0\\u8211{}4\\nosupersub{}","plainCitation":"1–4","noteIndex":0},"citationItems":[{"id":3857,"uris":["http://zotero.org/users/9110477/items/VGF8UWGM"],"itemData":{"id":3857,"type":"article-journal","abstract":"The time is now\n            \n              For decades, scientists have been raising calls for societal changes that will reduce our impacts on nature. Though much conservation has occurred, our natural environment continues to decline under the weight of our consumption. Humanity depends directly on the output of nature; thus, this decline will affect us, just as it does the other species with which we share this world. Díaz\n              et al.\n              review the findings of the largest assessment of the state of nature conducted as of yet. They report that the state of nature, and the state of the equitable distribution of nature's support, is in serious decline. Only immediate transformation of global business-as-usual economies and operations will sustain nature as we know it, and us, into the future.\n            \n            \n              Science\n              , this issue p.\n              eaax3100\n            \n          , \n            \n              BACKGROUND\n              Human actions have long been known to drive declines in nature, and there is growing awareness of how globalization means that these drivers increasingly act at a distance (telecoupling). However, evidence from different disciplines has largely accumulated in parallel, and the global effects of telecouplings have never been addressed comprehensively. Now, the first integrated global-scale intergovernmental assessment of the status, trends, and future of the links between people and nature provides an unprecedented picture of the extent of our mutual dependence, the breadth and depth of the ongoing and impending crisis, and the interconnectedness among sectors and regions.\n            \n            \n              ADVANCES\n              Human impacts on life on Earth have increased sharply since the 1970s. The world is increasingly managed to maximize the flow of material contributions from nature to keep up with rising demands for food, energy, timber, and more, with global trade increasing the geographic separation between supply and demand. This unparalleled appropriation of nature is causing the fabric of life on which humanity depends to fray and unravel: Most indicators of the state of nature, whether monitored by natural and social scientists or by Indigenous Peoples and local communities, are declining. These include the number and population size of wild species, the number of local varieties of domesticated species, the distinctness of ecological communities, and the extent and integrity of many terrestrial and aquatic ecosystems. As a consequence, nature’s capacity to provide crucial benefits has also declined, including environmental processes underpinning human health and nonmaterial contributions to human quality of life. The costs are distributed unequally, as are the benefits of an expanding global economy.\n              These trends in nature and its contributions to people are projected to worsen in the coming decades—unevenly so among different regions—unless rapid and integrated action is taken to reduce the direct drivers responsible for most change over the past 50 years: land and sea use change, direct harvesting of many plants and animals, climate change (whose impacts are set to accelerate), pollution, and the spread of invasive alien species. Exploratory scenarios suggest that a world with increased regional barriers—resonating with recent geopolitical trends—will yield more negative global trends in nature, as well as the greatest disparity in trends across regions, greater than a world with liberal financial markets, and much greater than one that prioritizes and integrates actions toward sustainable development. Evidence from target-seeking scenarios and pathways indicates that a world that achieves many of the global biodiversity targets and sustainability goals related to food, energy, climate, and water is not—yet—beyond reach, but that no single action can get us there.\n            \n            \n              OUTLOOK\n              Our comprehensive assessment of status, trends, and possible futures for nature and people suggests that action at the level of direct drivers of nature decline, although necessary, is not sufficient to prevent further deterioration of the fabric of life on Earth. Reversal of recent declines—and a sustainable global future—are only possible with urgent transformative change that tackles the root causes: the interconnected economic, sociocultural, demographic, political, institutional, and technological indirect drivers behind the direct drivers. As well as a pan-sectoral approach to conserving and restoring the nature that underpins many goals, this transformation will need innovative governance approaches that are adaptive; inclusive; informed by existing and new evidence; and integrative across systems, jurisdictions, and tools. Although the challenge is formidable, every delay will make the task even harder. Crucially, our analysis pinpoints five priority interventions (“levers”) and eight leverage points for intervention in the indirect drivers of global social and economic systems where they can make the biggest difference.\n              \n                \n                  Traditional diversity-rich human landscapes, and the livelihoods and identities that depend on them, face global threats.\n                  Mosaics of crops, forest, and pasture have been maintained for millennia around the world. Now, they are under increasing threat from climate change and large-scale land use change to accommodate global demands for commodities. So are the livelihoods and cultural identity of the peoples that live in them, such as this woman collecting fodder for her flock in the Checacupe district, Perú.\n                \n                \n                \n                  Photo credit\n                  www.estebantapella.com\n                \n              \n            \n          , \n            The human impact on life on Earth has increased sharply since the 1970s, driven by the demands of a growing population with rising average per capita income. Nature is currently supplying more materials than ever before, but this has come at the high cost of unprecedented global declines in the extent and integrity of ecosystems, distinctness of local ecological communities, abundance and number of wild species, and the number of local domesticated varieties. Such changes reduce vital benefits that people receive from nature and threaten the quality of life of future generations. Both the benefits of an expanding economy and the costs of reducing nature’s benefits are unequally distributed. The fabric of life on which we all depend—nature and its contributions to people—is unravelling rapidly. Despite the severity of the threats and lack of enough progress in tackling them to date, opportunities exist to change future trajectories through transformative action. Such action must begin immediately, however, and address the root economic, social, and technological causes of nature’s deterioration.","call-number":"1","container-title":"Science","DOI":"10.1126/science.aax3100","ISSN":"0036-8075, 1095-9203","issue":"6471","journalAbbreviation":"Science","language":"en","note":"TLDR: The first integrated global-scale intergovernmental assessment of the status, trends, and future of the links between people and nature provides an unprecedented picture of the extent of the authors' mutual dependence, the breadth and depth of the ongoing and impending crisis, and the interconnectedness among sectors and regions.","page":"eaax3100","source":"56.9","title":"Pervasive human-driven decline of life on Earth points to the need for transformative change","volume":"366","author":[{"family":"Díaz","given":"Sandra"},{"family":"Settele","given":"Josef"},{"family":"Brondízio","given":"Eduardo S."},{"family":"Ngo","given":"Hien T."},{"family":"Agard","given":"John"},{"family":"Arneth","given":"Almut"},{"family":"Balvanera","given":"Patricia"},{"family":"Brauman","given":"Kate A."},{"family":"Butchart","given":"Stuart H. M."},{"family":"Chan","given":"Kai M. A."},{"family":"Garibaldi","given":"Lucas A."},{"family":"Ichii","given":"Kazuhito"},{"family":"Liu","given":"Jianguo"},{"family":"Subramanian","given":"Suneetha M."},{"family":"Midgley","given":"Guy F."},{"family":"Miloslavich","given":"Patricia"},{"family":"Molnár","given":"Zsolt"},{"family":"Obura","given":"David"},{"family":"Pfaff","given":"Alexander"},{"family":"Polasky","given":"Stephen"},{"family":"Purvis","given":"Andy"},{"family":"Razzaque","given":"Jona"},{"family":"Reyers","given":"Belinda"},{"family":"Chowdhury","given":"Rinku Roy"},{"family":"Shin","given":"Yunne-Jai"},{"family":"Visseren-Hamakers","given":"Ingrid"},{"family":"Willis","given":"Katherine J."},{"family":"Zayas","given":"Cynthia N."}],"issued":{"date-parts":[["2019",12,13]]}},"label":"page"},{"id":559,"uris":["http://zotero.org/users/9110477/items/FEWMFWHI"],"itemData":{"id":559,"type":"article-journal","abstract":"The United States may produce as much as 45% of its electricity using solar energy technology by 2050, which could require more than 40,000 km2 of land to be converted to large-scale solar energy production facilities. Little is known about how such development may impact animal movement. Here, we use five spatially explicit projections of solar energy development through 2050 to assess the extent to which ground-mounted photovoltaic solar energy expansion in the continental United States may impact land-cover and alter areas important for animal movement. Our results suggest that there could be a substantial overlap between solar energy development and land important for animal movement: across projections, 7−17% of total development is expected to occur on land with high value for movement between large protected areas, while 27−33% of total development is expected to occur on land with high value for climate-change-induced migration. We also found substantial variation in the potential overlap of development and land important for movement at the state level. Solar energy development, and the policies that shape it, may align goals for biodiversity and climate change by incorporating the preservation of animal movement as a consideration in the planning process.","call-number":"1","container-title":"Environmental Science &amp; Technology","DOI":"10.1021/acs.est.3c00578","ISSN":"0013-936X, 1520-5851","issue":"31","journalAbbreviation":"Environ. Sci. Technol.","language":"en","page":"11499-11509","source":"11.4","title":"Solar Energy-driven Land-cover Change Could Alter Landscapes Critical to Animal Movement in the Continental United States","volume":"57","author":[{"family":"Levin","given":"Michael O."},{"family":"Kalies","given":"Elizabeth L."},{"family":"Forester","given":"Emma"},{"family":"Jackson","given":"Elizabeth L. A."},{"family":"Levin","given":"Andrew H."},{"family":"Markus","given":"Caitlin"},{"family":"McKenzie","given":"Patrick F."},{"family":"Meek","given":"Jared B."},{"family":"Hernandez","given":"Rebecca R."}],"issued":{"date-parts":[["2023",8,8]]}},"label":"page"},{"id":560,"uris":["http://zotero.org/users/9110477/items/9IQGLU25"],"itemData":{"id":560,"type":"article-journal","call-number":"1","container-title":"Nature","DOI":"10.1038/nature22900","ISSN":"0028-0836, 1476-4687","issue":"7656","journalAbbreviation":"Nature","language":"en","page":"73-81","source":"64.8","title":"Future threats to biodiversity and pathways to their prevention","volume":"546","author":[{"family":"Tilman","given":"David"},{"family":"Clark","given":"Michael"},{"family":"Williams","given":"David R."},{"family":"Kimmel","given":"Kaitlin"},{"family":"Polasky","given":"Stephen"},{"family":"Packer","given":"Craig"}],"issued":{"date-parts":[["2017",6]]}},"label":"page"},{"id":565,"uris":["http://zotero.org/users/9110477/items/GF9G5PJM"],"itemData":{"id":565,"type":"article-journal","abstract":"Abstract\n            \n              Human pressures on the environment are changing spatially and temporally, with profound implications for the planet’s biodiversity and human economies. Here we use recently available data on infrastructure, land cover and human access into natural areas to construct a globally standardized measure of the cumulative human footprint on the terrestrial environment at 1 km\n              2\n              resolution from 1993 to 2009. We note that while the human population has increased by 23% and the world economy has grown 153%, the human footprint has increased by just 9%. Still, 75% the planet’s land surface is experiencing measurable human pressures. Moreover, pressures are perversely intense, widespread and rapidly intensifying in places with high biodiversity. Encouragingly, we discover decreases in environmental pressures in the wealthiest countries and those with strong control of corruption. Clearly the human footprint on Earth is changing, yet there are still opportunities for conservation gains.","call-number":"1","container-title":"Nature Communications","DOI":"10.1038/ncomms12558","ISSN":"2041-1723","issue":"1","journalAbbreviation":"Nat Commun","language":"en","page":"12558","source":"16.6","title":"Sixteen years of change in the global terrestrial human footprint and implications for biodiversity conservation","volume":"7","author":[{"family":"Venter","given":"Oscar"},{"family":"Sanderson","given":"Eric W."},{"family":"Magrach","given":"Ainhoa"},{"family":"Allan","given":"James R."},{"family":"Beher","given":"Jutta"},{"family":"Jones","given":"Kendall R."},{"family":"Possingham","given":"Hugh P."},{"family":"Laurance","given":"William F."},{"family":"Wood","given":"Peter"},{"family":"Fekete","given":"Balázs M."},{"family":"Levy","given":"Marc A."},{"family":"Watson","given":"James E. M."}],"issued":{"date-parts":[["2016",8,23]]}},"label":"page"}],"schema":"https://github.com/citation-style-language/schema/raw/master/csl-citation.json"} </w:instrText>
      </w:r>
      <w:r w:rsidR="00844949" w:rsidRPr="00844949">
        <w:rPr>
          <w:vertAlign w:val="superscript"/>
        </w:rPr>
        <w:fldChar w:fldCharType="separate"/>
      </w:r>
      <w:r w:rsidR="00844949" w:rsidRPr="00844949">
        <w:rPr>
          <w:kern w:val="0"/>
          <w:vertAlign w:val="superscript"/>
        </w:rPr>
        <w:t>1–4</w:t>
      </w:r>
      <w:r w:rsidR="00844949" w:rsidRPr="00844949">
        <w:rPr>
          <w:vertAlign w:val="superscript"/>
        </w:rPr>
        <w:fldChar w:fldCharType="end"/>
      </w:r>
      <w:bookmarkStart w:id="0" w:name="OLE_LINK5"/>
      <w:bookmarkStart w:id="1" w:name="OLE_LINK6"/>
      <w:r w:rsidR="00B6326A">
        <w:rPr>
          <w:rFonts w:hint="eastAsia"/>
        </w:rPr>
        <w:t xml:space="preserve"> </w:t>
      </w:r>
      <w:r w:rsidR="00B97CE6" w:rsidRPr="00844949">
        <w:t>C</w:t>
      </w:r>
      <w:r w:rsidR="00155AC9" w:rsidRPr="00D56A55">
        <w:t xml:space="preserve">limate change, </w:t>
      </w:r>
      <w:r w:rsidR="00B97CE6" w:rsidRPr="00D56A55">
        <w:t xml:space="preserve">often </w:t>
      </w:r>
      <w:r w:rsidR="003235CF" w:rsidRPr="00D56A55">
        <w:rPr>
          <w:rFonts w:hint="eastAsia"/>
        </w:rPr>
        <w:t>manifested in</w:t>
      </w:r>
      <w:r w:rsidR="00B97CE6" w:rsidRPr="00D56A55">
        <w:t xml:space="preserve"> </w:t>
      </w:r>
      <w:r w:rsidR="00155AC9" w:rsidRPr="00D56A55">
        <w:t>escalating global temperatures and extreme weather events, disrupt</w:t>
      </w:r>
      <w:r w:rsidR="00B97CE6" w:rsidRPr="00D56A55">
        <w:t>s</w:t>
      </w:r>
      <w:r w:rsidR="00155AC9" w:rsidRPr="00D56A55">
        <w:t xml:space="preserve"> ecological functioning, </w:t>
      </w:r>
      <w:r w:rsidR="003235CF" w:rsidRPr="00D56A55">
        <w:rPr>
          <w:rFonts w:hint="eastAsia"/>
        </w:rPr>
        <w:t>reduce</w:t>
      </w:r>
      <w:r w:rsidR="003235CF" w:rsidRPr="00D56A55">
        <w:t xml:space="preserve">s </w:t>
      </w:r>
      <w:r w:rsidR="00155AC9" w:rsidRPr="00D56A55">
        <w:t>species habitats, and further aggravat</w:t>
      </w:r>
      <w:r w:rsidR="00B97CE6" w:rsidRPr="00D56A55">
        <w:t>es</w:t>
      </w:r>
      <w:r w:rsidR="00155AC9" w:rsidRPr="00D56A55">
        <w:t xml:space="preserve"> the biodiversity loss exacerbated by excessive </w:t>
      </w:r>
      <w:r w:rsidR="005D4D78" w:rsidRPr="00D56A55">
        <w:t>energy consumption</w:t>
      </w:r>
      <w:bookmarkEnd w:id="0"/>
      <w:bookmarkEnd w:id="1"/>
      <w:r w:rsidR="003E3D2F" w:rsidRPr="00D56A55">
        <w:t>.</w:t>
      </w:r>
      <w:r w:rsidR="00155AC9" w:rsidRPr="00D56A55">
        <w:fldChar w:fldCharType="begin"/>
      </w:r>
      <w:r w:rsidR="00A43A89">
        <w:instrText xml:space="preserve"> ADDIN ZOTERO_ITEM CSL_CITATION {"citationID":"pHnmOBnb","properties":{"formattedCitation":"\\super 5\\nosupersub{}","plainCitation":"5","noteIndex":0},"citationItems":[{"id":4072,"uris":["http://zotero.org/users/9110477/items/SL9VMFH9"],"itemData":{"id":4072,"type":"article-journal","abstract":"Earth’s biodiversity and human societies face pollution, overconsumption of natural resources, urbanization, demographic shifts, social and economic inequalities, and habitat loss, many of which are exacerbated by climate change. Here, we review links among climate, biodiversity, and society and develop a roadmap toward sustainability. These include limiting warming to 1.5°C and effectively conserving and restoring functional ecosystems on 30 to 50% of land, freshwater, and ocean “scapes.” We envision a mosaic of interconnected protected and shared spaces, including intensively used spaces, to strengthen self-sustaining biodiversity, the capacity of people and nature to adapt to and mitigate climate change, and nature’s contributions to people. Fostering interlinked human, ecosystem, and planetary health for a livable future urgently requires bold implementation of transformative policy interventions through interconnected institutions, governance, and social systems from local to global levels.\n          , \n            Facing coupled environmental crises\n            \n              Humanity is facing major social and ecological impacts from climate change and biodiversity loss. These two crises are intertwined, with common causes and effects on one another. Pörtner\n              et al\n              . review the results of a joint meeting of members of the International Panels on Climate Change and Biodiversity and Ecosystem Services. They discuss the connections between biodiversity loss and climate change and propose potential solutions for addressing them as interconnected problems. Drastic reductions in greenhouse gas emissions, protection of multiuse landscapes and seascapes, and policies for providing equitable access to natural resources can help to ensure future ecological function and human well-being. —BEL\n            \n          , \n            A Review presents a guide to addressing climate change and biodiversity loss as nonindependent crises.\n          , \n            \n              BACKGROUND\n              Two intertwined crises threaten human well-being: Climate change—arising from human-induced greenhouse gas emissions, including those from the loss of biomass and biodiversity—is raising temperatures beyond those of the Holocene, when human civilization evolved and expanded globally. Mean warming and the increasing frequency and severity of extreme events in turn disturb ecosystem functioning, cause habitat loss to humans and biodiversity, and exacerbate the unprecedented loss of biodiversity already caused by human-induced habitat degradation, overexploitation of natural resources, and pollution. Both crises reduce nature’s contributions to people, which sustain well-being, livelihoods, economies, and development prospects and also support climate change adaptation and mitigation. Failing to act will increase human vulnerability, including poverty, food insecurity, involuntary displacement, and political instability and conflict. The coupled global climate and biodiversity crises and their societal impacts concern land, freshwater, and ocean ecosystems alike but are insufficiently tackled by current actions, as identified by assessments of both the IPCC (Intergovernmental Panel on Climate Change) and IPBES (Intergovernmental Science-Policy Platform on Biodiversity and Ecosystem Services). None of the 20 2011–2020 Aichi biodiversity targets and none of the mileposts on climate trajectories intended to limit warming to 1.5°C have been met.\n            \n            \n              ADVANCES\n              Climate, biodiversity, and societal challenges are intertwined but are often treated as singular problems. Solutions exist with cobenefits across sectors. In intact and functional ecosystems, nature is efficient at carbon capture (by photosynthesis) and sequestration (long-term removal from the carbon cycle), provided that warming is limited to 1.5°C or below through ambitious emissions reductions. Strengthening the biosphere on land, in freshwater, and in the ocean will support climate change mitigation, adaptation, biodiversity, human well-being, and livelihoods. Mounting scientific evidence points to the need to prioritize protection of remaining undamaged carbon- and species-rich environments and to implement targeted restoration projects, with more attention to effectively sustaining biodiversity and fairly distributed societal cobenefits. Three critical objectives for future spatial planning include a habitable climate, self-sustaining biodiversity, and sustained provisioning of nature’s contributions to people to support development and a good quality of life for all. Coordinated efforts among science and policy can identify and help navigate development pathways toward climate resilience for both human society and biodiversity.\n            \n            \n              OUTLOOK\n              New global biodiversity, climate, and sustainability targets envisioned for 2030 and 2050 will likely fail if drivers behind climate change and biodiversity loss remain insufficiently addressed or concrete actions to meet current political agreements and goals do not increase in pace and scale. The following actions are urgently needed. (i) Ambitious emissions reduction, combined with suitable adaptation measures. (ii) Effective protection of an average of 30 to 50% of surface areas across a mosaic of interspersed and interconnected land, ocean, and freshwater “scapes.” These cover a gradient, from pristine ecosystems; to spaces shared by humans and wild species and sustainably used; to spaces under intensive uses such as cities, which nonetheless can harbor substantial biodiversity in terrestrial and aquatic spaces. Efforts need to consider the specific spatial demands for healthy ecosystems. (iii) Building of development pathways and the underpinning of political, economic, and social institutions (including norms and rules) on visions such as collective responsibility, sustainable and circular uses of natural resources, avoidance of overconsumption and waste, and more equitable and participatory development regionally and globally. (iv) The enabling of just and equitable access to and benefits from natural assets across societies, groups, and individuals, securing good quality of life. Transformative action can overcome siloed approaches through institutional and individual change, achieving sustainability for nature and people, as well as human, ecosystem, and planetary health.\n              \n                \n                  Climate, biodiversity, and human society are coupled through dynamic interactions across scales.\n                  Human-caused exploitation and climate change are increasingly threatening biodiversity and nature’s contributions to people, causing losses and damages exemplified through overfished stocks and excessive drought that harm productive habitats.\n                \n                \n                \n                  CREDITS: SCHEMATIC (LEFT): S. LANGSDORF; ILLUSTRATIONS (RIGHT): N. CARY AND A. MASTIN/\n                  SCIENCE","call-number":"1","container-title":"Science","DOI":"10.1126/science.abl4881","ISSN":"0036-8075, 1095-9203","issue":"6642","journalAbbreviation":"Science","language":"en","page":"eabl4881","source":"56.9","title":"Overcoming the coupled climate and biodiversity crises and their societal impacts","volume":"380","author":[{"family":"Pörtner","given":"H.-O."},{"family":"Scholes","given":"R. J."},{"family":"Arneth","given":"A."},{"family":"Barnes","given":"D. K. A."},{"family":"Burrows","given":"M. T."},{"family":"Diamond","given":"S. E."},{"family":"Duarte","given":"C. M."},{"family":"Kiessling","given":"W."},{"family":"Leadley","given":"P."},{"family":"Managi","given":"S."},{"family":"McElwee","given":"P."},{"family":"Midgley","given":"G."},{"family":"Ngo","given":"H. T."},{"family":"Obura","given":"D."},{"family":"Pascual","given":"U."},{"family":"Sankaran","given":"M."},{"family":"Shin","given":"Y. J."},{"family":"Val","given":"A. L."}],"issued":{"date-parts":[["2023",4,21]]}}}],"schema":"https://github.com/citation-style-language/schema/raw/master/csl-citation.json"} </w:instrText>
      </w:r>
      <w:r w:rsidR="00155AC9" w:rsidRPr="00D56A55">
        <w:fldChar w:fldCharType="separate"/>
      </w:r>
      <w:r w:rsidR="00844949" w:rsidRPr="00844949">
        <w:rPr>
          <w:kern w:val="0"/>
          <w:vertAlign w:val="superscript"/>
        </w:rPr>
        <w:t>5</w:t>
      </w:r>
      <w:r w:rsidR="00155AC9" w:rsidRPr="00D56A55">
        <w:fldChar w:fldCharType="end"/>
      </w:r>
      <w:r w:rsidR="00B62756" w:rsidRPr="00D56A55">
        <w:t xml:space="preserve"> </w:t>
      </w:r>
      <w:r w:rsidR="00772915" w:rsidRPr="00D56A55">
        <w:rPr>
          <w:rFonts w:hint="eastAsia"/>
        </w:rPr>
        <w:t>To</w:t>
      </w:r>
      <w:r w:rsidR="00772915" w:rsidRPr="00D56A55">
        <w:t xml:space="preserve"> </w:t>
      </w:r>
      <w:r w:rsidR="00102D53" w:rsidRPr="00D56A55">
        <w:t>effectively</w:t>
      </w:r>
      <w:r w:rsidR="00772915" w:rsidRPr="00D56A55">
        <w:t xml:space="preserve"> </w:t>
      </w:r>
      <w:r w:rsidR="00772915" w:rsidRPr="00D56A55">
        <w:rPr>
          <w:rFonts w:hint="eastAsia"/>
        </w:rPr>
        <w:t>mitigate</w:t>
      </w:r>
      <w:r w:rsidR="00772915" w:rsidRPr="00D56A55">
        <w:t xml:space="preserve"> </w:t>
      </w:r>
      <w:r w:rsidR="00B97CE6" w:rsidRPr="00D56A55">
        <w:t>climate change</w:t>
      </w:r>
      <w:r w:rsidR="00772915" w:rsidRPr="00D56A55">
        <w:t xml:space="preserve">, </w:t>
      </w:r>
      <w:r>
        <w:t xml:space="preserve">countries </w:t>
      </w:r>
      <w:r w:rsidRPr="007B10EC">
        <w:t>have committed to developing renewable energy infrastructure, as reflected in nationally determined contributions and international climate agreements.</w:t>
      </w:r>
      <w:r w:rsidR="00772915" w:rsidRPr="00D56A55">
        <w:rPr>
          <w:szCs w:val="32"/>
        </w:rPr>
        <w:fldChar w:fldCharType="begin"/>
      </w:r>
      <w:r w:rsidR="00A43A89">
        <w:rPr>
          <w:szCs w:val="32"/>
        </w:rPr>
        <w:instrText xml:space="preserve"> ADDIN ZOTERO_ITEM CSL_CITATION {"citationID":"Tvm0rf2J","properties":{"formattedCitation":"\\super 6\\nosupersub{}","plainCitation":"6","noteIndex":0},"citationItems":[{"id":3873,"uris":["http://zotero.org/users/9110477/items/JZBJ2A4L"],"itemData":{"id":3873,"type":"article-journal","abstract":"The concept of carbon neutrality is much emphasized in IPCC Spatial Report on Global Warming of 1.5 °C in order to achieve the long-term temperature goals as reflected in Paris Agreement. To keep these goals within reach, peaking the global carbon emissions as soon as possible and achieving carbon neutrality are urgently needed. However, global CO2 emissions continued to grow up to a record high of 43.1 Gt CO2 during 2019, with fossil CO2 emissions of 36.5 Gt CO2 and land-use change emissions of 6.6 Gt CO2. In such case, the global carbon emissions must drop 32 Gt CO2 (7.6% per year) from 2020 to 2030 for the 1.5 °C warming limit, which is even larger than the COVID-induced reduction (6.4%) in global CO2 emissions during 2020. Recently, China has announced scaling up its national commitments, aiming to peak its CO2 emissions before 2030 and achieve carbon neutrality before 2060. Achieving these goals requires rapid and far-reaching transitions in the whole society. On the one hand, deeper emissions reduction in all sectors includes decarbonization of energy, electrification, increasing share of renewables, energy efficiency, sustainable land management, decarbonization of transport, reducing food loss and waste, as well as behavior and lifestyles changes. On the other hand, possible actions by removing CO2 from the atmosphere involves enlarging land and ocean net carbon sink, CO2 removal technologies (such as Bioenergy with carbon capture and storage), and CO2 capture, utilization and storage technologies, but should be caution for their scales and tradeoffs.","call-number":"2","container-title":"Advances in Climate Change Research","DOI":"10.1016/j.accre.2021.03.004","ISSN":"1674-9278","issue":"2","journalAbbreviation":"Advances in Climate Change Research","page":"281-286","source":"7.4","title":"Achieving Paris Agreement temperature goals requires carbon neutrality by middle century with far-reaching transitions in the whole society","volume":"12","author":[{"family":"Huang","given":"Meng-Tian"},{"family":"Zhai","given":"Pan-Mao"}],"issued":{"date-parts":[["2021",4,1]]}}}],"schema":"https://github.com/citation-style-language/schema/raw/master/csl-citation.json"} </w:instrText>
      </w:r>
      <w:r w:rsidR="00772915" w:rsidRPr="00D56A55">
        <w:rPr>
          <w:szCs w:val="32"/>
        </w:rPr>
        <w:fldChar w:fldCharType="separate"/>
      </w:r>
      <w:r w:rsidR="00844949" w:rsidRPr="00844949">
        <w:rPr>
          <w:kern w:val="0"/>
          <w:vertAlign w:val="superscript"/>
        </w:rPr>
        <w:t>6</w:t>
      </w:r>
      <w:r w:rsidR="00772915" w:rsidRPr="00D56A55">
        <w:rPr>
          <w:szCs w:val="32"/>
        </w:rPr>
        <w:fldChar w:fldCharType="end"/>
      </w:r>
      <w:r w:rsidR="00772915" w:rsidRPr="00D56A55">
        <w:t xml:space="preserve"> </w:t>
      </w:r>
      <w:r w:rsidR="00134F04" w:rsidRPr="00D56A55">
        <w:t xml:space="preserve">China and the US, for example, have </w:t>
      </w:r>
      <w:r w:rsidR="00F32EB6">
        <w:t>presented</w:t>
      </w:r>
      <w:r w:rsidR="00134F04" w:rsidRPr="00D56A55">
        <w:t xml:space="preserve"> strategies for their renewable energy infrastructure. China </w:t>
      </w:r>
      <w:r w:rsidR="00102D53" w:rsidRPr="00D56A55">
        <w:rPr>
          <w:rFonts w:hint="eastAsia"/>
        </w:rPr>
        <w:t xml:space="preserve">has </w:t>
      </w:r>
      <w:r w:rsidR="00134F04" w:rsidRPr="00D56A55">
        <w:t>commit</w:t>
      </w:r>
      <w:r w:rsidR="00102D53" w:rsidRPr="00D56A55">
        <w:rPr>
          <w:rFonts w:hint="eastAsia"/>
        </w:rPr>
        <w:t>ted</w:t>
      </w:r>
      <w:r w:rsidR="00134F04" w:rsidRPr="00D56A55">
        <w:t xml:space="preserve"> to </w:t>
      </w:r>
      <w:r w:rsidR="00102D53" w:rsidRPr="00D56A55">
        <w:rPr>
          <w:rFonts w:hint="eastAsia"/>
        </w:rPr>
        <w:t>increasing</w:t>
      </w:r>
      <w:r w:rsidR="00134F04" w:rsidRPr="00D56A55">
        <w:t xml:space="preserve"> the </w:t>
      </w:r>
      <w:r w:rsidR="00102D53" w:rsidRPr="00D56A55">
        <w:rPr>
          <w:rFonts w:hint="eastAsia"/>
        </w:rPr>
        <w:t>share</w:t>
      </w:r>
      <w:r w:rsidR="00102D53" w:rsidRPr="00D56A55">
        <w:t xml:space="preserve"> </w:t>
      </w:r>
      <w:r w:rsidR="00134F04" w:rsidRPr="00D56A55">
        <w:t xml:space="preserve">of non-fossil </w:t>
      </w:r>
      <w:r w:rsidR="00A14A66" w:rsidRPr="00D56A55">
        <w:t xml:space="preserve">fuels in primary </w:t>
      </w:r>
      <w:r w:rsidR="00134F04" w:rsidRPr="00D56A55">
        <w:t xml:space="preserve">energy </w:t>
      </w:r>
      <w:r w:rsidR="00A76158" w:rsidRPr="00D56A55">
        <w:t>consumption</w:t>
      </w:r>
      <w:r w:rsidR="00134F04" w:rsidRPr="00D56A55">
        <w:t xml:space="preserve"> to 25% by 2030,</w:t>
      </w:r>
      <w:r w:rsidR="00B83B86" w:rsidRPr="00D56A55">
        <w:t xml:space="preserve"> </w:t>
      </w:r>
      <w:r w:rsidR="00F32EB6">
        <w:t xml:space="preserve">and </w:t>
      </w:r>
      <w:r w:rsidR="00134F04" w:rsidRPr="00D56A55">
        <w:t xml:space="preserve">the US has reiterated its </w:t>
      </w:r>
      <w:r w:rsidR="00102D53" w:rsidRPr="00D56A55">
        <w:rPr>
          <w:rFonts w:hint="eastAsia"/>
        </w:rPr>
        <w:t>commitment</w:t>
      </w:r>
      <w:r w:rsidR="00102D53" w:rsidRPr="00D56A55">
        <w:t xml:space="preserve"> </w:t>
      </w:r>
      <w:r w:rsidR="00134F04" w:rsidRPr="00D56A55">
        <w:t>to achiev</w:t>
      </w:r>
      <w:r w:rsidR="00102D53" w:rsidRPr="00D56A55">
        <w:rPr>
          <w:rFonts w:hint="eastAsia"/>
        </w:rPr>
        <w:t>e</w:t>
      </w:r>
      <w:r w:rsidR="00134F04" w:rsidRPr="00D56A55">
        <w:t xml:space="preserve"> carbon neutrality by 2050</w:t>
      </w:r>
      <w:r w:rsidR="003E3D2F" w:rsidRPr="00D56A55">
        <w:t>.</w:t>
      </w:r>
      <w:r w:rsidR="00134F04" w:rsidRPr="00D56A55">
        <w:rPr>
          <w:szCs w:val="32"/>
        </w:rPr>
        <w:fldChar w:fldCharType="begin"/>
      </w:r>
      <w:r w:rsidR="00A43A89">
        <w:rPr>
          <w:szCs w:val="32"/>
        </w:rPr>
        <w:instrText xml:space="preserve"> ADDIN ZOTERO_ITEM CSL_CITATION {"citationID":"t42vpCVE","properties":{"formattedCitation":"\\super 6\\nosupersub{}","plainCitation":"6","noteIndex":0},"citationItems":[{"id":3873,"uris":["http://zotero.org/users/9110477/items/JZBJ2A4L"],"itemData":{"id":3873,"type":"article-journal","abstract":"The concept of carbon neutrality is much emphasized in IPCC Spatial Report on Global Warming of 1.5 °C in order to achieve the long-term temperature goals as reflected in Paris Agreement. To keep these goals within reach, peaking the global carbon emissions as soon as possible and achieving carbon neutrality are urgently needed. However, global CO2 emissions continued to grow up to a record high of 43.1 Gt CO2 during 2019, with fossil CO2 emissions of 36.5 Gt CO2 and land-use change emissions of 6.6 Gt CO2. In such case, the global carbon emissions must drop 32 Gt CO2 (7.6% per year) from 2020 to 2030 for the 1.5 °C warming limit, which is even larger than the COVID-induced reduction (6.4%) in global CO2 emissions during 2020. Recently, China has announced scaling up its national commitments, aiming to peak its CO2 emissions before 2030 and achieve carbon neutrality before 2060. Achieving these goals requires rapid and far-reaching transitions in the whole society. On the one hand, deeper emissions reduction in all sectors includes decarbonization of energy, electrification, increasing share of renewables, energy efficiency, sustainable land management, decarbonization of transport, reducing food loss and waste, as well as behavior and lifestyles changes. On the other hand, possible actions by removing CO2 from the atmosphere involves enlarging land and ocean net carbon sink, CO2 removal technologies (such as Bioenergy with carbon capture and storage), and CO2 capture, utilization and storage technologies, but should be caution for their scales and tradeoffs.","call-number":"2","container-title":"Advances in Climate Change Research","DOI":"10.1016/j.accre.2021.03.004","ISSN":"1674-9278","issue":"2","journalAbbreviation":"Advances in Climate Change Research","page":"281-286","source":"7.4","title":"Achieving Paris Agreement temperature goals requires carbon neutrality by middle century with far-reaching transitions in the whole society","volume":"12","author":[{"family":"Huang","given":"Meng-Tian"},{"family":"Zhai","given":"Pan-Mao"}],"issued":{"date-parts":[["2021",4,1]]}}}],"schema":"https://github.com/citation-style-language/schema/raw/master/csl-citation.json"} </w:instrText>
      </w:r>
      <w:r w:rsidR="00134F04" w:rsidRPr="00D56A55">
        <w:rPr>
          <w:szCs w:val="32"/>
        </w:rPr>
        <w:fldChar w:fldCharType="separate"/>
      </w:r>
      <w:r w:rsidR="00844949" w:rsidRPr="00844949">
        <w:rPr>
          <w:kern w:val="0"/>
          <w:vertAlign w:val="superscript"/>
        </w:rPr>
        <w:t>6</w:t>
      </w:r>
      <w:r w:rsidR="00134F04" w:rsidRPr="00D56A55">
        <w:rPr>
          <w:szCs w:val="32"/>
        </w:rPr>
        <w:fldChar w:fldCharType="end"/>
      </w:r>
      <w:r w:rsidR="00772915" w:rsidRPr="00D56A55">
        <w:t xml:space="preserve"> </w:t>
      </w:r>
      <w:r w:rsidR="00B97CE6" w:rsidRPr="00D56A55">
        <w:t>T</w:t>
      </w:r>
      <w:r w:rsidR="00C819B3" w:rsidRPr="00D56A55">
        <w:t>he International Energy Agency (IEA)</w:t>
      </w:r>
      <w:r w:rsidR="00B97CE6" w:rsidRPr="00D56A55">
        <w:t xml:space="preserve"> predicts that renewable energy will </w:t>
      </w:r>
      <w:r w:rsidR="00102D53" w:rsidRPr="00D56A55">
        <w:rPr>
          <w:rFonts w:hint="eastAsia"/>
        </w:rPr>
        <w:t>become</w:t>
      </w:r>
      <w:r w:rsidR="00B97CE6" w:rsidRPr="00D56A55">
        <w:t xml:space="preserve"> a significant </w:t>
      </w:r>
      <w:r w:rsidR="00102D53" w:rsidRPr="00D56A55">
        <w:rPr>
          <w:rFonts w:hint="eastAsia"/>
        </w:rPr>
        <w:t>part</w:t>
      </w:r>
      <w:r w:rsidR="00102D53" w:rsidRPr="00D56A55">
        <w:t xml:space="preserve"> </w:t>
      </w:r>
      <w:r w:rsidR="00B97CE6" w:rsidRPr="00D56A55">
        <w:t xml:space="preserve">of the global energy system, contributing 80% </w:t>
      </w:r>
      <w:r w:rsidR="00102D53" w:rsidRPr="00D56A55">
        <w:rPr>
          <w:rFonts w:hint="eastAsia"/>
        </w:rPr>
        <w:t>of</w:t>
      </w:r>
      <w:r w:rsidR="00102D53" w:rsidRPr="00D56A55">
        <w:t xml:space="preserve"> </w:t>
      </w:r>
      <w:r w:rsidR="00B97CE6" w:rsidRPr="00D56A55">
        <w:t xml:space="preserve">power generation capacity and 42% </w:t>
      </w:r>
      <w:r w:rsidR="00102D53" w:rsidRPr="00D56A55">
        <w:rPr>
          <w:rFonts w:hint="eastAsia"/>
        </w:rPr>
        <w:t>of</w:t>
      </w:r>
      <w:r w:rsidR="00102D53" w:rsidRPr="00D56A55">
        <w:t xml:space="preserve"> </w:t>
      </w:r>
      <w:r w:rsidR="00B97CE6" w:rsidRPr="00D56A55">
        <w:t>global electricity generation by 2030</w:t>
      </w:r>
      <w:r w:rsidR="00850BB7">
        <w:rPr>
          <w:rFonts w:hint="eastAsia"/>
        </w:rPr>
        <w:t>.</w:t>
      </w:r>
      <w:r w:rsidR="00850BB7">
        <w:fldChar w:fldCharType="begin"/>
      </w:r>
      <w:r w:rsidR="00A43A89">
        <w:instrText xml:space="preserve"> ADDIN ZOTERO_ITEM CSL_CITATION {"citationID":"kV0WZct4","properties":{"formattedCitation":"\\super 7\\nosupersub{}","plainCitation":"7","noteIndex":0},"citationItems":[{"id":4140,"uris":["http://zotero.org/users/9110477/items/E2HWKACV"],"itemData":{"id":4140,"type":"webpage","abstract":"Renewables, including solar, wind, hydropower, biofuels and others, are at the centre of the transition to less carbon-intensive and more sustainable energy systems. Generation capacity has grown rapidly in recent years, driven by policy support and sharp","container-title":"IEA","language":"en-GB","title":"Renewables 2023","URL":"https://www.iea.org/energy-system/renewables","accessed":{"date-parts":[["2024",3,5]]}}}],"schema":"https://github.com/citation-style-language/schema/raw/master/csl-citation.json"} </w:instrText>
      </w:r>
      <w:r w:rsidR="00850BB7">
        <w:fldChar w:fldCharType="separate"/>
      </w:r>
      <w:r w:rsidR="00844949" w:rsidRPr="00844949">
        <w:rPr>
          <w:kern w:val="0"/>
          <w:vertAlign w:val="superscript"/>
        </w:rPr>
        <w:t>7</w:t>
      </w:r>
      <w:r w:rsidR="00850BB7">
        <w:fldChar w:fldCharType="end"/>
      </w:r>
    </w:p>
    <w:p w14:paraId="7194F7AB" w14:textId="6B3D2224" w:rsidR="005720A9" w:rsidRDefault="00C905FD" w:rsidP="00C905FD">
      <w:pPr>
        <w:spacing w:line="360" w:lineRule="auto"/>
        <w:ind w:firstLine="360"/>
      </w:pPr>
      <w:r>
        <w:rPr>
          <w:rFonts w:hint="eastAsia"/>
        </w:rPr>
        <w:t xml:space="preserve">However, </w:t>
      </w:r>
      <w:r w:rsidR="00F32EB6">
        <w:t>R</w:t>
      </w:r>
      <w:r w:rsidR="00B83B86" w:rsidRPr="00D56A55">
        <w:t>enewable energy technology</w:t>
      </w:r>
      <w:r w:rsidR="00F45FC5" w:rsidRPr="00D56A55">
        <w:t xml:space="preserve"> like solar, wind, and hydroelectric power</w:t>
      </w:r>
      <w:r w:rsidR="00B97CE6" w:rsidRPr="00D56A55">
        <w:t xml:space="preserve"> ha</w:t>
      </w:r>
      <w:r w:rsidR="00F45FC5" w:rsidRPr="00D56A55">
        <w:t>ve</w:t>
      </w:r>
      <w:r w:rsidR="00B97CE6" w:rsidRPr="00D56A55">
        <w:t xml:space="preserve"> lower energy densit</w:t>
      </w:r>
      <w:r w:rsidR="00912073">
        <w:t>ies</w:t>
      </w:r>
      <w:r w:rsidR="00B97CE6" w:rsidRPr="00D56A55">
        <w:t xml:space="preserve"> </w:t>
      </w:r>
      <w:r w:rsidR="00102D53" w:rsidRPr="00D56A55">
        <w:rPr>
          <w:rFonts w:hint="eastAsia"/>
        </w:rPr>
        <w:t>than</w:t>
      </w:r>
      <w:r w:rsidR="00B97CE6" w:rsidRPr="00D56A55">
        <w:t xml:space="preserve"> traditional fossil </w:t>
      </w:r>
      <w:r w:rsidR="00102D53" w:rsidRPr="00D56A55">
        <w:rPr>
          <w:rFonts w:hint="eastAsia"/>
        </w:rPr>
        <w:t>fuels</w:t>
      </w:r>
      <w:r w:rsidR="00B83B86" w:rsidRPr="00D56A55">
        <w:t>.</w:t>
      </w:r>
      <w:r w:rsidR="00623576" w:rsidRPr="00D56A55">
        <w:fldChar w:fldCharType="begin"/>
      </w:r>
      <w:r w:rsidR="00A43A89">
        <w:instrText xml:space="preserve"> ADDIN ZOTERO_ITEM CSL_CITATION {"citationID":"8f85AkcG","properties":{"formattedCitation":"\\super 8\\nosupersub{}","plainCitation":"8","noteIndex":0},"citationItems":[{"id":4143,"uris":["http://zotero.org/users/9110477/items/52VWJNPK"],"itemData":{"id":4143,"type":"article-journal","abstract":"Energy systems are undergoing a significant shift to renewable energy (RE). To date, the surface area required for RE systems is greater than that for non-RE systems, exacerbating existing environmental policy challenges, from increasing land competition, to visual impacts. A suitable metric for comparing the extent of systems is the power density of electricity production, that is, the electrical power produced per horizontal m2 of surface area. This study systematically reviews power densities for 9 energy-types (wind, solar etc.) and multiple sub-types (e.g., for solar power: PV, solar thermal) in the United States. Median, mean, and uncertainty estimates are provided for 177 different densities from the literature. Non-renewable power densities are found to be three orders of magnitude larger than renewable densities. Natural gas and solar energy yield the highest median density per non-RE, and RE system respectively. Solar energy was the only system to experience a significant, positive relationship in power density over time. We apply these density estimates to NREL scenarios of future energy systems for state-specific assessments, and find that the largest growth in land use is in the southern United States.","call-number":"2","container-title":"Energy Policy","DOI":"10.1016/j.enpol.2018.08.023","ISSN":"0301-4215","journalAbbreviation":"Energy Policy","page":"83-91","source":"9","title":"The spatial extent of renewable and non-renewable power generation: A review and meta-analysis of power densities and their application in the U.S.","title-short":"The spatial extent of renewable and non-renewable power generation","volume":"123","author":[{"family":"Zalk","given":"John","non-dropping-particle":"van"},{"family":"Behrens","given":"Paul"}],"issued":{"date-parts":[["2018",12,1]]}}}],"schema":"https://github.com/citation-style-language/schema/raw/master/csl-citation.json"} </w:instrText>
      </w:r>
      <w:r w:rsidR="00623576" w:rsidRPr="00D56A55">
        <w:fldChar w:fldCharType="separate"/>
      </w:r>
      <w:r w:rsidR="00844949" w:rsidRPr="00844949">
        <w:rPr>
          <w:kern w:val="0"/>
          <w:vertAlign w:val="superscript"/>
        </w:rPr>
        <w:t>8</w:t>
      </w:r>
      <w:r w:rsidR="00623576" w:rsidRPr="00D56A55">
        <w:fldChar w:fldCharType="end"/>
      </w:r>
      <w:r w:rsidR="00623576" w:rsidRPr="00D56A55" w:rsidDel="00623576">
        <w:t xml:space="preserve"> </w:t>
      </w:r>
      <w:r w:rsidR="00B97CE6" w:rsidRPr="00D56A55">
        <w:t>As a result, renewable energy infrastructure requires approximately 10 times more land area to produce the same amount of energy as typical fossil fuel facilities</w:t>
      </w:r>
      <w:r w:rsidR="003E3D2F" w:rsidRPr="00D56A55">
        <w:t>.</w:t>
      </w:r>
      <w:r w:rsidR="00F860F4" w:rsidRPr="00D56A55">
        <w:rPr>
          <w:szCs w:val="32"/>
        </w:rPr>
        <w:fldChar w:fldCharType="begin"/>
      </w:r>
      <w:r w:rsidR="00A43A89">
        <w:rPr>
          <w:szCs w:val="32"/>
        </w:rPr>
        <w:instrText xml:space="preserve"> ADDIN ZOTERO_ITEM CSL_CITATION {"citationID":"RNWmJeNs","properties":{"formattedCitation":"\\super 9\\uc0\\u8211{}11\\nosupersub{}","plainCitation":"9–11","noteIndex":0},"citationItems":[{"id":720,"uris":["http://zotero.org/users/9110477/items/PV2LHUD7"],"itemData":{"id":720,"type":"article-journal","abstract":"Significance\n            Conservation scientists warn of the threat to area-based conservation posed by renewable energy infrastructure. Here, we show that the current and near-term overlap of the two land uses need not be as severe as previously suggested. This is important, as global efforts to decarbonize energy systems are central to mitigating against climate change and the strong negative impacts of projected climate change on biodiversity.\n          , \n            Protected areas and renewable energy generation are critical tools to combat biodiversity loss and climate change, respectively. Over the coming decades, expansion of the protected area network to meet conservation objectives will be occurring alongside rapid deployment of renewable energy infrastructure to meet climate targets, driving potential conflict for a finite land resource. Renewable energy infrastructure can have negative effects on wildlife, and co-occurrence may mean emissions targets are met at the expense of conservation objectives. Here, we assess current and projected overlaps of wind and solar photovoltaic installations and important conservation areas across nine global regions using spatially explicit wind and solar data and methods for predicting future renewable expansion. We show similar levels of co-occurrence as previous studies but demonstrate that once area is accounted for, previous concerns about overlaps in the Northern Hemisphere may be largely unfounded, although they are high in some biodiverse countries (e.g., Brazil). Future projections of overlap between the two land uses presented here are generally dependent on priority threshold and region and suggest the risk of future conflict can be low. We use the best available data on protected area degradation to corroborate this level of risk. Together, our findings indicate that while conflicts between renewables and protected areas inevitably do occur, renewables represent an important option for decarbonization of the energy sector that would not significantly affect area-based conservation targets if deployed with appropriate policy and regulatory controls.","container-title":"Proceedings of the National Academy of Sciences","DOI":"10.1073/pnas.2104764119","ISSN":"0027-8424, 1091-6490","issue":"6","journalAbbreviation":"Proc. Natl. Acad. Sci. U.S.A.","language":"en","page":"e2104764119","title":"Predicted wind and solar energy expansion has minimal overlap with multiple conservation priorities across global regions","volume":"119","author":[{"family":"Dunnett","given":"Sebastian"},{"family":"Holland","given":"Robert A."},{"family":"Taylor","given":"Gail"},{"family":"Eigenbrod","given":"Felix"}],"issued":{"date-parts":[["2022",2,8]]}},"label":"page"},{"id":3852,"uris":["http://zotero.org/users/9110477/items/MW2GESYC"],"itemData":{"id":3852,"type":"article-journal","call-number":"2","container-title":"Environmental Research Letters","DOI":"10.1088/1748-9326/aae102","ISSN":"1748-9326","issue":"10","journalAbbreviation":"Environ. Res. Lett.","page":"104008","source":"6.7","title":"Observation-based solar and wind power capacity factors and power densities","volume":"13","author":[{"family":"Miller","given":"Lee M"},{"family":"Keith","given":"David W"}],"issued":{"date-parts":[["2018",10,4]]}},"label":"page"},{"id":4477,"uris":["http://zotero.org/users/9110477/items/VCNMQABF"],"itemData":{"id":4477,"type":"article-journal","abstract":"Renewable-energy sources often are regarded as dispersed and difficult to collect, thus requiring substantial land resources in comparison to conventional energy sources. In this review, we present the normalized land requirements during the life cycles of conventional- and renewable-energy options, covering coal, natural gas, nuclear, hydroelectric, photovoltaics, wind, and biomass. We compared the land transformation and occupation matrices within a life-cycle framework across those fuel cycles. Although the estimates vary with regional and technological conditions, the photovoltaic (PV) cycle requires the least amount of land among renewable-energy options, while the biomass cycle requires the largest amount. Moreover, we determined that, in most cases, ground-mount PV systems in areas of high insolation transform less land than the coal-fuel cycle coupled with surface mining. In terms of land occupation, the biomass-fuel cycle requires the greatest amount, followed by the nuclear-fuel cycle. Although not detailed in this review, conventional electricity-generation technologies also pose secondary effects on land use, including contamination and disruptions of the ecosystems of adjacent lands, and land disruptions by fuel-cycle-related accidents.","container-title":"Renewable and Sustainable Energy Reviews","DOI":"10.1016/j.rser.2008.09.017","ISSN":"1364-0321","issue":"6","journalAbbreviation":"Renewable and Sustainable Energy Reviews","page":"1465-1474","source":"ScienceDirect","title":"Land use and electricity generation: A life-cycle analysis","title-short":"Land use and electricity generation","volume":"13","author":[{"family":"Fthenakis","given":"Vasilis"},{"family":"Kim","given":"Hyung Chul"}],"issued":{"date-parts":[["2009",8,1]]}},"label":"page"}],"schema":"https://github.com/citation-style-language/schema/raw/master/csl-citation.json"} </w:instrText>
      </w:r>
      <w:r w:rsidR="00F860F4" w:rsidRPr="00D56A55">
        <w:rPr>
          <w:szCs w:val="32"/>
        </w:rPr>
        <w:fldChar w:fldCharType="separate"/>
      </w:r>
      <w:r w:rsidR="00844949" w:rsidRPr="00844949">
        <w:rPr>
          <w:kern w:val="0"/>
          <w:vertAlign w:val="superscript"/>
        </w:rPr>
        <w:t>9–11</w:t>
      </w:r>
      <w:r w:rsidR="00F860F4" w:rsidRPr="00D56A55">
        <w:rPr>
          <w:szCs w:val="32"/>
        </w:rPr>
        <w:fldChar w:fldCharType="end"/>
      </w:r>
      <w:r w:rsidR="00F860F4" w:rsidRPr="00D56A55">
        <w:t xml:space="preserve"> </w:t>
      </w:r>
      <w:r w:rsidR="00912073" w:rsidRPr="00912073">
        <w:t>This heightened land demand encroaches on agricultural fields, wilderness areas, and protected habitats, exacerbating biodiversity loss even with conservation efforts.</w:t>
      </w:r>
      <w:r w:rsidR="00011FC0">
        <w:fldChar w:fldCharType="begin"/>
      </w:r>
      <w:r w:rsidR="00A43A89">
        <w:instrText xml:space="preserve"> ADDIN ZOTERO_ITEM CSL_CITATION {"citationID":"SLR4yANe","properties":{"formattedCitation":"\\super 12\\uc0\\u8211{}14\\nosupersub{}","plainCitation":"12–14","noteIndex":0},"citationItems":[{"id":660,"uris":["http://zotero.org/users/9110477/items/4DC6X3TY"],"itemData":{"id":660,"type":"article-journal","abstract":"Transitioning from fossil fuels to renewable energy is fundamental for halting anthropogenic climate change. However, renewable energy facilities can be land-use intensive and impact conservation areas, and little attention has been given to whether the aggregated effect of energy transitions poses a substantial threat to global biodiversity. Here, we assess the extent of current and likely future renewable energy infrastructure associated with onshore wind, hydropower and solar photovoltaic generation, within three important conservation areas: protected areas, Key Biodiversity Areas and Earth’s remaining wilderness. We identified 2,206 fully operational renewable energy facilities within the boundaries of these conservation areas, with another 922 facilities under development. Combined, these facilities span and are degrading 886 protected areas, 749 Key Biodiversity Areas, and 40 distinct wilderness areas. Two trends are particularly concerning. First, while the majority of historical overlap occurs in Western Europe, the renewable electricity facilities under development increasingly overlap with conservation areas in South East Asia, a globally important region for biodiversity. Second, this next wave of renewable energy infrastructure represents a ~30% increase in the number of protected areas and Key Biodiversity Areas impacted and could increase the number of compromised wilderness areas by ~60%. If the world continues to rapidly transition towards renewable energy these areas will face increasing pressure to allow infrastructure expansion. Coordinated planning of renewable energy expansion and biodiversity conservation is essential to avoid conflicts that compromise their respective objectives.","call-number":"1","container-title":"Global Change Biology","DOI":"10.1111/gcb.15067","ISSN":"1354-1013, 1365-2486","issue":"5","journalAbbreviation":"Glob Change Biol","language":"en","page":"3040-3051","source":"11.6","title":"Renewable energy development threatens many globally important biodiversity areas","volume":"26","author":[{"family":"Rehbein","given":"Jose A."},{"family":"Watson","given":"James E. M."},{"family":"Lane","given":"Joe L."},{"family":"Sonter","given":"Laura J."},{"family":"Venter","given":"Oscar"},{"family":"Atkinson","given":"Scott C."},{"family":"Allan","given":"James R."}],"issued":{"date-parts":[["2020",5]]}},"label":"page"},{"id":4295,"uris":["http://zotero.org/users/9110477/items/Y2QG2YGM"],"itemData":{"id":4295,"type":"article-journal","abstract":"Addressing climate mitigation while meeting global electrification goals will require major transitions from fossil-fuel dependence to large-scale renewable energy deployment. However, renewables require significant land assets per unit energy and could come at high cost to ecosystems, creating potential conflicts between global climate mitigation and biodiversity conservation. Here, we explore the potential biodiversity implications of alternative future global electrification pathways as depicted under the Shared Socioeconomic Scenarios (SSPs), i.e., alternative trends in societal development. We examined the intersection of high-resolution estimates of global energy densities for ten renewable and conventional technologies with global richness data to estimate technology-specific biodiversity footprints (species per GWh), whereas a Cumulative Biodiversity Impact (CBI) score was used to assess land and biodiversity outcomes of alternative scenarios. Downscaled electricity generation scenarios (2020−2100) were also constrained by alternative land conservation and energy development policies. Unexpectedly, variation among SSPs did not exhibit a clear tradeoff between global climate mitigation and CBI. Rather, CBIs were an outcome of total infrastructure development to meet electricity demand (from population growth and GDP) and the total magnitude of renewable energy development and storage technologies. Renewables assembled along a spectrum from land sharing to sparing. At the land sharing end, biomass-powered electricity from dedicated crops contributed the most to biodiversity impacts due to low energy density, whereas land-sparing technologies (solar) caused more-intense land degradation, but in smaller areas. Our results suggest that local land conservation practices and strategies promoting energy diversification could have greater implications for future biodiversity conflicts than global socioeconomic drivers.","call-number":"1","container-title":"Biological Conservation","DOI":"10.1016/j.biocon.2021.109234","ISSN":"0006-3207","journalAbbreviation":"Biological Conservation","language":"en-US","page":"109234","source":"5.9","title":"Global Biodiversity Implications of Alternative Electrification Strategies Under the Shared Socioeconomic Pathways","volume":"260","author":[{"family":"McManamay","given":"Ryan A."},{"family":"Vernon","given":"Chris R."},{"family":"Jager","given":"Henriette I."}],"issued":{"date-parts":[["2021",8,1]]}},"label":"page"},{"id":4476,"uris":["http://zotero.org/users/9110477/items/76NCHAPB"],"itemData":{"id":4476,"type":"article-journal","abstract":"Meeting climate mitigation and sustainable development goals requires rapid increases in both renewable energy development and carbon storage in ecosystems. If sited with the sole goal of maximizing production, renewable energy may negatively impact biodiversity and carbon storage. Here, we evaluated the potential unintended environmental consequences of this type of business-as-usual development scenario. We spatially allocated land-based, utility-scaled wind and solar energy needed to achieve emission reduction goals from nationally determined contributions under the Paris Climate Agreement. Siting was conducted at 1-km resolution and followed a scenario where on-shore wind, concentrated solar power, and photovoltaic solar renewable energy developments were located where wind and solar resources were highest. Once sited, we evaluated the potential losses of natural lands, Key Biodiversity Areas (KBAs), threatened and endangered species, and carbon emissions. Over 11 million ha of natural lands can be lost (&gt;1/4 in KBAs), releasing almost 415 million tons of carbon storage, which equals 8.6% of overall Paris Agreement emission reduction goals. Globally we found that the ranges of 1,574 threatened and endanger species could be impacted, with the highest numbers in the tropical countries of Indonesia (282), Malaysia (273) and Thailand (253). Avoiding land-based emissions through improved renewable </w:instrText>
      </w:r>
      <w:r w:rsidR="00A43A89">
        <w:rPr>
          <w:rFonts w:hint="eastAsia"/>
        </w:rPr>
        <w:instrText>energy siting can reduce these losses, potentially saving $47.5-$155.9 billion USD based on social carbon costs. Consideration of these impacts will help reduce investor risk to facilitate a timely transition to a low-carbon economy.","call-number":"3 (</w:instrText>
      </w:r>
      <w:r w:rsidR="00A43A89">
        <w:rPr>
          <w:rFonts w:hint="eastAsia"/>
        </w:rPr>
        <w:instrText>低预警</w:instrText>
      </w:r>
      <w:r w:rsidR="00A43A89">
        <w:rPr>
          <w:rFonts w:hint="eastAsia"/>
        </w:rPr>
        <w:instrText>)","container-title":"Frontiers in Environmental Science","DOI":"10.3389/fenvs.2019.00151","ISSN":"2296-665X","journalAbbreviation":"Front. Environ. Sci.","language":"English","note":"publisher: Frontiers","source":"4.6","title":"Hitting the Target but M</w:instrText>
      </w:r>
      <w:r w:rsidR="00A43A89">
        <w:instrText xml:space="preserve">issing the Mark: Unintended Environmental Consequences of the Paris Climate Agreement","title-short":"Hitting the Target but Missing the Mark","URL":"https://www.frontiersin.org/articles/10.3389/fenvs.2019.00151","volume":"7","author":[{"family":"Kiesecker","given":"Joseph"},{"family":"Baruch-Mordo","given":"Sharon"},{"family":"Kennedy","given":"Christina M."},{"family":"Oakleaf","given":"James R."},{"family":"Baccini","given":"Alessandro"},{"family":"Griscom","given":"Bronson W."}],"accessed":{"date-parts":[["2024",5,17]]},"issued":{"date-parts":[["2019",10,9]]}},"label":"page"}],"schema":"https://github.com/citation-style-language/schema/raw/master/csl-citation.json"} </w:instrText>
      </w:r>
      <w:r w:rsidR="00011FC0">
        <w:fldChar w:fldCharType="separate"/>
      </w:r>
      <w:r w:rsidR="005473DF" w:rsidRPr="005473DF">
        <w:rPr>
          <w:kern w:val="0"/>
          <w:vertAlign w:val="superscript"/>
        </w:rPr>
        <w:t>12–14</w:t>
      </w:r>
      <w:r w:rsidR="00011FC0">
        <w:fldChar w:fldCharType="end"/>
      </w:r>
      <w:r w:rsidR="00011FC0">
        <w:rPr>
          <w:rFonts w:hint="eastAsia"/>
        </w:rPr>
        <w:t xml:space="preserve"> </w:t>
      </w:r>
      <w:r w:rsidR="00B97CE6" w:rsidRPr="00D56A55">
        <w:t xml:space="preserve">This </w:t>
      </w:r>
      <w:r w:rsidRPr="00C905FD">
        <w:t>expansion</w:t>
      </w:r>
      <w:r>
        <w:rPr>
          <w:rFonts w:hint="eastAsia"/>
        </w:rPr>
        <w:t xml:space="preserve"> </w:t>
      </w:r>
      <w:r w:rsidR="00B97CE6" w:rsidRPr="00D56A55">
        <w:t>threat</w:t>
      </w:r>
      <w:r w:rsidR="00102D53" w:rsidRPr="00D56A55">
        <w:rPr>
          <w:rFonts w:hint="eastAsia"/>
        </w:rPr>
        <w:t>ens</w:t>
      </w:r>
      <w:r w:rsidR="00B97CE6" w:rsidRPr="00D56A55">
        <w:t xml:space="preserve"> the existence of species</w:t>
      </w:r>
      <w:r w:rsidR="00102D53" w:rsidRPr="00D56A55">
        <w:rPr>
          <w:rFonts w:hint="eastAsia"/>
        </w:rPr>
        <w:t xml:space="preserve"> and accelerates</w:t>
      </w:r>
      <w:r w:rsidR="00B97CE6" w:rsidRPr="00D56A55">
        <w:t xml:space="preserve"> biodiversity loss at both local and </w:t>
      </w:r>
      <w:r w:rsidR="00B83B86" w:rsidRPr="00D56A55">
        <w:t>global scales</w:t>
      </w:r>
      <w:r w:rsidR="003E3D2F" w:rsidRPr="00D56A55">
        <w:t>.</w:t>
      </w:r>
      <w:r w:rsidR="00A76158" w:rsidRPr="00D56A55">
        <w:fldChar w:fldCharType="begin"/>
      </w:r>
      <w:r w:rsidR="00A43A89">
        <w:instrText xml:space="preserve"> ADDIN ZOTERO_ITEM CSL_CITATION {"citationID":"Wtzot2yN","properties":{"formattedCitation":"\\super 12,15\\uc0\\u8211{}19\\nosupersub{}","plainCitation":"12,15–19","noteIndex":0},"citationItems":[{"id":693,"uris":["http://zotero.org/users/9110477/items/NPQ8FQF7"],"itemData":{"id":693,"type":"report","abstract":"Achieving a climate-resilient future requires rapid, sustained and far-reaching transformations in energy, land-use, infrastructure and industrial systems. Large-scale expansion of renewable energy can play a critical role in meeting the world’s growing energy demands and in the fight against climate change. However, even ‘clean’ energy sources can have significant unintended impacts on the environment. The guidelines aim to provide practical support for solar and wind energy developments by effectively managing risks and improving overall outcomes related to biodiversity and ecosystem services. They are industry-focused and can be applied across the whole project development life cycle, from early planning through to decommissioning and repowering, using the mitigation hierarchy as a clear framework for planning and implementation. The mitigation hierarchy is applied to direct, indirect and cumulative impacts.","language":"en","note":"DOI: 10.2305/IUCN.CH.2021.04.en","title":"Mitigating biodiversity impacts associated with solar and wind energy development: guidelines for project developers","title-short":"Mitigating biodiversity impacts associated with solar and wind energy development","URL":"https://portals.iucn.org/library/node/49283","author":[{"family":"Bennun","given":"L."},{"family":"Van Bochove","given":"J."},{"family":"Ng","given":"C."},{"family":"Fletcher","given":"C."},{"family":"Wilson","given":"D."},{"family":"Phair","given":"N."},{"family":"Carbone","given":"G."}],"accessed":{"date-parts":[["2023",9,14]]},"issued":{"date-parts":[["2021",2,23]]}},"label":"page"},{"id":710,"uris":["http://zotero.org/users/9110477/items/ZGED8UE8"],"itemData":{"id":710,"type":"article-journal","container-title":"Proceedings of the National Academy of Sciences","DOI":"10.1073/pnas.2208815119","ISSN":"0027-8424, 1091-6490","issue":"48","journalAbbreviation":"Proc. Natl. Acad. Sci. U.S.A.","language":"en","page":"e2208815119","title":"Renewable energy infrastructure impacts biodiversity beyond the area it occupies","volume":"119","author":[{"family":"Niebuhr","given":"Bernardo B."},{"family":"Sant’Ana","given":"Daniela"},{"family":"Panzacchi","given":"Manuela"},{"family":"Moorter","given":"Bram","non-dropping-particle":"van"},{"family":"Sandström","given":"Per"},{"family":"Morato","given":"Ronaldo G."},{"family":"Skarin","given":"Anna"}],"issued":{"date-parts":[["2022",11,29]]}},"label":"page"},{"id":660,"uris":["http://zotero.org/users/9110477/items/4DC6X3TY"],"itemData":{"id":660,"type":"article-journal","abstract":"Transitioning from fossil fuels to renewable energy is fundamental for halting anthropogenic climate change. However, renewable energy facilities can be land-use intensive and impact conservation areas, and little attention has been given to whether the aggregated effect of energy transitions poses a substantial threat to global biodiversity. Here, we assess the extent of current and likely future renewable energy infrastructure associated with onshore wind, hydropower and solar photovoltaic generation, within three important conservation areas: protected areas, Key Biodiversity Areas and Earth’s remaining wilderness. We identified 2,206 fully operational renewable energy facilities within the boundaries of these conservation areas, with another 922 facilities under development. Combined, these facilities span and are degrading 886 protected areas, 749 Key Biodiversity Areas, and 40 distinct wilderness areas. Two trends are particularly concerning. First, while the majority of historical overlap occurs in Western Europe, the renewable electricity facilities under development increasingly overlap with conservation areas in South East Asia, a globally important region for biodiversity. Second, this next wave of renewable energy infrastructure represents a ~30% increase in the number of protected areas and Key Biodiversity Areas impacted and could increase the number of compromised wilderness areas by ~60%. If the world continues to rapidly transition towards renewable energy these areas will face increasing pressure to allow infrastructure expansion. Coordinated planning of renewable energy expansion and biodiversity conservation is essential to avoid conflicts that compromise their respective objectives.","call-number":"1","container-title":"Global Change Biology","DOI":"10.1111/gcb.15067","ISSN":"1354-1013, 1365-2486","issue":"5","journalAbbreviation":"Glob Change Biol","language":"en","page":"3040-3051","source":"11.6","title":"Renewable energy development threatens many globally important biodiversity areas","volume":"26","author":[{"family":"Rehbein","given":"Jose A."},{"family":"Watson","given":"James E. M."},{"family":"Lane","given":"Joe L."},{"family":"Sonter","given":"Laura J."},{"family":"Venter","given":"Oscar"},{"family":"Atkinson","given":"Scott C."},{"family":"Allan","given":"James R."}],"issued":{"date-parts":[["2020",5]]}},"label":"page"},{"id":"gt1nbpQY/WzXf7WQW","uris":["http://zotero.org/users/9110477/items/97UQG23Q"],"itemData":{"id":3750,"type":"article-journal","abstract":"Effective policies to halt biodiversity loss require knowing which anthropogenic drivers are the most important direct causes. Whereas previous knowledge has been limited in scope and rigor, here we statistically synthesize empirical comparisons of recent driver impacts found through a wide-ranging review. We show that land/sea use change has been the dominant direct driver of recent biodiversity loss worldwide. Direct exploitation of natural resources ranks second and pollution third; climate change and invasive alien species have been significantly less important than the top two drivers. The oceans, where direct exploitation and climate change dominate, have a different driver hierarchy from land and fresh water. It also varies among types of biodiversity indicators. For example, climate change is a more important driver of community composition change than of changes in species populations. Stopping global biodiversity loss requires policies and actions to tackle all the major drivers and their interactions, not some of them in isolation.\n          , \n            Land-use change and direct exploitation are the dominant drivers of recent global biodiversity loss.","call-number":"1","container-title":"Science Advances","DOI":"10.1126/sciadv.abm9982","ISSN":"2375-2548","issue":"45","journalAbbreviation":"Sci. Adv.","language":"en","page":"eabm9982","source":"13.6","title":"The direct drivers of recent global anthropogenic biodiversity loss","volume":"8","author":[{"family":"Jaureguiberry","given":"Pedro"},{"family":"Titeux","given":"Nicolas"},{"family":"Wiemers","given":"Martin"},{"family":"Bowler","given":"Diana E."},{"family":"Coscieme","given":"Luca"},{"family":"Golden","given":"Abigail S."},{"family":"Guerra","given":"Carlos A."},{"family":"Jacob","given":"Ute"},{"family":"Takahashi","given":"Yasuo"},{"family":"Settele","given":"Josef"},{"family":"Díaz","given":"Sandra"},{"family":"Molnár","given":"Zsolt"},{"family":"Purvis","given":"Andy"}],"issued":{"date-parts":[["2022",11,11]]},"citation-key":"jaureguiberryDirectDriversRecent2022"},"label":"page"},{"id":648,"uris":["http://zotero.org/users/9110477/items/67IA8BUM"],"itemData":{"id":648,"type":"article-journal","call-number":"1","container-title":"Nature Ecology &amp; Evolution","DOI":"10.1038/s41559-019-0824-3","ISSN":"2397-334X","issue":"4","journalAbbreviation":"Nat Ecol Evol","language":"en","note":"TLDR: The results suggest that to address the biodiversity crisis, governments should take an equitable approach recognizing remote responsibility, and promote a shift of economic development towards activities with low biodiversity impacts.","page":"628-637","source":"16.8","title":"Increasing impacts of land use on biodiversity and carbon sequestration driven by population and economic growth","volume":"3","author":[{"family":"Marques","given":"Alexandra"},{"family":"Martins","given":"Inês S."},{"family":"Kastner","given":"Thomas"},{"family":"Plutzar","given":"Christoph"},{"family":"Theurl","given":"Michaela C."},{"family":"Eisenmenger","given":"Nina"},{"family":"Huijbregts","given":"Mark A. J."},{"family":"Wood","given":"Richard"},{"family":"Stadler","given":"Konstantin"},{"family":"Bruckner","given":"Martin"},{"family":"Canelas","given":"Joana"},{"family":"Hilbers","given":"Jelle P."},{"family":"Tukker","given":"Arnold"},{"family":"Erb","given":"Karlheinz"},{"family":"Pereira","given":"Henrique M."}],"issued":{"date-parts":[["2019",4]]}},"label":"page"},{"id":642,"uris":["http://zotero.org/users/9110477/items/8GMFW2BT"],"itemData":{"id":642,"type":"article-journal","call-number":"3","container-title":"The International Journal of Life Cycle Assessment","DOI":"10.1007/s11367-012-0412-0","ISSN":"0948-3349, 1614-7502","issue":"6","journalAbbreviation":"Int J Life Cycle Assess","language":"en","page":"1216-1230","source":"4.8","title":"Land use impacts on biodiversity in LCA: a global approach","title-short":"Land use impacts on biodiversity in LCA","volume":"18","author":[{"family":"Baan","given":"Laura","non-dropping-particle":"de"},{"family":"Alkemade","given":"Rob"},{"family":"Koellner","given":"Thomas"}],"issued":{"date-parts":[["2013",7]]}},"label":"page"}],"schema":"https://github.com/citation-style-language/schema/raw/master/csl-citation.json"} </w:instrText>
      </w:r>
      <w:r w:rsidR="00A76158" w:rsidRPr="00D56A55">
        <w:fldChar w:fldCharType="separate"/>
      </w:r>
      <w:r w:rsidR="00844949" w:rsidRPr="00844949">
        <w:rPr>
          <w:kern w:val="0"/>
          <w:vertAlign w:val="superscript"/>
        </w:rPr>
        <w:t>12,15–19</w:t>
      </w:r>
      <w:r w:rsidR="00A76158" w:rsidRPr="00D56A55">
        <w:fldChar w:fldCharType="end"/>
      </w:r>
      <w:r w:rsidR="00044FF4" w:rsidRPr="00D56A55">
        <w:t xml:space="preserve"> </w:t>
      </w:r>
      <w:r w:rsidR="00937E4D" w:rsidRPr="00D56A55">
        <w:rPr>
          <w:rFonts w:hint="eastAsia"/>
        </w:rPr>
        <w:t>For</w:t>
      </w:r>
      <w:r w:rsidR="00937E4D" w:rsidRPr="00D56A55">
        <w:t xml:space="preserve"> </w:t>
      </w:r>
      <w:r w:rsidR="00937E4D" w:rsidRPr="00D56A55">
        <w:rPr>
          <w:rFonts w:hint="eastAsia"/>
        </w:rPr>
        <w:t>example,</w:t>
      </w:r>
      <w:r w:rsidR="00937E4D" w:rsidRPr="00D56A55">
        <w:t xml:space="preserve"> wind farms </w:t>
      </w:r>
      <w:r w:rsidR="005720A9">
        <w:t xml:space="preserve">can </w:t>
      </w:r>
      <w:r w:rsidR="000377D4" w:rsidRPr="00D56A55">
        <w:t>cause</w:t>
      </w:r>
      <w:r w:rsidR="00937E4D" w:rsidRPr="00D56A55">
        <w:t xml:space="preserve"> fatalities </w:t>
      </w:r>
      <w:r w:rsidR="00102D53" w:rsidRPr="00D56A55">
        <w:rPr>
          <w:rFonts w:hint="eastAsia"/>
        </w:rPr>
        <w:t>of</w:t>
      </w:r>
      <w:r w:rsidR="00102D53" w:rsidRPr="00D56A55">
        <w:t xml:space="preserve"> </w:t>
      </w:r>
      <w:r w:rsidR="00937E4D" w:rsidRPr="00D56A55">
        <w:t xml:space="preserve">avian species </w:t>
      </w:r>
      <w:r w:rsidR="000377D4" w:rsidRPr="00D56A55">
        <w:t xml:space="preserve">due to </w:t>
      </w:r>
      <w:r w:rsidR="00937E4D" w:rsidRPr="00D56A55">
        <w:t xml:space="preserve">turbine </w:t>
      </w:r>
      <w:r w:rsidR="00B83B86" w:rsidRPr="00D56A55">
        <w:t>accidents</w:t>
      </w:r>
      <w:r w:rsidR="003E3D2F" w:rsidRPr="00D56A55">
        <w:t>.</w:t>
      </w:r>
      <w:r w:rsidR="0078397D" w:rsidRPr="00D56A55">
        <w:fldChar w:fldCharType="begin"/>
      </w:r>
      <w:r w:rsidR="00A43A89">
        <w:instrText xml:space="preserve"> ADDIN ZOTERO_ITEM CSL_CITATION {"citationID":"zg5jawmB","properties":{"formattedCitation":"\\super 20,21\\nosupersub{}","plainCitation":"20,21","noteIndex":0},"citationItems":[{"id":568,"uris":["http://zotero.org/users/9110477/items/RB3TZH4P"],"itemData":{"id":568,"type":"article-journal","abstract":"Recognized as one of the most mature renewable energy technologies, wind energy has been developing rapidly in recent years. Many countries have shown interest in utilizing wind power, but they are concerned about the environmental impacts of the wind farms. The continuous growth of the wind energy industry in many parts of the world, especially in some developing countries and ecologically vulnerable regions, necessitates a comprehensive understanding of wind farm induced environmental impacts. The environmental issues caused by wind farms were reviewed in this paper by summarizing existing studies. Available mitigation measures to minimize these adverse environmental impacts were discussed in this document. The intention of this paper is to provide state-of-the-art knowledge about environmental issues associated with wind energy development as well as strategies to mitigate environmental impacts to wind energy planners and developers.","call-number":"1","container-title":"Renewable Energy","DOI":"10.1016/j.renene.2014.10.074","ISSN":"09601481","journalAbbreviation":"Renewable Energy","language":"en","page":"911-921","source":"8.7","title":"Environmental issues associated with wind energy – A review","volume":"75","author":[{"family":"Dai","given":"Kaoshan"},{"family":"Bergot","given":"Anthony"},{"family":"Liang","given":"Chao"},{"family":"Xiang","given":"Wei-Ning"},{"family":"Huang","given":"Zhenhua"}],"issued":{"date-parts":[["2015",3]]}},"label":"page"},{"id":4142,"uris":["http://zotero.org/users/9110477/items/CJE5EKQ4"],"itemData":{"id":4142,"type":"article-journal","abstract":"Mitigation of anthropogenic climate change involves deployments of renewable energy worldwide, including wind farms, which can pose a significant collision risk to volant animals. Most studies into the collision risk between species and wind turbines, however, have taken place in industrialized countries. Potential effects for many locations and species therefore remain unclear. To redress this gap, we conducted a systematic literature review of recorded collisions between birds and bats and wind turbines within developed countries. We related collision rate to species-level traits and turbine characteristics to quantify the potential vulnerability of 9538 bird and 888 bat species globally. Avian collision rate was affected by migratory strategy, dispersal distance and habitat associations, and bat collision rates were influenced by dispersal distance. For birds and bats, larger turbine capacity (megawatts) increased collision rates; however, deploying a smaller number of large turbines with greater energy output reduced total collision risk per unit energy output, although bat mortality increased again with the largest turbines. Areas with high concentrations of vulnerable species were also identified, including migration corridors. Our results can therefore guide wind farm design and location to reduce the risk of large-scale animal mortality. This is the first quantitative global assessment of the relative collision vulnerability of species groups with wind turbines, providing valuable guidance for minimizing potentially serious negative impacts on biodiversity.","container-title":"Proceedings of the Royal Society B: Biological Sciences","DOI":"10.1098/rspb.2017.0829","ISSN":"0962-8452, 1471-2954","issue":"1862","journalAbbreviation":"Proc. R. Soc. B.","language":"en","page":"20170829","source":"DOI.org (Crossref)","title":"Bird and bat species' global vulnerability to collision mortality at wind farms revealed through a trait-based assessment","volume":"284","author":[{"family":"Thaxter","given":"Chris B."},{"family":"Buchanan","given":"Graeme M."},{"family":"Carr","given":"Jamie"},{"family":"Butchart","given":"Stuart H. M."},{"family":"Newbold","given":"Tim"},{"family":"Green","given":"Rhys E."},{"family":"Tobias","given":"Joseph A."},{"family":"Foden","given":"Wendy B."},{"family":"O'Brien","given":"Sue"},{"family":"Pearce-Higgins","given":"James W."}],"issued":{"date-parts":[["2017",9,13]]}},"label":"page"}],"schema":"https://github.com/citation-style-language/schema/raw/master/csl-citation.json"} </w:instrText>
      </w:r>
      <w:r w:rsidR="0078397D" w:rsidRPr="00D56A55">
        <w:fldChar w:fldCharType="separate"/>
      </w:r>
      <w:r w:rsidR="00844949" w:rsidRPr="00844949">
        <w:rPr>
          <w:kern w:val="0"/>
          <w:vertAlign w:val="superscript"/>
        </w:rPr>
        <w:t>20,21</w:t>
      </w:r>
      <w:r w:rsidR="0078397D" w:rsidRPr="00D56A55">
        <w:fldChar w:fldCharType="end"/>
      </w:r>
      <w:r w:rsidR="00937E4D" w:rsidRPr="00D56A55">
        <w:t xml:space="preserve"> </w:t>
      </w:r>
      <w:r w:rsidR="00717DDD" w:rsidRPr="00517623">
        <w:rPr>
          <w:rFonts w:eastAsiaTheme="minorEastAsia"/>
          <w:color w:val="000000" w:themeColor="text1"/>
          <w:szCs w:val="32"/>
        </w:rPr>
        <w:t>Additionally, they disrupt the natural landscape patterns and the cyclical dynamics of nearby ecosystems by influencing the local climate conditions. This, in turn, can harm biological habitats and lead to significant socioecological costs.</w:t>
      </w:r>
      <w:r w:rsidR="00937E4D" w:rsidRPr="00517623">
        <w:rPr>
          <w:color w:val="000000" w:themeColor="text1"/>
          <w:szCs w:val="32"/>
        </w:rPr>
        <w:fldChar w:fldCharType="begin"/>
      </w:r>
      <w:r w:rsidR="00A43A89">
        <w:rPr>
          <w:color w:val="000000" w:themeColor="text1"/>
          <w:szCs w:val="32"/>
        </w:rPr>
        <w:instrText xml:space="preserve"> ADDIN ZOTERO_ITEM CSL_CITATION {"citationID":"rdzrJaYW","properties":{"formattedCitation":"\\super 20,22\\uc0\\u8211{}25\\nosupersub{}","plainCitation":"20,22–25","noteIndex":0},"citationItems":[{"id":3879,"uris":["http://zotero.org/users/9110477/items/MNF7CJP7"],"itemData":{"id":3879,"type":"article-journal","abstract":"Global energy demand is increasing as greenhouse gas driven climate change progresses, making renewable energy sources critical to future sustainable power provision. Land-based wind and solar electricity generation technologies are rapidly expanding, yet our understanding of their operational effects on biological carbon cycling in hosting ecosystems is limited. Wind turbines and photovoltaic panels can significantly change local ground-level climate by a magnitude that could affect the fundamental plant–soil processes that govern carbon dynamics. We believe that understanding the possible effects of changes in ground-level microclimates on these phenomena is crucial to reducing uncertainty of the true renewable energy carbon cost and to maximize beneficial effects. In this Opinions article, we examine the potential for the microclimatic effects of these land-based renewable energy sources to alter plant–soil carbon cycling, hypothesize likely effects and identify critical knowledge gaps for future carbon research.","call-number":"1","container-title":"Global Change Biology","DOI":"10.1111/gcb.12437","ISSN":"1365-2486","issue":"6","language":"en","license":"© 2013 John Wiley &amp; Sons Ltd","note":"_eprint: https://onlinelibrary.wiley.com/doi/pdf/10.1111/gcb.12437\nTLDR: The potential for the microclimatic effects of land-based wind and solar electricity generation technologies to alter plant–soil carbon cycling is examined, likely effects are hypothesized, and critical knowledge gaps for future carbon research are identified.","page":"1699-1706","source":"11.6","title":"Wind farm and solar park effects on plant–soil carbon cycling: uncertain impacts of changes in ground-level microclimate","title-short":"Wind farm and solar park effects on plant–soil carbon cycling","volume":"20","author":[{"family":"Armstrong","given":"Alona"},{"family":"Waldron","given":"Susan"},{"family":"Whitaker","given":"Jeanette"},{"family":"Ostle","given":"Nicholas J."}],"issued":{"date-parts":[["2014"]]}},"label":"page"},{"id":568,"uris":["http://zotero.org/users/9110477/items/RB3TZH4P"],"itemData":{"id":568,"type":"article-journal","abstract":"Recognized as one of the most mature renewable energy technologies, wind energy has been developing rapidly in recent years. Many countries have shown interest in utilizing wind power, but they are concerned about the environmental impacts of the wind farms. The continuous growth of the wind energy industry in many parts of the world, especially in some developing countries and ecologically vulnerable regions, necessitates a comprehensive understanding of wind farm induced environmental impacts. The environmental issues caused by wind farms were reviewed in this paper by summarizing existing studies. Available mitigation measures to minimize these adverse environmental impacts were discussed in this document. The intention of this paper is to provide state-of-the-art knowledge about environmental issues associated with wind energy development as well as strategies to mitigate environmental impacts to wind energy planners and developers.","call-number":"1","container-title":"Renewable Energy","DOI":"10.1016/j.renene.2014.10.074","ISSN":"09601481","journalAbbreviation":"Renewable Energy","language":"en","page":"911-921","source":"8.7","title":"Environmental issues associated with wind energy – A review","volume":"75","author":[{"family":"Dai","given":"Kaoshan"},{"family":"Bergot","given":"Anthony"},{"family":"Liang","given":"Chao"},{"family":"Xiang","given":"Wei-Ning"},{"family":"Huang","given":"Zhenhua"}],"issued":{"date-parts":[["2015",3]]}},"label":"page"},{"id":3899,"uris":["http://zotero.org/users/9110477/items/6QKHWG79"],"itemData":{"id":3899,"type":"article-journal","container-title":"Land Use Policy","DOI":"10.1016/j.landusepol.2020.104751","ISSN":"02648377","journalAbbreviation":"Land Use Policy","language":"en","page":"104751","source":"7.1","title":"Adaptive responses to landscape changes from onshore wind energy development in the Republic of Ireland","volume":"97","author":[{"family":"Hallan","given":"Celia"},{"family":"González","given":"Ainhoa"}],"issued":{"date-parts":[["2020",9]]}},"label":"page"},{"id":702,"uris":["http://zotero.org/users/9110477/items/WIV7SKIQ"],"itemData":{"id":702,"type":"article-journal","abstract":"Of all the renewable energy sources (RESs)―except direct solar heat and light―wind energy is believed to have the least adverse environmental impacts. It is also one of the RES which has become economically affordable much before several other RESs have. As a result, next to biomass (and excluding large hydro), wind energy is the RES being most extensively tapped by the world at present. Despite carrying the drawback of intermittency, wind energy has found favor due to its perceived twin virtues of relatively lesser production cost and environment-friendliness.","container-title":"Renewable and Sustainable Energy Reviews","DOI":"10.1016/j.rser.2013.11.019","ISSN":"13640321","journalAbbreviation":"Renewable and Sustainable Energy Reviews","language":"en","page":"270-288","title":"Wind energy: Increasing deployment, rising environmental concerns","title-short":"Wind energy","volume":"31","author":[{"literal":"Tabassum-Abbasi"},{"family":"Premalatha","given":"M."},{"family":"Abbasi","given":"Tasneem"},{"family":"Abbasi","given":"S.A."}],"issued":{"date-parts":[["2014",3]]}},"label":"page"},{"id":4294,"uris":["http://zotero.org/users/9110477/items/9R8TXQSW"],"itemData":{"id":4294,"type":"article-journal","abstract":"Wind and hydropower are important renewable components of national energy portfolios, but their infrastructure negatively affects biodiversity. Regional development requires identification of scenarios that minimize the cumulative impacts of multiple facilities. We introduce the cumulative impact plot (CIP) to quantify cumulative impacts of renewable energy development within a region. Summed impacts of facilities are plotted as a function of the number of facilities, with facilities ranked by increasing (the best-case scenario) or decreasing (worst-case scenario) individual impact. These curves represent lower and upper bounds to which alternative development scenarios (e.g., facilities ranked by generating capacity) can be compared. We used CIPs to assess overlap of potential wind and hydropower facilities with two types of conservation area in the United States: (1) federally protected lands and (2) critical habitats of federally threatened and endangered species. We evaluated two alternative scenarios: facilities ranked by (A) decreasing generating capacity and (B) increasing distance from urban centers. Differences between the best-case and worst-case scenarios were large, thus revealing opportunities to develop facilities with limited impact on conservation areas. Alternative scenarios maximizing energy density generally resulted in conservation area overlap intermediate to best-case and worst-case scenarios. CIPs can also identify the proportion of wind versus hydropower favored under alternative scenarios. Build-out scenarios aimed at minimizing conservation area overlap favor hydropower, whereas alternative scenarios favor wind power. We conclude that CIPs can (1) complement—but should not replace—project-level environmental impact assessment, (2) integrate strategic, cumulative, and scenario-based assessments, and (3) harness rapidly growing geospatial data.","call-number":"1","container-title":"Biological Conservation","DOI":"10.1016/j.biocon.2021.109334","ISSN":"0006-3207","journalAbbreviation":"Biological Conservation","page":"109334","source":"5.9","title":"A heuristic tool to assess regional impacts of renewable energy infrastructure on conservation areas","volume":"263","author":[{"family":"Troia","given":"Matthew J."},{"family":"McManamay","given":"Ryan A."},{"family":"Kao","given":"Shih-Chieh"},{"family":"O'Connor","given":"Patrick W."}],"issued":{"date-parts":[["2021",11,1]]}},"label":"page"}],"schema":"https://github.com/citation-style-language/schema/raw/master/csl-citation.json"} </w:instrText>
      </w:r>
      <w:r w:rsidR="00937E4D" w:rsidRPr="00517623">
        <w:rPr>
          <w:color w:val="000000" w:themeColor="text1"/>
          <w:szCs w:val="32"/>
        </w:rPr>
        <w:fldChar w:fldCharType="separate"/>
      </w:r>
      <w:r w:rsidR="00844949" w:rsidRPr="00844949">
        <w:rPr>
          <w:kern w:val="0"/>
          <w:vertAlign w:val="superscript"/>
        </w:rPr>
        <w:t>20,22–25</w:t>
      </w:r>
      <w:r w:rsidR="00937E4D" w:rsidRPr="00517623">
        <w:rPr>
          <w:color w:val="000000" w:themeColor="text1"/>
          <w:szCs w:val="32"/>
        </w:rPr>
        <w:fldChar w:fldCharType="end"/>
      </w:r>
      <w:r w:rsidR="004F4F12" w:rsidRPr="00517623">
        <w:rPr>
          <w:color w:val="000000" w:themeColor="text1"/>
        </w:rPr>
        <w:t xml:space="preserve"> </w:t>
      </w:r>
      <w:r w:rsidR="00717DDD" w:rsidRPr="00517623">
        <w:rPr>
          <w:rFonts w:eastAsiaTheme="minorEastAsia"/>
          <w:color w:val="000000" w:themeColor="text1"/>
          <w:szCs w:val="32"/>
        </w:rPr>
        <w:t>Studies estimate</w:t>
      </w:r>
      <w:r w:rsidR="00EE0AAC">
        <w:rPr>
          <w:rFonts w:eastAsiaTheme="minorEastAsia"/>
          <w:color w:val="000000" w:themeColor="text1"/>
          <w:szCs w:val="32"/>
        </w:rPr>
        <w:t>d</w:t>
      </w:r>
      <w:r w:rsidR="00717DDD" w:rsidRPr="00517623">
        <w:rPr>
          <w:rFonts w:eastAsiaTheme="minorEastAsia"/>
          <w:color w:val="000000" w:themeColor="text1"/>
          <w:szCs w:val="32"/>
        </w:rPr>
        <w:t xml:space="preserve"> that achieving the Paris Agreement's targets using solar </w:t>
      </w:r>
      <w:r w:rsidR="00717DDD" w:rsidRPr="00517623">
        <w:rPr>
          <w:rFonts w:eastAsiaTheme="minorEastAsia"/>
          <w:color w:val="000000" w:themeColor="text1"/>
          <w:szCs w:val="32"/>
        </w:rPr>
        <w:lastRenderedPageBreak/>
        <w:t>and onshore wind energy could result in the loss of over 110,000 km² of natural lands, impacting an estimated 1,574 threatened and endangered species.</w:t>
      </w:r>
      <w:r w:rsidR="004F4F12">
        <w:fldChar w:fldCharType="begin"/>
      </w:r>
      <w:r w:rsidR="00A43A89">
        <w:instrText xml:space="preserve"> ADDIN ZOTERO_ITEM CSL_CITATION {"citationID":"eYrVM005","properties":{"formattedCitation":"\\super 14\\nosupersub{}","plainCitation":"14","noteIndex":0},"citationItems":[{"id":4476,"uris":["http://zotero.org/users/9110477/items/76NCHAPB"],"itemData":{"id":4476,"type":"article-journal","abstract":"Meeting climate mitigation and sustainable development goals requires rapid increases in both renewable energy development and carbon storage in ecosystems. If sited with the sole goal of maximizing production, renewable energy may negatively impact biodiversity and carbon storage. Here, we evaluated the potential unintended environmental consequences of this type of business-as-usual development scenario. We spatially allocated land-based, utility-scaled wind and solar energy needed to achieve emission reduction goals from nationally determined contributions under the Paris Climate Agreement. Siting was conducted at 1-km resolution and followed a scenario where on-shore wind, concentrated solar power, and photovoltaic solar renewable energy developments were located where wind and solar resources were highest. Once sited, we evaluated the potential losses of natural lands, Key Biodiversity Areas (KBAs), threatened and endangered species, and carbon emissions. Over 11 million ha of natural lands can be lost (&gt;1/4 in KBAs), releasing almost 415 million tons of carbon storage, which equals 8.6% of overall Paris Agreement emission reduction goals. Globally we found that the ranges of 1,574 threatened and endanger species could be impacted, with the highest numbers in the tropical countries of Indonesia (282), Malaysia (273) and Thailand (253). Avoiding land-based emissions through improved renewable energy siting can reduce these losses, potentially saving $47.5-$1</w:instrText>
      </w:r>
      <w:r w:rsidR="00A43A89">
        <w:rPr>
          <w:rFonts w:hint="eastAsia"/>
        </w:rPr>
        <w:instrText>55.9 billion USD based on social carbon costs. Consideration of these impacts will help reduce investor risk to facilitate a timely transition to a low-carbon economy.","call-number":"3 (</w:instrText>
      </w:r>
      <w:r w:rsidR="00A43A89">
        <w:rPr>
          <w:rFonts w:hint="eastAsia"/>
        </w:rPr>
        <w:instrText>低预警</w:instrText>
      </w:r>
      <w:r w:rsidR="00A43A89">
        <w:rPr>
          <w:rFonts w:hint="eastAsia"/>
        </w:rPr>
        <w:instrText>)","container-title":"Frontiers in Environmental Science","DOI":"</w:instrText>
      </w:r>
      <w:r w:rsidR="00A43A89">
        <w:instrText xml:space="preserve">10.3389/fenvs.2019.00151","ISSN":"2296-665X","journalAbbreviation":"Front. Environ. Sci.","language":"English","note":"publisher: Frontiers","source":"4.6","title":"Hitting the Target but Missing the Mark: Unintended Environmental Consequences of the Paris Climate Agreement","title-short":"Hitting the Target but Missing the Mark","URL":"https://www.frontiersin.org/articles/10.3389/fenvs.2019.00151","volume":"7","author":[{"family":"Kiesecker","given":"Joseph"},{"family":"Baruch-Mordo","given":"Sharon"},{"family":"Kennedy","given":"Christina M."},{"family":"Oakleaf","given":"James R."},{"family":"Baccini","given":"Alessandro"},{"family":"Griscom","given":"Bronson W."}],"accessed":{"date-parts":[["2024",5,17]]},"issued":{"date-parts":[["2019",10,9]]}}}],"schema":"https://github.com/citation-style-language/schema/raw/master/csl-citation.json"} </w:instrText>
      </w:r>
      <w:r w:rsidR="004F4F12">
        <w:fldChar w:fldCharType="separate"/>
      </w:r>
      <w:r w:rsidR="00844949" w:rsidRPr="00844949">
        <w:rPr>
          <w:kern w:val="0"/>
          <w:vertAlign w:val="superscript"/>
        </w:rPr>
        <w:t>14</w:t>
      </w:r>
      <w:r w:rsidR="004F4F12">
        <w:fldChar w:fldCharType="end"/>
      </w:r>
      <w:r w:rsidR="00937E4D" w:rsidRPr="00D56A55">
        <w:t xml:space="preserve"> The </w:t>
      </w:r>
      <w:r w:rsidR="000377D4" w:rsidRPr="00D56A55">
        <w:t xml:space="preserve">construction </w:t>
      </w:r>
      <w:r w:rsidR="00937E4D" w:rsidRPr="00D56A55">
        <w:t xml:space="preserve">of reservoirs for hydropower </w:t>
      </w:r>
      <w:r w:rsidR="000377D4" w:rsidRPr="00D56A55">
        <w:t>led to</w:t>
      </w:r>
      <w:r w:rsidR="00937E4D" w:rsidRPr="00D56A55">
        <w:t xml:space="preserve"> a decline in wildlife populations due to the degradation of natural ecosystems in the surrounding area</w:t>
      </w:r>
      <w:r w:rsidR="003E3D2F" w:rsidRPr="00D56A55">
        <w:t>.</w:t>
      </w:r>
      <w:r w:rsidR="0078397D" w:rsidRPr="00D56A55">
        <w:fldChar w:fldCharType="begin"/>
      </w:r>
      <w:r w:rsidR="00A43A89">
        <w:instrText xml:space="preserve"> ADDIN ZOTERO_ITEM CSL_CITATION {"citationID":"UNoBfcxZ","properties":{"formattedCitation":"\\super 26,27\\nosupersub{}","plainCitation":"26,27","noteIndex":0},"citationItems":[{"id":4474,"uris":["http://zotero.org/users/9110477/items/WM3WHR7Q"],"itemData":{"id":4474,"type":"article-journal","abstract":"Abstract\n            The scale at which low-carbon electricity will need to be deployed to meet economic growth, electrification, and climate goals in Africa is unprecedented, yet the potential land use and freshwater impacts from this massive build-out of energy infrastructure is poorly understood. In this study, we characterize low-impact onshore wind, solar photovoltaics, and hydropower potential in Southern Africa and identify the cost-optimal mix of electricity generation technologies under different sets of socio-environmental land use and freshwater constraints and carbon targets. We find substantial wind and solar potential after applying land use protections, but about 40% of planned or proposed hydropower projects face socio-environmental conflicts. Applying land and freshwater protections results in more wind, solar, and battery capacity and less hydropower capacity compared to scenarios without protections. While a carbon target favors hydropower, the amount of cost-competitively selected hydropower is at most 45% of planned or proposed hydropower capacity in any scenario—and is only 25% under socio-environmental protections. Achieving both carbon targets and socio-environmental protections results in system cost increases of 3-6%. In the absence of land and freshwater protections, environmental and social impacts from new hydropower development could be significant.","call-number":"1","container-title":"Nature Communications","DOI":"10.1038/s41467-024-45313-z","ISSN":"2041-1723","issue":"1","journalAbbreviation":"Nat Commun","language":"en","page":"1083","source":"16.6","title":"Avoiding ecosystem and social impacts of hydropower, wind, and solar in Southern Africa’s low-carbon electricity system","volume":"15","author":[{"family":"Wu","given":"Grace C."},{"family":"Deshmukh","given":"Ranjit"},{"family":"Trainor","given":"Anne"},{"family":"Uppal","given":"Anagha"},{"family":"Chowdhury","given":"A. F. M. Kamal"},{"family":"Baez","given":"Carlos"},{"family":"Martin","given":"Erik"},{"family":"Higgins","given":"Jonathan"},{"family":"Mileva","given":"Ana"},{"family":"Ndhlukula","given":"Kudakwashe"}],"issued":{"date-parts":[["2024",2,5]]}},"label":"page"},{"id":3898,"uris":["http://zotero.org/users/9110477/items/Q7G6UCAR"],"itemData":{"id":3898,"type":"article-journal","abstract":"Much of the electric energy produced within the extensive territory of Brazil (8,511,000 km²) comes from large and small reservoirs built to produce hydroelectric power, which flood large natural areas, negatively impacting regional biodiversity. Huge reservoirs originating from Amazon river dams, such as Balbina (2,360 km², with 26,000 wild animals rescued), in the 1970s, and Tucuruí (2,430 km², 284,000 animals rescued, including more than 19,000 howler monkeys), in the 1980s, caused huge losses of natural forest habitats and the consequent decimation of wild fauna. After being rescued, wild animals were released in neighboring areas, whose territories and spaces were already occupied by local animals. In the face of competitive exclusion or because of the principle of xenophobia, these displaced animals ended up dead or experienced truly little success. As well as causing the loss of regional biodiversity, the reservoir creates a vacuum in the previously continuous environment, causing habitat fragmentation. In addition to the Amazon biome, other rivers in different biomes, such as the Pantanal, have also been threatened with the proliferation of dams. There, the hydrological regime influences nutrient cycling, ecological community, phenology, upstream migration of fish and other factors. Fish migrate to the headwaters for spawning behavior that takes place at the headwaters. If they encounter obstacles, such as hydroelectric dams, the migration is interrupted. This review aims to assess the effects on biodiversity of major hydroelectric plants, with their dams and reservoirs, and discusses viable proposals for damage mitigation, environmental compensation, and biodiversity conservation actions.","container-title":"World Journal of Advanced Research and Reviews","DOI":"10.30574/wjarr.2020.6.3.0197","ISSN":"25819615","issue":"3","journalAbbreviation":"World J. Adv. Res. Rev.","language":"en","page":"205-215","source":"DOI.org (Crossref)","title":"Hydropower dams and reservoirs and their impacts on Brazil’s biodiversity and natural habitats: A Review","title-short":"Hydropower dams and reservoirs and their impacts on Brazil’s biodiversity and natural habitats","volume":"6","author":[{"literal":"Cleber J. R. Alho"}],"issued":{"date-parts":[["2020",6,30]]}},"label":"page"}],"schema":"https://github.com/citation-style-language/schema/raw/master/csl-citation.json"} </w:instrText>
      </w:r>
      <w:r w:rsidR="0078397D" w:rsidRPr="00D56A55">
        <w:fldChar w:fldCharType="separate"/>
      </w:r>
      <w:r w:rsidR="00844949" w:rsidRPr="00844949">
        <w:rPr>
          <w:kern w:val="0"/>
          <w:vertAlign w:val="superscript"/>
        </w:rPr>
        <w:t>26,27</w:t>
      </w:r>
      <w:r w:rsidR="0078397D" w:rsidRPr="00D56A55">
        <w:fldChar w:fldCharType="end"/>
      </w:r>
      <w:r w:rsidR="0078397D" w:rsidRPr="00D56A55">
        <w:t xml:space="preserve"> </w:t>
      </w:r>
      <w:r w:rsidR="000918DA" w:rsidRPr="00D56A55">
        <w:rPr>
          <w:rFonts w:hint="eastAsia"/>
        </w:rPr>
        <w:t>Such</w:t>
      </w:r>
      <w:r w:rsidR="00044FF4" w:rsidRPr="00D56A55">
        <w:t xml:space="preserve"> </w:t>
      </w:r>
      <w:r w:rsidR="00074BDC" w:rsidRPr="00D56A55">
        <w:t>conflict</w:t>
      </w:r>
      <w:r w:rsidR="00044FF4" w:rsidRPr="00D56A55">
        <w:t xml:space="preserve"> is </w:t>
      </w:r>
      <w:r w:rsidR="000918DA" w:rsidRPr="00D56A55">
        <w:t xml:space="preserve">also </w:t>
      </w:r>
      <w:r w:rsidR="00044FF4" w:rsidRPr="00D56A55">
        <w:t xml:space="preserve">known as the "green versus green dilemma" </w:t>
      </w:r>
      <w:r w:rsidR="000377D4" w:rsidRPr="00D56A55">
        <w:rPr>
          <w:rFonts w:hint="eastAsia"/>
        </w:rPr>
        <w:t>in</w:t>
      </w:r>
      <w:r w:rsidR="00044FF4" w:rsidRPr="00D56A55">
        <w:t xml:space="preserve"> the </w:t>
      </w:r>
      <w:r w:rsidR="000377D4" w:rsidRPr="00D56A55">
        <w:t xml:space="preserve">context of </w:t>
      </w:r>
      <w:r w:rsidR="009B733D" w:rsidRPr="00D56A55">
        <w:t xml:space="preserve">energy </w:t>
      </w:r>
      <w:r w:rsidR="00044FF4" w:rsidRPr="00D56A55">
        <w:t>transition</w:t>
      </w:r>
      <w:r w:rsidR="003E3D2F" w:rsidRPr="00D56A55">
        <w:t>.</w:t>
      </w:r>
      <w:r w:rsidR="00044FF4" w:rsidRPr="00D56A55">
        <w:rPr>
          <w:szCs w:val="32"/>
        </w:rPr>
        <w:fldChar w:fldCharType="begin"/>
      </w:r>
      <w:r w:rsidR="00A43A89">
        <w:rPr>
          <w:szCs w:val="32"/>
        </w:rPr>
        <w:instrText xml:space="preserve"> ADDIN ZOTERO_ITEM CSL_CITATION {"citationID":"UMDXbZ8G","properties":{"formattedCitation":"\\super 28,29\\nosupersub{}","plainCitation":"28,29","noteIndex":0},"citationItems":[{"id":557,"uris":["http://zotero.org/users/9110477/items/VP9CTWJJ"],"itemData":{"id":557,"type":"article-journal","call-number":"1","container-title":"Nature Sustainability","DOI":"10.1038/s41893-019-0334-y","ISSN":"2398-9629","issue":"8","journalAbbreviation":"Nat Sustain","language":"en","page":"674-680","source":"27.6","title":"Connecting climate action with other Sustainable Development Goals","volume":"2","author":[{"family":"Fuso Nerini","given":"Francesco"},{"family":"Sovacool","given":"Benjamin"},{"family":"Hughes","given":"Nick"},{"family":"Cozzi","given":"Laura"},{"family":"Cosgrave","given":"Ellie"},{"family":"Howells","given":"Mark"},{"family":"Tavoni","given":"Massimo"},{"family":"Tomei","given":"Julia"},{"family":"Zerriffi","given":"Hisham"},{"family":"Milligan","given":"Ben"}],"issued":{"date-parts":[["2019",7,15]]}}},{"id":"gt1nbpQY/u2s7m1gB","uris":["http://zotero.org/users/9110477/items/ZANAMEFZ"],"itemData":{"id":"fAi0fArO/PEthNBk2","type":"article-journal","abstract":"The United States may produce as much as 45% of its electricity using solar energy technology by 2050, which could require more than 40,000 km2 of land to be converted to large-scale solar energy production facilities. Little is known about how such development may impact animal movement. Here, we use five spatially explicit projections of solar energy development through 2050 to assess the extent to which ground-mounted photovoltaic solar energy expansion in the continental United States may impact land-cover and alter areas important for animal movement. Our results suggest that there could be a substantial overlap between solar energy development and land important for animal movement: across projections, 7−17% of total development is expected to occur on land with high value for movement between large protected areas, while 27−33% of total development is expected to occur on land with high value for climate-change-induced migration. We also found substantial variation in the potential overlap of development and land important for movement at the state level. Solar energy development, and the policies that shape it, may align goals for biodiversity and climate change by incorporating the preservation of animal movement as a consideration in the planning process.","call-number":"1","container-title":"Environmental Science &amp; Technology","DOI":"10.1021/acs.est.3c00578","ISSN":"0013-936X, 1520-5851","issue":"31","journalAbbreviation":"Environ. Sci. Technol.","language":"en","page":"11499-11509","source":"11.357","title":"Solar Energy-driven Land-cover Change Could Alter Landscapes Critical to Animal Movement in the Continental United States","volume":"57","author":[{"family":"Levin","given":"Michael O."},{"family":"Kalies","given":"Elizabeth L."},{"family":"Forester","given":"Emma"},{"family":"Jackson","given":"Elizabeth L. A."},{"family":"Levin","given":"Andrew H."},{"family":"Markus","given":"Caitlin"},{"family":"McKenzie","given":"Patrick F."},{"family":"Meek","given":"Jared B."},{"family":"Hernandez","given":"Rebecca R."}],"issued":{"date-parts":[["2023",8,8]]},"citation-key":"levinSolarEnergydrivenLandcover2023"}}],"schema":"https://github.com/citation-style-language/schema/raw/master/csl-citation.json"} </w:instrText>
      </w:r>
      <w:r w:rsidR="00044FF4" w:rsidRPr="00D56A55">
        <w:rPr>
          <w:szCs w:val="32"/>
        </w:rPr>
        <w:fldChar w:fldCharType="separate"/>
      </w:r>
      <w:r w:rsidR="00844949" w:rsidRPr="00844949">
        <w:rPr>
          <w:kern w:val="0"/>
          <w:vertAlign w:val="superscript"/>
        </w:rPr>
        <w:t>28,29</w:t>
      </w:r>
      <w:r w:rsidR="00044FF4" w:rsidRPr="00D56A55">
        <w:rPr>
          <w:szCs w:val="32"/>
        </w:rPr>
        <w:fldChar w:fldCharType="end"/>
      </w:r>
      <w:r w:rsidR="00937E4D" w:rsidRPr="00D56A55">
        <w:t xml:space="preserve"> </w:t>
      </w:r>
      <w:r w:rsidR="000377D4" w:rsidRPr="00D56A55">
        <w:t xml:space="preserve">The ongoing construction of renewable energy infrastructure has the potential to significantly </w:t>
      </w:r>
      <w:r w:rsidR="00102D53" w:rsidRPr="00D56A55">
        <w:rPr>
          <w:rFonts w:hint="eastAsia"/>
        </w:rPr>
        <w:t>alter</w:t>
      </w:r>
      <w:r w:rsidR="00102D53" w:rsidRPr="00D56A55">
        <w:t xml:space="preserve"> </w:t>
      </w:r>
      <w:r w:rsidR="000377D4" w:rsidRPr="00D56A55">
        <w:t>the global landscape, despite its current limited coverage of only 0.4% of ice-free land area</w:t>
      </w:r>
      <w:r w:rsidR="003E3D2F" w:rsidRPr="00D56A55">
        <w:t>.</w:t>
      </w:r>
      <w:r w:rsidR="00937E4D" w:rsidRPr="00D56A55">
        <w:fldChar w:fldCharType="begin"/>
      </w:r>
      <w:r w:rsidR="00A43A89">
        <w:instrText xml:space="preserve"> ADDIN ZOTERO_ITEM CSL_CITATION {"citationID":"2AE3jmfA","properties":{"formattedCitation":"\\super 30\\uc0\\u8211{}32\\nosupersub{}","plainCitation":"30–32","noteIndex":0},"citationItems":[{"id":592,"uris":["http://zotero.org/users/9110477/items/UMBXF4CS"],"itemData":{"id":592,"type":"article-journal","abstract":"The global energy system has a relatively small land footprint at present, comprising just 0.4% of ice-free land. This pales in comparison to agricultural land use– 30–38% of ice-free land–yet future low-carbon energy systems that shift to more extensive technologies could dramatically alter landscapes around the globe. The challenge is more acute given the projected doubling of global energy consumption by 2050 and widespread electrification of transportation and industry. Yet unlike greenhouse gas emissions, land use intensity of energy has been rarely studied in a rigorous way. Here we calculate land-use intensity of energy (LUIE) for real-world sites across all major sources of electricity, integrating data from published literature, databases, and original data collection. We find a range of LUIE that span four orders of magnitude, from nuclear with 7.1 ha/TWh/y to dedicated biomass at 58,000 ha/TWh/y. By applying these LUIE results to the future electricity portfolios of ten energy scenarios, we conclude that land use could become a significant constraint on deep decarbonization of the power system, yet low-carbon, land-efficient options are available.","call-number":"3","container-title":"PLOS ONE","DOI":"10.1371/journal.pone.0270155","ISSN":"1932-6203","issue":"7","journalAbbreviation":"PLoS ONE","language":"en","page":"e0270155","source":"3.7","title":"Land-use intensity of electricity production and tomorrow’s energy landscape","volume":"17","author":[{"family":"Lovering","given":"Jessica"},{"family":"Swain","given":"Marian"},{"family":"Blomqvist","given":"Linus"},{"family":"Hernandez","given":"Rebecca R."}],"editor":[{"family":"Saikia","given":"Lalit Chandra"}],"issued":{"date-parts":[["2022",7,6]]}},"label":"page"},{"id":"gt1nbpQY/SB1iNwPR","uris":["http://zotero.org/users/9110477/items/KX7N99YM"],"itemData":{"id":4214,"type":"article-journal","abstract":"Addressing climate mitigation while meeting global electrification goals will require major transitions from fossil-fuel dependence to large-scale renewable energy deployment. However, renewables require significant land assets per unit energy and could come at high cost to ecosystems, creating potential conflicts between global climate mitigation and biodiversity conservation. Here, we explore the potential biodiversity implications of alternative future global electrification pathways as depicted under the Shared Socioeconomic Scenarios (SSPs), i.e., alternative trends in societal development. We examined the intersection of high-resolution estimates of global energy densities for ten renewable and conventional technologies with global richness data to estimate technology-specific biodiversity footprints (species per GWh), whereas a Cumulative Biodiversity Impact (CBI) score was used to assess land and biodiversity outcomes of alternative scenarios. Downscaled electricity generation scenarios (2020−2100) were also constrained by alternative land conservation and energy development policies. Unexpectedly, variation among SSPs did not exhibit a clear tradeoff between global climate mitigation and CBI. Rather, CBIs were an outcome of total infrastructure development to meet electricity demand (from population growth and GDP) and the total magnitude of renewable energy development and storage technologies. Renewables assembled along a spectrum from land sharing to sparing. At the land sharing end, biomass-powered electricity from dedicated crops contributed the most to biodiversity impacts due to low energy density, whereas land-sparing technologies (solar) caused more-intense land degradation, but in smaller areas. Our results suggest that local land conservation practices and strategies promoting energy diversification could have greater implications for future biodiversity conflicts than global socioeconomic drivers.","call-number":"1","container-title":"Biological Conservation","DOI":"10.1016/j.biocon.2021.109234","ISSN":"0006-3207","journalAbbreviation":"Biological Conservation","page":"109234","source":"5.9","title":"Global Biodiversity Implications of Alternative Electrification Strategies Under the Shared Socioeconomic Pathways","volume":"260","author":[{"family":"McManamay","given":"Ryan A."},{"family":"Vernon","given":"Chris R."},{"family":"Jager","given":"Henriette I."}],"issued":{"date-parts":[["2021",8,1]]},"citation-key":"mcmanamayGlobalBiodiversityImplications2021"},"label":"page"},{"id":4252,"uris":["http://zotero.org/users/9110477/items/I454R5AF"],"itemData":{"id":4252,"type":"article-journal","abstract":"The rapid spread of solar power plants onto cropland is having increasingly detrimental impacts. Targeted policy and technological solutions are urgently needed to resolve the tension between renewable energy and food production.","call-number":"1","container-title":"Nature Geoscience","DOI":"10.1038/s41561-023-01304-1","ISSN":"1752-0908","issue":"11","journalAbbreviation":"Nat. Geosci.","language":"en","license":"2023 Springer Nature Limited","note":"publisher: Nature Publishing Group","page":"932-934","source":"18.3","title":"Booming solar energy is encroaching on cropland","volume":"16","author":[{"family":"Zhang","given":"Ning"},{"family":"Duan","given":"Huabo"},{"family":"Shan","given":"Yuli"},{"family":"Miller","given":"T. Reed"},{"family":"Yang","given":"Jiakuan"},{"family":"Bai","given":"Xuemei"}],"issued":{"date-parts":[["2023",11]]}},"label":"page"}],"schema":"https://github.com/citation-style-language/schema/raw/master/csl-citation.json"} </w:instrText>
      </w:r>
      <w:r w:rsidR="00937E4D" w:rsidRPr="00D56A55">
        <w:fldChar w:fldCharType="separate"/>
      </w:r>
      <w:r w:rsidR="00844949" w:rsidRPr="00844949">
        <w:rPr>
          <w:kern w:val="0"/>
          <w:vertAlign w:val="superscript"/>
        </w:rPr>
        <w:t>30–32</w:t>
      </w:r>
      <w:r w:rsidR="00937E4D" w:rsidRPr="00D56A55">
        <w:fldChar w:fldCharType="end"/>
      </w:r>
      <w:r w:rsidR="00937E4D" w:rsidRPr="00D56A55">
        <w:rPr>
          <w:szCs w:val="32"/>
        </w:rPr>
        <w:t xml:space="preserve"> </w:t>
      </w:r>
      <w:r w:rsidR="00937E4D" w:rsidRPr="00D56A55">
        <w:t xml:space="preserve">Consequently, the potential conflicts between biodiversity conservation and the </w:t>
      </w:r>
      <w:r w:rsidR="00301DE4">
        <w:rPr>
          <w:rFonts w:hint="eastAsia"/>
        </w:rPr>
        <w:t>large land demand</w:t>
      </w:r>
      <w:r w:rsidR="00301DE4" w:rsidRPr="00D56A55">
        <w:t xml:space="preserve"> </w:t>
      </w:r>
      <w:r w:rsidR="00937E4D" w:rsidRPr="00D56A55">
        <w:t xml:space="preserve">of </w:t>
      </w:r>
      <w:r w:rsidR="00FC75D7" w:rsidRPr="00D56A55">
        <w:t>renewable energy</w:t>
      </w:r>
      <w:r w:rsidR="00937E4D" w:rsidRPr="00D56A55">
        <w:t xml:space="preserve"> infrastructure are </w:t>
      </w:r>
      <w:r w:rsidR="000377D4" w:rsidRPr="00D56A55">
        <w:t xml:space="preserve">likely </w:t>
      </w:r>
      <w:r w:rsidR="00937E4D" w:rsidRPr="00D56A55">
        <w:t xml:space="preserve">to </w:t>
      </w:r>
      <w:r w:rsidR="000377D4" w:rsidRPr="00D56A55">
        <w:t>become</w:t>
      </w:r>
      <w:r w:rsidR="00937E4D" w:rsidRPr="00D56A55">
        <w:t xml:space="preserve"> more prominent</w:t>
      </w:r>
      <w:r w:rsidR="003E3D2F" w:rsidRPr="00D56A55">
        <w:t>.</w:t>
      </w:r>
      <w:r w:rsidR="00937E4D" w:rsidRPr="00D56A55">
        <w:rPr>
          <w:szCs w:val="32"/>
        </w:rPr>
        <w:fldChar w:fldCharType="begin"/>
      </w:r>
      <w:r w:rsidR="00A43A89">
        <w:rPr>
          <w:szCs w:val="32"/>
        </w:rPr>
        <w:instrText xml:space="preserve"> ADDIN ZOTERO_ITEM CSL_CITATION {"citationID":"b4lybLcB","properties":{"formattedCitation":"\\super 12,33\\uc0\\u8211{}35\\nosupersub{}","plainCitation":"12,33–35","noteIndex":0},"citationItems":[{"id":660,"uris":["http://zotero.org/users/9110477/items/4DC6X3TY"],"itemData":{"id":660,"type":"article-journal","abstract":"Transitioning from fossil fuels to renewable energy is fundamental for halting anthropogenic climate change. However, renewable energy facilities can be land-use intensive and impact conservation areas, and little attention has been given to whether the aggregated effect of energy transitions poses a substantial threat to global biodiversity. Here, we assess the extent of current and likely future renewable energy infrastructure associated with onshore wind, hydropower and solar photovoltaic generation, within three important conservation areas: protected areas, Key Biodiversity Areas and Earth’s remaining wilderness. We identified 2,206 fully operational renewable energy facilities within the boundaries of these conservation areas, with another 922 facilities under development. Combined, these facilities span and are degrading 886 protected areas, 749 Key Biodiversity Areas, and 40 distinct wilderness areas. Two trends are particularly concerning. First, while the majority of historical overlap occurs in Western Europe, the renewable electricity facilities under development increasingly overlap with conservation areas in South East Asia, a globally important region for biodiversity. Second, this next wave of renewable energy infrastructure represents a ~30% increase in the number of protected areas and Key Biodiversity Areas impacted and could increase the number of compromised wilderness areas by ~60%. If the world continues to rapidly transition towards renewable energy these areas will face increasing pressure to allow infrastructure expansion. Coordinated planning of renewable energy expansion and biodiversity conservation is essential to avoid conflicts that compromise their respective objectives.","call-number":"1","container-title":"Global Change Biology","DOI":"10.1111/gcb.15067","ISSN":"1354-1013, 1365-2486","issue":"5","journalAbbreviation":"Glob Change Biol","language":"en","page":"3040-3051","source":"11.6","title":"Renewable energy development threatens many globally important biodiversity areas","volume":"26","author":[{"family":"Rehbein","given":"Jose A."},{"family":"Watson","given":"James E. M."},{"family":"Lane","given":"Joe L."},{"family":"Sonter","given":"Laura J."},{"family":"Venter","given":"Oscar"},{"family":"Atkinson","given":"Scott C."},{"family":"Allan","given":"James R."}],"issued":{"date-parts":[["2020",5]]}},"label":"page"},{"id":644,"uris":["http://zotero.org/users/9110477/items/YD3NFGW7","http://zotero.org/us</w:instrText>
      </w:r>
      <w:r w:rsidR="00A43A89">
        <w:rPr>
          <w:rFonts w:hint="eastAsia"/>
          <w:szCs w:val="32"/>
        </w:rPr>
        <w:instrText>ers/9110477/items/9FFCT8F2"],"itemData":{"id":644,"type":"article-journal","abstract":"Scenario</w:instrText>
      </w:r>
      <w:r w:rsidR="00A43A89">
        <w:rPr>
          <w:rFonts w:hint="eastAsia"/>
          <w:szCs w:val="32"/>
        </w:rPr>
        <w:instrText>‐</w:instrText>
      </w:r>
      <w:r w:rsidR="00A43A89">
        <w:rPr>
          <w:rFonts w:hint="eastAsia"/>
          <w:szCs w:val="32"/>
        </w:rPr>
        <w:instrText>based biodiversity modelling is a powerful approach to evaluate how possible future socio</w:instrText>
      </w:r>
      <w:r w:rsidR="00A43A89">
        <w:rPr>
          <w:rFonts w:hint="eastAsia"/>
          <w:szCs w:val="32"/>
        </w:rPr>
        <w:instrText>‐</w:instrText>
      </w:r>
      <w:r w:rsidR="00A43A89">
        <w:rPr>
          <w:rFonts w:hint="eastAsia"/>
          <w:szCs w:val="32"/>
        </w:rPr>
        <w:instrText>economic developments may affect biodiversity. Here, we evaluated the changes in terrestrial biodiversity intactness, expressed by the mean species abundance (MSA) metric, resulting from three of the shared socio</w:instrText>
      </w:r>
      <w:r w:rsidR="00A43A89">
        <w:rPr>
          <w:rFonts w:hint="eastAsia"/>
          <w:szCs w:val="32"/>
        </w:rPr>
        <w:instrText>‐</w:instrText>
      </w:r>
      <w:r w:rsidR="00A43A89">
        <w:rPr>
          <w:rFonts w:hint="eastAsia"/>
          <w:szCs w:val="32"/>
        </w:rPr>
        <w:instrText>economic pathways (SSPs) combined with different levels of climate change (according to representative concentr</w:instrText>
      </w:r>
      <w:r w:rsidR="00A43A89">
        <w:rPr>
          <w:szCs w:val="32"/>
        </w:rPr>
        <w:instrText>ation pathways [RCPs]): a future oriented towards sustainability (SSP1xRCP2.6), a future determined by a politically divided world (SSP3xRCP6.0) and a future with continued global dependency on fossil fuels (SSP5xRCP8.5). To this end, we first updated the</w:instrText>
      </w:r>
      <w:r w:rsidR="00A43A89">
        <w:rPr>
          <w:rFonts w:hint="eastAsia"/>
          <w:szCs w:val="32"/>
        </w:rPr>
        <w:instrText xml:space="preserve"> GLOBIO model, which now runs at a spatial resolution of 10 arc</w:instrText>
      </w:r>
      <w:r w:rsidR="00A43A89">
        <w:rPr>
          <w:rFonts w:hint="eastAsia"/>
          <w:szCs w:val="32"/>
        </w:rPr>
        <w:instrText>‐</w:instrText>
      </w:r>
      <w:r w:rsidR="00A43A89">
        <w:rPr>
          <w:rFonts w:hint="eastAsia"/>
          <w:szCs w:val="32"/>
        </w:rPr>
        <w:instrText>seconds (~300 m), contains new modules for downscaling land use and for quantifying impacts of hunting in the tropics, and updated modules to quantify impacts of climate change, land use, habitat fragmentation and nitrogen pollution. We then used the updated model to project terrestrial biodiversity intactness from 2015 to 2050 as a function of land use and climate changes corresponding with the selected scenarios. We estimated a global area</w:instrText>
      </w:r>
      <w:r w:rsidR="00A43A89">
        <w:rPr>
          <w:rFonts w:hint="eastAsia"/>
          <w:szCs w:val="32"/>
        </w:rPr>
        <w:instrText>‐</w:instrText>
      </w:r>
      <w:r w:rsidR="00A43A89">
        <w:rPr>
          <w:szCs w:val="32"/>
        </w:rPr>
        <w:instrText>weighted mean MSA of 0.56 for 2015. Biodiversity intactness declined in all three scenarios, yet the decline was smaller in the sustainability scenario (−0.02) than the regional rivalry and fossil</w:instrText>
      </w:r>
      <w:r w:rsidR="00A43A89">
        <w:rPr>
          <w:rFonts w:hint="eastAsia"/>
          <w:szCs w:val="32"/>
        </w:rPr>
        <w:instrText>‐</w:instrText>
      </w:r>
      <w:r w:rsidR="00A43A89">
        <w:rPr>
          <w:szCs w:val="32"/>
        </w:rPr>
        <w:instrText>fuelled development scenarios (−0.06 and −0.05 respectivel</w:instrText>
      </w:r>
      <w:r w:rsidR="00A43A89">
        <w:rPr>
          <w:rFonts w:hint="eastAsia"/>
          <w:szCs w:val="32"/>
        </w:rPr>
        <w:instrText>y). We further found considerable variation in projected biodiversity change among different world regions, with large future losses particularly for sub</w:instrText>
      </w:r>
      <w:r w:rsidR="00A43A89">
        <w:rPr>
          <w:rFonts w:hint="eastAsia"/>
          <w:szCs w:val="32"/>
        </w:rPr>
        <w:instrText>‐</w:instrText>
      </w:r>
      <w:r w:rsidR="00A43A89">
        <w:rPr>
          <w:rFonts w:hint="eastAsia"/>
          <w:szCs w:val="32"/>
        </w:rPr>
        <w:instrText>Saharan Africa. In some scenario</w:instrText>
      </w:r>
      <w:r w:rsidR="00A43A89">
        <w:rPr>
          <w:rFonts w:hint="eastAsia"/>
          <w:szCs w:val="32"/>
        </w:rPr>
        <w:instrText>‐</w:instrText>
      </w:r>
      <w:r w:rsidR="00A43A89">
        <w:rPr>
          <w:rFonts w:hint="eastAsia"/>
          <w:szCs w:val="32"/>
        </w:rPr>
        <w:instrText>region combinations, we projected future biodiversity recovery due t</w:instrText>
      </w:r>
      <w:r w:rsidR="00A43A89">
        <w:rPr>
          <w:szCs w:val="32"/>
        </w:rPr>
        <w:instrText>o reduced demands for agricultural land, yet this recovery was counteracted by increased impacts of other pressures (notably climate change and road disturbance). Effective measures to halt or reverse the decline of terrestrial biodiversity should not only reduce land demand (e.g. by increasing agricultural productivity and dietary changes) but also focus on reducing or mitigating the impacts of other pressures.","call-number":"1","container-title":"Global Change Biology","DOI":"10.1111/gcb.14848","ISSN":"1354-1013, 1365-2486","issue":"2","journalAbbreviation":"Global Change Biology","language":"en","page":"760-771","source":"11.6","title":"Projecting terrestrial biodiversity intactness with GLOBIO 4","volume":"26","author":[{"family":"Schipper","given":"</w:instrText>
      </w:r>
      <w:r w:rsidR="00A43A89">
        <w:rPr>
          <w:rFonts w:hint="eastAsia"/>
          <w:szCs w:val="32"/>
        </w:rPr>
        <w:instrText>Aafke M."},{"family":"Hilbers","given":"Jelle P."},{"family":"Meijer","given":"Johan R."},{"family":"Antão","given":"Laura H."},{"family":"Ben</w:instrText>
      </w:r>
      <w:r w:rsidR="00A43A89">
        <w:rPr>
          <w:rFonts w:hint="eastAsia"/>
          <w:szCs w:val="32"/>
        </w:rPr>
        <w:instrText>í</w:instrText>
      </w:r>
      <w:r w:rsidR="00A43A89">
        <w:rPr>
          <w:rFonts w:hint="eastAsia"/>
          <w:szCs w:val="32"/>
        </w:rPr>
        <w:instrText>tez</w:instrText>
      </w:r>
      <w:r w:rsidR="00A43A89">
        <w:rPr>
          <w:rFonts w:hint="eastAsia"/>
          <w:szCs w:val="32"/>
        </w:rPr>
        <w:instrText>‐</w:instrText>
      </w:r>
      <w:r w:rsidR="00A43A89">
        <w:rPr>
          <w:rFonts w:hint="eastAsia"/>
          <w:szCs w:val="32"/>
        </w:rPr>
        <w:instrText>L</w:instrText>
      </w:r>
      <w:r w:rsidR="00A43A89">
        <w:rPr>
          <w:rFonts w:hint="eastAsia"/>
          <w:szCs w:val="32"/>
        </w:rPr>
        <w:instrText>ó</w:instrText>
      </w:r>
      <w:r w:rsidR="00A43A89">
        <w:rPr>
          <w:rFonts w:hint="eastAsia"/>
          <w:szCs w:val="32"/>
        </w:rPr>
        <w:instrText>pez","given":"Ana"},{"family":"Jonge","given":"Melinda M. J."},{"family":"Leemans","given":"Luuk H."},{"fa</w:instrText>
      </w:r>
      <w:r w:rsidR="00A43A89">
        <w:rPr>
          <w:szCs w:val="32"/>
        </w:rPr>
        <w:instrText>mily":"Scheper","given":"Eddy"},{"family":"Alkemade","given":"Rob"},{"family":"Doelman","given":"Jonathan C."},{"family":"Mylius","given":"Sido"},{"family":"Stehfest","given":"Elke"},{"family":"Vuuren","given":"Detlef P."},{"family":"Zeist","given":"Wille</w:instrText>
      </w:r>
      <w:r w:rsidR="00A43A89">
        <w:rPr>
          <w:rFonts w:hint="eastAsia"/>
          <w:szCs w:val="32"/>
        </w:rPr>
        <w:instrText>m</w:instrText>
      </w:r>
      <w:r w:rsidR="00A43A89">
        <w:rPr>
          <w:rFonts w:hint="eastAsia"/>
          <w:szCs w:val="32"/>
        </w:rPr>
        <w:instrText>‐</w:instrText>
      </w:r>
      <w:r w:rsidR="00A43A89">
        <w:rPr>
          <w:rFonts w:hint="eastAsia"/>
          <w:szCs w:val="32"/>
        </w:rPr>
        <w:instrText>Jan"},{"family":"Huijbregts","given":"Mark A. J."}],"issued":{"date-parts":[["2020",2]]}},"label":"page"},{"id":"gt1nbpQY/CcmTfOVn","uris":["http://zotero.org/users/9110477/items/5NQNDAMH"],"itemData":{"id":4286,"type":"article-journal","call-number":"1</w:instrText>
      </w:r>
      <w:r w:rsidR="00A43A89">
        <w:rPr>
          <w:szCs w:val="32"/>
        </w:rPr>
        <w:instrText xml:space="preserve">","container-title":"Trends in Ecology &amp; Evolution","DOI":"10.1016/j.tree.2021.01.013","ISSN":"01695347","issue":"5","journalAbbreviation":"Trends in Ecology &amp; Evolution","language":"en","page":"377-380","source":"16.8","title":"Facilitating Policy Responses for Renewable Energy and Biodiversity","volume":"36","author":[{"family":"Gasparatos","given":"Alexandros"},{"family":"Ahmed","given":"Abubakari"},{"family":"Voigt","given":"Christina"}],"issued":{"date-parts":[["2021",5]]},"citation-key":"gasparatosFacilitatingPolicyResponses2021"},"label":"page"},{"id":4475,"uris":["http://zotero.org/users/9110477/items/AWDTDGT2"],"itemData":{"id":4475,"type":"article-journal","abstract":"Understanding potential future patterns of human-induced land-use and land-cover change is critical to assessing and proactively managing the tradeoffs between development and the environment. Most global land-use change assessments, however, consider a narrow set of economic sectors, focusing primarily on agricultural and urban sectors. We present a global land-use change model that includes detailed energy and mining sectors (11 in total) in addition to agriculture and urban sectors. We find that energy and extractive sectors had a large expansion footprint (1.26 million km2) projected to 2050, which was nearly as large as the cropland expansion footprint (1.54 million km2) and larger than the urban expansion footprint (0.34 million km2). Moreover, energy and mining expansion account for nearly 80% of all projected expansion into the world's most intact natural lands, suggesting that these sectors play an outsized role in threats to biodiversity and environmental protection. Additionally, we find substantial shifts in the ranking of countries in relation to their vulnerability of land conversion when we accounted for energy and mining footprints alongside agricultural and urban footprints. Our results suggest that meeting resource demands, while maintaining social and environmental benefits provided by natural systems, will require reducing consumption and increasing efficiency in resource use alongside improved development siting and mitigation practices.","call-number":"2","container-title":"Ecological Economics","DOI":"10.1016/j.ecolecon.2021.107106","ISSN":"0921-8009","journalAbbreviation":"Ecological Economics","language":"en-US","page":"107106","source":"7","title":"Energy matters: Mitigating the impacts of future land expansion will require managing energy and extractive footprints","title-short":"Energy matters","volume":"187","author":[{"family":"Johnson","given":"Justin A."},{"family":"Kennedy","given":"Christina M."},{"family":"Oakleaf","given":"James R."},{"family":"Baruch-Mordo","given":"Sharon"},{"family":"Polasky","given":"Stephen"},{"family":"Kiesecker","given":"Joseph"}],"issued":{"date-parts":[["2021",9,1]]}},"label":"page"}],"schema":"https://github.com/citation-style-language/schema/raw/master/csl-citation.json"} </w:instrText>
      </w:r>
      <w:r w:rsidR="00937E4D" w:rsidRPr="00D56A55">
        <w:rPr>
          <w:szCs w:val="32"/>
        </w:rPr>
        <w:fldChar w:fldCharType="separate"/>
      </w:r>
      <w:r w:rsidR="00844949" w:rsidRPr="00844949">
        <w:rPr>
          <w:kern w:val="0"/>
          <w:vertAlign w:val="superscript"/>
        </w:rPr>
        <w:t>12,33–35</w:t>
      </w:r>
      <w:r w:rsidR="00937E4D" w:rsidRPr="00D56A55">
        <w:rPr>
          <w:szCs w:val="32"/>
        </w:rPr>
        <w:fldChar w:fldCharType="end"/>
      </w:r>
    </w:p>
    <w:p w14:paraId="152DB907" w14:textId="5BD9BB02" w:rsidR="00772915" w:rsidRPr="00D56A55" w:rsidRDefault="001159C9" w:rsidP="00792F96">
      <w:pPr>
        <w:spacing w:line="360" w:lineRule="auto"/>
        <w:ind w:firstLine="360"/>
      </w:pPr>
      <w:r>
        <w:t>Recognizing</w:t>
      </w:r>
      <w:r w:rsidR="005720A9">
        <w:t xml:space="preserve"> this, </w:t>
      </w:r>
      <w:r w:rsidR="00360D31" w:rsidRPr="00D56A55">
        <w:t>Target 8 of</w:t>
      </w:r>
      <w:r w:rsidR="000377D4" w:rsidRPr="00D56A55">
        <w:t xml:space="preserve"> the</w:t>
      </w:r>
      <w:r w:rsidR="00360D31" w:rsidRPr="00D56A55">
        <w:t xml:space="preserve"> </w:t>
      </w:r>
      <w:r w:rsidR="00937225" w:rsidRPr="00D56A55">
        <w:t>United Nations</w:t>
      </w:r>
      <w:r w:rsidR="00360D31" w:rsidRPr="00D56A55">
        <w:t>’</w:t>
      </w:r>
      <w:r w:rsidR="00937225" w:rsidRPr="00D56A55">
        <w:t xml:space="preserve"> Kunming-Montreal Global Framework for Biodiversity </w:t>
      </w:r>
      <w:r w:rsidR="00B6326A" w:rsidRPr="00B6326A">
        <w:t>seeks to minimize the impacts of climate actions on biodiversity by 2030</w:t>
      </w:r>
      <w:r w:rsidR="003E3D2F" w:rsidRPr="00D56A55">
        <w:t>.</w:t>
      </w:r>
      <w:r w:rsidR="00937225" w:rsidRPr="00D56A55">
        <w:fldChar w:fldCharType="begin"/>
      </w:r>
      <w:r w:rsidR="00A43A89">
        <w:instrText xml:space="preserve"> ADDIN ZOTERO_ITEM CSL_CITATION {"citationID":"rTpV7Fbj","properties":{"formattedCitation":"\\super 36\\nosupersub{}","plainCitation":"36","noteIndex":0},"citationItems":[{"id":4063,"uris":["http://zotero.org/users/9110477/items/AZMIJGUN"],"itemData":{"id":4063,"type":"article-journal","abstract":"Finite land is under pressure to provide food, timber, human infrastructure, climate change mitigation, and wildlife habitat. Given the inherent trade-offs associated with land-use choices, there is a need to assess how alternative land-use trajectories will impact the delivery of these beneﬁts. Here, we develop nine exploratory, climate change mitigation-driven land-use scenarios for the UK. The scenario that maximized deployment of nature-based solutions reduced greenhouse gas (CO2e) emissions from the land sector by &gt;100% by 2050 but resulted in a 21% decline in food production. All mitigation scenarios delivered aggregate increases in habitat availability for 109 bird species (including 61 species of conservation concern), although farmland-associated species lost habitat. Our study reiterates the potential of nature-based solutions to address global climate and biodiversity challenges but also highlights risks to farmland wildlife and the importance of food system reform to mitigate potential reductions in primary food production.","call-number":"3","container-title":"One Earth","DOI":"10.1016/j.oneear.2023.09.005","ISSN":"25903322","issue":"10","journalAbbreviation":"One Earth","language":"en","page":"1350-1374","source":"16.2","title":"Spatially targeted nature-based solutions can mitigate climate change and nature loss but require a systems approach","volume":"6","author":[{"family":"Finch","given":"Tom"},{"family":"Bradbury","given":"Richard B."},{"family":"Bradfer-Lawrence","given":"Tom"},{"family":"Buchanan","given":"Graeme M."},{"family":"Copping","given":"Joshua P."},{"family":"Massimino","given":"Dario"},{"family":"Smith","given":"Pete"},{"family":"Peach","given":"Will J."},{"family":"Field","given":"Rob H."}],"issued":{"date-parts":[["2023",10]]}}}],"schema":"https://github.com/citation-style-language/schema/raw/master/csl-citation.json"} </w:instrText>
      </w:r>
      <w:r w:rsidR="00937225" w:rsidRPr="00D56A55">
        <w:fldChar w:fldCharType="separate"/>
      </w:r>
      <w:r w:rsidR="00844949" w:rsidRPr="00844949">
        <w:rPr>
          <w:kern w:val="0"/>
          <w:vertAlign w:val="superscript"/>
        </w:rPr>
        <w:t>36</w:t>
      </w:r>
      <w:r w:rsidR="00937225" w:rsidRPr="00D56A55">
        <w:fldChar w:fldCharType="end"/>
      </w:r>
      <w:r w:rsidR="00B83B86" w:rsidRPr="00D56A55">
        <w:rPr>
          <w:rFonts w:hint="eastAsia"/>
        </w:rPr>
        <w:t xml:space="preserve"> </w:t>
      </w:r>
      <w:r w:rsidR="005720A9">
        <w:t>However, i</w:t>
      </w:r>
      <w:r w:rsidR="000377D4" w:rsidRPr="00D56A55">
        <w:t xml:space="preserve">ncreasing </w:t>
      </w:r>
      <w:r w:rsidR="00772915" w:rsidRPr="00D56A55">
        <w:t xml:space="preserve">inter-regional trade </w:t>
      </w:r>
      <w:r w:rsidR="00102D53" w:rsidRPr="00D56A55">
        <w:rPr>
          <w:rFonts w:hint="eastAsia"/>
        </w:rPr>
        <w:t>in</w:t>
      </w:r>
      <w:r w:rsidR="00772915" w:rsidRPr="00D56A55">
        <w:t xml:space="preserve"> </w:t>
      </w:r>
      <w:r w:rsidR="00937E4D" w:rsidRPr="00D56A55">
        <w:t xml:space="preserve">renewable </w:t>
      </w:r>
      <w:r w:rsidR="00B23C66" w:rsidRPr="00D56A55">
        <w:t>energy</w:t>
      </w:r>
      <w:r w:rsidR="00060BD5">
        <w:t xml:space="preserve"> (such as electricity from wind farm and </w:t>
      </w:r>
      <w:r w:rsidR="00060BD5">
        <w:rPr>
          <w:rFonts w:hint="eastAsia"/>
        </w:rPr>
        <w:t>s</w:t>
      </w:r>
      <w:r w:rsidR="00060BD5" w:rsidRPr="00060BD5">
        <w:t>olar photovoltaic</w:t>
      </w:r>
      <w:r w:rsidR="00060BD5">
        <w:rPr>
          <w:rFonts w:hint="eastAsia"/>
        </w:rPr>
        <w:t>)</w:t>
      </w:r>
      <w:r w:rsidR="000377D4" w:rsidRPr="00D56A55">
        <w:t xml:space="preserve">, </w:t>
      </w:r>
      <w:r w:rsidR="00BC308F" w:rsidRPr="00BC308F">
        <w:t>driven by</w:t>
      </w:r>
      <w:r w:rsidR="000377D4" w:rsidRPr="00D56A55">
        <w:t xml:space="preserve"> </w:t>
      </w:r>
      <w:r w:rsidR="00937E4D" w:rsidRPr="00D56A55">
        <w:t xml:space="preserve">uneven distribution of global renewable resources and </w:t>
      </w:r>
      <w:r w:rsidR="000377D4" w:rsidRPr="00D56A55">
        <w:t xml:space="preserve">improved </w:t>
      </w:r>
      <w:r w:rsidR="00937E4D" w:rsidRPr="00D56A55">
        <w:t xml:space="preserve">interconnectivity of global power </w:t>
      </w:r>
      <w:r w:rsidR="009864B6">
        <w:rPr>
          <w:rFonts w:hint="eastAsia"/>
        </w:rPr>
        <w:t>grid</w:t>
      </w:r>
      <w:r w:rsidR="00937E4D" w:rsidRPr="00D56A55">
        <w:t>s</w:t>
      </w:r>
      <w:r w:rsidR="000377D4" w:rsidRPr="00D56A55">
        <w:t>,</w:t>
      </w:r>
      <w:r w:rsidR="00772915" w:rsidRPr="00D56A55">
        <w:t xml:space="preserve"> </w:t>
      </w:r>
      <w:r w:rsidR="000377D4" w:rsidRPr="00D56A55">
        <w:t xml:space="preserve">has </w:t>
      </w:r>
      <w:r w:rsidR="00772915" w:rsidRPr="00D56A55">
        <w:t>amplif</w:t>
      </w:r>
      <w:r w:rsidR="00937E4D" w:rsidRPr="00D56A55">
        <w:t>ied</w:t>
      </w:r>
      <w:r w:rsidR="00772915" w:rsidRPr="00D56A55">
        <w:t xml:space="preserve"> the complexity of coordinating </w:t>
      </w:r>
      <w:r w:rsidR="000377D4" w:rsidRPr="00D56A55">
        <w:t xml:space="preserve">actions on </w:t>
      </w:r>
      <w:r w:rsidR="00772915" w:rsidRPr="00D56A55">
        <w:t xml:space="preserve">climate change and biodiversity </w:t>
      </w:r>
      <w:r w:rsidR="005A28D3" w:rsidRPr="00D56A55">
        <w:rPr>
          <w:rFonts w:hint="eastAsia"/>
        </w:rPr>
        <w:t>actions</w:t>
      </w:r>
      <w:r w:rsidR="003E3D2F" w:rsidRPr="00D56A55">
        <w:t>.</w:t>
      </w:r>
      <w:r w:rsidR="00772915" w:rsidRPr="00D56A55">
        <w:rPr>
          <w:szCs w:val="32"/>
        </w:rPr>
        <w:fldChar w:fldCharType="begin"/>
      </w:r>
      <w:r w:rsidR="00A43A89">
        <w:rPr>
          <w:szCs w:val="32"/>
        </w:rPr>
        <w:instrText xml:space="preserve"> ADDIN ZOTERO_ITEM CSL_CITATION {"citationID":"CGi5Ekdt","properties":{"formattedCitation":"\\super 37\\uc0\\u8211{}40\\nosupersub{}","plainCitation":"37–40","noteIndex":0},"citationItems":[{"id":649,"uris":["http://zotero.org/users/9110477/items/4CZACPDZ"],"itemData":{"id":649,"type":"article-journal","abstract":"Effective and equitable conservation requires understanding of the global biodiversity impacts inflicted by consumption in individual countries and those embodied in international trade. Research to date has ascertained these impacts in terms of threats, but not on species directly. Here we use a novel approach, by parametrizing the countryside species-area relationship (SAR) (a). Using a recent high-resolution and harmonized global land use map along with (b). IUCN habitat classification data for all 22,386 mammal, bird, and amphibian species, to project endemic species extinctions due to habitat loss to date across all 804 terrestrial ecoregions; and then, (c). Validating the projected extinctions with IUCN Red List. We allocate projected extinctions to the agriculture, pasture, urban, and forestry areas used, traded, and consumed in 129 countries, using an environmentally extended global multi-regional input output database. Results show that for the three taxa combined, a total of 927 endemic species are projected to go extinct due to the impacts of current global land use. The taxonomic breakdown is 186 projected mammal extinctions, 170 birds, and 571 amphibians, with global agriculture land use responsible for 267 projected extinctions; pasture 314, forestry 313, and urbanization 32. Importantly, countryside SAR projections compare well with the number of extinct and threatened species documented by the IUCN Red List. We found that land use for export production is responsible for 25% of these projected global extinctions. Our approach enables parametrization of countryside SARs in any world region even without extensive field studies, and therefore allows quantitative assessment of biodiversity impacts under alternative land use scenarios. Overall, our approach and findings can inform sustainability assessment of commodity supply-chains as well as specific national actions toward achievement of the Aichi 2020 and UN Sustainable Development Goals.","container-title":"World Development","DOI":"10.1016/j.worlddev.2017.10.012","ISSN":"0305-750X","journalAbbreviation":"World Development","language":"en","page":"178-187","source":"6.9","title":"National Consumption and Global Trade Impacts on Biodiversity","volume":"121","author":[{"family":"Chaudhary","given":"Abhishek"},{"family":"Brooks","given":"Thomas M."}],"issued":{"date-parts":[["2019",9,1]]}},"label":"page"},{"id":715,"uris":["http://zotero.org/users/9110477/items/DZKYF8B6"],"itemData":{"id":715,"type":"article-journal","abstract":"Agricultural land use to meet the demands of a growing population, changing diets, lifestyles and biofuel production is a significant driver of biodiversity loss. Globally applicable methods are needed to assess biodiversity impacts hidden in internationally traded food items. We used the countryside species area relationship (SAR) model to estimate the mammals, birds, amphibians and reptiles species lost (i.e. species ‘committed to extinction’) due to agricultural land use within each of the 804 terrestrial ecoregion. These species lost estimates were combined with high spatial resolution global maps of crop yields to calculate species lost per ton for 170 crops in 184 countries. Finally, the impacts per ton were linked with the bilateral trade data of crop products between producing and consuming countries from FAO, to calculate the land use biodiversity impacts embodied in international crop trade and consumption. We found that 83% of total species loss is incurred due to agriculture land use devoted for domestic consumption whereas 17% is due to export production. Exports from Indonesia to USA and China embody highest impacts (20 species lost at the regional level each). In general, industrialized countries with high per capita GDP tend to be major net importers of biodiversity impacts from developing tropical countries. Results show that embodied land area is not a good proxy for embodied biodiversity impacts in trade flows, as crops occupying little global area such as sugarcane, palm oil, rubber and coffee have disproportionately high biodiversity impacts.","container-title":"Global Environmental Change","DOI":"10.1016/j.gloenvcha.2016.03.013","ISSN":"0959-3780","journalAbbreviation":"Global Environmental Change","language":"en","page":"195-204","title":"Land use biodiversity impacts embodied in international food trade","volume":"38","author":[{"family":"Chaudhary","given":"Abhishek"},{"family":"Kastner","given":"Thomas"}],"issued":{"date-parts":[["2016",5,1]]}},"label":"page"},{"id":598,"uris":["http://zotero.org/users/9110477/items/XRYGFVB2"],"itemData":{"id":598,"type":"article-journal","call-number":"1","container-title":"Nature","DOI":"10.1038/nature11145","ISSN":"0028-0836, 1476-4687","issue":"7401","journalAbbreviation":"Nature","language":"en","page":"109-112","source":"64.8","title":"International trade drives biodiversity threats in developing nations","volume":"486","author":[{"family":"Lenzen","given":"M."},{"family":"Moran","given":"D."},{"family":"Kanemoto","given":"K."},{"family":"Foran","given":"B."},{"family":"Lobefaro","given":"L."},{"family":"Geschke","given":"A."}],"issued":{"date-parts":[["2012",6]]}},"label":"page"},{"id":678,"uris":["http://zotero.org/users/9110477/items/ATRXI4V2"],"itemData":{"id":678,"type":"article-journal","abstract":"Quantifying greenhouse gas emissions due to electricity consumption is crucial for climate mitigation in the electric power sector. Current practices primarily use productionbased emission factors to quantify emissions for electricity consumption, assuming production and consumption of electricity take place within the same region. The increasingly intensiﬁed cross-border electricity trade complicates the accounting for emissions of electricity consumption. This study employs a network approach to account for the ﬂows in the whole electricity trade network to estimate CO2 emissions of electricity consumption for 137 major countries/regions in 2014. Results show that in some countries, especially those in Europe and Southern Africa, the impacts of electricity trade on the estimation of emission factors and embodied emissions are signiﬁcant. The changes made to emission factors by considering intergrid electricity trade can have signiﬁcant implications for emission accounting and climate mitigation when multiplied by total electricity consumption of the corresponding countries/regions.","call-number":"1","container-title":"Environmental Science &amp; Technology","DOI":"10.1021/acs.est.7b05191","ISSN":"0013-936X, 1520-5851","issue":"11","journalAbbreviation":"Environ. Sci. Technol.","language":"en","note":"TLDR: In some countries, especially those in Europe and Southern Africa, the impacts of electricity trade on the estimation of emission factors and embodied emissions are significant and can have significant implications for emission accounting and climate mitigation when multiplied by total electricity consumption of the corresponding countries/regions.","page":"6666-6675","source":"11.4","title":"Virtual CO &lt;sub&gt;2&lt;/sub&gt; Emission Flows in the Global Electricity Trade Network","volume":"52","author":[{"family":"Qu","given":"Shen"},{"family":"Li","given":"Yun"},{"family":"Liang","given":"Sai"},{"family":"Yuan","given":"Jiahai"},{"family":"Xu","given":"Ming"}],"issued":{"date-parts":[["2018",6,5]]}},"label":"page"}],"schema":"https://github.com/citation-style-language/schema/raw/master/csl-citation.json"} </w:instrText>
      </w:r>
      <w:r w:rsidR="00772915" w:rsidRPr="00D56A55">
        <w:rPr>
          <w:szCs w:val="32"/>
        </w:rPr>
        <w:fldChar w:fldCharType="separate"/>
      </w:r>
      <w:r w:rsidR="00844949" w:rsidRPr="00844949">
        <w:rPr>
          <w:kern w:val="0"/>
          <w:vertAlign w:val="superscript"/>
        </w:rPr>
        <w:t>37–40</w:t>
      </w:r>
      <w:r w:rsidR="00772915" w:rsidRPr="00D56A55">
        <w:rPr>
          <w:szCs w:val="32"/>
        </w:rPr>
        <w:fldChar w:fldCharType="end"/>
      </w:r>
      <w:r w:rsidR="00772915" w:rsidRPr="00D56A55">
        <w:t xml:space="preserve"> </w:t>
      </w:r>
      <w:r w:rsidR="00937E4D" w:rsidRPr="00D56A55">
        <w:t>Studies show</w:t>
      </w:r>
      <w:r w:rsidR="00EE0AAC">
        <w:t>ed</w:t>
      </w:r>
      <w:r w:rsidR="00937E4D" w:rsidRPr="00D56A55">
        <w:t xml:space="preserve"> that </w:t>
      </w:r>
      <w:r w:rsidR="00772915" w:rsidRPr="00D56A55">
        <w:t>biodiversity</w:t>
      </w:r>
      <w:r w:rsidR="00EF6BF7" w:rsidRPr="00D56A55">
        <w:t xml:space="preserve"> loss</w:t>
      </w:r>
      <w:r w:rsidR="00772915" w:rsidRPr="00D56A55">
        <w:t xml:space="preserve"> associated with tangible commodities is </w:t>
      </w:r>
      <w:r w:rsidR="005A28D3" w:rsidRPr="00D56A55">
        <w:rPr>
          <w:rFonts w:hint="eastAsia"/>
        </w:rPr>
        <w:t>increasing with the growth of</w:t>
      </w:r>
      <w:r w:rsidR="00772915" w:rsidRPr="00D56A55">
        <w:t xml:space="preserve"> </w:t>
      </w:r>
      <w:r w:rsidR="00A43508" w:rsidRPr="00D56A55">
        <w:rPr>
          <w:rFonts w:hint="eastAsia"/>
        </w:rPr>
        <w:t>international</w:t>
      </w:r>
      <w:r w:rsidR="00772915" w:rsidRPr="00D56A55">
        <w:t xml:space="preserve"> trade</w:t>
      </w:r>
      <w:r w:rsidR="00CB6027">
        <w:t xml:space="preserve">, </w:t>
      </w:r>
      <w:r w:rsidR="005A28D3" w:rsidRPr="00D56A55">
        <w:rPr>
          <w:rFonts w:hint="eastAsia"/>
        </w:rPr>
        <w:t>le</w:t>
      </w:r>
      <w:r w:rsidR="00CB6027">
        <w:t>a</w:t>
      </w:r>
      <w:r w:rsidR="005A28D3" w:rsidRPr="00D56A55">
        <w:rPr>
          <w:rFonts w:hint="eastAsia"/>
        </w:rPr>
        <w:t>d</w:t>
      </w:r>
      <w:r w:rsidR="00CB6027">
        <w:t>ing</w:t>
      </w:r>
      <w:r w:rsidR="005A28D3" w:rsidRPr="00D56A55">
        <w:rPr>
          <w:rFonts w:hint="eastAsia"/>
        </w:rPr>
        <w:t xml:space="preserve"> to</w:t>
      </w:r>
      <w:r w:rsidR="00772915" w:rsidRPr="00D56A55">
        <w:t xml:space="preserve"> approximately 25% of species </w:t>
      </w:r>
      <w:r w:rsidR="005A28D3" w:rsidRPr="00D56A55">
        <w:rPr>
          <w:rFonts w:hint="eastAsia"/>
        </w:rPr>
        <w:t xml:space="preserve">becoming </w:t>
      </w:r>
      <w:r w:rsidR="00772915" w:rsidRPr="00D56A55">
        <w:t>extinc</w:t>
      </w:r>
      <w:r w:rsidR="005A28D3" w:rsidRPr="00D56A55">
        <w:rPr>
          <w:rFonts w:hint="eastAsia"/>
        </w:rPr>
        <w:t>t</w:t>
      </w:r>
      <w:r w:rsidR="00772915" w:rsidRPr="00D56A55">
        <w:t xml:space="preserve"> and 30% being endangered</w:t>
      </w:r>
      <w:r w:rsidR="003E3D2F" w:rsidRPr="00D56A55">
        <w:t>.</w:t>
      </w:r>
      <w:r w:rsidR="00772915" w:rsidRPr="00D56A55">
        <w:rPr>
          <w:szCs w:val="32"/>
        </w:rPr>
        <w:fldChar w:fldCharType="begin"/>
      </w:r>
      <w:r w:rsidR="00A43A89">
        <w:rPr>
          <w:szCs w:val="32"/>
        </w:rPr>
        <w:instrText xml:space="preserve"> ADDIN ZOTERO_ITEM CSL_CITATION {"citationID":"cnQxZfce","properties":{"formattedCitation":"\\super 41\\nosupersub{}","plainCitation":"41","noteIndex":0},"citationItems":[{"id":3893,"uris":["http://zotero.org/users/9110477/items/5R8Q7LE7"],"itemData":{"id":3893,"type":"article-journal","abstract":"Despite the emergence of regional climate policies, growth in global CO2 emissions has remained strong. From 1990 to 2008 CO2 emissions in developed countries (defined as countries with emission-reduction commitments in the Kyoto Protocol, Annex B) have stabilized, but emissions in developing countries (non-Annex B) have doubled. Some studies suggest that the stabilization of emissions in developed countries was partially because of growing imports from developing countries. To quantify the growth in emission transfers via international trade, we developed a trade-linked global database for CO2 emissions covering 113 countries and 57 economic sectors from 1990 to 2008. We find that the emissions from the production of traded goods and services have increased from 4.3 Gt CO2 in 1990 (20% of global emissions) to 7.8 Gt CO2 in 2008 (26%). Most developed countries have increased their consumption-based emissions faster than their territorial emissions, and non–energy-intensive manufacturing had a key role in the emission transfers. The net emission transfers via international trade from developing to developed countries increased from 0.4 Gt CO2 in 1990 to 1.6 Gt CO2 in 2008, which exceeds the Kyoto Protocol emission reductions. Our results indicate that international trade is a significant factor in explaining the change in emissions in many countries, from both a production and consumption perspective. We suggest that countries monitor emission transfers via international trade, in addition to territorial emissions, to ensure progress toward stabilization of global greenhouse gas emissions.","container-title":"Proceedings of the National Academy of Sciences","DOI":"10.1073/pnas.1006388108","issue":"21","note":"publisher: Proceedings of the National Academy of Sciences\nTLDR: A trade-linked global database for CO2 emissions covering 113 countries and 57 economic sectors from 1990 to 2008 indicates that international trade is a significant factor in explaining the change in emissions in many countries, from both a production and consumption perspective.","page":"8903-8908","source":"pnas.org (Atypon)","title":"Growth in emission transfers via international trade from 1990 to 2008","volume":"108","author":[{"family":"Peters","given":"Glen P."},{"family":"Minx","given":"Jan C."},{"family":"Weber","given":"Christopher L."},{"family":"Edenhofer","given":"Ottmar"}],"issued":{"date-parts":[["2011",5,24]]}}}],"schema":"https://github.com/citation-style-language/schema/raw/master/csl-citation.json"} </w:instrText>
      </w:r>
      <w:r w:rsidR="00772915" w:rsidRPr="00D56A55">
        <w:rPr>
          <w:szCs w:val="32"/>
        </w:rPr>
        <w:fldChar w:fldCharType="separate"/>
      </w:r>
      <w:r w:rsidR="00844949" w:rsidRPr="00844949">
        <w:rPr>
          <w:kern w:val="0"/>
          <w:vertAlign w:val="superscript"/>
        </w:rPr>
        <w:t>41</w:t>
      </w:r>
      <w:r w:rsidR="00772915" w:rsidRPr="00D56A55">
        <w:rPr>
          <w:szCs w:val="32"/>
        </w:rPr>
        <w:fldChar w:fldCharType="end"/>
      </w:r>
      <w:r w:rsidR="00772915" w:rsidRPr="00D56A55">
        <w:t xml:space="preserve"> </w:t>
      </w:r>
      <w:r w:rsidR="00AF3F24">
        <w:rPr>
          <w:rFonts w:hint="eastAsia"/>
          <w:szCs w:val="32"/>
        </w:rPr>
        <w:t>Morton et al.</w:t>
      </w:r>
      <w:r w:rsidR="00AF3F24">
        <w:rPr>
          <w:szCs w:val="32"/>
        </w:rPr>
        <w:fldChar w:fldCharType="begin"/>
      </w:r>
      <w:r w:rsidR="00A43A89">
        <w:rPr>
          <w:szCs w:val="32"/>
        </w:rPr>
        <w:instrText xml:space="preserve"> ADDIN ZOTERO_ITEM CSL_CITATION {"citationID":"NWA6Osbf","properties":{"formattedCitation":"\\super 42\\nosupersub{}","plainCitation":"42","noteIndex":0},"citationItems":[{"id":547,"uris":["http://zotero.org/users/9110477/items/JJDQ87Q7"],"itemData":{"id":547,"type":"article-journal","call-number":"1","container-title":"Nature Ecology &amp; Evolution","DOI":"10.1038/s41559-021-01399-y","ISSN":"2397-334X","issue":"4","journalAbbreviation":"Nat Ecol Evol","language":"en","page":"540-548","source":"16.8","title":"Impacts of wildlife trade on terrestrial biodiversity","volume":"5","author":[{"family":"Morton","given":"Oscar"},{"family":"Scheffers","given":"Brett R."},{"family":"Haugaasen","given":"Torbjørn"},{"family":"Edwards","given":"David P."}],"issued":{"date-parts":[["2021",2,15]]}}}],"schema":"https://github.com/citation-style-language/schema/raw/master/csl-citation.json"} </w:instrText>
      </w:r>
      <w:r w:rsidR="00AF3F24">
        <w:rPr>
          <w:szCs w:val="32"/>
        </w:rPr>
        <w:fldChar w:fldCharType="separate"/>
      </w:r>
      <w:r w:rsidR="00AF3F24" w:rsidRPr="00AF3F24">
        <w:rPr>
          <w:kern w:val="0"/>
          <w:vertAlign w:val="superscript"/>
        </w:rPr>
        <w:t>42</w:t>
      </w:r>
      <w:r w:rsidR="00AF3F24">
        <w:rPr>
          <w:szCs w:val="32"/>
        </w:rPr>
        <w:fldChar w:fldCharType="end"/>
      </w:r>
      <w:r w:rsidR="00772915" w:rsidRPr="00D56A55">
        <w:t xml:space="preserve"> </w:t>
      </w:r>
      <w:r w:rsidR="005A28D3" w:rsidRPr="00D56A55">
        <w:rPr>
          <w:rFonts w:hint="eastAsia"/>
        </w:rPr>
        <w:t>showed</w:t>
      </w:r>
      <w:r w:rsidR="005A28D3" w:rsidRPr="00D56A55">
        <w:t xml:space="preserve"> </w:t>
      </w:r>
      <w:r w:rsidR="00772915" w:rsidRPr="00D56A55">
        <w:t xml:space="preserve">that </w:t>
      </w:r>
      <w:r w:rsidR="000377D4" w:rsidRPr="00D56A55">
        <w:t xml:space="preserve">current </w:t>
      </w:r>
      <w:r w:rsidR="00772915" w:rsidRPr="00D56A55">
        <w:t xml:space="preserve">biodiversity </w:t>
      </w:r>
      <w:r w:rsidR="00772915" w:rsidRPr="00D56A55">
        <w:rPr>
          <w:rFonts w:hint="eastAsia"/>
        </w:rPr>
        <w:t>conservation</w:t>
      </w:r>
      <w:r w:rsidR="00772915" w:rsidRPr="00D56A55">
        <w:t xml:space="preserve"> policies have </w:t>
      </w:r>
      <w:r w:rsidR="000377D4" w:rsidRPr="00D56A55">
        <w:t>failed</w:t>
      </w:r>
      <w:r w:rsidR="00772915" w:rsidRPr="00D56A55">
        <w:t xml:space="preserve"> to </w:t>
      </w:r>
      <w:r w:rsidR="000377D4" w:rsidRPr="00D56A55">
        <w:t>effectively protect</w:t>
      </w:r>
      <w:r w:rsidR="00772915" w:rsidRPr="00D56A55">
        <w:t xml:space="preserve"> species, </w:t>
      </w:r>
      <w:r w:rsidR="00792F96" w:rsidRPr="00792F96">
        <w:t>with international trade causing a 62% reduction in species richness at production sites</w:t>
      </w:r>
      <w:r w:rsidR="00772915" w:rsidRPr="00D56A55">
        <w:t xml:space="preserve">. </w:t>
      </w:r>
      <w:r w:rsidR="00AF3F24" w:rsidRPr="00D56A55">
        <w:t>Moran and Kanemoto</w:t>
      </w:r>
      <w:r w:rsidR="00AF3F24">
        <w:fldChar w:fldCharType="begin"/>
      </w:r>
      <w:r w:rsidR="00A43A89">
        <w:instrText xml:space="preserve"> ADDIN ZOTERO_ITEM CSL_CITATION {"citationID":"RDpW7OqH","properties":{"formattedCitation":"\\super 43\\nosupersub{}","plainCitation":"43","noteIndex":0},"citationItems":[{"id":632,"uris":["http://zotero.org/users/9110477/items/XPDFYKQP"],"itemData":{"id":632,"type":"article-journal","call-number":"1","container-title":"Nature Ecology &amp; Evolution","DOI":"10.1038/s41559-016-0023","ISSN":"2397-334X","issue":"1","journalAbbreviation":"Nat Ecol Evol","language":"en","page":"0023","source":"16.8","title":"Identifying species threat hotspots from global supply chains","volume":"1","author":[{"family":"Moran","given":"Daniel"},{"family":"Kanemoto","given":"Keiichiro"}],"issued":{"date-parts":[["2017",1]]}}}],"schema":"https://github.com/citation-style-language/schema/raw/master/csl-citation.json"} </w:instrText>
      </w:r>
      <w:r w:rsidR="00AF3F24">
        <w:fldChar w:fldCharType="separate"/>
      </w:r>
      <w:r w:rsidR="00AF3F24" w:rsidRPr="00AF3F24">
        <w:rPr>
          <w:kern w:val="0"/>
          <w:vertAlign w:val="superscript"/>
        </w:rPr>
        <w:t>43</w:t>
      </w:r>
      <w:r w:rsidR="00AF3F24">
        <w:fldChar w:fldCharType="end"/>
      </w:r>
      <w:r w:rsidR="00772915" w:rsidRPr="00D56A55">
        <w:t xml:space="preserve"> </w:t>
      </w:r>
      <w:r w:rsidR="000377D4" w:rsidRPr="00D56A55">
        <w:t xml:space="preserve">emphasized </w:t>
      </w:r>
      <w:r w:rsidR="00772915" w:rsidRPr="00D56A55">
        <w:t xml:space="preserve">the </w:t>
      </w:r>
      <w:r w:rsidR="000377D4" w:rsidRPr="00D56A55">
        <w:t xml:space="preserve">importance </w:t>
      </w:r>
      <w:r w:rsidR="00772915" w:rsidRPr="00D56A55">
        <w:t xml:space="preserve">of taking global supply chains into account in biodiversity conservation by </w:t>
      </w:r>
      <w:r w:rsidR="000377D4" w:rsidRPr="00D56A55">
        <w:t>linking a multiregional input-output analysis with</w:t>
      </w:r>
      <w:r w:rsidR="00772915" w:rsidRPr="00D56A55">
        <w:t xml:space="preserve"> IUCN Red List</w:t>
      </w:r>
      <w:r w:rsidR="005A28D3" w:rsidRPr="00D56A55">
        <w:t xml:space="preserve"> </w:t>
      </w:r>
      <w:r w:rsidR="00E168DD" w:rsidRPr="00D56A55">
        <w:rPr>
          <w:rFonts w:hint="eastAsia"/>
        </w:rPr>
        <w:t>thr</w:t>
      </w:r>
      <w:r w:rsidR="00E168DD" w:rsidRPr="00D56A55">
        <w:t>eatened</w:t>
      </w:r>
      <w:r w:rsidR="001C6F6A" w:rsidRPr="00D56A55">
        <w:t xml:space="preserve"> </w:t>
      </w:r>
      <w:r w:rsidR="005A28D3" w:rsidRPr="00D56A55">
        <w:t>species areas</w:t>
      </w:r>
      <w:r w:rsidR="00772915" w:rsidRPr="00D56A55">
        <w:t xml:space="preserve">. These studies have illustrated the intricate </w:t>
      </w:r>
      <w:r w:rsidR="00772915" w:rsidRPr="00D56A55">
        <w:rPr>
          <w:rFonts w:hint="eastAsia"/>
        </w:rPr>
        <w:t>connection</w:t>
      </w:r>
      <w:r w:rsidR="00772915" w:rsidRPr="00D56A55">
        <w:t xml:space="preserve"> between </w:t>
      </w:r>
      <w:r w:rsidR="00EF6BF7" w:rsidRPr="00D56A55">
        <w:t>biodiversity loss</w:t>
      </w:r>
      <w:r w:rsidR="00772915" w:rsidRPr="00D56A55">
        <w:t xml:space="preserve"> and socio-economic activities that span different </w:t>
      </w:r>
      <w:r w:rsidR="0043521B" w:rsidRPr="00D56A55">
        <w:t>countries</w:t>
      </w:r>
      <w:r w:rsidR="003E3D2F" w:rsidRPr="00D56A55">
        <w:t>.</w:t>
      </w:r>
      <w:r w:rsidR="00772915" w:rsidRPr="00D56A55">
        <w:fldChar w:fldCharType="begin"/>
      </w:r>
      <w:r w:rsidR="00A43A89">
        <w:instrText xml:space="preserve"> ADDIN ZOTERO_ITEM CSL_CITATION {"citationID":"k83uIXNF","properties":{"formattedCitation":"\\super 44\\nosupersub{}","plainCitation":"44","noteIndex":0},"citationItems":[{"id":510,"uris":["http://zotero.org/users/9110477/items/VVHKKB3I"],"itemData":{"id":510,"type":"article-journal","abstract":"Soil erosion on cropland is a result of the interaction between nature and human activities. The socioeconomic influencing factors of soil erosion have been less studied than the biophysical processes and previous studies have mainly focused on the impacts of local socioeconomic factors on soil erosion in the same region. However, since agricultural activities are densely connected to other socio-economic activities, the need for agricultural products from distant regions could potentially drive local soil erosion accompanying agricultural production. To the best of our knowledge, these telecoupling effects have not been studied. Here, we combined the Revised Universal Soil Loss Equation (RUSLE) and multiregional input-output analysis (MRIO) models to quantify the contribution of China’s cross-provincial economic demand to local soil erosion at the provincial, sectoral, and supply chain levels. Our results show that a large amount of soil erosion in the southwest, northeast, and central regions is linked to the economic needs across provinces. Agriculture and food processing are the most important distant driving sectors. The driving effect of household consumption on soil erosion mainly occurs on shorter supply chains, while exports and capital formation drive soil erosion through longer chains. Our results indicate that local soil erosion management must consider the impact of distant agricultural product needs and coordinate food production and supply on a national scale to protect the ecological function of the land.","call-number":"1","container-title":"Journal of Environmental Management","DOI":"10.1016/j.jenvman.2021.112395","ISSN":"03014797","journalAbbreviation":"Journal of Environmental Management","language":"en","note":"TLDR: The results show that a large amount of soil erosion in the southwest, northeast, and central regions is linked to the economic needs across provinces, and local soil erosion management must consider the impact of distant agricultural product needs and coordinate food production and supply on a national scale to protect the ecological function of the land.","page":"112395","source":"8.7","title":"Telecoupling cropland soil erosion with distant drivers within China","volume":"288","author":[{"family":"Wang","given":"Zhen"},{"family":"Zeng","given":"Yi"},{"family":"Li","given":"Cai"},{"family":"Yan","given":"Hua"},{"family":"Yu","given":"Shuxia"},{"family":"Wang","given":"Ling"},{"family":"Shi","given":"Zhihua"}],"issued":{"date-parts":[["2021",6]]}}}],"schema":"https://github.com/citation-style-language/schema/raw/master/csl-citation.json"} </w:instrText>
      </w:r>
      <w:r w:rsidR="00772915" w:rsidRPr="00D56A55">
        <w:fldChar w:fldCharType="separate"/>
      </w:r>
      <w:r w:rsidR="00844949" w:rsidRPr="00844949">
        <w:rPr>
          <w:kern w:val="0"/>
          <w:vertAlign w:val="superscript"/>
        </w:rPr>
        <w:t>44</w:t>
      </w:r>
      <w:r w:rsidR="00772915" w:rsidRPr="00D56A55">
        <w:fldChar w:fldCharType="end"/>
      </w:r>
      <w:r w:rsidR="00772915" w:rsidRPr="00D56A55">
        <w:t xml:space="preserve"> </w:t>
      </w:r>
      <w:r w:rsidR="005A28D3" w:rsidRPr="00D56A55">
        <w:t>With global electricity consumption projected to double over the next four decades</w:t>
      </w:r>
      <w:r w:rsidR="002D7D23" w:rsidRPr="00D56A55">
        <w:rPr>
          <w:rFonts w:hint="eastAsia"/>
        </w:rPr>
        <w:t>,</w:t>
      </w:r>
      <w:r w:rsidR="002D7D23" w:rsidRPr="00D56A55">
        <w:t xml:space="preserve"> it is plausible to envisage renewable electricity </w:t>
      </w:r>
      <w:r w:rsidR="000377D4" w:rsidRPr="00D56A55">
        <w:t xml:space="preserve">becoming </w:t>
      </w:r>
      <w:r w:rsidR="002D7D23" w:rsidRPr="00D56A55">
        <w:t xml:space="preserve">a </w:t>
      </w:r>
      <w:r w:rsidR="00CB6027">
        <w:t xml:space="preserve">major </w:t>
      </w:r>
      <w:r w:rsidR="002D7D23" w:rsidRPr="00D56A55">
        <w:t xml:space="preserve">contributor </w:t>
      </w:r>
      <w:r w:rsidR="005A28D3" w:rsidRPr="00D56A55">
        <w:rPr>
          <w:rFonts w:hint="eastAsia"/>
        </w:rPr>
        <w:t>to</w:t>
      </w:r>
      <w:r w:rsidR="005A28D3" w:rsidRPr="00D56A55">
        <w:t xml:space="preserve"> </w:t>
      </w:r>
      <w:r w:rsidR="002D7D23" w:rsidRPr="00D56A55">
        <w:t xml:space="preserve">the international </w:t>
      </w:r>
      <w:r w:rsidR="00301DE4">
        <w:rPr>
          <w:rFonts w:hint="eastAsia"/>
        </w:rPr>
        <w:t>energy</w:t>
      </w:r>
      <w:r w:rsidR="00301DE4" w:rsidRPr="00D56A55">
        <w:t xml:space="preserve"> </w:t>
      </w:r>
      <w:r w:rsidR="002D7D23" w:rsidRPr="00D56A55">
        <w:t>trade</w:t>
      </w:r>
      <w:r w:rsidR="003E3D2F" w:rsidRPr="00D56A55">
        <w:t>.</w:t>
      </w:r>
      <w:r w:rsidR="00772915" w:rsidRPr="00D56A55">
        <w:fldChar w:fldCharType="begin"/>
      </w:r>
      <w:r w:rsidR="00A43A89">
        <w:instrText xml:space="preserve"> ADDIN ZOTERO_ITEM CSL_CITATION {"citationID":"DBpKmkRK","properties":{"formattedCitation":"\\super 45\\uc0\\u8211{}47\\nosupersub{}","plainCitation":"45–47","noteIndex":0},"citationItems":[{"id":3887,"uris":["http://zotero.org/users/9110477/items/3NKFDEY8"],"itemData":{"id":3887,"type":"article-journal","abstract":"The global energy sector is expected to experience a gradual shift towards renewable energy sources in the coming decades. Climate change as well as energy security issues are the driving factors. In this process electricity is expected to gain importance to the cost of fuels. However, these new technologies are in many cases dependent on various metals. This analysis evaluates the need for special metals and compares it with known resources in order to find possible bottlenecks in the market. The time perspective of the analysis reaches to the year 2050. Following technologies have been selected for evaluation: solar electricity, wind power, fuel cells, batteries, electrolysis, hydrogen storages, electric cars and energy efficient lighting. The metals investigated belong either to the semiconductors, platinum group metals, rare earth metals or are other critical metals like silver and cobalt. The global transition of the energy sector is modelled with TIMES. According to the results the most critical market situation will be found in silver. Other elements, for which bottlenecks in the market seem possible, include tellurium, indium, dysprosium, lanthanum, cobalt, platinum and ruthenium. Renewable energy scenarios presented by the IPCC Fifth Assessment Report seem partly unrealistic from the perspective of critical metals.","call-number":"1","container-title":"Renewable Energy","DOI":"10.1016/j.renene.2016.03.102","ISSN":"0960-1481","journalAbbreviation":"Renewable Energy","page":"53-62","source":"8.7","title":"Role of critical metals in the future markets of clean energy technologies","volume":"95","author":[{"family":"Grandell","given":"Leena"},{"family":"Lehtilä","given":"Antti"},{"family":"Kivinen","given":"Mari"},{"family":"Koljonen","given":"Tiina"},{"family":"Kihlman","given":"Susanna"},{"family":"Lauri","given":"Laura S."}],"issued":{"date-parts":[["2016",9,1]]}},"label":"page"},{"id":3886,"uris":["http://zotero.org/users/9110477/items/H9EGXBSL"],"itemData":{"id":3886,"type":"article-journal","abstract":"The recent signals in the energy sector indicate a major transformation taking shape in the energy sector in the decades to come. The potential trends are highlighted in three scenarios published by the World Energy Council in September 2019 and further presented in detail and in a long-term perspective in this article. Compared to developments of the past, the scenario results reveal that the coming decades will be different, where future total energy consumption increases more moderately, while the share of electricity of final consumption increases further. Global electricity consumption more than doubles over the next 40 years. However, this represents a remarkable slowdown in growth compared to past trends. And unlike in the past, demand growth is covered primarily by rising contributions from renewable energy, which in particular applies to the electricity sector. This article not only presents the results of this World Energy Council flagship study in a long-term perspective, but it also compares them with the future paths presented by the U.S. Energy Information Administration (EIA) and the International Energy Agency (IEA) in the fall of 2019. The biggest challenge, which results from the findings of these studies, lies in limiting the rise in global temperatures to less than 2° Celsius compared to the preindustrial level, as agreed by the international community at the end of 2015 in the Paris Climate Agreement. It outlines which strategies will enable the resulting requirements to be met in a cost-efficient manner – as a prerequisite to the desired success.","call-number":"2","container-title":"Energy Strategy Reviews","DOI":"10.1016/j.esr.2020.100523","ISSN":"2211-467X","journalAbbreviation":"Energy Strategy Reviews","page":"100523","source":"8.2","title":"Global energy perspectives to 2060 – WEC's World Energy Scenarios 2019","volume":"31","author":[{"family":"Kober","given":"T."},{"family":"Schiffer","given":"H. -W."},{"family":"Densing","given":"M."},{"family":"Panos","given":"E."}],"issued":{"date-parts":[["2020",9,1]]}},"label":"page"},{"id":3891,"uris":["http://zotero.org/users/9110477/items/GTNPN77T"],"itemData":{"id":3891,"type":"article-journal","abstract":"Electrification of all economic sectors and solar photovoltaics (PV) becoming the lowest-cost electricity generation technology in ever more regions give rise to new potential gains of trade. We develop a stylized analytical model to minimize unit energy cost in autarky, open it to different trade configurations, and evaluate it empirically. We identify large potential gains from interhemispheric and global electricity trade by combining complementary seasonal and diurnal cycles. The corresponding high willingness to pay for large-scale transmission suggests far-reaching political economy and regulatory implications.","container-title":"Energy Economics","DOI":"10.1016/j.eneco.2023.106739","ISSN":"0140-9883","journalAbbreviation":"Energy Economics","page":"106739","source":"12.8","title":"Potential gains of long-distance trade in electricity","volume":"124","author":[{"family":"López Prol","given":"Javier"},{"family":"Steininger","given":"Karl W."},{"family":"Williges","given":"Keith"},{"family":"Grossmann","given":"Wolf D."},{"family":"Grossmann","given":"Iris"}],"issued":{"date-parts":[["2023",8,1]]}},"label":"page"}],"schema":"https://github.com/citation-style-language/schema/raw/master/csl-citation.json"} </w:instrText>
      </w:r>
      <w:r w:rsidR="00772915" w:rsidRPr="00D56A55">
        <w:fldChar w:fldCharType="separate"/>
      </w:r>
      <w:r w:rsidR="00844949" w:rsidRPr="00844949">
        <w:rPr>
          <w:kern w:val="0"/>
          <w:vertAlign w:val="superscript"/>
        </w:rPr>
        <w:t>45–47</w:t>
      </w:r>
      <w:r w:rsidR="00772915" w:rsidRPr="00D56A55">
        <w:fldChar w:fldCharType="end"/>
      </w:r>
      <w:r w:rsidR="00772915" w:rsidRPr="00D56A55">
        <w:t xml:space="preserve"> </w:t>
      </w:r>
      <w:r w:rsidR="00215926">
        <w:t>Currently</w:t>
      </w:r>
      <w:r w:rsidR="00772915" w:rsidRPr="00D56A55">
        <w:t>,</w:t>
      </w:r>
      <w:r w:rsidR="00215926">
        <w:t xml:space="preserve"> </w:t>
      </w:r>
      <w:r w:rsidR="00215926" w:rsidRPr="0015727B">
        <w:rPr>
          <w:rFonts w:eastAsiaTheme="minorEastAsia"/>
          <w:color w:val="000000" w:themeColor="text1"/>
          <w:szCs w:val="32"/>
        </w:rPr>
        <w:t xml:space="preserve">the focus </w:t>
      </w:r>
      <w:r w:rsidR="00215926" w:rsidRPr="0015727B">
        <w:rPr>
          <w:rFonts w:eastAsiaTheme="minorEastAsia"/>
          <w:color w:val="000000" w:themeColor="text1"/>
          <w:szCs w:val="32"/>
        </w:rPr>
        <w:lastRenderedPageBreak/>
        <w:t xml:space="preserve">of research primarily lies on the production side, investigating the impact of renewable energy </w:t>
      </w:r>
      <w:r w:rsidR="00215926" w:rsidRPr="0015727B">
        <w:rPr>
          <w:color w:val="000000" w:themeColor="text1"/>
          <w:szCs w:val="32"/>
        </w:rPr>
        <w:t>infrastructure</w:t>
      </w:r>
      <w:r w:rsidR="00215926" w:rsidRPr="0015727B">
        <w:rPr>
          <w:rFonts w:eastAsiaTheme="minorEastAsia"/>
          <w:color w:val="000000" w:themeColor="text1"/>
          <w:szCs w:val="32"/>
        </w:rPr>
        <w:t xml:space="preserve"> on land use and biodiversity</w:t>
      </w:r>
      <w:r w:rsidR="00215926" w:rsidRPr="0015727B">
        <w:rPr>
          <w:color w:val="000000" w:themeColor="text1"/>
          <w:szCs w:val="32"/>
        </w:rPr>
        <w:t xml:space="preserve"> conservation areas</w:t>
      </w:r>
      <w:r w:rsidR="00215926">
        <w:rPr>
          <w:color w:val="000000" w:themeColor="text1"/>
          <w:szCs w:val="32"/>
        </w:rPr>
        <w:t xml:space="preserve"> (Table S</w:t>
      </w:r>
      <w:r w:rsidR="004F5761">
        <w:rPr>
          <w:color w:val="000000" w:themeColor="text1"/>
          <w:szCs w:val="32"/>
        </w:rPr>
        <w:t>1</w:t>
      </w:r>
      <w:r w:rsidR="00215926">
        <w:rPr>
          <w:color w:val="000000" w:themeColor="text1"/>
          <w:szCs w:val="32"/>
        </w:rPr>
        <w:t>)</w:t>
      </w:r>
      <w:r w:rsidR="00772915" w:rsidRPr="00D56A55">
        <w:t>.</w:t>
      </w:r>
      <w:r w:rsidR="00215926">
        <w:t xml:space="preserve"> </w:t>
      </w:r>
      <w:r w:rsidR="00215926" w:rsidRPr="0015727B">
        <w:rPr>
          <w:rFonts w:eastAsiaTheme="minorEastAsia"/>
          <w:color w:val="000000" w:themeColor="text1"/>
          <w:szCs w:val="32"/>
        </w:rPr>
        <w:t>While research using integrated assessment models (e.g., GCAM) has acknowledged the influence of fluctuations in renewable energy demand on land use, a comprehensive analysis of how these changes specifically affect wildlife habitats remains absent</w:t>
      </w:r>
      <w:r w:rsidR="00215926">
        <w:rPr>
          <w:rFonts w:eastAsiaTheme="minorEastAsia"/>
          <w:color w:val="000000" w:themeColor="text1"/>
          <w:szCs w:val="32"/>
        </w:rPr>
        <w:t>.</w:t>
      </w:r>
      <w:r w:rsidR="00215926">
        <w:rPr>
          <w:color w:val="000000" w:themeColor="text1"/>
        </w:rPr>
        <w:fldChar w:fldCharType="begin"/>
      </w:r>
      <w:r w:rsidR="00A43A89">
        <w:rPr>
          <w:color w:val="000000" w:themeColor="text1"/>
        </w:rPr>
        <w:instrText xml:space="preserve"> ADDIN ZOTERO_ITEM CSL_CITATION {"citationID":"9zXl2hWo","properties":{"formattedCitation":"\\super 13\\nosupersub{}","plainCitation":"13","noteIndex":0},"citationItems":[{"id":4295,"uris":["http://zotero.org/users/9110477/items/Y2QG2YGM"],"itemData":{"id":4295,"type":"article-journal","abstract":"Addressing climate mitigation while meeting global electrification goals will require major transitions from fossil-fuel dependence to large-scale renewable energy deployment. However, renewables require significant land assets per unit energy and could come at high cost to ecosystems, creating potential conflicts between global climate mitigation and biodiversity conservation. Here, we explore the potential biodiversity implications of alternative future global electrification pathways as depicted under the Shared Socioeconomic Scenarios (SSPs), i.e., alternative trends in societal development. We examined the intersection of high-resolution estimates of global energy densities for ten renewable and conventional technologies with global richness data to estimate technology-specific biodiversity footprints (species per GWh), whereas a Cumulative Biodiversity Impact (CBI) score was used to assess land and biodiversity outcomes of alternative scenarios. Downscaled electricity generation scenarios (2020−2100) were also constrained by alternative land conservation and energy development policies. Unexpectedly, variation among SSPs did not exhibit a clear tradeoff between global climate mitigation and CBI. Rather, CBIs were an outcome of total infrastructure development to meet electricity demand (from population growth and GDP) and the total magnitude of renewable energy development and storage technologies. Renewables assembled along a spectrum from land sharing to sparing. At the land sharing end, biomass-powered electricity from dedicated crops contributed the most to biodiversity impacts due to low energy density, whereas land-sparing technologies (solar) caused more-intense land degradation, but in smaller areas. Our results suggest that local land conservation practices and strategies promoting energy diversification could have greater implications for future biodiversity conflicts than global socioeconomic drivers.","call-number":"1","container-title":"Biological Conservation","DOI":"10.1016/j.biocon.2021.109234","ISSN":"0006-3207","journalAbbreviation":"Biological Conservation","language":"en-US","page":"109234","source":"5.9","title":"Global Biodiversity Implications of Alternative Electrification Strategies Under the Shared Socioeconomic Pathways","volume":"260","author":[{"family":"McManamay","given":"Ryan A."},{"family":"Vernon","given":"Chris R."},{"family":"Jager","given":"Henriette I."}],"issued":{"date-parts":[["2021",8,1]]}}}],"schema":"https://github.com/citation-style-language/schema/raw/master/csl-citation.json"} </w:instrText>
      </w:r>
      <w:r w:rsidR="00215926">
        <w:rPr>
          <w:color w:val="000000" w:themeColor="text1"/>
        </w:rPr>
        <w:fldChar w:fldCharType="separate"/>
      </w:r>
      <w:r w:rsidR="00844949" w:rsidRPr="00844949">
        <w:rPr>
          <w:kern w:val="0"/>
          <w:vertAlign w:val="superscript"/>
        </w:rPr>
        <w:t>13</w:t>
      </w:r>
      <w:r w:rsidR="00215926">
        <w:rPr>
          <w:color w:val="000000" w:themeColor="text1"/>
        </w:rPr>
        <w:fldChar w:fldCharType="end"/>
      </w:r>
      <w:r w:rsidR="00772915" w:rsidRPr="00D56A55">
        <w:t xml:space="preserve"> </w:t>
      </w:r>
      <w:r w:rsidR="00B94CB1" w:rsidRPr="0015727B">
        <w:rPr>
          <w:rFonts w:eastAsiaTheme="minorEastAsia"/>
          <w:color w:val="000000" w:themeColor="text1"/>
          <w:szCs w:val="32"/>
        </w:rPr>
        <w:t xml:space="preserve">This research </w:t>
      </w:r>
      <w:r w:rsidR="00B94CB1" w:rsidRPr="0015727B">
        <w:rPr>
          <w:color w:val="000000" w:themeColor="text1"/>
          <w:szCs w:val="32"/>
        </w:rPr>
        <w:t xml:space="preserve">gap </w:t>
      </w:r>
      <w:r w:rsidR="00B94CB1" w:rsidRPr="0015727B">
        <w:rPr>
          <w:rFonts w:eastAsiaTheme="minorEastAsia"/>
          <w:color w:val="000000" w:themeColor="text1"/>
          <w:szCs w:val="32"/>
        </w:rPr>
        <w:t>has led to an underestimation of the consumption side’s role in biodiversity</w:t>
      </w:r>
      <w:r w:rsidR="00B94CB1" w:rsidRPr="0015727B">
        <w:rPr>
          <w:color w:val="000000" w:themeColor="text1"/>
          <w:szCs w:val="32"/>
        </w:rPr>
        <w:t xml:space="preserve"> conservation and a lack of clear accountability for</w:t>
      </w:r>
      <w:r w:rsidR="00B94CB1" w:rsidRPr="0015727B">
        <w:rPr>
          <w:rFonts w:eastAsiaTheme="minorEastAsia"/>
          <w:color w:val="000000" w:themeColor="text1"/>
          <w:szCs w:val="32"/>
        </w:rPr>
        <w:t xml:space="preserve"> biodiversity protection by consuming countries.</w:t>
      </w:r>
      <w:r w:rsidR="00B94CB1" w:rsidRPr="0015727B">
        <w:rPr>
          <w:color w:val="000000" w:themeColor="text1"/>
          <w:szCs w:val="32"/>
        </w:rPr>
        <w:t xml:space="preserve"> </w:t>
      </w:r>
      <w:r w:rsidR="00215926">
        <w:t>Thus, a</w:t>
      </w:r>
      <w:r w:rsidR="005A28D3" w:rsidRPr="00D56A55">
        <w:t>n impartial assessment of biodiversity loss from</w:t>
      </w:r>
      <w:r w:rsidR="00301DE4">
        <w:rPr>
          <w:rFonts w:hint="eastAsia"/>
        </w:rPr>
        <w:t xml:space="preserve"> land occupation of</w:t>
      </w:r>
      <w:r w:rsidR="005A28D3" w:rsidRPr="00D56A55">
        <w:t xml:space="preserve"> renewable energy infrastructure and global accountability is critical to </w:t>
      </w:r>
      <w:r w:rsidR="00A71DB8">
        <w:t>addressing</w:t>
      </w:r>
      <w:r w:rsidR="005A28D3" w:rsidRPr="00D56A55">
        <w:t xml:space="preserve"> climate and biodiversity trade-offs</w:t>
      </w:r>
      <w:r w:rsidR="003E3D2F" w:rsidRPr="00D56A55">
        <w:t>.</w:t>
      </w:r>
      <w:r w:rsidR="00772915" w:rsidRPr="00D56A55">
        <w:rPr>
          <w:szCs w:val="32"/>
        </w:rPr>
        <w:fldChar w:fldCharType="begin"/>
      </w:r>
      <w:r w:rsidR="00A43A89">
        <w:rPr>
          <w:szCs w:val="32"/>
        </w:rPr>
        <w:instrText xml:space="preserve"> ADDIN ZOTERO_ITEM CSL_CITATION {"citationID":"ZNtBswTF","properties":{"formattedCitation":"\\super 26,28,48\\nosupersub{}","plainCitation":"26,28,48","noteIndex":0},"citationItems":[{"id":557,"uris":["http://zotero.org/users/9110477/items/VP9CTWJJ"],"itemData":{"id":557,"type":"article-journal","call-number":"1","container-title":"Nature Sustainability","DOI":"10.1038/s41893-019-0334-y","ISSN":"2398-9629","issue":"8","journalAbbreviation":"Nat Sustain","language":"en","page":"674-680","source":"27.6","title":"Connecting climate action with other Sustainable Development Goals","volume":"2","author":[{"family":"Fuso Nerini","given":"Francesco"},{"family":"Sovacool","given":"Benjamin"},{"family":"Hughes","given":"Nick"},{"family":"Cozzi","given":"Laura"},{"family":"Cosgrave","given":"Ellie"},{"family":"Howells","given":"Mark"},{"family":"Tavoni","given":"Massimo"},{"family":"Tomei","given":"Julia"},{"family":"Zerriffi","given":"Hisham"},{"family":"Milligan","given":"Ben"}],"issued":{"date-parts":[["2019",7,15]]}},"label":"page"},{"id":571,"uris":["http://zotero.org/users/9110477/items/IHF8Z5T4"],"itemData":{"id":571,"type":"article-journal","call-number":"1","container-title":"Nature Geoscience","DOI":"10.1038/s41561-018-0113-9","ISSN":"1752-0894, 1752-0908","issue":"5","journalAbbreviation":"Nature Geosci","language":"en","page":"314-321","source":"18.3","title":"Environmental and social footprints of international trade","volume":"11","author":[{"family":"Wiedmann","given":"Thomas"},{"family":"Lenzen","given":"Manfred"}],"issued":{"date-parts":[["2018",5]]}},"label":"page"},{"id":4474,"uris":["http://zotero.org/users/9110477/items/WM3WHR7Q"],"itemData":{"id":4474,"type":"article-journal","abstract":"Abstract\n            The scale at which low-carbon electricity will need to be deployed to meet economic growth, electrification, and climate goals in Africa is unprecedented, yet the potential land use and freshwater impacts from this massive build-out of energy infrastructure is poorly understood. In this study, we characterize low-impact onshore wind, solar photovoltaics, and hydropower potential in Southern Africa and identify the cost-optimal mix of electricity generation technologies under different sets of socio-environmental land use and freshwater constraints and carbon targets. We find substantial wind and solar potential after applying land use protections, but about 40% of planned or proposed hydropower projects face socio-environmental conflicts. Applying land and freshwater protections results in more wind, solar, and battery capacity and less hydropower capacity compared to scenarios without protections. While a carbon target favors hydropower, the amount of cost-competitively selected hydropower is at most 45% of planned or proposed hydropower capacity in any scenario—and is only 25% under socio-environmental protections. Achieving both carbon targets and socio-environmental protections results in system cost increases of 3-6%. In the absence of land and freshwater protections, environmental and social impacts from new hydropower development could be significant.","call-number":"1","container-title":"Nature Communications","DOI":"10.1038/s41467-024-45313-z","ISSN":"2041-1723","issue":"1","journalAbbreviation":"Nat Commun","language":"en","page":"1083","source":"16.6","title":"Avoiding ecosystem and social impacts of hydropower, wind, and solar in Southern Africa’s low-carbon electricity system","volume":"15","author":[{"family":"Wu","given":"Grace C."},{"family":"Deshmukh","given":"Ranjit"},{"family":"Trainor","given":"Anne"},{"family":"Uppal","given":"Anagha"},{"family":"Chowdhury","given":"A. F. M. Kamal"},{"family":"Baez","given":"Carlos"},{"family":"Martin","given":"Erik"},{"family":"Higgins","given":"Jonathan"},{"family":"Mileva","given":"Ana"},{"family":"Ndhlukula","given":"Kudakwashe"}],"issued":{"date-parts":[["2024",2,5]]}},"label":"page"}],"schema":"https://github.com/citation-style-language/schema/raw/master/csl-citation.json"} </w:instrText>
      </w:r>
      <w:r w:rsidR="00772915" w:rsidRPr="00D56A55">
        <w:rPr>
          <w:szCs w:val="32"/>
        </w:rPr>
        <w:fldChar w:fldCharType="separate"/>
      </w:r>
      <w:r w:rsidR="00844949" w:rsidRPr="00844949">
        <w:rPr>
          <w:kern w:val="0"/>
          <w:vertAlign w:val="superscript"/>
        </w:rPr>
        <w:t>26,28,48</w:t>
      </w:r>
      <w:r w:rsidR="00772915" w:rsidRPr="00D56A55">
        <w:rPr>
          <w:szCs w:val="32"/>
        </w:rPr>
        <w:fldChar w:fldCharType="end"/>
      </w:r>
      <w:r w:rsidR="00772915" w:rsidRPr="00D56A55">
        <w:t xml:space="preserve"> </w:t>
      </w:r>
    </w:p>
    <w:p w14:paraId="3752A20B" w14:textId="14F9E73C" w:rsidR="00772915" w:rsidRPr="00D56A55" w:rsidRDefault="00BC308F" w:rsidP="00772915">
      <w:pPr>
        <w:spacing w:line="360" w:lineRule="auto"/>
        <w:ind w:firstLine="420"/>
        <w:rPr>
          <w:szCs w:val="32"/>
        </w:rPr>
      </w:pPr>
      <w:r w:rsidRPr="00BC308F">
        <w:t>Hydropower, which supplies 16% of global electricity, along with solar photovoltaics and wind farms, is expected to play a pivotal role in the energy transition</w:t>
      </w:r>
      <w:r w:rsidR="00B94B9A" w:rsidRPr="00D56A55">
        <w:t>.</w:t>
      </w:r>
      <w:r w:rsidR="00B94B9A" w:rsidRPr="00D56A55">
        <w:fldChar w:fldCharType="begin"/>
      </w:r>
      <w:r w:rsidR="00A43A89">
        <w:instrText xml:space="preserve"> ADDIN ZOTERO_ITEM CSL_CITATION {"citationID":"XyrTgTFy","properties":{"formattedCitation":"\\super 7,49,50\\nosupersub{}","plainCitation":"7,49,50","noteIndex":0},"citationItems":[{"id":4141,"uris":["http://zotero.org/users/9110477/items/I462A5K4"],"itemData":{"id":4141,"type":"webpage","abstract":"The share of renewable energy in the global energy mix is growing rapidly. A new generation of wind, solar and hydro power plants will add to green capacity.","container-title":"World Economic Forum","language":"en","title":"5 charts that show how renewable energy generation has soared","URL":"https://www.weforum.org/agenda/2022/11/renewable-energy-generation-soars/","accessed":{"date-parts":[["2024",3,5]]},"issued":{"date-parts":[["2022",11,3]]}},"label":"page"},{"id":4140,"uris":["http://zotero.org/users/9110477/items/E2HWKACV"],"itemData":{"id":4140,"type":"webpage","abstract":"Renewables, including solar, wind, hydropower, biofuels and others, are at the centre of the transition to less carbon-intensive and more sustainable energy systems. Generation capacity has grown rapidly in recent years, driven by policy support and sharp","container-title":"IEA","language":"en-GB","title":"Renewables 2023","URL":"https://www.iea.org/energy-system/renewables","accessed":{"date-parts":[["2024",3,5]]}},"label":"page"},{"id":"gt1nbpQY/YvMTmcsK","uris":["http://zotero.org/users/9110477/items/538JX98M"],"itemData":{"id":4416,"type":"article-journal","abstract":"Fossil fuel dependence can be reduced, in part, by renewable energy expansion. Increasingly, renewable energy siting seeks to avoid significant impacts on biodiversity but rarely considers how species ranges will shift under climate change. Here we undertake a systematic literature review on the topic and overlay future renewable energy siting maps with the ranges of two threatened species under future climate scenarios to highlight this potential conflict.","call-number":"1","container-title":"Nature Climate Change","DOI":"10.1038/s41558-024-01941-3","ISSN":"1758-6798","journalAbbreviation":"Nat. Clim. Chang.","language":"en","license":"2024 The Author(s), under exclusive licence to Springer Nature Limited","note":"publisher: Nature Publishing Group","page":"1-5","source":"30.7","title":"Aligning renewable energy expansion with climate-driven range shifts","author":[{"family":"Ashraf","given":"Uzma"},{"family":"Morelli","given":"Toni Lyn"},{"family":"Smith","given":"Adam B."},{"family":"Hernandez","given":"Rebecca R."}],"issued":{"date-parts":[["2024",3,8]]},"citation-key":"ashrafAligningRenewableEnergy2024"},"label":"page"}],"schema":"https://github.com/citation-style-language/schema/raw/master/csl-citation.json"} </w:instrText>
      </w:r>
      <w:r w:rsidR="00B94B9A" w:rsidRPr="00D56A55">
        <w:fldChar w:fldCharType="separate"/>
      </w:r>
      <w:r w:rsidR="00844949" w:rsidRPr="00844949">
        <w:rPr>
          <w:kern w:val="0"/>
          <w:vertAlign w:val="superscript"/>
        </w:rPr>
        <w:t>7,49,50</w:t>
      </w:r>
      <w:r w:rsidR="00B94B9A" w:rsidRPr="00D56A55">
        <w:fldChar w:fldCharType="end"/>
      </w:r>
      <w:r w:rsidR="001C6F6A" w:rsidRPr="00D56A55">
        <w:rPr>
          <w:szCs w:val="32"/>
        </w:rPr>
        <w:t xml:space="preserve"> </w:t>
      </w:r>
      <w:r w:rsidR="00772915" w:rsidRPr="00D56A55">
        <w:t>He</w:t>
      </w:r>
      <w:r w:rsidR="00D217FD" w:rsidRPr="00D56A55">
        <w:t>nce,</w:t>
      </w:r>
      <w:r w:rsidR="00772915" w:rsidRPr="00D56A55">
        <w:t xml:space="preserve"> we developed a framework </w:t>
      </w:r>
      <w:r w:rsidR="00772915" w:rsidRPr="00D56A55">
        <w:rPr>
          <w:szCs w:val="32"/>
        </w:rPr>
        <w:t>focus</w:t>
      </w:r>
      <w:r w:rsidR="005A28D3" w:rsidRPr="00D56A55">
        <w:rPr>
          <w:rFonts w:hint="eastAsia"/>
          <w:szCs w:val="32"/>
        </w:rPr>
        <w:t>ing</w:t>
      </w:r>
      <w:r w:rsidR="00772915" w:rsidRPr="00D56A55">
        <w:rPr>
          <w:szCs w:val="32"/>
        </w:rPr>
        <w:t xml:space="preserve"> on</w:t>
      </w:r>
      <w:r w:rsidR="00772915" w:rsidRPr="00D56A55">
        <w:rPr>
          <w:rFonts w:hint="eastAsia"/>
          <w:szCs w:val="32"/>
        </w:rPr>
        <w:t xml:space="preserve"> </w:t>
      </w:r>
      <w:r w:rsidR="00772915" w:rsidRPr="00D56A55">
        <w:rPr>
          <w:szCs w:val="32"/>
        </w:rPr>
        <w:t>the impact</w:t>
      </w:r>
      <w:r w:rsidR="005A28D3" w:rsidRPr="00D56A55">
        <w:rPr>
          <w:rFonts w:hint="eastAsia"/>
          <w:szCs w:val="32"/>
        </w:rPr>
        <w:t>s</w:t>
      </w:r>
      <w:r w:rsidR="00772915" w:rsidRPr="00D56A55">
        <w:rPr>
          <w:szCs w:val="32"/>
        </w:rPr>
        <w:t xml:space="preserve"> of </w:t>
      </w:r>
      <w:r w:rsidR="00772915" w:rsidRPr="00D56A55">
        <w:rPr>
          <w:rFonts w:hint="eastAsia"/>
          <w:szCs w:val="32"/>
        </w:rPr>
        <w:t>s</w:t>
      </w:r>
      <w:r w:rsidR="00772915" w:rsidRPr="00D56A55">
        <w:rPr>
          <w:szCs w:val="32"/>
        </w:rPr>
        <w:t xml:space="preserve">olar photovoltaics, </w:t>
      </w:r>
      <w:r w:rsidR="00CB6027" w:rsidRPr="00D56A55">
        <w:rPr>
          <w:szCs w:val="32"/>
        </w:rPr>
        <w:t>onshore</w:t>
      </w:r>
      <w:r w:rsidR="00826C22">
        <w:rPr>
          <w:szCs w:val="32"/>
        </w:rPr>
        <w:t xml:space="preserve"> </w:t>
      </w:r>
      <w:r w:rsidR="00772915" w:rsidRPr="00D56A55">
        <w:rPr>
          <w:szCs w:val="32"/>
        </w:rPr>
        <w:t>wind farms</w:t>
      </w:r>
      <w:r w:rsidR="0043521B" w:rsidRPr="00D56A55">
        <w:rPr>
          <w:rFonts w:hint="eastAsia"/>
          <w:szCs w:val="32"/>
        </w:rPr>
        <w:t xml:space="preserve"> </w:t>
      </w:r>
      <w:r w:rsidR="00772915" w:rsidRPr="00D56A55">
        <w:rPr>
          <w:szCs w:val="32"/>
        </w:rPr>
        <w:t xml:space="preserve">and </w:t>
      </w:r>
      <w:r w:rsidR="0066135E" w:rsidRPr="0066135E">
        <w:rPr>
          <w:szCs w:val="32"/>
        </w:rPr>
        <w:t>hydropower reservoirs</w:t>
      </w:r>
      <w:r w:rsidR="00772915" w:rsidRPr="00D56A55">
        <w:rPr>
          <w:szCs w:val="32"/>
        </w:rPr>
        <w:t xml:space="preserve"> on </w:t>
      </w:r>
      <w:r w:rsidR="00574024" w:rsidRPr="00D56A55">
        <w:rPr>
          <w:szCs w:val="32"/>
        </w:rPr>
        <w:t xml:space="preserve">global </w:t>
      </w:r>
      <w:r w:rsidR="00772915" w:rsidRPr="00D56A55">
        <w:rPr>
          <w:szCs w:val="32"/>
        </w:rPr>
        <w:t>biodiversity by</w:t>
      </w:r>
      <w:r w:rsidR="00CB6027">
        <w:rPr>
          <w:szCs w:val="32"/>
        </w:rPr>
        <w:t>:</w:t>
      </w:r>
      <w:r w:rsidR="00772915" w:rsidRPr="00D56A55">
        <w:rPr>
          <w:szCs w:val="32"/>
        </w:rPr>
        <w:t xml:space="preserve"> (1) </w:t>
      </w:r>
      <w:r w:rsidR="001C6F6A" w:rsidRPr="00D56A55">
        <w:rPr>
          <w:szCs w:val="32"/>
        </w:rPr>
        <w:t>employing a Countryside</w:t>
      </w:r>
      <w:r w:rsidR="00EB612D">
        <w:rPr>
          <w:rFonts w:hint="eastAsia"/>
          <w:szCs w:val="32"/>
        </w:rPr>
        <w:t xml:space="preserve"> </w:t>
      </w:r>
      <w:r w:rsidR="00EB612D">
        <w:rPr>
          <w:szCs w:val="32"/>
        </w:rPr>
        <w:t>S</w:t>
      </w:r>
      <w:r w:rsidR="00EB612D" w:rsidRPr="00EB612D">
        <w:rPr>
          <w:szCs w:val="32"/>
        </w:rPr>
        <w:t>pecies−</w:t>
      </w:r>
      <w:r w:rsidR="00EB612D">
        <w:rPr>
          <w:szCs w:val="32"/>
        </w:rPr>
        <w:t>A</w:t>
      </w:r>
      <w:r w:rsidR="00EB612D" w:rsidRPr="00EB612D">
        <w:rPr>
          <w:szCs w:val="32"/>
        </w:rPr>
        <w:t xml:space="preserve">rea </w:t>
      </w:r>
      <w:r w:rsidR="00EB612D">
        <w:rPr>
          <w:szCs w:val="32"/>
        </w:rPr>
        <w:t>R</w:t>
      </w:r>
      <w:r w:rsidR="00EB612D" w:rsidRPr="00EB612D">
        <w:rPr>
          <w:szCs w:val="32"/>
        </w:rPr>
        <w:t>elationship</w:t>
      </w:r>
      <w:r w:rsidR="001C6F6A" w:rsidRPr="00D56A55">
        <w:rPr>
          <w:szCs w:val="32"/>
        </w:rPr>
        <w:t xml:space="preserve"> (c-SAR)</w:t>
      </w:r>
      <w:r w:rsidR="00EB612D">
        <w:rPr>
          <w:szCs w:val="32"/>
        </w:rPr>
        <w:t xml:space="preserve"> model</w:t>
      </w:r>
      <w:r w:rsidR="001C6F6A" w:rsidRPr="00D56A55">
        <w:rPr>
          <w:szCs w:val="32"/>
        </w:rPr>
        <w:t xml:space="preserve"> to evaluate the biodiversity loss resulting from the </w:t>
      </w:r>
      <w:r w:rsidR="00E674EE">
        <w:rPr>
          <w:rFonts w:hint="eastAsia"/>
          <w:szCs w:val="32"/>
        </w:rPr>
        <w:t xml:space="preserve">land occupation </w:t>
      </w:r>
      <w:r w:rsidR="001C6F6A" w:rsidRPr="00D56A55">
        <w:rPr>
          <w:szCs w:val="32"/>
        </w:rPr>
        <w:t xml:space="preserve">of renewable energy infrastructure </w:t>
      </w:r>
      <w:r w:rsidR="001C6F6A" w:rsidRPr="00D56A55">
        <w:rPr>
          <w:rFonts w:hint="eastAsia"/>
          <w:szCs w:val="32"/>
        </w:rPr>
        <w:t>up to</w:t>
      </w:r>
      <w:r w:rsidR="001C6F6A" w:rsidRPr="00D56A55">
        <w:rPr>
          <w:szCs w:val="32"/>
        </w:rPr>
        <w:t xml:space="preserve"> 2015</w:t>
      </w:r>
      <w:r w:rsidR="00772915" w:rsidRPr="00D56A55">
        <w:rPr>
          <w:szCs w:val="32"/>
        </w:rPr>
        <w:t>; (2)</w:t>
      </w:r>
      <w:r w:rsidR="00772915" w:rsidRPr="00D56A55">
        <w:rPr>
          <w:rFonts w:hint="eastAsia"/>
          <w:szCs w:val="32"/>
        </w:rPr>
        <w:t xml:space="preserve"> </w:t>
      </w:r>
      <w:r w:rsidR="00772915" w:rsidRPr="00D56A55">
        <w:rPr>
          <w:szCs w:val="32"/>
        </w:rPr>
        <w:t xml:space="preserve">assessing </w:t>
      </w:r>
      <w:r w:rsidR="008B0F3E" w:rsidRPr="00D56A55">
        <w:t xml:space="preserve">the </w:t>
      </w:r>
      <w:r w:rsidR="007B6F94">
        <w:rPr>
          <w:rFonts w:hint="eastAsia"/>
        </w:rPr>
        <w:t>renewable energy-related</w:t>
      </w:r>
      <w:r w:rsidR="007B6F94" w:rsidRPr="00D56A55">
        <w:t xml:space="preserve"> </w:t>
      </w:r>
      <w:r w:rsidR="008B0F3E" w:rsidRPr="00D56A55">
        <w:t xml:space="preserve">biodiversity loss embodied in </w:t>
      </w:r>
      <w:r w:rsidR="00E674EE">
        <w:rPr>
          <w:rFonts w:hint="eastAsia"/>
        </w:rPr>
        <w:t xml:space="preserve">global demand </w:t>
      </w:r>
      <w:r w:rsidR="008B0F3E" w:rsidRPr="00D56A55">
        <w:rPr>
          <w:lang w:eastAsia="ja-JP"/>
        </w:rPr>
        <w:t>and international trade</w:t>
      </w:r>
      <w:r w:rsidR="00772915" w:rsidRPr="00D56A55">
        <w:rPr>
          <w:szCs w:val="32"/>
        </w:rPr>
        <w:t xml:space="preserve"> using an Environmentally Extended Multi-Regional Input-Output analysis (EE-MRIO)</w:t>
      </w:r>
      <w:r w:rsidR="007B6F94">
        <w:rPr>
          <w:szCs w:val="32"/>
        </w:rPr>
        <w:t xml:space="preserve">, which </w:t>
      </w:r>
      <w:r w:rsidR="007B6F94" w:rsidRPr="007B6F94">
        <w:rPr>
          <w:szCs w:val="32"/>
        </w:rPr>
        <w:t xml:space="preserve">could comprehensively describe the </w:t>
      </w:r>
      <w:r w:rsidR="00F74F11" w:rsidRPr="000C24B8">
        <w:rPr>
          <w:szCs w:val="32"/>
        </w:rPr>
        <w:t>economic-environmental connections across regions</w:t>
      </w:r>
      <w:r w:rsidR="00C76DF7">
        <w:rPr>
          <w:szCs w:val="32"/>
        </w:rPr>
        <w:t xml:space="preserve"> </w:t>
      </w:r>
      <w:r w:rsidR="00C76DF7" w:rsidRPr="000C24B8">
        <w:rPr>
          <w:szCs w:val="32"/>
        </w:rPr>
        <w:t>within the entirety of the trade system</w:t>
      </w:r>
      <w:r w:rsidR="00772915" w:rsidRPr="00D56A55">
        <w:rPr>
          <w:szCs w:val="32"/>
        </w:rPr>
        <w:t xml:space="preserve">; and </w:t>
      </w:r>
      <w:r w:rsidR="00772915" w:rsidRPr="00D56A55">
        <w:rPr>
          <w:rFonts w:hint="eastAsia"/>
          <w:szCs w:val="32"/>
        </w:rPr>
        <w:t>(</w:t>
      </w:r>
      <w:r w:rsidR="00772915" w:rsidRPr="00D56A55">
        <w:rPr>
          <w:szCs w:val="32"/>
        </w:rPr>
        <w:t xml:space="preserve">3) projecting the potential biodiversity </w:t>
      </w:r>
      <w:r w:rsidR="00A72FFE" w:rsidRPr="00D56A55">
        <w:rPr>
          <w:szCs w:val="32"/>
        </w:rPr>
        <w:t>loss</w:t>
      </w:r>
      <w:r w:rsidR="00772915" w:rsidRPr="00D56A55">
        <w:rPr>
          <w:szCs w:val="32"/>
        </w:rPr>
        <w:t xml:space="preserve"> </w:t>
      </w:r>
      <w:r w:rsidR="005A28D3" w:rsidRPr="00D56A55">
        <w:rPr>
          <w:rFonts w:hint="eastAsia"/>
          <w:szCs w:val="32"/>
        </w:rPr>
        <w:t>to</w:t>
      </w:r>
      <w:r w:rsidR="005A28D3" w:rsidRPr="00D56A55">
        <w:rPr>
          <w:szCs w:val="32"/>
        </w:rPr>
        <w:t xml:space="preserve"> </w:t>
      </w:r>
      <w:r w:rsidR="001C6F6A" w:rsidRPr="00D56A55">
        <w:rPr>
          <w:szCs w:val="32"/>
        </w:rPr>
        <w:t xml:space="preserve">2060 </w:t>
      </w:r>
      <w:r w:rsidR="00772915" w:rsidRPr="00D56A55">
        <w:rPr>
          <w:szCs w:val="32"/>
        </w:rPr>
        <w:t xml:space="preserve">based on the scenarios of </w:t>
      </w:r>
      <w:r w:rsidR="005A28D3" w:rsidRPr="00D56A55">
        <w:rPr>
          <w:rFonts w:hint="eastAsia"/>
          <w:szCs w:val="32"/>
        </w:rPr>
        <w:t xml:space="preserve">the </w:t>
      </w:r>
      <w:r w:rsidR="00772915" w:rsidRPr="00D56A55">
        <w:rPr>
          <w:szCs w:val="32"/>
        </w:rPr>
        <w:t>IEA</w:t>
      </w:r>
      <w:r w:rsidR="00864E37" w:rsidRPr="00D56A55">
        <w:rPr>
          <w:szCs w:val="32"/>
        </w:rPr>
        <w:t>’s</w:t>
      </w:r>
      <w:r w:rsidR="00772915" w:rsidRPr="00D56A55">
        <w:rPr>
          <w:szCs w:val="32"/>
        </w:rPr>
        <w:t xml:space="preserve"> </w:t>
      </w:r>
      <w:r w:rsidR="00772915" w:rsidRPr="00D56A55">
        <w:t>Energy Technology Perspectives</w:t>
      </w:r>
      <w:r w:rsidR="00850BB7">
        <w:rPr>
          <w:rFonts w:hint="eastAsia"/>
        </w:rPr>
        <w:t xml:space="preserve"> 2017</w:t>
      </w:r>
      <w:r w:rsidR="00772915" w:rsidRPr="00D56A55">
        <w:t xml:space="preserve"> (ETP</w:t>
      </w:r>
      <w:r w:rsidR="00850BB7">
        <w:rPr>
          <w:rFonts w:hint="eastAsia"/>
        </w:rPr>
        <w:t xml:space="preserve"> 2017</w:t>
      </w:r>
      <w:r w:rsidR="00772915" w:rsidRPr="00D56A55">
        <w:t>)</w:t>
      </w:r>
      <w:r w:rsidR="00CB6027">
        <w:t xml:space="preserve"> and the time horizon therein</w:t>
      </w:r>
      <w:r w:rsidR="0045691E">
        <w:t>.</w:t>
      </w:r>
      <w:r w:rsidR="00850BB7">
        <w:fldChar w:fldCharType="begin"/>
      </w:r>
      <w:r w:rsidR="00A43A89">
        <w:instrText xml:space="preserve"> ADDIN ZOTERO_ITEM CSL_CITATION {"citationID":"HgKdmeTn","properties":{"formattedCitation":"\\super 51\\nosupersub{}","plainCitation":"51","noteIndex":0},"citationItems":[{"id":44,"uris":["http://zotero.org/users/9110477/items/YJYPXDUQ"],"itemData":{"id":44,"type":"article-journal","language":"en","source":"Zotero","title":"Energy Technology Perspectives 2017"}}],"schema":"https://github.com/citation-style-language/schema/raw/master/csl-citation.json"} </w:instrText>
      </w:r>
      <w:r w:rsidR="00850BB7">
        <w:fldChar w:fldCharType="separate"/>
      </w:r>
      <w:r w:rsidR="00844949" w:rsidRPr="00844949">
        <w:rPr>
          <w:kern w:val="0"/>
          <w:vertAlign w:val="superscript"/>
        </w:rPr>
        <w:t>51</w:t>
      </w:r>
      <w:r w:rsidR="00850BB7">
        <w:fldChar w:fldCharType="end"/>
      </w:r>
      <w:r w:rsidR="00772915" w:rsidRPr="00D56A55">
        <w:rPr>
          <w:szCs w:val="32"/>
        </w:rPr>
        <w:t xml:space="preserve"> We found that the </w:t>
      </w:r>
      <w:r w:rsidR="00E674EE">
        <w:rPr>
          <w:rFonts w:hint="eastAsia"/>
          <w:szCs w:val="32"/>
        </w:rPr>
        <w:t>land occupation</w:t>
      </w:r>
      <w:r w:rsidR="00E674EE" w:rsidRPr="00D56A55">
        <w:rPr>
          <w:szCs w:val="32"/>
        </w:rPr>
        <w:t xml:space="preserve"> </w:t>
      </w:r>
      <w:r w:rsidR="00772915" w:rsidRPr="00D56A55">
        <w:rPr>
          <w:szCs w:val="32"/>
        </w:rPr>
        <w:t xml:space="preserve">of </w:t>
      </w:r>
      <w:r w:rsidR="00FC75D7" w:rsidRPr="00D56A55">
        <w:rPr>
          <w:szCs w:val="32"/>
        </w:rPr>
        <w:t>renewable energy</w:t>
      </w:r>
      <w:r w:rsidR="00772915" w:rsidRPr="00D56A55">
        <w:rPr>
          <w:szCs w:val="32"/>
        </w:rPr>
        <w:t xml:space="preserve"> infrastructure has led to biodiversity loss of </w:t>
      </w:r>
      <m:oMath>
        <m:r>
          <w:rPr>
            <w:rFonts w:ascii="Cambria Math" w:hAnsi="Cambria Math"/>
          </w:rPr>
          <m:t>19×1</m:t>
        </m:r>
        <m:sSup>
          <m:sSupPr>
            <m:ctrlPr>
              <w:rPr>
                <w:rFonts w:ascii="Cambria Math" w:hAnsi="Cambria Math"/>
              </w:rPr>
            </m:ctrlPr>
          </m:sSupPr>
          <m:e>
            <m:r>
              <w:rPr>
                <w:rFonts w:ascii="Cambria Math" w:hAnsi="Cambria Math"/>
              </w:rPr>
              <m:t>0</m:t>
            </m:r>
          </m:e>
          <m:sup>
            <m:r>
              <w:rPr>
                <w:rFonts w:ascii="Cambria Math" w:hAnsi="Cambria Math"/>
              </w:rPr>
              <m:t>-4</m:t>
            </m:r>
          </m:sup>
        </m:sSup>
      </m:oMath>
      <w:r w:rsidR="00E3610A" w:rsidRPr="00D56A55">
        <w:t xml:space="preserve"> </w:t>
      </w:r>
      <w:r w:rsidR="00E3610A">
        <w:rPr>
          <w:rFonts w:hint="eastAsia"/>
        </w:rPr>
        <w:t>global pdf</w:t>
      </w:r>
      <w:r w:rsidR="00CB6027">
        <w:rPr>
          <w:szCs w:val="32"/>
        </w:rPr>
        <w:t xml:space="preserve"> globally</w:t>
      </w:r>
      <w:r w:rsidR="00772915" w:rsidRPr="00D56A55">
        <w:rPr>
          <w:szCs w:val="32"/>
        </w:rPr>
        <w:t xml:space="preserve">, and approximately </w:t>
      </w:r>
      <w:r w:rsidR="00E3610A" w:rsidRPr="004A2611">
        <w:t>1</w:t>
      </w:r>
      <w:r w:rsidR="00FA1AB3">
        <w:rPr>
          <w:rFonts w:hint="eastAsia"/>
        </w:rPr>
        <w:t>4</w:t>
      </w:r>
      <w:r w:rsidR="00E3610A" w:rsidRPr="004A2611">
        <w:t>%</w:t>
      </w:r>
      <w:r w:rsidR="00772915" w:rsidRPr="00D56A55">
        <w:rPr>
          <w:szCs w:val="32"/>
        </w:rPr>
        <w:t xml:space="preserve"> can be attributed to international trade. </w:t>
      </w:r>
      <w:r w:rsidR="005A28D3" w:rsidRPr="00D56A55">
        <w:rPr>
          <w:rFonts w:hint="eastAsia"/>
          <w:szCs w:val="32"/>
        </w:rPr>
        <w:t>B</w:t>
      </w:r>
      <w:r w:rsidR="002E02E0" w:rsidRPr="00D56A55">
        <w:rPr>
          <w:szCs w:val="32"/>
        </w:rPr>
        <w:t xml:space="preserve">y 2060, aggressive energy transition policies </w:t>
      </w:r>
      <w:r w:rsidR="005A28D3" w:rsidRPr="00D56A55">
        <w:rPr>
          <w:rFonts w:hint="eastAsia"/>
          <w:szCs w:val="32"/>
        </w:rPr>
        <w:t>are projected to lead to</w:t>
      </w:r>
      <w:r w:rsidR="002E02E0" w:rsidRPr="00D56A55">
        <w:rPr>
          <w:szCs w:val="32"/>
        </w:rPr>
        <w:t xml:space="preserve"> an additional </w:t>
      </w:r>
      <w:r w:rsidR="00E3610A">
        <w:rPr>
          <w:rFonts w:hint="eastAsia"/>
        </w:rPr>
        <w:t>1</w:t>
      </w:r>
      <w:r w:rsidR="00E3610A" w:rsidRPr="00D56A55">
        <w:t>.</w:t>
      </w:r>
      <w:r w:rsidR="00E3610A">
        <w:rPr>
          <w:rFonts w:hint="eastAsia"/>
        </w:rPr>
        <w:t>7</w:t>
      </w:r>
      <w:r w:rsidR="00E3610A" w:rsidRPr="00D56A55">
        <w:t>-</w:t>
      </w:r>
      <w:r w:rsidR="00E3610A">
        <w:rPr>
          <w:rFonts w:hint="eastAsia"/>
        </w:rPr>
        <w:t>1</w:t>
      </w:r>
      <w:r w:rsidR="00E3610A" w:rsidRPr="00D56A55">
        <w:t>.</w:t>
      </w:r>
      <w:r w:rsidR="00E3610A">
        <w:rPr>
          <w:rFonts w:hint="eastAsia"/>
        </w:rPr>
        <w:t>8</w:t>
      </w:r>
      <w:r w:rsidR="00810ACC" w:rsidRPr="00D56A55">
        <w:rPr>
          <w:rFonts w:hint="eastAsia"/>
          <w:szCs w:val="32"/>
        </w:rPr>
        <w:t>-</w:t>
      </w:r>
      <w:r w:rsidR="00EE0AAC">
        <w:rPr>
          <w:szCs w:val="32"/>
        </w:rPr>
        <w:t>times</w:t>
      </w:r>
      <w:r w:rsidR="00810ACC" w:rsidRPr="00D56A55">
        <w:rPr>
          <w:rFonts w:hint="eastAsia"/>
          <w:szCs w:val="32"/>
        </w:rPr>
        <w:t xml:space="preserve"> increase in biodiversity loss</w:t>
      </w:r>
      <w:r w:rsidR="00772915" w:rsidRPr="00D56A55">
        <w:rPr>
          <w:szCs w:val="32"/>
        </w:rPr>
        <w:t>. The</w:t>
      </w:r>
      <w:r w:rsidR="005720A9">
        <w:rPr>
          <w:szCs w:val="32"/>
        </w:rPr>
        <w:t>se</w:t>
      </w:r>
      <w:r w:rsidR="00772915" w:rsidRPr="00D56A55">
        <w:rPr>
          <w:szCs w:val="32"/>
        </w:rPr>
        <w:t xml:space="preserve"> findings highlight the </w:t>
      </w:r>
      <w:r w:rsidR="00574024" w:rsidRPr="00D56A55">
        <w:rPr>
          <w:szCs w:val="32"/>
        </w:rPr>
        <w:t xml:space="preserve">importance of </w:t>
      </w:r>
      <w:r w:rsidR="00810ACC" w:rsidRPr="00D56A55">
        <w:rPr>
          <w:rFonts w:hint="eastAsia"/>
          <w:szCs w:val="32"/>
        </w:rPr>
        <w:t>careful</w:t>
      </w:r>
      <w:r w:rsidR="00810ACC" w:rsidRPr="00D56A55">
        <w:rPr>
          <w:szCs w:val="32"/>
        </w:rPr>
        <w:t xml:space="preserve"> </w:t>
      </w:r>
      <w:r w:rsidR="00772915" w:rsidRPr="00D56A55">
        <w:rPr>
          <w:szCs w:val="32"/>
        </w:rPr>
        <w:t xml:space="preserve">planning and global </w:t>
      </w:r>
      <w:r w:rsidR="00574024" w:rsidRPr="00D56A55">
        <w:rPr>
          <w:szCs w:val="32"/>
        </w:rPr>
        <w:t xml:space="preserve">cooperation </w:t>
      </w:r>
      <w:r w:rsidR="00772915" w:rsidRPr="00D56A55">
        <w:rPr>
          <w:szCs w:val="32"/>
        </w:rPr>
        <w:t xml:space="preserve">in coordinating </w:t>
      </w:r>
      <w:r w:rsidR="00574024" w:rsidRPr="00D56A55">
        <w:rPr>
          <w:szCs w:val="32"/>
        </w:rPr>
        <w:t>renewable energy deployment</w:t>
      </w:r>
      <w:r w:rsidR="00772915" w:rsidRPr="00D56A55">
        <w:rPr>
          <w:szCs w:val="32"/>
        </w:rPr>
        <w:t xml:space="preserve"> and biodiversity conservation.</w:t>
      </w:r>
    </w:p>
    <w:p w14:paraId="29BAA3E6" w14:textId="77777777" w:rsidR="00044FF4" w:rsidRPr="00D56A55" w:rsidRDefault="00044FF4" w:rsidP="007A7B32">
      <w:pPr>
        <w:spacing w:line="360" w:lineRule="auto"/>
        <w:rPr>
          <w:b/>
          <w:bCs/>
          <w:szCs w:val="32"/>
        </w:rPr>
      </w:pPr>
      <w:r w:rsidRPr="00D56A55">
        <w:rPr>
          <w:b/>
          <w:bCs/>
          <w:szCs w:val="32"/>
        </w:rPr>
        <w:lastRenderedPageBreak/>
        <w:t>2 Methods</w:t>
      </w:r>
    </w:p>
    <w:p w14:paraId="2784B24B" w14:textId="54DC9649" w:rsidR="00044FF4" w:rsidRPr="00D56A55" w:rsidRDefault="00044FF4" w:rsidP="00044FF4">
      <w:pPr>
        <w:spacing w:line="360" w:lineRule="auto"/>
        <w:rPr>
          <w:b/>
          <w:bCs/>
          <w:szCs w:val="32"/>
        </w:rPr>
      </w:pPr>
      <w:r w:rsidRPr="00D56A55">
        <w:rPr>
          <w:b/>
          <w:bCs/>
          <w:szCs w:val="32"/>
        </w:rPr>
        <w:t xml:space="preserve">2.1 Characterization factors of extinction risk due to </w:t>
      </w:r>
      <w:r w:rsidR="003B640A" w:rsidRPr="00D56A55">
        <w:rPr>
          <w:b/>
          <w:bCs/>
          <w:szCs w:val="32"/>
        </w:rPr>
        <w:t>land-use</w:t>
      </w:r>
    </w:p>
    <w:p w14:paraId="3AF9BABA" w14:textId="64EBA9EF" w:rsidR="00044FF4" w:rsidRPr="00D56A55" w:rsidRDefault="00772915" w:rsidP="009D78A4">
      <w:pPr>
        <w:spacing w:line="360" w:lineRule="auto"/>
        <w:ind w:firstLine="420"/>
        <w:rPr>
          <w:szCs w:val="32"/>
        </w:rPr>
      </w:pPr>
      <w:r w:rsidRPr="00D56A55">
        <w:rPr>
          <w:szCs w:val="32"/>
        </w:rPr>
        <w:t xml:space="preserve">The </w:t>
      </w:r>
      <w:r w:rsidR="00CD43EE" w:rsidRPr="00D56A55">
        <w:rPr>
          <w:szCs w:val="32"/>
        </w:rPr>
        <w:t>Characteristic factors (CFs</w:t>
      </w:r>
      <w:r w:rsidR="00CD43EE">
        <w:rPr>
          <w:rFonts w:hint="eastAsia"/>
          <w:szCs w:val="32"/>
        </w:rPr>
        <w:t xml:space="preserve">, i.e., </w:t>
      </w:r>
      <w:r w:rsidR="00CD43EE" w:rsidRPr="000C24B8">
        <w:rPr>
          <w:szCs w:val="32"/>
        </w:rPr>
        <w:t xml:space="preserve">indicating </w:t>
      </w:r>
      <w:r w:rsidR="00CD43EE">
        <w:rPr>
          <w:rFonts w:hint="eastAsia"/>
          <w:szCs w:val="32"/>
        </w:rPr>
        <w:t>species loss</w:t>
      </w:r>
      <w:r w:rsidR="00CD43EE" w:rsidRPr="000C24B8">
        <w:rPr>
          <w:szCs w:val="32"/>
        </w:rPr>
        <w:t xml:space="preserve"> per unit area of land use</w:t>
      </w:r>
      <w:r w:rsidR="00CD43EE">
        <w:rPr>
          <w:rFonts w:hint="eastAsia"/>
          <w:szCs w:val="32"/>
        </w:rPr>
        <w:t xml:space="preserve"> type</w:t>
      </w:r>
      <w:r w:rsidR="00CD43EE" w:rsidRPr="00D56A55">
        <w:rPr>
          <w:szCs w:val="32"/>
        </w:rPr>
        <w:t>)</w:t>
      </w:r>
      <w:r w:rsidRPr="00D56A55">
        <w:rPr>
          <w:szCs w:val="32"/>
        </w:rPr>
        <w:t xml:space="preserve"> quantified the </w:t>
      </w:r>
      <w:r w:rsidR="00582A45">
        <w:rPr>
          <w:szCs w:val="32"/>
        </w:rPr>
        <w:t xml:space="preserve">contribution </w:t>
      </w:r>
      <w:r w:rsidR="00582A45" w:rsidRPr="00D56A55">
        <w:rPr>
          <w:szCs w:val="32"/>
        </w:rPr>
        <w:t>to biodiversity loss</w:t>
      </w:r>
      <w:r w:rsidR="00582A45">
        <w:rPr>
          <w:szCs w:val="32"/>
        </w:rPr>
        <w:t xml:space="preserve"> due to </w:t>
      </w:r>
      <w:r w:rsidR="0044049B">
        <w:rPr>
          <w:szCs w:val="32"/>
        </w:rPr>
        <w:t>conversion</w:t>
      </w:r>
      <w:r w:rsidR="001C6F6A" w:rsidRPr="00D56A55">
        <w:rPr>
          <w:szCs w:val="32"/>
        </w:rPr>
        <w:t xml:space="preserve"> </w:t>
      </w:r>
      <w:r w:rsidR="002B338B">
        <w:rPr>
          <w:szCs w:val="32"/>
        </w:rPr>
        <w:t xml:space="preserve">of </w:t>
      </w:r>
      <w:r w:rsidR="002B338B" w:rsidRPr="00D56A55">
        <w:rPr>
          <w:szCs w:val="32"/>
        </w:rPr>
        <w:t xml:space="preserve">natural habitat </w:t>
      </w:r>
      <w:r w:rsidR="001C6F6A" w:rsidRPr="00D56A55">
        <w:rPr>
          <w:szCs w:val="32"/>
        </w:rPr>
        <w:t>into other land uses</w:t>
      </w:r>
      <w:r w:rsidRPr="00D56A55">
        <w:rPr>
          <w:szCs w:val="32"/>
        </w:rPr>
        <w:t xml:space="preserve"> or </w:t>
      </w:r>
      <w:r w:rsidR="00582A45">
        <w:rPr>
          <w:szCs w:val="32"/>
        </w:rPr>
        <w:t>due to flooding</w:t>
      </w:r>
      <w:r w:rsidRPr="00D56A55">
        <w:rPr>
          <w:szCs w:val="32"/>
        </w:rPr>
        <w:t xml:space="preserve">. </w:t>
      </w:r>
      <w:r w:rsidR="00C421A3" w:rsidRPr="00D56A55">
        <w:rPr>
          <w:szCs w:val="32"/>
        </w:rPr>
        <w:t>Th</w:t>
      </w:r>
      <w:r w:rsidRPr="00D56A55">
        <w:rPr>
          <w:szCs w:val="32"/>
        </w:rPr>
        <w:t xml:space="preserve">e c-SAR model proposed by </w:t>
      </w:r>
      <w:r w:rsidR="00844949" w:rsidRPr="00D56A55">
        <w:t>Chaudhary et al.</w:t>
      </w:r>
      <w:r w:rsidR="00844949">
        <w:fldChar w:fldCharType="begin"/>
      </w:r>
      <w:r w:rsidR="00A43A89">
        <w:instrText xml:space="preserve"> ADDIN ZOTERO_ITEM CSL_CITATION {"citationID":"Zzh6Gvw0","properties":{"formattedCitation":"\\super 52\\nosupersub{}","plainCitation":"52","noteIndex":0},"citationItems":[{"id":643,"uris":["http://zotero.org/users/9110477/items/HQ2A6FUM"],"itemData":{"id":643,"type":"article-journal","abstract":"Habitat degradation and subsequent biodiversity damage often take place far from the place of consumption because of globalization and the increasing level of international trade. Informing consumers and policy makers about the biodiversity impacts “hidden” in the life cycle of imported products is an important step toward achieving sustainable consumption patterns. Spatially explicit methods are needed in life cycle assessment to accurately quantify biodiversity impacts of products and processes. We use the Countryside species−area relationship (SAR) to quantify regional species loss due to land occupation and transformation for ﬁve taxa and six land use types in 804 terrestrial ecoregions. Further, we calculate vulnerability scores for each ecoregion based on the fraction of each species’ geographic range (endemic richness) hosted by the ecoregion and the IUCN assigned threat level of each species. Vulnerability scores are multiplied with SAR-predicted regional species loss to estimate potential global extinctions per unit of land use. As a case study, we assess the land use biodiversity impacts of 1 kg of bioethanol produced using six diﬀerent feed stocks in diﬀerent parts of the world. Results show that the regions with highest biodiversity impacts diﬀered markedly when the vulnerability of species was included.","call-number":"1","container-title":"Environmental Science &amp; Technology","DOI":"10.1021/acs.est.5b02507","ISSN":"0013-936X, 1520-5851","issue":"16","journalAbbreviation":"Environ. Sci. Technol.","language":"en","note":"TLDR: This work uses the Countryside species-area relationship (SAR) to quantify regional species loss due to land occupation and transformation for five taxa and six land use types in 804 terrestrial ecoregions and shows that the regions with highest biodiversity impacts differed markedly when the vulnerability of species was included.","page":"9987-9995","source":"11.4","title":"Quantifying Land Use Impacts on Biodiversity: Combining Species–Area Models and Vulnerability Indicators","title-short":"Quantifying Land Use Impacts on Biodiversity","volume":"49","author":[{"family":"Chaudhary","given":"Abhishek"},{"family":"Verones","given":"Francesca"},{"family":"Baan","given":"Laura","non-dropping-particle":"de"},{"family":"Hellweg","given":"Stefanie"}],"issued":{"date-parts":[["2015",8,18]]}}}],"schema":"https://github.com/citation-style-language/schema/raw/master/csl-citation.json"} </w:instrText>
      </w:r>
      <w:r w:rsidR="00844949">
        <w:fldChar w:fldCharType="separate"/>
      </w:r>
      <w:r w:rsidR="00844949" w:rsidRPr="00844949">
        <w:rPr>
          <w:kern w:val="0"/>
          <w:vertAlign w:val="superscript"/>
        </w:rPr>
        <w:t>52</w:t>
      </w:r>
      <w:r w:rsidR="00844949">
        <w:fldChar w:fldCharType="end"/>
      </w:r>
      <w:r w:rsidRPr="00D56A55">
        <w:rPr>
          <w:szCs w:val="32"/>
        </w:rPr>
        <w:t xml:space="preserve"> </w:t>
      </w:r>
      <w:r w:rsidR="00C421A3" w:rsidRPr="00D56A55">
        <w:rPr>
          <w:szCs w:val="32"/>
        </w:rPr>
        <w:t xml:space="preserve">was used </w:t>
      </w:r>
      <w:r w:rsidRPr="00D56A55">
        <w:rPr>
          <w:szCs w:val="32"/>
        </w:rPr>
        <w:t xml:space="preserve">to </w:t>
      </w:r>
      <w:r w:rsidR="00810ACC" w:rsidRPr="00D56A55">
        <w:rPr>
          <w:rFonts w:hint="eastAsia"/>
          <w:szCs w:val="32"/>
        </w:rPr>
        <w:t>calculate</w:t>
      </w:r>
      <w:r w:rsidR="00810ACC" w:rsidRPr="00D56A55">
        <w:rPr>
          <w:szCs w:val="32"/>
        </w:rPr>
        <w:t xml:space="preserve"> </w:t>
      </w:r>
      <w:r w:rsidRPr="00D56A55">
        <w:rPr>
          <w:szCs w:val="32"/>
        </w:rPr>
        <w:t xml:space="preserve">CFs for four </w:t>
      </w:r>
      <w:r w:rsidR="00810ACC" w:rsidRPr="00D56A55">
        <w:rPr>
          <w:rFonts w:hint="eastAsia"/>
          <w:szCs w:val="32"/>
        </w:rPr>
        <w:t>different</w:t>
      </w:r>
      <w:r w:rsidR="00810ACC" w:rsidRPr="00D56A55">
        <w:rPr>
          <w:szCs w:val="32"/>
        </w:rPr>
        <w:t xml:space="preserve"> </w:t>
      </w:r>
      <w:r w:rsidRPr="00D56A55">
        <w:rPr>
          <w:szCs w:val="32"/>
        </w:rPr>
        <w:t xml:space="preserve">categories of </w:t>
      </w:r>
      <w:r w:rsidR="00F912AB">
        <w:rPr>
          <w:rFonts w:hint="eastAsia"/>
          <w:szCs w:val="32"/>
        </w:rPr>
        <w:t>species</w:t>
      </w:r>
      <w:r w:rsidR="00F912AB">
        <w:rPr>
          <w:szCs w:val="32"/>
        </w:rPr>
        <w:t xml:space="preserve"> group</w:t>
      </w:r>
      <w:r w:rsidR="00582A45">
        <w:rPr>
          <w:szCs w:val="32"/>
        </w:rPr>
        <w:t xml:space="preserve"> </w:t>
      </w:r>
      <w:r w:rsidRPr="00D56A55">
        <w:rPr>
          <w:szCs w:val="32"/>
        </w:rPr>
        <w:t>(</w:t>
      </w:r>
      <w:r w:rsidR="001C6F6A" w:rsidRPr="00D56A55">
        <w:rPr>
          <w:szCs w:val="32"/>
        </w:rPr>
        <w:t>mammals, birds, reptiles, and amphibians</w:t>
      </w:r>
      <w:r w:rsidRPr="00D56A55">
        <w:rPr>
          <w:szCs w:val="32"/>
        </w:rPr>
        <w:t xml:space="preserve">) in six </w:t>
      </w:r>
      <w:r w:rsidR="003B640A" w:rsidRPr="00D56A55">
        <w:rPr>
          <w:szCs w:val="32"/>
        </w:rPr>
        <w:t>land</w:t>
      </w:r>
      <w:r w:rsidR="00810ACC" w:rsidRPr="00D56A55">
        <w:rPr>
          <w:rFonts w:hint="eastAsia"/>
          <w:szCs w:val="32"/>
        </w:rPr>
        <w:t xml:space="preserve"> </w:t>
      </w:r>
      <w:r w:rsidR="003B640A" w:rsidRPr="00D56A55">
        <w:rPr>
          <w:szCs w:val="32"/>
        </w:rPr>
        <w:t>use</w:t>
      </w:r>
      <w:r w:rsidR="00810ACC" w:rsidRPr="00D56A55">
        <w:rPr>
          <w:rFonts w:hint="eastAsia"/>
          <w:szCs w:val="32"/>
        </w:rPr>
        <w:t xml:space="preserve"> types</w:t>
      </w:r>
      <w:r w:rsidRPr="00D56A55">
        <w:rPr>
          <w:szCs w:val="32"/>
        </w:rPr>
        <w:t xml:space="preserve"> </w:t>
      </w:r>
      <w:r w:rsidR="001C6F6A" w:rsidRPr="00D56A55">
        <w:rPr>
          <w:szCs w:val="32"/>
        </w:rPr>
        <w:t>(natural habitats</w:t>
      </w:r>
      <w:r w:rsidRPr="00D56A55">
        <w:rPr>
          <w:szCs w:val="32"/>
        </w:rPr>
        <w:t>, managed forests, pastures, agricultur</w:t>
      </w:r>
      <w:r w:rsidRPr="00D56A55">
        <w:rPr>
          <w:rFonts w:hint="eastAsia"/>
          <w:szCs w:val="32"/>
        </w:rPr>
        <w:t>e</w:t>
      </w:r>
      <w:r w:rsidRPr="00D56A55">
        <w:rPr>
          <w:szCs w:val="32"/>
        </w:rPr>
        <w:t xml:space="preserve">, urban, </w:t>
      </w:r>
      <w:r w:rsidR="00C421A3" w:rsidRPr="00D56A55">
        <w:rPr>
          <w:szCs w:val="32"/>
        </w:rPr>
        <w:t xml:space="preserve">and </w:t>
      </w:r>
      <w:r w:rsidRPr="00D56A55">
        <w:rPr>
          <w:szCs w:val="32"/>
        </w:rPr>
        <w:t xml:space="preserve">water) within different </w:t>
      </w:r>
      <w:r w:rsidR="001E6716" w:rsidRPr="00D56A55">
        <w:t>eco</w:t>
      </w:r>
      <w:r w:rsidR="001E6716">
        <w:rPr>
          <w:rFonts w:hint="eastAsia"/>
        </w:rPr>
        <w:t>region</w:t>
      </w:r>
      <w:r w:rsidR="001E6716" w:rsidRPr="00D56A55">
        <w:t>s</w:t>
      </w:r>
      <w:r w:rsidR="000151B1">
        <w:rPr>
          <w:szCs w:val="32"/>
        </w:rPr>
        <w:t xml:space="preserve"> </w:t>
      </w:r>
      <w:r w:rsidR="00A0635C">
        <w:rPr>
          <w:szCs w:val="32"/>
        </w:rPr>
        <w:t xml:space="preserve">(from </w:t>
      </w:r>
      <w:r w:rsidR="00A0635C" w:rsidRPr="00A0635C">
        <w:rPr>
          <w:szCs w:val="32"/>
        </w:rPr>
        <w:t>World Wildlife Fund Terrestrial Ecoregions of the World</w:t>
      </w:r>
      <w:r w:rsidR="00A0635C">
        <w:rPr>
          <w:szCs w:val="32"/>
        </w:rPr>
        <w:fldChar w:fldCharType="begin"/>
      </w:r>
      <w:r w:rsidR="00A43A89">
        <w:rPr>
          <w:szCs w:val="32"/>
        </w:rPr>
        <w:instrText xml:space="preserve"> ADDIN ZOTERO_ITEM CSL_CITATION {"citationID":"Ba3nQDqm","properties":{"formattedCitation":"\\super 53\\nosupersub{}","plainCitation":"53","noteIndex":0},"citationItems":[{"id":4242,"uris":["http://zotero.org/users/9110477/items/CEKEMTUR"],"itemData":{"id":4242,"type":"webpage","abstract":"World Wildlife Fund - The leading organization in wildlife conservation and endangered species.","container-title":"World Wildlife Fund","language":"en-US","title":"Terrestrial Ecoregions of the World | Publications | WWF","URL":"https://www.worldwildlife.org/publications/terrestrial-ecoregions-of-the-world","accessed":{"date-parts":[["2024",3,26]]}}}],"schema":"https://github.com/citation-style-language/schema/raw/master/csl-citation.json"} </w:instrText>
      </w:r>
      <w:r w:rsidR="00A0635C">
        <w:rPr>
          <w:szCs w:val="32"/>
        </w:rPr>
        <w:fldChar w:fldCharType="separate"/>
      </w:r>
      <w:r w:rsidR="00844949" w:rsidRPr="00844949">
        <w:rPr>
          <w:kern w:val="0"/>
          <w:vertAlign w:val="superscript"/>
        </w:rPr>
        <w:t>53</w:t>
      </w:r>
      <w:r w:rsidR="00A0635C">
        <w:rPr>
          <w:szCs w:val="32"/>
        </w:rPr>
        <w:fldChar w:fldCharType="end"/>
      </w:r>
      <w:r w:rsidR="00A0635C">
        <w:rPr>
          <w:szCs w:val="32"/>
        </w:rPr>
        <w:t>)</w:t>
      </w:r>
      <w:r w:rsidRPr="00D56A55">
        <w:rPr>
          <w:szCs w:val="32"/>
        </w:rPr>
        <w:t xml:space="preserve">. </w:t>
      </w:r>
      <w:bookmarkStart w:id="2" w:name="_Hlk180162731"/>
      <w:r w:rsidR="00582A45">
        <w:rPr>
          <w:szCs w:val="32"/>
        </w:rPr>
        <w:t>W</w:t>
      </w:r>
      <w:r w:rsidR="00044FF4" w:rsidRPr="00D56A55">
        <w:rPr>
          <w:szCs w:val="32"/>
        </w:rPr>
        <w:t xml:space="preserve">e refer to the methods of </w:t>
      </w:r>
      <w:r w:rsidR="00844949" w:rsidRPr="00D56A55">
        <w:t>Semenchuk et al.</w:t>
      </w:r>
      <w:r w:rsidR="00844949">
        <w:fldChar w:fldCharType="begin"/>
      </w:r>
      <w:r w:rsidR="00A43A89">
        <w:instrText xml:space="preserve"> ADDIN ZOTERO_ITEM CSL_CITATION {"citationID":"5oqi3dL5","properties":{"formattedCitation":"\\super 54\\nosupersub{}","plainCitation":"54","noteIndex":0},"citationItems":[{"id":562,"uris":["http://zotero.org/users/9110477/items/WGZTMFDB"],"itemData":{"id":562,"type":"article-journal","abstract":"Abstract\n            Land-use has transformed ecosystems over three quarters of the terrestrial surface, with massive repercussions on biodiversity. Land-use intensity is known to contribute to the effects of land-use on biodiversity, but the magnitude of this contribution remains uncertain. Here, we use a modified countryside species-area model to compute a global account of the impending biodiversity loss caused by current land-use patterns, explicitly addressing the role of land-use intensity based on two sets of intensity indicators. We find that land-use entails the loss of ~15% of terrestrial vertebrate species from the average 5 × 5 arcmin-landscape outside remaining wilderness areas and ~14% of their average native area-of-habitat, with a risk of global extinction for 556 individual species. Given the large fraction of global land currently used under low land-use intensity, we find its contribution to biodiversity loss to be substantial (~25%). While both sets of intensity indicators yield similar global average results, we find regional differences between them and discuss data gaps. Our results support calls for improved sustainable intensification strategies and demand-side actions to reduce trade-offs between food security and biodiversity conservation.","call-number":"1","container-title":"Nature Communications","DOI":"10.1038/s41467-022-28245-4","ISSN":"2041-1723","issue":"1","journalAbbreviation":"Nat Commun","language":"en","page":"615","source":"16.6","title":"Relative effects of land conversion and land-use intensity on terrestrial vertebrate diversity","volume":"13","author":[{"family":"Semenchuk","given":"Philipp"},{"family":"Plutzar","given":"Christoph"},{"family":"Kastner","given":"Thomas"},{"family":"Matej","given":"Sarah"},{"family":"Bidoglio","given":"Giorgio"},{"family":"Erb","given":"Karl-Heinz"},{"family":"Essl","given":"Franz"},{"family":"Haberl","given":"Helmut"},{"family":"Wessely","given":"Johannes"},{"family":"Krausmann","given":"Fridolin"},{"family":"Dullinger","given":"Stefan"}],"issued":{"date-parts":[["2022",2,1]]}}}],"schema":"https://github.com/citation-style-language/schema/raw/master/csl-citation.json"} </w:instrText>
      </w:r>
      <w:r w:rsidR="00844949">
        <w:fldChar w:fldCharType="separate"/>
      </w:r>
      <w:r w:rsidR="00844949" w:rsidRPr="00844949">
        <w:rPr>
          <w:kern w:val="0"/>
          <w:vertAlign w:val="superscript"/>
        </w:rPr>
        <w:t>54</w:t>
      </w:r>
      <w:r w:rsidR="00844949">
        <w:fldChar w:fldCharType="end"/>
      </w:r>
      <w:r w:rsidR="00044FF4" w:rsidRPr="00D56A55">
        <w:rPr>
          <w:szCs w:val="32"/>
        </w:rPr>
        <w:t xml:space="preserve"> and </w:t>
      </w:r>
      <w:r w:rsidR="00844949" w:rsidRPr="00D56A55">
        <w:rPr>
          <w:noProof/>
          <w:szCs w:val="32"/>
        </w:rPr>
        <w:t>Dorber et al.</w:t>
      </w:r>
      <w:r w:rsidR="00844949">
        <w:rPr>
          <w:noProof/>
          <w:szCs w:val="32"/>
        </w:rPr>
        <w:fldChar w:fldCharType="begin"/>
      </w:r>
      <w:r w:rsidR="00A43A89">
        <w:rPr>
          <w:noProof/>
          <w:szCs w:val="32"/>
        </w:rPr>
        <w:instrText xml:space="preserve"> ADDIN ZOTERO_ITEM CSL_CITATION {"citationID":"rQsRLvOe","properties":{"formattedCitation":"\\super 55\\nosupersub{}","plainCitation":"55","noteIndex":0},"citationItems":[{"id":682,"uris":["http://zotero.org/users/9110477/items/29ALIEEK"],"itemData":{"id":682,"type":"article-journal","abstract":"Life Cycle Assessment (LCA) is a tool for analyzing and comparing environmental impacts of products throughout their life cycles, facilitating shifts towards more environmentally friendly products. However, LCA does currently not address terrestrial biodiversity impacts related to the conversion of terrestrial habitat into aquatic habitat. This conversion can occur because of sea level rise, establishment of new land-based aquaculture, as well as reservoir expansion or creation. Here, we focus on land occupation and terrestrial biodiversity impacts, while transformation impacts, and habitat gain for aquatic species were beyond the scope of the study. To be able to estimate the regional and global terrestrial biodiversity impacts of future land occupation from terrestrial to aquatic habitat in LCA, we developed new characterization factors (CFs) for 781 terrestrial ecoregions, 5 land cover/use types, and 4 taxonomic groups. The basis for the development of the proposed CFs is the model concept of the currently recommended method for quantifying land use impacts on biodiversity in LCA by the Life Cycle Initiative hosted by United Nations Environmental Program. The global CFs vary between 7.44 EÀ20 PDF/m2 and 6.25 EÀ09 PDF/m2, showing that a highly variable terrestrial biodiversity impact of land inundation between land cover/use types, taxonomic groups and ecoregions exists.","call-number":"1","container-title":"Science of The Total Environment","DOI":"10.1016/j.scitotenv.2019.134582","ISSN":"00489697","journalAbbreviation":"Science of The Total Environment","language":"en","note":"TLDR: This work developed new characterization factors (CFs) for 781 terrestrial ecoregions, 5 land cover/use types, and 4 taxonomic groups, showing that a highly variable terrestrial biodiversity impact of land inundation between land cover/.","page":"134582","source":"9.8","title":"Global characterization factors for terrestrial biodiversity impacts of future land inundation in Life Cycle Assessment","volume":"712","author":[{"family":"Dorber","given":"Martin"},{"family":"Kuipers","given":"Koen"},{"family":"Verones","given":"Francesca"}],"issued":{"date-parts":[["2020",4]]}}}],"schema":"https://github.com/citation-style-language/schema/raw/master/csl-citation.json"} </w:instrText>
      </w:r>
      <w:r w:rsidR="00844949">
        <w:rPr>
          <w:noProof/>
          <w:szCs w:val="32"/>
        </w:rPr>
        <w:fldChar w:fldCharType="separate"/>
      </w:r>
      <w:r w:rsidR="00844949" w:rsidRPr="00844949">
        <w:rPr>
          <w:kern w:val="0"/>
          <w:vertAlign w:val="superscript"/>
        </w:rPr>
        <w:t>55</w:t>
      </w:r>
      <w:r w:rsidR="00844949">
        <w:rPr>
          <w:noProof/>
          <w:szCs w:val="32"/>
        </w:rPr>
        <w:fldChar w:fldCharType="end"/>
      </w:r>
      <w:r w:rsidR="00044FF4" w:rsidRPr="00D56A55">
        <w:rPr>
          <w:szCs w:val="32"/>
        </w:rPr>
        <w:t xml:space="preserve"> to predict the number of species </w:t>
      </w:r>
      <w:r w:rsidR="007D6919" w:rsidRPr="00D56A55">
        <w:rPr>
          <w:rFonts w:hint="eastAsia"/>
          <w:szCs w:val="32"/>
        </w:rPr>
        <w:t>groups</w:t>
      </w:r>
      <w:r w:rsidR="007D6919" w:rsidRPr="00D56A55">
        <w:rPr>
          <w:szCs w:val="32"/>
        </w:rPr>
        <w:t xml:space="preserve"> </w:t>
      </w:r>
      <w:r w:rsidR="00044FF4" w:rsidRPr="00D56A55">
        <w:rPr>
          <w:szCs w:val="32"/>
        </w:rPr>
        <w:t>lost</w:t>
      </w:r>
      <w:r w:rsidR="00DC08C6">
        <w:rPr>
          <w:rFonts w:hint="eastAsia"/>
          <w:szCs w:val="32"/>
        </w:rPr>
        <w:t xml:space="preserve"> </w:t>
      </w:r>
      <w:r w:rsidR="00DC08C6">
        <w:rPr>
          <w:rFonts w:hint="eastAsia"/>
        </w:rPr>
        <w:t>(</w:t>
      </w:r>
      <m:oMath>
        <m:sSub>
          <m:sSubPr>
            <m:ctrlPr>
              <w:rPr>
                <w:rFonts w:ascii="Cambria Math" w:hAnsi="Cambria Math"/>
              </w:rPr>
            </m:ctrlPr>
          </m:sSubPr>
          <m:e>
            <m:r>
              <w:rPr>
                <w:rFonts w:ascii="Cambria Math" w:hAnsi="Cambria Math"/>
              </w:rPr>
              <m:t>S</m:t>
            </m:r>
          </m:e>
          <m:sub>
            <m:r>
              <w:rPr>
                <w:rFonts w:ascii="Cambria Math" w:hAnsi="Cambria Math"/>
              </w:rPr>
              <m:t>lost</m:t>
            </m:r>
            <m:r>
              <m:rPr>
                <m:sty m:val="p"/>
              </m:rPr>
              <w:rPr>
                <w:rFonts w:ascii="Cambria Math" w:hAnsi="Cambria Math"/>
              </w:rPr>
              <m:t>,</m:t>
            </m:r>
            <m:r>
              <w:rPr>
                <w:rFonts w:ascii="Cambria Math" w:hAnsi="Cambria Math"/>
              </w:rPr>
              <m:t>g</m:t>
            </m:r>
            <m:r>
              <m:rPr>
                <m:sty m:val="p"/>
              </m:rPr>
              <w:rPr>
                <w:rFonts w:ascii="Cambria Math" w:hAnsi="Cambria Math"/>
              </w:rPr>
              <m:t>,</m:t>
            </m:r>
            <m:r>
              <w:rPr>
                <w:rFonts w:ascii="Cambria Math" w:hAnsi="Cambria Math"/>
              </w:rPr>
              <m:t>j</m:t>
            </m:r>
            <m:r>
              <m:rPr>
                <m:sty m:val="p"/>
              </m:rPr>
              <w:rPr>
                <w:rFonts w:ascii="Cambria Math" w:hAnsi="Cambria Math"/>
              </w:rPr>
              <m:t>,</m:t>
            </m:r>
            <m:r>
              <w:rPr>
                <w:rFonts w:ascii="Cambria Math" w:hAnsi="Cambria Math"/>
              </w:rPr>
              <m:t>regional</m:t>
            </m:r>
          </m:sub>
        </m:sSub>
      </m:oMath>
      <w:r w:rsidR="00DC08C6">
        <w:rPr>
          <w:rFonts w:hint="eastAsia"/>
        </w:rPr>
        <w:t>)</w:t>
      </w:r>
      <w:r w:rsidR="00044FF4" w:rsidRPr="00D56A55">
        <w:rPr>
          <w:szCs w:val="32"/>
        </w:rPr>
        <w:t xml:space="preserve"> due to cumulative </w:t>
      </w:r>
      <w:r w:rsidR="003B640A" w:rsidRPr="00D56A55">
        <w:rPr>
          <w:szCs w:val="32"/>
        </w:rPr>
        <w:t>land-use</w:t>
      </w:r>
      <w:r w:rsidR="00044FF4" w:rsidRPr="00D56A55">
        <w:rPr>
          <w:szCs w:val="32"/>
        </w:rPr>
        <w:t xml:space="preserve"> </w:t>
      </w:r>
      <w:r w:rsidR="00C421A3" w:rsidRPr="00D56A55">
        <w:rPr>
          <w:szCs w:val="32"/>
        </w:rPr>
        <w:t xml:space="preserve">change </w:t>
      </w:r>
      <w:r w:rsidR="00044FF4" w:rsidRPr="00D56A55">
        <w:rPr>
          <w:szCs w:val="32"/>
        </w:rPr>
        <w:t xml:space="preserve">in </w:t>
      </w:r>
      <w:bookmarkStart w:id="3" w:name="OLE_LINK27"/>
      <w:r w:rsidR="001E6716" w:rsidRPr="00D56A55">
        <w:t>eco</w:t>
      </w:r>
      <w:r w:rsidR="001E6716">
        <w:rPr>
          <w:rFonts w:hint="eastAsia"/>
        </w:rPr>
        <w:t>region</w:t>
      </w:r>
      <w:r w:rsidR="001E6716" w:rsidRPr="00D56A55">
        <w:t>s</w:t>
      </w:r>
      <w:bookmarkEnd w:id="2"/>
      <w:bookmarkEnd w:id="3"/>
      <w:r w:rsidR="00044FF4" w:rsidRPr="00D56A55">
        <w:rPr>
          <w:rFonts w:hint="eastAsia"/>
          <w:szCs w:val="32"/>
        </w:rPr>
        <w:t>:</w:t>
      </w:r>
    </w:p>
    <w:p w14:paraId="197D4112" w14:textId="35449DC7" w:rsidR="00044FF4" w:rsidRPr="00D56A55" w:rsidRDefault="00044FF4" w:rsidP="00044FF4">
      <w:pPr>
        <w:pStyle w:val="AMDisplayEquation"/>
        <w:jc w:val="center"/>
      </w:pPr>
      <w:r w:rsidRPr="00D56A55">
        <w:tab/>
      </w:r>
      <m:oMath>
        <m:sSub>
          <m:sSubPr>
            <m:ctrlPr>
              <w:rPr>
                <w:rFonts w:ascii="Cambria Math" w:hAnsi="Cambria Math"/>
              </w:rPr>
            </m:ctrlPr>
          </m:sSubPr>
          <m:e>
            <m:r>
              <w:rPr>
                <w:rFonts w:ascii="Cambria Math" w:hAnsi="Cambria Math"/>
              </w:rPr>
              <m:t>S</m:t>
            </m:r>
          </m:e>
          <m:sub>
            <m:r>
              <w:rPr>
                <w:rFonts w:ascii="Cambria Math" w:hAnsi="Cambria Math"/>
              </w:rPr>
              <m:t>lost</m:t>
            </m:r>
            <m:r>
              <m:rPr>
                <m:sty m:val="p"/>
              </m:rPr>
              <w:rPr>
                <w:rFonts w:ascii="Cambria Math" w:hAnsi="Cambria Math"/>
              </w:rPr>
              <m:t>,</m:t>
            </m:r>
            <m:r>
              <w:rPr>
                <w:rFonts w:ascii="Cambria Math" w:hAnsi="Cambria Math"/>
              </w:rPr>
              <m:t>g</m:t>
            </m:r>
            <m:r>
              <m:rPr>
                <m:sty m:val="p"/>
              </m:rPr>
              <w:rPr>
                <w:rFonts w:ascii="Cambria Math" w:hAnsi="Cambria Math"/>
              </w:rPr>
              <m:t>,</m:t>
            </m:r>
            <m:r>
              <w:rPr>
                <w:rFonts w:ascii="Cambria Math" w:hAnsi="Cambria Math"/>
              </w:rPr>
              <m:t>j</m:t>
            </m:r>
            <m:r>
              <m:rPr>
                <m:sty m:val="p"/>
              </m:rPr>
              <w:rPr>
                <w:rFonts w:ascii="Cambria Math" w:hAnsi="Cambria Math"/>
              </w:rPr>
              <m:t>,</m:t>
            </m:r>
            <m:r>
              <w:rPr>
                <w:rFonts w:ascii="Cambria Math" w:hAnsi="Cambria Math"/>
              </w:rPr>
              <m:t>regional</m:t>
            </m:r>
          </m:sub>
        </m:sSub>
        <m:r>
          <w:rPr>
            <w:rFonts w:ascii="Cambria Math" w:hAnsi="Cambria Math"/>
          </w:rPr>
          <m:t>=</m:t>
        </m:r>
        <m:sSub>
          <m:sSubPr>
            <m:ctrlPr>
              <w:rPr>
                <w:rFonts w:ascii="Cambria Math" w:hAnsi="Cambria Math"/>
              </w:rPr>
            </m:ctrlPr>
          </m:sSubPr>
          <m:e>
            <m:r>
              <w:rPr>
                <w:rFonts w:ascii="Cambria Math" w:hAnsi="Cambria Math"/>
              </w:rPr>
              <m:t>S</m:t>
            </m:r>
          </m:e>
          <m:sub>
            <m:r>
              <w:rPr>
                <w:rFonts w:ascii="Cambria Math" w:hAnsi="Cambria Math"/>
              </w:rPr>
              <m:t>org</m:t>
            </m:r>
            <m:r>
              <m:rPr>
                <m:sty m:val="p"/>
              </m:rPr>
              <w:rPr>
                <w:rFonts w:ascii="Cambria Math" w:hAnsi="Cambria Math"/>
              </w:rPr>
              <m:t>,</m:t>
            </m:r>
            <m:r>
              <w:rPr>
                <w:rFonts w:ascii="Cambria Math" w:hAnsi="Cambria Math"/>
              </w:rPr>
              <m:t>g</m:t>
            </m:r>
            <m:r>
              <m:rPr>
                <m:sty m:val="p"/>
              </m:rPr>
              <w:rPr>
                <w:rFonts w:ascii="Cambria Math" w:hAnsi="Cambria Math"/>
              </w:rPr>
              <m:t>,</m:t>
            </m:r>
            <m:r>
              <w:rPr>
                <w:rFonts w:ascii="Cambria Math" w:hAnsi="Cambria Math"/>
              </w:rPr>
              <m:t>j</m:t>
            </m:r>
          </m:sub>
        </m:sSub>
        <m:d>
          <m:dPr>
            <m:begChr m:val="["/>
            <m:endChr m:val="]"/>
            <m:ctrlPr>
              <w:rPr>
                <w:rFonts w:ascii="Cambria Math" w:hAnsi="Cambria Math"/>
              </w:rPr>
            </m:ctrlPr>
          </m:dPr>
          <m:e>
            <m:r>
              <w:rPr>
                <w:rFonts w:ascii="Cambria Math" w:hAnsi="Cambria Math"/>
              </w:rPr>
              <m:t>1-</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A</m:t>
                            </m:r>
                          </m:e>
                          <m:sub>
                            <m:r>
                              <w:rPr>
                                <w:rFonts w:ascii="Cambria Math" w:hAnsi="Cambria Math"/>
                              </w:rPr>
                              <m:t>new</m:t>
                            </m:r>
                            <m:r>
                              <m:rPr>
                                <m:sty m:val="p"/>
                              </m:rPr>
                              <w:rPr>
                                <w:rFonts w:ascii="Cambria Math" w:hAnsi="Cambria Math"/>
                              </w:rPr>
                              <m:t>,</m:t>
                            </m:r>
                            <m:r>
                              <w:rPr>
                                <w:rFonts w:ascii="Cambria Math" w:hAnsi="Cambria Math"/>
                              </w:rPr>
                              <m:t>j</m:t>
                            </m:r>
                          </m:sub>
                        </m:sSub>
                        <m:r>
                          <w:rPr>
                            <w:rFonts w:ascii="Cambria Math" w:hAnsi="Cambria Math"/>
                          </w:rPr>
                          <m:t>+</m:t>
                        </m:r>
                        <m:nary>
                          <m:naryPr>
                            <m:chr m:val="∑"/>
                            <m:limLoc m:val="undOvr"/>
                            <m:ctrlPr>
                              <w:rPr>
                                <w:rFonts w:ascii="Cambria Math" w:hAnsi="Cambria Math"/>
                              </w:rPr>
                            </m:ctrlPr>
                          </m:naryPr>
                          <m:sub>
                            <m:r>
                              <w:rPr>
                                <w:rFonts w:ascii="Cambria Math" w:hAnsi="Cambria Math"/>
                              </w:rPr>
                              <m:t>i=1</m:t>
                            </m:r>
                          </m:sub>
                          <m:sup>
                            <m:r>
                              <w:rPr>
                                <w:rFonts w:ascii="Cambria Math" w:hAnsi="Cambria Math"/>
                              </w:rPr>
                              <m:t>n</m:t>
                            </m:r>
                          </m:sup>
                          <m:e>
                            <m:sSub>
                              <m:sSubPr>
                                <m:ctrlPr>
                                  <w:rPr>
                                    <w:rFonts w:ascii="Cambria Math" w:hAnsi="Cambria Math"/>
                                  </w:rPr>
                                </m:ctrlPr>
                              </m:sSubPr>
                              <m:e>
                                <m:r>
                                  <w:rPr>
                                    <w:rFonts w:ascii="Cambria Math" w:hAnsi="Cambria Math"/>
                                  </w:rPr>
                                  <m:t>h</m:t>
                                </m:r>
                              </m:e>
                              <m:sub>
                                <m:r>
                                  <w:rPr>
                                    <w:rFonts w:ascii="Cambria Math" w:hAnsi="Cambria Math"/>
                                  </w:rPr>
                                  <m:t>g</m:t>
                                </m:r>
                                <m:r>
                                  <m:rPr>
                                    <m:sty m:val="p"/>
                                  </m:rPr>
                                  <w:rPr>
                                    <w:rFonts w:ascii="Cambria Math" w:hAnsi="Cambria Math"/>
                                  </w:rPr>
                                  <m:t>,</m:t>
                                </m:r>
                                <m:r>
                                  <w:rPr>
                                    <w:rFonts w:ascii="Cambria Math" w:hAnsi="Cambria Math"/>
                                  </w:rPr>
                                  <m:t>i</m:t>
                                </m:r>
                                <m:r>
                                  <m:rPr>
                                    <m:sty m:val="p"/>
                                  </m:rPr>
                                  <w:rPr>
                                    <w:rFonts w:ascii="Cambria Math" w:hAnsi="Cambria Math"/>
                                  </w:rPr>
                                  <m:t>,</m:t>
                                </m:r>
                                <m:r>
                                  <w:rPr>
                                    <w:rFonts w:ascii="Cambria Math" w:hAnsi="Cambria Math"/>
                                  </w:rPr>
                                  <m:t>j</m:t>
                                </m:r>
                              </m:sub>
                            </m:sSub>
                          </m:e>
                        </m:nary>
                        <m:sSub>
                          <m:sSubPr>
                            <m:ctrlPr>
                              <w:rPr>
                                <w:rFonts w:ascii="Cambria Math" w:hAnsi="Cambria Math"/>
                              </w:rPr>
                            </m:ctrlPr>
                          </m:sSubPr>
                          <m:e>
                            <m:r>
                              <w:rPr>
                                <w:rFonts w:ascii="Cambria Math" w:hAnsi="Cambria Math"/>
                              </w:rPr>
                              <m:t>A</m:t>
                            </m:r>
                          </m:e>
                          <m:sub>
                            <m:r>
                              <w:rPr>
                                <w:rFonts w:ascii="Cambria Math" w:hAnsi="Cambria Math"/>
                              </w:rPr>
                              <m:t>i</m:t>
                            </m:r>
                            <m:r>
                              <m:rPr>
                                <m:sty m:val="p"/>
                              </m:rPr>
                              <w:rPr>
                                <w:rFonts w:ascii="Cambria Math" w:hAnsi="Cambria Math"/>
                              </w:rPr>
                              <m:t>,</m:t>
                            </m:r>
                            <m:r>
                              <w:rPr>
                                <w:rFonts w:ascii="Cambria Math" w:hAnsi="Cambria Math"/>
                              </w:rPr>
                              <m:t>j</m:t>
                            </m:r>
                          </m:sub>
                        </m:sSub>
                      </m:num>
                      <m:den>
                        <m:sSub>
                          <m:sSubPr>
                            <m:ctrlPr>
                              <w:rPr>
                                <w:rFonts w:ascii="Cambria Math" w:hAnsi="Cambria Math"/>
                              </w:rPr>
                            </m:ctrlPr>
                          </m:sSubPr>
                          <m:e>
                            <m:r>
                              <w:rPr>
                                <w:rFonts w:ascii="Cambria Math" w:hAnsi="Cambria Math"/>
                              </w:rPr>
                              <m:t>A</m:t>
                            </m:r>
                          </m:e>
                          <m:sub>
                            <m:r>
                              <w:rPr>
                                <w:rFonts w:ascii="Cambria Math" w:hAnsi="Cambria Math"/>
                              </w:rPr>
                              <m:t>org</m:t>
                            </m:r>
                            <m:r>
                              <m:rPr>
                                <m:sty m:val="p"/>
                              </m:rPr>
                              <w:rPr>
                                <w:rFonts w:ascii="Cambria Math" w:hAnsi="Cambria Math"/>
                              </w:rPr>
                              <m:t>,</m:t>
                            </m:r>
                            <m:r>
                              <w:rPr>
                                <w:rFonts w:ascii="Cambria Math" w:hAnsi="Cambria Math"/>
                              </w:rPr>
                              <m:t>j</m:t>
                            </m:r>
                          </m:sub>
                        </m:sSub>
                      </m:den>
                    </m:f>
                  </m:e>
                </m:d>
              </m:e>
              <m:sup>
                <m:sSub>
                  <m:sSubPr>
                    <m:ctrlPr>
                      <w:rPr>
                        <w:rFonts w:ascii="Cambria Math" w:hAnsi="Cambria Math"/>
                      </w:rPr>
                    </m:ctrlPr>
                  </m:sSubPr>
                  <m:e>
                    <m:r>
                      <w:rPr>
                        <w:rFonts w:ascii="Cambria Math" w:hAnsi="Cambria Math"/>
                      </w:rPr>
                      <m:t>z</m:t>
                    </m:r>
                  </m:e>
                  <m:sub>
                    <m:r>
                      <w:rPr>
                        <w:rFonts w:ascii="Cambria Math" w:hAnsi="Cambria Math"/>
                      </w:rPr>
                      <m:t>j</m:t>
                    </m:r>
                  </m:sub>
                </m:sSub>
              </m:sup>
            </m:sSup>
          </m:e>
        </m:d>
      </m:oMath>
      <w:r w:rsidRPr="00D56A55">
        <w:tab/>
      </w:r>
      <w:r w:rsidRPr="00D56A55">
        <w:fldChar w:fldCharType="begin"/>
      </w:r>
      <w:r w:rsidRPr="00D56A55">
        <w:instrText xml:space="preserve"> MACROBUTTON AMMPlaceRM \* MERGEFORMAT </w:instrText>
      </w:r>
      <w:r w:rsidRPr="00D56A55">
        <w:fldChar w:fldCharType="begin"/>
      </w:r>
      <w:r w:rsidRPr="00D56A55">
        <w:instrText xml:space="preserve"> SEQ AMEqn \h \* MERGEFORMAT </w:instrText>
      </w:r>
      <w:r w:rsidRPr="00D56A55">
        <w:fldChar w:fldCharType="end"/>
      </w:r>
      <w:r w:rsidRPr="00D56A55">
        <w:instrText>(</w:instrText>
      </w:r>
      <w:fldSimple w:instr=" SEQ AMEqn \c \* Arabic \* MERGEFORMAT ">
        <w:r w:rsidR="00FB0884">
          <w:rPr>
            <w:noProof/>
          </w:rPr>
          <w:instrText>1</w:instrText>
        </w:r>
      </w:fldSimple>
      <w:r w:rsidRPr="00D56A55">
        <w:instrText>)</w:instrText>
      </w:r>
      <w:r w:rsidRPr="00D56A55">
        <w:fldChar w:fldCharType="end"/>
      </w:r>
    </w:p>
    <w:p w14:paraId="75361EA9" w14:textId="4ADA4968" w:rsidR="00044FF4" w:rsidRPr="00D56A55" w:rsidRDefault="00044FF4" w:rsidP="00044FF4">
      <w:pPr>
        <w:spacing w:line="360" w:lineRule="auto"/>
        <w:ind w:firstLine="420"/>
        <w:rPr>
          <w:szCs w:val="32"/>
        </w:rPr>
      </w:pPr>
      <w:r w:rsidRPr="00D56A55">
        <w:rPr>
          <w:szCs w:val="32"/>
        </w:rPr>
        <w:t xml:space="preserve">Where </w:t>
      </w:r>
      <m:oMath>
        <m:sSub>
          <m:sSubPr>
            <m:ctrlPr>
              <w:rPr>
                <w:rFonts w:ascii="Cambria Math" w:hAnsi="Cambria Math"/>
                <w:szCs w:val="32"/>
              </w:rPr>
            </m:ctrlPr>
          </m:sSubPr>
          <m:e>
            <m:r>
              <w:rPr>
                <w:rFonts w:ascii="Cambria Math" w:hAnsi="Cambria Math"/>
                <w:szCs w:val="32"/>
              </w:rPr>
              <m:t>A</m:t>
            </m:r>
          </m:e>
          <m:sub>
            <m:r>
              <w:rPr>
                <w:rFonts w:ascii="Cambria Math" w:hAnsi="Cambria Math"/>
                <w:szCs w:val="32"/>
              </w:rPr>
              <m:t>org</m:t>
            </m:r>
            <m:r>
              <m:rPr>
                <m:sty m:val="p"/>
              </m:rPr>
              <w:rPr>
                <w:rFonts w:ascii="Cambria Math" w:hAnsi="Cambria Math"/>
                <w:szCs w:val="32"/>
              </w:rPr>
              <m:t>,</m:t>
            </m:r>
            <m:r>
              <w:rPr>
                <w:rFonts w:ascii="Cambria Math" w:hAnsi="Cambria Math"/>
                <w:szCs w:val="32"/>
              </w:rPr>
              <m:t>j</m:t>
            </m:r>
          </m:sub>
        </m:sSub>
      </m:oMath>
      <w:r w:rsidRPr="00D56A55">
        <w:rPr>
          <w:rFonts w:hint="eastAsia"/>
          <w:szCs w:val="32"/>
        </w:rPr>
        <w:t xml:space="preserve"> </w:t>
      </w:r>
      <w:r w:rsidRPr="00D56A55">
        <w:rPr>
          <w:szCs w:val="32"/>
        </w:rPr>
        <w:t xml:space="preserve">denotes the initial extent of the natural habitat area in </w:t>
      </w:r>
      <w:r w:rsidR="001E6716" w:rsidRPr="001E6716">
        <w:rPr>
          <w:szCs w:val="32"/>
        </w:rPr>
        <w:t>ecoregion</w:t>
      </w:r>
      <w:r w:rsidRPr="00D56A55">
        <w:rPr>
          <w:szCs w:val="32"/>
        </w:rPr>
        <w:t xml:space="preserve"> </w:t>
      </w:r>
      <m:oMath>
        <m:r>
          <w:rPr>
            <w:rFonts w:ascii="Cambria Math" w:hAnsi="Cambria Math"/>
            <w:szCs w:val="32"/>
          </w:rPr>
          <m:t>j</m:t>
        </m:r>
      </m:oMath>
      <w:r w:rsidRPr="00D56A55">
        <w:rPr>
          <w:szCs w:val="32"/>
        </w:rPr>
        <w:t xml:space="preserve">, and </w:t>
      </w:r>
      <m:oMath>
        <m:sSub>
          <m:sSubPr>
            <m:ctrlPr>
              <w:rPr>
                <w:rFonts w:ascii="Cambria Math" w:hAnsi="Cambria Math"/>
                <w:szCs w:val="32"/>
              </w:rPr>
            </m:ctrlPr>
          </m:sSubPr>
          <m:e>
            <m:r>
              <w:rPr>
                <w:rFonts w:ascii="Cambria Math" w:hAnsi="Cambria Math"/>
                <w:szCs w:val="32"/>
              </w:rPr>
              <m:t>A</m:t>
            </m:r>
          </m:e>
          <m:sub>
            <m:r>
              <w:rPr>
                <w:rFonts w:ascii="Cambria Math" w:hAnsi="Cambria Math"/>
                <w:szCs w:val="32"/>
              </w:rPr>
              <m:t>new</m:t>
            </m:r>
            <m:r>
              <m:rPr>
                <m:sty m:val="p"/>
              </m:rPr>
              <w:rPr>
                <w:rFonts w:ascii="Cambria Math" w:hAnsi="Cambria Math"/>
                <w:szCs w:val="32"/>
              </w:rPr>
              <m:t>,</m:t>
            </m:r>
            <m:r>
              <w:rPr>
                <w:rFonts w:ascii="Cambria Math" w:hAnsi="Cambria Math"/>
                <w:szCs w:val="32"/>
              </w:rPr>
              <m:t>j</m:t>
            </m:r>
          </m:sub>
        </m:sSub>
      </m:oMath>
      <w:r w:rsidRPr="00D56A55">
        <w:rPr>
          <w:szCs w:val="32"/>
        </w:rPr>
        <w:t xml:space="preserve"> denotes the remaining natural habitat</w:t>
      </w:r>
      <w:r w:rsidR="00810ACC" w:rsidRPr="00D56A55">
        <w:rPr>
          <w:rFonts w:hint="eastAsia"/>
          <w:szCs w:val="32"/>
        </w:rPr>
        <w:t xml:space="preserve"> area</w:t>
      </w:r>
      <w:r w:rsidRPr="00D56A55">
        <w:rPr>
          <w:szCs w:val="32"/>
        </w:rPr>
        <w:t xml:space="preserve"> </w:t>
      </w:r>
      <w:r w:rsidR="002137B9" w:rsidRPr="000C24B8">
        <w:rPr>
          <w:szCs w:val="32"/>
        </w:rPr>
        <w:t>after human disturbance</w:t>
      </w:r>
      <w:r w:rsidR="002137B9">
        <w:rPr>
          <w:rFonts w:hint="eastAsia"/>
          <w:szCs w:val="32"/>
        </w:rPr>
        <w:t xml:space="preserve"> </w:t>
      </w:r>
      <w:r w:rsidRPr="00D56A55">
        <w:rPr>
          <w:szCs w:val="32"/>
        </w:rPr>
        <w:t xml:space="preserve">in </w:t>
      </w:r>
      <w:bookmarkStart w:id="4" w:name="OLE_LINK28"/>
      <w:r w:rsidR="001E6716" w:rsidRPr="001E6716">
        <w:rPr>
          <w:szCs w:val="32"/>
        </w:rPr>
        <w:t>ecoregion</w:t>
      </w:r>
      <w:bookmarkEnd w:id="4"/>
      <w:r w:rsidRPr="00D56A55">
        <w:rPr>
          <w:szCs w:val="32"/>
        </w:rPr>
        <w:t xml:space="preserve"> </w:t>
      </w:r>
      <m:oMath>
        <m:r>
          <w:rPr>
            <w:rFonts w:ascii="Cambria Math" w:hAnsi="Cambria Math"/>
            <w:szCs w:val="32"/>
          </w:rPr>
          <m:t>j</m:t>
        </m:r>
      </m:oMath>
      <w:r w:rsidR="00642241" w:rsidRPr="00D56A55">
        <w:rPr>
          <w:szCs w:val="32"/>
        </w:rPr>
        <w:t>.</w:t>
      </w:r>
      <w:r w:rsidR="005B378D" w:rsidRPr="00D56A55">
        <w:rPr>
          <w:rFonts w:hint="eastAsia"/>
          <w:szCs w:val="32"/>
        </w:rPr>
        <w:t xml:space="preserve"> </w:t>
      </w:r>
      <m:oMath>
        <m:sSub>
          <m:sSubPr>
            <m:ctrlPr>
              <w:rPr>
                <w:rFonts w:ascii="Cambria Math" w:hAnsi="Cambria Math"/>
              </w:rPr>
            </m:ctrlPr>
          </m:sSubPr>
          <m:e>
            <m:r>
              <w:rPr>
                <w:rFonts w:ascii="Cambria Math" w:hAnsi="Cambria Math"/>
              </w:rPr>
              <m:t>S</m:t>
            </m:r>
          </m:e>
          <m:sub>
            <m:r>
              <w:rPr>
                <w:rFonts w:ascii="Cambria Math" w:hAnsi="Cambria Math"/>
              </w:rPr>
              <m:t>org</m:t>
            </m:r>
            <m:r>
              <m:rPr>
                <m:sty m:val="p"/>
              </m:rPr>
              <w:rPr>
                <w:rFonts w:ascii="Cambria Math" w:hAnsi="Cambria Math"/>
              </w:rPr>
              <m:t>,</m:t>
            </m:r>
            <m:r>
              <w:rPr>
                <w:rFonts w:ascii="Cambria Math" w:hAnsi="Cambria Math"/>
              </w:rPr>
              <m:t>g</m:t>
            </m:r>
            <m:r>
              <m:rPr>
                <m:sty m:val="p"/>
              </m:rPr>
              <w:rPr>
                <w:rFonts w:ascii="Cambria Math" w:hAnsi="Cambria Math"/>
              </w:rPr>
              <m:t>,</m:t>
            </m:r>
            <m:r>
              <w:rPr>
                <w:rFonts w:ascii="Cambria Math" w:hAnsi="Cambria Math"/>
              </w:rPr>
              <m:t>j</m:t>
            </m:r>
          </m:sub>
        </m:sSub>
      </m:oMath>
      <w:r w:rsidR="00DC08C6">
        <w:rPr>
          <w:rFonts w:hint="eastAsia"/>
        </w:rPr>
        <w:t xml:space="preserve"> </w:t>
      </w:r>
      <w:r w:rsidR="00DC08C6" w:rsidRPr="00A00D77">
        <w:rPr>
          <w:rFonts w:hint="eastAsia"/>
        </w:rPr>
        <w:t xml:space="preserve">is the number of terrestrial species </w:t>
      </w:r>
      <w:r w:rsidR="00DC08C6">
        <w:rPr>
          <w:rFonts w:hint="eastAsia"/>
        </w:rPr>
        <w:t>group</w:t>
      </w:r>
      <w:r w:rsidR="00DC08C6" w:rsidRPr="00A00D77">
        <w:rPr>
          <w:rFonts w:hint="eastAsia"/>
        </w:rPr>
        <w:t xml:space="preserve"> </w:t>
      </w:r>
      <m:oMath>
        <m:r>
          <w:rPr>
            <w:rFonts w:ascii="Cambria Math" w:hAnsi="Cambria Math"/>
          </w:rPr>
          <m:t>g</m:t>
        </m:r>
      </m:oMath>
      <w:r w:rsidR="00DC08C6" w:rsidRPr="00A00D77">
        <w:rPr>
          <w:rFonts w:hint="eastAsia"/>
        </w:rPr>
        <w:t xml:space="preserve"> originally occurring in ecoregion</w:t>
      </w:r>
      <w:r w:rsidR="00DC08C6" w:rsidRPr="00A00D77">
        <w:rPr>
          <w:rFonts w:ascii="Cambria Math" w:hAnsi="Cambria Math"/>
          <w:i/>
        </w:rPr>
        <w:t xml:space="preserve"> </w:t>
      </w:r>
      <m:oMath>
        <m:r>
          <w:rPr>
            <w:rFonts w:ascii="Cambria Math" w:hAnsi="Cambria Math"/>
          </w:rPr>
          <m:t>j</m:t>
        </m:r>
      </m:oMath>
      <w:r w:rsidR="00DC08C6">
        <w:rPr>
          <w:rFonts w:hint="eastAsia"/>
        </w:rPr>
        <w:t xml:space="preserve">. </w:t>
      </w:r>
      <w:r w:rsidR="005B378D" w:rsidRPr="00D56A55">
        <w:rPr>
          <w:rFonts w:hint="eastAsia"/>
          <w:szCs w:val="32"/>
        </w:rPr>
        <w:t>A</w:t>
      </w:r>
      <w:r w:rsidR="005B378D" w:rsidRPr="00D56A55">
        <w:rPr>
          <w:szCs w:val="32"/>
        </w:rPr>
        <w:t>ccording to</w:t>
      </w:r>
      <w:r w:rsidR="00844949" w:rsidRPr="00844949">
        <w:t xml:space="preserve"> </w:t>
      </w:r>
      <w:r w:rsidR="00844949" w:rsidRPr="00D56A55">
        <w:t>Chaudhary et al.</w:t>
      </w:r>
      <w:r w:rsidR="00844949">
        <w:fldChar w:fldCharType="begin"/>
      </w:r>
      <w:r w:rsidR="00A43A89">
        <w:instrText xml:space="preserve"> ADDIN ZOTERO_ITEM CSL_CITATION {"citationID":"uqHdlIIS","properties":{"formattedCitation":"\\super 52\\nosupersub{}","plainCitation":"52","noteIndex":0},"citationItems":[{"id":643,"uris":["http://zotero.org/users/9110477/items/HQ2A6FUM"],"itemData":{"id":643,"type":"article-journal","abstract":"Habitat degradation and subsequent biodiversity damage often take place far from the place of consumption because of globalization and the increasing level of international trade. Informing consumers and policy makers about the biodiversity impacts “hidden” in the life cycle of imported products is an important step toward achieving sustainable consumption patterns. Spatially explicit methods are needed in life cycle assessment to accurately quantify biodiversity impacts of products and processes. We use the Countryside species−area relationship (SAR) to quantify regional species loss due to land occupation and transformation for ﬁve taxa and six land use types in 804 terrestrial ecoregions. Further, we calculate vulnerability scores for each ecoregion based on the fraction of each species’ geographic range (endemic richness) hosted by the ecoregion and the IUCN assigned threat level of each species. Vulnerability scores are multiplied with SAR-predicted regional species loss to estimate potential global extinctions per unit of land use. As a case study, we assess the land use biodiversity impacts of 1 kg of bioethanol produced using six diﬀerent feed stocks in diﬀerent parts of the world. Results show that the regions with highest biodiversity impacts diﬀered markedly when the vulnerability of species was included.","call-number":"1","container-title":"Environmental Science &amp; Technology","DOI":"10.1021/acs.est.5b02507","ISSN":"0013-936X, 1520-5851","issue":"16","journalAbbreviation":"Environ. Sci. Technol.","language":"en","note":"TLDR: This work uses the Countryside species-area relationship (SAR) to quantify regional species loss due to land occupation and transformation for five taxa and six land use types in 804 terrestrial ecoregions and shows that the regions with highest biodiversity impacts differed markedly when the vulnerability of species was included.","page":"9987-9995","source":"11.4","title":"Quantifying Land Use Impacts on Biodiversity: Combining Species–Area Models and Vulnerability Indicators","title-short":"Quantifying Land Use Impacts on Biodiversity","volume":"49","author":[{"family":"Chaudhary","given":"Abhishek"},{"family":"Verones","given":"Francesca"},{"family":"Baan","given":"Laura","non-dropping-particle":"de"},{"family":"Hellweg","given":"Stefanie"}],"issued":{"date-parts":[["2015",8,18]]}}}],"schema":"https://github.com/citation-style-language/schema/raw/master/csl-citation.json"} </w:instrText>
      </w:r>
      <w:r w:rsidR="00844949">
        <w:fldChar w:fldCharType="separate"/>
      </w:r>
      <w:r w:rsidR="00844949" w:rsidRPr="00844949">
        <w:rPr>
          <w:kern w:val="0"/>
          <w:vertAlign w:val="superscript"/>
        </w:rPr>
        <w:t>52</w:t>
      </w:r>
      <w:r w:rsidR="00844949">
        <w:fldChar w:fldCharType="end"/>
      </w:r>
      <w:r w:rsidR="00844949">
        <w:rPr>
          <w:rFonts w:hint="eastAsia"/>
        </w:rPr>
        <w:t xml:space="preserve">, </w:t>
      </w:r>
      <w:r w:rsidR="005B378D" w:rsidRPr="00D56A55">
        <w:rPr>
          <w:szCs w:val="32"/>
        </w:rPr>
        <w:t xml:space="preserve">we assume entire </w:t>
      </w:r>
      <w:r w:rsidR="001E6716" w:rsidRPr="001E6716">
        <w:rPr>
          <w:szCs w:val="32"/>
        </w:rPr>
        <w:t>ecoregion</w:t>
      </w:r>
      <w:r w:rsidR="00596D30" w:rsidRPr="00D56A55">
        <w:rPr>
          <w:szCs w:val="32"/>
        </w:rPr>
        <w:t>s</w:t>
      </w:r>
      <w:r w:rsidR="005B378D" w:rsidRPr="00D56A55">
        <w:rPr>
          <w:szCs w:val="32"/>
        </w:rPr>
        <w:t xml:space="preserve"> </w:t>
      </w:r>
      <m:oMath>
        <m:r>
          <w:rPr>
            <w:rFonts w:ascii="Cambria Math" w:hAnsi="Cambria Math"/>
            <w:szCs w:val="32"/>
          </w:rPr>
          <m:t>j</m:t>
        </m:r>
      </m:oMath>
      <w:r w:rsidR="005B378D" w:rsidRPr="00D56A55">
        <w:rPr>
          <w:szCs w:val="32"/>
        </w:rPr>
        <w:t xml:space="preserve"> </w:t>
      </w:r>
      <w:r w:rsidR="00582A45">
        <w:rPr>
          <w:szCs w:val="32"/>
        </w:rPr>
        <w:t xml:space="preserve">were </w:t>
      </w:r>
      <w:r w:rsidR="005B378D" w:rsidRPr="00D56A55">
        <w:rPr>
          <w:szCs w:val="32"/>
        </w:rPr>
        <w:t>once covered by natural habitat (</w:t>
      </w:r>
      <m:oMath>
        <m:sSub>
          <m:sSubPr>
            <m:ctrlPr>
              <w:rPr>
                <w:rFonts w:ascii="Cambria Math" w:hAnsi="Cambria Math"/>
                <w:szCs w:val="32"/>
              </w:rPr>
            </m:ctrlPr>
          </m:sSubPr>
          <m:e>
            <m:r>
              <w:rPr>
                <w:rFonts w:ascii="Cambria Math" w:hAnsi="Cambria Math"/>
                <w:szCs w:val="32"/>
              </w:rPr>
              <m:t>A</m:t>
            </m:r>
          </m:e>
          <m:sub>
            <m:r>
              <w:rPr>
                <w:rFonts w:ascii="Cambria Math" w:hAnsi="Cambria Math"/>
                <w:szCs w:val="32"/>
              </w:rPr>
              <m:t>org</m:t>
            </m:r>
            <m:r>
              <m:rPr>
                <m:sty m:val="p"/>
              </m:rPr>
              <w:rPr>
                <w:rFonts w:ascii="Cambria Math" w:hAnsi="Cambria Math"/>
                <w:szCs w:val="32"/>
              </w:rPr>
              <m:t>,</m:t>
            </m:r>
            <m:r>
              <w:rPr>
                <w:rFonts w:ascii="Cambria Math" w:hAnsi="Cambria Math"/>
                <w:szCs w:val="32"/>
              </w:rPr>
              <m:t>j</m:t>
            </m:r>
          </m:sub>
        </m:sSub>
      </m:oMath>
      <w:r w:rsidR="005B378D" w:rsidRPr="00D56A55">
        <w:rPr>
          <w:szCs w:val="32"/>
        </w:rPr>
        <w:t xml:space="preserve">). </w:t>
      </w:r>
      <w:r w:rsidRPr="00D56A55">
        <w:rPr>
          <w:szCs w:val="32"/>
        </w:rPr>
        <w:t xml:space="preserve">The variable </w:t>
      </w:r>
      <m:oMath>
        <m:sSub>
          <m:sSubPr>
            <m:ctrlPr>
              <w:rPr>
                <w:rFonts w:ascii="Cambria Math" w:hAnsi="Cambria Math"/>
                <w:szCs w:val="32"/>
              </w:rPr>
            </m:ctrlPr>
          </m:sSubPr>
          <m:e>
            <m:r>
              <w:rPr>
                <w:rFonts w:ascii="Cambria Math" w:hAnsi="Cambria Math"/>
                <w:szCs w:val="32"/>
              </w:rPr>
              <m:t>A</m:t>
            </m:r>
          </m:e>
          <m:sub>
            <m:r>
              <w:rPr>
                <w:rFonts w:ascii="Cambria Math" w:hAnsi="Cambria Math"/>
                <w:szCs w:val="32"/>
              </w:rPr>
              <m:t>i</m:t>
            </m:r>
            <m:r>
              <m:rPr>
                <m:sty m:val="p"/>
              </m:rPr>
              <w:rPr>
                <w:rFonts w:ascii="Cambria Math" w:hAnsi="Cambria Math"/>
                <w:szCs w:val="32"/>
              </w:rPr>
              <m:t>,</m:t>
            </m:r>
            <m:r>
              <w:rPr>
                <w:rFonts w:ascii="Cambria Math" w:hAnsi="Cambria Math"/>
                <w:szCs w:val="32"/>
              </w:rPr>
              <m:t>j</m:t>
            </m:r>
          </m:sub>
        </m:sSub>
      </m:oMath>
      <w:r w:rsidRPr="00D56A55">
        <w:rPr>
          <w:szCs w:val="32"/>
        </w:rPr>
        <w:t xml:space="preserve"> represents the area of </w:t>
      </w:r>
      <w:r w:rsidR="003B640A" w:rsidRPr="00D56A55">
        <w:rPr>
          <w:szCs w:val="32"/>
        </w:rPr>
        <w:t>land</w:t>
      </w:r>
      <w:r w:rsidR="00810ACC" w:rsidRPr="00D56A55">
        <w:rPr>
          <w:rFonts w:hint="eastAsia"/>
          <w:szCs w:val="32"/>
        </w:rPr>
        <w:t xml:space="preserve"> </w:t>
      </w:r>
      <w:r w:rsidR="003B640A" w:rsidRPr="00D56A55">
        <w:rPr>
          <w:szCs w:val="32"/>
        </w:rPr>
        <w:t>use</w:t>
      </w:r>
      <w:r w:rsidRPr="00D56A55">
        <w:rPr>
          <w:szCs w:val="32"/>
        </w:rPr>
        <w:t xml:space="preserve"> type </w:t>
      </w:r>
      <m:oMath>
        <m:r>
          <w:rPr>
            <w:rFonts w:ascii="Cambria Math" w:hAnsi="Cambria Math"/>
            <w:szCs w:val="32"/>
          </w:rPr>
          <m:t>i</m:t>
        </m:r>
      </m:oMath>
      <w:r w:rsidRPr="00D56A55">
        <w:rPr>
          <w:szCs w:val="32"/>
        </w:rPr>
        <w:t xml:space="preserve"> in the current </w:t>
      </w:r>
      <w:r w:rsidR="001E6716" w:rsidRPr="001E6716">
        <w:rPr>
          <w:szCs w:val="32"/>
        </w:rPr>
        <w:t>ecoregion</w:t>
      </w:r>
      <w:r w:rsidRPr="00D56A55">
        <w:rPr>
          <w:szCs w:val="32"/>
        </w:rPr>
        <w:t xml:space="preserve"> </w:t>
      </w:r>
      <m:oMath>
        <m:r>
          <w:rPr>
            <w:rFonts w:ascii="Cambria Math" w:hAnsi="Cambria Math"/>
            <w:szCs w:val="32"/>
          </w:rPr>
          <m:t>j</m:t>
        </m:r>
      </m:oMath>
      <w:r w:rsidRPr="00D56A55">
        <w:rPr>
          <w:szCs w:val="32"/>
        </w:rPr>
        <w:t xml:space="preserve">, while </w:t>
      </w:r>
      <m:oMath>
        <m:sSub>
          <m:sSubPr>
            <m:ctrlPr>
              <w:rPr>
                <w:rFonts w:ascii="Cambria Math" w:hAnsi="Cambria Math"/>
                <w:szCs w:val="32"/>
              </w:rPr>
            </m:ctrlPr>
          </m:sSubPr>
          <m:e>
            <m:r>
              <w:rPr>
                <w:rFonts w:ascii="Cambria Math" w:hAnsi="Cambria Math"/>
                <w:szCs w:val="32"/>
              </w:rPr>
              <m:t>h</m:t>
            </m:r>
          </m:e>
          <m:sub>
            <m:r>
              <w:rPr>
                <w:rFonts w:ascii="Cambria Math" w:hAnsi="Cambria Math"/>
                <w:szCs w:val="32"/>
              </w:rPr>
              <m:t>g</m:t>
            </m:r>
            <m:r>
              <m:rPr>
                <m:sty m:val="p"/>
              </m:rPr>
              <w:rPr>
                <w:rFonts w:ascii="Cambria Math" w:hAnsi="Cambria Math"/>
                <w:szCs w:val="32"/>
              </w:rPr>
              <m:t>,</m:t>
            </m:r>
            <m:r>
              <w:rPr>
                <w:rFonts w:ascii="Cambria Math" w:hAnsi="Cambria Math"/>
                <w:szCs w:val="32"/>
              </w:rPr>
              <m:t>i</m:t>
            </m:r>
            <m:r>
              <m:rPr>
                <m:sty m:val="p"/>
              </m:rPr>
              <w:rPr>
                <w:rFonts w:ascii="Cambria Math" w:hAnsi="Cambria Math"/>
                <w:szCs w:val="32"/>
              </w:rPr>
              <m:t>,</m:t>
            </m:r>
            <m:r>
              <w:rPr>
                <w:rFonts w:ascii="Cambria Math" w:hAnsi="Cambria Math"/>
                <w:szCs w:val="32"/>
              </w:rPr>
              <m:t>j</m:t>
            </m:r>
          </m:sub>
        </m:sSub>
      </m:oMath>
      <w:r w:rsidRPr="00D56A55">
        <w:rPr>
          <w:szCs w:val="32"/>
        </w:rPr>
        <w:t xml:space="preserve"> represents the affinity of species group </w:t>
      </w:r>
      <m:oMath>
        <m:r>
          <w:rPr>
            <w:rFonts w:ascii="Cambria Math" w:hAnsi="Cambria Math"/>
            <w:szCs w:val="32"/>
          </w:rPr>
          <m:t>g</m:t>
        </m:r>
      </m:oMath>
      <w:r w:rsidRPr="00D56A55">
        <w:rPr>
          <w:szCs w:val="32"/>
        </w:rPr>
        <w:t xml:space="preserve"> </w:t>
      </w:r>
      <w:r w:rsidR="00810ACC" w:rsidRPr="00D56A55">
        <w:rPr>
          <w:rFonts w:hint="eastAsia"/>
          <w:szCs w:val="32"/>
        </w:rPr>
        <w:t>for</w:t>
      </w:r>
      <w:r w:rsidR="00810ACC" w:rsidRPr="00D56A55">
        <w:rPr>
          <w:szCs w:val="32"/>
        </w:rPr>
        <w:t xml:space="preserve"> </w:t>
      </w:r>
      <w:r w:rsidR="003B640A" w:rsidRPr="00D56A55">
        <w:rPr>
          <w:szCs w:val="32"/>
        </w:rPr>
        <w:t>land</w:t>
      </w:r>
      <w:r w:rsidR="00810ACC" w:rsidRPr="00D56A55">
        <w:rPr>
          <w:rFonts w:hint="eastAsia"/>
          <w:szCs w:val="32"/>
        </w:rPr>
        <w:t xml:space="preserve"> </w:t>
      </w:r>
      <w:r w:rsidR="003B640A" w:rsidRPr="00D56A55">
        <w:rPr>
          <w:szCs w:val="32"/>
        </w:rPr>
        <w:t>use</w:t>
      </w:r>
      <w:r w:rsidRPr="00D56A55">
        <w:rPr>
          <w:szCs w:val="32"/>
        </w:rPr>
        <w:t xml:space="preserve"> type </w:t>
      </w:r>
      <m:oMath>
        <m:r>
          <w:rPr>
            <w:rFonts w:ascii="Cambria Math" w:hAnsi="Cambria Math" w:hint="eastAsia"/>
            <w:szCs w:val="32"/>
          </w:rPr>
          <m:t>i</m:t>
        </m:r>
      </m:oMath>
      <w:r w:rsidRPr="00D56A55">
        <w:rPr>
          <w:szCs w:val="32"/>
        </w:rPr>
        <w:t xml:space="preserve"> in </w:t>
      </w:r>
      <w:r w:rsidR="001E6716" w:rsidRPr="001E6716">
        <w:rPr>
          <w:szCs w:val="32"/>
        </w:rPr>
        <w:t>ecoregion</w:t>
      </w:r>
      <w:r w:rsidRPr="00D56A55">
        <w:rPr>
          <w:szCs w:val="32"/>
        </w:rPr>
        <w:t xml:space="preserve"> </w:t>
      </w:r>
      <m:oMath>
        <m:r>
          <w:rPr>
            <w:rFonts w:ascii="Cambria Math" w:hAnsi="Cambria Math" w:hint="eastAsia"/>
            <w:szCs w:val="32"/>
          </w:rPr>
          <m:t>j</m:t>
        </m:r>
      </m:oMath>
      <w:r w:rsidRPr="00D56A55">
        <w:rPr>
          <w:szCs w:val="32"/>
        </w:rPr>
        <w:t xml:space="preserve">. </w:t>
      </w:r>
      <w:r w:rsidR="00B038CF">
        <w:rPr>
          <w:szCs w:val="32"/>
        </w:rPr>
        <w:t>W</w:t>
      </w:r>
      <w:r w:rsidRPr="00D56A55">
        <w:rPr>
          <w:szCs w:val="32"/>
        </w:rPr>
        <w:t xml:space="preserve">e refer to the parameter setting of </w:t>
      </w:r>
      <w:r w:rsidR="00844949" w:rsidRPr="00D56A55">
        <w:t>Chaudhary and Kastner</w:t>
      </w:r>
      <w:r w:rsidR="00844949">
        <w:rPr>
          <w:szCs w:val="32"/>
        </w:rPr>
        <w:fldChar w:fldCharType="begin"/>
      </w:r>
      <w:r w:rsidR="00A43A89">
        <w:rPr>
          <w:szCs w:val="32"/>
        </w:rPr>
        <w:instrText xml:space="preserve"> ADDIN ZOTERO_ITEM CSL_CITATION {"citationID":"4LW0M2qM","properties":{"formattedCitation":"\\super 38\\nosupersub{}","plainCitation":"38","noteIndex":0},"citationItems":[{"id":715,"uris":["http://zotero.org/users/9110477/items/DZKYF8B6"],"itemData":{"id":715,"type":"article-journal","abstract":"Agricultural land use to meet the demands of a growing population, changing diets, lifestyles and biofuel production is a significant driver of biodiversity loss. Globally applicable methods are needed to assess biodiversity impacts hidden in internationally traded food items. We used the countryside species area relationship (SAR) model to estimate the mammals, birds, amphibians and reptiles species lost (i.e. species ‘committed to extinction’) due to agricultural land use within each of the 804 terrestrial ecoregion. These species lost estimates were combined with high spatial resolution global maps of crop yields to calculate species lost per ton for 170 crops in 184 countries. Finally, the impacts per ton were linked with the bilateral trade data of crop products between producing and consuming countries from FAO, to calculate the land use biodiversity impacts embodied in international crop trade and consumption. We found that 83% of total species loss is incurred due to agriculture land use devoted for domestic consumption whereas 17% is due to export production. Exports from Indonesia to USA and China embody highest impacts (20 species lost at the regional level each). In general, industrialized countries with high per capita GDP tend to be major net importers of biodiversity impacts from developing tropical countries. Results show that embodied land area is not a good proxy for embodied biodiversity impacts in trade flows, as crops occupying little global area such as sugarcane, palm oil, rubber and coffee have disproportionately high biodiversity impacts.","container-title":"Global Environmental Change","DOI":"10.1016/j.gloenvcha.2016.03.013","ISSN":"0959-3780","journalAbbreviation":"Global Environmental Change","language":"en","page":"195-204","title":"Land use biodiversity impacts embodied in international food trade","volume":"38","author":[{"family":"Chaudhary","given":"Abhishek"},{"family":"Kastner","given":"Thomas"}],"issued":{"date-parts":[["2016",5,1]]}}}],"schema":"https://github.com/citation-style-language/schema/raw/master/csl-citation.json"} </w:instrText>
      </w:r>
      <w:r w:rsidR="00844949">
        <w:rPr>
          <w:szCs w:val="32"/>
        </w:rPr>
        <w:fldChar w:fldCharType="separate"/>
      </w:r>
      <w:r w:rsidR="00844949" w:rsidRPr="00844949">
        <w:rPr>
          <w:kern w:val="0"/>
          <w:vertAlign w:val="superscript"/>
        </w:rPr>
        <w:t>38</w:t>
      </w:r>
      <w:r w:rsidR="00844949">
        <w:rPr>
          <w:szCs w:val="32"/>
        </w:rPr>
        <w:fldChar w:fldCharType="end"/>
      </w:r>
      <w:r w:rsidRPr="00D56A55">
        <w:rPr>
          <w:szCs w:val="32"/>
        </w:rPr>
        <w:t xml:space="preserve">, assigning respective values of 0.44, 0.48, and 0.23 </w:t>
      </w:r>
      <w:r w:rsidR="00810ACC" w:rsidRPr="00D56A55">
        <w:rPr>
          <w:rFonts w:hint="eastAsia"/>
          <w:szCs w:val="32"/>
        </w:rPr>
        <w:t>for</w:t>
      </w:r>
      <w:r w:rsidR="00810ACC" w:rsidRPr="00D56A55">
        <w:rPr>
          <w:szCs w:val="32"/>
        </w:rPr>
        <w:t xml:space="preserve"> </w:t>
      </w:r>
      <m:oMath>
        <m:sSub>
          <m:sSubPr>
            <m:ctrlPr>
              <w:rPr>
                <w:rFonts w:ascii="Cambria Math" w:hAnsi="Cambria Math"/>
                <w:szCs w:val="32"/>
              </w:rPr>
            </m:ctrlPr>
          </m:sSubPr>
          <m:e>
            <m:r>
              <w:rPr>
                <w:rFonts w:ascii="Cambria Math" w:hAnsi="Cambria Math"/>
                <w:szCs w:val="32"/>
              </w:rPr>
              <m:t>z</m:t>
            </m:r>
          </m:e>
          <m:sub>
            <m:r>
              <w:rPr>
                <w:rFonts w:ascii="Cambria Math" w:hAnsi="Cambria Math"/>
                <w:szCs w:val="32"/>
              </w:rPr>
              <m:t>j</m:t>
            </m:r>
          </m:sub>
        </m:sSub>
      </m:oMath>
      <w:r w:rsidR="00F55876" w:rsidRPr="00D56A55">
        <w:rPr>
          <w:szCs w:val="32"/>
        </w:rPr>
        <w:t xml:space="preserve"> of</w:t>
      </w:r>
      <w:r w:rsidRPr="00D56A55">
        <w:rPr>
          <w:szCs w:val="32"/>
        </w:rPr>
        <w:t xml:space="preserve"> </w:t>
      </w:r>
      <w:r w:rsidR="00F55876" w:rsidRPr="00D56A55">
        <w:rPr>
          <w:szCs w:val="32"/>
        </w:rPr>
        <w:t>island, forest, and non-forest</w:t>
      </w:r>
      <w:r w:rsidR="00C421A3" w:rsidRPr="00D56A55">
        <w:rPr>
          <w:szCs w:val="32"/>
        </w:rPr>
        <w:t>.</w:t>
      </w:r>
    </w:p>
    <w:p w14:paraId="5940B559" w14:textId="5359AF70" w:rsidR="00772915" w:rsidRPr="00D56A55" w:rsidRDefault="00AB1A2E" w:rsidP="00772915">
      <w:pPr>
        <w:spacing w:line="360" w:lineRule="auto"/>
        <w:ind w:firstLine="420"/>
        <w:rPr>
          <w:szCs w:val="32"/>
        </w:rPr>
      </w:pPr>
      <m:oMath>
        <m:sSub>
          <m:sSubPr>
            <m:ctrlPr>
              <w:rPr>
                <w:rFonts w:ascii="Cambria Math" w:hAnsi="Cambria Math"/>
                <w:szCs w:val="32"/>
              </w:rPr>
            </m:ctrlPr>
          </m:sSubPr>
          <m:e>
            <m:r>
              <w:rPr>
                <w:rFonts w:ascii="Cambria Math" w:hAnsi="Cambria Math"/>
                <w:szCs w:val="32"/>
              </w:rPr>
              <m:t>h</m:t>
            </m:r>
          </m:e>
          <m:sub>
            <m:r>
              <w:rPr>
                <w:rFonts w:ascii="Cambria Math" w:hAnsi="Cambria Math"/>
                <w:szCs w:val="32"/>
              </w:rPr>
              <m:t>g,i</m:t>
            </m:r>
            <m:r>
              <m:rPr>
                <m:sty m:val="p"/>
              </m:rPr>
              <w:rPr>
                <w:rFonts w:ascii="Cambria Math" w:hAnsi="Cambria Math"/>
                <w:szCs w:val="32"/>
              </w:rPr>
              <m:t>,</m:t>
            </m:r>
            <m:r>
              <w:rPr>
                <w:rFonts w:ascii="Cambria Math" w:hAnsi="Cambria Math"/>
                <w:szCs w:val="32"/>
              </w:rPr>
              <m:t>j</m:t>
            </m:r>
          </m:sub>
        </m:sSub>
      </m:oMath>
      <w:r w:rsidR="00772915" w:rsidRPr="00D56A55">
        <w:rPr>
          <w:szCs w:val="32"/>
        </w:rPr>
        <w:t xml:space="preserve"> for additional </w:t>
      </w:r>
      <w:r w:rsidR="003B640A" w:rsidRPr="00D56A55">
        <w:rPr>
          <w:szCs w:val="32"/>
        </w:rPr>
        <w:t>land-use</w:t>
      </w:r>
      <w:r w:rsidR="00772915" w:rsidRPr="00D56A55">
        <w:rPr>
          <w:szCs w:val="32"/>
        </w:rPr>
        <w:t xml:space="preserve"> categories is calculated as follows:</w:t>
      </w:r>
    </w:p>
    <w:p w14:paraId="04F180BF" w14:textId="32C86D4F" w:rsidR="00044FF4" w:rsidRPr="00D56A55" w:rsidRDefault="00AB1A2E" w:rsidP="00044FF4">
      <w:pPr>
        <w:spacing w:line="360" w:lineRule="auto"/>
        <w:ind w:left="2520" w:firstLine="420"/>
        <w:jc w:val="right"/>
        <w:rPr>
          <w:szCs w:val="32"/>
        </w:rPr>
      </w:pPr>
      <m:oMath>
        <m:sSub>
          <m:sSubPr>
            <m:ctrlPr>
              <w:rPr>
                <w:rFonts w:ascii="Cambria Math" w:hAnsi="Cambria Math"/>
              </w:rPr>
            </m:ctrlPr>
          </m:sSubPr>
          <m:e>
            <m:r>
              <w:rPr>
                <w:rFonts w:ascii="Cambria Math" w:hAnsi="Cambria Math"/>
              </w:rPr>
              <m:t>h</m:t>
            </m:r>
          </m:e>
          <m:sub>
            <m:r>
              <w:rPr>
                <w:rFonts w:ascii="Cambria Math" w:hAnsi="Cambria Math"/>
              </w:rPr>
              <m:t>g</m:t>
            </m:r>
            <m:r>
              <m:rPr>
                <m:sty m:val="p"/>
              </m:rPr>
              <w:rPr>
                <w:rFonts w:ascii="Cambria Math" w:hAnsi="Cambria Math"/>
              </w:rPr>
              <m:t>,</m:t>
            </m:r>
            <m:r>
              <w:rPr>
                <w:rFonts w:ascii="Cambria Math" w:hAnsi="Cambria Math"/>
              </w:rPr>
              <m:t>i</m:t>
            </m:r>
            <m:r>
              <m:rPr>
                <m:sty m:val="p"/>
              </m:rPr>
              <w:rPr>
                <w:rFonts w:ascii="Cambria Math" w:hAnsi="Cambria Math"/>
              </w:rPr>
              <m:t>,</m:t>
            </m:r>
            <m:r>
              <w:rPr>
                <w:rFonts w:ascii="Cambria Math" w:hAnsi="Cambria Math"/>
              </w:rPr>
              <m:t>j</m:t>
            </m:r>
          </m:sub>
        </m:sSub>
        <m:r>
          <w:rPr>
            <w:rFonts w:ascii="Cambria Math" w:hAnsi="Cambria Math"/>
          </w:rPr>
          <m:t>=</m:t>
        </m:r>
        <m:r>
          <m:rPr>
            <m:sty m:val="p"/>
          </m:rPr>
          <w:rPr>
            <w:rFonts w:ascii="Cambria Math" w:hAnsi="Cambria Math"/>
          </w:rPr>
          <m:t>(</m:t>
        </m:r>
        <m:r>
          <w:rPr>
            <w:rFonts w:ascii="Cambria Math" w:hAnsi="Cambria Math"/>
          </w:rPr>
          <m:t>1-C</m:t>
        </m:r>
        <m:sSub>
          <m:sSubPr>
            <m:ctrlPr>
              <w:rPr>
                <w:rFonts w:ascii="Cambria Math" w:hAnsi="Cambria Math"/>
              </w:rPr>
            </m:ctrlPr>
          </m:sSubPr>
          <m:e>
            <m:r>
              <w:rPr>
                <w:rFonts w:ascii="Cambria Math" w:hAnsi="Cambria Math"/>
              </w:rPr>
              <m:t>F</m:t>
            </m:r>
          </m:e>
          <m:sub>
            <m:r>
              <w:rPr>
                <w:rFonts w:ascii="Cambria Math" w:hAnsi="Cambria Math"/>
              </w:rPr>
              <m:t>loc</m:t>
            </m:r>
            <m:r>
              <m:rPr>
                <m:sty m:val="p"/>
              </m:rPr>
              <w:rPr>
                <w:rFonts w:ascii="Cambria Math" w:hAnsi="Cambria Math"/>
              </w:rPr>
              <m:t>,</m:t>
            </m:r>
            <m:r>
              <w:rPr>
                <w:rFonts w:ascii="Cambria Math" w:hAnsi="Cambria Math"/>
              </w:rPr>
              <m:t>g</m:t>
            </m:r>
            <m:r>
              <m:rPr>
                <m:sty m:val="p"/>
              </m:rPr>
              <w:rPr>
                <w:rFonts w:ascii="Cambria Math" w:hAnsi="Cambria Math"/>
              </w:rPr>
              <m:t>,</m:t>
            </m:r>
            <m:r>
              <w:rPr>
                <w:rFonts w:ascii="Cambria Math" w:hAnsi="Cambria Math"/>
              </w:rPr>
              <m:t>ij</m:t>
            </m:r>
          </m:sub>
        </m:sSub>
        <m:sSup>
          <m:sSupPr>
            <m:ctrlPr>
              <w:rPr>
                <w:rFonts w:ascii="Cambria Math" w:hAnsi="Cambria Math"/>
              </w:rPr>
            </m:ctrlPr>
          </m:sSupPr>
          <m:e>
            <m:r>
              <m:rPr>
                <m:sty m:val="p"/>
              </m:rPr>
              <w:rPr>
                <w:rFonts w:ascii="Cambria Math" w:hAnsi="Cambria Math"/>
              </w:rPr>
              <m:t>)</m:t>
            </m:r>
          </m:e>
          <m:sup>
            <m:r>
              <w:rPr>
                <w:rFonts w:ascii="Cambria Math" w:hAnsi="Cambria Math"/>
              </w:rPr>
              <m:t>1</m:t>
            </m:r>
            <m:r>
              <m:rPr>
                <m:sty m:val="p"/>
              </m:rPr>
              <w:rPr>
                <w:rFonts w:ascii="Cambria Math" w:hAnsi="Cambria Math"/>
              </w:rPr>
              <m:t>/</m:t>
            </m:r>
            <m:sSub>
              <m:sSubPr>
                <m:ctrlPr>
                  <w:rPr>
                    <w:rFonts w:ascii="Cambria Math" w:hAnsi="Cambria Math"/>
                  </w:rPr>
                </m:ctrlPr>
              </m:sSubPr>
              <m:e>
                <m:r>
                  <w:rPr>
                    <w:rFonts w:ascii="Cambria Math" w:hAnsi="Cambria Math"/>
                  </w:rPr>
                  <m:t>z</m:t>
                </m:r>
              </m:e>
              <m:sub>
                <m:r>
                  <w:rPr>
                    <w:rFonts w:ascii="Cambria Math" w:hAnsi="Cambria Math"/>
                  </w:rPr>
                  <m:t>j</m:t>
                </m:r>
              </m:sub>
            </m:sSub>
          </m:sup>
        </m:sSup>
      </m:oMath>
      <w:r w:rsidR="00044FF4" w:rsidRPr="00D56A55">
        <w:tab/>
      </w:r>
      <w:r w:rsidR="00044FF4" w:rsidRPr="00D56A55">
        <w:tab/>
      </w:r>
      <w:r w:rsidR="00044FF4" w:rsidRPr="00D56A55">
        <w:tab/>
      </w:r>
      <w:r w:rsidR="00044FF4" w:rsidRPr="00D56A55">
        <w:tab/>
      </w:r>
      <w:r w:rsidR="00044FF4" w:rsidRPr="00D56A55">
        <w:tab/>
      </w:r>
      <w:r w:rsidR="00044FF4" w:rsidRPr="00D56A55">
        <w:rPr>
          <w:rFonts w:hint="eastAsia"/>
        </w:rPr>
        <w:t xml:space="preserve"> </w:t>
      </w:r>
      <w:r w:rsidR="00044FF4" w:rsidRPr="00D56A55">
        <w:tab/>
      </w:r>
      <w:r w:rsidR="00044FF4" w:rsidRPr="00D56A55">
        <w:fldChar w:fldCharType="begin"/>
      </w:r>
      <w:r w:rsidR="00044FF4" w:rsidRPr="00D56A55">
        <w:instrText xml:space="preserve"> MACROBUTTON AMMPlaceRM \* MERGEFORMAT </w:instrText>
      </w:r>
      <w:r w:rsidR="00044FF4" w:rsidRPr="00D56A55">
        <w:fldChar w:fldCharType="begin"/>
      </w:r>
      <w:r w:rsidR="00044FF4" w:rsidRPr="00D56A55">
        <w:instrText xml:space="preserve"> SEQ AMEqn \h \* MERGEFORMAT </w:instrText>
      </w:r>
      <w:r w:rsidR="00044FF4" w:rsidRPr="00D56A55">
        <w:fldChar w:fldCharType="end"/>
      </w:r>
      <w:r w:rsidR="00044FF4" w:rsidRPr="00D56A55">
        <w:instrText>(</w:instrText>
      </w:r>
      <w:fldSimple w:instr=" SEQ AMEqn \c \* Arabic \* MERGEFORMAT ">
        <w:r w:rsidR="00FB0884">
          <w:rPr>
            <w:noProof/>
          </w:rPr>
          <w:instrText>2</w:instrText>
        </w:r>
      </w:fldSimple>
      <w:r w:rsidR="00044FF4" w:rsidRPr="00D56A55">
        <w:instrText>)</w:instrText>
      </w:r>
      <w:r w:rsidR="00044FF4" w:rsidRPr="00D56A55">
        <w:fldChar w:fldCharType="end"/>
      </w:r>
    </w:p>
    <w:p w14:paraId="0F1EB825" w14:textId="7708EAA4" w:rsidR="002E4A8D" w:rsidRPr="00F45DF9" w:rsidRDefault="002E4A8D" w:rsidP="00F45DF9">
      <w:pPr>
        <w:spacing w:line="360" w:lineRule="auto"/>
        <w:rPr>
          <w:color w:val="000000" w:themeColor="text1"/>
        </w:rPr>
      </w:pPr>
      <w:r w:rsidRPr="00D56A55">
        <w:rPr>
          <w:szCs w:val="32"/>
        </w:rPr>
        <w:t>w</w:t>
      </w:r>
      <w:r w:rsidRPr="00D56A55">
        <w:rPr>
          <w:rFonts w:hint="eastAsia"/>
          <w:szCs w:val="32"/>
        </w:rPr>
        <w:t>here</w:t>
      </w:r>
      <w:r w:rsidRPr="00D56A55">
        <w:rPr>
          <w:szCs w:val="32"/>
        </w:rPr>
        <w:t>,</w:t>
      </w:r>
      <w:r w:rsidR="00044FF4" w:rsidRPr="00D56A55">
        <w:rPr>
          <w:szCs w:val="32"/>
        </w:rPr>
        <w:t xml:space="preserve"> </w:t>
      </w:r>
      <m:oMath>
        <m:r>
          <w:rPr>
            <w:rFonts w:ascii="Cambria Math" w:hAnsi="Cambria Math"/>
            <w:szCs w:val="32"/>
          </w:rPr>
          <m:t>C</m:t>
        </m:r>
        <m:sSub>
          <m:sSubPr>
            <m:ctrlPr>
              <w:rPr>
                <w:rFonts w:ascii="Cambria Math" w:hAnsi="Cambria Math"/>
                <w:szCs w:val="32"/>
              </w:rPr>
            </m:ctrlPr>
          </m:sSubPr>
          <m:e>
            <m:r>
              <w:rPr>
                <w:rFonts w:ascii="Cambria Math" w:hAnsi="Cambria Math"/>
                <w:szCs w:val="32"/>
              </w:rPr>
              <m:t>F</m:t>
            </m:r>
          </m:e>
          <m:sub>
            <m:r>
              <w:rPr>
                <w:rFonts w:ascii="Cambria Math" w:hAnsi="Cambria Math"/>
                <w:szCs w:val="32"/>
              </w:rPr>
              <m:t>loc</m:t>
            </m:r>
            <m:r>
              <m:rPr>
                <m:sty m:val="p"/>
              </m:rPr>
              <w:rPr>
                <w:rFonts w:ascii="Cambria Math" w:hAnsi="Cambria Math"/>
                <w:szCs w:val="32"/>
              </w:rPr>
              <m:t>,</m:t>
            </m:r>
            <m:r>
              <w:rPr>
                <w:rFonts w:ascii="Cambria Math" w:hAnsi="Cambria Math"/>
                <w:szCs w:val="32"/>
              </w:rPr>
              <m:t>g</m:t>
            </m:r>
            <m:r>
              <m:rPr>
                <m:sty m:val="p"/>
              </m:rPr>
              <w:rPr>
                <w:rFonts w:ascii="Cambria Math" w:hAnsi="Cambria Math"/>
                <w:szCs w:val="32"/>
              </w:rPr>
              <m:t>,</m:t>
            </m:r>
            <m:r>
              <w:rPr>
                <w:rFonts w:ascii="Cambria Math" w:hAnsi="Cambria Math"/>
                <w:szCs w:val="32"/>
              </w:rPr>
              <m:t>ij</m:t>
            </m:r>
          </m:sub>
        </m:sSub>
      </m:oMath>
      <w:r w:rsidR="00044FF4" w:rsidRPr="00D56A55">
        <w:rPr>
          <w:szCs w:val="32"/>
        </w:rPr>
        <w:t xml:space="preserve"> represents the local land</w:t>
      </w:r>
      <w:r w:rsidR="00810ACC" w:rsidRPr="00D56A55">
        <w:rPr>
          <w:rFonts w:hint="eastAsia"/>
          <w:szCs w:val="32"/>
        </w:rPr>
        <w:t xml:space="preserve"> </w:t>
      </w:r>
      <w:r w:rsidR="00F31A48" w:rsidRPr="00D56A55">
        <w:rPr>
          <w:rFonts w:hint="eastAsia"/>
          <w:szCs w:val="32"/>
        </w:rPr>
        <w:t>use</w:t>
      </w:r>
      <w:r w:rsidR="00044FF4" w:rsidRPr="00D56A55">
        <w:rPr>
          <w:szCs w:val="32"/>
        </w:rPr>
        <w:t xml:space="preserve"> characterization factor, which is equal to the relative difference between the species </w:t>
      </w:r>
      <w:r w:rsidR="007D6919" w:rsidRPr="00D56A55">
        <w:rPr>
          <w:rFonts w:hint="eastAsia"/>
          <w:szCs w:val="32"/>
        </w:rPr>
        <w:t>groups</w:t>
      </w:r>
      <w:r w:rsidR="007D6919" w:rsidRPr="00D56A55">
        <w:rPr>
          <w:szCs w:val="32"/>
        </w:rPr>
        <w:t xml:space="preserve"> </w:t>
      </w:r>
      <w:r w:rsidR="00044FF4" w:rsidRPr="00D56A55">
        <w:rPr>
          <w:szCs w:val="32"/>
        </w:rPr>
        <w:t xml:space="preserve">richness at the plot scale and the natural reference area in the same </w:t>
      </w:r>
      <w:r w:rsidR="001E6716" w:rsidRPr="001E6716">
        <w:rPr>
          <w:szCs w:val="32"/>
        </w:rPr>
        <w:t>ecoregion</w:t>
      </w:r>
      <w:r w:rsidR="00044FF4" w:rsidRPr="00D56A55">
        <w:rPr>
          <w:szCs w:val="32"/>
        </w:rPr>
        <w:t>.</w:t>
      </w:r>
      <w:r w:rsidR="007D1C84">
        <w:rPr>
          <w:szCs w:val="32"/>
        </w:rPr>
        <w:fldChar w:fldCharType="begin"/>
      </w:r>
      <w:r w:rsidR="00A43A89">
        <w:rPr>
          <w:szCs w:val="32"/>
        </w:rPr>
        <w:instrText xml:space="preserve"> ADDIN ZOTERO_ITEM CSL_CITATION {"citationID":"pVKP7Z66","properties":{"formattedCitation":"\\super 54\\nosupersub{}","plainCitation":"54","noteIndex":0},"citationItems":[{"id":562,"uris":["http://zotero.org/users/9110477/items/WGZTMFDB"],"itemData":{"id":562,"type":"article-journal","abstract":"Abstract\n            Land-use has transformed ecosystems over three quarters of the terrestrial surface, with massive repercussions on biodiversity. Land-use intensity is known to contribute to the effects of land-use on biodiversity, but the magnitude of this contribution remains uncertain. Here, we use a modified countryside species-area model to compute a global account of the impending biodiversity loss caused by current land-use patterns, explicitly addressing the role of land-use intensity based on two sets of intensity indicators. We find that land-use entails the loss of ~15% of terrestrial vertebrate species from the average 5 × 5 arcmin-landscape outside remaining wilderness areas and ~14% of their average native area-of-habitat, with a risk of global extinction for 556 individual species. Given the large fraction of global land currently used under low land-use intensity, we find its contribution to biodiversity loss to be substantial (~25%). While both sets of intensity indicators yield similar global average results, we find regional differences between them and discuss data gaps. Our results support calls for improved sustainable intensification strategies and demand-side actions to reduce trade-offs between food security and biodiversity conservation.","call-number":"1","container-title":"Nature Communications","DOI":"10.1038/s41467-022-28245-4","ISSN":"2041-1723","issue":"1","journalAbbreviation":"Nat Commun","language":"en","page":"615","source":"16.6","title":"Relative effects of land conversion and land-use intensity on terrestrial vertebrate diversity","volume":"13","author":[{"family":"Semenchuk","given":"Philipp"},{"family":"Plutzar","given":"Christoph"},{"family":"Kastner","given":"Thomas"},{"family":"Matej","given":"Sarah"},{"family":"Bidoglio","given":"Giorgio"},{"family":"Erb","given":"Karl-Heinz"},{"family":"Essl","given":"Franz"},{"family":"Haberl","given":"Helmut"},{"family":"Wessely","given":"Johannes"},{"family":"Krausmann","given":"Fridolin"},{"family":"Dullinger","given":"Stefan"}],"issued":{"date-parts":[["2022",2,1]]}}}],"schema":"https://github.com/citation-style-language/schema/raw/master/csl-citation.json"} </w:instrText>
      </w:r>
      <w:r w:rsidR="007D1C84">
        <w:rPr>
          <w:szCs w:val="32"/>
        </w:rPr>
        <w:fldChar w:fldCharType="separate"/>
      </w:r>
      <w:r w:rsidR="007D1C84" w:rsidRPr="007D1C84">
        <w:rPr>
          <w:kern w:val="0"/>
          <w:vertAlign w:val="superscript"/>
        </w:rPr>
        <w:t>54</w:t>
      </w:r>
      <w:r w:rsidR="007D1C84">
        <w:rPr>
          <w:szCs w:val="32"/>
        </w:rPr>
        <w:fldChar w:fldCharType="end"/>
      </w:r>
      <w:r w:rsidR="00044FF4" w:rsidRPr="00D56A55">
        <w:rPr>
          <w:szCs w:val="32"/>
        </w:rPr>
        <w:t xml:space="preserve"> </w:t>
      </w:r>
      <w:r w:rsidR="002137B9">
        <w:rPr>
          <w:rFonts w:hint="eastAsia"/>
          <w:szCs w:val="32"/>
        </w:rPr>
        <w:t>The</w:t>
      </w:r>
      <w:r w:rsidR="002137B9">
        <w:rPr>
          <w:szCs w:val="32"/>
        </w:rPr>
        <w:t xml:space="preserve"> </w:t>
      </w:r>
      <m:oMath>
        <m:r>
          <w:rPr>
            <w:rFonts w:ascii="Cambria Math" w:hAnsi="Cambria Math"/>
            <w:szCs w:val="32"/>
          </w:rPr>
          <m:t>C</m:t>
        </m:r>
        <m:sSub>
          <m:sSubPr>
            <m:ctrlPr>
              <w:rPr>
                <w:rFonts w:ascii="Cambria Math" w:hAnsi="Cambria Math"/>
                <w:szCs w:val="32"/>
              </w:rPr>
            </m:ctrlPr>
          </m:sSubPr>
          <m:e>
            <m:r>
              <w:rPr>
                <w:rFonts w:ascii="Cambria Math" w:hAnsi="Cambria Math"/>
                <w:szCs w:val="32"/>
              </w:rPr>
              <m:t>F</m:t>
            </m:r>
          </m:e>
          <m:sub>
            <m:r>
              <w:rPr>
                <w:rFonts w:ascii="Cambria Math" w:hAnsi="Cambria Math"/>
                <w:szCs w:val="32"/>
              </w:rPr>
              <m:t>loc</m:t>
            </m:r>
            <m:r>
              <m:rPr>
                <m:sty m:val="p"/>
              </m:rPr>
              <w:rPr>
                <w:rFonts w:ascii="Cambria Math" w:hAnsi="Cambria Math"/>
                <w:szCs w:val="32"/>
              </w:rPr>
              <m:t>,</m:t>
            </m:r>
            <m:r>
              <w:rPr>
                <w:rFonts w:ascii="Cambria Math" w:hAnsi="Cambria Math"/>
                <w:szCs w:val="32"/>
              </w:rPr>
              <m:t>g</m:t>
            </m:r>
            <m:r>
              <m:rPr>
                <m:sty m:val="p"/>
              </m:rPr>
              <w:rPr>
                <w:rFonts w:ascii="Cambria Math" w:hAnsi="Cambria Math"/>
                <w:szCs w:val="32"/>
              </w:rPr>
              <m:t>,</m:t>
            </m:r>
            <m:r>
              <w:rPr>
                <w:rFonts w:ascii="Cambria Math" w:hAnsi="Cambria Math"/>
                <w:szCs w:val="32"/>
              </w:rPr>
              <m:t>ij</m:t>
            </m:r>
          </m:sub>
        </m:sSub>
      </m:oMath>
      <w:r w:rsidR="002137B9">
        <w:rPr>
          <w:szCs w:val="32"/>
        </w:rPr>
        <w:t xml:space="preserve"> were collected by </w:t>
      </w:r>
      <w:r w:rsidR="00844949" w:rsidRPr="00D56A55">
        <w:rPr>
          <w:noProof/>
          <w:szCs w:val="32"/>
        </w:rPr>
        <w:t>Dorber et al.</w:t>
      </w:r>
      <w:r w:rsidR="00844949">
        <w:rPr>
          <w:noProof/>
          <w:szCs w:val="32"/>
        </w:rPr>
        <w:fldChar w:fldCharType="begin"/>
      </w:r>
      <w:r w:rsidR="00A43A89">
        <w:rPr>
          <w:noProof/>
          <w:szCs w:val="32"/>
        </w:rPr>
        <w:instrText xml:space="preserve"> ADDIN ZOTERO_ITEM CSL_CITATION {"citationID":"nngvL5Ib","properties":{"formattedCitation":"\\super 55\\nosupersub{}","plainCitation":"55","noteIndex":0},"citationItems":[{"id":682,"uris":["http://zotero.org/users/9110477/items/29ALIEEK"],"itemData":{"id":682,"type":"article-journal","abstract":"Life Cycle Assessment (LCA) is a tool for analyzing and comparing environmental impacts of products throughout their life cycles, facilitating shifts towards more environmentally friendly products. However, LCA does currently not address terrestrial biodiversity impacts related to the conversion of terrestrial habitat into aquatic habitat. This conversion can occur because of sea level rise, establishment of new land-based aquaculture, as well as reservoir expansion or creation. Here, we focus on land occupation and terrestrial biodiversity impacts, while transformation impacts, and habitat gain for aquatic species were beyond the scope of the study. To be able to estimate the regional and global terrestrial biodiversity impacts of future land occupation from terrestrial to aquatic habitat in LCA, we developed new characterization factors (CFs) for 781 terrestrial ecoregions, 5 land cover/use types, and 4 taxonomic groups. The basis for the development of the proposed CFs is the model concept of the currently recommended method for quantifying land use impacts on biodiversity in LCA by the Life Cycle Initiative hosted by United Nations Environmental Program. The global CFs vary between 7.44 EÀ20 PDF/m2 and 6.25 EÀ09 PDF/m2, showing that a highly variable terrestrial biodiversity impact of land inundation between land cover/use types, taxonomic groups and ecoregions exists.","call-number":"1","container-title":"Science of The Total Environment","DOI":"10.1016/j.scitotenv.2019.134582","ISSN":"00489697","journalAbbreviation":"Science of The Total Environment","language":"en","note":"TLDR: This work developed new characterization factors (CFs) for 781 terrestrial ecoregions, 5 land cover/use types, and 4 taxonomic groups, showing that a highly variable terrestrial biodiversity impact of land inundation between land cover/.","page":"134582","source":"9.8","title":"Global characterization factors for terrestrial biodiversity impacts of future land inundation in Life Cycle Assessment","volume":"712","author":[{"family":"Dorber","given":"Martin"},{"family":"Kuipers","given":"Koen"},{"family":"Verones","given":"Francesca"}],"issued":{"date-parts":[["2020",4]]}}}],"schema":"https://github.com/citation-style-language/schema/raw/master/csl-citation.json"} </w:instrText>
      </w:r>
      <w:r w:rsidR="00844949">
        <w:rPr>
          <w:noProof/>
          <w:szCs w:val="32"/>
        </w:rPr>
        <w:fldChar w:fldCharType="separate"/>
      </w:r>
      <w:r w:rsidR="00844949" w:rsidRPr="00844949">
        <w:rPr>
          <w:kern w:val="0"/>
          <w:vertAlign w:val="superscript"/>
        </w:rPr>
        <w:t>55</w:t>
      </w:r>
      <w:r w:rsidR="00844949">
        <w:rPr>
          <w:noProof/>
          <w:szCs w:val="32"/>
        </w:rPr>
        <w:fldChar w:fldCharType="end"/>
      </w:r>
      <w:r w:rsidR="004B4E92">
        <w:rPr>
          <w:rFonts w:hint="eastAsia"/>
          <w:szCs w:val="32"/>
        </w:rPr>
        <w:t xml:space="preserve">. Then, </w:t>
      </w:r>
      <w:r w:rsidR="008A0FDF">
        <w:rPr>
          <w:rFonts w:hint="eastAsia"/>
          <w:szCs w:val="32"/>
        </w:rPr>
        <w:t xml:space="preserve">the regional </w:t>
      </w:r>
      <w:r w:rsidR="008A0FDF" w:rsidRPr="008A0FDF">
        <w:rPr>
          <w:szCs w:val="32"/>
        </w:rPr>
        <w:t>potentially disappeared fraction (</w:t>
      </w:r>
      <w:r w:rsidR="00DC08C6">
        <w:rPr>
          <w:rFonts w:hint="eastAsia"/>
          <w:szCs w:val="32"/>
        </w:rPr>
        <w:t xml:space="preserve">regional </w:t>
      </w:r>
      <w:r w:rsidR="008A0FDF" w:rsidRPr="008A0FDF">
        <w:rPr>
          <w:szCs w:val="32"/>
        </w:rPr>
        <w:t>pdf) of species</w:t>
      </w:r>
      <w:r w:rsidR="004B4E92">
        <w:rPr>
          <w:rFonts w:hint="eastAsia"/>
          <w:szCs w:val="32"/>
        </w:rPr>
        <w:t xml:space="preserve"> </w:t>
      </w:r>
      <w:r w:rsidR="00DE5E3F">
        <w:rPr>
          <w:rFonts w:hint="eastAsia"/>
          <w:szCs w:val="32"/>
        </w:rPr>
        <w:t>in</w:t>
      </w:r>
      <w:r w:rsidR="004B4E92">
        <w:rPr>
          <w:rFonts w:hint="eastAsia"/>
          <w:szCs w:val="32"/>
        </w:rPr>
        <w:t xml:space="preserve"> </w:t>
      </w:r>
      <w:r w:rsidR="001E6716" w:rsidRPr="001E6716">
        <w:rPr>
          <w:szCs w:val="32"/>
        </w:rPr>
        <w:t>ecoregion</w:t>
      </w:r>
      <w:r w:rsidR="004B4E92" w:rsidRPr="00D56A55">
        <w:rPr>
          <w:szCs w:val="32"/>
        </w:rPr>
        <w:t xml:space="preserve"> </w:t>
      </w:r>
      <m:oMath>
        <m:r>
          <w:rPr>
            <w:rFonts w:ascii="Cambria Math" w:hAnsi="Cambria Math" w:hint="eastAsia"/>
            <w:szCs w:val="32"/>
          </w:rPr>
          <m:t>j</m:t>
        </m:r>
      </m:oMath>
      <w:r w:rsidR="004B4E92">
        <w:rPr>
          <w:rFonts w:hint="eastAsia"/>
          <w:szCs w:val="32"/>
        </w:rPr>
        <w:t xml:space="preserve"> is converted to global</w:t>
      </w:r>
      <w:r w:rsidR="008A0FDF">
        <w:rPr>
          <w:rFonts w:hint="eastAsia"/>
          <w:szCs w:val="32"/>
        </w:rPr>
        <w:t xml:space="preserve"> pdf</w:t>
      </w:r>
      <w:r w:rsidR="004B4E92">
        <w:rPr>
          <w:rFonts w:hint="eastAsia"/>
          <w:szCs w:val="32"/>
        </w:rPr>
        <w:t xml:space="preserve"> using </w:t>
      </w:r>
      <w:r w:rsidR="004B4E92" w:rsidRPr="00784CD2">
        <w:rPr>
          <w:szCs w:val="32"/>
        </w:rPr>
        <w:t>the Global Extinction Probability</w:t>
      </w:r>
      <w:r w:rsidR="004B4E92" w:rsidRPr="00784CD2">
        <w:rPr>
          <w:rFonts w:hint="eastAsia"/>
          <w:szCs w:val="32"/>
        </w:rPr>
        <w:t>.</w:t>
      </w:r>
      <w:r w:rsidR="004B4E92">
        <w:rPr>
          <w:sz w:val="22"/>
        </w:rPr>
        <w:fldChar w:fldCharType="begin"/>
      </w:r>
      <w:r w:rsidR="00A43A89">
        <w:rPr>
          <w:sz w:val="22"/>
        </w:rPr>
        <w:instrText xml:space="preserve"> ADDIN ZOTERO_ITEM CSL_CITATION {"citationID":"O8tc3er3","properties":{"formattedCitation":"\\super 56\\nosupersub{}","plainCitation":"56","noteIndex":0},"citationItems":[{"id":4951,"uris":["http://zotero.org/users/9110477/items/JVVEA277"],"itemData":{"id":4951,"type":"article-journal","abstract":"Human activities put pressure on the natural environmental and the Life Cycle Assessment methodology (LCA) is becoming a more prevalent tool to assess the relevant environmental impacts from products and processes on terrestrial, marine and freshwater ecosystems. The Global Life Cycle Impact Assessment Method (GLAM) project of the Life Cycle Initiative hosted by the UN Environment Programme aims at making recommendations for new impact assessment models (such as for land use, water consumption and eutrophication) and improving the consistency and comparability across impact categories. An important aspect to ensure the comparability of these categories across geographic regions is to identify and quantify the scale of impacts, i.e., distinguish if an impact to an area results in local species losses or global species extinctions. This distinction is of high relevance because a species lost at a local level may still exist in other regions of the world and could potentially reestablish in that area, whereas global extinctions are irreversible. A consistent approach to scale impacts from local to global scales is currently not implemented within the LCIA framework, but is crucial to appropriately consider potential biodiversity impacts across impact categories. Here we present an updated approach for calculating a scaling factor, called the Global Extinction Probability (GEP), and calculate it for more than 98 000 species in 20 species groups across marine, terrestrial and freshwater ecosystems. We also provide the GEPs for different spatial scales, such as grid cells, ecoregions or watersheds and country averages. We found that GEP varies over orders of magnitude across the world, emphasizing the relevance of considering the spatial dimension of such extinction probabilities. We recommend quantifying global extinctions based on local species loss by multiplying local species loss within a certain spatial unit with the GEP corresponding to the same spatial unit. GEPs harmonize the quantification of biodiversity impacts across impact categories, improving information to support environmental decision-making.","container-title":"Ecological Indicators","DOI":"10.1016/j.ecolind.2022.109204","ISSN":"1470-160X","journalAbbreviation":"Ecol. Indic.","language":"en","page":"109204","source":"ScienceDirect","title":"Global extinction probabilities of terrestrial, freshwater, and marine species groups for use in life cycle assessment","volume":"142","author":[{"family":"Verones","given":"Francesca"},{"family":"Kuipers","given":"Koen"},{"family":"Núñez","given":"Montserrat"},{"family":"Rosa","given":"Francesca"},{"family":"Scherer","given":"Laura"},{"family":"Marques","given":"Alexandra"},{"family":"Michelsen","given":"Ottar"},{"family":"Barbarossa","given":"Valerio"},{"family":"Jaffe","given":"Benjamin"},{"family":"Pfister","given":"Stephan"},{"family":"Dorber","given":"Martin"}],"issued":{"date-parts":[["2022",9,1]]}}}],"schema":"https://github.com/citation-style-language/schema/raw/master/csl-citation.json"} </w:instrText>
      </w:r>
      <w:r w:rsidR="004B4E92">
        <w:rPr>
          <w:sz w:val="22"/>
        </w:rPr>
        <w:fldChar w:fldCharType="separate"/>
      </w:r>
      <w:r w:rsidR="00844949" w:rsidRPr="00844949">
        <w:rPr>
          <w:kern w:val="0"/>
          <w:sz w:val="22"/>
          <w:vertAlign w:val="superscript"/>
        </w:rPr>
        <w:t>56</w:t>
      </w:r>
      <w:r w:rsidR="004B4E92">
        <w:rPr>
          <w:sz w:val="22"/>
        </w:rPr>
        <w:fldChar w:fldCharType="end"/>
      </w:r>
      <w:r w:rsidR="00994097">
        <w:rPr>
          <w:sz w:val="22"/>
        </w:rPr>
        <w:t xml:space="preserve"> </w:t>
      </w:r>
      <w:bookmarkStart w:id="5" w:name="OLE_LINK14"/>
      <w:r w:rsidR="00F973E2" w:rsidRPr="000B7482">
        <w:rPr>
          <w:color w:val="000000" w:themeColor="text1"/>
        </w:rPr>
        <w:t xml:space="preserve">We </w:t>
      </w:r>
      <w:r w:rsidR="00F973E2" w:rsidRPr="000B7482">
        <w:rPr>
          <w:color w:val="000000" w:themeColor="text1"/>
        </w:rPr>
        <w:lastRenderedPageBreak/>
        <w:t>selected renewable energy infrastructure that had been constructed and maintained by 2015 and multiplied their land occupation area by the global pdf to estimate the resulting biodiversity loss.</w:t>
      </w:r>
      <w:r w:rsidR="00791ABE" w:rsidRPr="000B7482">
        <w:rPr>
          <w:color w:val="000000" w:themeColor="text1"/>
          <w:szCs w:val="32"/>
        </w:rPr>
        <w:t xml:space="preserve"> </w:t>
      </w:r>
      <w:r w:rsidR="00F973E2" w:rsidRPr="00F973E2">
        <w:rPr>
          <w:color w:val="000000" w:themeColor="text1"/>
        </w:rPr>
        <w:t>In the future scenario simulations, we follow a similar assumption that the expansion of renewable energy infrastructure between 2015 and 2060 occurs</w:t>
      </w:r>
      <w:r w:rsidR="00F973E2" w:rsidRPr="000B7482">
        <w:rPr>
          <w:color w:val="000000" w:themeColor="text1"/>
        </w:rPr>
        <w:t xml:space="preserve"> gradually</w:t>
      </w:r>
      <w:r w:rsidR="00F973E2" w:rsidRPr="00F973E2">
        <w:rPr>
          <w:color w:val="000000" w:themeColor="text1"/>
        </w:rPr>
        <w:t xml:space="preserve"> in five-year increments</w:t>
      </w:r>
      <w:r w:rsidR="00F973E2" w:rsidRPr="000B7482">
        <w:rPr>
          <w:color w:val="000000" w:themeColor="text1"/>
        </w:rPr>
        <w:t xml:space="preserve">. We multiply global pdf by the area of different land-use types occupied by renewable energy infrastructure to obtain the biodiversity loss. In detail, the area of solar </w:t>
      </w:r>
      <w:r w:rsidR="00F973E2" w:rsidRPr="008948E8">
        <w:t>photovoltaic</w:t>
      </w:r>
      <w:r w:rsidR="00F973E2" w:rsidRPr="000B7482">
        <w:rPr>
          <w:color w:val="000000" w:themeColor="text1"/>
        </w:rPr>
        <w:t xml:space="preserve"> was defined as the land directly occupied by the solar </w:t>
      </w:r>
      <w:r w:rsidR="00F973E2" w:rsidRPr="008948E8">
        <w:t>photovoltaic</w:t>
      </w:r>
      <w:r w:rsidR="00F973E2" w:rsidRPr="000B7482">
        <w:rPr>
          <w:color w:val="000000" w:themeColor="text1"/>
        </w:rPr>
        <w:t xml:space="preserve"> panels (i.e., the installation’s geodesic area), excluding the space used for associated auxiliary facilities. The area of wind farms included the land occupied by the wind turbines themselves and the impact area (buffered by 800 m) required to meet power generation needs. The area of reservoirs refers to the land inundation due to rising water levels in reservoirs from 1985 to 2015. For more details on assumptions and calculations, see Supplementary Information-2, 3, 4 and 5</w:t>
      </w:r>
      <w:r w:rsidR="00F973E2" w:rsidRPr="00F45DF9">
        <w:rPr>
          <w:color w:val="000000" w:themeColor="text1"/>
        </w:rPr>
        <w:t>.</w:t>
      </w:r>
    </w:p>
    <w:bookmarkEnd w:id="5"/>
    <w:p w14:paraId="41800F06" w14:textId="5EE1F02B" w:rsidR="00044FF4" w:rsidRPr="00D56A55" w:rsidRDefault="00044FF4" w:rsidP="00044FF4">
      <w:pPr>
        <w:spacing w:line="360" w:lineRule="auto"/>
        <w:rPr>
          <w:b/>
          <w:bCs/>
          <w:szCs w:val="32"/>
        </w:rPr>
      </w:pPr>
      <w:r w:rsidRPr="00D56A55">
        <w:rPr>
          <w:b/>
          <w:bCs/>
          <w:szCs w:val="32"/>
        </w:rPr>
        <w:t xml:space="preserve">2.2 </w:t>
      </w:r>
      <w:r w:rsidR="00810ACC" w:rsidRPr="00D56A55">
        <w:rPr>
          <w:rFonts w:hint="eastAsia"/>
          <w:b/>
          <w:bCs/>
          <w:szCs w:val="32"/>
        </w:rPr>
        <w:t>Identifying</w:t>
      </w:r>
      <w:r w:rsidR="002E4A8D" w:rsidRPr="00D56A55">
        <w:rPr>
          <w:b/>
          <w:bCs/>
          <w:szCs w:val="32"/>
        </w:rPr>
        <w:t xml:space="preserve"> biodiversity loss responsibility</w:t>
      </w:r>
      <w:r w:rsidR="00C5499F">
        <w:rPr>
          <w:rFonts w:hint="eastAsia"/>
          <w:b/>
          <w:bCs/>
          <w:szCs w:val="32"/>
        </w:rPr>
        <w:t xml:space="preserve"> in different</w:t>
      </w:r>
      <w:r w:rsidRPr="00D56A55">
        <w:rPr>
          <w:b/>
          <w:bCs/>
          <w:szCs w:val="32"/>
        </w:rPr>
        <w:t xml:space="preserve"> </w:t>
      </w:r>
      <w:r w:rsidR="00C5499F" w:rsidRPr="00C5499F">
        <w:rPr>
          <w:rFonts w:hint="eastAsia"/>
          <w:b/>
          <w:bCs/>
          <w:szCs w:val="32"/>
        </w:rPr>
        <w:t>future trajectories</w:t>
      </w:r>
    </w:p>
    <w:p w14:paraId="46288E7B" w14:textId="34CE2C6E" w:rsidR="00044FF4" w:rsidRPr="00D56A55" w:rsidRDefault="00044FF4" w:rsidP="008B4A4A">
      <w:pPr>
        <w:spacing w:line="360" w:lineRule="auto"/>
        <w:ind w:firstLine="420"/>
      </w:pPr>
      <w:r w:rsidRPr="00D56A55">
        <w:rPr>
          <w:szCs w:val="32"/>
        </w:rPr>
        <w:t>The MRIO elucidates the interlink</w:t>
      </w:r>
      <w:r w:rsidR="00810ACC" w:rsidRPr="00D56A55">
        <w:rPr>
          <w:rFonts w:hint="eastAsia"/>
          <w:szCs w:val="32"/>
        </w:rPr>
        <w:t>age</w:t>
      </w:r>
      <w:r w:rsidRPr="00D56A55">
        <w:rPr>
          <w:szCs w:val="32"/>
        </w:rPr>
        <w:t xml:space="preserve">s </w:t>
      </w:r>
      <w:r w:rsidR="00810ACC" w:rsidRPr="00D56A55">
        <w:rPr>
          <w:rFonts w:hint="eastAsia"/>
          <w:szCs w:val="32"/>
        </w:rPr>
        <w:t>between different</w:t>
      </w:r>
      <w:r w:rsidRPr="00D56A55">
        <w:rPr>
          <w:szCs w:val="32"/>
        </w:rPr>
        <w:t xml:space="preserve"> sectors</w:t>
      </w:r>
      <w:r w:rsidR="00810ACC" w:rsidRPr="00D56A55">
        <w:rPr>
          <w:rFonts w:hint="eastAsia"/>
          <w:szCs w:val="32"/>
        </w:rPr>
        <w:t xml:space="preserve"> of the economy</w:t>
      </w:r>
      <w:r w:rsidRPr="00D56A55">
        <w:rPr>
          <w:szCs w:val="32"/>
        </w:rPr>
        <w:t xml:space="preserve"> by monitoring the equilibrium of material or monetary transactions across </w:t>
      </w:r>
      <w:r w:rsidR="0043521B" w:rsidRPr="00D56A55">
        <w:rPr>
          <w:szCs w:val="32"/>
        </w:rPr>
        <w:t xml:space="preserve">countries </w:t>
      </w:r>
      <w:r w:rsidRPr="00D56A55">
        <w:rPr>
          <w:szCs w:val="32"/>
        </w:rPr>
        <w:t>and sectors</w:t>
      </w:r>
      <w:r w:rsidR="003E3D2F" w:rsidRPr="00D56A55">
        <w:rPr>
          <w:szCs w:val="32"/>
        </w:rPr>
        <w:t>.</w:t>
      </w:r>
      <w:r w:rsidRPr="00D56A55">
        <w:rPr>
          <w:szCs w:val="32"/>
        </w:rPr>
        <w:fldChar w:fldCharType="begin"/>
      </w:r>
      <w:r w:rsidR="00A43A89">
        <w:rPr>
          <w:szCs w:val="32"/>
        </w:rPr>
        <w:instrText xml:space="preserve"> ADDIN ZOTERO_ITEM CSL_CITATION {"citationID":"X8N8anjQ","properties":{"formattedCitation":"\\super 44,57,58\\nosupersub{}","plainCitation":"44,57,58","noteIndex":0},"citationItems":[{"id":510,"uris":["http://zotero.org/users/9110477/items/VVHKKB3I"],"itemData":{"id":510,"type":"article-journal","abstract":"Soil erosion on cropland is a result of the interaction between nature and human activities. The socioeconomic influencing factors of soil erosion have been less studied than the biophysical processes and previous studies have mainly focused on the impacts of local socioeconomic factors on soil erosion in the same region. However, since agricultural activities are densely connected to other socio-economic activities, the need for agricultural products from distant regions could potentially drive local soil erosion accompanying agricultural production. To the best of our knowledge, these telecoupling effects have not been studied. Here, we combined the Revised Universal Soil Loss Equation (RUSLE) and multiregional input-output analysis (MRIO) models to quantify the contribution of China’s cross-provincial economic demand to local soil erosion at the provincial, sectoral, and supply chain levels. Our results show that a large amount of soil erosion in the southwest, northeast, and central regions is linked to the economic needs across provinces. Agriculture and food processing are the most important distant driving sectors. The driving effect of household consumption on soil erosion mainly occurs on shorter supply chains, while exports and capital formation drive soil erosion through longer chains. Our results indicate that local soil erosion management must consider the impact of distant agricultural product needs and coordinate food production and supply on a national scale to protect the ecological function of the land.","call-number":"1","container-title":"Journal of Environmental Management","DOI":"10.1016/j.jenvman.2021.112395","ISSN":"03014797","journalAbbreviation":"Journal of Environmental Management","language":"en","note":"TLDR: The results show that a large amount of soil erosion in the southwest, northeast, and central regions is linked to the economic needs across provinces, and local soil erosion management must consider the impact of distant agricultural product needs and coordinate food production and supply on a national scale to protect the ecological function of the land.","page":"112395","source":"8.7","title":"Telecoupling cropland soil erosion with distant drivers within China","volume":"288","author":[{"family":"Wang","given":"Zhen"},{"family":"Zeng","given":"Yi"},{"family":"Li","given":"Cai"},{"family":"Yan","given":"Hua"},{"family":"Yu","given":"Shuxia"},{"family":"Wang","given":"Ling"},{"family":"Shi","given":"Zhihua"}],"issued":{"date-parts":[["2021",6]]}},"label":"page"},{"id":486,"uris":["http://zotero.org/users/9110477/items/TZXSEWTG"],"itemData":{"id":486,"type":"article-journal","abstract":"Cropland soil erosion is a major threat to global agricultural sustainability. Compared with the well-studied natural factors of soil erosion, socioeconomic factors have just begun to be considered. The major obstacle is that the soil erosion of different crops has not been accounted for and connected to socioeconomic activities. This study adopted the revised universal soil loss equation (RUSLE) and the environmentally extended multiregional input-output (EE-MRIO) model to account for soil erosion on cropland from the production, consumption, and income perspectives at the provincial and sectoral levels in China. The results showed the major responsible agents in a synthetic view. On the production side, the Yunnan-Kweichow Plateau and surrounding hills of the Sichuan Basin, the Chinese grain bases located in northeastern and central China, and the Loess Plateau were the major regions that caused the most cropland soil erosion. On the consumption side, the national final demand for Sichuan, Yunnan, Shandong, Henan, and other provinces with high production-based cropland soil erosion (PBE) values per se pulled remarkable cropland soil erosion. On the income side, the crucial provinces into which the national primary input enabled notable cropland soil erosion were still those areas with serious cropland soil erosion. From the industrial perspective, the direct effects of human primary inputs into agriculture and the demand for agricultural products played the dominant role. In addition, Cereal and BOP (beans, oil and potatoes) were the most important among the agricultural sectors. The effects of the nonagricultural sectors, especially the manufacture of foods and tobacco (MFT) and the chemical industry (CI), on cropland soil erosion also cannot be ignored. Our results indicated that accounting from multiple perspectives could inform the better management of cropland soil erosion from a more comprehensive perspective. To the best of our knowledge, this study is the first to consider the accounting of cropland soil erosion in China from multiple perspectives. Tailored packages of measures should be established based on different patterns of areas with serious cropland soil erosion.","container-title":"Agriculture, Ecosystems &amp; Environment","DOI":"10.1016/j.agee.2022.108083","ISSN":"01678809","journalAbbreviation":"Agriculture, Ecosystems &amp; Environment","language":"en","page":"108083","title":"Multiple perspective accountings of cropland soil erosion in China reveal its complex connection with socioeconomic activities","volume":"337","author":[{"family":"Li","given":"Keke"},{"family":"Wang","given":"Ling"},{"family":"Wang","given":"Zhen"},{"family":"Hu","given":"Yuanchao"},{"family":"Zeng","given":"Yi"},{"family":"Yan","given":"Hua"},{"family":"Xu","given":"Baodong"},{"family":"Li","given":"Cai"},{"family":"Cui","given":"Huwei"},{"family":"Yu","given":"Shuxia"},{"family":"Shi","given":"Zhihua"}],"issued":{"date-parts":[["2022",10]]}},"label":"page"},{"id":4253,"uris":["http://zotero.org/users/9110477/items/BXQLIPV7"],"itemData":{"id":4253,"type":"article-journal","call-number":"1","container-title":"Environmental Science &amp; Technology","DOI":"10.1021/acs.est.6b00985","ISSN":"0013-936X, 1520-5851","issue":"12","journalAbbreviation":"Environ. Sci. Technol.","language":"en","page":"6154-6163","source":"11.4","title":"Measuring Urban Carbon Footprint from Carbon Flows in the Global Supply Chain","volume":"50","author":[{"family":"Hu","given":"Yuanchao"},{"family":"Lin","given":"Jianyi"},{"family":"Cui","given":"Shenghui"},{"family":"Khanna","given":"Nina Zheng"}],"issued":{"date-parts":[["2016",6,21]]}},"label":"page"}],"schema":"https://github.com/citation-style-language/schema/raw/master/csl-citation.json"} </w:instrText>
      </w:r>
      <w:r w:rsidRPr="00D56A55">
        <w:rPr>
          <w:szCs w:val="32"/>
        </w:rPr>
        <w:fldChar w:fldCharType="separate"/>
      </w:r>
      <w:r w:rsidR="00844949" w:rsidRPr="00844949">
        <w:rPr>
          <w:kern w:val="0"/>
          <w:vertAlign w:val="superscript"/>
        </w:rPr>
        <w:t>44,57,58</w:t>
      </w:r>
      <w:r w:rsidRPr="00D56A55">
        <w:rPr>
          <w:szCs w:val="32"/>
        </w:rPr>
        <w:fldChar w:fldCharType="end"/>
      </w:r>
      <w:r w:rsidRPr="00D56A55">
        <w:rPr>
          <w:szCs w:val="32"/>
        </w:rPr>
        <w:t xml:space="preserve"> </w:t>
      </w:r>
      <w:r w:rsidR="008B4A4A">
        <w:rPr>
          <w:rFonts w:hint="eastAsia"/>
          <w:szCs w:val="32"/>
        </w:rPr>
        <w:t>W</w:t>
      </w:r>
      <w:r w:rsidR="008B4A4A" w:rsidRPr="00D56A55">
        <w:rPr>
          <w:szCs w:val="32"/>
        </w:rPr>
        <w:t>e sourced the 2015 global MRIO table from the EXIOBASE3 database, whi</w:t>
      </w:r>
      <w:r w:rsidR="008B4A4A" w:rsidRPr="00784CD2">
        <w:rPr>
          <w:szCs w:val="32"/>
        </w:rPr>
        <w:t>ch include</w:t>
      </w:r>
      <w:r w:rsidR="008B4A4A" w:rsidRPr="00784CD2">
        <w:rPr>
          <w:rFonts w:hint="eastAsia"/>
          <w:szCs w:val="32"/>
        </w:rPr>
        <w:t>s</w:t>
      </w:r>
      <w:r w:rsidR="008B4A4A" w:rsidRPr="00784CD2">
        <w:rPr>
          <w:szCs w:val="32"/>
        </w:rPr>
        <w:t xml:space="preserve"> 49 regions (44 countries and 5 rest of the world regions) and 163 industries.</w:t>
      </w:r>
      <w:r w:rsidR="00B166CB" w:rsidRPr="00784CD2">
        <w:rPr>
          <w:rFonts w:hint="eastAsia"/>
          <w:szCs w:val="32"/>
        </w:rPr>
        <w:t xml:space="preserve"> </w:t>
      </w:r>
      <w:r w:rsidR="008B4A4A" w:rsidRPr="00784CD2">
        <w:rPr>
          <w:szCs w:val="32"/>
        </w:rPr>
        <w:t>By integrating environmental satellite accounts,</w:t>
      </w:r>
      <w:r w:rsidR="008B4A4A" w:rsidRPr="00784CD2">
        <w:rPr>
          <w:rFonts w:hint="eastAsia"/>
          <w:szCs w:val="32"/>
        </w:rPr>
        <w:t xml:space="preserve"> t</w:t>
      </w:r>
      <w:r w:rsidRPr="00784CD2">
        <w:rPr>
          <w:szCs w:val="32"/>
        </w:rPr>
        <w:t xml:space="preserve">he </w:t>
      </w:r>
      <w:r w:rsidR="00BA557D" w:rsidRPr="00784CD2">
        <w:rPr>
          <w:szCs w:val="32"/>
        </w:rPr>
        <w:t xml:space="preserve">biodiversity loss </w:t>
      </w:r>
      <w:r w:rsidRPr="00784CD2">
        <w:rPr>
          <w:szCs w:val="32"/>
        </w:rPr>
        <w:t>impact</w:t>
      </w:r>
      <w:r w:rsidR="00752885" w:rsidRPr="00784CD2">
        <w:rPr>
          <w:rFonts w:hint="eastAsia"/>
          <w:szCs w:val="32"/>
        </w:rPr>
        <w:t>s</w:t>
      </w:r>
      <w:r w:rsidRPr="00784CD2">
        <w:rPr>
          <w:szCs w:val="32"/>
        </w:rPr>
        <w:t xml:space="preserve"> were </w:t>
      </w:r>
      <w:r w:rsidR="00251E1B" w:rsidRPr="00784CD2">
        <w:rPr>
          <w:szCs w:val="32"/>
        </w:rPr>
        <w:t>aggregated</w:t>
      </w:r>
      <w:r w:rsidRPr="00784CD2">
        <w:rPr>
          <w:szCs w:val="32"/>
        </w:rPr>
        <w:t xml:space="preserve"> at the national level</w:t>
      </w:r>
      <w:r w:rsidR="00BA557D" w:rsidRPr="00784CD2">
        <w:rPr>
          <w:szCs w:val="32"/>
        </w:rPr>
        <w:t xml:space="preserve"> to match the MRIO table</w:t>
      </w:r>
      <w:r w:rsidRPr="00784CD2">
        <w:rPr>
          <w:szCs w:val="32"/>
        </w:rPr>
        <w:t xml:space="preserve">. </w:t>
      </w:r>
      <w:bookmarkStart w:id="6" w:name="_Hlk180052437"/>
      <w:r w:rsidRPr="00784CD2">
        <w:rPr>
          <w:szCs w:val="32"/>
        </w:rPr>
        <w:t xml:space="preserve">As we </w:t>
      </w:r>
      <w:r w:rsidR="00C421A3" w:rsidRPr="00784CD2">
        <w:rPr>
          <w:szCs w:val="32"/>
        </w:rPr>
        <w:t>fo</w:t>
      </w:r>
      <w:r w:rsidR="00C421A3" w:rsidRPr="00D56A55">
        <w:t>cused on</w:t>
      </w:r>
      <w:r w:rsidRPr="00D56A55">
        <w:t xml:space="preserve"> </w:t>
      </w:r>
      <w:r w:rsidR="00BA557D" w:rsidRPr="00D56A55">
        <w:t>the impact</w:t>
      </w:r>
      <w:r w:rsidRPr="00D56A55">
        <w:t xml:space="preserve"> of </w:t>
      </w:r>
      <w:r w:rsidR="00FC75D7" w:rsidRPr="00D56A55">
        <w:t>renewable energy</w:t>
      </w:r>
      <w:r w:rsidRPr="00D56A55">
        <w:t xml:space="preserve"> infrastructure</w:t>
      </w:r>
      <w:r w:rsidR="00C421A3" w:rsidRPr="00D56A55">
        <w:t>/sectors</w:t>
      </w:r>
      <w:r w:rsidRPr="00D56A55">
        <w:t>, we follow the methods of</w:t>
      </w:r>
      <w:r w:rsidR="00512547">
        <w:rPr>
          <w:rFonts w:hint="eastAsia"/>
        </w:rPr>
        <w:t xml:space="preserve"> Wang et al.</w:t>
      </w:r>
      <w:r w:rsidR="00512547">
        <w:fldChar w:fldCharType="begin"/>
      </w:r>
      <w:r w:rsidR="00A43A89">
        <w:instrText xml:space="preserve"> ADDIN ZOTERO_ITEM CSL_CITATION {"citationID":"edKXKqP4","properties":{"formattedCitation":"\\super 44\\nosupersub{}","plainCitation":"44","noteIndex":0},"citationItems":[{"id":510,"uris":["http://zotero.org/users/9110477/items/VVHKKB3I"],"itemData":{"id":510,"type":"article-journal","abstract":"Soil erosion on cropland is a result of the interaction between nature and human activities. The socioeconomic influencing factors of soil erosion have been less studied than the biophysical processes and previous studies have mainly focused on the impacts of local socioeconomic factors on soil erosion in the same region. However, since agricultural activities are densely connected to other socio-economic activities, the need for agricultural products from distant regions could potentially drive local soil erosion accompanying agricultural production. To the best of our knowledge, these telecoupling effects have not been studied. Here, we combined the Revised Universal Soil Loss Equation (RUSLE) and multiregional input-output analysis (MRIO) models to quantify the contribution of China’s cross-provincial economic demand to local soil erosion at the provincial, sectoral, and supply chain levels. Our results show that a large amount of soil erosion in the southwest, northeast, and central regions is linked to the economic needs across provinces. Agriculture and food processing are the most important distant driving sectors. The driving effect of household consumption on soil erosion mainly occurs on shorter supply chains, while exports and capital formation drive soil erosion through longer chains. Our results indicate that local soil erosion management must consider the impact of distant agricultural product needs and coordinate food production and supply on a national scale to protect the ecological function of the land.","call-number":"1","container-title":"Journal of Environmental Management","DOI":"10.1016/j.jenvman.2021.112395","ISSN":"03014797","journalAbbreviation":"Journal of Environmental Management","language":"en","note":"TLDR: The results show that a large amount of soil erosion in the southwest, northeast, and central regions is linked to the economic needs across provinces, and local soil erosion management must consider the impact of distant agricultural product needs and coordinate food production and supply on a national scale to protect the ecological function of the land.","page":"112395","source":"8.7","title":"Telecoupling cropland soil erosion with distant drivers within China","volume":"288","author":[{"family":"Wang","given":"Zhen"},{"family":"Zeng","given":"Yi"},{"family":"Li","given":"Cai"},{"family":"Yan","given":"Hua"},{"family":"Yu","given":"Shuxia"},{"family":"Wang","given":"Ling"},{"family":"Shi","given":"Zhihua"}],"issued":{"date-parts":[["2021",6]]}}}],"schema":"https://github.com/citation-style-language/schema/raw/master/csl-citation.json"} </w:instrText>
      </w:r>
      <w:r w:rsidR="00512547">
        <w:fldChar w:fldCharType="separate"/>
      </w:r>
      <w:r w:rsidR="00844949" w:rsidRPr="00844949">
        <w:rPr>
          <w:kern w:val="0"/>
          <w:vertAlign w:val="superscript"/>
        </w:rPr>
        <w:t>44</w:t>
      </w:r>
      <w:r w:rsidR="00512547">
        <w:fldChar w:fldCharType="end"/>
      </w:r>
      <w:r w:rsidR="00512547">
        <w:rPr>
          <w:rFonts w:hint="eastAsia"/>
        </w:rPr>
        <w:t xml:space="preserve"> </w:t>
      </w:r>
      <w:r w:rsidRPr="00D56A55">
        <w:t xml:space="preserve">and </w:t>
      </w:r>
      <w:r w:rsidR="00512547">
        <w:rPr>
          <w:rFonts w:hint="eastAsia"/>
          <w:szCs w:val="32"/>
        </w:rPr>
        <w:t>Li et al.</w:t>
      </w:r>
      <w:r w:rsidR="00512547">
        <w:rPr>
          <w:szCs w:val="32"/>
        </w:rPr>
        <w:fldChar w:fldCharType="begin"/>
      </w:r>
      <w:r w:rsidR="00A43A89">
        <w:rPr>
          <w:szCs w:val="32"/>
        </w:rPr>
        <w:instrText xml:space="preserve"> ADDIN ZOTERO_ITEM CSL_CITATION {"citationID":"QN6YtDEY","properties":{"formattedCitation":"\\super 57\\nosupersub{}","plainCitation":"57","noteIndex":0},"citationItems":[{"id":486,"uris":["http://zotero.org/users/9110477/items/TZXSEWTG"],"itemData":{"id":486,"type":"article-journal","abstract":"Cropland soil erosion is a major threat to global agricultural sustainability. Compared with the well-studied natural factors of soil erosion, socioeconomic factors have just begun to be considered. The major obstacle is that the soil erosion of different crops has not been accounted for and connected to socioeconomic activities. This study adopted the revised universal soil loss equation (RUSLE) and the environmentally extended multiregional input-output (EE-MRIO) model to account for soil erosion on cropland from the production, consumption, and income perspectives at the provincial and sectoral levels in China. The results showed the major responsible agents in a synthetic view. On the production side, the Yunnan-Kweichow Plateau and surrounding hills of the Sichuan Basin, the Chinese grain bases located in northeastern and central China, and the Loess Plateau were the major regions that caused the most cropland soil erosion. On the consumption side, the national final demand for Sichuan, Yunnan, Shandong, Henan, and other provinces with high production-based cropland soil erosion (PBE) values per se pulled remarkable cropland soil erosion. On the income side, the crucial provinces into which the national primary input enabled notable cropland soil erosion were still those areas with serious cropland soil erosion. From the industrial perspective, the direct effects of human primary inputs into agriculture and the demand for agricultural products played the dominant role. In addition, Cereal and BOP (beans, oil and potatoes) were the most important among the agricultural sectors. The effects of the nonagricultural sectors, especially the manufacture of foods and tobacco (MFT) and the chemical industry (CI), on cropland soil erosion also cannot be ignored. Our results indicated that accounting from multiple perspectives could inform the better management of cropland soil erosion from a more comprehensive perspective. To the best of our knowledge, this study is the first to consider the accounting of cropland soil erosion in China from multiple perspectives. Tailored packages of measures should be established based on different patterns of areas with serious cropland soil erosion.","container-title":"Agriculture, Ecosystems &amp; Environment","DOI":"10.1016/j.agee.2022.108083","ISSN":"01678809","journalAbbreviation":"Agriculture, Ecosystems &amp; Environment","language":"en","page":"108083","title":"Multiple perspective accountings of cropland soil erosion in China reveal its complex connection with socioeconomic activities","volume":"337","author":[{"family":"Li","given":"Keke"},{"family":"Wang","given":"Ling"},{"family":"Wang","given":"Zhen"},{"family":"Hu","given":"Yuanchao"},{"family":"Zeng","given":"Yi"},{"family":"Yan","given":"Hua"},{"family":"Xu","given":"Baodong"},{"family":"Li","given":"Cai"},{"family":"Cui","given":"Huwei"},{"family":"Yu","given":"Shuxia"},{"family":"Shi","given":"Zhihua"}],"issued":{"date-parts":[["2022",10]]}}}],"schema":"https://github.com/citation-style-language/schema/raw/master/csl-citation.json"} </w:instrText>
      </w:r>
      <w:r w:rsidR="00512547">
        <w:rPr>
          <w:szCs w:val="32"/>
        </w:rPr>
        <w:fldChar w:fldCharType="separate"/>
      </w:r>
      <w:r w:rsidR="00844949" w:rsidRPr="00844949">
        <w:rPr>
          <w:kern w:val="0"/>
          <w:vertAlign w:val="superscript"/>
        </w:rPr>
        <w:t>57</w:t>
      </w:r>
      <w:r w:rsidR="00512547">
        <w:rPr>
          <w:szCs w:val="32"/>
        </w:rPr>
        <w:fldChar w:fldCharType="end"/>
      </w:r>
      <w:r w:rsidRPr="00D56A55">
        <w:t xml:space="preserve">, </w:t>
      </w:r>
      <w:r w:rsidR="00752885" w:rsidRPr="00D56A55">
        <w:rPr>
          <w:rFonts w:hint="eastAsia"/>
        </w:rPr>
        <w:t>setting</w:t>
      </w:r>
      <w:r w:rsidR="00752885" w:rsidRPr="00D56A55">
        <w:t xml:space="preserve"> biodiversity loss </w:t>
      </w:r>
      <w:r w:rsidR="00752885" w:rsidRPr="00D56A55">
        <w:rPr>
          <w:rFonts w:hint="eastAsia"/>
        </w:rPr>
        <w:t>of</w:t>
      </w:r>
      <w:r w:rsidR="00752885" w:rsidRPr="00D56A55">
        <w:t xml:space="preserve"> </w:t>
      </w:r>
      <w:r w:rsidRPr="00D56A55">
        <w:t xml:space="preserve">other sectors </w:t>
      </w:r>
      <w:r w:rsidR="00752885" w:rsidRPr="00D56A55">
        <w:rPr>
          <w:rFonts w:hint="eastAsia"/>
        </w:rPr>
        <w:t>to zero</w:t>
      </w:r>
      <w:r w:rsidR="00512547">
        <w:rPr>
          <w:rFonts w:hint="eastAsia"/>
        </w:rPr>
        <w:t xml:space="preserve"> (Fig. S1)</w:t>
      </w:r>
      <w:r w:rsidRPr="00D56A55">
        <w:t xml:space="preserve">. </w:t>
      </w:r>
      <w:bookmarkEnd w:id="6"/>
    </w:p>
    <w:p w14:paraId="6F7C6B65" w14:textId="0E863B3F" w:rsidR="00B166CB" w:rsidRPr="00784CD2" w:rsidRDefault="00C421A3" w:rsidP="00B166CB">
      <w:pPr>
        <w:spacing w:line="360" w:lineRule="auto"/>
        <w:ind w:firstLine="420"/>
      </w:pPr>
      <w:r w:rsidRPr="00D56A55">
        <w:t>W</w:t>
      </w:r>
      <w:r w:rsidR="00044FF4" w:rsidRPr="00D56A55">
        <w:t xml:space="preserve">e assess the impact of </w:t>
      </w:r>
      <w:r w:rsidR="00FC75D7" w:rsidRPr="00D56A55">
        <w:t>renewable energy</w:t>
      </w:r>
      <w:r w:rsidR="00044FF4" w:rsidRPr="00D56A55">
        <w:t xml:space="preserve"> infrastructure under different </w:t>
      </w:r>
      <w:r w:rsidR="009B733D" w:rsidRPr="00D56A55">
        <w:t xml:space="preserve">energy </w:t>
      </w:r>
      <w:r w:rsidR="00044FF4" w:rsidRPr="00D56A55">
        <w:t>transition trajectories</w:t>
      </w:r>
      <w:r w:rsidR="00044FF4" w:rsidRPr="00D56A55">
        <w:rPr>
          <w:szCs w:val="32"/>
        </w:rPr>
        <w:t xml:space="preserve"> follow</w:t>
      </w:r>
      <w:r w:rsidRPr="00D56A55">
        <w:rPr>
          <w:szCs w:val="32"/>
        </w:rPr>
        <w:t>ing</w:t>
      </w:r>
      <w:r w:rsidR="00044FF4" w:rsidRPr="00D56A55">
        <w:rPr>
          <w:szCs w:val="32"/>
        </w:rPr>
        <w:t xml:space="preserve"> the </w:t>
      </w:r>
      <w:r w:rsidR="00044FF4" w:rsidRPr="00D56A55">
        <w:t>ETP 2017</w:t>
      </w:r>
      <w:r w:rsidR="00D80BD8">
        <w:t xml:space="preserve"> by </w:t>
      </w:r>
      <w:r w:rsidR="00D80BD8" w:rsidRPr="00D56A55">
        <w:t>refer</w:t>
      </w:r>
      <w:r w:rsidR="00D80BD8">
        <w:t>ring</w:t>
      </w:r>
      <w:r w:rsidR="00D80BD8" w:rsidRPr="00D56A55">
        <w:t xml:space="preserve"> to the "Analytical Approach" by </w:t>
      </w:r>
      <w:r w:rsidR="00251E1B">
        <w:rPr>
          <w:rFonts w:hint="eastAsia"/>
        </w:rPr>
        <w:t>Li et al.</w:t>
      </w:r>
      <w:r w:rsidR="00251E1B">
        <w:fldChar w:fldCharType="begin"/>
      </w:r>
      <w:r w:rsidR="00A43A89">
        <w:instrText xml:space="preserve"> ADDIN ZOTERO_ITEM CSL_CITATION {"citationID":"MiFEKD5H","properties":{"formattedCitation":"\\super 59\\nosupersub{}","plainCitation":"59","noteIndex":0},"citationItems":[{"id":595,"uris":["http://zotero.org/users/9110477/items/CCJXJQ5I"],"itemData":{"id":595,"type":"article-journal","abstract":"There is building consensus that nonstate actors have the potential to drive more ambitious action toward climate targets than governments, thus driving the necessary transition to ensure that humanity remains within a safe operating space. These bottom-up mitigation activities, however, require individual targets on both direct and indirect (upstream) greenhouse gas (GHG) emissions in order to reconcile trade-oﬀs between global and local sustainability goals. Here we use a scenario-driven approach based on a global multiregional input−output (GMRIO) model to develop scope 3 emission reduction targets for individual economic sectors, comparable across countries and geographies. Under an ambitious carbon mitigation scenario for 2035 (that follows a trajectory of 1.75 °C total warming by 2100), global upstream scope 3 emission intensities need to be reduced by an additional 54% compared to a baseline scenario with reference technology. On a sectoral basis, this is equivalent to a 58−67% reduction in energy, transport, and materials, a 50− 52% reduction in manufacturing, services, and buildings, and a 39% reduction in agriculture, forestry, and other land use. By aligning indirect supply chain targets with ambitious carbon mitigation scenarios, our approach can be used by nonstate actors to set actionable scope 3 targets and to build climate-compatible business models.","call-number":"1","container-title":"Environmental Science &amp; Technology","DOI":"10.1021/acs.est.9b05245","ISSN":"0013-936X, 1520-5851","issue":"1","journalAbbreviation":"Environ. Sci. Technol.","language":"en","note":"TLDR: By aligning indirect supply chain targets with ambitious carbon mitigation scenarios, this approach can be used by non-state actors to set actionable scope 3 targets and to build climate-compatible business models.","page":"400-411","source":"11.4","title":"Enabling Full Supply Chain Corporate Responsibility: Scope 3 Emissions Targets for Ambitious Climate Change Mitigation","title-short":"Enabling Full Supply Chain Corporate Responsibility","volume":"54","author":[{"family":"Li","given":"Mo"},{"family":"Wiedmann","given":"Thomas"},{"family":"Hadjikakou","given":"Michalis"}],"issued":{"date-parts":[["2020",1,7]]}}}],"schema":"https://github.com/citation-style-language/schema/raw/master/csl-citation.json"} </w:instrText>
      </w:r>
      <w:r w:rsidR="00251E1B">
        <w:fldChar w:fldCharType="separate"/>
      </w:r>
      <w:r w:rsidR="00844949" w:rsidRPr="00844949">
        <w:rPr>
          <w:kern w:val="0"/>
          <w:vertAlign w:val="superscript"/>
        </w:rPr>
        <w:t>59</w:t>
      </w:r>
      <w:r w:rsidR="00251E1B">
        <w:fldChar w:fldCharType="end"/>
      </w:r>
      <w:r w:rsidR="00251E1B">
        <w:rPr>
          <w:rFonts w:hint="eastAsia"/>
        </w:rPr>
        <w:t xml:space="preserve"> </w:t>
      </w:r>
      <w:r w:rsidR="00D80BD8" w:rsidRPr="00D56A55">
        <w:t>and</w:t>
      </w:r>
      <w:r w:rsidR="00251E1B">
        <w:rPr>
          <w:rFonts w:hint="eastAsia"/>
        </w:rPr>
        <w:t xml:space="preserve"> </w:t>
      </w:r>
      <w:r w:rsidR="00251E1B">
        <w:rPr>
          <w:rFonts w:hint="eastAsia"/>
          <w:szCs w:val="32"/>
        </w:rPr>
        <w:t>Malik et al.</w:t>
      </w:r>
      <w:r w:rsidR="00251E1B">
        <w:rPr>
          <w:szCs w:val="32"/>
        </w:rPr>
        <w:fldChar w:fldCharType="begin"/>
      </w:r>
      <w:r w:rsidR="00A43A89">
        <w:rPr>
          <w:szCs w:val="32"/>
        </w:rPr>
        <w:instrText xml:space="preserve"> ADDIN ZOTERO_ITEM CSL_CITATION {"citationID":"85pFcUfK","properties":{"formattedCitation":"\\super 60\\nosupersub{}","plainCitation":"60","noteIndex":0},"citationItems":[{"id":536,"uris":["http://zotero.org/users/9110477/items/RTXWLCN8"],"itemData":{"id":536,"type":"article-journal","abstract":"We investigate the economic and employment consequences of introducing a new sugarcane-based biofuel industry into Australia. We model the new biofuel industry on the production recipe of the existing large-scale gasoalcohol and alcohol sectors in the Brazilian economy. To this end we utilise a hybrid IO-LCA (input–output life cycle assessment) approach, which involves inserting data on new processes and/or sectors into an existing IO table. In particular, we develop and test an analytical and a numerical approach for re-balancing an IO table augmented with rows and columns representing large new biofuel industries. We quantify changes in economic output and employment in the Australian economy. We conclude that a future biofuel industry will be employment-positive for Australia.","call-number":"2","container-title":"Ecological Economics","DOI":"10.1016/j.ecolecon.2014.07.022","ISSN":"09218009","journalAbbreviation":"Ecological Economics","language":"en","note":"titleTranslation:","page":"84-93","source":"7","title":"Simulating the impact of new industries on the economy: The case of biorefining in Australia","title-short":"Simulating the impact of new industries on the economy","volume":"107","author":[{"family":"Malik","given":"Arunima"},{"family":"Lenzen","given":"Manfred"},{"family":"Ely","given":"Rômulo Neves"},{"family":"Dietzenbacher","given":"Erik"}],"issued":{"date-parts":[["2014",11]]}}}],"schema":"https://github.com/citation-style-language/schema/raw/master/csl-citation.json"} </w:instrText>
      </w:r>
      <w:r w:rsidR="00251E1B">
        <w:rPr>
          <w:szCs w:val="32"/>
        </w:rPr>
        <w:fldChar w:fldCharType="separate"/>
      </w:r>
      <w:r w:rsidR="00844949" w:rsidRPr="00844949">
        <w:rPr>
          <w:kern w:val="0"/>
          <w:vertAlign w:val="superscript"/>
        </w:rPr>
        <w:t>60</w:t>
      </w:r>
      <w:r w:rsidR="00251E1B">
        <w:rPr>
          <w:szCs w:val="32"/>
        </w:rPr>
        <w:fldChar w:fldCharType="end"/>
      </w:r>
      <w:r w:rsidR="00D80BD8" w:rsidRPr="00D56A55">
        <w:t xml:space="preserve">, a scenario-driven approach based on </w:t>
      </w:r>
      <w:r w:rsidR="00D80BD8" w:rsidRPr="00D56A55">
        <w:rPr>
          <w:rFonts w:hint="eastAsia"/>
        </w:rPr>
        <w:t xml:space="preserve">the </w:t>
      </w:r>
      <w:r w:rsidR="00D80BD8" w:rsidRPr="00D56A55">
        <w:t>MRIO model</w:t>
      </w:r>
      <w:r w:rsidRPr="00D56A55">
        <w:t>.</w:t>
      </w:r>
      <w:r w:rsidR="0060250A" w:rsidRPr="00D56A55">
        <w:t xml:space="preserve"> </w:t>
      </w:r>
      <w:r w:rsidR="00EE7028">
        <w:t>S</w:t>
      </w:r>
      <w:r w:rsidR="0060250A" w:rsidRPr="00D56A55">
        <w:t xml:space="preserve">cenarios cover the </w:t>
      </w:r>
      <w:r w:rsidR="00752885" w:rsidRPr="00D56A55">
        <w:rPr>
          <w:rFonts w:hint="eastAsia"/>
        </w:rPr>
        <w:t>period</w:t>
      </w:r>
      <w:r w:rsidR="0060250A" w:rsidRPr="00D56A55">
        <w:t xml:space="preserve"> 2014</w:t>
      </w:r>
      <w:r w:rsidR="00752885" w:rsidRPr="00D56A55">
        <w:rPr>
          <w:rFonts w:hint="eastAsia"/>
        </w:rPr>
        <w:t>-</w:t>
      </w:r>
      <w:r w:rsidR="0060250A" w:rsidRPr="00D56A55">
        <w:t xml:space="preserve">2060, with updates every </w:t>
      </w:r>
      <w:r w:rsidR="004403C0" w:rsidRPr="00D56A55">
        <w:t>5</w:t>
      </w:r>
      <w:r w:rsidR="0060250A" w:rsidRPr="00D56A55">
        <w:t xml:space="preserve"> years</w:t>
      </w:r>
      <w:r w:rsidR="00C72D36">
        <w:t>.</w:t>
      </w:r>
      <w:r w:rsidR="008B4A4A">
        <w:rPr>
          <w:rFonts w:hint="eastAsia"/>
        </w:rPr>
        <w:t xml:space="preserve"> </w:t>
      </w:r>
      <w:r w:rsidR="00B166CB" w:rsidRPr="00B166CB">
        <w:t xml:space="preserve">Through </w:t>
      </w:r>
      <w:r w:rsidR="00B166CB">
        <w:rPr>
          <w:rFonts w:hint="eastAsia"/>
        </w:rPr>
        <w:t>this</w:t>
      </w:r>
      <w:r w:rsidR="00B166CB" w:rsidRPr="00B166CB">
        <w:t xml:space="preserve"> approach, we could </w:t>
      </w:r>
      <w:r w:rsidR="00B166CB" w:rsidRPr="00784CD2">
        <w:rPr>
          <w:rFonts w:hint="eastAsia"/>
        </w:rPr>
        <w:t>highlight</w:t>
      </w:r>
      <w:r w:rsidR="00B166CB" w:rsidRPr="00784CD2">
        <w:t xml:space="preserve"> the differ</w:t>
      </w:r>
      <w:r w:rsidR="00B166CB" w:rsidRPr="00784CD2">
        <w:rPr>
          <w:rFonts w:hint="eastAsia"/>
        </w:rPr>
        <w:t>ent</w:t>
      </w:r>
      <w:r w:rsidR="00B166CB" w:rsidRPr="00784CD2">
        <w:t xml:space="preserve"> impacts </w:t>
      </w:r>
      <w:r w:rsidR="00B166CB" w:rsidRPr="00784CD2">
        <w:rPr>
          <w:rFonts w:hint="eastAsia"/>
        </w:rPr>
        <w:t>of</w:t>
      </w:r>
      <w:r w:rsidR="00B166CB" w:rsidRPr="00784CD2">
        <w:t xml:space="preserve"> </w:t>
      </w:r>
      <w:r w:rsidR="00B166CB" w:rsidRPr="00784CD2">
        <w:rPr>
          <w:rFonts w:hint="eastAsia"/>
        </w:rPr>
        <w:t xml:space="preserve">energy transition </w:t>
      </w:r>
      <w:r w:rsidR="00B166CB" w:rsidRPr="00784CD2">
        <w:t xml:space="preserve">developmental </w:t>
      </w:r>
      <w:r w:rsidR="00B166CB" w:rsidRPr="00784CD2">
        <w:rPr>
          <w:rFonts w:hint="eastAsia"/>
        </w:rPr>
        <w:lastRenderedPageBreak/>
        <w:t>trajectories</w:t>
      </w:r>
      <w:r w:rsidR="00157FCA" w:rsidRPr="00784CD2">
        <w:rPr>
          <w:rFonts w:hint="eastAsia"/>
        </w:rPr>
        <w:t xml:space="preserve"> (see </w:t>
      </w:r>
      <w:r w:rsidR="003E5B13">
        <w:rPr>
          <w:rFonts w:hint="eastAsia"/>
        </w:rPr>
        <w:t>Supplementary Information</w:t>
      </w:r>
      <w:r w:rsidR="00784CD2" w:rsidRPr="00784CD2">
        <w:rPr>
          <w:rFonts w:hint="eastAsia"/>
        </w:rPr>
        <w:t>-</w:t>
      </w:r>
      <w:r w:rsidR="00AF3F24">
        <w:rPr>
          <w:rFonts w:hint="eastAsia"/>
        </w:rPr>
        <w:t>2</w:t>
      </w:r>
      <w:r w:rsidR="00157FCA" w:rsidRPr="00784CD2">
        <w:rPr>
          <w:rFonts w:hint="eastAsia"/>
        </w:rPr>
        <w:t>)</w:t>
      </w:r>
      <w:r w:rsidR="00B166CB" w:rsidRPr="00784CD2">
        <w:rPr>
          <w:rFonts w:hint="eastAsia"/>
        </w:rPr>
        <w:t>.</w:t>
      </w:r>
      <w:r w:rsidR="00E208EB" w:rsidRPr="00784CD2">
        <w:rPr>
          <w:rFonts w:hint="eastAsia"/>
        </w:rPr>
        <w:t xml:space="preserve"> </w:t>
      </w:r>
      <w:r w:rsidR="00E208EB" w:rsidRPr="00D56A55">
        <w:t xml:space="preserve">Our </w:t>
      </w:r>
      <w:r w:rsidR="00E208EB" w:rsidRPr="00D56A55">
        <w:rPr>
          <w:rFonts w:hint="eastAsia"/>
        </w:rPr>
        <w:t>study</w:t>
      </w:r>
      <w:r w:rsidR="00E208EB" w:rsidRPr="00D56A55">
        <w:t xml:space="preserve"> </w:t>
      </w:r>
      <w:r w:rsidR="00E208EB">
        <w:rPr>
          <w:rFonts w:hint="eastAsia"/>
        </w:rPr>
        <w:t xml:space="preserve">also </w:t>
      </w:r>
      <w:r w:rsidR="00E208EB" w:rsidRPr="00D56A55">
        <w:t>has several limitations</w:t>
      </w:r>
      <w:r w:rsidR="00E208EB">
        <w:rPr>
          <w:rFonts w:hint="eastAsia"/>
        </w:rPr>
        <w:t xml:space="preserve">, see </w:t>
      </w:r>
      <w:r w:rsidR="00E208EB" w:rsidRPr="00784CD2">
        <w:rPr>
          <w:rFonts w:hint="eastAsia"/>
        </w:rPr>
        <w:t xml:space="preserve">more details in </w:t>
      </w:r>
      <w:r w:rsidR="003E5B13">
        <w:rPr>
          <w:rFonts w:hint="eastAsia"/>
        </w:rPr>
        <w:t>Supplementary Information</w:t>
      </w:r>
      <w:r w:rsidR="00784CD2" w:rsidRPr="00784CD2">
        <w:rPr>
          <w:rFonts w:hint="eastAsia"/>
        </w:rPr>
        <w:t>-</w:t>
      </w:r>
      <w:r w:rsidR="00E208EB" w:rsidRPr="00784CD2">
        <w:rPr>
          <w:rFonts w:hint="eastAsia"/>
        </w:rPr>
        <w:t>1</w:t>
      </w:r>
      <w:r w:rsidR="007D1C84">
        <w:rPr>
          <w:rFonts w:hint="eastAsia"/>
        </w:rPr>
        <w:t>4</w:t>
      </w:r>
      <w:r w:rsidR="00E208EB" w:rsidRPr="00D56A55">
        <w:t>.</w:t>
      </w:r>
    </w:p>
    <w:p w14:paraId="534A6E17" w14:textId="77777777" w:rsidR="00B166CB" w:rsidRDefault="00B166CB" w:rsidP="00044FF4">
      <w:pPr>
        <w:spacing w:line="360" w:lineRule="auto"/>
      </w:pPr>
    </w:p>
    <w:p w14:paraId="090FF215" w14:textId="7B825D83" w:rsidR="00044FF4" w:rsidRPr="00D56A55" w:rsidRDefault="00044FF4" w:rsidP="00044FF4">
      <w:pPr>
        <w:spacing w:line="360" w:lineRule="auto"/>
        <w:rPr>
          <w:b/>
          <w:bCs/>
        </w:rPr>
      </w:pPr>
      <w:r w:rsidRPr="00D56A55">
        <w:rPr>
          <w:b/>
          <w:bCs/>
        </w:rPr>
        <w:t>3 Result</w:t>
      </w:r>
    </w:p>
    <w:p w14:paraId="43C6D23E" w14:textId="353F0B43" w:rsidR="00044FF4" w:rsidRPr="00D56A55" w:rsidRDefault="00044FF4" w:rsidP="00044FF4">
      <w:pPr>
        <w:spacing w:line="360" w:lineRule="auto"/>
        <w:rPr>
          <w:b/>
          <w:bCs/>
        </w:rPr>
      </w:pPr>
      <w:r w:rsidRPr="00D56A55">
        <w:rPr>
          <w:b/>
          <w:bCs/>
        </w:rPr>
        <w:t>3.1</w:t>
      </w:r>
      <w:r w:rsidR="00636FA5">
        <w:rPr>
          <w:rFonts w:hint="eastAsia"/>
          <w:b/>
          <w:bCs/>
        </w:rPr>
        <w:t xml:space="preserve"> B</w:t>
      </w:r>
      <w:r w:rsidRPr="00D56A55">
        <w:rPr>
          <w:b/>
          <w:bCs/>
        </w:rPr>
        <w:t xml:space="preserve">iodiversity </w:t>
      </w:r>
      <w:r w:rsidR="009B4A7E" w:rsidRPr="00D56A55">
        <w:rPr>
          <w:rFonts w:hint="eastAsia"/>
          <w:b/>
          <w:bCs/>
        </w:rPr>
        <w:t>lo</w:t>
      </w:r>
      <w:r w:rsidR="009B4A7E" w:rsidRPr="00D56A55">
        <w:rPr>
          <w:b/>
          <w:bCs/>
        </w:rPr>
        <w:t>ss</w:t>
      </w:r>
      <w:r w:rsidRPr="00D56A55">
        <w:rPr>
          <w:b/>
          <w:bCs/>
        </w:rPr>
        <w:t xml:space="preserve"> </w:t>
      </w:r>
      <w:r w:rsidR="00636FA5">
        <w:rPr>
          <w:rFonts w:hint="eastAsia"/>
          <w:b/>
          <w:bCs/>
        </w:rPr>
        <w:t>associated with land occupation of</w:t>
      </w:r>
      <w:r w:rsidRPr="00D56A55">
        <w:rPr>
          <w:b/>
          <w:bCs/>
        </w:rPr>
        <w:t xml:space="preserve"> </w:t>
      </w:r>
      <w:r w:rsidR="00FC75D7" w:rsidRPr="00D56A55">
        <w:rPr>
          <w:b/>
          <w:bCs/>
        </w:rPr>
        <w:t>renewable energy</w:t>
      </w:r>
      <w:r w:rsidRPr="00D56A55">
        <w:rPr>
          <w:b/>
          <w:bCs/>
        </w:rPr>
        <w:t xml:space="preserve"> </w:t>
      </w:r>
      <w:r w:rsidRPr="00D56A55">
        <w:rPr>
          <w:rFonts w:hint="eastAsia"/>
          <w:b/>
          <w:bCs/>
        </w:rPr>
        <w:t>infrastructure</w:t>
      </w:r>
    </w:p>
    <w:p w14:paraId="73DEB987" w14:textId="163C45EB" w:rsidR="00C47506" w:rsidRPr="00D56A55" w:rsidRDefault="00044FF4" w:rsidP="00044FF4">
      <w:pPr>
        <w:spacing w:line="360" w:lineRule="auto"/>
        <w:ind w:firstLine="420"/>
      </w:pPr>
      <w:r w:rsidRPr="00D56A55">
        <w:t xml:space="preserve">We quantified the impact of global </w:t>
      </w:r>
      <w:r w:rsidR="00FC75D7" w:rsidRPr="00D56A55">
        <w:t>renewable energy</w:t>
      </w:r>
      <w:r w:rsidR="00EB5709" w:rsidRPr="00D56A55">
        <w:t xml:space="preserve"> infrastructure</w:t>
      </w:r>
      <w:r w:rsidRPr="00D56A55">
        <w:t xml:space="preserve"> on four terrestrial </w:t>
      </w:r>
      <w:r w:rsidR="00DB4BCE">
        <w:t>an</w:t>
      </w:r>
      <w:r w:rsidR="00CA0F9E">
        <w:t>imal</w:t>
      </w:r>
      <w:r w:rsidR="00C034C0">
        <w:t xml:space="preserve"> groups:</w:t>
      </w:r>
      <w:r w:rsidRPr="00D56A55">
        <w:t xml:space="preserve"> mammals, birds, amphibians, and reptiles. </w:t>
      </w:r>
      <w:r w:rsidR="00C034C0">
        <w:t>B</w:t>
      </w:r>
      <w:r w:rsidR="00C034C0" w:rsidRPr="00D56A55">
        <w:rPr>
          <w:rFonts w:hint="eastAsia"/>
        </w:rPr>
        <w:t>y</w:t>
      </w:r>
      <w:r w:rsidR="00C034C0" w:rsidRPr="00D56A55">
        <w:t xml:space="preserve"> 2015</w:t>
      </w:r>
      <w:r w:rsidR="00C034C0">
        <w:t>, the g</w:t>
      </w:r>
      <w:r w:rsidR="002D5E4C" w:rsidRPr="00D56A55">
        <w:t xml:space="preserve">lobal </w:t>
      </w:r>
      <w:r w:rsidRPr="00D56A55">
        <w:t xml:space="preserve">expansion of </w:t>
      </w:r>
      <w:r w:rsidR="00FC75D7" w:rsidRPr="00D56A55">
        <w:t>renewable energy</w:t>
      </w:r>
      <w:r w:rsidRPr="00D56A55">
        <w:t xml:space="preserve"> infrastructure resulted in potential </w:t>
      </w:r>
      <w:r w:rsidR="006B6F8E" w:rsidRPr="00D56A55">
        <w:t>biodiversity</w:t>
      </w:r>
      <w:r w:rsidR="00F725D0" w:rsidRPr="00D56A55">
        <w:t xml:space="preserve"> </w:t>
      </w:r>
      <w:r w:rsidR="008F681D" w:rsidRPr="00D56A55">
        <w:t xml:space="preserve">loss </w:t>
      </w:r>
      <w:r w:rsidR="00840AFD">
        <w:t xml:space="preserve">of </w:t>
      </w:r>
      <w:r w:rsidR="00F725D0" w:rsidRPr="00D56A55">
        <w:t>four species</w:t>
      </w:r>
      <w:r w:rsidR="007D6919" w:rsidRPr="00D56A55">
        <w:rPr>
          <w:rFonts w:hint="eastAsia"/>
        </w:rPr>
        <w:t xml:space="preserve"> </w:t>
      </w:r>
      <w:r w:rsidR="007D6919" w:rsidRPr="00D56A55">
        <w:rPr>
          <w:rFonts w:hint="eastAsia"/>
          <w:szCs w:val="32"/>
        </w:rPr>
        <w:t>groups</w:t>
      </w:r>
      <w:r w:rsidRPr="00D56A55">
        <w:t xml:space="preserve"> </w:t>
      </w:r>
      <w:r w:rsidR="001F6202">
        <w:rPr>
          <w:rFonts w:hint="eastAsia"/>
        </w:rPr>
        <w:t>by</w:t>
      </w:r>
      <w:r w:rsidR="001F6202" w:rsidRPr="00D56A55">
        <w:t xml:space="preserve"> </w:t>
      </w:r>
      <m:oMath>
        <m:r>
          <m:rPr>
            <m:sty m:val="p"/>
          </m:rPr>
          <w:rPr>
            <w:rFonts w:ascii="Cambria Math" w:hAnsi="Cambria Math"/>
          </w:rPr>
          <m:t>4.0×1</m:t>
        </m:r>
        <m:sSup>
          <m:sSupPr>
            <m:ctrlPr>
              <w:rPr>
                <w:rFonts w:ascii="Cambria Math" w:hAnsi="Cambria Math"/>
              </w:rPr>
            </m:ctrlPr>
          </m:sSupPr>
          <m:e>
            <m:r>
              <m:rPr>
                <m:sty m:val="p"/>
              </m:rPr>
              <w:rPr>
                <w:rFonts w:ascii="Cambria Math" w:hAnsi="Cambria Math"/>
              </w:rPr>
              <m:t>0</m:t>
            </m:r>
          </m:e>
          <m:sup>
            <m:r>
              <m:rPr>
                <m:sty m:val="p"/>
              </m:rPr>
              <w:rPr>
                <w:rFonts w:ascii="Cambria Math" w:hAnsi="Cambria Math"/>
              </w:rPr>
              <m:t>-4</m:t>
            </m:r>
          </m:sup>
        </m:sSup>
      </m:oMath>
      <w:r w:rsidR="001F6202">
        <w:rPr>
          <w:rFonts w:hint="eastAsia"/>
        </w:rPr>
        <w:t xml:space="preserve">(mammals), </w:t>
      </w:r>
      <m:oMath>
        <m:r>
          <m:rPr>
            <m:sty m:val="p"/>
          </m:rPr>
          <w:rPr>
            <w:rFonts w:ascii="Cambria Math" w:hAnsi="Cambria Math"/>
          </w:rPr>
          <m:t>4.</m:t>
        </m:r>
        <m:r>
          <w:rPr>
            <w:rFonts w:ascii="Cambria Math" w:hAnsi="Cambria Math"/>
          </w:rPr>
          <m:t>5</m:t>
        </m:r>
        <m:r>
          <m:rPr>
            <m:sty m:val="p"/>
          </m:rPr>
          <w:rPr>
            <w:rFonts w:ascii="Cambria Math" w:hAnsi="Cambria Math"/>
          </w:rPr>
          <m:t>×1</m:t>
        </m:r>
        <m:sSup>
          <m:sSupPr>
            <m:ctrlPr>
              <w:rPr>
                <w:rFonts w:ascii="Cambria Math" w:hAnsi="Cambria Math"/>
              </w:rPr>
            </m:ctrlPr>
          </m:sSupPr>
          <m:e>
            <m:r>
              <m:rPr>
                <m:sty m:val="p"/>
              </m:rPr>
              <w:rPr>
                <w:rFonts w:ascii="Cambria Math" w:hAnsi="Cambria Math"/>
              </w:rPr>
              <m:t>0</m:t>
            </m:r>
          </m:e>
          <m:sup>
            <m:r>
              <m:rPr>
                <m:sty m:val="p"/>
              </m:rPr>
              <w:rPr>
                <w:rFonts w:ascii="Cambria Math" w:hAnsi="Cambria Math"/>
              </w:rPr>
              <m:t>-</m:t>
            </m:r>
            <m:r>
              <w:rPr>
                <w:rFonts w:ascii="Cambria Math" w:hAnsi="Cambria Math"/>
              </w:rPr>
              <m:t>4</m:t>
            </m:r>
          </m:sup>
        </m:sSup>
      </m:oMath>
      <w:r w:rsidR="001F6202">
        <w:rPr>
          <w:rFonts w:hint="eastAsia"/>
        </w:rPr>
        <w:t xml:space="preserve">(birds), </w:t>
      </w:r>
      <m:oMath>
        <m:r>
          <m:rPr>
            <m:sty m:val="p"/>
          </m:rPr>
          <w:rPr>
            <w:rFonts w:ascii="Cambria Math" w:hAnsi="Cambria Math"/>
          </w:rPr>
          <m:t>5.</m:t>
        </m:r>
        <m:r>
          <w:rPr>
            <w:rFonts w:ascii="Cambria Math" w:hAnsi="Cambria Math"/>
          </w:rPr>
          <m:t>1</m:t>
        </m:r>
        <m:r>
          <m:rPr>
            <m:sty m:val="p"/>
          </m:rPr>
          <w:rPr>
            <w:rFonts w:ascii="Cambria Math" w:hAnsi="Cambria Math"/>
          </w:rPr>
          <m:t>×1</m:t>
        </m:r>
        <m:sSup>
          <m:sSupPr>
            <m:ctrlPr>
              <w:rPr>
                <w:rFonts w:ascii="Cambria Math" w:hAnsi="Cambria Math"/>
              </w:rPr>
            </m:ctrlPr>
          </m:sSupPr>
          <m:e>
            <m:r>
              <m:rPr>
                <m:sty m:val="p"/>
              </m:rPr>
              <w:rPr>
                <w:rFonts w:ascii="Cambria Math" w:hAnsi="Cambria Math"/>
              </w:rPr>
              <m:t>0</m:t>
            </m:r>
          </m:e>
          <m:sup>
            <m:r>
              <m:rPr>
                <m:sty m:val="p"/>
              </m:rPr>
              <w:rPr>
                <w:rFonts w:ascii="Cambria Math" w:hAnsi="Cambria Math"/>
              </w:rPr>
              <m:t>-4</m:t>
            </m:r>
          </m:sup>
        </m:sSup>
      </m:oMath>
      <w:r w:rsidR="001F6202">
        <w:rPr>
          <w:rFonts w:hint="eastAsia"/>
        </w:rPr>
        <w:t xml:space="preserve">(amphibians), and </w:t>
      </w:r>
      <m:oMath>
        <m:r>
          <m:rPr>
            <m:sty m:val="p"/>
          </m:rPr>
          <w:rPr>
            <w:rFonts w:ascii="Cambria Math" w:hAnsi="Cambria Math"/>
          </w:rPr>
          <m:t>5.</m:t>
        </m:r>
        <m:r>
          <w:rPr>
            <w:rFonts w:ascii="Cambria Math" w:hAnsi="Cambria Math"/>
          </w:rPr>
          <m:t>2</m:t>
        </m:r>
        <m:r>
          <m:rPr>
            <m:sty m:val="p"/>
          </m:rPr>
          <w:rPr>
            <w:rFonts w:ascii="Cambria Math" w:hAnsi="Cambria Math"/>
          </w:rPr>
          <m:t>×1</m:t>
        </m:r>
        <m:sSup>
          <m:sSupPr>
            <m:ctrlPr>
              <w:rPr>
                <w:rFonts w:ascii="Cambria Math" w:hAnsi="Cambria Math"/>
              </w:rPr>
            </m:ctrlPr>
          </m:sSupPr>
          <m:e>
            <m:r>
              <m:rPr>
                <m:sty m:val="p"/>
              </m:rPr>
              <w:rPr>
                <w:rFonts w:ascii="Cambria Math" w:hAnsi="Cambria Math"/>
              </w:rPr>
              <m:t>0</m:t>
            </m:r>
          </m:e>
          <m:sup>
            <m:r>
              <m:rPr>
                <m:sty m:val="p"/>
              </m:rPr>
              <w:rPr>
                <w:rFonts w:ascii="Cambria Math" w:hAnsi="Cambria Math"/>
              </w:rPr>
              <m:t>-4</m:t>
            </m:r>
          </m:sup>
        </m:sSup>
      </m:oMath>
      <w:r w:rsidR="001F6202">
        <w:rPr>
          <w:rFonts w:hint="eastAsia"/>
        </w:rPr>
        <w:t xml:space="preserve">(reptiles) </w:t>
      </w:r>
      <w:r w:rsidR="008A0FDF">
        <w:rPr>
          <w:rFonts w:hint="eastAsia"/>
        </w:rPr>
        <w:t>global pdf</w:t>
      </w:r>
      <w:r w:rsidR="00905651" w:rsidRPr="00D56A55" w:rsidDel="00905651">
        <w:t xml:space="preserve"> </w:t>
      </w:r>
      <w:r w:rsidR="009D6DFF" w:rsidRPr="00D56A55">
        <w:t>(Fig. 1)</w:t>
      </w:r>
      <w:r w:rsidRPr="00D56A55">
        <w:t xml:space="preserve">. </w:t>
      </w:r>
      <w:r w:rsidR="00840AFD">
        <w:t>C</w:t>
      </w:r>
      <w:r w:rsidR="0043521B" w:rsidRPr="00D56A55">
        <w:t xml:space="preserve">ountries </w:t>
      </w:r>
      <w:r w:rsidR="008F681D" w:rsidRPr="00D56A55">
        <w:rPr>
          <w:rFonts w:hint="eastAsia"/>
        </w:rPr>
        <w:t>with</w:t>
      </w:r>
      <w:r w:rsidRPr="00D56A55">
        <w:t xml:space="preserve"> </w:t>
      </w:r>
      <w:r w:rsidR="002B2D6A">
        <w:t>substantial</w:t>
      </w:r>
      <w:r w:rsidR="002B2D6A" w:rsidRPr="00D56A55" w:rsidDel="002B2D6A">
        <w:t xml:space="preserve"> </w:t>
      </w:r>
      <w:r w:rsidRPr="00D56A55">
        <w:t xml:space="preserve">biodiversity loss </w:t>
      </w:r>
      <w:r w:rsidR="003372DF" w:rsidRPr="00D56A55">
        <w:rPr>
          <w:rFonts w:hint="eastAsia"/>
        </w:rPr>
        <w:t>are</w:t>
      </w:r>
      <w:r w:rsidRPr="00D56A55">
        <w:t xml:space="preserve"> mostly </w:t>
      </w:r>
      <w:r w:rsidR="008F681D" w:rsidRPr="00D56A55">
        <w:rPr>
          <w:rFonts w:hint="eastAsia"/>
        </w:rPr>
        <w:t>densely</w:t>
      </w:r>
      <w:r w:rsidR="008F681D" w:rsidRPr="00D56A55">
        <w:t xml:space="preserve"> </w:t>
      </w:r>
      <w:r w:rsidRPr="00D56A55">
        <w:t xml:space="preserve">populated and economically advanced, including China, the United States, Brazil, India, Australia, </w:t>
      </w:r>
      <w:r w:rsidR="009B44A5">
        <w:rPr>
          <w:rFonts w:hint="eastAsia"/>
        </w:rPr>
        <w:t xml:space="preserve">Japan, </w:t>
      </w:r>
      <w:r w:rsidRPr="00D56A55">
        <w:t xml:space="preserve">Russia, and </w:t>
      </w:r>
      <w:r w:rsidR="002B2D6A">
        <w:rPr>
          <w:rFonts w:hint="eastAsia"/>
        </w:rPr>
        <w:t>c</w:t>
      </w:r>
      <w:r w:rsidR="00F87501">
        <w:rPr>
          <w:rFonts w:hint="eastAsia"/>
        </w:rPr>
        <w:t>o</w:t>
      </w:r>
      <w:r w:rsidR="00F87501">
        <w:t>untries across</w:t>
      </w:r>
      <w:r w:rsidR="00F87501" w:rsidRPr="00D56A55">
        <w:t xml:space="preserve"> </w:t>
      </w:r>
      <w:r w:rsidRPr="00D56A55">
        <w:t xml:space="preserve">Western Europe. </w:t>
      </w:r>
      <w:r w:rsidR="009D6DFF" w:rsidRPr="009D6DFF">
        <w:t>These countries have widespread renewable energy infrastructure, with portions located in Key Biodiversity Areas</w:t>
      </w:r>
      <w:r w:rsidRPr="00D56A55">
        <w:t xml:space="preserve"> (KBAs)</w:t>
      </w:r>
      <w:r w:rsidR="003E3D2F" w:rsidRPr="00D56A55">
        <w:t>.</w:t>
      </w:r>
      <w:r w:rsidRPr="00D56A55">
        <w:fldChar w:fldCharType="begin"/>
      </w:r>
      <w:r w:rsidR="00A43A89">
        <w:instrText xml:space="preserve"> ADDIN ZOTERO_ITEM CSL_CITATION {"citationID":"GBayxeny","properties":{"formattedCitation":"\\super 24,61\\uc0\\u8211{}63\\nosupersub{}","plainCitation":"24,61–63","noteIndex":0},"citationItems":[{"id":702,"uris":["http://zotero.org/users/9110477/items/WIV7SKIQ"],"itemData":{"id":702,"type":"article-journal","abstract":"Of all the renewable energy sources (RESs)―except direct solar heat and light―wind energy is believed to have the least adverse environmental impacts. It is also one of the RES which has become economically affordable much before several other RESs have. As a result, next to biomass (and excluding large hydro), wind energy is the RES being most extensively tapped by the world at present. Despite carrying the drawback of intermittency, wind energy has found favor due to its perceived twin virtues of relatively lesser production cost and environment-friendliness.","container-title":"Renewable and Sustainable Energy Reviews","DOI":"10.1016/j.rser.2013.11.019","ISSN":"13640321","journalAbbreviation":"Renewable and Sustainable Energy Reviews","language":"en","page":"270-288","title":"Wind energy: Increasing deployment, rising environmental concerns","title-short":"Wind energy","volume":"31","author":[{"literal":"Tabassum-Abbasi"},{"family":"Premalatha","given":"M."},{"family":"Abbasi","given":"Tasneem"},{"family":"Abbasi","given":"S.A."}],"issued":{"date-parts":[["2014",3]]}},"label":"page"},{"id":543,"uris":["http://zotero.org/users/9110477/items/WTV5RLL6"],"itemData":{"id":543,"type":"article-journal","abstract":"Both developed and developing countries have committed to reduce their emissions through the increased use of renewable energy. This paper aims to compare renewable energy deployment in developed and developing countries represented by Australia and China. The paper ﬁrstly argues the validity of comparison of renewable energy deployment in Australia and China. Then, the governance structures in both countries are compared; the paper also compares management mechanisms in terms of funding and incentive support, renewable energy grid-connection and coordination between different levels of governments in both countries. Moreover, the current status of renewable energy development in two countries is summarized. From the study, it can be concluded both countries have set a Renewable Energy Target and promulgated legislation and regulations to enlarge the scale of renewable energy; China shows a stronger commitment to renewable energy than Australia. However, Renewable Energy Certiﬁcate mechanism is implemented more effectively in Australia than in China. The paper suggests: augmenting and rebuilding the electricity network and strengthening coordination between different levels of governments for both countries; enhancing manufacturing facilities and incentives for the solar and wind industry for Australia, while developing more-detailed implementation legislation and renewable power quota system for China.","call-number":"1","container-title":"Renewable Energy","DOI":"10.1016/j.renene.2015.07.060","ISSN":"09601481","journalAbbreviation":"Renewable Energy","language":"en","page":"1044-1051","source":"8.7","title":"Development of renewable energy in Australia and China: A comparison of policies and status","title-short":"Development of renewable energy in Australia and China","volume":"85","author":[{"family":"Hua","given":"Yaping"},{"family":"Oliphant","given":"Monica"},{"family":"Hu","given":"Eric Jing"}],"issued":{"date-parts":[["2016",1]]}},"label":"page"},{"id":688,"uris":["http://zotero.org/users/9110477/items/5VSW3M2E"],"itemData":{"id":688,"type":"article-journal","abstract":"Renewable power (wind, solar, geothermal &amp; tidal power) is an unlimited source of energy that is generated by continuous regeneration. Renewable energy is distinguished by the fact that it may be obtained without causing environmental harm. Renewable resources have been discovered to have the capacity to provide answers to mankind's environmental challenges. India is the world's most populated nation, with higher energy consumption. Renewable power is one of the most important possibilities for obtaining this level of quality. Renewable energy now accounts for 37% of India's total energy consumption. Efforts have been taken in this article to highlight our country's existing and future renewable energy targets, as well as problems.","container-title":"International journal of health sciences","DOI":"10.53730/ijhs.v6nS3.6942","ISSN":"2550-696X, 2550-6978","journalAbbreviation":"ijhs","language":"en","page":"4727-4734","title":"Renewable energy as a key factor for sustainable development in India","author":[{"family":"Kumar","given":"Neeraj"},{"family":"Mewar","given":"OnKarnath"},{"family":"Tyagi","given":"Naina"},{"family":"Hi-Tech","given":"Shalu Tyagi"},{"family":"Kumar","given":"Ajay"}],"issued":{"date-parts":[["2022",5,4]]}},"label":"page"},{"id":3865,"uris":["http://zotero.org/users/9110477/items/9VHYMLXE"],"itemData":{"id":3865,"type":"article-journal","abstract":"The transition to low-carbon electricity is crucial for meeting global climate goals. However, given the uneven spatial distribution and temporal variability of renewable resources, balancing the supply and demand of electricity will be challenging when relying on close to 100% shares of renewable energy. Here, we use an electricity planning model with hourly supply-demand projections and high-resolution renewable resource maps, to examine whether transcontinental power pools reliably meet the growing global demand for renewable electricity and reduce the system cost. If all suitable sites for renewable energy are available for development, transcontinental trade in electricity reduces the annual system cost of electricity in 2050 by 5–52% across six transcontinental power pools compared to no electricity trade. Under land constraints, if only the global top 10% of suitable renewable energy sites are available, then without international trade, renewables are unable to meet 12% of global demand in 2050. Introducing transcontinental power pools with the same land constraints, however, enables renewables to meet 100% of future electricity demand, while also reducing costs by up to 23% across power pools. Our results highlight the benefits of expanding regional transmission networks in highly decarbonized but land-constrained future electricity systems.","call-number":"1","container-title":"Nature Communications","DOI":"10.1038/s41467-023-43723-z","ISSN":"2041-1723","issue":"1","journalAbbreviation":"Nat Commun","language":"en","license":"2023 The Author(s)","note":"number: 1\npublisher: Nature Publishing Group","page":"8350","source":"16.6","title":"Global transcontinental power pools for low-carbon electricity","volume":"14","author":[{"family":"Yang","given":"Haozhe"},{"family":"Deshmukh","given":"Ranjit"},{"family":"Suh","given":"Sangwon"}],"issued":{"date-parts":[["2023",12,15]]}},"label":"page"}],"schema":"https://github.com/citation-style-language/schema/raw/master/csl-citation.json"} </w:instrText>
      </w:r>
      <w:r w:rsidRPr="00D56A55">
        <w:fldChar w:fldCharType="separate"/>
      </w:r>
      <w:r w:rsidR="008B7B48" w:rsidRPr="008B7B48">
        <w:rPr>
          <w:rFonts w:eastAsiaTheme="minorEastAsia"/>
          <w:kern w:val="0"/>
          <w:szCs w:val="24"/>
          <w:vertAlign w:val="superscript"/>
          <w14:ligatures w14:val="none"/>
        </w:rPr>
        <w:t>24,61–63</w:t>
      </w:r>
      <w:r w:rsidRPr="00D56A55">
        <w:fldChar w:fldCharType="end"/>
      </w:r>
      <w:r w:rsidRPr="00D56A55">
        <w:t xml:space="preserve"> </w:t>
      </w:r>
      <w:r w:rsidR="00C47506" w:rsidRPr="00D56A55">
        <w:t>For</w:t>
      </w:r>
      <w:r w:rsidRPr="00D56A55">
        <w:t xml:space="preserve"> example, Russia has </w:t>
      </w:r>
      <w:r w:rsidR="002D5E4C" w:rsidRPr="00D56A55">
        <w:t xml:space="preserve">deployed </w:t>
      </w:r>
      <w:r w:rsidRPr="00D56A55">
        <w:t xml:space="preserve">8972.04 </w:t>
      </w:r>
      <w:r w:rsidRPr="00D56A55">
        <w:rPr>
          <w:rFonts w:hint="eastAsia"/>
        </w:rPr>
        <w:t>km</w:t>
      </w:r>
      <w:r w:rsidRPr="00D56A55">
        <w:rPr>
          <w:vertAlign w:val="superscript"/>
        </w:rPr>
        <w:t>2</w:t>
      </w:r>
      <w:r w:rsidRPr="00D56A55">
        <w:t xml:space="preserve"> of </w:t>
      </w:r>
      <w:r w:rsidR="00FC75D7" w:rsidRPr="00D56A55">
        <w:t>renewable energy</w:t>
      </w:r>
      <w:r w:rsidRPr="00D56A55">
        <w:t xml:space="preserve"> infrastructure in KBAs, </w:t>
      </w:r>
      <w:r w:rsidR="00C47506" w:rsidRPr="00D56A55">
        <w:t>followed by</w:t>
      </w:r>
      <w:r w:rsidRPr="00D56A55">
        <w:t xml:space="preserve"> China</w:t>
      </w:r>
      <w:r w:rsidR="009D6DFF">
        <w:rPr>
          <w:rFonts w:hint="eastAsia"/>
        </w:rPr>
        <w:t xml:space="preserve"> (</w:t>
      </w:r>
      <w:r w:rsidR="009D6DFF" w:rsidRPr="00D56A55">
        <w:t xml:space="preserve">5738 </w:t>
      </w:r>
      <w:r w:rsidR="009D6DFF" w:rsidRPr="00D56A55">
        <w:rPr>
          <w:rFonts w:hint="eastAsia"/>
        </w:rPr>
        <w:t>km</w:t>
      </w:r>
      <w:r w:rsidR="009D6DFF" w:rsidRPr="00D56A55">
        <w:rPr>
          <w:vertAlign w:val="superscript"/>
        </w:rPr>
        <w:t>2</w:t>
      </w:r>
      <w:r w:rsidR="009D6DFF">
        <w:rPr>
          <w:rFonts w:hint="eastAsia"/>
        </w:rPr>
        <w:t>)</w:t>
      </w:r>
      <w:r w:rsidR="00C47506" w:rsidRPr="00D56A55">
        <w:t>, India</w:t>
      </w:r>
      <w:r w:rsidR="009D6DFF">
        <w:rPr>
          <w:rFonts w:hint="eastAsia"/>
        </w:rPr>
        <w:t xml:space="preserve"> (</w:t>
      </w:r>
      <w:r w:rsidR="009D6DFF" w:rsidRPr="00D56A55">
        <w:t xml:space="preserve">3769 </w:t>
      </w:r>
      <w:r w:rsidR="009D6DFF" w:rsidRPr="00D56A55">
        <w:rPr>
          <w:rFonts w:hint="eastAsia"/>
        </w:rPr>
        <w:t>km</w:t>
      </w:r>
      <w:r w:rsidR="009D6DFF" w:rsidRPr="00D56A55">
        <w:rPr>
          <w:vertAlign w:val="superscript"/>
        </w:rPr>
        <w:t>2</w:t>
      </w:r>
      <w:r w:rsidR="009D6DFF">
        <w:rPr>
          <w:rFonts w:hint="eastAsia"/>
        </w:rPr>
        <w:t>)</w:t>
      </w:r>
      <w:r w:rsidR="00C47506" w:rsidRPr="00D56A55">
        <w:t>, and Venezuela</w:t>
      </w:r>
      <w:r w:rsidRPr="00D56A55">
        <w:t xml:space="preserve"> </w:t>
      </w:r>
      <w:r w:rsidR="009D6DFF">
        <w:rPr>
          <w:rFonts w:hint="eastAsia"/>
        </w:rPr>
        <w:t>(</w:t>
      </w:r>
      <w:r w:rsidR="009D6DFF" w:rsidRPr="00D56A55">
        <w:t xml:space="preserve">3610 </w:t>
      </w:r>
      <w:r w:rsidR="009D6DFF" w:rsidRPr="00D56A55">
        <w:rPr>
          <w:rFonts w:hint="eastAsia"/>
        </w:rPr>
        <w:t>km</w:t>
      </w:r>
      <w:r w:rsidR="009D6DFF" w:rsidRPr="00D56A55">
        <w:rPr>
          <w:vertAlign w:val="superscript"/>
        </w:rPr>
        <w:t>2</w:t>
      </w:r>
      <w:r w:rsidR="009D6DFF">
        <w:rPr>
          <w:rFonts w:hint="eastAsia"/>
        </w:rPr>
        <w:t>)</w:t>
      </w:r>
      <w:r w:rsidRPr="00D56A55">
        <w:t xml:space="preserve">. In contrast, </w:t>
      </w:r>
      <w:r w:rsidR="00161395">
        <w:t xml:space="preserve">countries in </w:t>
      </w:r>
      <w:r w:rsidRPr="00D56A55">
        <w:t xml:space="preserve">the Middle East, much of Africa, </w:t>
      </w:r>
      <w:r w:rsidR="002F59C1" w:rsidRPr="00D56A55">
        <w:t xml:space="preserve">low-latitude island </w:t>
      </w:r>
      <w:r w:rsidR="0043521B" w:rsidRPr="00D56A55">
        <w:t>countries</w:t>
      </w:r>
      <w:r w:rsidRPr="00D56A55">
        <w:t xml:space="preserve">, and Greenland </w:t>
      </w:r>
      <w:r w:rsidR="008F681D" w:rsidRPr="00D56A55">
        <w:rPr>
          <w:rFonts w:hint="eastAsia"/>
        </w:rPr>
        <w:t xml:space="preserve">have </w:t>
      </w:r>
      <w:r w:rsidR="008F681D" w:rsidRPr="00D56A55">
        <w:t>negligible impact</w:t>
      </w:r>
      <w:r w:rsidR="008F681D" w:rsidRPr="00D56A55">
        <w:rPr>
          <w:rFonts w:hint="eastAsia"/>
        </w:rPr>
        <w:t>s</w:t>
      </w:r>
      <w:r w:rsidR="008F681D" w:rsidRPr="00D56A55">
        <w:t xml:space="preserve"> </w:t>
      </w:r>
      <w:r w:rsidR="00C47506" w:rsidRPr="00D56A55">
        <w:t>due to</w:t>
      </w:r>
      <w:r w:rsidRPr="00D56A55">
        <w:t xml:space="preserve"> limited investment, inadequate technology, or </w:t>
      </w:r>
      <w:r w:rsidR="002D5E4C" w:rsidRPr="00D56A55">
        <w:t xml:space="preserve">the </w:t>
      </w:r>
      <w:r w:rsidRPr="00D56A55">
        <w:t xml:space="preserve">abundant availability of </w:t>
      </w:r>
      <w:r w:rsidR="008F681D" w:rsidRPr="00D56A55">
        <w:rPr>
          <w:rFonts w:hint="eastAsia"/>
        </w:rPr>
        <w:t>cheap</w:t>
      </w:r>
      <w:r w:rsidR="008F681D" w:rsidRPr="00D56A55">
        <w:t xml:space="preserve"> </w:t>
      </w:r>
      <w:r w:rsidRPr="00D56A55">
        <w:t xml:space="preserve">oil </w:t>
      </w:r>
      <w:r w:rsidR="001C6F6A" w:rsidRPr="00D56A55">
        <w:t>energy</w:t>
      </w:r>
      <w:r w:rsidR="003E3D2F" w:rsidRPr="00D56A55">
        <w:t>.</w:t>
      </w:r>
      <w:r w:rsidRPr="00D56A55">
        <w:fldChar w:fldCharType="begin"/>
      </w:r>
      <w:r w:rsidR="00A43A89">
        <w:instrText xml:space="preserve"> ADDIN ZOTERO_ITEM CSL_CITATION {"citationID":"Pkfrv9Kb","properties":{"formattedCitation":"\\super 64,65\\nosupersub{}","plainCitation":"64,65","noteIndex":0},"citationItems":[{"id":542,"uris":["http://zotero.org/users/9110477/items/C4TNTEE3"],"itemData":{"id":542,"type":"article-journal","abstract":"In an effort to diversify economies and reduce high oil dependency, the Gulf Cooperation Council (GCC) countries plan to increase the use of renewable energy sources to meet the challenges of a post-oil future. The Accession to the United Nations Framework Convention on Climate Change (UNFCCC) and the Kyoto Protocol, which require a commitment to reduce greenhouse gas emissions, has started a process of environmental awakening in the GCC countries. This paper reviews the publications on renewable energy with reference to the GCC countries since 2005. The objective was to investigate the beneﬁts of funding and investing in renewable energy projects in the GCC countries. The article shows that the GCC countries have begun to adopt a more pro-active approach toward renewable energy that will help progress the GCC countries towards sustainability. The reorientation of strategies and policies toward renewable energy is evolving in the GCC countries.","call-number":"1","container-title":"Journal of Cleaner Production","DOI":"10.1016/j.jclepro.2013.12.073","ISSN":"09596526","journalAbbreviation":"Journal of Cleaner Production","language":"en","page":"168-180","source":"11.1","title":"A review of progress in renewable energy implementation in the Gulf Cooperation Council countries","volume":"71","author":[{"family":"Bhutto","given":"Abdul Waheed"},{"family":"Bazmi","given":"Aqeel Ahmed"},{"family":"Zahedi","given":"Gholamreza"},{"family":"Klemeš","given":"Jiří Jarom</w:instrText>
      </w:r>
      <w:r w:rsidR="00A43A89">
        <w:rPr>
          <w:rFonts w:hint="eastAsia"/>
        </w:rPr>
        <w:instrText>í</w:instrText>
      </w:r>
      <w:r w:rsidR="00A43A89">
        <w:instrText xml:space="preserve">r"}],"issued":{"date-parts":[["2014",5]]}},"label":"page"},{"id":4068,"uris":["http://zotero.org/users/9110477/items/B7L3V2UY"],"itemData":{"id":4068,"type":"article-journal","call-number":"3","container-title":"Environmental Science and Pollution Research","DOI":"10.1007/s11356-019-05337-1","ISSN":"0944-1344, 1614-7499","issue":"20","journalAbbreviation":"Environ Sci Pollut Res","language":"en","page":"20798-20814","source":"5.8","title":"Renewable energy utilization to promote sustainability in GCC countries: policies, drivers, and barriers","title-short":"Renewable energy utilization to promote sustainability in GCC countries","volume":"26","author":[{"family":"Malik","given":"Karim"},{"family":"Rahman","given":"Syed Masiur"},{"family":"Khondaker","given":"Abu Nasser"},{"family":"Abubakar","given":"Ismaila Rimi"},{"family":"Aina","given":"Yusuf Adedoyin"},{"family":"Hasan","given":"Md Arif"}],"issued":{"date-parts":[["2019",7]]}},"label":"page"}],"schema":"https://github.com/citation-style-language/schema/raw/master/csl-citation.json"} </w:instrText>
      </w:r>
      <w:r w:rsidRPr="00D56A55">
        <w:fldChar w:fldCharType="separate"/>
      </w:r>
      <w:r w:rsidR="008B7B48" w:rsidRPr="008B7B48">
        <w:rPr>
          <w:rFonts w:eastAsiaTheme="minorEastAsia"/>
          <w:kern w:val="0"/>
          <w:szCs w:val="24"/>
          <w:vertAlign w:val="superscript"/>
          <w14:ligatures w14:val="none"/>
        </w:rPr>
        <w:t>64,</w:t>
      </w:r>
      <w:r w:rsidR="008B7B48" w:rsidRPr="00F45DF9">
        <w:rPr>
          <w:kern w:val="0"/>
          <w:vertAlign w:val="superscript"/>
          <w14:ligatures w14:val="none"/>
        </w:rPr>
        <w:t>65</w:t>
      </w:r>
      <w:r w:rsidRPr="00D56A55">
        <w:fldChar w:fldCharType="end"/>
      </w:r>
      <w:r w:rsidRPr="00D56A55">
        <w:t xml:space="preserve"> </w:t>
      </w:r>
    </w:p>
    <w:p w14:paraId="3D7C5A5B" w14:textId="2AC68EEC" w:rsidR="00044FF4" w:rsidRPr="00D56A55" w:rsidRDefault="0051376A" w:rsidP="00C034C0">
      <w:pPr>
        <w:spacing w:line="360" w:lineRule="auto"/>
        <w:ind w:firstLine="420"/>
      </w:pPr>
      <w:r w:rsidRPr="00D56A55">
        <w:t>For species</w:t>
      </w:r>
      <w:r w:rsidR="007D6919" w:rsidRPr="00D56A55">
        <w:rPr>
          <w:rFonts w:hint="eastAsia"/>
          <w:szCs w:val="32"/>
        </w:rPr>
        <w:t xml:space="preserve"> groups</w:t>
      </w:r>
      <w:r w:rsidRPr="00D56A55">
        <w:t>, t</w:t>
      </w:r>
      <w:r w:rsidR="00EF29D1" w:rsidRPr="00D56A55">
        <w:t>he impact</w:t>
      </w:r>
      <w:r w:rsidR="008F681D" w:rsidRPr="00D56A55">
        <w:rPr>
          <w:rFonts w:hint="eastAsia"/>
        </w:rPr>
        <w:t>s</w:t>
      </w:r>
      <w:r w:rsidR="00EF29D1" w:rsidRPr="00D56A55">
        <w:t xml:space="preserve"> of</w:t>
      </w:r>
      <w:r w:rsidR="00E674EE">
        <w:rPr>
          <w:rFonts w:hint="eastAsia"/>
        </w:rPr>
        <w:t xml:space="preserve"> land occupation of</w:t>
      </w:r>
      <w:r w:rsidR="00EF29D1" w:rsidRPr="00D56A55">
        <w:t xml:space="preserve"> </w:t>
      </w:r>
      <w:r w:rsidR="00FC75D7" w:rsidRPr="00D56A55">
        <w:t>renewable energy</w:t>
      </w:r>
      <w:r w:rsidR="00EF29D1" w:rsidRPr="00D56A55">
        <w:t xml:space="preserve"> infrastructure </w:t>
      </w:r>
      <w:r w:rsidR="005D1923">
        <w:rPr>
          <w:rFonts w:hint="eastAsia"/>
        </w:rPr>
        <w:t>generally</w:t>
      </w:r>
      <w:r w:rsidR="00EF29D1" w:rsidRPr="00D56A55">
        <w:t xml:space="preserve"> </w:t>
      </w:r>
      <w:r w:rsidR="00161395">
        <w:t xml:space="preserve">follow </w:t>
      </w:r>
      <w:r w:rsidR="002D5E4C" w:rsidRPr="00D56A55">
        <w:t>a similar</w:t>
      </w:r>
      <w:r w:rsidR="00EF29D1" w:rsidRPr="00D56A55">
        <w:t xml:space="preserve"> spatial distribution</w:t>
      </w:r>
      <w:r w:rsidR="00A77B9A" w:rsidRPr="00D56A55">
        <w:rPr>
          <w:rFonts w:hint="eastAsia"/>
        </w:rPr>
        <w:t>.</w:t>
      </w:r>
      <w:r w:rsidRPr="00D56A55">
        <w:t xml:space="preserve"> </w:t>
      </w:r>
      <w:r w:rsidR="00C034C0">
        <w:t>Countries of particular concern include China, Brazil, India, and the United States. Western European nations are experiencing significant mammalian biodiversity losses, while Russia and Canada are facing pronounced avian biodiversity losses</w:t>
      </w:r>
      <w:r w:rsidR="002D5E4C" w:rsidRPr="00D56A55">
        <w:t>.</w:t>
      </w:r>
      <w:r w:rsidR="002E3EE0" w:rsidRPr="00D56A55">
        <w:t xml:space="preserve"> </w:t>
      </w:r>
      <w:r w:rsidRPr="00D56A55">
        <w:rPr>
          <w:rFonts w:hint="eastAsia"/>
        </w:rPr>
        <w:t>Besides,</w:t>
      </w:r>
      <w:r w:rsidR="00145951" w:rsidRPr="00D56A55">
        <w:t xml:space="preserve"> </w:t>
      </w:r>
      <w:r w:rsidRPr="00D56A55">
        <w:t>t</w:t>
      </w:r>
      <w:r w:rsidR="00044FF4" w:rsidRPr="00D56A55">
        <w:t xml:space="preserve">he Malacca Strait, the Philippines, Ethiopia, and South Africa </w:t>
      </w:r>
      <w:r w:rsidR="00C034C0">
        <w:t>demonstrated notable</w:t>
      </w:r>
      <w:r w:rsidR="002D5E4C" w:rsidRPr="00D56A55">
        <w:t xml:space="preserve"> biodiversity loss of mammals and birds</w:t>
      </w:r>
      <w:r w:rsidR="00C75809">
        <w:rPr>
          <w:rFonts w:hint="eastAsia"/>
        </w:rPr>
        <w:t xml:space="preserve">. </w:t>
      </w:r>
      <w:r w:rsidR="00C75809" w:rsidRPr="00C75809">
        <w:t xml:space="preserve">Despite having relatively lower levels of renewable energy infrastructure, these low-latitude regions exhibit disproportionately high biodiversity </w:t>
      </w:r>
      <w:r w:rsidR="00C75809" w:rsidRPr="00C75809">
        <w:lastRenderedPageBreak/>
        <w:t>losses due to their rich biodiversity</w:t>
      </w:r>
      <w:r w:rsidR="00C75809">
        <w:rPr>
          <w:rFonts w:hint="eastAsia"/>
        </w:rPr>
        <w:t>.</w:t>
      </w:r>
    </w:p>
    <w:p w14:paraId="66A339FC" w14:textId="2AF1FA1A" w:rsidR="00044FF4" w:rsidRPr="0014291E" w:rsidRDefault="007F156C" w:rsidP="00044FF4">
      <w:pPr>
        <w:spacing w:line="360" w:lineRule="auto"/>
        <w:jc w:val="center"/>
      </w:pPr>
      <w:r>
        <w:rPr>
          <w:noProof/>
          <w14:ligatures w14:val="none"/>
        </w:rPr>
        <w:drawing>
          <wp:inline distT="0" distB="0" distL="0" distR="0" wp14:anchorId="201473D7" wp14:editId="785C0A85">
            <wp:extent cx="4460724" cy="2720687"/>
            <wp:effectExtent l="0" t="0" r="0" b="0"/>
            <wp:docPr id="7093124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31245" name="图片 7093124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479457" cy="2732112"/>
                    </a:xfrm>
                    <a:prstGeom prst="rect">
                      <a:avLst/>
                    </a:prstGeom>
                  </pic:spPr>
                </pic:pic>
              </a:graphicData>
            </a:graphic>
          </wp:inline>
        </w:drawing>
      </w:r>
    </w:p>
    <w:p w14:paraId="1BC52916" w14:textId="5BB98228" w:rsidR="004E5F71" w:rsidRPr="00D56A55" w:rsidRDefault="00044FF4" w:rsidP="00044FF4">
      <w:pPr>
        <w:spacing w:line="360" w:lineRule="auto"/>
        <w:rPr>
          <w:b/>
          <w:bCs/>
        </w:rPr>
      </w:pPr>
      <w:r w:rsidRPr="00D56A55">
        <w:rPr>
          <w:b/>
          <w:bCs/>
        </w:rPr>
        <w:t xml:space="preserve">Figure 1. Spatial distribution of the impacts of </w:t>
      </w:r>
      <w:r w:rsidR="00E674EE">
        <w:rPr>
          <w:rFonts w:hint="eastAsia"/>
          <w:b/>
          <w:bCs/>
        </w:rPr>
        <w:t xml:space="preserve">land occupation of </w:t>
      </w:r>
      <w:r w:rsidR="00FC75D7" w:rsidRPr="00D56A55">
        <w:rPr>
          <w:b/>
          <w:bCs/>
        </w:rPr>
        <w:t>renewable energy</w:t>
      </w:r>
      <w:r w:rsidR="00EB5709" w:rsidRPr="00D56A55">
        <w:rPr>
          <w:b/>
          <w:bCs/>
        </w:rPr>
        <w:t xml:space="preserve"> infrastructure</w:t>
      </w:r>
      <w:r w:rsidRPr="00D56A55">
        <w:rPr>
          <w:b/>
          <w:bCs/>
        </w:rPr>
        <w:t xml:space="preserve"> on mammals, birds, amphibians, and reptiles. Each row represents the impact of different </w:t>
      </w:r>
      <w:r w:rsidR="00FC75D7" w:rsidRPr="00D56A55">
        <w:rPr>
          <w:b/>
          <w:bCs/>
        </w:rPr>
        <w:t>renewable energy</w:t>
      </w:r>
      <w:r w:rsidR="00EB5709" w:rsidRPr="00D56A55">
        <w:rPr>
          <w:b/>
          <w:bCs/>
        </w:rPr>
        <w:t xml:space="preserve"> infrastructure</w:t>
      </w:r>
      <w:r w:rsidRPr="00D56A55">
        <w:rPr>
          <w:b/>
          <w:bCs/>
        </w:rPr>
        <w:t xml:space="preserve"> on the same species</w:t>
      </w:r>
      <w:r w:rsidR="007D6919" w:rsidRPr="00D56A55">
        <w:rPr>
          <w:rFonts w:hint="eastAsia"/>
          <w:b/>
          <w:bCs/>
        </w:rPr>
        <w:t xml:space="preserve"> </w:t>
      </w:r>
      <w:r w:rsidR="007D6919" w:rsidRPr="00D56A55">
        <w:rPr>
          <w:b/>
          <w:bCs/>
          <w:szCs w:val="32"/>
        </w:rPr>
        <w:t>group</w:t>
      </w:r>
      <w:r w:rsidRPr="00D56A55">
        <w:rPr>
          <w:b/>
          <w:bCs/>
        </w:rPr>
        <w:t xml:space="preserve">, while each column represents the impact of the same </w:t>
      </w:r>
      <w:r w:rsidR="00FC75D7" w:rsidRPr="00D56A55">
        <w:rPr>
          <w:b/>
          <w:bCs/>
        </w:rPr>
        <w:t>renewable energy</w:t>
      </w:r>
      <w:r w:rsidRPr="00D56A55">
        <w:rPr>
          <w:b/>
          <w:bCs/>
        </w:rPr>
        <w:t xml:space="preserve"> facility on different species</w:t>
      </w:r>
      <w:r w:rsidR="007D6919" w:rsidRPr="00D56A55">
        <w:rPr>
          <w:rFonts w:hint="eastAsia"/>
          <w:b/>
          <w:bCs/>
        </w:rPr>
        <w:t xml:space="preserve"> </w:t>
      </w:r>
      <w:r w:rsidR="007D6919" w:rsidRPr="00D56A55">
        <w:rPr>
          <w:b/>
          <w:bCs/>
          <w:szCs w:val="32"/>
        </w:rPr>
        <w:t>group</w:t>
      </w:r>
      <w:r w:rsidR="007751CB">
        <w:rPr>
          <w:b/>
          <w:bCs/>
          <w:szCs w:val="32"/>
        </w:rPr>
        <w:t>s</w:t>
      </w:r>
      <w:r w:rsidRPr="00D56A55">
        <w:rPr>
          <w:b/>
          <w:bCs/>
        </w:rPr>
        <w:t>.</w:t>
      </w:r>
      <w:r w:rsidR="008C74DC" w:rsidRPr="00D56A55">
        <w:rPr>
          <w:b/>
          <w:bCs/>
        </w:rPr>
        <w:t xml:space="preserve"> </w:t>
      </w:r>
    </w:p>
    <w:p w14:paraId="67ABB286" w14:textId="7FAE8710" w:rsidR="00D16A44" w:rsidRPr="00D16A44" w:rsidRDefault="001F56A9" w:rsidP="008E5EE0">
      <w:pPr>
        <w:spacing w:line="360" w:lineRule="auto"/>
        <w:ind w:firstLine="420"/>
      </w:pPr>
      <w:r w:rsidRPr="00D56A55">
        <w:t xml:space="preserve"> </w:t>
      </w:r>
      <w:r w:rsidR="008948E8" w:rsidRPr="008948E8">
        <w:t>The results indicate</w:t>
      </w:r>
      <w:r w:rsidR="00C034C0">
        <w:rPr>
          <w:rFonts w:hint="eastAsia"/>
        </w:rPr>
        <w:t>d</w:t>
      </w:r>
      <w:r w:rsidR="008948E8" w:rsidRPr="008948E8">
        <w:t xml:space="preserve"> that amphibians and reptiles are the most affected by solar photovoltaic and wind farms, while reservoirs have a relatively uniform impact on four species</w:t>
      </w:r>
      <w:r w:rsidR="00F87EEE">
        <w:rPr>
          <w:rFonts w:hint="eastAsia"/>
        </w:rPr>
        <w:t>.</w:t>
      </w:r>
      <w:r w:rsidR="008948E8">
        <w:rPr>
          <w:rFonts w:hint="eastAsia"/>
        </w:rPr>
        <w:t xml:space="preserve"> </w:t>
      </w:r>
      <w:r w:rsidR="005D1D3E" w:rsidRPr="00D56A55">
        <w:t>Notably</w:t>
      </w:r>
      <w:r w:rsidR="00F71681" w:rsidRPr="00D56A55">
        <w:t>, in the United States</w:t>
      </w:r>
      <w:r w:rsidR="00044FF4" w:rsidRPr="00D56A55">
        <w:t xml:space="preserve">, the combined loss </w:t>
      </w:r>
      <w:r w:rsidR="00F71681" w:rsidRPr="00D56A55">
        <w:t xml:space="preserve">of </w:t>
      </w:r>
      <w:r w:rsidR="00044FF4" w:rsidRPr="00D56A55">
        <w:t xml:space="preserve">mammals and reptiles </w:t>
      </w:r>
      <w:r w:rsidR="00FA0104" w:rsidRPr="00D56A55">
        <w:rPr>
          <w:rFonts w:hint="eastAsia"/>
        </w:rPr>
        <w:t>due to</w:t>
      </w:r>
      <w:r w:rsidR="00044FF4" w:rsidRPr="00D56A55">
        <w:t xml:space="preserve"> </w:t>
      </w:r>
      <w:r w:rsidR="00B54C14" w:rsidRPr="00D56A55">
        <w:t>solar photovoltaic</w:t>
      </w:r>
      <w:r w:rsidR="00C7292D">
        <w:t>s</w:t>
      </w:r>
      <w:r w:rsidR="005D1D3E" w:rsidRPr="00D56A55">
        <w:t xml:space="preserve"> </w:t>
      </w:r>
      <w:r w:rsidR="00044FF4" w:rsidRPr="00D56A55">
        <w:t xml:space="preserve">is almost </w:t>
      </w:r>
      <w:r w:rsidR="00FA0104" w:rsidRPr="00D56A55">
        <w:t>equ</w:t>
      </w:r>
      <w:r w:rsidR="00FA0104" w:rsidRPr="00D56A55">
        <w:rPr>
          <w:rFonts w:hint="eastAsia"/>
        </w:rPr>
        <w:t>al</w:t>
      </w:r>
      <w:r w:rsidR="00FA0104" w:rsidRPr="00D56A55">
        <w:t xml:space="preserve"> </w:t>
      </w:r>
      <w:r w:rsidR="005D1D3E" w:rsidRPr="00D56A55">
        <w:t>to</w:t>
      </w:r>
      <w:r w:rsidR="00044FF4" w:rsidRPr="00D56A55">
        <w:t xml:space="preserve"> the loss </w:t>
      </w:r>
      <w:r w:rsidR="00F71681" w:rsidRPr="00D56A55">
        <w:t xml:space="preserve">of </w:t>
      </w:r>
      <w:r w:rsidR="00044FF4" w:rsidRPr="00D56A55">
        <w:t xml:space="preserve">birds (Fig. </w:t>
      </w:r>
      <w:r w:rsidR="005A3F43">
        <w:t>S</w:t>
      </w:r>
      <w:r w:rsidR="00AF3F24">
        <w:rPr>
          <w:rFonts w:hint="eastAsia"/>
        </w:rPr>
        <w:t>2</w:t>
      </w:r>
      <w:r w:rsidR="00044FF4" w:rsidRPr="00D56A55">
        <w:t xml:space="preserve">a). </w:t>
      </w:r>
      <w:r w:rsidR="00FA0104" w:rsidRPr="00D56A55">
        <w:rPr>
          <w:rFonts w:hint="eastAsia"/>
        </w:rPr>
        <w:t>For</w:t>
      </w:r>
      <w:r w:rsidR="00F71681" w:rsidRPr="00D56A55">
        <w:t xml:space="preserve"> w</w:t>
      </w:r>
      <w:r w:rsidR="00044FF4" w:rsidRPr="00D56A55">
        <w:t xml:space="preserve">ind farms (Fig. </w:t>
      </w:r>
      <w:r w:rsidR="005A3F43">
        <w:t>S</w:t>
      </w:r>
      <w:r w:rsidR="00AF3F24">
        <w:rPr>
          <w:rFonts w:hint="eastAsia"/>
        </w:rPr>
        <w:t>2</w:t>
      </w:r>
      <w:r w:rsidR="00044FF4" w:rsidRPr="00D56A55">
        <w:t>b)</w:t>
      </w:r>
      <w:r w:rsidR="00F71681" w:rsidRPr="00D56A55">
        <w:t>,</w:t>
      </w:r>
      <w:r w:rsidR="00044FF4" w:rsidRPr="00D56A55">
        <w:t xml:space="preserve"> India is the most affected</w:t>
      </w:r>
      <w:r w:rsidR="005D1D3E" w:rsidRPr="00D56A55">
        <w:t xml:space="preserve"> country</w:t>
      </w:r>
      <w:r w:rsidR="00044FF4" w:rsidRPr="00D56A55">
        <w:t xml:space="preserve">, followed by </w:t>
      </w:r>
      <w:r w:rsidR="008948E8">
        <w:rPr>
          <w:rFonts w:hint="eastAsia"/>
        </w:rPr>
        <w:t xml:space="preserve">China, </w:t>
      </w:r>
      <w:r w:rsidR="00044FF4" w:rsidRPr="00D56A55">
        <w:t xml:space="preserve">Brazil, </w:t>
      </w:r>
      <w:r w:rsidR="00537F88" w:rsidRPr="00D56A55">
        <w:t xml:space="preserve">and </w:t>
      </w:r>
      <w:r w:rsidR="00044FF4" w:rsidRPr="00D56A55">
        <w:t xml:space="preserve">the United States. </w:t>
      </w:r>
      <w:r w:rsidR="005D1D3E" w:rsidRPr="00D56A55">
        <w:t>It is worth noting that even</w:t>
      </w:r>
      <w:r w:rsidR="00044FF4" w:rsidRPr="00D56A55">
        <w:t xml:space="preserve"> </w:t>
      </w:r>
      <w:r w:rsidR="00E66092" w:rsidRPr="00D56A55">
        <w:t>countries</w:t>
      </w:r>
      <w:r w:rsidR="00044FF4" w:rsidRPr="00D56A55">
        <w:t xml:space="preserve"> with smaller wind farm</w:t>
      </w:r>
      <w:r w:rsidR="00537F88" w:rsidRPr="00D56A55">
        <w:t xml:space="preserve"> areas</w:t>
      </w:r>
      <w:r w:rsidR="00044FF4" w:rsidRPr="00D56A55">
        <w:t xml:space="preserve">, such as Costa Rica </w:t>
      </w:r>
      <w:bookmarkStart w:id="7" w:name="_Hlk150454669"/>
      <w:r w:rsidR="00044FF4" w:rsidRPr="00D56A55">
        <w:t>(</w:t>
      </w:r>
      <m:oMath>
        <m:r>
          <w:rPr>
            <w:rFonts w:ascii="Cambria Math" w:hAnsi="Cambria Math"/>
          </w:rPr>
          <m:t>1.4×1</m:t>
        </m:r>
        <m:sSup>
          <m:sSupPr>
            <m:ctrlPr>
              <w:rPr>
                <w:rFonts w:ascii="Cambria Math" w:hAnsi="Cambria Math"/>
              </w:rPr>
            </m:ctrlPr>
          </m:sSupPr>
          <m:e>
            <m:r>
              <w:rPr>
                <w:rFonts w:ascii="Cambria Math" w:hAnsi="Cambria Math"/>
              </w:rPr>
              <m:t>0</m:t>
            </m:r>
          </m:e>
          <m:sup>
            <m:r>
              <w:rPr>
                <w:rFonts w:ascii="Cambria Math" w:hAnsi="Cambria Math"/>
              </w:rPr>
              <m:t>-5</m:t>
            </m:r>
          </m:sup>
        </m:sSup>
      </m:oMath>
      <w:r w:rsidR="00044FF4" w:rsidRPr="00D56A55">
        <w:t xml:space="preserve"> </w:t>
      </w:r>
      <w:r w:rsidR="008948E8">
        <w:rPr>
          <w:rFonts w:hint="eastAsia"/>
        </w:rPr>
        <w:t>global pdf</w:t>
      </w:r>
      <w:r w:rsidR="00044FF4" w:rsidRPr="00D56A55">
        <w:t>)</w:t>
      </w:r>
      <w:bookmarkEnd w:id="7"/>
      <w:r w:rsidR="00044FF4" w:rsidRPr="00D56A55">
        <w:t xml:space="preserve">, </w:t>
      </w:r>
      <w:r w:rsidR="005D1D3E" w:rsidRPr="00D56A55">
        <w:t>can</w:t>
      </w:r>
      <w:r w:rsidR="00044FF4" w:rsidRPr="00D56A55">
        <w:t xml:space="preserve"> cause significant biodiversity loss due to the high potential species </w:t>
      </w:r>
      <w:r w:rsidR="007D6919" w:rsidRPr="00D56A55">
        <w:rPr>
          <w:rFonts w:hint="eastAsia"/>
          <w:szCs w:val="32"/>
        </w:rPr>
        <w:t>groups</w:t>
      </w:r>
      <w:r w:rsidR="007D6919" w:rsidRPr="00D56A55">
        <w:t xml:space="preserve"> </w:t>
      </w:r>
      <w:r w:rsidR="00044FF4" w:rsidRPr="00D56A55">
        <w:t>loss rate per unit</w:t>
      </w:r>
      <w:r w:rsidR="00537F88" w:rsidRPr="00D56A55">
        <w:t xml:space="preserve"> area</w:t>
      </w:r>
      <w:r w:rsidR="00044FF4" w:rsidRPr="00D56A55">
        <w:t xml:space="preserve">. The </w:t>
      </w:r>
      <w:r w:rsidR="00FA0104" w:rsidRPr="00D56A55">
        <w:rPr>
          <w:rFonts w:hint="eastAsia"/>
        </w:rPr>
        <w:t>frontline</w:t>
      </w:r>
      <w:r w:rsidR="00FA0104" w:rsidRPr="00D56A55">
        <w:t xml:space="preserve"> </w:t>
      </w:r>
      <w:r w:rsidR="00044FF4" w:rsidRPr="00D56A55">
        <w:t xml:space="preserve">of </w:t>
      </w:r>
      <w:r w:rsidR="00133176">
        <w:t xml:space="preserve">hydropower </w:t>
      </w:r>
      <w:r w:rsidR="00044FF4" w:rsidRPr="00D56A55">
        <w:t>reservoir expansion</w:t>
      </w:r>
      <w:r w:rsidR="00FA0104" w:rsidRPr="00D56A55">
        <w:rPr>
          <w:rFonts w:hint="eastAsia"/>
        </w:rPr>
        <w:t xml:space="preserve"> is</w:t>
      </w:r>
      <w:r w:rsidR="00044FF4" w:rsidRPr="00D56A55">
        <w:t xml:space="preserve"> mostly</w:t>
      </w:r>
      <w:r w:rsidR="005D1D3E" w:rsidRPr="00D56A55">
        <w:t xml:space="preserve"> in</w:t>
      </w:r>
      <w:r w:rsidR="00044FF4" w:rsidRPr="00D56A55">
        <w:t xml:space="preserve"> </w:t>
      </w:r>
      <w:r w:rsidR="00E66092" w:rsidRPr="00D56A55">
        <w:t>countries</w:t>
      </w:r>
      <w:r w:rsidR="005D1D3E" w:rsidRPr="00D56A55" w:rsidDel="005D1D3E">
        <w:t xml:space="preserve"> </w:t>
      </w:r>
      <w:r w:rsidR="005D1D3E" w:rsidRPr="00D56A55">
        <w:t>such as</w:t>
      </w:r>
      <w:r w:rsidR="00044FF4" w:rsidRPr="00D56A55">
        <w:t xml:space="preserve"> Brazil, China, Vietnam,</w:t>
      </w:r>
      <w:r w:rsidR="00AE5A2B">
        <w:rPr>
          <w:rFonts w:hint="eastAsia"/>
        </w:rPr>
        <w:t xml:space="preserve"> Laos,</w:t>
      </w:r>
      <w:r w:rsidR="00044FF4" w:rsidRPr="00D56A55">
        <w:t xml:space="preserve"> and </w:t>
      </w:r>
      <w:r w:rsidR="00AE5A2B">
        <w:rPr>
          <w:rFonts w:hint="eastAsia"/>
        </w:rPr>
        <w:t>India</w:t>
      </w:r>
      <w:r w:rsidR="00044FF4" w:rsidRPr="00D56A55">
        <w:t xml:space="preserve"> (Fig. </w:t>
      </w:r>
      <w:r w:rsidR="005A3F43">
        <w:t>S</w:t>
      </w:r>
      <w:r w:rsidR="00AF3F24">
        <w:rPr>
          <w:rFonts w:hint="eastAsia"/>
        </w:rPr>
        <w:t>2</w:t>
      </w:r>
      <w:r w:rsidR="00044FF4" w:rsidRPr="00D56A55">
        <w:t>c)</w:t>
      </w:r>
      <w:bookmarkStart w:id="8" w:name="_Hlk150456910"/>
      <w:r w:rsidR="003E3D2F" w:rsidRPr="00D56A55">
        <w:t>.</w:t>
      </w:r>
      <w:r w:rsidR="00044FF4" w:rsidRPr="00D56A55">
        <w:rPr>
          <w:vertAlign w:val="superscript"/>
        </w:rPr>
        <w:fldChar w:fldCharType="begin"/>
      </w:r>
      <w:r w:rsidR="00A43A89">
        <w:rPr>
          <w:vertAlign w:val="superscript"/>
        </w:rPr>
        <w:instrText xml:space="preserve"> ADDIN ZOTERO_ITEM CSL_CITATION {"citationID":"R4K3676M","properties":{"formattedCitation":"(\\uc0\\u8220{}2022 Hydropower Status Report,\\uc0\\u8221{} 2022)","plainCitation":"(“2022 Hydropower Status Report,” 2022)","dontUpdate":true,"noteIndex":0},"citationItems":[{"id":711,"uris":["http://zotero.org/users/9110477/items/L3ZFPS5W"],"itemData":{"id":711,"type":"article-journal","language":"en","title":"2022 Hydropower Status Report","issued":{"date-parts":[["2022"]]}}}],"schema":"https://github.com/citation-style-language/schema/raw/master/csl-citation.json"} </w:instrText>
      </w:r>
      <w:r w:rsidR="00044FF4" w:rsidRPr="00D56A55">
        <w:rPr>
          <w:vertAlign w:val="superscript"/>
        </w:rPr>
        <w:fldChar w:fldCharType="separate"/>
      </w:r>
      <w:r w:rsidR="00ED0C82" w:rsidRPr="00D56A55">
        <w:rPr>
          <w:kern w:val="0"/>
          <w:vertAlign w:val="superscript"/>
        </w:rPr>
        <w:t>55</w:t>
      </w:r>
      <w:r w:rsidR="00044FF4" w:rsidRPr="00D56A55">
        <w:rPr>
          <w:vertAlign w:val="superscript"/>
        </w:rPr>
        <w:fldChar w:fldCharType="end"/>
      </w:r>
      <w:bookmarkEnd w:id="8"/>
      <w:r w:rsidR="00044FF4" w:rsidRPr="00D56A55">
        <w:t xml:space="preserve"> Although the </w:t>
      </w:r>
      <w:r w:rsidR="00537F88" w:rsidRPr="00D56A55">
        <w:t>impact</w:t>
      </w:r>
      <w:r w:rsidR="00044FF4" w:rsidRPr="00D56A55">
        <w:t xml:space="preserve"> of reservoir</w:t>
      </w:r>
      <w:r w:rsidR="005D1D3E" w:rsidRPr="00D56A55">
        <w:t>s</w:t>
      </w:r>
      <w:r w:rsidR="00044FF4" w:rsidRPr="00D56A55">
        <w:t xml:space="preserve"> on the four species</w:t>
      </w:r>
      <w:r w:rsidR="007D6919" w:rsidRPr="00D56A55">
        <w:rPr>
          <w:rFonts w:hint="eastAsia"/>
          <w:szCs w:val="32"/>
        </w:rPr>
        <w:t xml:space="preserve"> groups</w:t>
      </w:r>
      <w:r w:rsidR="00044FF4" w:rsidRPr="00D56A55">
        <w:t xml:space="preserve"> is </w:t>
      </w:r>
      <w:r w:rsidR="005D1D3E" w:rsidRPr="00D56A55">
        <w:t>relatively</w:t>
      </w:r>
      <w:r w:rsidR="00537F88" w:rsidRPr="00D56A55">
        <w:t xml:space="preserve"> balanced</w:t>
      </w:r>
      <w:r w:rsidR="00FA0104" w:rsidRPr="00D56A55">
        <w:rPr>
          <w:rFonts w:hint="eastAsia"/>
        </w:rPr>
        <w:t>,</w:t>
      </w:r>
      <w:r w:rsidR="00537F88" w:rsidRPr="00D56A55">
        <w:t xml:space="preserve"> with almost equal share</w:t>
      </w:r>
      <w:r w:rsidR="005D1D3E" w:rsidRPr="00D56A55">
        <w:t>s</w:t>
      </w:r>
      <w:r w:rsidR="00265847">
        <w:t>,</w:t>
      </w:r>
      <w:r w:rsidR="00FA0104" w:rsidRPr="00D56A55">
        <w:rPr>
          <w:rFonts w:hint="eastAsia"/>
        </w:rPr>
        <w:t xml:space="preserve"> </w:t>
      </w:r>
      <w:r w:rsidR="00265847">
        <w:t>t</w:t>
      </w:r>
      <w:r w:rsidR="00FA0104" w:rsidRPr="00D56A55">
        <w:rPr>
          <w:rFonts w:hint="eastAsia"/>
        </w:rPr>
        <w:t xml:space="preserve">here are still differences between </w:t>
      </w:r>
      <w:r w:rsidR="00E66092" w:rsidRPr="00D56A55">
        <w:t>countries</w:t>
      </w:r>
      <w:r w:rsidR="00044FF4" w:rsidRPr="00D56A55">
        <w:t>.</w:t>
      </w:r>
      <w:r w:rsidR="00912605" w:rsidRPr="00D56A55">
        <w:t xml:space="preserve"> The </w:t>
      </w:r>
      <w:r w:rsidR="00912605" w:rsidRPr="00D56A55">
        <w:rPr>
          <w:rFonts w:hint="eastAsia"/>
        </w:rPr>
        <w:t>spatial</w:t>
      </w:r>
      <w:r w:rsidR="00912605" w:rsidRPr="00D56A55">
        <w:t xml:space="preserve"> </w:t>
      </w:r>
      <w:r w:rsidR="00912605" w:rsidRPr="00D56A55">
        <w:rPr>
          <w:rFonts w:hint="eastAsia"/>
        </w:rPr>
        <w:t>d</w:t>
      </w:r>
      <w:r w:rsidR="00912605" w:rsidRPr="00D56A55">
        <w:t xml:space="preserve">ifferences can </w:t>
      </w:r>
      <w:r w:rsidR="005D1D3E" w:rsidRPr="00D56A55">
        <w:t xml:space="preserve">largely </w:t>
      </w:r>
      <w:r w:rsidR="00912605" w:rsidRPr="00D56A55">
        <w:t>be attribut</w:t>
      </w:r>
      <w:r w:rsidR="005D1D3E" w:rsidRPr="00D56A55">
        <w:t>ed</w:t>
      </w:r>
      <w:r w:rsidR="00912605" w:rsidRPr="00D56A55">
        <w:t xml:space="preserve"> to the heterogeneity in </w:t>
      </w:r>
      <w:r w:rsidR="005D1D3E" w:rsidRPr="00D56A55">
        <w:t xml:space="preserve">the distribution of </w:t>
      </w:r>
      <w:r w:rsidR="00FC75D7" w:rsidRPr="00D56A55">
        <w:t>renewable energy</w:t>
      </w:r>
      <w:r w:rsidR="00912605" w:rsidRPr="00D56A55">
        <w:t xml:space="preserve"> resource</w:t>
      </w:r>
      <w:r w:rsidR="005D1D3E" w:rsidRPr="00D56A55">
        <w:t>s</w:t>
      </w:r>
      <w:r w:rsidR="00912605" w:rsidRPr="00D56A55">
        <w:t xml:space="preserve"> and strategic development priorities.</w:t>
      </w:r>
    </w:p>
    <w:p w14:paraId="155A9392" w14:textId="0642A40F" w:rsidR="00044FF4" w:rsidRPr="00D56A55" w:rsidRDefault="00044FF4" w:rsidP="00044FF4">
      <w:pPr>
        <w:spacing w:line="360" w:lineRule="auto"/>
        <w:rPr>
          <w:b/>
          <w:bCs/>
        </w:rPr>
      </w:pPr>
      <w:r w:rsidRPr="00D56A55">
        <w:rPr>
          <w:b/>
          <w:bCs/>
        </w:rPr>
        <w:lastRenderedPageBreak/>
        <w:t>3.2 Biodiversity loss</w:t>
      </w:r>
      <w:r w:rsidR="009B4A7E" w:rsidRPr="00D56A55">
        <w:rPr>
          <w:rFonts w:hint="eastAsia"/>
          <w:b/>
          <w:bCs/>
        </w:rPr>
        <w:t xml:space="preserve"> </w:t>
      </w:r>
      <w:r w:rsidR="009B4A7E" w:rsidRPr="00D56A55">
        <w:rPr>
          <w:b/>
          <w:bCs/>
        </w:rPr>
        <w:t>embodied in domestic and global consumption</w:t>
      </w:r>
      <w:r w:rsidR="008B0F3E" w:rsidRPr="00D56A55" w:rsidDel="008B0F3E">
        <w:rPr>
          <w:b/>
          <w:bCs/>
        </w:rPr>
        <w:t xml:space="preserve"> </w:t>
      </w:r>
    </w:p>
    <w:p w14:paraId="4EDBF8E4" w14:textId="78BBC652" w:rsidR="00044FF4" w:rsidRPr="00D56A55" w:rsidRDefault="00D0394E" w:rsidP="00044FF4">
      <w:pPr>
        <w:spacing w:line="360" w:lineRule="auto"/>
        <w:ind w:firstLine="420"/>
      </w:pPr>
      <w:r w:rsidRPr="00517623">
        <w:rPr>
          <w:color w:val="000000" w:themeColor="text1"/>
        </w:rPr>
        <w:t>Electricity generated by renewable energy infrastructure is not only consumed domestically, but also exported to other countries through international power grids or the trade of products utilizing renewable energy infrastructure.</w:t>
      </w:r>
      <w:r w:rsidR="00044FF4" w:rsidRPr="00D56A55">
        <w:rPr>
          <w:color w:val="000000"/>
          <w:kern w:val="0"/>
          <w:szCs w:val="24"/>
        </w:rPr>
        <w:fldChar w:fldCharType="begin"/>
      </w:r>
      <w:r w:rsidR="00A43A89">
        <w:rPr>
          <w:color w:val="000000"/>
          <w:kern w:val="0"/>
          <w:szCs w:val="24"/>
        </w:rPr>
        <w:instrText xml:space="preserve"> ADDIN ZOTERO_ITEM CSL_CITATION {"citationID":"p3mqNiY0","properties":{"formattedCitation":"\\super 67,68\\nosupersub{}","plainCitation":"67,68","noteIndex":0},"citationItems":[{"id":3795,"uris":["http://zotero.org/users/9110477/items/QEJIGA5Q"],"itemData":{"id":3795,"type":"article-journal","container-title":"Renewable and Sustainable Energy Reviews","DOI":"10.1016/j.rser.2019.109647","ISSN":"13640321","journalAbbreviation":"Renewable and Sustainable Energy Reviews","language":"en","page":"109647","source":"DOI.org (Crossref)","title":"Quantifying the integration of renewable energy sources in West Africa's interconnected electricity network","volume":"120","author":[{"family":"Adeoye","given":"Omotola"},{"family":"Spataru","given":"Catalina"}],"issued":{"date-parts":[["2020",3]]}},"label":"page"},{"id":3792,"uris":["http://zotero.org/users/9110477/items/PIUNR8CP"],"itemData":{"id":3792,"type":"article-journal","call-number":"2","container-title":"Energy Policy","DOI":"10.1016/j.enpol.2020.111658","ISSN":"03014215","journalAbbreviation":"Energy Policy","language":"en","page":"111658","source":"9","title":"Integrated North American energy markets under different futures of cross-border energy infrastructure","volume":"144","author":[{"family":"Siddiqui","given":"Sauleh"},{"family":"Vaillancourt","given":"Kathleen"},{"family":"Bahn","given":"Olivier"},{"family":"Victor","given":"Nadejda"},{"family":"Nichols","given":"Christopher"},{"family":"Avraam","given":"Charalampos"},{"family":"Brown","given":"Maxwell"}],"issued":{"date-parts":[["2020",9]]}},"label":"page"}],"schema":"https://github.com/citation-style-language/schema/raw/master/csl-citation.json"} </w:instrText>
      </w:r>
      <w:r w:rsidR="00044FF4" w:rsidRPr="00D56A55">
        <w:rPr>
          <w:color w:val="000000"/>
          <w:kern w:val="0"/>
          <w:szCs w:val="24"/>
        </w:rPr>
        <w:fldChar w:fldCharType="separate"/>
      </w:r>
      <w:r w:rsidR="008B7B48" w:rsidRPr="008B7B48">
        <w:rPr>
          <w:rFonts w:eastAsiaTheme="minorEastAsia"/>
          <w:kern w:val="0"/>
          <w:szCs w:val="24"/>
          <w:vertAlign w:val="superscript"/>
          <w14:ligatures w14:val="none"/>
        </w:rPr>
        <w:t>67,68</w:t>
      </w:r>
      <w:r w:rsidR="00044FF4" w:rsidRPr="00D56A55">
        <w:rPr>
          <w:color w:val="000000"/>
          <w:kern w:val="0"/>
          <w:szCs w:val="24"/>
        </w:rPr>
        <w:fldChar w:fldCharType="end"/>
      </w:r>
      <w:r w:rsidR="00044FF4" w:rsidRPr="00D56A55">
        <w:t xml:space="preserve"> </w:t>
      </w:r>
      <w:r w:rsidR="00A47DFC" w:rsidRPr="00D56A55">
        <w:rPr>
          <w:rFonts w:hint="eastAsia"/>
        </w:rPr>
        <w:t>H</w:t>
      </w:r>
      <w:r w:rsidR="00044FF4" w:rsidRPr="00D56A55">
        <w:t>ere</w:t>
      </w:r>
      <w:r w:rsidR="00271EA9" w:rsidRPr="00D56A55">
        <w:t xml:space="preserve"> we quantified the </w:t>
      </w:r>
      <w:r w:rsidR="002F0DAA">
        <w:rPr>
          <w:rFonts w:hint="eastAsia"/>
        </w:rPr>
        <w:t xml:space="preserve">land </w:t>
      </w:r>
      <w:r w:rsidR="000708AF">
        <w:rPr>
          <w:rFonts w:hint="eastAsia"/>
        </w:rPr>
        <w:t xml:space="preserve">occupation </w:t>
      </w:r>
      <w:r w:rsidR="002F0DAA">
        <w:rPr>
          <w:rFonts w:hint="eastAsia"/>
        </w:rPr>
        <w:t xml:space="preserve">related </w:t>
      </w:r>
      <w:r w:rsidR="00271EA9" w:rsidRPr="00D56A55">
        <w:t xml:space="preserve">biodiversity loss embodied in consumption </w:t>
      </w:r>
      <w:r w:rsidR="008B0F3E" w:rsidRPr="00D56A55">
        <w:t>(</w:t>
      </w:r>
      <w:r w:rsidR="00896FEC" w:rsidRPr="00D56A55">
        <w:rPr>
          <w:rFonts w:hint="eastAsia"/>
        </w:rPr>
        <w:t>i.e.</w:t>
      </w:r>
      <w:r w:rsidR="008B0F3E" w:rsidRPr="00D56A55">
        <w:t xml:space="preserve">, biodiversity loss footprint) </w:t>
      </w:r>
      <w:r w:rsidR="00271EA9" w:rsidRPr="00D56A55">
        <w:t xml:space="preserve">of </w:t>
      </w:r>
      <w:r w:rsidR="00E66092" w:rsidRPr="00D56A55">
        <w:t>countries</w:t>
      </w:r>
      <w:r w:rsidR="001C6F6A" w:rsidRPr="00D56A55">
        <w:t xml:space="preserve"> </w:t>
      </w:r>
      <w:r w:rsidR="00271EA9" w:rsidRPr="00D56A55">
        <w:rPr>
          <w:lang w:eastAsia="ja-JP"/>
        </w:rPr>
        <w:t>and</w:t>
      </w:r>
      <w:r w:rsidR="00912605" w:rsidRPr="00D56A55">
        <w:rPr>
          <w:lang w:eastAsia="ja-JP"/>
        </w:rPr>
        <w:t xml:space="preserve"> in</w:t>
      </w:r>
      <w:r w:rsidR="00271EA9" w:rsidRPr="00D56A55">
        <w:rPr>
          <w:lang w:eastAsia="ja-JP"/>
        </w:rPr>
        <w:t xml:space="preserve"> international trade</w:t>
      </w:r>
      <w:r w:rsidR="00271EA9" w:rsidRPr="00D56A55">
        <w:t>.</w:t>
      </w:r>
      <w:r w:rsidR="00044FF4" w:rsidRPr="00D56A55">
        <w:t xml:space="preserve"> Figure </w:t>
      </w:r>
      <w:r w:rsidR="007A3543">
        <w:rPr>
          <w:rFonts w:hint="eastAsia"/>
        </w:rPr>
        <w:t>2</w:t>
      </w:r>
      <w:r w:rsidR="00044FF4" w:rsidRPr="00D56A55">
        <w:t xml:space="preserve">a shows the </w:t>
      </w:r>
      <w:r w:rsidR="00912605" w:rsidRPr="00D56A55">
        <w:t>biodiversity loss footprint</w:t>
      </w:r>
      <w:r w:rsidR="00896FEC" w:rsidRPr="00D56A55">
        <w:rPr>
          <w:rFonts w:hint="eastAsia"/>
        </w:rPr>
        <w:t>s</w:t>
      </w:r>
      <w:r w:rsidR="00044FF4" w:rsidRPr="00D56A55">
        <w:t xml:space="preserve"> of </w:t>
      </w:r>
      <w:r w:rsidR="008B0F3E" w:rsidRPr="00D56A55">
        <w:t xml:space="preserve">various </w:t>
      </w:r>
      <w:r w:rsidR="00E66092" w:rsidRPr="00D56A55">
        <w:t>countries</w:t>
      </w:r>
      <w:r w:rsidR="008B0F3E" w:rsidRPr="00D56A55">
        <w:t>.</w:t>
      </w:r>
      <w:r w:rsidR="00044FF4" w:rsidRPr="00D56A55">
        <w:t xml:space="preserve"> </w:t>
      </w:r>
      <w:r w:rsidR="00415855">
        <w:rPr>
          <w:rFonts w:hint="eastAsia"/>
          <w:color w:val="000000"/>
          <w:kern w:val="0"/>
          <w:szCs w:val="24"/>
        </w:rPr>
        <w:t xml:space="preserve">Rest of </w:t>
      </w:r>
      <w:r w:rsidR="00756167">
        <w:rPr>
          <w:rFonts w:hint="eastAsia"/>
          <w:color w:val="000000"/>
          <w:kern w:val="0"/>
          <w:szCs w:val="24"/>
        </w:rPr>
        <w:t>Aisa</w:t>
      </w:r>
      <w:r w:rsidR="00415855">
        <w:rPr>
          <w:rFonts w:hint="eastAsia"/>
          <w:color w:val="000000"/>
          <w:kern w:val="0"/>
          <w:szCs w:val="24"/>
        </w:rPr>
        <w:t xml:space="preserve"> </w:t>
      </w:r>
      <w:r w:rsidR="00415855" w:rsidRPr="00D56A55">
        <w:rPr>
          <w:color w:val="000000"/>
          <w:kern w:val="0"/>
          <w:szCs w:val="24"/>
        </w:rPr>
        <w:t>(</w:t>
      </w:r>
      <m:oMath>
        <m:r>
          <w:rPr>
            <w:rFonts w:ascii="Cambria Math" w:hAnsi="Cambria Math"/>
            <w:szCs w:val="24"/>
          </w:rPr>
          <m:t>3.2×1</m:t>
        </m:r>
        <m:sSup>
          <m:sSupPr>
            <m:ctrlPr>
              <w:rPr>
                <w:rFonts w:ascii="Cambria Math" w:hAnsi="Cambria Math"/>
                <w:szCs w:val="24"/>
              </w:rPr>
            </m:ctrlPr>
          </m:sSupPr>
          <m:e>
            <m:r>
              <w:rPr>
                <w:rFonts w:ascii="Cambria Math" w:hAnsi="Cambria Math"/>
                <w:szCs w:val="24"/>
              </w:rPr>
              <m:t>0</m:t>
            </m:r>
          </m:e>
          <m:sup>
            <m:r>
              <w:rPr>
                <w:rFonts w:ascii="Cambria Math" w:hAnsi="Cambria Math"/>
                <w:szCs w:val="24"/>
              </w:rPr>
              <m:t>-4</m:t>
            </m:r>
          </m:sup>
        </m:sSup>
        <m:r>
          <w:rPr>
            <w:rFonts w:ascii="Cambria Math" w:hAnsi="Cambria Math"/>
            <w:szCs w:val="24"/>
          </w:rPr>
          <m:t xml:space="preserve"> </m:t>
        </m:r>
      </m:oMath>
      <w:r w:rsidR="00756167">
        <w:rPr>
          <w:rFonts w:hint="eastAsia"/>
        </w:rPr>
        <w:t>global pdf</w:t>
      </w:r>
      <w:r w:rsidR="00415855" w:rsidRPr="00D56A55">
        <w:rPr>
          <w:color w:val="000000"/>
          <w:kern w:val="0"/>
          <w:szCs w:val="24"/>
        </w:rPr>
        <w:t>)</w:t>
      </w:r>
      <w:r w:rsidR="00415855">
        <w:rPr>
          <w:rFonts w:hint="eastAsia"/>
          <w:color w:val="000000"/>
          <w:kern w:val="0"/>
          <w:szCs w:val="24"/>
        </w:rPr>
        <w:t>,</w:t>
      </w:r>
      <w:r w:rsidR="00756167" w:rsidRPr="00756167">
        <w:rPr>
          <w:rFonts w:hint="eastAsia"/>
          <w:color w:val="000000"/>
          <w:kern w:val="0"/>
          <w:szCs w:val="24"/>
        </w:rPr>
        <w:t xml:space="preserve"> </w:t>
      </w:r>
      <w:r w:rsidR="00756167">
        <w:rPr>
          <w:rFonts w:hint="eastAsia"/>
          <w:color w:val="000000"/>
          <w:kern w:val="0"/>
          <w:szCs w:val="24"/>
        </w:rPr>
        <w:t xml:space="preserve">Rest of America </w:t>
      </w:r>
      <w:r w:rsidR="00756167" w:rsidRPr="00D56A55">
        <w:rPr>
          <w:color w:val="000000"/>
          <w:kern w:val="0"/>
          <w:szCs w:val="24"/>
        </w:rPr>
        <w:t>(</w:t>
      </w:r>
      <m:oMath>
        <m:r>
          <w:rPr>
            <w:rFonts w:ascii="Cambria Math" w:hAnsi="Cambria Math"/>
            <w:szCs w:val="24"/>
          </w:rPr>
          <m:t>2.7×1</m:t>
        </m:r>
        <m:sSup>
          <m:sSupPr>
            <m:ctrlPr>
              <w:rPr>
                <w:rFonts w:ascii="Cambria Math" w:hAnsi="Cambria Math"/>
                <w:szCs w:val="24"/>
              </w:rPr>
            </m:ctrlPr>
          </m:sSupPr>
          <m:e>
            <m:r>
              <w:rPr>
                <w:rFonts w:ascii="Cambria Math" w:hAnsi="Cambria Math"/>
                <w:szCs w:val="24"/>
              </w:rPr>
              <m:t>0</m:t>
            </m:r>
          </m:e>
          <m:sup>
            <m:r>
              <w:rPr>
                <w:rFonts w:ascii="Cambria Math" w:hAnsi="Cambria Math"/>
                <w:szCs w:val="24"/>
              </w:rPr>
              <m:t>-4</m:t>
            </m:r>
          </m:sup>
        </m:sSup>
        <m:r>
          <w:rPr>
            <w:rFonts w:ascii="Cambria Math" w:hAnsi="Cambria Math"/>
            <w:szCs w:val="24"/>
          </w:rPr>
          <m:t xml:space="preserve"> </m:t>
        </m:r>
      </m:oMath>
      <w:r w:rsidR="00756167">
        <w:rPr>
          <w:rFonts w:hint="eastAsia"/>
        </w:rPr>
        <w:t>global pdf</w:t>
      </w:r>
      <w:r w:rsidR="00756167" w:rsidRPr="00D56A55">
        <w:rPr>
          <w:color w:val="000000"/>
          <w:kern w:val="0"/>
          <w:szCs w:val="24"/>
        </w:rPr>
        <w:t>)</w:t>
      </w:r>
      <w:r w:rsidR="00756167">
        <w:rPr>
          <w:rFonts w:hint="eastAsia"/>
          <w:color w:val="000000"/>
          <w:kern w:val="0"/>
          <w:szCs w:val="24"/>
        </w:rPr>
        <w:t>,</w:t>
      </w:r>
      <w:r w:rsidR="00415855">
        <w:rPr>
          <w:rFonts w:hint="eastAsia"/>
          <w:color w:val="000000"/>
          <w:kern w:val="0"/>
          <w:szCs w:val="24"/>
        </w:rPr>
        <w:t xml:space="preserve"> </w:t>
      </w:r>
      <w:r w:rsidR="00044FF4" w:rsidRPr="00D56A55">
        <w:t xml:space="preserve">India </w:t>
      </w:r>
      <w:r w:rsidR="00044FF4" w:rsidRPr="00D56A55">
        <w:rPr>
          <w:color w:val="000000"/>
          <w:kern w:val="0"/>
          <w:szCs w:val="24"/>
        </w:rPr>
        <w:t>(</w:t>
      </w:r>
      <m:oMath>
        <m:r>
          <w:rPr>
            <w:rFonts w:ascii="Cambria Math" w:hAnsi="Cambria Math"/>
            <w:szCs w:val="24"/>
          </w:rPr>
          <m:t>2.2×1</m:t>
        </m:r>
        <m:sSup>
          <m:sSupPr>
            <m:ctrlPr>
              <w:rPr>
                <w:rFonts w:ascii="Cambria Math" w:hAnsi="Cambria Math"/>
                <w:szCs w:val="24"/>
              </w:rPr>
            </m:ctrlPr>
          </m:sSupPr>
          <m:e>
            <m:r>
              <w:rPr>
                <w:rFonts w:ascii="Cambria Math" w:hAnsi="Cambria Math"/>
                <w:szCs w:val="24"/>
              </w:rPr>
              <m:t>0</m:t>
            </m:r>
          </m:e>
          <m:sup>
            <m:r>
              <w:rPr>
                <w:rFonts w:ascii="Cambria Math" w:hAnsi="Cambria Math"/>
                <w:szCs w:val="24"/>
              </w:rPr>
              <m:t>-4</m:t>
            </m:r>
          </m:sup>
        </m:sSup>
      </m:oMath>
      <w:r w:rsidR="00415855">
        <w:rPr>
          <w:rFonts w:hint="eastAsia"/>
        </w:rPr>
        <w:t xml:space="preserve"> global pdf</w:t>
      </w:r>
      <w:r w:rsidR="000E0B67" w:rsidRPr="00D56A55">
        <w:rPr>
          <w:color w:val="000000"/>
          <w:kern w:val="0"/>
          <w:szCs w:val="24"/>
        </w:rPr>
        <w:t>)</w:t>
      </w:r>
      <w:r w:rsidR="00044FF4" w:rsidRPr="00D56A55">
        <w:t xml:space="preserve">, Brazil </w:t>
      </w:r>
      <w:r w:rsidR="00044FF4" w:rsidRPr="00D56A55">
        <w:rPr>
          <w:color w:val="000000"/>
          <w:kern w:val="0"/>
          <w:szCs w:val="24"/>
        </w:rPr>
        <w:t>(</w:t>
      </w:r>
      <m:oMath>
        <m:r>
          <w:rPr>
            <w:rFonts w:ascii="Cambria Math" w:hAnsi="Cambria Math"/>
            <w:szCs w:val="24"/>
          </w:rPr>
          <m:t>2.1×1</m:t>
        </m:r>
        <m:sSup>
          <m:sSupPr>
            <m:ctrlPr>
              <w:rPr>
                <w:rFonts w:ascii="Cambria Math" w:hAnsi="Cambria Math"/>
                <w:szCs w:val="24"/>
              </w:rPr>
            </m:ctrlPr>
          </m:sSupPr>
          <m:e>
            <m:r>
              <w:rPr>
                <w:rFonts w:ascii="Cambria Math" w:hAnsi="Cambria Math"/>
                <w:szCs w:val="24"/>
              </w:rPr>
              <m:t>0</m:t>
            </m:r>
          </m:e>
          <m:sup>
            <m:r>
              <w:rPr>
                <w:rFonts w:ascii="Cambria Math" w:hAnsi="Cambria Math"/>
                <w:szCs w:val="24"/>
              </w:rPr>
              <m:t>-4</m:t>
            </m:r>
          </m:sup>
        </m:sSup>
        <m:r>
          <w:rPr>
            <w:rFonts w:ascii="Cambria Math" w:hAnsi="Cambria Math"/>
            <w:szCs w:val="24"/>
          </w:rPr>
          <m:t xml:space="preserve"> </m:t>
        </m:r>
      </m:oMath>
      <w:r w:rsidR="00415855">
        <w:rPr>
          <w:rFonts w:hint="eastAsia"/>
        </w:rPr>
        <w:t>global pdf</w:t>
      </w:r>
      <w:r w:rsidR="00044FF4" w:rsidRPr="00D56A55">
        <w:rPr>
          <w:color w:val="000000"/>
          <w:kern w:val="0"/>
          <w:szCs w:val="24"/>
        </w:rPr>
        <w:t>)</w:t>
      </w:r>
      <w:r w:rsidR="00044FF4" w:rsidRPr="00D56A55">
        <w:t xml:space="preserve">, </w:t>
      </w:r>
      <w:r w:rsidR="00482888" w:rsidRPr="00D56A55">
        <w:t xml:space="preserve">China </w:t>
      </w:r>
      <w:r w:rsidR="00482888" w:rsidRPr="00D56A55">
        <w:rPr>
          <w:color w:val="000000"/>
          <w:kern w:val="0"/>
          <w:szCs w:val="24"/>
        </w:rPr>
        <w:t>(</w:t>
      </w:r>
      <m:oMath>
        <m:r>
          <w:rPr>
            <w:rFonts w:ascii="Cambria Math" w:hAnsi="Cambria Math"/>
            <w:szCs w:val="24"/>
          </w:rPr>
          <m:t>1.9×1</m:t>
        </m:r>
        <m:sSup>
          <m:sSupPr>
            <m:ctrlPr>
              <w:rPr>
                <w:rFonts w:ascii="Cambria Math" w:hAnsi="Cambria Math"/>
                <w:szCs w:val="24"/>
              </w:rPr>
            </m:ctrlPr>
          </m:sSupPr>
          <m:e>
            <m:r>
              <w:rPr>
                <w:rFonts w:ascii="Cambria Math" w:hAnsi="Cambria Math"/>
                <w:szCs w:val="24"/>
              </w:rPr>
              <m:t>0</m:t>
            </m:r>
          </m:e>
          <m:sup>
            <m:r>
              <w:rPr>
                <w:rFonts w:ascii="Cambria Math" w:hAnsi="Cambria Math"/>
                <w:szCs w:val="24"/>
              </w:rPr>
              <m:t>-4</m:t>
            </m:r>
          </m:sup>
        </m:sSup>
        <m:r>
          <w:rPr>
            <w:rFonts w:ascii="Cambria Math" w:hAnsi="Cambria Math"/>
            <w:szCs w:val="24"/>
          </w:rPr>
          <m:t xml:space="preserve"> </m:t>
        </m:r>
        <w:bookmarkStart w:id="9" w:name="OLE_LINK3"/>
        <m:r>
          <m:rPr>
            <m:sty m:val="p"/>
          </m:rPr>
          <w:rPr>
            <w:rFonts w:ascii="Cambria Math" w:hAnsi="Cambria Math" w:hint="eastAsia"/>
          </w:rPr>
          <m:t>global pdf</m:t>
        </m:r>
      </m:oMath>
      <w:bookmarkEnd w:id="9"/>
      <w:r w:rsidR="00482888" w:rsidRPr="00D56A55">
        <w:rPr>
          <w:color w:val="000000"/>
          <w:kern w:val="0"/>
          <w:szCs w:val="24"/>
        </w:rPr>
        <w:t>)</w:t>
      </w:r>
      <w:r w:rsidR="00482888">
        <w:rPr>
          <w:rFonts w:hint="eastAsia"/>
          <w:color w:val="000000"/>
          <w:kern w:val="0"/>
          <w:szCs w:val="24"/>
        </w:rPr>
        <w:t xml:space="preserve">, and </w:t>
      </w:r>
      <w:r w:rsidR="00044FF4" w:rsidRPr="00D56A55">
        <w:t xml:space="preserve">the United States </w:t>
      </w:r>
      <w:r w:rsidR="00044FF4" w:rsidRPr="00D56A55">
        <w:rPr>
          <w:color w:val="000000"/>
          <w:kern w:val="0"/>
          <w:szCs w:val="24"/>
        </w:rPr>
        <w:t>(</w:t>
      </w:r>
      <m:oMath>
        <m:r>
          <w:rPr>
            <w:rFonts w:ascii="Cambria Math" w:hAnsi="Cambria Math"/>
            <w:szCs w:val="24"/>
          </w:rPr>
          <m:t>1.1×1</m:t>
        </m:r>
        <m:sSup>
          <m:sSupPr>
            <m:ctrlPr>
              <w:rPr>
                <w:rFonts w:ascii="Cambria Math" w:hAnsi="Cambria Math"/>
                <w:szCs w:val="24"/>
              </w:rPr>
            </m:ctrlPr>
          </m:sSupPr>
          <m:e>
            <m:r>
              <w:rPr>
                <w:rFonts w:ascii="Cambria Math" w:hAnsi="Cambria Math"/>
                <w:szCs w:val="24"/>
              </w:rPr>
              <m:t>0</m:t>
            </m:r>
          </m:e>
          <m:sup>
            <m:r>
              <w:rPr>
                <w:rFonts w:ascii="Cambria Math" w:hAnsi="Cambria Math"/>
                <w:szCs w:val="24"/>
              </w:rPr>
              <m:t>-4</m:t>
            </m:r>
          </m:sup>
        </m:sSup>
        <m:r>
          <w:rPr>
            <w:rFonts w:ascii="Cambria Math" w:hAnsi="Cambria Math"/>
            <w:szCs w:val="24"/>
          </w:rPr>
          <m:t xml:space="preserve"> </m:t>
        </m:r>
        <m:r>
          <m:rPr>
            <m:sty m:val="p"/>
          </m:rPr>
          <w:rPr>
            <w:rFonts w:ascii="Cambria Math" w:hAnsi="Cambria Math" w:hint="eastAsia"/>
          </w:rPr>
          <m:t>global pdf</m:t>
        </m:r>
      </m:oMath>
      <w:r w:rsidR="00044FF4" w:rsidRPr="00D56A55">
        <w:rPr>
          <w:color w:val="000000"/>
          <w:kern w:val="0"/>
          <w:szCs w:val="24"/>
        </w:rPr>
        <w:t>)</w:t>
      </w:r>
      <w:r w:rsidR="00271EA9" w:rsidRPr="00D56A55">
        <w:rPr>
          <w:color w:val="000000"/>
          <w:kern w:val="0"/>
          <w:szCs w:val="24"/>
        </w:rPr>
        <w:t xml:space="preserve"> </w:t>
      </w:r>
      <w:r w:rsidR="008B0F3E" w:rsidRPr="00D56A55">
        <w:rPr>
          <w:color w:val="000000"/>
          <w:kern w:val="0"/>
          <w:szCs w:val="24"/>
        </w:rPr>
        <w:t xml:space="preserve">have the largest footprints, followed by </w:t>
      </w:r>
      <w:r w:rsidR="00AB069E">
        <w:rPr>
          <w:color w:val="000000"/>
          <w:kern w:val="0"/>
          <w:szCs w:val="24"/>
        </w:rPr>
        <w:t xml:space="preserve">countries in </w:t>
      </w:r>
      <w:r w:rsidR="008B0F3E" w:rsidRPr="00D56A55">
        <w:rPr>
          <w:color w:val="000000"/>
          <w:kern w:val="0"/>
          <w:szCs w:val="24"/>
        </w:rPr>
        <w:t>Western Europe, including Italy, Germany, Spain, France, and others</w:t>
      </w:r>
      <w:r w:rsidR="008B0F3E" w:rsidRPr="00D56A55">
        <w:t xml:space="preserve">. </w:t>
      </w:r>
      <w:r w:rsidR="00AB069E">
        <w:t xml:space="preserve">Countries in </w:t>
      </w:r>
      <w:r w:rsidR="008B0F3E" w:rsidRPr="00D56A55">
        <w:t>Eastern Europe,</w:t>
      </w:r>
      <w:r w:rsidR="00044FF4" w:rsidRPr="00D56A55">
        <w:t xml:space="preserve"> such as Russia, </w:t>
      </w:r>
      <w:bookmarkStart w:id="10" w:name="OLE_LINK1"/>
      <w:r w:rsidR="00D4064F" w:rsidRPr="00D4064F">
        <w:t>Romania</w:t>
      </w:r>
      <w:bookmarkEnd w:id="10"/>
      <w:r w:rsidR="00044FF4" w:rsidRPr="00D56A55">
        <w:t xml:space="preserve">, and </w:t>
      </w:r>
      <w:r w:rsidR="006C7057" w:rsidRPr="00D56A55">
        <w:t>Czech Republic</w:t>
      </w:r>
      <w:r w:rsidR="00044FF4" w:rsidRPr="00D56A55">
        <w:t xml:space="preserve">, have </w:t>
      </w:r>
      <w:r w:rsidR="00912605" w:rsidRPr="00D56A55">
        <w:t>small</w:t>
      </w:r>
      <w:r w:rsidR="00044FF4" w:rsidRPr="00D56A55">
        <w:t>e</w:t>
      </w:r>
      <w:r w:rsidR="00763A78" w:rsidRPr="00D56A55">
        <w:t>r</w:t>
      </w:r>
      <w:r w:rsidR="00044FF4" w:rsidRPr="00D56A55">
        <w:t xml:space="preserve"> </w:t>
      </w:r>
      <w:r w:rsidR="00912605" w:rsidRPr="00D56A55">
        <w:t>footprints</w:t>
      </w:r>
      <w:r w:rsidR="00044FF4" w:rsidRPr="00D56A55">
        <w:t xml:space="preserve">. </w:t>
      </w:r>
    </w:p>
    <w:p w14:paraId="67E82D26" w14:textId="012897C8" w:rsidR="00044FF4" w:rsidRPr="00D56A55" w:rsidRDefault="00AB069E" w:rsidP="00FE4324">
      <w:pPr>
        <w:spacing w:line="360" w:lineRule="auto"/>
        <w:ind w:firstLine="420"/>
      </w:pPr>
      <w:r>
        <w:t>I</w:t>
      </w:r>
      <w:r w:rsidR="008B0F3E" w:rsidRPr="00D56A55">
        <w:t xml:space="preserve">nternational trade </w:t>
      </w:r>
      <w:r w:rsidR="00FE4324">
        <w:t>accounted</w:t>
      </w:r>
      <w:r w:rsidR="00FE4324">
        <w:rPr>
          <w:rFonts w:hint="eastAsia"/>
        </w:rPr>
        <w:t xml:space="preserve"> </w:t>
      </w:r>
      <w:r w:rsidR="008B0F3E" w:rsidRPr="00D56A55">
        <w:t>for approximately</w:t>
      </w:r>
      <w:r w:rsidR="00044FF4" w:rsidRPr="00D56A55">
        <w:t xml:space="preserve"> </w:t>
      </w:r>
      <w:r w:rsidR="00B808C1">
        <w:t>1</w:t>
      </w:r>
      <w:r w:rsidR="00FA1AB3">
        <w:rPr>
          <w:rFonts w:hint="eastAsia"/>
        </w:rPr>
        <w:t>4</w:t>
      </w:r>
      <w:r w:rsidR="00B808C1">
        <w:t>%</w:t>
      </w:r>
      <w:r w:rsidR="00044FF4" w:rsidRPr="00D56A55">
        <w:t xml:space="preserve"> (i.e. </w:t>
      </w:r>
      <m:oMath>
        <m:r>
          <w:rPr>
            <w:rFonts w:ascii="Cambria Math" w:hAnsi="Cambria Math"/>
            <w:szCs w:val="24"/>
          </w:rPr>
          <m:t>2.6×1</m:t>
        </m:r>
        <m:sSup>
          <m:sSupPr>
            <m:ctrlPr>
              <w:rPr>
                <w:rFonts w:ascii="Cambria Math" w:hAnsi="Cambria Math"/>
                <w:szCs w:val="24"/>
              </w:rPr>
            </m:ctrlPr>
          </m:sSupPr>
          <m:e>
            <m:r>
              <w:rPr>
                <w:rFonts w:ascii="Cambria Math" w:hAnsi="Cambria Math"/>
                <w:szCs w:val="24"/>
              </w:rPr>
              <m:t>0</m:t>
            </m:r>
          </m:e>
          <m:sup>
            <m:r>
              <w:rPr>
                <w:rFonts w:ascii="Cambria Math" w:hAnsi="Cambria Math"/>
                <w:szCs w:val="24"/>
              </w:rPr>
              <m:t>-4</m:t>
            </m:r>
          </m:sup>
        </m:sSup>
      </m:oMath>
      <w:r w:rsidR="00044FF4" w:rsidRPr="00D56A55">
        <w:rPr>
          <w:szCs w:val="24"/>
        </w:rPr>
        <w:t xml:space="preserve"> </w:t>
      </w:r>
      <m:oMath>
        <m:r>
          <m:rPr>
            <m:sty m:val="p"/>
          </m:rPr>
          <w:rPr>
            <w:rFonts w:ascii="Cambria Math" w:hAnsi="Cambria Math" w:hint="eastAsia"/>
          </w:rPr>
          <m:t>global pdf</m:t>
        </m:r>
      </m:oMath>
      <w:r w:rsidR="00044FF4" w:rsidRPr="00D56A55">
        <w:t xml:space="preserve">) of </w:t>
      </w:r>
      <w:r w:rsidR="002F0DAA">
        <w:rPr>
          <w:rFonts w:hint="eastAsia"/>
        </w:rPr>
        <w:t xml:space="preserve">global </w:t>
      </w:r>
      <w:r w:rsidR="00044FF4" w:rsidRPr="00D56A55">
        <w:t>biodiversity loss</w:t>
      </w:r>
      <w:r w:rsidR="002F0DAA">
        <w:rPr>
          <w:rFonts w:hint="eastAsia"/>
        </w:rPr>
        <w:t xml:space="preserve"> due to land occupation of renewable energy </w:t>
      </w:r>
      <w:r w:rsidR="002F0DAA">
        <w:t>infrastructure</w:t>
      </w:r>
      <w:r w:rsidR="00044FF4" w:rsidRPr="00D56A55">
        <w:t xml:space="preserve">. </w:t>
      </w:r>
      <w:bookmarkStart w:id="11" w:name="_Hlk164360716"/>
      <w:r w:rsidR="00044FF4" w:rsidRPr="00D56A55">
        <w:t xml:space="preserve">Figure </w:t>
      </w:r>
      <w:r w:rsidR="007A3543">
        <w:rPr>
          <w:rFonts w:hint="eastAsia"/>
        </w:rPr>
        <w:t>S</w:t>
      </w:r>
      <w:r w:rsidR="00AF3F24">
        <w:rPr>
          <w:rFonts w:hint="eastAsia"/>
        </w:rPr>
        <w:t>3</w:t>
      </w:r>
      <w:r w:rsidR="007A3543">
        <w:rPr>
          <w:rFonts w:hint="eastAsia"/>
        </w:rPr>
        <w:t>a</w:t>
      </w:r>
      <w:r w:rsidR="00044FF4" w:rsidRPr="00D56A55">
        <w:t xml:space="preserve"> illustrates the </w:t>
      </w:r>
      <w:r w:rsidR="00896FEC" w:rsidRPr="00D56A55">
        <w:rPr>
          <w:rFonts w:hint="eastAsia"/>
        </w:rPr>
        <w:t>share</w:t>
      </w:r>
      <w:r w:rsidR="00896FEC" w:rsidRPr="00D56A55">
        <w:t xml:space="preserve"> </w:t>
      </w:r>
      <w:r w:rsidR="00044FF4" w:rsidRPr="00D56A55">
        <w:t xml:space="preserve">of biodiversity </w:t>
      </w:r>
      <w:r w:rsidR="00BB347A" w:rsidRPr="00D56A55">
        <w:t>loss</w:t>
      </w:r>
      <w:r w:rsidR="00044FF4" w:rsidRPr="00D56A55">
        <w:t xml:space="preserve"> </w:t>
      </w:r>
      <w:r w:rsidR="00271EA9" w:rsidRPr="00D56A55">
        <w:t>sourced</w:t>
      </w:r>
      <w:r w:rsidR="008B0F3E" w:rsidRPr="00D56A55">
        <w:t xml:space="preserve"> from</w:t>
      </w:r>
      <w:r w:rsidR="00271EA9" w:rsidRPr="00D56A55">
        <w:t xml:space="preserve"> outside the</w:t>
      </w:r>
      <w:r w:rsidR="00044FF4" w:rsidRPr="00D56A55">
        <w:t xml:space="preserve"> </w:t>
      </w:r>
      <w:r w:rsidR="008B0F3E" w:rsidRPr="00D56A55">
        <w:t xml:space="preserve">selected </w:t>
      </w:r>
      <w:r w:rsidR="00E66092" w:rsidRPr="00D56A55">
        <w:t>countries</w:t>
      </w:r>
      <w:r w:rsidR="00044FF4" w:rsidRPr="00D56A55">
        <w:t xml:space="preserve"> </w:t>
      </w:r>
      <w:r w:rsidR="00896FEC" w:rsidRPr="00D56A55">
        <w:rPr>
          <w:rFonts w:hint="eastAsia"/>
        </w:rPr>
        <w:t>in</w:t>
      </w:r>
      <w:r w:rsidR="00896FEC" w:rsidRPr="00D56A55">
        <w:t xml:space="preserve"> </w:t>
      </w:r>
      <w:r w:rsidR="00044FF4" w:rsidRPr="00D56A55">
        <w:t>the</w:t>
      </w:r>
      <w:r w:rsidR="008B0F3E" w:rsidRPr="00D56A55">
        <w:t>ir</w:t>
      </w:r>
      <w:r w:rsidR="00044FF4" w:rsidRPr="00D56A55">
        <w:t xml:space="preserve"> total </w:t>
      </w:r>
      <w:r w:rsidR="00912605" w:rsidRPr="00D56A55">
        <w:t>footprint</w:t>
      </w:r>
      <w:r w:rsidR="00044FF4" w:rsidRPr="00D56A55">
        <w:t>.</w:t>
      </w:r>
      <w:bookmarkEnd w:id="11"/>
      <w:r w:rsidR="00044FF4" w:rsidRPr="00D56A55">
        <w:t xml:space="preserve"> </w:t>
      </w:r>
      <w:r w:rsidR="00D423BF" w:rsidRPr="00D56A55">
        <w:t xml:space="preserve">Malta </w:t>
      </w:r>
      <w:r w:rsidR="00044FF4" w:rsidRPr="00D56A55">
        <w:t xml:space="preserve">has the highest </w:t>
      </w:r>
      <w:r w:rsidR="00896FEC" w:rsidRPr="00D56A55">
        <w:rPr>
          <w:rFonts w:hint="eastAsia"/>
        </w:rPr>
        <w:t>share</w:t>
      </w:r>
      <w:r w:rsidR="001E6B26" w:rsidRPr="00D56A55">
        <w:t xml:space="preserve">, </w:t>
      </w:r>
      <w:r w:rsidR="008B0F3E" w:rsidRPr="00D56A55">
        <w:t xml:space="preserve">with </w:t>
      </w:r>
      <w:r w:rsidR="00D423BF" w:rsidRPr="00D56A55">
        <w:t>100</w:t>
      </w:r>
      <w:r w:rsidR="001E6B26" w:rsidRPr="00D56A55">
        <w:t>%</w:t>
      </w:r>
      <w:r w:rsidR="00044FF4" w:rsidRPr="00D56A55">
        <w:t xml:space="preserve"> of its </w:t>
      </w:r>
      <w:r w:rsidR="00912605" w:rsidRPr="00D56A55">
        <w:t>footprints</w:t>
      </w:r>
      <w:r w:rsidR="00044FF4" w:rsidRPr="00D56A55">
        <w:t xml:space="preserve"> </w:t>
      </w:r>
      <w:r w:rsidR="00912605" w:rsidRPr="00D56A55">
        <w:t>embodied in</w:t>
      </w:r>
      <w:r w:rsidR="00044FF4" w:rsidRPr="00D56A55">
        <w:t xml:space="preserve"> </w:t>
      </w:r>
      <w:r w:rsidR="001E6B26" w:rsidRPr="00D56A55">
        <w:t xml:space="preserve">renewable </w:t>
      </w:r>
      <w:r w:rsidR="00B23C66" w:rsidRPr="00D56A55">
        <w:t>energy</w:t>
      </w:r>
      <w:r w:rsidR="001E6B26" w:rsidRPr="00D56A55">
        <w:t xml:space="preserve"> imports</w:t>
      </w:r>
      <w:r w:rsidR="008B0F3E" w:rsidRPr="00D56A55">
        <w:t>,</w:t>
      </w:r>
      <w:r w:rsidR="00044FF4" w:rsidRPr="00D56A55">
        <w:t xml:space="preserve"> followed by</w:t>
      </w:r>
      <w:r w:rsidR="00D41D1C" w:rsidRPr="00D56A55">
        <w:t xml:space="preserve"> Slovenia (99%)</w:t>
      </w:r>
      <w:r w:rsidR="00D41D1C" w:rsidRPr="00D56A55">
        <w:rPr>
          <w:rFonts w:hint="eastAsia"/>
        </w:rPr>
        <w:t>,</w:t>
      </w:r>
      <w:r w:rsidR="00044FF4" w:rsidRPr="00D56A55">
        <w:t xml:space="preserve"> </w:t>
      </w:r>
      <w:r w:rsidR="00A22692" w:rsidRPr="00A22692">
        <w:t>Switzerland</w:t>
      </w:r>
      <w:r w:rsidR="001D0D87">
        <w:rPr>
          <w:rFonts w:hint="eastAsia"/>
        </w:rPr>
        <w:t xml:space="preserve"> (97%), </w:t>
      </w:r>
      <w:r w:rsidR="00A22692" w:rsidRPr="00A22692">
        <w:t>Luxembourg</w:t>
      </w:r>
      <w:r w:rsidR="00044FF4" w:rsidRPr="00D56A55">
        <w:t xml:space="preserve"> (9</w:t>
      </w:r>
      <w:r w:rsidR="00A22692">
        <w:rPr>
          <w:rFonts w:hint="eastAsia"/>
        </w:rPr>
        <w:t>5</w:t>
      </w:r>
      <w:r w:rsidR="00044FF4" w:rsidRPr="00D56A55">
        <w:t>%),</w:t>
      </w:r>
      <w:r w:rsidR="001D0D87">
        <w:rPr>
          <w:rFonts w:hint="eastAsia"/>
        </w:rPr>
        <w:t xml:space="preserve"> </w:t>
      </w:r>
      <w:r w:rsidR="00A22692" w:rsidRPr="00A22692">
        <w:t>Finland</w:t>
      </w:r>
      <w:r w:rsidR="00044FF4" w:rsidRPr="00D56A55">
        <w:t xml:space="preserve"> (9</w:t>
      </w:r>
      <w:r w:rsidR="00A22692">
        <w:rPr>
          <w:rFonts w:hint="eastAsia"/>
        </w:rPr>
        <w:t>1</w:t>
      </w:r>
      <w:r w:rsidR="00044FF4" w:rsidRPr="00D56A55">
        <w:t xml:space="preserve">%), </w:t>
      </w:r>
      <w:r w:rsidR="00CB405A">
        <w:rPr>
          <w:rFonts w:hint="eastAsia"/>
        </w:rPr>
        <w:t xml:space="preserve">and </w:t>
      </w:r>
      <w:r w:rsidR="00A22692" w:rsidRPr="00A22692">
        <w:t>Norway</w:t>
      </w:r>
      <w:r w:rsidR="00044FF4" w:rsidRPr="00D56A55">
        <w:t xml:space="preserve"> (9</w:t>
      </w:r>
      <w:r w:rsidR="00A22692">
        <w:rPr>
          <w:rFonts w:hint="eastAsia"/>
        </w:rPr>
        <w:t>0</w:t>
      </w:r>
      <w:r w:rsidR="00044FF4" w:rsidRPr="00D56A55">
        <w:t>%</w:t>
      </w:r>
      <w:r w:rsidR="00CB405A">
        <w:rPr>
          <w:rFonts w:hint="eastAsia"/>
        </w:rPr>
        <w:t>)</w:t>
      </w:r>
      <w:r w:rsidR="00044FF4" w:rsidRPr="00D56A55">
        <w:t xml:space="preserve">. </w:t>
      </w:r>
      <w:r w:rsidR="00FE4324" w:rsidRPr="00FE4324">
        <w:t xml:space="preserve">These countries, as major importers of renewable energy, should bear significant responsibility for biodiversity loss in exporting countries. </w:t>
      </w:r>
      <w:r w:rsidR="00FE4324">
        <w:t>Notably, a higher share of renewable energy imports did not necessarily correspond to a larger overseas biodiversity loss footprint</w:t>
      </w:r>
      <w:r w:rsidR="00BB347A" w:rsidRPr="00D56A55">
        <w:t xml:space="preserve"> </w:t>
      </w:r>
      <w:r w:rsidR="001E6B26" w:rsidRPr="00D56A55">
        <w:rPr>
          <w:color w:val="000000"/>
          <w:kern w:val="0"/>
          <w:szCs w:val="24"/>
        </w:rPr>
        <w:t xml:space="preserve">(Fig. </w:t>
      </w:r>
      <w:r w:rsidR="007A3543">
        <w:rPr>
          <w:rFonts w:hint="eastAsia"/>
          <w:color w:val="000000"/>
          <w:kern w:val="0"/>
          <w:szCs w:val="24"/>
        </w:rPr>
        <w:t>S</w:t>
      </w:r>
      <w:r w:rsidR="00AF3F24">
        <w:rPr>
          <w:rFonts w:hint="eastAsia"/>
          <w:color w:val="000000"/>
          <w:kern w:val="0"/>
          <w:szCs w:val="24"/>
        </w:rPr>
        <w:t>3</w:t>
      </w:r>
      <w:r w:rsidR="007A3543">
        <w:rPr>
          <w:rFonts w:hint="eastAsia"/>
          <w:color w:val="000000"/>
          <w:kern w:val="0"/>
          <w:szCs w:val="24"/>
        </w:rPr>
        <w:t>b</w:t>
      </w:r>
      <w:r w:rsidR="001E6B26" w:rsidRPr="00D56A55">
        <w:rPr>
          <w:color w:val="000000"/>
          <w:kern w:val="0"/>
          <w:szCs w:val="24"/>
        </w:rPr>
        <w:t>)</w:t>
      </w:r>
      <w:r w:rsidR="001E6B26" w:rsidRPr="00D56A55">
        <w:t xml:space="preserve">. </w:t>
      </w:r>
      <w:r w:rsidR="00896FEC" w:rsidRPr="00D56A55">
        <w:rPr>
          <w:rFonts w:hint="eastAsia"/>
        </w:rPr>
        <w:t>For</w:t>
      </w:r>
      <w:r w:rsidR="001E6B26" w:rsidRPr="00D56A55">
        <w:t xml:space="preserve"> </w:t>
      </w:r>
      <w:r w:rsidR="008B0F3E" w:rsidRPr="00D56A55">
        <w:t>example</w:t>
      </w:r>
      <w:r w:rsidR="001E6B26" w:rsidRPr="00D56A55">
        <w:t xml:space="preserve">, </w:t>
      </w:r>
      <w:r w:rsidR="008B0F3E" w:rsidRPr="00D56A55">
        <w:t>Slovenia has a much smaller overseas footprint than the United States or China. Specifically, Slovenia's overseas footprint is only</w:t>
      </w:r>
      <w:r w:rsidR="001E6B26" w:rsidRPr="00D56A55">
        <w:t xml:space="preserve"> </w:t>
      </w:r>
      <m:oMath>
        <m:r>
          <w:rPr>
            <w:rFonts w:ascii="Cambria Math" w:hAnsi="Cambria Math"/>
            <w:szCs w:val="24"/>
          </w:rPr>
          <m:t>2.4×1</m:t>
        </m:r>
        <m:sSup>
          <m:sSupPr>
            <m:ctrlPr>
              <w:rPr>
                <w:rFonts w:ascii="Cambria Math" w:hAnsi="Cambria Math"/>
                <w:szCs w:val="24"/>
              </w:rPr>
            </m:ctrlPr>
          </m:sSupPr>
          <m:e>
            <m:r>
              <w:rPr>
                <w:rFonts w:ascii="Cambria Math" w:hAnsi="Cambria Math"/>
                <w:szCs w:val="24"/>
              </w:rPr>
              <m:t>0</m:t>
            </m:r>
          </m:e>
          <m:sup>
            <m:r>
              <w:rPr>
                <w:rFonts w:ascii="Cambria Math" w:hAnsi="Cambria Math"/>
                <w:szCs w:val="24"/>
              </w:rPr>
              <m:t>-7</m:t>
            </m:r>
          </m:sup>
        </m:sSup>
        <m:r>
          <w:rPr>
            <w:rFonts w:ascii="Cambria Math" w:hAnsi="Cambria Math"/>
            <w:szCs w:val="24"/>
          </w:rPr>
          <m:t xml:space="preserve"> </m:t>
        </m:r>
      </m:oMath>
      <w:r w:rsidR="00A22692">
        <w:rPr>
          <w:rFonts w:hint="eastAsia"/>
        </w:rPr>
        <w:t>global pdf</w:t>
      </w:r>
      <w:r w:rsidR="001E6B26" w:rsidRPr="00D56A55">
        <w:t xml:space="preserve">, </w:t>
      </w:r>
      <w:r w:rsidR="008B0F3E" w:rsidRPr="00D56A55">
        <w:t>while</w:t>
      </w:r>
      <w:r w:rsidR="001E6B26" w:rsidRPr="00D56A55">
        <w:t xml:space="preserve"> the United States' </w:t>
      </w:r>
      <w:r w:rsidR="008B0F3E" w:rsidRPr="00D56A55">
        <w:t>overseas footprint is</w:t>
      </w:r>
      <w:r w:rsidR="001E6B26" w:rsidRPr="00D56A55">
        <w:t xml:space="preserve"> </w:t>
      </w:r>
      <m:oMath>
        <m:r>
          <w:rPr>
            <w:rFonts w:ascii="Cambria Math" w:hAnsi="Cambria Math"/>
            <w:szCs w:val="24"/>
          </w:rPr>
          <m:t>4.6×1</m:t>
        </m:r>
        <m:sSup>
          <m:sSupPr>
            <m:ctrlPr>
              <w:rPr>
                <w:rFonts w:ascii="Cambria Math" w:hAnsi="Cambria Math"/>
                <w:szCs w:val="24"/>
              </w:rPr>
            </m:ctrlPr>
          </m:sSupPr>
          <m:e>
            <m:r>
              <w:rPr>
                <w:rFonts w:ascii="Cambria Math" w:hAnsi="Cambria Math"/>
                <w:szCs w:val="24"/>
              </w:rPr>
              <m:t>0</m:t>
            </m:r>
          </m:e>
          <m:sup>
            <m:r>
              <w:rPr>
                <w:rFonts w:ascii="Cambria Math" w:hAnsi="Cambria Math"/>
                <w:szCs w:val="24"/>
              </w:rPr>
              <m:t>-5</m:t>
            </m:r>
          </m:sup>
        </m:sSup>
        <m:r>
          <w:rPr>
            <w:rFonts w:ascii="Cambria Math" w:hAnsi="Cambria Math"/>
            <w:szCs w:val="24"/>
          </w:rPr>
          <m:t xml:space="preserve"> </m:t>
        </m:r>
      </m:oMath>
      <w:r w:rsidR="00A22692">
        <w:rPr>
          <w:rFonts w:hint="eastAsia"/>
        </w:rPr>
        <w:t>global pdf</w:t>
      </w:r>
      <w:r w:rsidR="001E6B26" w:rsidRPr="00D56A55">
        <w:t xml:space="preserve"> (representing </w:t>
      </w:r>
      <w:r w:rsidR="00A22692">
        <w:rPr>
          <w:rFonts w:hint="eastAsia"/>
        </w:rPr>
        <w:t>43</w:t>
      </w:r>
      <w:r w:rsidR="001E6B26" w:rsidRPr="00D56A55">
        <w:t xml:space="preserve">% of </w:t>
      </w:r>
      <w:r w:rsidR="008B0F3E" w:rsidRPr="00D56A55">
        <w:t>its</w:t>
      </w:r>
      <w:r w:rsidR="001E6B26" w:rsidRPr="00D56A55">
        <w:t xml:space="preserve"> total </w:t>
      </w:r>
      <w:r w:rsidR="00DB50BF" w:rsidRPr="00D56A55">
        <w:t>footprint</w:t>
      </w:r>
      <w:r w:rsidR="001E6B26" w:rsidRPr="00D56A55">
        <w:t>) and China</w:t>
      </w:r>
      <w:r w:rsidR="00E33031" w:rsidRPr="00D56A55">
        <w:t>’</w:t>
      </w:r>
      <w:r w:rsidR="001E6B26" w:rsidRPr="00D56A55">
        <w:t xml:space="preserve">s </w:t>
      </w:r>
      <w:r w:rsidR="008B0F3E" w:rsidRPr="00D56A55">
        <w:t>overseas footprint</w:t>
      </w:r>
      <w:r w:rsidR="008B0F3E" w:rsidRPr="00D56A55" w:rsidDel="008B0F3E">
        <w:t xml:space="preserve"> </w:t>
      </w:r>
      <w:r w:rsidR="008B0F3E" w:rsidRPr="00D56A55">
        <w:t>is</w:t>
      </w:r>
      <w:r w:rsidR="001E6B26" w:rsidRPr="00D56A55">
        <w:t xml:space="preserve"> </w:t>
      </w:r>
      <m:oMath>
        <m:r>
          <w:rPr>
            <w:rFonts w:ascii="Cambria Math" w:hAnsi="Cambria Math"/>
            <w:szCs w:val="24"/>
          </w:rPr>
          <m:t>2.3×1</m:t>
        </m:r>
        <m:sSup>
          <m:sSupPr>
            <m:ctrlPr>
              <w:rPr>
                <w:rFonts w:ascii="Cambria Math" w:hAnsi="Cambria Math"/>
                <w:szCs w:val="24"/>
              </w:rPr>
            </m:ctrlPr>
          </m:sSupPr>
          <m:e>
            <m:r>
              <w:rPr>
                <w:rFonts w:ascii="Cambria Math" w:hAnsi="Cambria Math"/>
                <w:szCs w:val="24"/>
              </w:rPr>
              <m:t>0</m:t>
            </m:r>
          </m:e>
          <m:sup>
            <m:r>
              <w:rPr>
                <w:rFonts w:ascii="Cambria Math" w:hAnsi="Cambria Math"/>
                <w:szCs w:val="24"/>
              </w:rPr>
              <m:t>-5</m:t>
            </m:r>
          </m:sup>
        </m:sSup>
        <m:r>
          <w:rPr>
            <w:rFonts w:ascii="Cambria Math" w:hAnsi="Cambria Math"/>
            <w:szCs w:val="24"/>
          </w:rPr>
          <m:t xml:space="preserve"> </m:t>
        </m:r>
      </m:oMath>
      <w:r w:rsidR="00A22692">
        <w:rPr>
          <w:rFonts w:hint="eastAsia"/>
        </w:rPr>
        <w:t>global pdf</w:t>
      </w:r>
      <w:r w:rsidR="001E6B26" w:rsidRPr="00D56A55">
        <w:t xml:space="preserve"> (</w:t>
      </w:r>
      <w:r w:rsidR="005E3A1D" w:rsidRPr="00D56A55">
        <w:t>1</w:t>
      </w:r>
      <w:r w:rsidR="00A22692">
        <w:rPr>
          <w:rFonts w:hint="eastAsia"/>
        </w:rPr>
        <w:t>2</w:t>
      </w:r>
      <w:r w:rsidR="001E6B26" w:rsidRPr="00D56A55">
        <w:t xml:space="preserve">% of </w:t>
      </w:r>
      <w:r w:rsidR="008B0F3E" w:rsidRPr="00D56A55">
        <w:t xml:space="preserve">its </w:t>
      </w:r>
      <w:r w:rsidR="001E6B26" w:rsidRPr="00D56A55">
        <w:t>total).</w:t>
      </w:r>
      <w:r w:rsidR="001E6B26" w:rsidRPr="00D56A55">
        <w:rPr>
          <w:rFonts w:hint="eastAsia"/>
        </w:rPr>
        <w:t xml:space="preserve"> </w:t>
      </w:r>
      <w:r w:rsidR="001E6B26" w:rsidRPr="00D56A55">
        <w:t xml:space="preserve">In </w:t>
      </w:r>
      <w:r w:rsidR="00FE4324">
        <w:t>contrast</w:t>
      </w:r>
      <w:r w:rsidR="00044FF4" w:rsidRPr="00D56A55">
        <w:t>, Brazil (1.</w:t>
      </w:r>
      <w:r w:rsidR="00FA1AB3">
        <w:rPr>
          <w:rFonts w:hint="eastAsia"/>
        </w:rPr>
        <w:t>8</w:t>
      </w:r>
      <w:r w:rsidR="00044FF4" w:rsidRPr="00D56A55">
        <w:t>%), India (</w:t>
      </w:r>
      <w:r w:rsidR="0014630F">
        <w:rPr>
          <w:rFonts w:hint="eastAsia"/>
        </w:rPr>
        <w:t>2</w:t>
      </w:r>
      <w:r w:rsidR="00044FF4" w:rsidRPr="00D56A55">
        <w:t>.</w:t>
      </w:r>
      <w:r w:rsidR="00FA1AB3">
        <w:rPr>
          <w:rFonts w:hint="eastAsia"/>
        </w:rPr>
        <w:t>6</w:t>
      </w:r>
      <w:r w:rsidR="00044FF4" w:rsidRPr="00D56A55">
        <w:t>%), Mexico (</w:t>
      </w:r>
      <w:r w:rsidR="00170A87">
        <w:rPr>
          <w:rFonts w:hint="eastAsia"/>
        </w:rPr>
        <w:t>4</w:t>
      </w:r>
      <w:r w:rsidR="00044FF4" w:rsidRPr="00D56A55">
        <w:t>.</w:t>
      </w:r>
      <w:r w:rsidR="00FA1AB3">
        <w:rPr>
          <w:rFonts w:hint="eastAsia"/>
        </w:rPr>
        <w:t>4</w:t>
      </w:r>
      <w:r w:rsidR="00044FF4" w:rsidRPr="00D56A55">
        <w:t xml:space="preserve">%), </w:t>
      </w:r>
      <w:r w:rsidR="00170A87" w:rsidRPr="00170A87">
        <w:t>Turkey</w:t>
      </w:r>
      <w:r w:rsidR="00044FF4" w:rsidRPr="00D56A55">
        <w:t xml:space="preserve"> (</w:t>
      </w:r>
      <w:r w:rsidR="00170A87">
        <w:rPr>
          <w:rFonts w:hint="eastAsia"/>
        </w:rPr>
        <w:t>5</w:t>
      </w:r>
      <w:r w:rsidR="00044FF4" w:rsidRPr="00D56A55">
        <w:t>.</w:t>
      </w:r>
      <w:r w:rsidR="00FA1AB3">
        <w:rPr>
          <w:rFonts w:hint="eastAsia"/>
        </w:rPr>
        <w:t>4</w:t>
      </w:r>
      <w:r w:rsidR="00044FF4" w:rsidRPr="00D56A55">
        <w:t xml:space="preserve">%), and </w:t>
      </w:r>
      <w:r w:rsidR="00170A87" w:rsidRPr="00170A87">
        <w:t>South Africa</w:t>
      </w:r>
      <w:r w:rsidR="00044FF4" w:rsidRPr="00D56A55">
        <w:t xml:space="preserve"> (</w:t>
      </w:r>
      <w:r w:rsidR="00170A87">
        <w:rPr>
          <w:rFonts w:hint="eastAsia"/>
        </w:rPr>
        <w:t>6</w:t>
      </w:r>
      <w:r w:rsidR="00044FF4" w:rsidRPr="00D56A55">
        <w:t>.</w:t>
      </w:r>
      <w:r w:rsidR="00170A87">
        <w:rPr>
          <w:rFonts w:hint="eastAsia"/>
        </w:rPr>
        <w:t>7</w:t>
      </w:r>
      <w:r w:rsidR="00044FF4" w:rsidRPr="00D56A55">
        <w:t xml:space="preserve">%) </w:t>
      </w:r>
      <w:r w:rsidR="001E6B26" w:rsidRPr="00D56A55">
        <w:t xml:space="preserve">only have a </w:t>
      </w:r>
      <w:r w:rsidR="008B0F3E" w:rsidRPr="00D56A55">
        <w:t xml:space="preserve">relatively low </w:t>
      </w:r>
      <w:r w:rsidR="00896FEC" w:rsidRPr="00D56A55">
        <w:rPr>
          <w:rFonts w:hint="eastAsia"/>
        </w:rPr>
        <w:t>share</w:t>
      </w:r>
      <w:r w:rsidR="00896FEC" w:rsidRPr="00D56A55">
        <w:t xml:space="preserve"> </w:t>
      </w:r>
      <w:r w:rsidR="008B0F3E" w:rsidRPr="00D56A55">
        <w:t xml:space="preserve">of </w:t>
      </w:r>
      <w:r w:rsidR="00896FEC" w:rsidRPr="00D56A55">
        <w:rPr>
          <w:rFonts w:hint="eastAsia"/>
        </w:rPr>
        <w:t xml:space="preserve">imported </w:t>
      </w:r>
      <w:r w:rsidR="008B0F3E" w:rsidRPr="00D56A55">
        <w:t xml:space="preserve">renewable </w:t>
      </w:r>
      <w:r w:rsidR="00271EA9" w:rsidRPr="00D56A55">
        <w:t>e</w:t>
      </w:r>
      <w:r w:rsidR="008B0F3E" w:rsidRPr="00D56A55">
        <w:t>nergy</w:t>
      </w:r>
      <w:r w:rsidR="00044FF4" w:rsidRPr="00D56A55">
        <w:t xml:space="preserve">, </w:t>
      </w:r>
      <w:r w:rsidR="00FE4324">
        <w:t>indicating a stronger reliance on domestic renewable energy development.</w:t>
      </w:r>
    </w:p>
    <w:p w14:paraId="51190157" w14:textId="2E97974A" w:rsidR="00044FF4" w:rsidRPr="00517623" w:rsidRDefault="00044FF4" w:rsidP="00517623">
      <w:pPr>
        <w:spacing w:line="360" w:lineRule="auto"/>
        <w:ind w:firstLineChars="200" w:firstLine="480"/>
        <w:rPr>
          <w:color w:val="0070C0"/>
        </w:rPr>
      </w:pPr>
      <w:r w:rsidRPr="00D56A55">
        <w:lastRenderedPageBreak/>
        <w:t xml:space="preserve">Figure </w:t>
      </w:r>
      <w:r w:rsidR="007A3543">
        <w:rPr>
          <w:rFonts w:hint="eastAsia"/>
        </w:rPr>
        <w:t>2b-e</w:t>
      </w:r>
      <w:r w:rsidR="00786F53" w:rsidRPr="00D56A55">
        <w:t xml:space="preserve"> </w:t>
      </w:r>
      <w:r w:rsidRPr="00D56A55">
        <w:t xml:space="preserve">illustrates </w:t>
      </w:r>
      <w:r w:rsidR="00597716" w:rsidRPr="00D56A55">
        <w:rPr>
          <w:rFonts w:hint="eastAsia"/>
        </w:rPr>
        <w:t>the</w:t>
      </w:r>
      <w:r w:rsidR="00597716" w:rsidRPr="00D56A55">
        <w:t xml:space="preserve"> </w:t>
      </w:r>
      <w:r w:rsidRPr="00D56A55">
        <w:t>biodiversity loss</w:t>
      </w:r>
      <w:r w:rsidR="00DB50BF" w:rsidRPr="00D56A55">
        <w:t xml:space="preserve"> </w:t>
      </w:r>
      <w:r w:rsidRPr="00D56A55">
        <w:t>of different species</w:t>
      </w:r>
      <w:r w:rsidR="007D6919" w:rsidRPr="00D56A55">
        <w:rPr>
          <w:rFonts w:hint="eastAsia"/>
        </w:rPr>
        <w:t xml:space="preserve"> </w:t>
      </w:r>
      <w:r w:rsidR="007D6919" w:rsidRPr="00D56A55">
        <w:rPr>
          <w:rFonts w:hint="eastAsia"/>
          <w:szCs w:val="32"/>
        </w:rPr>
        <w:t>group</w:t>
      </w:r>
      <w:r w:rsidRPr="00D56A55">
        <w:t xml:space="preserve"> </w:t>
      </w:r>
      <w:r w:rsidR="00DB50BF" w:rsidRPr="00D56A55">
        <w:t>embodied</w:t>
      </w:r>
      <w:r w:rsidRPr="00D56A55">
        <w:t xml:space="preserve"> in trade flows</w:t>
      </w:r>
      <w:r w:rsidR="00654916" w:rsidRPr="00654916">
        <w:t>, excluding local consumption for clarity.</w:t>
      </w:r>
      <w:r w:rsidRPr="00D56A55">
        <w:t xml:space="preserve"> </w:t>
      </w:r>
      <w:r w:rsidR="00D343DF" w:rsidRPr="00D56A55">
        <w:t xml:space="preserve">Developed </w:t>
      </w:r>
      <w:r w:rsidR="00E66092" w:rsidRPr="00D56A55">
        <w:t>countries</w:t>
      </w:r>
      <w:r w:rsidR="001C6F6A" w:rsidRPr="00D56A55">
        <w:t xml:space="preserve"> </w:t>
      </w:r>
      <w:r w:rsidRPr="00D56A55">
        <w:t>such as the United States</w:t>
      </w:r>
      <w:r w:rsidR="00B647F3" w:rsidRPr="00D56A55">
        <w:t xml:space="preserve"> (</w:t>
      </w:r>
      <w:r w:rsidR="00597716" w:rsidRPr="00D56A55">
        <w:rPr>
          <w:rFonts w:hint="eastAsia"/>
        </w:rPr>
        <w:t>with</w:t>
      </w:r>
      <w:r w:rsidR="00597716" w:rsidRPr="00D56A55">
        <w:t xml:space="preserve"> </w:t>
      </w:r>
      <m:oMath>
        <m:r>
          <w:rPr>
            <w:rFonts w:ascii="Cambria Math" w:hAnsi="Cambria Math"/>
            <w:szCs w:val="24"/>
          </w:rPr>
          <m:t>4.6×1</m:t>
        </m:r>
        <m:sSup>
          <m:sSupPr>
            <m:ctrlPr>
              <w:rPr>
                <w:rFonts w:ascii="Cambria Math" w:hAnsi="Cambria Math"/>
                <w:szCs w:val="24"/>
              </w:rPr>
            </m:ctrlPr>
          </m:sSupPr>
          <m:e>
            <m:r>
              <w:rPr>
                <w:rFonts w:ascii="Cambria Math" w:hAnsi="Cambria Math"/>
                <w:szCs w:val="24"/>
              </w:rPr>
              <m:t>0</m:t>
            </m:r>
          </m:e>
          <m:sup>
            <m:r>
              <w:rPr>
                <w:rFonts w:ascii="Cambria Math" w:hAnsi="Cambria Math"/>
                <w:szCs w:val="24"/>
              </w:rPr>
              <m:t>-5</m:t>
            </m:r>
          </m:sup>
        </m:sSup>
        <m:r>
          <w:rPr>
            <w:rFonts w:ascii="Cambria Math" w:hAnsi="Cambria Math"/>
            <w:szCs w:val="24"/>
          </w:rPr>
          <m:t xml:space="preserve"> </m:t>
        </m:r>
      </m:oMath>
      <w:r w:rsidR="001331C9">
        <w:rPr>
          <w:rFonts w:hint="eastAsia"/>
        </w:rPr>
        <w:t>global pdf</w:t>
      </w:r>
      <w:r w:rsidR="00597716" w:rsidRPr="00D56A55">
        <w:rPr>
          <w:szCs w:val="24"/>
        </w:rPr>
        <w:t xml:space="preserve"> </w:t>
      </w:r>
      <w:r w:rsidR="00597716" w:rsidRPr="00D56A55">
        <w:rPr>
          <w:rFonts w:hint="eastAsia"/>
          <w:szCs w:val="24"/>
        </w:rPr>
        <w:t>imports</w:t>
      </w:r>
      <w:r w:rsidR="00B647F3" w:rsidRPr="00D56A55">
        <w:t>)</w:t>
      </w:r>
      <w:r w:rsidRPr="00D56A55">
        <w:t xml:space="preserve">, </w:t>
      </w:r>
      <w:r w:rsidR="000F3DD4" w:rsidRPr="00D56A55">
        <w:t>the United Kingdom (</w:t>
      </w:r>
      <m:oMath>
        <m:r>
          <w:rPr>
            <w:rFonts w:ascii="Cambria Math" w:hAnsi="Cambria Math"/>
            <w:szCs w:val="24"/>
          </w:rPr>
          <m:t>1.0×1</m:t>
        </m:r>
        <m:sSup>
          <m:sSupPr>
            <m:ctrlPr>
              <w:rPr>
                <w:rFonts w:ascii="Cambria Math" w:hAnsi="Cambria Math"/>
                <w:szCs w:val="24"/>
              </w:rPr>
            </m:ctrlPr>
          </m:sSupPr>
          <m:e>
            <m:r>
              <w:rPr>
                <w:rFonts w:ascii="Cambria Math" w:hAnsi="Cambria Math"/>
                <w:szCs w:val="24"/>
              </w:rPr>
              <m:t>0</m:t>
            </m:r>
          </m:e>
          <m:sup>
            <m:r>
              <w:rPr>
                <w:rFonts w:ascii="Cambria Math" w:hAnsi="Cambria Math"/>
                <w:szCs w:val="24"/>
              </w:rPr>
              <m:t>-5</m:t>
            </m:r>
          </m:sup>
        </m:sSup>
      </m:oMath>
      <w:r w:rsidR="000F3DD4" w:rsidRPr="00D56A55">
        <w:rPr>
          <w:rFonts w:hint="eastAsia"/>
          <w:szCs w:val="24"/>
        </w:rPr>
        <w:t xml:space="preserve"> </w:t>
      </w:r>
      <w:r w:rsidR="000F3DD4">
        <w:rPr>
          <w:rFonts w:hint="eastAsia"/>
        </w:rPr>
        <w:t>global pdf</w:t>
      </w:r>
      <w:r w:rsidR="000F3DD4" w:rsidRPr="00D56A55">
        <w:t>),</w:t>
      </w:r>
      <w:r w:rsidR="000F3DD4">
        <w:rPr>
          <w:rFonts w:hint="eastAsia"/>
        </w:rPr>
        <w:t xml:space="preserve"> </w:t>
      </w:r>
      <w:r w:rsidRPr="00D56A55">
        <w:t>France</w:t>
      </w:r>
      <w:r w:rsidR="00B647F3" w:rsidRPr="00D56A55">
        <w:t xml:space="preserve"> (</w:t>
      </w:r>
      <m:oMath>
        <m:r>
          <w:rPr>
            <w:rFonts w:ascii="Cambria Math" w:hAnsi="Cambria Math"/>
            <w:szCs w:val="24"/>
          </w:rPr>
          <m:t>9.0×1</m:t>
        </m:r>
        <m:sSup>
          <m:sSupPr>
            <m:ctrlPr>
              <w:rPr>
                <w:rFonts w:ascii="Cambria Math" w:hAnsi="Cambria Math"/>
                <w:szCs w:val="24"/>
              </w:rPr>
            </m:ctrlPr>
          </m:sSupPr>
          <m:e>
            <m:r>
              <w:rPr>
                <w:rFonts w:ascii="Cambria Math" w:hAnsi="Cambria Math"/>
                <w:szCs w:val="24"/>
              </w:rPr>
              <m:t>0</m:t>
            </m:r>
          </m:e>
          <m:sup>
            <m:r>
              <w:rPr>
                <w:rFonts w:ascii="Cambria Math" w:hAnsi="Cambria Math"/>
                <w:szCs w:val="24"/>
              </w:rPr>
              <m:t>-6</m:t>
            </m:r>
          </m:sup>
        </m:sSup>
      </m:oMath>
      <w:r w:rsidR="00B647F3" w:rsidRPr="00D56A55">
        <w:rPr>
          <w:rFonts w:hint="eastAsia"/>
          <w:szCs w:val="24"/>
        </w:rPr>
        <w:t xml:space="preserve"> </w:t>
      </w:r>
      <w:r w:rsidR="000F3DD4">
        <w:rPr>
          <w:rFonts w:hint="eastAsia"/>
        </w:rPr>
        <w:t>global pdf</w:t>
      </w:r>
      <w:r w:rsidR="00B647F3" w:rsidRPr="00D56A55">
        <w:t>)</w:t>
      </w:r>
      <w:r w:rsidRPr="00D56A55">
        <w:t>, Japan</w:t>
      </w:r>
      <w:r w:rsidR="00B647F3" w:rsidRPr="00D56A55">
        <w:t xml:space="preserve"> (</w:t>
      </w:r>
      <m:oMath>
        <m:r>
          <w:rPr>
            <w:rFonts w:ascii="Cambria Math" w:hAnsi="Cambria Math"/>
            <w:szCs w:val="24"/>
          </w:rPr>
          <m:t>9.8×1</m:t>
        </m:r>
        <m:sSup>
          <m:sSupPr>
            <m:ctrlPr>
              <w:rPr>
                <w:rFonts w:ascii="Cambria Math" w:hAnsi="Cambria Math"/>
                <w:szCs w:val="24"/>
              </w:rPr>
            </m:ctrlPr>
          </m:sSupPr>
          <m:e>
            <m:r>
              <w:rPr>
                <w:rFonts w:ascii="Cambria Math" w:hAnsi="Cambria Math"/>
                <w:szCs w:val="24"/>
              </w:rPr>
              <m:t>0</m:t>
            </m:r>
          </m:e>
          <m:sup>
            <m:r>
              <w:rPr>
                <w:rFonts w:ascii="Cambria Math" w:hAnsi="Cambria Math"/>
                <w:szCs w:val="24"/>
              </w:rPr>
              <m:t>-6</m:t>
            </m:r>
          </m:sup>
        </m:sSup>
      </m:oMath>
      <w:r w:rsidR="000F3DD4">
        <w:rPr>
          <w:rFonts w:hint="eastAsia"/>
          <w:szCs w:val="24"/>
        </w:rPr>
        <w:t>global pdf</w:t>
      </w:r>
      <w:r w:rsidR="00B647F3" w:rsidRPr="00D56A55">
        <w:t>)</w:t>
      </w:r>
      <w:r w:rsidRPr="00D56A55">
        <w:t xml:space="preserve">, </w:t>
      </w:r>
      <w:r w:rsidR="000F3DD4" w:rsidRPr="000F3DD4">
        <w:t>Italy</w:t>
      </w:r>
      <w:r w:rsidR="00B647F3" w:rsidRPr="00D56A55">
        <w:t xml:space="preserve"> (</w:t>
      </w:r>
      <m:oMath>
        <m:r>
          <w:rPr>
            <w:rFonts w:ascii="Cambria Math" w:hAnsi="Cambria Math"/>
            <w:szCs w:val="24"/>
          </w:rPr>
          <m:t>3.1×1</m:t>
        </m:r>
        <m:sSup>
          <m:sSupPr>
            <m:ctrlPr>
              <w:rPr>
                <w:rFonts w:ascii="Cambria Math" w:hAnsi="Cambria Math"/>
                <w:szCs w:val="24"/>
              </w:rPr>
            </m:ctrlPr>
          </m:sSupPr>
          <m:e>
            <m:r>
              <w:rPr>
                <w:rFonts w:ascii="Cambria Math" w:hAnsi="Cambria Math"/>
                <w:szCs w:val="24"/>
              </w:rPr>
              <m:t>0</m:t>
            </m:r>
          </m:e>
          <m:sup>
            <m:r>
              <w:rPr>
                <w:rFonts w:ascii="Cambria Math" w:hAnsi="Cambria Math"/>
                <w:szCs w:val="24"/>
              </w:rPr>
              <m:t>-4</m:t>
            </m:r>
          </m:sup>
        </m:sSup>
      </m:oMath>
      <w:r w:rsidR="000F3DD4">
        <w:rPr>
          <w:rFonts w:hint="eastAsia"/>
          <w:szCs w:val="24"/>
        </w:rPr>
        <w:t xml:space="preserve"> global pdf</w:t>
      </w:r>
      <w:r w:rsidR="00B647F3" w:rsidRPr="00D56A55">
        <w:t>)</w:t>
      </w:r>
      <w:r w:rsidRPr="00D56A55">
        <w:t xml:space="preserve">, </w:t>
      </w:r>
      <w:r w:rsidR="000F3DD4">
        <w:rPr>
          <w:rFonts w:hint="eastAsia"/>
        </w:rPr>
        <w:t xml:space="preserve">Spain </w:t>
      </w:r>
      <w:r w:rsidR="000F3DD4" w:rsidRPr="00D56A55">
        <w:t>(</w:t>
      </w:r>
      <m:oMath>
        <m:r>
          <w:rPr>
            <w:rFonts w:ascii="Cambria Math" w:hAnsi="Cambria Math"/>
            <w:szCs w:val="24"/>
          </w:rPr>
          <m:t>4.7×1</m:t>
        </m:r>
        <m:sSup>
          <m:sSupPr>
            <m:ctrlPr>
              <w:rPr>
                <w:rFonts w:ascii="Cambria Math" w:hAnsi="Cambria Math"/>
                <w:szCs w:val="24"/>
              </w:rPr>
            </m:ctrlPr>
          </m:sSupPr>
          <m:e>
            <m:r>
              <w:rPr>
                <w:rFonts w:ascii="Cambria Math" w:hAnsi="Cambria Math"/>
                <w:szCs w:val="24"/>
              </w:rPr>
              <m:t>0</m:t>
            </m:r>
          </m:e>
          <m:sup>
            <m:r>
              <w:rPr>
                <w:rFonts w:ascii="Cambria Math" w:hAnsi="Cambria Math"/>
                <w:szCs w:val="24"/>
              </w:rPr>
              <m:t>-6</m:t>
            </m:r>
          </m:sup>
        </m:sSup>
      </m:oMath>
      <w:r w:rsidR="000F3DD4" w:rsidRPr="00D56A55">
        <w:rPr>
          <w:rFonts w:hint="eastAsia"/>
          <w:szCs w:val="24"/>
        </w:rPr>
        <w:t xml:space="preserve"> </w:t>
      </w:r>
      <w:r w:rsidR="00207A5B">
        <w:rPr>
          <w:rFonts w:hint="eastAsia"/>
        </w:rPr>
        <w:t>global pdf</w:t>
      </w:r>
      <w:r w:rsidR="000F3DD4" w:rsidRPr="00D56A55">
        <w:t>)</w:t>
      </w:r>
      <w:r w:rsidR="000F3DD4">
        <w:rPr>
          <w:rFonts w:hint="eastAsia"/>
        </w:rPr>
        <w:t xml:space="preserve">, and </w:t>
      </w:r>
      <w:r w:rsidR="006C686D" w:rsidRPr="00D56A55">
        <w:t>Canada (</w:t>
      </w:r>
      <m:oMath>
        <m:r>
          <w:rPr>
            <w:rFonts w:ascii="Cambria Math" w:hAnsi="Cambria Math"/>
            <w:szCs w:val="24"/>
          </w:rPr>
          <m:t>4.7×1</m:t>
        </m:r>
        <m:sSup>
          <m:sSupPr>
            <m:ctrlPr>
              <w:rPr>
                <w:rFonts w:ascii="Cambria Math" w:hAnsi="Cambria Math"/>
                <w:szCs w:val="24"/>
              </w:rPr>
            </m:ctrlPr>
          </m:sSupPr>
          <m:e>
            <m:r>
              <w:rPr>
                <w:rFonts w:ascii="Cambria Math" w:hAnsi="Cambria Math"/>
                <w:szCs w:val="24"/>
              </w:rPr>
              <m:t>0</m:t>
            </m:r>
          </m:e>
          <m:sup>
            <m:r>
              <w:rPr>
                <w:rFonts w:ascii="Cambria Math" w:hAnsi="Cambria Math"/>
                <w:szCs w:val="24"/>
              </w:rPr>
              <m:t>-6</m:t>
            </m:r>
          </m:sup>
        </m:sSup>
      </m:oMath>
      <w:r w:rsidR="006C686D" w:rsidRPr="00D56A55">
        <w:rPr>
          <w:rFonts w:hint="eastAsia"/>
          <w:szCs w:val="24"/>
        </w:rPr>
        <w:t xml:space="preserve"> </w:t>
      </w:r>
      <w:r w:rsidR="00207A5B">
        <w:rPr>
          <w:rFonts w:hint="eastAsia"/>
        </w:rPr>
        <w:t>global pdf)</w:t>
      </w:r>
      <w:r w:rsidRPr="00D56A55">
        <w:t xml:space="preserve"> </w:t>
      </w:r>
      <w:r w:rsidR="00654916">
        <w:t>were</w:t>
      </w:r>
      <w:r w:rsidR="00654916" w:rsidRPr="00D56A55">
        <w:t xml:space="preserve"> </w:t>
      </w:r>
      <w:r w:rsidRPr="00D56A55">
        <w:t xml:space="preserve">the </w:t>
      </w:r>
      <w:r w:rsidR="00597716" w:rsidRPr="00D56A55">
        <w:t xml:space="preserve">largest </w:t>
      </w:r>
      <w:r w:rsidRPr="00D56A55">
        <w:t xml:space="preserve">beneficiaries in international trade. </w:t>
      </w:r>
      <w:r w:rsidR="00D0394E" w:rsidRPr="00517623">
        <w:rPr>
          <w:color w:val="000000" w:themeColor="text1"/>
        </w:rPr>
        <w:t xml:space="preserve">Other developing countries of the world, such as those in the Rest of Asia and the Pacific, </w:t>
      </w:r>
      <w:r w:rsidR="00207A5B" w:rsidRPr="00517623">
        <w:rPr>
          <w:color w:val="000000" w:themeColor="text1"/>
        </w:rPr>
        <w:t>the Rest of A</w:t>
      </w:r>
      <w:r w:rsidR="00207A5B">
        <w:rPr>
          <w:rFonts w:hint="eastAsia"/>
          <w:color w:val="000000" w:themeColor="text1"/>
        </w:rPr>
        <w:t>merica,</w:t>
      </w:r>
      <w:r w:rsidR="00207A5B" w:rsidRPr="00517623">
        <w:rPr>
          <w:color w:val="000000" w:themeColor="text1"/>
        </w:rPr>
        <w:t xml:space="preserve"> </w:t>
      </w:r>
      <w:r w:rsidR="00D0394E" w:rsidRPr="00517623">
        <w:rPr>
          <w:color w:val="000000" w:themeColor="text1"/>
        </w:rPr>
        <w:t>the Rest of Africa, and the Rest of Middle East, also have an overseas biodiversity loss footprint through imports, as they lack the necessary domestic renewable energy infrastructure.</w:t>
      </w:r>
      <w:r w:rsidR="00D0394E">
        <w:rPr>
          <w:color w:val="0070C0"/>
        </w:rPr>
        <w:t xml:space="preserve"> </w:t>
      </w:r>
      <w:r w:rsidR="00654916">
        <w:t>Exporting countries such as</w:t>
      </w:r>
      <w:r w:rsidR="006822E6" w:rsidRPr="00D56A55">
        <w:t xml:space="preserve"> China (</w:t>
      </w:r>
      <w:r w:rsidR="000F3BF6" w:rsidRPr="00D56A55">
        <w:t xml:space="preserve">with </w:t>
      </w:r>
      <m:oMath>
        <m:r>
          <w:rPr>
            <w:rFonts w:ascii="Cambria Math" w:hAnsi="Cambria Math"/>
            <w:szCs w:val="24"/>
          </w:rPr>
          <m:t>5.0×1</m:t>
        </m:r>
        <m:sSup>
          <m:sSupPr>
            <m:ctrlPr>
              <w:rPr>
                <w:rFonts w:ascii="Cambria Math" w:hAnsi="Cambria Math"/>
                <w:szCs w:val="24"/>
              </w:rPr>
            </m:ctrlPr>
          </m:sSupPr>
          <m:e>
            <m:r>
              <w:rPr>
                <w:rFonts w:ascii="Cambria Math" w:hAnsi="Cambria Math"/>
                <w:szCs w:val="24"/>
              </w:rPr>
              <m:t>0</m:t>
            </m:r>
          </m:e>
          <m:sup>
            <m:r>
              <w:rPr>
                <w:rFonts w:ascii="Cambria Math" w:hAnsi="Cambria Math"/>
                <w:szCs w:val="24"/>
              </w:rPr>
              <m:t>-5</m:t>
            </m:r>
          </m:sup>
        </m:sSup>
      </m:oMath>
      <w:r w:rsidR="006822E6" w:rsidRPr="00D56A55">
        <w:rPr>
          <w:rFonts w:hint="eastAsia"/>
          <w:szCs w:val="24"/>
        </w:rPr>
        <w:t xml:space="preserve"> </w:t>
      </w:r>
      <w:r w:rsidR="0003428E">
        <w:rPr>
          <w:rFonts w:hint="eastAsia"/>
        </w:rPr>
        <w:t>global pdf</w:t>
      </w:r>
      <w:r w:rsidR="003B1BB0">
        <w:rPr>
          <w:rFonts w:hint="eastAsia"/>
        </w:rPr>
        <w:t xml:space="preserve"> export</w:t>
      </w:r>
      <w:r w:rsidR="006822E6" w:rsidRPr="00D56A55">
        <w:rPr>
          <w:rFonts w:hint="eastAsia"/>
          <w:szCs w:val="24"/>
        </w:rPr>
        <w:t>)</w:t>
      </w:r>
      <w:r w:rsidR="006822E6" w:rsidRPr="00D56A55">
        <w:t>, Brazil (</w:t>
      </w:r>
      <m:oMath>
        <m:r>
          <w:rPr>
            <w:rFonts w:ascii="Cambria Math" w:hAnsi="Cambria Math"/>
            <w:szCs w:val="24"/>
          </w:rPr>
          <m:t>4.7×1</m:t>
        </m:r>
        <m:sSup>
          <m:sSupPr>
            <m:ctrlPr>
              <w:rPr>
                <w:rFonts w:ascii="Cambria Math" w:hAnsi="Cambria Math"/>
                <w:szCs w:val="24"/>
              </w:rPr>
            </m:ctrlPr>
          </m:sSupPr>
          <m:e>
            <m:r>
              <w:rPr>
                <w:rFonts w:ascii="Cambria Math" w:hAnsi="Cambria Math"/>
                <w:szCs w:val="24"/>
              </w:rPr>
              <m:t>0</m:t>
            </m:r>
          </m:e>
          <m:sup>
            <m:r>
              <w:rPr>
                <w:rFonts w:ascii="Cambria Math" w:hAnsi="Cambria Math"/>
                <w:szCs w:val="24"/>
              </w:rPr>
              <m:t>-5</m:t>
            </m:r>
          </m:sup>
        </m:sSup>
      </m:oMath>
      <w:r w:rsidR="006822E6" w:rsidRPr="00D56A55">
        <w:rPr>
          <w:rFonts w:hint="eastAsia"/>
          <w:szCs w:val="24"/>
        </w:rPr>
        <w:t xml:space="preserve"> </w:t>
      </w:r>
      <w:bookmarkStart w:id="12" w:name="OLE_LINK10"/>
      <w:r w:rsidR="0003428E">
        <w:rPr>
          <w:rFonts w:hint="eastAsia"/>
        </w:rPr>
        <w:t>global pdf</w:t>
      </w:r>
      <w:bookmarkEnd w:id="12"/>
      <w:r w:rsidR="006822E6" w:rsidRPr="00D56A55">
        <w:t>), India (</w:t>
      </w:r>
      <m:oMath>
        <m:r>
          <w:rPr>
            <w:rFonts w:ascii="Cambria Math" w:hAnsi="Cambria Math"/>
            <w:szCs w:val="24"/>
          </w:rPr>
          <m:t>2.7×1</m:t>
        </m:r>
        <m:sSup>
          <m:sSupPr>
            <m:ctrlPr>
              <w:rPr>
                <w:rFonts w:ascii="Cambria Math" w:hAnsi="Cambria Math"/>
                <w:szCs w:val="24"/>
              </w:rPr>
            </m:ctrlPr>
          </m:sSupPr>
          <m:e>
            <m:r>
              <w:rPr>
                <w:rFonts w:ascii="Cambria Math" w:hAnsi="Cambria Math"/>
                <w:szCs w:val="24"/>
              </w:rPr>
              <m:t>0</m:t>
            </m:r>
          </m:e>
          <m:sup>
            <m:r>
              <w:rPr>
                <w:rFonts w:ascii="Cambria Math" w:hAnsi="Cambria Math"/>
                <w:szCs w:val="24"/>
              </w:rPr>
              <m:t>-5</m:t>
            </m:r>
          </m:sup>
        </m:sSup>
      </m:oMath>
      <w:r w:rsidR="0003428E">
        <w:rPr>
          <w:rFonts w:hint="eastAsia"/>
          <w:szCs w:val="24"/>
        </w:rPr>
        <w:t xml:space="preserve"> global pdf</w:t>
      </w:r>
      <w:r w:rsidR="006822E6" w:rsidRPr="00D56A55">
        <w:t>), Spain (</w:t>
      </w:r>
      <m:oMath>
        <m:r>
          <w:rPr>
            <w:rFonts w:ascii="Cambria Math" w:hAnsi="Cambria Math"/>
            <w:szCs w:val="24"/>
          </w:rPr>
          <m:t>1.3×1</m:t>
        </m:r>
        <m:sSup>
          <m:sSupPr>
            <m:ctrlPr>
              <w:rPr>
                <w:rFonts w:ascii="Cambria Math" w:hAnsi="Cambria Math"/>
                <w:szCs w:val="24"/>
              </w:rPr>
            </m:ctrlPr>
          </m:sSupPr>
          <m:e>
            <m:r>
              <w:rPr>
                <w:rFonts w:ascii="Cambria Math" w:hAnsi="Cambria Math"/>
                <w:szCs w:val="24"/>
              </w:rPr>
              <m:t>0</m:t>
            </m:r>
          </m:e>
          <m:sup>
            <m:r>
              <w:rPr>
                <w:rFonts w:ascii="Cambria Math" w:hAnsi="Cambria Math"/>
                <w:szCs w:val="24"/>
              </w:rPr>
              <m:t>-5</m:t>
            </m:r>
          </m:sup>
        </m:sSup>
      </m:oMath>
      <w:r w:rsidR="006822E6" w:rsidRPr="00D56A55">
        <w:rPr>
          <w:rFonts w:hint="eastAsia"/>
          <w:szCs w:val="24"/>
        </w:rPr>
        <w:t xml:space="preserve"> </w:t>
      </w:r>
      <w:r w:rsidR="0003428E">
        <w:rPr>
          <w:rFonts w:hint="eastAsia"/>
        </w:rPr>
        <w:t>global pdf</w:t>
      </w:r>
      <w:r w:rsidR="006822E6" w:rsidRPr="00D56A55">
        <w:t xml:space="preserve">), and South Africa </w:t>
      </w:r>
      <m:oMath>
        <m:r>
          <w:rPr>
            <w:rFonts w:ascii="Cambria Math" w:hAnsi="Cambria Math"/>
          </w:rPr>
          <m:t>(</m:t>
        </m:r>
        <w:bookmarkStart w:id="13" w:name="OLE_LINK15"/>
        <m:r>
          <w:rPr>
            <w:rFonts w:ascii="Cambria Math" w:hAnsi="Cambria Math"/>
            <w:szCs w:val="24"/>
          </w:rPr>
          <m:t>1.2×1</m:t>
        </m:r>
        <m:sSup>
          <m:sSupPr>
            <m:ctrlPr>
              <w:rPr>
                <w:rFonts w:ascii="Cambria Math" w:hAnsi="Cambria Math"/>
                <w:szCs w:val="24"/>
              </w:rPr>
            </m:ctrlPr>
          </m:sSupPr>
          <m:e>
            <m:r>
              <w:rPr>
                <w:rFonts w:ascii="Cambria Math" w:hAnsi="Cambria Math"/>
                <w:szCs w:val="24"/>
              </w:rPr>
              <m:t>0</m:t>
            </m:r>
          </m:e>
          <m:sup>
            <m:r>
              <w:rPr>
                <w:rFonts w:ascii="Cambria Math" w:hAnsi="Cambria Math"/>
                <w:szCs w:val="24"/>
              </w:rPr>
              <m:t>-5</m:t>
            </m:r>
          </m:sup>
        </m:sSup>
      </m:oMath>
      <w:bookmarkEnd w:id="13"/>
      <w:r w:rsidR="006822E6" w:rsidRPr="00D56A55">
        <w:rPr>
          <w:rFonts w:hint="eastAsia"/>
          <w:szCs w:val="24"/>
        </w:rPr>
        <w:t xml:space="preserve"> </w:t>
      </w:r>
      <w:r w:rsidR="0003428E">
        <w:rPr>
          <w:rFonts w:hint="eastAsia"/>
        </w:rPr>
        <w:t>global pdf</w:t>
      </w:r>
      <w:r w:rsidR="006822E6" w:rsidRPr="00D56A55">
        <w:t xml:space="preserve">) </w:t>
      </w:r>
      <w:r w:rsidR="00654916">
        <w:t>exhibited substantial biodiversity loss embodied in exports</w:t>
      </w:r>
      <w:r w:rsidR="006822E6" w:rsidRPr="00D56A55">
        <w:t>.</w:t>
      </w:r>
      <w:r w:rsidR="006822E6" w:rsidRPr="00D56A55">
        <w:rPr>
          <w:rFonts w:hint="eastAsia"/>
        </w:rPr>
        <w:t xml:space="preserve"> </w:t>
      </w:r>
      <w:r w:rsidR="00BC7CB8" w:rsidRPr="00D56A55">
        <w:t xml:space="preserve">However, slight variations exist among different species </w:t>
      </w:r>
      <w:r w:rsidR="00D7059B" w:rsidRPr="00D56A55">
        <w:rPr>
          <w:rFonts w:hint="eastAsia"/>
          <w:szCs w:val="32"/>
        </w:rPr>
        <w:t>group</w:t>
      </w:r>
      <w:r w:rsidR="00D7059B" w:rsidRPr="00D56A55">
        <w:t xml:space="preserve"> </w:t>
      </w:r>
      <w:r w:rsidR="00BC7CB8" w:rsidRPr="00D56A55">
        <w:t xml:space="preserve">at the regional level. For instance, </w:t>
      </w:r>
      <w:r w:rsidR="00FD0DAD" w:rsidRPr="00D56A55">
        <w:rPr>
          <w:rFonts w:hint="eastAsia"/>
        </w:rPr>
        <w:t>S</w:t>
      </w:r>
      <w:r w:rsidR="00FD0DAD" w:rsidRPr="00D56A55">
        <w:t xml:space="preserve">pain </w:t>
      </w:r>
      <w:r w:rsidR="006822E6" w:rsidRPr="00D56A55">
        <w:rPr>
          <w:rFonts w:hint="eastAsia"/>
        </w:rPr>
        <w:t>was the</w:t>
      </w:r>
      <w:r w:rsidR="00FD0DAD" w:rsidRPr="00D56A55">
        <w:t xml:space="preserve"> main </w:t>
      </w:r>
      <w:r w:rsidR="006822E6" w:rsidRPr="00D56A55">
        <w:rPr>
          <w:rFonts w:hint="eastAsia"/>
        </w:rPr>
        <w:t xml:space="preserve">exporter </w:t>
      </w:r>
      <w:r w:rsidR="00597716" w:rsidRPr="00D56A55">
        <w:t xml:space="preserve">concerning mammals </w:t>
      </w:r>
      <w:r w:rsidR="00FD0DAD" w:rsidRPr="00D56A55">
        <w:t>(</w:t>
      </w:r>
      <w:r w:rsidR="00822DD5" w:rsidRPr="00D56A55">
        <w:rPr>
          <w:rFonts w:hint="eastAsia"/>
        </w:rPr>
        <w:t>e</w:t>
      </w:r>
      <w:r w:rsidR="00822DD5" w:rsidRPr="00D56A55">
        <w:t xml:space="preserve">xport </w:t>
      </w:r>
      <m:oMath>
        <m:r>
          <m:rPr>
            <m:sty m:val="p"/>
          </m:rPr>
          <w:rPr>
            <w:rFonts w:ascii="Cambria Math" w:hAnsi="Cambria Math"/>
          </w:rPr>
          <m:t>2.6×1</m:t>
        </m:r>
        <m:sSup>
          <m:sSupPr>
            <m:ctrlPr>
              <w:rPr>
                <w:rFonts w:ascii="Cambria Math" w:hAnsi="Cambria Math"/>
              </w:rPr>
            </m:ctrlPr>
          </m:sSupPr>
          <m:e>
            <m:r>
              <m:rPr>
                <m:sty m:val="p"/>
              </m:rPr>
              <w:rPr>
                <w:rFonts w:ascii="Cambria Math" w:hAnsi="Cambria Math"/>
              </w:rPr>
              <m:t>0</m:t>
            </m:r>
          </m:e>
          <m:sup>
            <m:r>
              <m:rPr>
                <m:sty m:val="p"/>
              </m:rPr>
              <w:rPr>
                <w:rFonts w:ascii="Cambria Math" w:hAnsi="Cambria Math"/>
              </w:rPr>
              <m:t>-6</m:t>
            </m:r>
          </m:sup>
        </m:sSup>
      </m:oMath>
      <w:r w:rsidR="00822DD5" w:rsidRPr="00D56A55">
        <w:rPr>
          <w:rFonts w:hint="eastAsia"/>
        </w:rPr>
        <w:t xml:space="preserve"> </w:t>
      </w:r>
      <w:bookmarkStart w:id="14" w:name="OLE_LINK11"/>
      <w:r w:rsidR="0003428E">
        <w:rPr>
          <w:rFonts w:hint="eastAsia"/>
        </w:rPr>
        <w:t>global pdf</w:t>
      </w:r>
      <w:bookmarkEnd w:id="14"/>
      <w:r w:rsidR="00FD0DAD" w:rsidRPr="00D56A55">
        <w:t>)</w:t>
      </w:r>
      <w:r w:rsidR="00BC7CB8" w:rsidRPr="00D56A55">
        <w:rPr>
          <w:rFonts w:hint="eastAsia"/>
        </w:rPr>
        <w:t>.</w:t>
      </w:r>
      <w:r w:rsidR="00486462" w:rsidRPr="00D56A55">
        <w:t xml:space="preserve"> France, owing to wind farms </w:t>
      </w:r>
      <w:r w:rsidR="006822E6" w:rsidRPr="00D56A55">
        <w:rPr>
          <w:rFonts w:hint="eastAsia"/>
        </w:rPr>
        <w:t>in</w:t>
      </w:r>
      <w:r w:rsidR="006822E6" w:rsidRPr="00D56A55">
        <w:t xml:space="preserve"> </w:t>
      </w:r>
      <w:r w:rsidR="00486462" w:rsidRPr="00D56A55">
        <w:t xml:space="preserve">its overseas </w:t>
      </w:r>
      <w:r w:rsidR="006822E6" w:rsidRPr="00D56A55">
        <w:rPr>
          <w:rFonts w:hint="eastAsia"/>
        </w:rPr>
        <w:t>territory</w:t>
      </w:r>
      <w:r w:rsidR="00486462" w:rsidRPr="00D56A55">
        <w:t xml:space="preserve"> Guadeloupe </w:t>
      </w:r>
      <w:r w:rsidR="006822E6" w:rsidRPr="00D56A55">
        <w:rPr>
          <w:rFonts w:hint="eastAsia"/>
        </w:rPr>
        <w:t>located in</w:t>
      </w:r>
      <w:r w:rsidR="00486462" w:rsidRPr="00D56A55">
        <w:t xml:space="preserve"> eco</w:t>
      </w:r>
      <w:r w:rsidR="001E6716">
        <w:rPr>
          <w:rFonts w:hint="eastAsia"/>
        </w:rPr>
        <w:t>region</w:t>
      </w:r>
      <w:r w:rsidR="00486462" w:rsidRPr="00D56A55">
        <w:t>s with higher CFs for reptiles, consequently export</w:t>
      </w:r>
      <w:r w:rsidR="00532AD2" w:rsidRPr="00D56A55">
        <w:t>ed</w:t>
      </w:r>
      <w:r w:rsidR="00486462" w:rsidRPr="00D56A55">
        <w:t xml:space="preserve"> significant biodiversity losses of reptiles (</w:t>
      </w:r>
      <m:oMath>
        <m:r>
          <m:rPr>
            <m:sty m:val="p"/>
          </m:rPr>
          <w:rPr>
            <w:rFonts w:ascii="Cambria Math" w:hAnsi="Cambria Math"/>
          </w:rPr>
          <m:t>3.7×1</m:t>
        </m:r>
        <m:sSup>
          <m:sSupPr>
            <m:ctrlPr>
              <w:rPr>
                <w:rFonts w:ascii="Cambria Math" w:hAnsi="Cambria Math"/>
              </w:rPr>
            </m:ctrlPr>
          </m:sSupPr>
          <m:e>
            <m:r>
              <m:rPr>
                <m:sty m:val="p"/>
              </m:rPr>
              <w:rPr>
                <w:rFonts w:ascii="Cambria Math" w:hAnsi="Cambria Math"/>
              </w:rPr>
              <m:t>0</m:t>
            </m:r>
          </m:e>
          <m:sup>
            <m:r>
              <m:rPr>
                <m:sty m:val="p"/>
              </m:rPr>
              <w:rPr>
                <w:rFonts w:ascii="Cambria Math" w:hAnsi="Cambria Math"/>
              </w:rPr>
              <m:t>-6</m:t>
            </m:r>
          </m:sup>
        </m:sSup>
      </m:oMath>
      <w:r w:rsidR="00486462" w:rsidRPr="00D56A55">
        <w:rPr>
          <w:rFonts w:hint="eastAsia"/>
        </w:rPr>
        <w:t xml:space="preserve"> </w:t>
      </w:r>
      <w:bookmarkStart w:id="15" w:name="OLE_LINK12"/>
      <w:r w:rsidR="00D64C62">
        <w:rPr>
          <w:rFonts w:hint="eastAsia"/>
        </w:rPr>
        <w:t>global pdf</w:t>
      </w:r>
      <w:bookmarkEnd w:id="15"/>
      <w:r w:rsidR="00486462" w:rsidRPr="00D56A55">
        <w:t>).</w:t>
      </w:r>
      <w:r w:rsidR="00BC7CB8" w:rsidRPr="00D56A55">
        <w:t xml:space="preserve"> </w:t>
      </w:r>
      <w:r w:rsidR="00532AD2" w:rsidRPr="00D56A55">
        <w:t xml:space="preserve">The </w:t>
      </w:r>
      <w:r w:rsidR="006822E6" w:rsidRPr="00D56A55">
        <w:rPr>
          <w:rFonts w:hint="eastAsia"/>
        </w:rPr>
        <w:t>R</w:t>
      </w:r>
      <w:r w:rsidR="00532AD2" w:rsidRPr="00D56A55">
        <w:t>est of America also exported substantial biodiversity losses of reptiles and amphibians for similar reasons (</w:t>
      </w:r>
      <m:oMath>
        <m:r>
          <m:rPr>
            <m:sty m:val="p"/>
          </m:rPr>
          <w:rPr>
            <w:rFonts w:ascii="Cambria Math" w:hAnsi="Cambria Math"/>
          </w:rPr>
          <m:t>4.6×1</m:t>
        </m:r>
        <m:sSup>
          <m:sSupPr>
            <m:ctrlPr>
              <w:rPr>
                <w:rFonts w:ascii="Cambria Math" w:hAnsi="Cambria Math"/>
              </w:rPr>
            </m:ctrlPr>
          </m:sSupPr>
          <m:e>
            <m:r>
              <m:rPr>
                <m:sty m:val="p"/>
              </m:rPr>
              <w:rPr>
                <w:rFonts w:ascii="Cambria Math" w:hAnsi="Cambria Math"/>
              </w:rPr>
              <m:t>0</m:t>
            </m:r>
          </m:e>
          <m:sup>
            <m:r>
              <m:rPr>
                <m:sty m:val="p"/>
              </m:rPr>
              <w:rPr>
                <w:rFonts w:ascii="Cambria Math" w:hAnsi="Cambria Math"/>
              </w:rPr>
              <m:t>-6</m:t>
            </m:r>
          </m:sup>
        </m:sSup>
      </m:oMath>
      <w:r w:rsidR="00532AD2" w:rsidRPr="00D56A55">
        <w:rPr>
          <w:rFonts w:hint="eastAsia"/>
        </w:rPr>
        <w:t xml:space="preserve"> </w:t>
      </w:r>
      <w:r w:rsidR="00532AD2" w:rsidRPr="00D56A55">
        <w:t xml:space="preserve">and </w:t>
      </w:r>
      <m:oMath>
        <m:r>
          <m:rPr>
            <m:sty m:val="p"/>
          </m:rPr>
          <w:rPr>
            <w:rFonts w:ascii="Cambria Math" w:hAnsi="Cambria Math"/>
          </w:rPr>
          <m:t>4.3×1</m:t>
        </m:r>
        <m:sSup>
          <m:sSupPr>
            <m:ctrlPr>
              <w:rPr>
                <w:rFonts w:ascii="Cambria Math" w:hAnsi="Cambria Math"/>
              </w:rPr>
            </m:ctrlPr>
          </m:sSupPr>
          <m:e>
            <m:r>
              <m:rPr>
                <m:sty m:val="p"/>
              </m:rPr>
              <w:rPr>
                <w:rFonts w:ascii="Cambria Math" w:hAnsi="Cambria Math"/>
              </w:rPr>
              <m:t>0</m:t>
            </m:r>
          </m:e>
          <m:sup>
            <m:r>
              <m:rPr>
                <m:sty m:val="p"/>
              </m:rPr>
              <w:rPr>
                <w:rFonts w:ascii="Cambria Math" w:hAnsi="Cambria Math"/>
              </w:rPr>
              <m:t>-6</m:t>
            </m:r>
          </m:sup>
        </m:sSup>
      </m:oMath>
      <w:r w:rsidR="00532AD2" w:rsidRPr="00D56A55">
        <w:rPr>
          <w:rFonts w:hint="eastAsia"/>
        </w:rPr>
        <w:t xml:space="preserve"> </w:t>
      </w:r>
      <w:r w:rsidR="00D64C62">
        <w:rPr>
          <w:rFonts w:hint="eastAsia"/>
        </w:rPr>
        <w:t>global pdf</w:t>
      </w:r>
      <w:r w:rsidR="00532AD2" w:rsidRPr="00D56A55">
        <w:t xml:space="preserve">). </w:t>
      </w:r>
    </w:p>
    <w:p w14:paraId="3C862894" w14:textId="0753896A" w:rsidR="00D51914" w:rsidRPr="00AF1870" w:rsidRDefault="00447BC2" w:rsidP="009D78A4">
      <w:pPr>
        <w:spacing w:line="360" w:lineRule="auto"/>
        <w:jc w:val="center"/>
      </w:pPr>
      <w:r>
        <w:rPr>
          <w:noProof/>
          <w14:ligatures w14:val="none"/>
        </w:rPr>
        <w:lastRenderedPageBreak/>
        <w:drawing>
          <wp:inline distT="0" distB="0" distL="0" distR="0" wp14:anchorId="0E00E1FA" wp14:editId="76AE06D8">
            <wp:extent cx="4339056" cy="5343631"/>
            <wp:effectExtent l="0" t="0" r="4445" b="3175"/>
            <wp:docPr id="123860029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8600292" name="图片 123860029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358006" cy="5366969"/>
                    </a:xfrm>
                    <a:prstGeom prst="rect">
                      <a:avLst/>
                    </a:prstGeom>
                  </pic:spPr>
                </pic:pic>
              </a:graphicData>
            </a:graphic>
          </wp:inline>
        </w:drawing>
      </w:r>
    </w:p>
    <w:p w14:paraId="2EA14F8D" w14:textId="74A3DE5D" w:rsidR="00044FF4" w:rsidRPr="00D56A55" w:rsidRDefault="00044FF4" w:rsidP="00044FF4">
      <w:pPr>
        <w:spacing w:line="360" w:lineRule="auto"/>
        <w:rPr>
          <w:b/>
          <w:bCs/>
        </w:rPr>
      </w:pPr>
      <w:bookmarkStart w:id="16" w:name="_Hlk164360670"/>
      <w:r w:rsidRPr="00D56A55">
        <w:rPr>
          <w:b/>
          <w:bCs/>
        </w:rPr>
        <w:t xml:space="preserve">Figure </w:t>
      </w:r>
      <w:r w:rsidR="007A3543">
        <w:rPr>
          <w:rFonts w:hint="eastAsia"/>
          <w:b/>
          <w:bCs/>
        </w:rPr>
        <w:t>2</w:t>
      </w:r>
      <w:r w:rsidRPr="00D56A55">
        <w:rPr>
          <w:rFonts w:hint="eastAsia"/>
          <w:b/>
          <w:bCs/>
        </w:rPr>
        <w:t>.</w:t>
      </w:r>
      <w:r w:rsidRPr="00D56A55">
        <w:rPr>
          <w:b/>
          <w:bCs/>
        </w:rPr>
        <w:t xml:space="preserve"> </w:t>
      </w:r>
      <w:r w:rsidR="002F0DAA">
        <w:rPr>
          <w:rFonts w:hint="eastAsia"/>
          <w:b/>
          <w:bCs/>
        </w:rPr>
        <w:t xml:space="preserve">Land occupation of renewable energy </w:t>
      </w:r>
      <w:r w:rsidR="00EC7B67" w:rsidRPr="00D56A55">
        <w:rPr>
          <w:b/>
          <w:bCs/>
        </w:rPr>
        <w:t>related b</w:t>
      </w:r>
      <w:r w:rsidRPr="00D56A55">
        <w:rPr>
          <w:b/>
          <w:bCs/>
        </w:rPr>
        <w:t xml:space="preserve">iodiversity </w:t>
      </w:r>
      <w:r w:rsidR="001B3AD1" w:rsidRPr="00D56A55">
        <w:rPr>
          <w:rFonts w:hint="eastAsia"/>
          <w:b/>
          <w:bCs/>
        </w:rPr>
        <w:t>loss</w:t>
      </w:r>
      <w:r w:rsidR="001B3AD1" w:rsidRPr="00D56A55">
        <w:rPr>
          <w:b/>
          <w:bCs/>
        </w:rPr>
        <w:t xml:space="preserve"> embodied in </w:t>
      </w:r>
      <w:r w:rsidR="00F37C02" w:rsidRPr="00D56A55">
        <w:rPr>
          <w:rFonts w:hint="eastAsia"/>
          <w:b/>
          <w:bCs/>
        </w:rPr>
        <w:t>the</w:t>
      </w:r>
      <w:r w:rsidR="00F37C02" w:rsidRPr="00D56A55">
        <w:rPr>
          <w:b/>
          <w:bCs/>
        </w:rPr>
        <w:t xml:space="preserve"> </w:t>
      </w:r>
      <w:r w:rsidR="001B3AD1" w:rsidRPr="00D56A55">
        <w:rPr>
          <w:b/>
          <w:bCs/>
        </w:rPr>
        <w:t xml:space="preserve">consumption of </w:t>
      </w:r>
      <w:r w:rsidR="00E66092" w:rsidRPr="00D56A55">
        <w:rPr>
          <w:b/>
          <w:bCs/>
        </w:rPr>
        <w:t>countries</w:t>
      </w:r>
      <w:r w:rsidR="001B3AD1" w:rsidRPr="00D56A55">
        <w:rPr>
          <w:b/>
          <w:bCs/>
        </w:rPr>
        <w:t xml:space="preserve"> as well as in international trade. </w:t>
      </w:r>
      <w:bookmarkStart w:id="17" w:name="_Hlk162536730"/>
      <w:r w:rsidR="005A3F43" w:rsidRPr="00B432AC">
        <w:rPr>
          <w:b/>
          <w:bCs/>
          <w:szCs w:val="32"/>
        </w:rPr>
        <w:t>The two-digit country code is based on the International Organization for Standardization (ISO</w:t>
      </w:r>
      <w:r w:rsidR="005A3F43" w:rsidRPr="00B432AC">
        <w:rPr>
          <w:rFonts w:hint="eastAsia"/>
          <w:b/>
          <w:bCs/>
          <w:szCs w:val="32"/>
        </w:rPr>
        <w:t>3</w:t>
      </w:r>
      <w:r w:rsidR="005A3F43" w:rsidRPr="00B432AC">
        <w:rPr>
          <w:b/>
          <w:bCs/>
          <w:szCs w:val="32"/>
        </w:rPr>
        <w:t>)</w:t>
      </w:r>
      <w:bookmarkEnd w:id="17"/>
      <w:r w:rsidR="005A3F43" w:rsidRPr="00B432AC">
        <w:rPr>
          <w:b/>
          <w:bCs/>
          <w:szCs w:val="32"/>
        </w:rPr>
        <w:t xml:space="preserve"> and detailed in Table S</w:t>
      </w:r>
      <w:r w:rsidR="00B3748E">
        <w:rPr>
          <w:rFonts w:hint="eastAsia"/>
          <w:b/>
          <w:bCs/>
          <w:szCs w:val="32"/>
        </w:rPr>
        <w:t>6</w:t>
      </w:r>
      <w:r w:rsidR="005A3F43" w:rsidRPr="00B432AC">
        <w:rPr>
          <w:b/>
          <w:bCs/>
          <w:szCs w:val="32"/>
        </w:rPr>
        <w:t>.</w:t>
      </w:r>
      <w:r w:rsidR="005A3F43" w:rsidRPr="00D56A55">
        <w:rPr>
          <w:b/>
          <w:bCs/>
        </w:rPr>
        <w:t xml:space="preserve"> </w:t>
      </w:r>
      <w:r w:rsidRPr="00D56A55">
        <w:rPr>
          <w:b/>
          <w:bCs/>
        </w:rPr>
        <w:t xml:space="preserve">(a) </w:t>
      </w:r>
      <w:r w:rsidR="00F37C02" w:rsidRPr="00D56A55">
        <w:rPr>
          <w:rFonts w:hint="eastAsia"/>
          <w:b/>
          <w:bCs/>
        </w:rPr>
        <w:t>biodiversity</w:t>
      </w:r>
      <w:r w:rsidR="00F37C02" w:rsidRPr="00D56A55">
        <w:rPr>
          <w:b/>
          <w:bCs/>
        </w:rPr>
        <w:t xml:space="preserve"> loss footprint</w:t>
      </w:r>
      <w:r w:rsidR="001B3AD1" w:rsidRPr="00D56A55">
        <w:rPr>
          <w:b/>
          <w:bCs/>
        </w:rPr>
        <w:t xml:space="preserve"> of </w:t>
      </w:r>
      <w:r w:rsidR="00E66092" w:rsidRPr="00D56A55">
        <w:rPr>
          <w:b/>
          <w:bCs/>
        </w:rPr>
        <w:t>countries</w:t>
      </w:r>
      <w:r w:rsidRPr="00D56A55">
        <w:rPr>
          <w:b/>
          <w:bCs/>
        </w:rPr>
        <w:t xml:space="preserve">; </w:t>
      </w:r>
      <w:r w:rsidR="00321A8A">
        <w:rPr>
          <w:rFonts w:hint="eastAsia"/>
          <w:b/>
          <w:bCs/>
        </w:rPr>
        <w:t>(b)-(d) b</w:t>
      </w:r>
      <w:r w:rsidR="00321A8A" w:rsidRPr="00D56A55">
        <w:rPr>
          <w:b/>
          <w:bCs/>
        </w:rPr>
        <w:t>iodiversity loss embodied in international trade flows.</w:t>
      </w:r>
      <w:r w:rsidR="00321A8A">
        <w:rPr>
          <w:rFonts w:hint="eastAsia"/>
          <w:b/>
          <w:bCs/>
        </w:rPr>
        <w:t xml:space="preserve"> </w:t>
      </w:r>
      <w:r w:rsidR="00321A8A" w:rsidRPr="00D56A55">
        <w:rPr>
          <w:b/>
          <w:bCs/>
        </w:rPr>
        <w:t>The breadth of the bar in the circle corresponds to the total tele</w:t>
      </w:r>
      <w:r w:rsidR="00321A8A">
        <w:rPr>
          <w:rFonts w:hint="eastAsia"/>
          <w:b/>
          <w:bCs/>
        </w:rPr>
        <w:t>-</w:t>
      </w:r>
      <w:r w:rsidR="00321A8A" w:rsidRPr="00D56A55">
        <w:rPr>
          <w:b/>
          <w:bCs/>
        </w:rPr>
        <w:t>coupled biodiversity loss consisting of inflows and outflows attached to a country. The vibrant ribbons that link the circle bar charts depict the trajectory and transmission of biodiversity loss from the export countries to the import countries.</w:t>
      </w:r>
    </w:p>
    <w:bookmarkEnd w:id="16"/>
    <w:p w14:paraId="4109F4E1" w14:textId="40D6DC8B" w:rsidR="00901EB0" w:rsidRPr="00D56A55" w:rsidRDefault="001C6F6A" w:rsidP="00044FF4">
      <w:pPr>
        <w:spacing w:line="360" w:lineRule="auto"/>
        <w:rPr>
          <w:b/>
          <w:bCs/>
        </w:rPr>
      </w:pPr>
      <w:r w:rsidRPr="00D56A55">
        <w:rPr>
          <w:b/>
          <w:bCs/>
        </w:rPr>
        <w:t xml:space="preserve"> </w:t>
      </w:r>
    </w:p>
    <w:p w14:paraId="72463DB0" w14:textId="04E50537" w:rsidR="00B5009C" w:rsidRPr="00D56A55" w:rsidRDefault="00044FF4" w:rsidP="00D84E3D">
      <w:pPr>
        <w:spacing w:line="360" w:lineRule="auto"/>
        <w:rPr>
          <w:b/>
          <w:bCs/>
        </w:rPr>
      </w:pPr>
      <w:r w:rsidRPr="00D56A55">
        <w:rPr>
          <w:b/>
          <w:bCs/>
        </w:rPr>
        <w:t xml:space="preserve">3.3 </w:t>
      </w:r>
      <w:r w:rsidR="00B90548">
        <w:rPr>
          <w:rFonts w:hint="eastAsia"/>
          <w:b/>
          <w:bCs/>
        </w:rPr>
        <w:t>Future b</w:t>
      </w:r>
      <w:r w:rsidRPr="00D56A55">
        <w:rPr>
          <w:b/>
          <w:bCs/>
        </w:rPr>
        <w:t>iodiversity loss induced by</w:t>
      </w:r>
      <w:r w:rsidR="004C49BC" w:rsidRPr="00D56A55">
        <w:rPr>
          <w:b/>
          <w:bCs/>
        </w:rPr>
        <w:t xml:space="preserve"> </w:t>
      </w:r>
      <w:r w:rsidR="000C6B1F">
        <w:rPr>
          <w:rFonts w:hint="eastAsia"/>
          <w:b/>
          <w:bCs/>
        </w:rPr>
        <w:t xml:space="preserve">future </w:t>
      </w:r>
      <w:r w:rsidR="00FC75D7" w:rsidRPr="00D56A55">
        <w:rPr>
          <w:b/>
          <w:bCs/>
        </w:rPr>
        <w:t>renewable energy</w:t>
      </w:r>
      <w:r w:rsidRPr="00D56A55">
        <w:rPr>
          <w:b/>
          <w:bCs/>
        </w:rPr>
        <w:t xml:space="preserve"> </w:t>
      </w:r>
      <w:r w:rsidR="00B90548">
        <w:rPr>
          <w:rFonts w:hint="eastAsia"/>
          <w:b/>
          <w:bCs/>
        </w:rPr>
        <w:t>infrastructures</w:t>
      </w:r>
    </w:p>
    <w:p w14:paraId="4ACBA798" w14:textId="0FD15FF0" w:rsidR="00751D75" w:rsidRPr="00D56A55" w:rsidRDefault="00751D75">
      <w:pPr>
        <w:spacing w:line="360" w:lineRule="auto"/>
        <w:ind w:firstLine="420"/>
      </w:pPr>
      <w:r w:rsidRPr="00D56A55">
        <w:lastRenderedPageBreak/>
        <w:t xml:space="preserve">Figure </w:t>
      </w:r>
      <w:r w:rsidR="007A3543">
        <w:rPr>
          <w:rFonts w:hint="eastAsia"/>
        </w:rPr>
        <w:t>3</w:t>
      </w:r>
      <w:r w:rsidRPr="00D56A55">
        <w:t xml:space="preserve"> </w:t>
      </w:r>
      <w:r w:rsidR="004C49BC" w:rsidRPr="00D56A55">
        <w:rPr>
          <w:rFonts w:hint="eastAsia"/>
        </w:rPr>
        <w:t>depicts</w:t>
      </w:r>
      <w:r w:rsidRPr="00D56A55">
        <w:t xml:space="preserve"> the cumulative biodiversity loss of different species </w:t>
      </w:r>
      <w:r w:rsidR="00416E2D" w:rsidRPr="00D56A55">
        <w:rPr>
          <w:szCs w:val="32"/>
        </w:rPr>
        <w:t>groups</w:t>
      </w:r>
      <w:r w:rsidR="00D7059B" w:rsidRPr="00D56A55">
        <w:t xml:space="preserve"> </w:t>
      </w:r>
      <w:r w:rsidRPr="00D56A55">
        <w:t xml:space="preserve">under three </w:t>
      </w:r>
      <w:r w:rsidRPr="00D56A55">
        <w:rPr>
          <w:rFonts w:hint="eastAsia"/>
        </w:rPr>
        <w:t>ene</w:t>
      </w:r>
      <w:r w:rsidRPr="00D56A55">
        <w:t xml:space="preserve">rgy transition scenarios. </w:t>
      </w:r>
      <w:r w:rsidR="00654916">
        <w:t xml:space="preserve">Across all scenarios, countries or regions with larger populations, extensive territories, and/or advanced economies—such as India, China, Brazil, the </w:t>
      </w:r>
      <w:bookmarkStart w:id="18" w:name="OLE_LINK9"/>
      <w:r w:rsidR="00654916">
        <w:t>European Union</w:t>
      </w:r>
      <w:bookmarkEnd w:id="18"/>
      <w:r w:rsidR="00654916">
        <w:t xml:space="preserve"> (EU27 plus the UK, based on 2015 pre-Brexit data</w:t>
      </w:r>
      <w:r w:rsidR="00C75809" w:rsidRPr="00C75809">
        <w:t xml:space="preserve">, henceforth referred to as </w:t>
      </w:r>
      <w:r w:rsidR="00C75809">
        <w:t>European Union</w:t>
      </w:r>
      <w:r w:rsidR="00654916">
        <w:t>), and the United States—exhibit the highest biodiversity loss footprints.</w:t>
      </w:r>
      <w:r w:rsidRPr="00D56A55">
        <w:t xml:space="preserve"> </w:t>
      </w:r>
      <w:r w:rsidR="00FE766A" w:rsidRPr="00FE766A">
        <w:t>Together, these top five contributors account for approximately 7</w:t>
      </w:r>
      <w:r w:rsidR="00F912C2">
        <w:rPr>
          <w:rFonts w:hint="eastAsia"/>
        </w:rPr>
        <w:t>5</w:t>
      </w:r>
      <w:r w:rsidR="00FE766A" w:rsidRPr="00FE766A">
        <w:t>% of the total cumulative biodiversity loss</w:t>
      </w:r>
      <w:r w:rsidRPr="00D56A55">
        <w:t xml:space="preserve">. </w:t>
      </w:r>
      <w:bookmarkStart w:id="19" w:name="OLE_LINK58"/>
      <w:bookmarkStart w:id="20" w:name="OLE_LINK59"/>
      <w:r w:rsidR="004C49BC" w:rsidRPr="00D56A55">
        <w:t>T</w:t>
      </w:r>
      <w:r w:rsidRPr="00D56A55">
        <w:t xml:space="preserve">he </w:t>
      </w:r>
      <w:r w:rsidR="009B6DA2" w:rsidRPr="00D56A55">
        <w:t>cumulative footprint</w:t>
      </w:r>
      <w:r w:rsidRPr="00D56A55">
        <w:t xml:space="preserve"> of each </w:t>
      </w:r>
      <w:r w:rsidR="006C2479">
        <w:rPr>
          <w:rFonts w:hint="eastAsia"/>
        </w:rPr>
        <w:t>co</w:t>
      </w:r>
      <w:r w:rsidR="006C2479">
        <w:t>untry/entity</w:t>
      </w:r>
      <w:r w:rsidR="00BC4F34">
        <w:t xml:space="preserve"> </w:t>
      </w:r>
      <w:r w:rsidR="004C49BC" w:rsidRPr="00D56A55">
        <w:t>increase</w:t>
      </w:r>
      <w:r w:rsidR="006C2479">
        <w:t>s</w:t>
      </w:r>
      <w:r w:rsidR="004C49BC" w:rsidRPr="00D56A55">
        <w:t xml:space="preserve"> </w:t>
      </w:r>
      <w:r w:rsidR="00BC4F34">
        <w:t xml:space="preserve">substantially </w:t>
      </w:r>
      <w:r w:rsidR="009B6DA2" w:rsidRPr="00D56A55">
        <w:t>with the intensif</w:t>
      </w:r>
      <w:r w:rsidR="004C49BC" w:rsidRPr="00D56A55">
        <w:t>ication</w:t>
      </w:r>
      <w:r w:rsidR="009B6DA2" w:rsidRPr="00D56A55">
        <w:t xml:space="preserve"> of </w:t>
      </w:r>
      <w:r w:rsidR="00FC75D7" w:rsidRPr="00D56A55">
        <w:t>renewable energy</w:t>
      </w:r>
      <w:r w:rsidR="009B6DA2" w:rsidRPr="00D56A55">
        <w:t xml:space="preserve"> development in the</w:t>
      </w:r>
      <w:r w:rsidR="00CC70E6" w:rsidRPr="00D56A55">
        <w:t xml:space="preserve"> 2°C Scenario (</w:t>
      </w:r>
      <w:bookmarkStart w:id="21" w:name="OLE_LINK30"/>
      <w:r w:rsidR="00CC70E6" w:rsidRPr="00D56A55">
        <w:t>2DS</w:t>
      </w:r>
      <w:bookmarkEnd w:id="21"/>
      <w:r w:rsidR="00CC70E6" w:rsidRPr="00D56A55">
        <w:t>)</w:t>
      </w:r>
      <w:r w:rsidR="009B6DA2" w:rsidRPr="00D56A55">
        <w:t xml:space="preserve"> and </w:t>
      </w:r>
      <w:r w:rsidR="00CC70E6">
        <w:t>t</w:t>
      </w:r>
      <w:r w:rsidR="00CC70E6" w:rsidRPr="00D56A55">
        <w:t>he Beyond 2°C Scenario (B2DS)</w:t>
      </w:r>
      <w:r w:rsidR="004C49BC" w:rsidRPr="00D56A55">
        <w:t xml:space="preserve"> scenarios</w:t>
      </w:r>
      <w:r w:rsidR="009B6DA2" w:rsidRPr="00D56A55">
        <w:t xml:space="preserve"> </w:t>
      </w:r>
      <w:r w:rsidRPr="00D56A55">
        <w:t xml:space="preserve">compared to the </w:t>
      </w:r>
      <w:r w:rsidR="00320F8D" w:rsidRPr="00D56A55">
        <w:rPr>
          <w:rFonts w:hint="eastAsia"/>
        </w:rPr>
        <w:t>reference</w:t>
      </w:r>
      <w:r w:rsidR="00320F8D" w:rsidRPr="00D56A55">
        <w:t xml:space="preserve"> </w:t>
      </w:r>
      <w:r w:rsidRPr="00D56A55">
        <w:t>scenario (RTS)</w:t>
      </w:r>
      <w:r w:rsidR="00D2407A">
        <w:rPr>
          <w:rFonts w:hint="eastAsia"/>
        </w:rPr>
        <w:t xml:space="preserve"> (</w:t>
      </w:r>
      <w:r w:rsidR="00D2407A" w:rsidRPr="00D2407A">
        <w:t xml:space="preserve">Scenario details </w:t>
      </w:r>
      <w:r w:rsidR="00D2407A">
        <w:rPr>
          <w:rFonts w:hint="eastAsia"/>
        </w:rPr>
        <w:t>are in</w:t>
      </w:r>
      <w:r w:rsidR="00D2407A" w:rsidRPr="00D2407A">
        <w:t xml:space="preserve"> Supplementary Information-12</w:t>
      </w:r>
      <w:r w:rsidR="00D2407A">
        <w:rPr>
          <w:rFonts w:hint="eastAsia"/>
        </w:rPr>
        <w:t>)</w:t>
      </w:r>
      <w:r w:rsidRPr="00D56A55">
        <w:t>.</w:t>
      </w:r>
      <w:bookmarkEnd w:id="19"/>
      <w:bookmarkEnd w:id="20"/>
      <w:r w:rsidRPr="00D56A55">
        <w:t xml:space="preserve"> </w:t>
      </w:r>
      <w:r w:rsidR="00320F8D" w:rsidRPr="00D56A55">
        <w:rPr>
          <w:rFonts w:hint="eastAsia"/>
        </w:rPr>
        <w:t>In particular</w:t>
      </w:r>
      <w:r w:rsidRPr="00D56A55">
        <w:t xml:space="preserve">, Russia </w:t>
      </w:r>
      <w:r w:rsidR="004C49BC" w:rsidRPr="00D56A55">
        <w:t>experiences</w:t>
      </w:r>
      <w:r w:rsidRPr="00D56A55">
        <w:t xml:space="preserve"> the </w:t>
      </w:r>
      <w:r w:rsidR="00320F8D" w:rsidRPr="00D56A55">
        <w:rPr>
          <w:rFonts w:hint="eastAsia"/>
        </w:rPr>
        <w:t>fastest</w:t>
      </w:r>
      <w:r w:rsidRPr="00D56A55">
        <w:t xml:space="preserve"> growth, with its </w:t>
      </w:r>
      <w:r w:rsidR="009B6DA2" w:rsidRPr="00D56A55">
        <w:t>cumulative footprint</w:t>
      </w:r>
      <w:r w:rsidRPr="00D56A55">
        <w:t xml:space="preserve"> </w:t>
      </w:r>
      <w:r w:rsidR="00320F8D" w:rsidRPr="00D56A55">
        <w:rPr>
          <w:rFonts w:hint="eastAsia"/>
        </w:rPr>
        <w:t>increasing</w:t>
      </w:r>
      <w:r w:rsidR="00320F8D" w:rsidRPr="00D56A55">
        <w:t xml:space="preserve"> </w:t>
      </w:r>
      <w:r w:rsidRPr="00D56A55">
        <w:t xml:space="preserve">by </w:t>
      </w:r>
      <w:r w:rsidR="00185BCD">
        <w:rPr>
          <w:rFonts w:hint="eastAsia"/>
        </w:rPr>
        <w:t>4</w:t>
      </w:r>
      <w:r w:rsidR="009D753C" w:rsidRPr="00D56A55">
        <w:t>.</w:t>
      </w:r>
      <w:r w:rsidR="00F912C2">
        <w:rPr>
          <w:rFonts w:hint="eastAsia"/>
        </w:rPr>
        <w:t>3</w:t>
      </w:r>
      <w:r w:rsidRPr="00D56A55">
        <w:t xml:space="preserve"> and </w:t>
      </w:r>
      <w:r w:rsidR="00185BCD">
        <w:rPr>
          <w:rFonts w:hint="eastAsia"/>
        </w:rPr>
        <w:t>4</w:t>
      </w:r>
      <w:r w:rsidR="009D753C" w:rsidRPr="00D56A55">
        <w:t>.</w:t>
      </w:r>
      <w:r w:rsidR="00185BCD">
        <w:rPr>
          <w:rFonts w:hint="eastAsia"/>
        </w:rPr>
        <w:t>6</w:t>
      </w:r>
      <w:r w:rsidRPr="00D56A55">
        <w:t xml:space="preserve"> times in 2DS and B2DS</w:t>
      </w:r>
      <w:r w:rsidR="00971323" w:rsidRPr="00D56A55">
        <w:t xml:space="preserve"> compared to RTS</w:t>
      </w:r>
      <w:r w:rsidRPr="00D56A55">
        <w:t>, respectively, followed by</w:t>
      </w:r>
      <w:r w:rsidR="0020128C">
        <w:rPr>
          <w:rFonts w:hint="eastAsia"/>
        </w:rPr>
        <w:t xml:space="preserve"> </w:t>
      </w:r>
      <w:r w:rsidR="00320F8D" w:rsidRPr="00D56A55">
        <w:rPr>
          <w:rFonts w:hint="eastAsia"/>
        </w:rPr>
        <w:t xml:space="preserve">the </w:t>
      </w:r>
      <w:r w:rsidR="00185BCD" w:rsidRPr="00D56A55">
        <w:t>Rest of Europe</w:t>
      </w:r>
      <w:r w:rsidR="00185BCD">
        <w:rPr>
          <w:rFonts w:hint="eastAsia"/>
        </w:rPr>
        <w:t xml:space="preserve">, the </w:t>
      </w:r>
      <w:r w:rsidR="009D753C" w:rsidRPr="00D56A55">
        <w:t>European Union</w:t>
      </w:r>
      <w:r w:rsidR="00294EC6" w:rsidRPr="00D56A55">
        <w:t>,</w:t>
      </w:r>
      <w:r w:rsidR="009D753C" w:rsidRPr="00D56A55">
        <w:t xml:space="preserve"> </w:t>
      </w:r>
      <w:r w:rsidRPr="00D56A55">
        <w:t xml:space="preserve">and the </w:t>
      </w:r>
      <w:r w:rsidR="009D753C" w:rsidRPr="00D56A55">
        <w:t>United States</w:t>
      </w:r>
      <w:r w:rsidRPr="00D56A55">
        <w:t xml:space="preserve">. Surprisingly, </w:t>
      </w:r>
      <w:r w:rsidR="009D753C" w:rsidRPr="00D56A55">
        <w:t xml:space="preserve">Brazil </w:t>
      </w:r>
      <w:r w:rsidR="00320F8D" w:rsidRPr="00D56A55">
        <w:rPr>
          <w:rFonts w:hint="eastAsia"/>
        </w:rPr>
        <w:t>experiences</w:t>
      </w:r>
      <w:r w:rsidR="00320F8D" w:rsidRPr="00D56A55">
        <w:t xml:space="preserve"> </w:t>
      </w:r>
      <w:r w:rsidR="00320F8D" w:rsidRPr="00D56A55">
        <w:rPr>
          <w:rFonts w:hint="eastAsia"/>
        </w:rPr>
        <w:t xml:space="preserve">a </w:t>
      </w:r>
      <w:r w:rsidR="00BC4F34">
        <w:t xml:space="preserve">slight </w:t>
      </w:r>
      <w:r w:rsidR="009B6DA2" w:rsidRPr="00D56A55">
        <w:rPr>
          <w:rFonts w:hint="eastAsia"/>
        </w:rPr>
        <w:t>increase</w:t>
      </w:r>
      <w:r w:rsidR="009B6DA2" w:rsidRPr="00D56A55">
        <w:t xml:space="preserve"> </w:t>
      </w:r>
      <w:r w:rsidRPr="00D56A55">
        <w:t>in 2DS and B2DS</w:t>
      </w:r>
      <w:r w:rsidR="009B6DA2" w:rsidRPr="00D56A55">
        <w:t xml:space="preserve">, </w:t>
      </w:r>
      <w:r w:rsidR="004C49BC" w:rsidRPr="00D56A55">
        <w:t>with only</w:t>
      </w:r>
      <w:r w:rsidR="00971323" w:rsidRPr="00D56A55">
        <w:t xml:space="preserve"> </w:t>
      </w:r>
      <w:r w:rsidR="000029AB" w:rsidRPr="00D56A55">
        <w:t>1.</w:t>
      </w:r>
      <w:r w:rsidR="003A773F" w:rsidRPr="00D56A55">
        <w:t>2</w:t>
      </w:r>
      <w:r w:rsidR="00185BCD">
        <w:rPr>
          <w:rFonts w:hint="eastAsia"/>
        </w:rPr>
        <w:t>6</w:t>
      </w:r>
      <w:r w:rsidR="00A13C12" w:rsidRPr="00D56A55">
        <w:t xml:space="preserve"> and </w:t>
      </w:r>
      <w:r w:rsidR="000029AB" w:rsidRPr="00D56A55">
        <w:t>1.</w:t>
      </w:r>
      <w:r w:rsidR="003A773F" w:rsidRPr="00D56A55">
        <w:t>32</w:t>
      </w:r>
      <w:r w:rsidR="00320F8D" w:rsidRPr="00D56A55">
        <w:rPr>
          <w:rFonts w:hint="eastAsia"/>
        </w:rPr>
        <w:t xml:space="preserve"> times</w:t>
      </w:r>
      <w:r w:rsidR="00971323" w:rsidRPr="00D56A55">
        <w:t xml:space="preserve"> </w:t>
      </w:r>
      <w:r w:rsidR="004C49BC" w:rsidRPr="00D56A55">
        <w:t>increase compared</w:t>
      </w:r>
      <w:r w:rsidR="00971323" w:rsidRPr="00D56A55">
        <w:t xml:space="preserve"> to RTS</w:t>
      </w:r>
      <w:r w:rsidRPr="00D56A55">
        <w:t xml:space="preserve">. The disparities can be explained by the assumption that </w:t>
      </w:r>
      <w:r w:rsidR="00320F8D" w:rsidRPr="00D56A55">
        <w:rPr>
          <w:rFonts w:hint="eastAsia"/>
        </w:rPr>
        <w:t>IEA</w:t>
      </w:r>
      <w:r w:rsidR="00320F8D" w:rsidRPr="00D56A55">
        <w:t>’</w:t>
      </w:r>
      <w:r w:rsidR="00320F8D" w:rsidRPr="00D56A55">
        <w:rPr>
          <w:rFonts w:hint="eastAsia"/>
        </w:rPr>
        <w:t xml:space="preserve">s </w:t>
      </w:r>
      <w:r w:rsidR="00320F8D" w:rsidRPr="00D56A55">
        <w:t>scenario</w:t>
      </w:r>
      <w:r w:rsidR="00320F8D" w:rsidRPr="00D56A55">
        <w:rPr>
          <w:rFonts w:hint="eastAsia"/>
        </w:rPr>
        <w:t xml:space="preserve"> setting of </w:t>
      </w:r>
      <w:r w:rsidR="004C49BC" w:rsidRPr="00D56A55">
        <w:t xml:space="preserve">renewable energy development in Russia and </w:t>
      </w:r>
      <w:r w:rsidR="00BC4F34">
        <w:t>n</w:t>
      </w:r>
      <w:r w:rsidR="00294EC6" w:rsidRPr="00D56A55">
        <w:t>on-OECD</w:t>
      </w:r>
      <w:r w:rsidR="004C49BC" w:rsidRPr="00D56A55">
        <w:t xml:space="preserve"> </w:t>
      </w:r>
      <w:r w:rsidR="00BC4F34">
        <w:t xml:space="preserve">countries </w:t>
      </w:r>
      <w:r w:rsidR="007751CB">
        <w:t xml:space="preserve">is </w:t>
      </w:r>
      <w:r w:rsidR="004C49BC" w:rsidRPr="00D56A55">
        <w:t xml:space="preserve">significantly </w:t>
      </w:r>
      <w:r w:rsidR="00320F8D" w:rsidRPr="00D56A55">
        <w:rPr>
          <w:rFonts w:hint="eastAsia"/>
        </w:rPr>
        <w:t>higher</w:t>
      </w:r>
      <w:r w:rsidR="00320F8D" w:rsidRPr="00D56A55">
        <w:t xml:space="preserve"> </w:t>
      </w:r>
      <w:r w:rsidR="004C49BC" w:rsidRPr="00D56A55">
        <w:t xml:space="preserve">in the 2DS and B2DS scenarios </w:t>
      </w:r>
      <w:r w:rsidR="00320F8D" w:rsidRPr="00D56A55">
        <w:rPr>
          <w:rFonts w:hint="eastAsia"/>
        </w:rPr>
        <w:t>than in</w:t>
      </w:r>
      <w:r w:rsidR="004C49BC" w:rsidRPr="00D56A55">
        <w:t xml:space="preserve"> the RTS, as shown in Table</w:t>
      </w:r>
      <w:r w:rsidR="00320F8D" w:rsidRPr="00D56A55">
        <w:rPr>
          <w:rFonts w:hint="eastAsia"/>
        </w:rPr>
        <w:t>s</w:t>
      </w:r>
      <w:r w:rsidR="004C49BC" w:rsidRPr="00D56A55">
        <w:t xml:space="preserve"> S</w:t>
      </w:r>
      <w:r w:rsidR="007D1C84">
        <w:rPr>
          <w:rFonts w:hint="eastAsia"/>
        </w:rPr>
        <w:t>9</w:t>
      </w:r>
      <w:r w:rsidR="00373A27" w:rsidRPr="00D56A55">
        <w:t>-S</w:t>
      </w:r>
      <w:r w:rsidR="00EF3C37">
        <w:t>1</w:t>
      </w:r>
      <w:r w:rsidR="007D1C84">
        <w:rPr>
          <w:rFonts w:hint="eastAsia"/>
        </w:rPr>
        <w:t>1</w:t>
      </w:r>
      <w:r w:rsidRPr="00D56A55">
        <w:t>.</w:t>
      </w:r>
      <w:r w:rsidR="000029AB" w:rsidRPr="00D56A55">
        <w:t xml:space="preserve"> </w:t>
      </w:r>
      <w:r w:rsidRPr="00D56A55">
        <w:t xml:space="preserve">Conversely, </w:t>
      </w:r>
      <w:r w:rsidR="00E66092" w:rsidRPr="00D56A55">
        <w:t>countries</w:t>
      </w:r>
      <w:r w:rsidRPr="00D56A55">
        <w:t xml:space="preserve"> with </w:t>
      </w:r>
      <w:r w:rsidR="004C49BC" w:rsidRPr="00D56A55">
        <w:t>smaller</w:t>
      </w:r>
      <w:r w:rsidRPr="00D56A55">
        <w:t xml:space="preserve"> changes, such as</w:t>
      </w:r>
      <w:r w:rsidR="00294EC6" w:rsidRPr="00D56A55">
        <w:t xml:space="preserve"> Brazil,</w:t>
      </w:r>
      <w:r w:rsidRPr="00D56A55">
        <w:t xml:space="preserve"> </w:t>
      </w:r>
      <w:r w:rsidR="00185BCD">
        <w:rPr>
          <w:rFonts w:hint="eastAsia"/>
        </w:rPr>
        <w:t xml:space="preserve">China, </w:t>
      </w:r>
      <w:r w:rsidR="00294EC6" w:rsidRPr="00D56A55">
        <w:t xml:space="preserve">Mexico, </w:t>
      </w:r>
      <w:r w:rsidRPr="00D56A55">
        <w:t xml:space="preserve">and South Africa, </w:t>
      </w:r>
      <w:r w:rsidR="00320F8D" w:rsidRPr="00D56A55">
        <w:rPr>
          <w:rFonts w:hint="eastAsia"/>
        </w:rPr>
        <w:t>follow</w:t>
      </w:r>
      <w:r w:rsidR="0004684F" w:rsidRPr="00D56A55">
        <w:t xml:space="preserve"> similar energy transition </w:t>
      </w:r>
      <w:r w:rsidR="004C49BC" w:rsidRPr="00D56A55">
        <w:t>trajectories</w:t>
      </w:r>
      <w:r w:rsidR="0004684F" w:rsidRPr="00D56A55">
        <w:t xml:space="preserve"> </w:t>
      </w:r>
      <w:r w:rsidR="004C49BC" w:rsidRPr="00D56A55">
        <w:t xml:space="preserve">across </w:t>
      </w:r>
      <w:r w:rsidR="0004684F" w:rsidRPr="00D56A55">
        <w:t>scenarios.</w:t>
      </w:r>
    </w:p>
    <w:p w14:paraId="6067C457" w14:textId="159678EC" w:rsidR="00751D75" w:rsidRDefault="00C61F50" w:rsidP="00C75809">
      <w:pPr>
        <w:spacing w:line="360" w:lineRule="auto"/>
        <w:ind w:firstLine="420"/>
      </w:pPr>
      <w:bookmarkStart w:id="22" w:name="OLE_LINK4"/>
      <w:r>
        <w:t>By 2060, Brazil, South Africa, Mexico, and the Association of Southeast Asian Nations (ASEAN) are net exporters of biodiversity loss for mammals, birds, and amphibians due to renewable energy trade. The Rest of America and the European Union emerge as net exporters of biodiversity loss for reptiles. Net importers of biodiversity loss—benefiting from international renewable energy trade—include China, the United States, India, the European Union, the Rest of Africa, and, more broadly, the OECD.</w:t>
      </w:r>
      <w:r w:rsidR="00C75809">
        <w:rPr>
          <w:rFonts w:hint="eastAsia"/>
        </w:rPr>
        <w:t xml:space="preserve"> </w:t>
      </w:r>
      <w:bookmarkEnd w:id="22"/>
      <w:r w:rsidR="00784755" w:rsidRPr="00D56A55">
        <w:t xml:space="preserve">However, the </w:t>
      </w:r>
      <w:r w:rsidR="00570A68" w:rsidRPr="00D56A55">
        <w:rPr>
          <w:rFonts w:hint="eastAsia"/>
        </w:rPr>
        <w:t>role</w:t>
      </w:r>
      <w:r w:rsidR="00570A68" w:rsidRPr="00D56A55">
        <w:t xml:space="preserve"> </w:t>
      </w:r>
      <w:r w:rsidR="00784755" w:rsidRPr="00D56A55">
        <w:t xml:space="preserve">of certain </w:t>
      </w:r>
      <w:r w:rsidR="00713765" w:rsidRPr="00D56A55">
        <w:t>countries and regions</w:t>
      </w:r>
      <w:r w:rsidR="00784755" w:rsidRPr="00D56A55">
        <w:t xml:space="preserve"> </w:t>
      </w:r>
      <w:r w:rsidR="007B7018" w:rsidRPr="00D56A55">
        <w:t xml:space="preserve">could </w:t>
      </w:r>
      <w:r w:rsidR="00784755" w:rsidRPr="00D56A55">
        <w:t xml:space="preserve">change </w:t>
      </w:r>
      <w:r w:rsidR="00A52E3D" w:rsidRPr="00D56A55">
        <w:rPr>
          <w:rFonts w:hint="eastAsia"/>
        </w:rPr>
        <w:t>depending</w:t>
      </w:r>
      <w:r w:rsidR="00A52E3D" w:rsidRPr="00D56A55">
        <w:t xml:space="preserve"> on the</w:t>
      </w:r>
      <w:r w:rsidR="00784755" w:rsidRPr="00D56A55">
        <w:t xml:space="preserve"> energy transition pathway settings. </w:t>
      </w:r>
      <w:r w:rsidR="00A52E3D" w:rsidRPr="00D56A55">
        <w:t>In particular</w:t>
      </w:r>
      <w:r w:rsidR="00784755" w:rsidRPr="00D56A55">
        <w:t xml:space="preserve">, under </w:t>
      </w:r>
      <w:r w:rsidR="00570A68" w:rsidRPr="00D56A55">
        <w:rPr>
          <w:rFonts w:hint="eastAsia"/>
        </w:rPr>
        <w:t xml:space="preserve">the </w:t>
      </w:r>
      <w:r w:rsidR="00784755" w:rsidRPr="00D56A55">
        <w:t xml:space="preserve">2DS and </w:t>
      </w:r>
      <w:r w:rsidR="00784755" w:rsidRPr="00D56A55">
        <w:lastRenderedPageBreak/>
        <w:t xml:space="preserve">B2DS, </w:t>
      </w:r>
      <w:r w:rsidR="007F6413" w:rsidRPr="00D56A55">
        <w:t xml:space="preserve">the </w:t>
      </w:r>
      <w:r w:rsidR="006A0041" w:rsidRPr="00D56A55">
        <w:t>ASEAN</w:t>
      </w:r>
      <w:r w:rsidR="007F6413" w:rsidRPr="00D56A55">
        <w:t xml:space="preserve"> experiences a substantial increase in</w:t>
      </w:r>
      <w:r w:rsidR="007751CB">
        <w:t xml:space="preserve"> </w:t>
      </w:r>
      <w:r w:rsidR="007F6413" w:rsidRPr="00D56A55">
        <w:t xml:space="preserve">exports </w:t>
      </w:r>
      <w:r w:rsidR="007751CB">
        <w:t xml:space="preserve">leading to losses </w:t>
      </w:r>
      <w:r w:rsidR="007F6413" w:rsidRPr="00D56A55">
        <w:t>of reptiles compared to the RTS</w:t>
      </w:r>
      <w:r w:rsidR="007B7018" w:rsidRPr="00D56A55">
        <w:t xml:space="preserve"> (approximately </w:t>
      </w:r>
      <w:r w:rsidR="009526DD">
        <w:rPr>
          <w:rFonts w:hint="eastAsia"/>
        </w:rPr>
        <w:t>22</w:t>
      </w:r>
      <w:r w:rsidR="00570A68" w:rsidRPr="00D56A55">
        <w:rPr>
          <w:rFonts w:hint="eastAsia"/>
        </w:rPr>
        <w:t xml:space="preserve"> times higher</w:t>
      </w:r>
      <w:r w:rsidR="007B7018" w:rsidRPr="00D56A55">
        <w:t>)</w:t>
      </w:r>
      <w:r w:rsidR="00A52E3D" w:rsidRPr="00D56A55">
        <w:t xml:space="preserve">. </w:t>
      </w:r>
      <w:r w:rsidR="00784755" w:rsidRPr="002B3AEE">
        <w:t xml:space="preserve">Conversely, </w:t>
      </w:r>
      <w:r w:rsidR="002B3AEE" w:rsidRPr="000477AA">
        <w:t>European Union</w:t>
      </w:r>
      <w:r w:rsidR="007B7018" w:rsidRPr="002B3AEE">
        <w:t xml:space="preserve">'s </w:t>
      </w:r>
      <w:r w:rsidR="00570A68" w:rsidRPr="002B3AEE">
        <w:rPr>
          <w:rFonts w:hint="eastAsia"/>
        </w:rPr>
        <w:t>increase</w:t>
      </w:r>
      <w:r w:rsidR="00570A68" w:rsidRPr="002B3AEE">
        <w:t xml:space="preserve"> </w:t>
      </w:r>
      <w:r w:rsidR="007B7018" w:rsidRPr="002B3AEE">
        <w:t xml:space="preserve">in import </w:t>
      </w:r>
      <w:r w:rsidR="00D10A69" w:rsidRPr="002B3AEE">
        <w:t>leading to</w:t>
      </w:r>
      <w:r w:rsidR="00D10A69" w:rsidRPr="002B3AEE">
        <w:rPr>
          <w:rFonts w:hint="eastAsia"/>
        </w:rPr>
        <w:t xml:space="preserve"> </w:t>
      </w:r>
      <w:r w:rsidR="00A7038C" w:rsidRPr="002B3AEE">
        <w:rPr>
          <w:rFonts w:hint="eastAsia"/>
        </w:rPr>
        <w:t>bio</w:t>
      </w:r>
      <w:r w:rsidR="00A7038C" w:rsidRPr="002B3AEE">
        <w:t>diversity loss</w:t>
      </w:r>
      <w:r w:rsidR="00D10A69" w:rsidRPr="002B3AEE">
        <w:t xml:space="preserve"> of mammals and birds</w:t>
      </w:r>
      <w:r w:rsidR="00A7038C" w:rsidRPr="002B3AEE">
        <w:t xml:space="preserve"> </w:t>
      </w:r>
      <w:r w:rsidR="007B7018" w:rsidRPr="002B3AEE">
        <w:t xml:space="preserve">is </w:t>
      </w:r>
      <w:r w:rsidR="002B3AEE" w:rsidRPr="000477AA">
        <w:t>higher</w:t>
      </w:r>
      <w:r w:rsidR="007B7018" w:rsidRPr="002B3AEE">
        <w:t xml:space="preserve"> than that of the</w:t>
      </w:r>
      <w:r w:rsidR="002B3AEE" w:rsidRPr="000477AA">
        <w:t xml:space="preserve"> Rest of Africa </w:t>
      </w:r>
      <w:r w:rsidR="007B7018" w:rsidRPr="002B3AEE">
        <w:t>and the United States</w:t>
      </w:r>
      <w:r w:rsidR="00B97B43" w:rsidRPr="002B3AEE">
        <w:t xml:space="preserve"> </w:t>
      </w:r>
      <w:r w:rsidR="00570A68" w:rsidRPr="002B3AEE">
        <w:rPr>
          <w:rFonts w:hint="eastAsia"/>
        </w:rPr>
        <w:t>in</w:t>
      </w:r>
      <w:r w:rsidR="00570A68" w:rsidRPr="002B3AEE">
        <w:t xml:space="preserve"> </w:t>
      </w:r>
      <w:r w:rsidR="00784755" w:rsidRPr="002B3AEE">
        <w:t xml:space="preserve">2DS and B2DS, while </w:t>
      </w:r>
      <w:r w:rsidR="00570A68" w:rsidRPr="002B3AEE">
        <w:rPr>
          <w:rFonts w:hint="eastAsia"/>
        </w:rPr>
        <w:t>it is</w:t>
      </w:r>
      <w:r w:rsidR="009B3A9E" w:rsidRPr="002B3AEE">
        <w:t xml:space="preserve"> </w:t>
      </w:r>
      <w:r w:rsidR="002B3AEE" w:rsidRPr="000477AA">
        <w:t>lower than both</w:t>
      </w:r>
      <w:r w:rsidR="00784755" w:rsidRPr="002B3AEE">
        <w:t xml:space="preserve"> in </w:t>
      </w:r>
      <w:r w:rsidR="00B97B43" w:rsidRPr="002B3AEE">
        <w:t>R</w:t>
      </w:r>
      <w:r w:rsidR="00784755" w:rsidRPr="002B3AEE">
        <w:t>TS.</w:t>
      </w:r>
      <w:r w:rsidR="00784755" w:rsidRPr="00D56A55">
        <w:t xml:space="preserve"> This </w:t>
      </w:r>
      <w:r w:rsidR="00A52E3D" w:rsidRPr="00D56A55">
        <w:t xml:space="preserve">shift </w:t>
      </w:r>
      <w:r w:rsidR="00784755" w:rsidRPr="00D56A55">
        <w:t xml:space="preserve">could be related </w:t>
      </w:r>
      <w:r w:rsidR="00570A68" w:rsidRPr="00D56A55">
        <w:rPr>
          <w:rFonts w:hint="eastAsia"/>
        </w:rPr>
        <w:t>to</w:t>
      </w:r>
      <w:r w:rsidR="00784755" w:rsidRPr="00D56A55">
        <w:t xml:space="preserve"> changes in position along global renewable </w:t>
      </w:r>
      <w:r w:rsidR="00B23C66" w:rsidRPr="00D56A55">
        <w:t>energy</w:t>
      </w:r>
      <w:r w:rsidR="00784755" w:rsidRPr="00D56A55">
        <w:t xml:space="preserve"> supply chains and final demand across diverse scenarios. For example, </w:t>
      </w:r>
      <w:r w:rsidR="00570A68" w:rsidRPr="00D56A55">
        <w:rPr>
          <w:rFonts w:hint="eastAsia"/>
        </w:rPr>
        <w:t>in</w:t>
      </w:r>
      <w:r w:rsidR="00570A68" w:rsidRPr="00D56A55">
        <w:t xml:space="preserve"> </w:t>
      </w:r>
      <w:r w:rsidR="00784755" w:rsidRPr="00D56A55">
        <w:t xml:space="preserve">the 2DS and B2DS, </w:t>
      </w:r>
      <w:r w:rsidR="00570A68" w:rsidRPr="00D56A55">
        <w:rPr>
          <w:rFonts w:hint="eastAsia"/>
        </w:rPr>
        <w:t xml:space="preserve">the </w:t>
      </w:r>
      <w:bookmarkStart w:id="23" w:name="OLE_LINK2"/>
      <w:r w:rsidR="006A0041" w:rsidRPr="00D56A55">
        <w:t>ASEAN</w:t>
      </w:r>
      <w:bookmarkEnd w:id="23"/>
      <w:r w:rsidR="00570A68" w:rsidRPr="00D56A55">
        <w:rPr>
          <w:rFonts w:hint="eastAsia"/>
        </w:rPr>
        <w:t xml:space="preserve"> countries</w:t>
      </w:r>
      <w:r w:rsidR="00A769D2" w:rsidRPr="00D56A55">
        <w:t xml:space="preserve">' </w:t>
      </w:r>
      <w:r w:rsidR="00784755" w:rsidRPr="00D56A55">
        <w:t xml:space="preserve">demand for </w:t>
      </w:r>
      <w:r w:rsidR="00B23C66" w:rsidRPr="00D56A55">
        <w:t>renewable</w:t>
      </w:r>
      <w:r w:rsidR="00B23C66" w:rsidRPr="00D56A55">
        <w:rPr>
          <w:rFonts w:hint="eastAsia"/>
        </w:rPr>
        <w:t xml:space="preserve"> energy</w:t>
      </w:r>
      <w:r w:rsidR="00784755" w:rsidRPr="00D56A55">
        <w:t xml:space="preserve"> is lower than in the RTS, but </w:t>
      </w:r>
      <w:r w:rsidR="00570A68" w:rsidRPr="00D56A55">
        <w:rPr>
          <w:rFonts w:hint="eastAsia"/>
        </w:rPr>
        <w:t>their</w:t>
      </w:r>
      <w:r w:rsidR="00570A68" w:rsidRPr="00D56A55">
        <w:t xml:space="preserve"> </w:t>
      </w:r>
      <w:r w:rsidR="00784755" w:rsidRPr="00D56A55">
        <w:t xml:space="preserve">investment in renewable energy infrastructure is </w:t>
      </w:r>
      <w:r w:rsidR="00570A68" w:rsidRPr="00D56A55">
        <w:rPr>
          <w:rFonts w:hint="eastAsia"/>
        </w:rPr>
        <w:t>growing much</w:t>
      </w:r>
      <w:r w:rsidR="00784755" w:rsidRPr="00D56A55">
        <w:t xml:space="preserve"> faster. </w:t>
      </w:r>
      <w:r w:rsidR="00A769D2" w:rsidRPr="00D56A55">
        <w:t xml:space="preserve">This trend </w:t>
      </w:r>
      <w:r w:rsidR="00570A68" w:rsidRPr="00D56A55">
        <w:rPr>
          <w:rFonts w:hint="eastAsia"/>
        </w:rPr>
        <w:t>could lead to</w:t>
      </w:r>
      <w:r w:rsidR="00A769D2" w:rsidRPr="00D56A55">
        <w:t xml:space="preserve"> an accelerated expansion of renewable energy infrastructure </w:t>
      </w:r>
      <w:r w:rsidR="00570A68" w:rsidRPr="00D56A55">
        <w:rPr>
          <w:rFonts w:hint="eastAsia"/>
        </w:rPr>
        <w:t>in</w:t>
      </w:r>
      <w:r w:rsidR="00570A68" w:rsidRPr="00D56A55">
        <w:t xml:space="preserve"> </w:t>
      </w:r>
      <w:r w:rsidR="006A0041" w:rsidRPr="00D56A55">
        <w:t>ASEAN</w:t>
      </w:r>
      <w:r w:rsidR="00A769D2" w:rsidRPr="00D56A55">
        <w:t>, positioning it as a net outflow region.</w:t>
      </w:r>
    </w:p>
    <w:p w14:paraId="4D3551B4" w14:textId="0C6F3E51" w:rsidR="00E36A97" w:rsidRPr="00D56A55" w:rsidRDefault="00965328" w:rsidP="00B97CE6">
      <w:pPr>
        <w:spacing w:line="360" w:lineRule="auto"/>
        <w:jc w:val="center"/>
      </w:pPr>
      <w:r>
        <w:rPr>
          <w:noProof/>
          <w14:ligatures w14:val="none"/>
        </w:rPr>
        <w:drawing>
          <wp:inline distT="0" distB="0" distL="0" distR="0" wp14:anchorId="22B66AEA" wp14:editId="7EF7C25B">
            <wp:extent cx="4208475" cy="5260848"/>
            <wp:effectExtent l="0" t="0" r="0" b="0"/>
            <wp:docPr id="49993339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933398" name="图片 499933398"/>
                    <pic:cNvPicPr/>
                  </pic:nvPicPr>
                  <pic:blipFill>
                    <a:blip r:embed="rId12"/>
                    <a:stretch>
                      <a:fillRect/>
                    </a:stretch>
                  </pic:blipFill>
                  <pic:spPr>
                    <a:xfrm>
                      <a:off x="0" y="0"/>
                      <a:ext cx="4218759" cy="5273703"/>
                    </a:xfrm>
                    <a:prstGeom prst="rect">
                      <a:avLst/>
                    </a:prstGeom>
                  </pic:spPr>
                </pic:pic>
              </a:graphicData>
            </a:graphic>
          </wp:inline>
        </w:drawing>
      </w:r>
    </w:p>
    <w:p w14:paraId="41CDE0B1" w14:textId="66B0FFDF" w:rsidR="00751D75" w:rsidRPr="00D56A55" w:rsidRDefault="00751D75" w:rsidP="009B6DA2">
      <w:pPr>
        <w:spacing w:line="360" w:lineRule="auto"/>
        <w:rPr>
          <w:b/>
          <w:bCs/>
        </w:rPr>
      </w:pPr>
      <w:bookmarkStart w:id="24" w:name="_Hlk186042809"/>
      <w:r w:rsidRPr="00D56A55">
        <w:rPr>
          <w:rFonts w:hint="eastAsia"/>
          <w:b/>
          <w:bCs/>
        </w:rPr>
        <w:t>F</w:t>
      </w:r>
      <w:r w:rsidRPr="00D56A55">
        <w:rPr>
          <w:b/>
          <w:bCs/>
        </w:rPr>
        <w:t xml:space="preserve">igure </w:t>
      </w:r>
      <w:r w:rsidR="007A3543">
        <w:rPr>
          <w:rFonts w:hint="eastAsia"/>
          <w:b/>
          <w:bCs/>
        </w:rPr>
        <w:t>3</w:t>
      </w:r>
      <w:r w:rsidRPr="00D56A55">
        <w:rPr>
          <w:b/>
          <w:bCs/>
        </w:rPr>
        <w:t xml:space="preserve">. The cumulative </w:t>
      </w:r>
      <w:r w:rsidR="009B6DA2" w:rsidRPr="00D56A55">
        <w:rPr>
          <w:rFonts w:hint="eastAsia"/>
          <w:b/>
          <w:bCs/>
        </w:rPr>
        <w:t>biodiversity</w:t>
      </w:r>
      <w:r w:rsidR="009B6DA2" w:rsidRPr="00D56A55">
        <w:rPr>
          <w:b/>
          <w:bCs/>
        </w:rPr>
        <w:t xml:space="preserve"> </w:t>
      </w:r>
      <w:r w:rsidR="009B6DA2" w:rsidRPr="00D56A55">
        <w:rPr>
          <w:rFonts w:hint="eastAsia"/>
          <w:b/>
          <w:bCs/>
        </w:rPr>
        <w:t>loss</w:t>
      </w:r>
      <w:r w:rsidR="007751CB">
        <w:rPr>
          <w:b/>
          <w:bCs/>
        </w:rPr>
        <w:t>es</w:t>
      </w:r>
      <w:r w:rsidR="009B6DA2" w:rsidRPr="00D56A55">
        <w:rPr>
          <w:b/>
          <w:bCs/>
        </w:rPr>
        <w:t xml:space="preserve"> </w:t>
      </w:r>
      <w:r w:rsidRPr="00D56A55">
        <w:rPr>
          <w:b/>
          <w:bCs/>
        </w:rPr>
        <w:t>of four species</w:t>
      </w:r>
      <w:r w:rsidR="00D7059B" w:rsidRPr="00D56A55">
        <w:rPr>
          <w:b/>
          <w:bCs/>
          <w:szCs w:val="32"/>
        </w:rPr>
        <w:t xml:space="preserve"> groups</w:t>
      </w:r>
      <w:r w:rsidRPr="00D56A55">
        <w:rPr>
          <w:b/>
          <w:bCs/>
        </w:rPr>
        <w:t xml:space="preserve"> by </w:t>
      </w:r>
      <w:r w:rsidR="00713765" w:rsidRPr="00D56A55">
        <w:rPr>
          <w:b/>
          <w:bCs/>
        </w:rPr>
        <w:t xml:space="preserve">countries </w:t>
      </w:r>
      <w:r w:rsidR="00713765" w:rsidRPr="00D56A55">
        <w:rPr>
          <w:b/>
          <w:bCs/>
        </w:rPr>
        <w:lastRenderedPageBreak/>
        <w:t>and regions</w:t>
      </w:r>
      <w:r w:rsidRPr="00D56A55">
        <w:rPr>
          <w:b/>
          <w:bCs/>
        </w:rPr>
        <w:t xml:space="preserve"> </w:t>
      </w:r>
      <w:r w:rsidR="00086D88">
        <w:rPr>
          <w:b/>
          <w:bCs/>
        </w:rPr>
        <w:t>from</w:t>
      </w:r>
      <w:r w:rsidR="00086D88" w:rsidRPr="00D56A55">
        <w:rPr>
          <w:b/>
          <w:bCs/>
        </w:rPr>
        <w:t xml:space="preserve"> </w:t>
      </w:r>
      <w:r w:rsidRPr="00D56A55">
        <w:rPr>
          <w:b/>
          <w:bCs/>
        </w:rPr>
        <w:t xml:space="preserve">2015 </w:t>
      </w:r>
      <w:r w:rsidR="00086D88">
        <w:rPr>
          <w:b/>
          <w:bCs/>
        </w:rPr>
        <w:t>to</w:t>
      </w:r>
      <w:r w:rsidRPr="00D56A55">
        <w:rPr>
          <w:b/>
          <w:bCs/>
        </w:rPr>
        <w:t xml:space="preserve"> 2060 in </w:t>
      </w:r>
      <w:r w:rsidR="00CC70E6">
        <w:rPr>
          <w:b/>
          <w:bCs/>
        </w:rPr>
        <w:t>RTS, 2DS, and B2DS</w:t>
      </w:r>
      <w:r w:rsidR="00CC70E6" w:rsidRPr="00D56A55">
        <w:rPr>
          <w:b/>
          <w:bCs/>
        </w:rPr>
        <w:t xml:space="preserve"> </w:t>
      </w:r>
      <w:r w:rsidRPr="00D56A55">
        <w:rPr>
          <w:b/>
          <w:bCs/>
        </w:rPr>
        <w:t>scenarios</w:t>
      </w:r>
      <w:r w:rsidR="002B3AEE">
        <w:rPr>
          <w:rFonts w:hint="eastAsia"/>
          <w:b/>
          <w:bCs/>
        </w:rPr>
        <w:t xml:space="preserve"> (</w:t>
      </w:r>
      <w:r w:rsidR="007C5E2B">
        <w:rPr>
          <w:rFonts w:hint="eastAsia"/>
          <w:b/>
          <w:bCs/>
        </w:rPr>
        <w:t>unit: global pdf)</w:t>
      </w:r>
      <w:r w:rsidRPr="00D56A55">
        <w:rPr>
          <w:b/>
          <w:bCs/>
        </w:rPr>
        <w:t xml:space="preserve">. </w:t>
      </w:r>
      <w:r w:rsidR="00086D88" w:rsidRPr="00086D88">
        <w:rPr>
          <w:b/>
          <w:bCs/>
        </w:rPr>
        <w:t xml:space="preserve">“The cumulative biodiversity loss” denotes the total </w:t>
      </w:r>
      <w:r w:rsidR="00086D88">
        <w:rPr>
          <w:rFonts w:hint="eastAsia"/>
          <w:b/>
          <w:bCs/>
        </w:rPr>
        <w:t>impact</w:t>
      </w:r>
      <w:r w:rsidR="00086D88" w:rsidRPr="00086D88">
        <w:rPr>
          <w:b/>
          <w:bCs/>
        </w:rPr>
        <w:t xml:space="preserve"> due to increased demand across various scenarios from 2015 to 2060 for each country or region</w:t>
      </w:r>
      <w:r w:rsidR="00086D88">
        <w:rPr>
          <w:b/>
          <w:bCs/>
        </w:rPr>
        <w:t xml:space="preserve">. </w:t>
      </w:r>
      <w:r w:rsidRPr="00D56A55">
        <w:rPr>
          <w:b/>
          <w:bCs/>
        </w:rPr>
        <w:t xml:space="preserve">The line chart illustrates </w:t>
      </w:r>
      <w:r w:rsidR="009B6DA2" w:rsidRPr="00D56A55">
        <w:rPr>
          <w:rFonts w:hint="eastAsia"/>
          <w:b/>
          <w:bCs/>
        </w:rPr>
        <w:t>the</w:t>
      </w:r>
      <w:r w:rsidR="009B6DA2" w:rsidRPr="00D56A55">
        <w:rPr>
          <w:b/>
          <w:bCs/>
        </w:rPr>
        <w:t xml:space="preserve"> cumulative</w:t>
      </w:r>
      <w:r w:rsidRPr="00D56A55">
        <w:rPr>
          <w:b/>
          <w:bCs/>
        </w:rPr>
        <w:t xml:space="preserve"> biodiversity loss</w:t>
      </w:r>
      <w:r w:rsidR="009B6DA2" w:rsidRPr="00D56A55">
        <w:rPr>
          <w:b/>
          <w:bCs/>
        </w:rPr>
        <w:t xml:space="preserve"> </w:t>
      </w:r>
      <w:r w:rsidR="00B5009C" w:rsidRPr="00D56A55">
        <w:rPr>
          <w:b/>
          <w:bCs/>
        </w:rPr>
        <w:t xml:space="preserve">within the territories of key </w:t>
      </w:r>
      <w:r w:rsidR="00713765" w:rsidRPr="00D56A55">
        <w:rPr>
          <w:b/>
          <w:bCs/>
        </w:rPr>
        <w:t>countries and regions</w:t>
      </w:r>
      <w:r w:rsidRPr="00D56A55">
        <w:rPr>
          <w:b/>
          <w:bCs/>
        </w:rPr>
        <w:t xml:space="preserve"> (including export and local </w:t>
      </w:r>
      <w:r w:rsidR="00784755" w:rsidRPr="00D56A55">
        <w:rPr>
          <w:b/>
          <w:bCs/>
        </w:rPr>
        <w:t>production</w:t>
      </w:r>
      <w:r w:rsidRPr="00D56A55">
        <w:rPr>
          <w:b/>
          <w:bCs/>
        </w:rPr>
        <w:t xml:space="preserve">), while the stacked bar chart illustrates the </w:t>
      </w:r>
      <w:r w:rsidR="00B5009C" w:rsidRPr="00D56A55">
        <w:rPr>
          <w:b/>
          <w:bCs/>
        </w:rPr>
        <w:t>cumulative biodiversity loss footprint</w:t>
      </w:r>
      <w:r w:rsidRPr="00D56A55">
        <w:rPr>
          <w:b/>
          <w:bCs/>
        </w:rPr>
        <w:t xml:space="preserve"> of </w:t>
      </w:r>
      <w:r w:rsidR="00713765" w:rsidRPr="00D56A55">
        <w:rPr>
          <w:b/>
          <w:bCs/>
        </w:rPr>
        <w:t>countries and regions</w:t>
      </w:r>
      <w:r w:rsidRPr="00D56A55">
        <w:rPr>
          <w:b/>
          <w:bCs/>
        </w:rPr>
        <w:t xml:space="preserve"> (including import and local consumption).</w:t>
      </w:r>
    </w:p>
    <w:bookmarkEnd w:id="24"/>
    <w:p w14:paraId="4A47F9D6" w14:textId="7843C6DE" w:rsidR="00D84E3D" w:rsidRDefault="00D84E3D" w:rsidP="00D84E3D">
      <w:pPr>
        <w:spacing w:line="360" w:lineRule="auto"/>
        <w:ind w:firstLine="420"/>
      </w:pPr>
      <w:r w:rsidRPr="00D56A55">
        <w:t xml:space="preserve">By 2060, the </w:t>
      </w:r>
      <w:r w:rsidRPr="00D56A55">
        <w:rPr>
          <w:rFonts w:hint="eastAsia"/>
        </w:rPr>
        <w:t>cum</w:t>
      </w:r>
      <w:r w:rsidRPr="00D56A55">
        <w:t xml:space="preserve">ulative </w:t>
      </w:r>
      <w:r w:rsidRPr="00D56A55">
        <w:rPr>
          <w:rFonts w:hint="eastAsia"/>
        </w:rPr>
        <w:t>impact</w:t>
      </w:r>
      <w:r w:rsidR="004C1CEC" w:rsidRPr="00D56A55">
        <w:t xml:space="preserve"> of </w:t>
      </w:r>
      <w:r w:rsidR="00570A68" w:rsidRPr="00D56A55">
        <w:rPr>
          <w:rFonts w:hint="eastAsia"/>
        </w:rPr>
        <w:t xml:space="preserve">the </w:t>
      </w:r>
      <w:r w:rsidR="004C1CEC" w:rsidRPr="00D56A55">
        <w:t>renewable energy trade</w:t>
      </w:r>
      <w:r w:rsidRPr="00D56A55">
        <w:t xml:space="preserve"> </w:t>
      </w:r>
      <w:r w:rsidR="00A52E3D" w:rsidRPr="00D56A55">
        <w:t>c</w:t>
      </w:r>
      <w:r w:rsidRPr="00D56A55">
        <w:t xml:space="preserve">ould </w:t>
      </w:r>
      <w:r w:rsidR="004C1CEC" w:rsidRPr="00D56A55">
        <w:t xml:space="preserve">potentially </w:t>
      </w:r>
      <w:r w:rsidRPr="00D56A55">
        <w:t xml:space="preserve">lead to a </w:t>
      </w:r>
      <w:r w:rsidR="00570A68" w:rsidRPr="00D56A55">
        <w:rPr>
          <w:rFonts w:hint="eastAsia"/>
        </w:rPr>
        <w:t xml:space="preserve">global </w:t>
      </w:r>
      <w:r w:rsidRPr="00D56A55">
        <w:t xml:space="preserve">biodiversity loss </w:t>
      </w:r>
      <w:r w:rsidR="00570A68" w:rsidRPr="00D56A55">
        <w:rPr>
          <w:rFonts w:hint="eastAsia"/>
        </w:rPr>
        <w:t>between</w:t>
      </w:r>
      <w:r w:rsidRPr="00D56A55">
        <w:t xml:space="preserve"> </w:t>
      </w:r>
      <w:bookmarkStart w:id="25" w:name="OLE_LINK16"/>
      <m:oMath>
        <m:r>
          <w:rPr>
            <w:rFonts w:ascii="Cambria Math" w:hAnsi="Cambria Math"/>
          </w:rPr>
          <m:t>1.2×1</m:t>
        </m:r>
        <m:sSup>
          <m:sSupPr>
            <m:ctrlPr>
              <w:rPr>
                <w:rFonts w:ascii="Cambria Math" w:hAnsi="Cambria Math"/>
              </w:rPr>
            </m:ctrlPr>
          </m:sSupPr>
          <m:e>
            <m:r>
              <w:rPr>
                <w:rFonts w:ascii="Cambria Math" w:hAnsi="Cambria Math"/>
              </w:rPr>
              <m:t>0</m:t>
            </m:r>
          </m:e>
          <m:sup>
            <m:r>
              <w:rPr>
                <w:rFonts w:ascii="Cambria Math" w:hAnsi="Cambria Math"/>
              </w:rPr>
              <m:t>-2</m:t>
            </m:r>
          </m:sup>
        </m:sSup>
      </m:oMath>
      <w:bookmarkEnd w:id="25"/>
      <w:r w:rsidRPr="00D56A55">
        <w:t xml:space="preserve"> </w:t>
      </w:r>
      <w:r w:rsidR="00570A68" w:rsidRPr="00D56A55">
        <w:rPr>
          <w:rFonts w:hint="eastAsia"/>
        </w:rPr>
        <w:t>and</w:t>
      </w:r>
      <w:r w:rsidRPr="00D56A55">
        <w:t xml:space="preserve"> </w:t>
      </w:r>
      <m:oMath>
        <m:r>
          <w:rPr>
            <w:rFonts w:ascii="Cambria Math" w:hAnsi="Cambria Math"/>
          </w:rPr>
          <m:t>2.2×1</m:t>
        </m:r>
        <m:sSup>
          <m:sSupPr>
            <m:ctrlPr>
              <w:rPr>
                <w:rFonts w:ascii="Cambria Math" w:hAnsi="Cambria Math"/>
              </w:rPr>
            </m:ctrlPr>
          </m:sSupPr>
          <m:e>
            <m:r>
              <w:rPr>
                <w:rFonts w:ascii="Cambria Math" w:hAnsi="Cambria Math"/>
              </w:rPr>
              <m:t>0</m:t>
            </m:r>
          </m:e>
          <m:sup>
            <m:r>
              <w:rPr>
                <w:rFonts w:ascii="Cambria Math" w:hAnsi="Cambria Math"/>
              </w:rPr>
              <m:t>-2</m:t>
            </m:r>
          </m:sup>
        </m:sSup>
      </m:oMath>
      <w:r w:rsidRPr="00D56A55">
        <w:t xml:space="preserve"> </w:t>
      </w:r>
      <w:r w:rsidR="007C5E2B">
        <w:rPr>
          <w:rFonts w:hint="eastAsia"/>
        </w:rPr>
        <w:t>global pdf</w:t>
      </w:r>
      <w:r w:rsidRPr="00D56A55">
        <w:t xml:space="preserve"> in three scenarios outlined in ETP2017 (Fig. </w:t>
      </w:r>
      <w:r w:rsidR="007A3543">
        <w:rPr>
          <w:rFonts w:hint="eastAsia"/>
        </w:rPr>
        <w:t>4</w:t>
      </w:r>
      <w:r w:rsidRPr="00D56A55">
        <w:t xml:space="preserve">). Nevertheless, in all scenarios, the biodiversity loss induced by renewable energy </w:t>
      </w:r>
      <w:r w:rsidR="00514428">
        <w:rPr>
          <w:rFonts w:hint="eastAsia"/>
        </w:rPr>
        <w:t>land occupation</w:t>
      </w:r>
      <w:r w:rsidR="00514428" w:rsidRPr="00D56A55">
        <w:t xml:space="preserve"> </w:t>
      </w:r>
      <w:r w:rsidRPr="00D56A55">
        <w:t xml:space="preserve">has escalated, with the 2DS and B2DS </w:t>
      </w:r>
      <w:r w:rsidR="00A52E3D" w:rsidRPr="00D56A55">
        <w:t xml:space="preserve">showing </w:t>
      </w:r>
      <w:r w:rsidRPr="00D56A55">
        <w:t xml:space="preserve">a </w:t>
      </w:r>
      <w:r w:rsidR="00A33AE8">
        <w:rPr>
          <w:rFonts w:hint="eastAsia"/>
        </w:rPr>
        <w:t>1</w:t>
      </w:r>
      <w:r w:rsidR="009B3A9E" w:rsidRPr="00D56A55">
        <w:t>.</w:t>
      </w:r>
      <w:r w:rsidR="00CB5E2C">
        <w:rPr>
          <w:rFonts w:hint="eastAsia"/>
        </w:rPr>
        <w:t>7</w:t>
      </w:r>
      <w:r w:rsidRPr="00D56A55">
        <w:t>-</w:t>
      </w:r>
      <w:r w:rsidR="00A33AE8">
        <w:rPr>
          <w:rFonts w:hint="eastAsia"/>
        </w:rPr>
        <w:t>1</w:t>
      </w:r>
      <w:r w:rsidR="00E365C2" w:rsidRPr="00D56A55">
        <w:t>.</w:t>
      </w:r>
      <w:r w:rsidR="00A33AE8">
        <w:rPr>
          <w:rFonts w:hint="eastAsia"/>
        </w:rPr>
        <w:t>8</w:t>
      </w:r>
      <w:r w:rsidRPr="00D56A55">
        <w:t xml:space="preserve"> times greater impact compared to the RTS. The primary reason </w:t>
      </w:r>
      <w:r w:rsidR="00A52E3D" w:rsidRPr="00D56A55">
        <w:t xml:space="preserve">is </w:t>
      </w:r>
      <w:r w:rsidRPr="00D56A55">
        <w:t xml:space="preserve">that the RTS, which </w:t>
      </w:r>
      <w:r w:rsidR="00DE72E5">
        <w:t>considers</w:t>
      </w:r>
      <w:r w:rsidR="00A52E3D" w:rsidRPr="00D56A55">
        <w:t xml:space="preserve"> current</w:t>
      </w:r>
      <w:r w:rsidRPr="00D56A55">
        <w:t xml:space="preserve"> energy and climate commitments, </w:t>
      </w:r>
      <w:r w:rsidR="00A52E3D" w:rsidRPr="00D56A55">
        <w:t>has</w:t>
      </w:r>
      <w:r w:rsidRPr="00D56A55">
        <w:t xml:space="preserve"> the slowest growth rate </w:t>
      </w:r>
      <w:r w:rsidR="0097319B" w:rsidRPr="00D56A55">
        <w:rPr>
          <w:rFonts w:hint="eastAsia"/>
        </w:rPr>
        <w:t>of</w:t>
      </w:r>
      <w:r w:rsidR="0097319B" w:rsidRPr="00D56A55">
        <w:t xml:space="preserve"> </w:t>
      </w:r>
      <w:r w:rsidRPr="00D56A55">
        <w:t xml:space="preserve">renewable energy infrastructure. Consequently, it </w:t>
      </w:r>
      <w:r w:rsidR="00A52E3D" w:rsidRPr="00D56A55">
        <w:t xml:space="preserve">has </w:t>
      </w:r>
      <w:r w:rsidRPr="00D56A55">
        <w:t xml:space="preserve">the </w:t>
      </w:r>
      <w:r w:rsidR="0097319B" w:rsidRPr="00D56A55">
        <w:rPr>
          <w:rFonts w:hint="eastAsia"/>
        </w:rPr>
        <w:t>lowest</w:t>
      </w:r>
      <w:r w:rsidR="0097319B" w:rsidRPr="00D56A55">
        <w:t xml:space="preserve"> </w:t>
      </w:r>
      <w:r w:rsidRPr="00D56A55">
        <w:t>impact on the four species</w:t>
      </w:r>
      <w:r w:rsidR="00D7059B" w:rsidRPr="00D56A55">
        <w:rPr>
          <w:rFonts w:hint="eastAsia"/>
        </w:rPr>
        <w:t xml:space="preserve"> </w:t>
      </w:r>
      <w:r w:rsidR="00D7059B" w:rsidRPr="00D56A55">
        <w:rPr>
          <w:rFonts w:hint="eastAsia"/>
          <w:szCs w:val="32"/>
        </w:rPr>
        <w:t>groups</w:t>
      </w:r>
      <w:r w:rsidRPr="00D56A55">
        <w:t xml:space="preserve">, increasing by </w:t>
      </w:r>
      <w:r w:rsidR="00A52E3D" w:rsidRPr="00D56A55">
        <w:t xml:space="preserve">only </w:t>
      </w:r>
      <w:bookmarkStart w:id="26" w:name="OLE_LINK17"/>
      <m:oMath>
        <m:r>
          <w:rPr>
            <w:rFonts w:ascii="Cambria Math" w:hAnsi="Cambria Math"/>
          </w:rPr>
          <m:t>2.1×1</m:t>
        </m:r>
        <m:sSup>
          <m:sSupPr>
            <m:ctrlPr>
              <w:rPr>
                <w:rFonts w:ascii="Cambria Math" w:hAnsi="Cambria Math"/>
              </w:rPr>
            </m:ctrlPr>
          </m:sSupPr>
          <m:e>
            <m:r>
              <w:rPr>
                <w:rFonts w:ascii="Cambria Math" w:hAnsi="Cambria Math"/>
              </w:rPr>
              <m:t>0</m:t>
            </m:r>
          </m:e>
          <m:sup>
            <m:r>
              <w:rPr>
                <w:rFonts w:ascii="Cambria Math" w:hAnsi="Cambria Math"/>
              </w:rPr>
              <m:t>-3</m:t>
            </m:r>
          </m:sup>
        </m:sSup>
      </m:oMath>
      <w:r w:rsidRPr="00D56A55">
        <w:t xml:space="preserve"> </w:t>
      </w:r>
      <w:r w:rsidR="00A33AE8">
        <w:rPr>
          <w:rFonts w:hint="eastAsia"/>
        </w:rPr>
        <w:t>global pdf</w:t>
      </w:r>
      <w:bookmarkEnd w:id="26"/>
      <w:r w:rsidR="0097319B" w:rsidRPr="00D56A55">
        <w:t xml:space="preserve"> by 2060</w:t>
      </w:r>
      <w:r w:rsidRPr="00D56A55">
        <w:t xml:space="preserve"> </w:t>
      </w:r>
      <w:r w:rsidR="0097319B" w:rsidRPr="00D56A55">
        <w:rPr>
          <w:rFonts w:hint="eastAsia"/>
        </w:rPr>
        <w:t>compared to</w:t>
      </w:r>
      <w:r w:rsidRPr="00D56A55">
        <w:t xml:space="preserve"> 2015. In contrast, biodiversity loss in the 2DS and B2DS </w:t>
      </w:r>
      <w:r w:rsidR="00A52E3D" w:rsidRPr="00D56A55">
        <w:t xml:space="preserve">scenarios </w:t>
      </w:r>
      <w:r w:rsidRPr="00D56A55">
        <w:rPr>
          <w:rFonts w:hint="eastAsia"/>
        </w:rPr>
        <w:t>increase</w:t>
      </w:r>
      <w:r w:rsidR="00A52E3D" w:rsidRPr="00D56A55">
        <w:t>s</w:t>
      </w:r>
      <w:r w:rsidRPr="00D56A55">
        <w:t xml:space="preserve"> by </w:t>
      </w:r>
      <m:oMath>
        <m:r>
          <w:rPr>
            <w:rFonts w:ascii="Cambria Math" w:hAnsi="Cambria Math"/>
          </w:rPr>
          <m:t>4.3×1</m:t>
        </m:r>
        <m:sSup>
          <m:sSupPr>
            <m:ctrlPr>
              <w:rPr>
                <w:rFonts w:ascii="Cambria Math" w:hAnsi="Cambria Math"/>
              </w:rPr>
            </m:ctrlPr>
          </m:sSupPr>
          <m:e>
            <m:r>
              <w:rPr>
                <w:rFonts w:ascii="Cambria Math" w:hAnsi="Cambria Math"/>
              </w:rPr>
              <m:t>0</m:t>
            </m:r>
          </m:e>
          <m:sup>
            <m:r>
              <w:rPr>
                <w:rFonts w:ascii="Cambria Math" w:hAnsi="Cambria Math"/>
              </w:rPr>
              <m:t>-3</m:t>
            </m:r>
          </m:sup>
        </m:sSup>
      </m:oMath>
      <w:r w:rsidR="00FB25A1" w:rsidRPr="00D56A55">
        <w:t xml:space="preserve"> </w:t>
      </w:r>
      <w:r w:rsidR="00FB25A1">
        <w:rPr>
          <w:rFonts w:hint="eastAsia"/>
        </w:rPr>
        <w:t>global pdf</w:t>
      </w:r>
      <w:r w:rsidR="00FB25A1" w:rsidDel="00FB25A1">
        <w:rPr>
          <w:rFonts w:hint="eastAsia"/>
        </w:rPr>
        <w:t xml:space="preserve"> </w:t>
      </w:r>
      <w:r w:rsidRPr="00D56A55">
        <w:t xml:space="preserve">and </w:t>
      </w:r>
      <m:oMath>
        <m:r>
          <w:rPr>
            <w:rFonts w:ascii="Cambria Math" w:hAnsi="Cambria Math"/>
          </w:rPr>
          <m:t>4.4×1</m:t>
        </m:r>
        <m:sSup>
          <m:sSupPr>
            <m:ctrlPr>
              <w:rPr>
                <w:rFonts w:ascii="Cambria Math" w:hAnsi="Cambria Math"/>
              </w:rPr>
            </m:ctrlPr>
          </m:sSupPr>
          <m:e>
            <m:r>
              <w:rPr>
                <w:rFonts w:ascii="Cambria Math" w:hAnsi="Cambria Math"/>
              </w:rPr>
              <m:t>0</m:t>
            </m:r>
          </m:e>
          <m:sup>
            <m:r>
              <w:rPr>
                <w:rFonts w:ascii="Cambria Math" w:hAnsi="Cambria Math"/>
              </w:rPr>
              <m:t>-3</m:t>
            </m:r>
          </m:sup>
        </m:sSup>
      </m:oMath>
      <w:r w:rsidR="00FB25A1" w:rsidRPr="00D56A55">
        <w:t xml:space="preserve"> </w:t>
      </w:r>
      <w:r w:rsidR="00FB25A1">
        <w:rPr>
          <w:rFonts w:hint="eastAsia"/>
        </w:rPr>
        <w:t>global pdf</w:t>
      </w:r>
      <w:r w:rsidR="00FB25A1" w:rsidDel="00FB25A1">
        <w:rPr>
          <w:rFonts w:hint="eastAsia"/>
        </w:rPr>
        <w:t xml:space="preserve"> </w:t>
      </w:r>
      <w:r w:rsidRPr="00D56A55">
        <w:t xml:space="preserve">respectively from 2015 to 2060. </w:t>
      </w:r>
      <w:r w:rsidR="0097319B" w:rsidRPr="00D56A55">
        <w:rPr>
          <w:rFonts w:hint="eastAsia"/>
        </w:rPr>
        <w:t>S</w:t>
      </w:r>
      <w:r w:rsidRPr="00D56A55">
        <w:t>pecies</w:t>
      </w:r>
      <w:r w:rsidR="00D7059B" w:rsidRPr="00D56A55">
        <w:rPr>
          <w:rFonts w:hint="eastAsia"/>
        </w:rPr>
        <w:t xml:space="preserve"> </w:t>
      </w:r>
      <w:r w:rsidR="00D7059B" w:rsidRPr="00D56A55">
        <w:rPr>
          <w:rFonts w:hint="eastAsia"/>
          <w:szCs w:val="32"/>
        </w:rPr>
        <w:t>group</w:t>
      </w:r>
      <w:r w:rsidRPr="00D56A55">
        <w:t xml:space="preserve"> composition</w:t>
      </w:r>
      <w:r w:rsidR="00CB193F">
        <w:t>s</w:t>
      </w:r>
      <w:r w:rsidRPr="00D56A55">
        <w:t xml:space="preserve"> remain consistent across scenarios. Birds continue to</w:t>
      </w:r>
      <w:r w:rsidR="00A52E3D" w:rsidRPr="00D56A55">
        <w:t xml:space="preserve"> be</w:t>
      </w:r>
      <w:r w:rsidRPr="00D56A55">
        <w:t xml:space="preserve"> </w:t>
      </w:r>
      <w:r w:rsidR="00A52E3D" w:rsidRPr="00D56A55">
        <w:t>most affected</w:t>
      </w:r>
      <w:r w:rsidRPr="00D56A55">
        <w:t>, followed by</w:t>
      </w:r>
      <w:r w:rsidR="00FB25A1">
        <w:rPr>
          <w:rFonts w:hint="eastAsia"/>
        </w:rPr>
        <w:t xml:space="preserve"> amphibians</w:t>
      </w:r>
      <w:r w:rsidRPr="00D56A55">
        <w:t xml:space="preserve">. However, </w:t>
      </w:r>
      <w:r w:rsidR="00A52E3D" w:rsidRPr="00D56A55">
        <w:t xml:space="preserve">there </w:t>
      </w:r>
      <w:r w:rsidR="008137BB" w:rsidRPr="00D56A55">
        <w:rPr>
          <w:rFonts w:hint="eastAsia"/>
        </w:rPr>
        <w:t>is</w:t>
      </w:r>
      <w:r w:rsidR="00A52E3D" w:rsidRPr="00D56A55">
        <w:t xml:space="preserve"> an </w:t>
      </w:r>
      <w:r w:rsidR="00786F53" w:rsidRPr="00D56A55">
        <w:t>increasing impact</w:t>
      </w:r>
      <w:r w:rsidRPr="00D56A55">
        <w:t xml:space="preserve"> on </w:t>
      </w:r>
      <w:r w:rsidR="001E6598" w:rsidRPr="00D56A55">
        <w:t xml:space="preserve">birds </w:t>
      </w:r>
      <w:r w:rsidRPr="00D56A55">
        <w:t xml:space="preserve">in </w:t>
      </w:r>
      <w:r w:rsidR="008137BB" w:rsidRPr="00D56A55">
        <w:rPr>
          <w:rFonts w:hint="eastAsia"/>
        </w:rPr>
        <w:t xml:space="preserve">the </w:t>
      </w:r>
      <w:r w:rsidRPr="00D56A55">
        <w:t xml:space="preserve">2DS and B2DS, </w:t>
      </w:r>
      <w:r w:rsidR="00A52E3D" w:rsidRPr="00D56A55">
        <w:t xml:space="preserve">with an </w:t>
      </w:r>
      <w:r w:rsidRPr="00D56A55">
        <w:t>increase</w:t>
      </w:r>
      <w:r w:rsidR="00A52E3D" w:rsidRPr="00D56A55">
        <w:t xml:space="preserve"> of</w:t>
      </w:r>
      <w:r w:rsidRPr="00D56A55">
        <w:t xml:space="preserve"> </w:t>
      </w:r>
      <w:r w:rsidR="00FB25A1">
        <w:rPr>
          <w:rFonts w:hint="eastAsia"/>
        </w:rPr>
        <w:t>6</w:t>
      </w:r>
      <w:r w:rsidRPr="00D56A55">
        <w:t>.</w:t>
      </w:r>
      <w:r w:rsidR="00FB25A1">
        <w:rPr>
          <w:rFonts w:hint="eastAsia"/>
        </w:rPr>
        <w:t>07</w:t>
      </w:r>
      <w:r w:rsidRPr="00D56A55">
        <w:t xml:space="preserve">% and </w:t>
      </w:r>
      <w:r w:rsidR="00FB25A1">
        <w:rPr>
          <w:rFonts w:hint="eastAsia"/>
        </w:rPr>
        <w:t>6.08</w:t>
      </w:r>
      <w:r w:rsidRPr="00D56A55">
        <w:t>% respectively, compared to</w:t>
      </w:r>
      <w:r w:rsidR="008137BB" w:rsidRPr="00D56A55">
        <w:rPr>
          <w:rFonts w:hint="eastAsia"/>
        </w:rPr>
        <w:t xml:space="preserve"> the</w:t>
      </w:r>
      <w:r w:rsidRPr="00D56A55">
        <w:t xml:space="preserve"> RTS</w:t>
      </w:r>
      <w:r w:rsidR="00CB193F">
        <w:t>, suggesting</w:t>
      </w:r>
      <w:r w:rsidRPr="00D56A55">
        <w:t xml:space="preserve"> that as </w:t>
      </w:r>
      <w:r w:rsidR="00A52E3D" w:rsidRPr="00D56A55">
        <w:t xml:space="preserve">the demand for </w:t>
      </w:r>
      <w:r w:rsidRPr="00D56A55">
        <w:rPr>
          <w:rFonts w:hint="eastAsia"/>
        </w:rPr>
        <w:t>renewable</w:t>
      </w:r>
      <w:r w:rsidRPr="00D56A55">
        <w:t xml:space="preserve"> energy continues </w:t>
      </w:r>
      <w:r w:rsidR="00CB193F">
        <w:t xml:space="preserve">to </w:t>
      </w:r>
      <w:r w:rsidR="008137BB" w:rsidRPr="00D56A55">
        <w:rPr>
          <w:rFonts w:hint="eastAsia"/>
        </w:rPr>
        <w:t>increas</w:t>
      </w:r>
      <w:r w:rsidR="00CB193F">
        <w:t>e</w:t>
      </w:r>
      <w:r w:rsidRPr="00D56A55">
        <w:t xml:space="preserve">, the impact </w:t>
      </w:r>
      <w:r w:rsidR="008137BB" w:rsidRPr="00D56A55">
        <w:t xml:space="preserve">on birds </w:t>
      </w:r>
      <w:r w:rsidRPr="00D56A55">
        <w:t xml:space="preserve">will </w:t>
      </w:r>
      <w:r w:rsidR="0039640A">
        <w:t>continue to worsen</w:t>
      </w:r>
      <w:r w:rsidRPr="00D56A55">
        <w:t>.</w:t>
      </w:r>
    </w:p>
    <w:p w14:paraId="1B4357A3" w14:textId="4B6681F2" w:rsidR="00981119" w:rsidRPr="00055DB1" w:rsidRDefault="00965328" w:rsidP="000B7482">
      <w:pPr>
        <w:spacing w:line="360" w:lineRule="auto"/>
        <w:jc w:val="center"/>
        <w:rPr>
          <w:b/>
          <w:bCs/>
        </w:rPr>
      </w:pPr>
      <w:bookmarkStart w:id="27" w:name="_Hlk186042859"/>
      <w:r>
        <w:rPr>
          <w:b/>
          <w:bCs/>
          <w:noProof/>
          <w14:ligatures w14:val="none"/>
        </w:rPr>
        <w:drawing>
          <wp:inline distT="0" distB="0" distL="0" distR="0" wp14:anchorId="369407B7" wp14:editId="769D1C72">
            <wp:extent cx="5274310" cy="1147445"/>
            <wp:effectExtent l="0" t="0" r="0" b="0"/>
            <wp:docPr id="49870835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708352" name="图片 498708352"/>
                    <pic:cNvPicPr/>
                  </pic:nvPicPr>
                  <pic:blipFill>
                    <a:blip r:embed="rId13"/>
                    <a:stretch>
                      <a:fillRect/>
                    </a:stretch>
                  </pic:blipFill>
                  <pic:spPr>
                    <a:xfrm>
                      <a:off x="0" y="0"/>
                      <a:ext cx="5274310" cy="1147445"/>
                    </a:xfrm>
                    <a:prstGeom prst="rect">
                      <a:avLst/>
                    </a:prstGeom>
                  </pic:spPr>
                </pic:pic>
              </a:graphicData>
            </a:graphic>
          </wp:inline>
        </w:drawing>
      </w:r>
    </w:p>
    <w:p w14:paraId="4D3A84DC" w14:textId="2ABA5223" w:rsidR="00D84E3D" w:rsidRPr="00D56A55" w:rsidRDefault="00D84E3D" w:rsidP="00D84E3D">
      <w:pPr>
        <w:spacing w:line="360" w:lineRule="auto"/>
        <w:rPr>
          <w:b/>
          <w:bCs/>
        </w:rPr>
      </w:pPr>
      <w:r w:rsidRPr="00D56A55">
        <w:rPr>
          <w:rFonts w:hint="eastAsia"/>
          <w:b/>
          <w:bCs/>
        </w:rPr>
        <w:t>F</w:t>
      </w:r>
      <w:r w:rsidRPr="00D56A55">
        <w:rPr>
          <w:b/>
          <w:bCs/>
        </w:rPr>
        <w:t xml:space="preserve">igure </w:t>
      </w:r>
      <w:r w:rsidR="007A3543">
        <w:rPr>
          <w:rFonts w:hint="eastAsia"/>
          <w:b/>
          <w:bCs/>
        </w:rPr>
        <w:t>4</w:t>
      </w:r>
      <w:r w:rsidRPr="00D56A55">
        <w:rPr>
          <w:b/>
          <w:bCs/>
        </w:rPr>
        <w:t xml:space="preserve">. Variations on an annual basis in </w:t>
      </w:r>
      <w:r w:rsidR="00E2685C">
        <w:rPr>
          <w:rFonts w:hint="eastAsia"/>
          <w:b/>
          <w:bCs/>
        </w:rPr>
        <w:t>biodiversity</w:t>
      </w:r>
      <w:r w:rsidRPr="00D56A55">
        <w:rPr>
          <w:b/>
          <w:bCs/>
        </w:rPr>
        <w:t xml:space="preserve"> impact of global renewable energy trade in response to various energy transition scenarios. The final stacked </w:t>
      </w:r>
      <w:r w:rsidRPr="00D56A55">
        <w:rPr>
          <w:b/>
          <w:bCs/>
        </w:rPr>
        <w:lastRenderedPageBreak/>
        <w:t>bar chart depicts the species</w:t>
      </w:r>
      <w:r w:rsidR="00D7059B" w:rsidRPr="00D56A55">
        <w:rPr>
          <w:b/>
          <w:bCs/>
          <w:szCs w:val="32"/>
        </w:rPr>
        <w:t xml:space="preserve"> group</w:t>
      </w:r>
      <w:r w:rsidRPr="00D56A55">
        <w:rPr>
          <w:b/>
          <w:bCs/>
        </w:rPr>
        <w:t xml:space="preserve"> composition of biodiversity loss</w:t>
      </w:r>
      <w:r w:rsidR="00CB193F">
        <w:rPr>
          <w:b/>
          <w:bCs/>
        </w:rPr>
        <w:t>es</w:t>
      </w:r>
      <w:r w:rsidRPr="00D56A55">
        <w:rPr>
          <w:b/>
          <w:bCs/>
        </w:rPr>
        <w:t xml:space="preserve"> embedded in international trade in 2060. The cascade chart illustrates the interannual variations in consumption embedded in international trade under various scenarios.</w:t>
      </w:r>
    </w:p>
    <w:bookmarkEnd w:id="27"/>
    <w:p w14:paraId="5E317973" w14:textId="77777777" w:rsidR="00D84E3D" w:rsidRPr="00D56A55" w:rsidRDefault="00D84E3D" w:rsidP="00D84E3D">
      <w:pPr>
        <w:spacing w:line="360" w:lineRule="auto"/>
      </w:pPr>
    </w:p>
    <w:p w14:paraId="0F5A9B64" w14:textId="77777777" w:rsidR="00044FF4" w:rsidRPr="00D56A55" w:rsidRDefault="00044FF4" w:rsidP="00044FF4">
      <w:pPr>
        <w:spacing w:line="360" w:lineRule="auto"/>
        <w:rPr>
          <w:b/>
          <w:bCs/>
          <w:szCs w:val="32"/>
        </w:rPr>
      </w:pPr>
      <w:r w:rsidRPr="00D56A55">
        <w:rPr>
          <w:b/>
          <w:bCs/>
          <w:szCs w:val="32"/>
        </w:rPr>
        <w:t xml:space="preserve">4. Discussion </w:t>
      </w:r>
      <w:r w:rsidRPr="00D56A55">
        <w:rPr>
          <w:rFonts w:hint="eastAsia"/>
          <w:b/>
          <w:bCs/>
          <w:szCs w:val="32"/>
        </w:rPr>
        <w:t>and</w:t>
      </w:r>
      <w:r w:rsidRPr="00D56A55">
        <w:rPr>
          <w:b/>
          <w:bCs/>
          <w:szCs w:val="32"/>
        </w:rPr>
        <w:t xml:space="preserve"> policy implications</w:t>
      </w:r>
    </w:p>
    <w:p w14:paraId="2207F66A" w14:textId="74E59A81" w:rsidR="00044FF4" w:rsidRPr="00844949" w:rsidRDefault="008137BB" w:rsidP="008D6456">
      <w:pPr>
        <w:spacing w:line="360" w:lineRule="auto"/>
        <w:ind w:firstLine="420"/>
        <w:rPr>
          <w:color w:val="0070C0"/>
        </w:rPr>
      </w:pPr>
      <w:r w:rsidRPr="00D56A55">
        <w:rPr>
          <w:rFonts w:hint="eastAsia"/>
        </w:rPr>
        <w:t>E</w:t>
      </w:r>
      <w:r w:rsidR="00044FF4" w:rsidRPr="00D56A55">
        <w:t xml:space="preserve">scalating global energy demand and </w:t>
      </w:r>
      <w:r w:rsidRPr="00D56A55">
        <w:rPr>
          <w:rFonts w:hint="eastAsia"/>
        </w:rPr>
        <w:t xml:space="preserve">the </w:t>
      </w:r>
      <w:r w:rsidR="00044FF4" w:rsidRPr="00D56A55">
        <w:t xml:space="preserve">climate crisis have </w:t>
      </w:r>
      <w:r w:rsidR="00A52E3D" w:rsidRPr="00D56A55">
        <w:rPr>
          <w:rFonts w:hint="eastAsia"/>
        </w:rPr>
        <w:t>raised</w:t>
      </w:r>
      <w:r w:rsidR="00044FF4" w:rsidRPr="00D56A55">
        <w:t xml:space="preserve"> widespread concern</w:t>
      </w:r>
      <w:r w:rsidR="00A52E3D" w:rsidRPr="00D56A55">
        <w:t>s</w:t>
      </w:r>
      <w:r w:rsidR="00044FF4" w:rsidRPr="00D56A55">
        <w:t xml:space="preserve"> </w:t>
      </w:r>
      <w:r w:rsidR="00A52E3D" w:rsidRPr="00D56A55">
        <w:t>about the</w:t>
      </w:r>
      <w:r w:rsidR="00044FF4" w:rsidRPr="00D56A55">
        <w:t xml:space="preserve"> </w:t>
      </w:r>
      <w:r w:rsidR="00277D65" w:rsidRPr="00D56A55">
        <w:t xml:space="preserve">energy </w:t>
      </w:r>
      <w:r w:rsidR="00044FF4" w:rsidRPr="00D56A55">
        <w:t>transition</w:t>
      </w:r>
      <w:r w:rsidR="00427C32" w:rsidRPr="00D56A55">
        <w:t>,</w:t>
      </w:r>
      <w:r w:rsidR="00277D65" w:rsidRPr="00D56A55">
        <w:t xml:space="preserve"> </w:t>
      </w:r>
      <w:r w:rsidR="006B3E5C" w:rsidRPr="006B3E5C">
        <w:t>emphasizing</w:t>
      </w:r>
      <w:r w:rsidR="006B3E5C">
        <w:rPr>
          <w:rFonts w:hint="eastAsia"/>
        </w:rPr>
        <w:t xml:space="preserve"> the </w:t>
      </w:r>
      <w:r w:rsidR="00777F7E">
        <w:t xml:space="preserve">emerging </w:t>
      </w:r>
      <w:r w:rsidR="00427C32" w:rsidRPr="00D56A55">
        <w:t>trade-off</w:t>
      </w:r>
      <w:r w:rsidR="00CA3958">
        <w:t>s</w:t>
      </w:r>
      <w:r w:rsidR="00427C32" w:rsidRPr="00D56A55">
        <w:t xml:space="preserve"> </w:t>
      </w:r>
      <w:r w:rsidR="00777F7E">
        <w:t xml:space="preserve">between renewable energy and </w:t>
      </w:r>
      <w:r w:rsidR="00277D65" w:rsidRPr="00D56A55">
        <w:t>biodiversity conservation</w:t>
      </w:r>
      <w:r w:rsidR="00CA3958">
        <w:t xml:space="preserve"> require careful management</w:t>
      </w:r>
      <w:r w:rsidR="006D6CA0" w:rsidRPr="00D56A55">
        <w:t>.</w:t>
      </w:r>
      <w:r w:rsidR="00044FF4" w:rsidRPr="00D56A55">
        <w:rPr>
          <w:rFonts w:ascii="SimSun" w:hAnsi="SimSun"/>
          <w:szCs w:val="32"/>
        </w:rPr>
        <w:fldChar w:fldCharType="begin"/>
      </w:r>
      <w:r w:rsidR="00A43A89">
        <w:rPr>
          <w:rFonts w:ascii="SimSun" w:hAnsi="SimSun" w:hint="eastAsia"/>
          <w:szCs w:val="32"/>
        </w:rPr>
        <w:instrText xml:space="preserve"> ADDIN ZOTERO_ITEM CSL_CITATION {"citationID":"jItlQr8m","properties":{"formattedCitation":"\\super 69\\nosupersub{}","plainCitation":"69","noteIndex":0},"citationItems":[{"id":3725,"uris":["http://zotero.org/users/9110477/items/AXPYVAER"],"itemData":{"id":3725,"type":"article-journal","call-number":"1","container-title":"Conservation Letters","DOI":"10.1111/conl.12958","ISSN":"1755-263X, 1755-263X","issue":"3","journalAbbreviation":"Conservation Letters.","language":"en","page":"e12958","source":"10.068","title":"Climate change and energy crisis drive an unprecedented EU environmental law regression","volume":"16","author":[{"family":"Durá‐Alemañ","given":"C. Javier"},{"family":"Moleón","given":"Marcos"},{"family":"Pérez‐García","given":"Juan M."},{"family":"Serrano","given":"David"},{"family":"Sánchez‐Zapata","given":"José A."}],"issued":{"date-parts":[["2023",5]]}}}],"schema":"https://github.com/citation-style-language/schema/raw/master/csl-citation.json"} </w:instrText>
      </w:r>
      <w:r w:rsidR="00044FF4" w:rsidRPr="00D56A55">
        <w:rPr>
          <w:rFonts w:ascii="SimSun" w:hAnsi="SimSun"/>
          <w:szCs w:val="32"/>
        </w:rPr>
        <w:fldChar w:fldCharType="separate"/>
      </w:r>
      <w:r w:rsidR="008B7B48" w:rsidRPr="008B7B48">
        <w:rPr>
          <w:rFonts w:eastAsiaTheme="minorEastAsia"/>
          <w:kern w:val="0"/>
          <w:szCs w:val="24"/>
          <w:vertAlign w:val="superscript"/>
          <w14:ligatures w14:val="none"/>
        </w:rPr>
        <w:t>69</w:t>
      </w:r>
      <w:r w:rsidR="00044FF4" w:rsidRPr="00D56A55">
        <w:rPr>
          <w:rFonts w:ascii="SimSun" w:hAnsi="SimSun"/>
          <w:szCs w:val="32"/>
        </w:rPr>
        <w:fldChar w:fldCharType="end"/>
      </w:r>
      <w:r w:rsidR="00044FF4" w:rsidRPr="00D56A55">
        <w:t xml:space="preserve"> </w:t>
      </w:r>
      <w:r w:rsidRPr="00D56A55">
        <w:rPr>
          <w:rFonts w:hint="eastAsia"/>
        </w:rPr>
        <w:t>E</w:t>
      </w:r>
      <w:r w:rsidR="00044FF4" w:rsidRPr="00D56A55">
        <w:t xml:space="preserve">ffective </w:t>
      </w:r>
      <w:r w:rsidR="00A52E3D" w:rsidRPr="00D56A55">
        <w:t>develop</w:t>
      </w:r>
      <w:r w:rsidRPr="00D56A55">
        <w:rPr>
          <w:rFonts w:hint="eastAsia"/>
        </w:rPr>
        <w:t>ment of</w:t>
      </w:r>
      <w:r w:rsidR="00044FF4" w:rsidRPr="00D56A55">
        <w:t xml:space="preserve"> </w:t>
      </w:r>
      <w:r w:rsidR="00FC75D7" w:rsidRPr="00D56A55">
        <w:t>renewable energy</w:t>
      </w:r>
      <w:r w:rsidR="00044FF4" w:rsidRPr="00D56A55">
        <w:t xml:space="preserve"> </w:t>
      </w:r>
      <w:r w:rsidR="00A52E3D" w:rsidRPr="00D56A55">
        <w:t>infrastructure</w:t>
      </w:r>
      <w:r w:rsidRPr="00D56A55">
        <w:rPr>
          <w:rFonts w:hint="eastAsia"/>
        </w:rPr>
        <w:t xml:space="preserve"> is critical</w:t>
      </w:r>
      <w:r w:rsidR="00044FF4" w:rsidRPr="00D56A55">
        <w:t xml:space="preserve"> </w:t>
      </w:r>
      <w:r w:rsidR="00A52E3D" w:rsidRPr="00D56A55">
        <w:t>to prevent</w:t>
      </w:r>
      <w:r w:rsidRPr="00D56A55">
        <w:rPr>
          <w:rFonts w:hint="eastAsia"/>
        </w:rPr>
        <w:t>ing</w:t>
      </w:r>
      <w:r w:rsidR="00044FF4" w:rsidRPr="00D56A55">
        <w:t xml:space="preserve"> species</w:t>
      </w:r>
      <w:r w:rsidR="00D7059B" w:rsidRPr="00D56A55">
        <w:rPr>
          <w:rFonts w:hint="eastAsia"/>
        </w:rPr>
        <w:t xml:space="preserve"> </w:t>
      </w:r>
      <w:r w:rsidR="00D7059B" w:rsidRPr="00D56A55">
        <w:rPr>
          <w:rFonts w:hint="eastAsia"/>
          <w:szCs w:val="32"/>
        </w:rPr>
        <w:t>groups</w:t>
      </w:r>
      <w:r w:rsidR="00044FF4" w:rsidRPr="00D56A55">
        <w:t xml:space="preserve"> extinction </w:t>
      </w:r>
      <w:r w:rsidRPr="00D56A55">
        <w:rPr>
          <w:rFonts w:hint="eastAsia"/>
        </w:rPr>
        <w:t>while</w:t>
      </w:r>
      <w:r w:rsidRPr="00D56A55">
        <w:t xml:space="preserve"> </w:t>
      </w:r>
      <w:r w:rsidR="00A52E3D" w:rsidRPr="00D56A55">
        <w:t>mitigat</w:t>
      </w:r>
      <w:r w:rsidRPr="00D56A55">
        <w:rPr>
          <w:rFonts w:hint="eastAsia"/>
        </w:rPr>
        <w:t>ing</w:t>
      </w:r>
      <w:r w:rsidR="00A52E3D" w:rsidRPr="00D56A55">
        <w:t xml:space="preserve"> the effects of </w:t>
      </w:r>
      <w:r w:rsidR="00044FF4" w:rsidRPr="00D56A55">
        <w:t xml:space="preserve">climatic </w:t>
      </w:r>
      <w:r w:rsidR="00A52E3D" w:rsidRPr="00D56A55">
        <w:t>change</w:t>
      </w:r>
      <w:r w:rsidR="006D6CA0" w:rsidRPr="00D56A55">
        <w:t>.</w:t>
      </w:r>
      <w:r w:rsidR="00044FF4" w:rsidRPr="00D56A55">
        <w:rPr>
          <w:szCs w:val="32"/>
        </w:rPr>
        <w:fldChar w:fldCharType="begin"/>
      </w:r>
      <w:r w:rsidR="00A43A89">
        <w:rPr>
          <w:szCs w:val="32"/>
        </w:rPr>
        <w:instrText xml:space="preserve"> ADDIN ZOTERO_ITEM CSL_CITATION {"citationID":"L7IhuNq8","properties":{"formattedCitation":"\\super 12\\nosupersub{}","plainCitation":"12","noteIndex":0},"citationItems":[{"id":660,"uris":["http://zotero.org/users/9110477/items/4DC6X3TY"],"itemData":{"id":660,"type":"article-journal","abstract":"Transitioning from fossil fuels to renewable energy is fundamental for halting anthropogenic climate change. However, renewable energy facilities can be land-use intensive and impact conservation areas, and little attention has been given to whether the aggregated effect of energy transitions poses a substantial threat to global biodiversity. Here, we assess the extent of current and likely future renewable energy infrastructure associated with onshore wind, hydropower and solar photovoltaic generation, within three important conservation areas: protected areas, Key Biodiversity Areas and Earth’s remaining wilderness. We identified 2,206 fully operational renewable energy facilities within the boundaries of these conservation areas, with another 922 facilities under development. Combined, these facilities span and are degrading 886 protected areas, 749 Key Biodiversity Areas, and 40 distinct wilderness areas. Two trends are particularly concerning. First, while the majority of historical overlap occurs in Western Europe, the renewable electricity facilities under development increasingly overlap with conservation areas in South East Asia, a globally important region for biodiversity. Second, this next wave of renewable energy infrastructure represents a ~30% increase in the number of protected areas and Key Biodiversity Areas impacted and could increase the number of compromised wilderness areas by ~60%. If the world continues to rapidly transition towards renewable energy these areas will face increasing pressure to allow infrastructure expansion. Coordinated planning of renewable energy expansion and biodiversity conservation is essential to avoid conflicts that compromise their respective objectives.","call-number":"1","container-title":"Global Change Biology","DOI":"10.1111/gcb.15067","ISSN":"1354-1013, 1365-2486","issue":"5","journalAbbreviation":"Glob Change Biol","language":"en","page":"3040-3051","source":"11.6","title":"Renewable energy development threatens many globally important biodiversity areas","volume":"26","author":[{"family":"Rehbein","given":"Jose A."},{"family":"Watson","given":"James E. M."},{"family":"Lane","given":"Joe L."},{"family":"Sonter","given":"Laura J."},{"family":"Venter","given":"Oscar"},{"family":"Atkinson","given":"Scott C."},{"family":"Allan","given":"James R."}],"issued":{"date-parts":[["2020",5]]}}}],"schema":"https://github.com/citation-style-language/schema/raw/master/csl-citation.json"} </w:instrText>
      </w:r>
      <w:r w:rsidR="00044FF4" w:rsidRPr="00D56A55">
        <w:rPr>
          <w:szCs w:val="32"/>
        </w:rPr>
        <w:fldChar w:fldCharType="separate"/>
      </w:r>
      <w:r w:rsidR="00844949" w:rsidRPr="00844949">
        <w:rPr>
          <w:kern w:val="0"/>
          <w:vertAlign w:val="superscript"/>
        </w:rPr>
        <w:t>12</w:t>
      </w:r>
      <w:r w:rsidR="00044FF4" w:rsidRPr="00D56A55">
        <w:rPr>
          <w:szCs w:val="32"/>
        </w:rPr>
        <w:fldChar w:fldCharType="end"/>
      </w:r>
      <w:r w:rsidR="00044FF4" w:rsidRPr="00D56A55">
        <w:t xml:space="preserve"> </w:t>
      </w:r>
      <w:bookmarkStart w:id="28" w:name="OLE_LINK18"/>
      <w:r w:rsidR="004A596A">
        <w:rPr>
          <w:rFonts w:hint="eastAsia"/>
        </w:rPr>
        <w:t>O</w:t>
      </w:r>
      <w:r w:rsidR="00044FF4" w:rsidRPr="00D56A55">
        <w:t xml:space="preserve">ur analysis indicates that the </w:t>
      </w:r>
      <w:r w:rsidR="00E2685C">
        <w:rPr>
          <w:rFonts w:hint="eastAsia"/>
        </w:rPr>
        <w:t xml:space="preserve">land occupation </w:t>
      </w:r>
      <w:r w:rsidR="00A52E3D" w:rsidRPr="00D56A55">
        <w:t xml:space="preserve">expansion </w:t>
      </w:r>
      <w:r w:rsidR="00044FF4" w:rsidRPr="00D56A55">
        <w:t xml:space="preserve">of </w:t>
      </w:r>
      <w:r w:rsidR="00FC75D7" w:rsidRPr="00D56A55">
        <w:t>renewable energy</w:t>
      </w:r>
      <w:r w:rsidR="00044FF4" w:rsidRPr="00D56A55">
        <w:t xml:space="preserve"> infrastructure has </w:t>
      </w:r>
      <w:r w:rsidRPr="00D56A55">
        <w:rPr>
          <w:rFonts w:hint="eastAsia"/>
        </w:rPr>
        <w:t>led to</w:t>
      </w:r>
      <w:r w:rsidR="00044FF4" w:rsidRPr="00D56A55">
        <w:t xml:space="preserve"> a </w:t>
      </w:r>
      <m:oMath>
        <m:r>
          <w:rPr>
            <w:rFonts w:ascii="Cambria Math" w:hAnsi="Cambria Math"/>
          </w:rPr>
          <m:t>19×1</m:t>
        </m:r>
        <m:sSup>
          <m:sSupPr>
            <m:ctrlPr>
              <w:rPr>
                <w:rFonts w:ascii="Cambria Math" w:hAnsi="Cambria Math"/>
              </w:rPr>
            </m:ctrlPr>
          </m:sSupPr>
          <m:e>
            <m:r>
              <w:rPr>
                <w:rFonts w:ascii="Cambria Math" w:hAnsi="Cambria Math"/>
              </w:rPr>
              <m:t>0</m:t>
            </m:r>
          </m:e>
          <m:sup>
            <m:r>
              <w:rPr>
                <w:rFonts w:ascii="Cambria Math" w:hAnsi="Cambria Math"/>
              </w:rPr>
              <m:t>-4</m:t>
            </m:r>
          </m:sup>
        </m:sSup>
      </m:oMath>
      <w:r w:rsidR="00416E2D" w:rsidRPr="00D56A55">
        <w:t xml:space="preserve"> </w:t>
      </w:r>
      <w:r w:rsidR="00416E2D">
        <w:rPr>
          <w:rFonts w:hint="eastAsia"/>
        </w:rPr>
        <w:t>global pdf</w:t>
      </w:r>
      <w:r w:rsidR="00044FF4" w:rsidRPr="00D56A55">
        <w:t xml:space="preserve"> of </w:t>
      </w:r>
      <w:r w:rsidR="00EF6BF7" w:rsidRPr="00D56A55">
        <w:t>biodiversity loss</w:t>
      </w:r>
      <w:r w:rsidR="00044FF4" w:rsidRPr="00D56A55">
        <w:t xml:space="preserve"> world</w:t>
      </w:r>
      <w:r w:rsidR="00427C32" w:rsidRPr="00D56A55">
        <w:t>wide</w:t>
      </w:r>
      <w:r w:rsidR="002E6973">
        <w:rPr>
          <w:rFonts w:hint="eastAsia"/>
        </w:rPr>
        <w:t xml:space="preserve"> in</w:t>
      </w:r>
      <w:r w:rsidR="002E6973">
        <w:t xml:space="preserve"> 2015</w:t>
      </w:r>
      <w:r w:rsidR="00044FF4" w:rsidRPr="00D56A55">
        <w:t>.</w:t>
      </w:r>
      <w:bookmarkEnd w:id="28"/>
      <w:r w:rsidR="00044FF4" w:rsidRPr="00D56A55">
        <w:t xml:space="preserve"> </w:t>
      </w:r>
      <w:r w:rsidR="00B64286" w:rsidRPr="00517623">
        <w:t>The impact is more widely distributed c</w:t>
      </w:r>
      <w:r w:rsidR="00B64286" w:rsidRPr="00844949">
        <w:t>ompared to the primarily Northern Hemisphere-concentrated impact of fossil fuels</w:t>
      </w:r>
      <w:r w:rsidR="00B64286" w:rsidRPr="00844949">
        <w:rPr>
          <w:rFonts w:hint="eastAsia"/>
        </w:rPr>
        <w:t xml:space="preserve"> </w:t>
      </w:r>
      <w:r w:rsidR="00B64286" w:rsidRPr="00844949">
        <w:t xml:space="preserve">(see </w:t>
      </w:r>
      <w:r w:rsidR="003E5B13" w:rsidRPr="00844949">
        <w:t>Supplementary Information</w:t>
      </w:r>
      <w:r w:rsidR="00B64286" w:rsidRPr="00844949">
        <w:t>-1</w:t>
      </w:r>
      <w:r w:rsidR="007D1C84">
        <w:rPr>
          <w:rFonts w:hint="eastAsia"/>
        </w:rPr>
        <w:t>5</w:t>
      </w:r>
      <w:r w:rsidR="00B64286" w:rsidRPr="00844949">
        <w:t>)</w:t>
      </w:r>
      <w:r w:rsidR="00B64286" w:rsidRPr="00844949">
        <w:rPr>
          <w:rFonts w:hint="eastAsia"/>
        </w:rPr>
        <w:t>.</w:t>
      </w:r>
      <w:r w:rsidR="00B46CD4" w:rsidRPr="00844949">
        <w:rPr>
          <w:rFonts w:hint="eastAsia"/>
        </w:rPr>
        <w:t xml:space="preserve"> </w:t>
      </w:r>
      <w:r w:rsidR="00844949" w:rsidRPr="00844949">
        <w:rPr>
          <w:rFonts w:hint="eastAsia"/>
        </w:rPr>
        <w:t xml:space="preserve">Although the biodiversity loss from renewable energy infrastructure is currently much lower than that from agriculture, as a </w:t>
      </w:r>
      <w:r w:rsidR="00844949" w:rsidRPr="00844949">
        <w:t>critical</w:t>
      </w:r>
      <w:r w:rsidR="00844949" w:rsidRPr="00844949">
        <w:rPr>
          <w:rFonts w:hint="eastAsia"/>
        </w:rPr>
        <w:t xml:space="preserve"> solution to mitigate the climate crisis, its future impact may significantly exceed current levels.</w:t>
      </w:r>
      <w:bookmarkStart w:id="29" w:name="OLE_LINK142"/>
      <w:bookmarkStart w:id="30" w:name="OLE_LINK143"/>
      <w:r w:rsidR="00844949" w:rsidRPr="00844949">
        <w:fldChar w:fldCharType="begin"/>
      </w:r>
      <w:r w:rsidR="00A43A89">
        <w:instrText xml:space="preserve"> ADDIN ZOTERO_ITEM CSL_CITATION {"citationID":"lNbDk51Z","properties":{"formattedCitation":"\\super 37,70\\nosupersub{}","plainCitation":"37,70","noteIndex":0},"citationItems":[{"id":649,"uris":["http://zotero.org/users/9110477/items/4CZACPDZ"],"itemData":{"id":649,"type":"article-journal","abstract":"Effective and equitable conservation requires understanding of the global biodiversity impacts inflicted by consumption in individual countries and those embodied in international trade. Research to date has ascertained these impacts in terms of threats, but not on species directly. Here we use a novel approach, by parametrizing the countryside species-area relationship (SAR) (a). Using a recent high-resolution and harmonized global land use map along with (b). IUCN habitat classification data for all 22,386 mammal, bird, and amphibian species, to project endemic species extinctions due to habitat loss to date across all 804 terrestrial ecoregions; and then, (c). Validating the projected extinctions with IUCN Red List. We allocate projected extinctions to the agriculture, pasture, urban, and forestry areas used, traded, and consumed in 129 countries, using an environmentally extended global multi-regional input output database. Results show that for the three taxa combined, a total of 927 endemic species are projected to go extinct due to the impacts of current global land use. The taxonomic breakdown is 186 projected mammal extinctions, 170 birds, and 571 amphibians, with global agriculture land use responsible for 267 projected extinctions; pasture 314, forestry 313, and urbanization 32. Importantly, countryside SAR projections compare well with the number of extinct and threatened species documented by the IUCN Red List. We found that land use for export production is responsible for 25% of these projected global extinctions. Our approach enables parametrization of countryside SARs in any world region even without extensive field studies, and therefore allows quantitative assessment of biodiversity impacts under alternative land use scenarios. Overall, our approach and findings can inform sustainability assessment of commodity supply-chains as well as specific national actions toward achievement of the Aichi 2020 and UN Sustainable Development Goals.","container-title":"World Development","DOI":"10.1016/j.worlddev.2017.10.012","ISSN":"0305-750X","journalAbbreviation":"World Development","language":"en","page":"178-187","source":"6.9","title":"National Consumption and Global Trade Impacts on Biodiversity","volume":"121","author":[{"family":"Chaudhary","given":"Abhishek"},{"family":"Brooks","given":"Thomas M."}],"issued":{"date-parts":[["2019",9,1]]}}},{"id":4135,"uris":["http://zotero.org/users/9110477/items/CDESQDEI"],"itemData":{"id":4135,"type":"article-journal","call-number":"1","container-title":"Nature Sustainability","DOI":"10.1038/s41893-024-01292-z","ISSN":"2398-9629","journalAbbreviation":"Nat Sustain","language":"en","source":"27.6","title":"Telecoupled impacts of the Russia–Ukraine war on global cropland expansion and biodiversity","URL":"https://www.nature.com/articles/s41893-024-01292-z","author":[{"family":"Chai","given":"Li"},{"family":"Liu","given":"Ao"},{"family":"Li","given":"Xuecao"},{"family":"Guo","given":"Zhenshan"},{"family":"He","given":"Wanru"},{"family":"Huang","given":"Jianxi"},{"family":"Bai","given":"Tiecheng"},{"family":"Liu","given":"Jianguo"}],"accessed":{"date-parts":[["2024",3,11]]},"issued":{"date-parts":[["2024",3,1]]}}}],"schema":"https://github.com/citation-style-language/schema/raw/master/csl-citation.json"} </w:instrText>
      </w:r>
      <w:r w:rsidR="00844949" w:rsidRPr="00844949">
        <w:fldChar w:fldCharType="separate"/>
      </w:r>
      <w:r w:rsidR="008B7B48" w:rsidRPr="008B7B48">
        <w:rPr>
          <w:rFonts w:eastAsiaTheme="minorEastAsia"/>
          <w:kern w:val="0"/>
          <w:szCs w:val="24"/>
          <w:vertAlign w:val="superscript"/>
          <w14:ligatures w14:val="none"/>
        </w:rPr>
        <w:t>37,70</w:t>
      </w:r>
      <w:r w:rsidR="00844949" w:rsidRPr="00844949">
        <w:fldChar w:fldCharType="end"/>
      </w:r>
      <w:bookmarkEnd w:id="29"/>
      <w:bookmarkEnd w:id="30"/>
      <w:r w:rsidR="00D00410">
        <w:rPr>
          <w:rFonts w:hint="eastAsia"/>
        </w:rPr>
        <w:t xml:space="preserve"> </w:t>
      </w:r>
      <w:r w:rsidR="00427C32" w:rsidRPr="00844949">
        <w:t xml:space="preserve">We </w:t>
      </w:r>
      <w:r w:rsidR="00A52E3D" w:rsidRPr="00D56A55">
        <w:t xml:space="preserve">identified </w:t>
      </w:r>
      <w:r w:rsidR="00044FF4" w:rsidRPr="00D56A55">
        <w:t xml:space="preserve">high-risk </w:t>
      </w:r>
      <w:r w:rsidR="00713765" w:rsidRPr="00D56A55">
        <w:t>countries</w:t>
      </w:r>
      <w:r w:rsidR="00427C32" w:rsidRPr="00D56A55">
        <w:t>, including China, Brazil and the United States,</w:t>
      </w:r>
      <w:r w:rsidR="00044FF4" w:rsidRPr="00D56A55">
        <w:t xml:space="preserve"> </w:t>
      </w:r>
      <w:r w:rsidR="00A52E3D" w:rsidRPr="00D56A55">
        <w:t xml:space="preserve">which have </w:t>
      </w:r>
      <w:r w:rsidRPr="00D56A55">
        <w:rPr>
          <w:rFonts w:hint="eastAsia"/>
        </w:rPr>
        <w:t>deployed</w:t>
      </w:r>
      <w:r w:rsidRPr="00D56A55">
        <w:t xml:space="preserve"> </w:t>
      </w:r>
      <w:r w:rsidR="00427C32" w:rsidRPr="00D56A55">
        <w:t xml:space="preserve">a large </w:t>
      </w:r>
      <w:r w:rsidR="00A52E3D" w:rsidRPr="00D56A55">
        <w:t xml:space="preserve">amount </w:t>
      </w:r>
      <w:r w:rsidR="00427C32" w:rsidRPr="00D56A55">
        <w:t>of</w:t>
      </w:r>
      <w:r w:rsidR="00044FF4" w:rsidRPr="00D56A55">
        <w:t xml:space="preserve"> infrastructure in KBAs. Simultaneously, these </w:t>
      </w:r>
      <w:r w:rsidR="00713765" w:rsidRPr="00D56A55">
        <w:t>countries</w:t>
      </w:r>
      <w:r w:rsidR="00044FF4" w:rsidRPr="00D56A55">
        <w:t xml:space="preserve"> </w:t>
      </w:r>
      <w:r w:rsidRPr="00D56A55">
        <w:rPr>
          <w:rFonts w:hint="eastAsia"/>
        </w:rPr>
        <w:t>are</w:t>
      </w:r>
      <w:r w:rsidR="00044FF4" w:rsidRPr="00D56A55">
        <w:t xml:space="preserve"> </w:t>
      </w:r>
      <w:r w:rsidRPr="00D56A55">
        <w:rPr>
          <w:rFonts w:hint="eastAsia"/>
        </w:rPr>
        <w:t>major</w:t>
      </w:r>
      <w:r w:rsidRPr="00D56A55">
        <w:t xml:space="preserve"> </w:t>
      </w:r>
      <w:r w:rsidR="00044FF4" w:rsidRPr="00D56A55">
        <w:t>importers and</w:t>
      </w:r>
      <w:r w:rsidR="00427C32" w:rsidRPr="00D56A55">
        <w:rPr>
          <w:rFonts w:hint="eastAsia"/>
        </w:rPr>
        <w:t>/</w:t>
      </w:r>
      <w:r w:rsidR="00427C32" w:rsidRPr="00D56A55">
        <w:t>or</w:t>
      </w:r>
      <w:r w:rsidR="00044FF4" w:rsidRPr="00D56A55">
        <w:rPr>
          <w:rFonts w:hint="eastAsia"/>
        </w:rPr>
        <w:t xml:space="preserve"> </w:t>
      </w:r>
      <w:r w:rsidR="00044FF4" w:rsidRPr="00D56A55">
        <w:t xml:space="preserve">exporters of </w:t>
      </w:r>
      <w:r w:rsidR="00427C32" w:rsidRPr="00D56A55">
        <w:t xml:space="preserve">renewable </w:t>
      </w:r>
      <w:r w:rsidR="00B23C66" w:rsidRPr="00D56A55">
        <w:t>energy</w:t>
      </w:r>
      <w:r w:rsidR="00044FF4" w:rsidRPr="00D56A55">
        <w:t xml:space="preserve"> </w:t>
      </w:r>
      <w:r w:rsidRPr="00D56A55">
        <w:rPr>
          <w:rFonts w:hint="eastAsia"/>
        </w:rPr>
        <w:t>on the</w:t>
      </w:r>
      <w:r w:rsidR="00044FF4" w:rsidRPr="00D56A55">
        <w:t xml:space="preserve"> </w:t>
      </w:r>
      <w:r w:rsidR="00427C32" w:rsidRPr="00D56A55">
        <w:t xml:space="preserve">global </w:t>
      </w:r>
      <w:r w:rsidR="00044FF4" w:rsidRPr="00D56A55">
        <w:t xml:space="preserve">market. </w:t>
      </w:r>
      <w:r w:rsidRPr="00D56A55">
        <w:rPr>
          <w:rFonts w:hint="eastAsia"/>
        </w:rPr>
        <w:t>T</w:t>
      </w:r>
      <w:r w:rsidR="00044FF4" w:rsidRPr="00D56A55">
        <w:t xml:space="preserve">he </w:t>
      </w:r>
      <w:r w:rsidR="00A52E3D" w:rsidRPr="00D56A55">
        <w:t>main challenge for</w:t>
      </w:r>
      <w:r w:rsidR="00044FF4" w:rsidRPr="00D56A55">
        <w:t xml:space="preserve"> energy policymakers is</w:t>
      </w:r>
      <w:r w:rsidRPr="00D56A55">
        <w:rPr>
          <w:rFonts w:hint="eastAsia"/>
        </w:rPr>
        <w:t xml:space="preserve"> therefore</w:t>
      </w:r>
      <w:r w:rsidR="00044FF4" w:rsidRPr="00D56A55">
        <w:t xml:space="preserve"> </w:t>
      </w:r>
      <w:r w:rsidR="00A52E3D" w:rsidRPr="00D56A55">
        <w:t>to shift</w:t>
      </w:r>
      <w:r w:rsidR="00044FF4" w:rsidRPr="00D56A55">
        <w:t xml:space="preserve"> from a single, </w:t>
      </w:r>
      <w:r w:rsidRPr="00D56A55">
        <w:rPr>
          <w:rFonts w:hint="eastAsia"/>
        </w:rPr>
        <w:t>production-oriented</w:t>
      </w:r>
      <w:r w:rsidR="00044FF4" w:rsidRPr="00D56A55">
        <w:t xml:space="preserve"> </w:t>
      </w:r>
      <w:r w:rsidR="00A52E3D" w:rsidRPr="00D56A55">
        <w:t xml:space="preserve">perspective </w:t>
      </w:r>
      <w:r w:rsidR="00044FF4" w:rsidRPr="00D56A55">
        <w:t xml:space="preserve">to a </w:t>
      </w:r>
      <w:r w:rsidR="00A52E3D" w:rsidRPr="00D56A55">
        <w:t>more</w:t>
      </w:r>
      <w:r w:rsidR="00044FF4" w:rsidRPr="00D56A55">
        <w:t xml:space="preserve"> comprehensive </w:t>
      </w:r>
      <w:r w:rsidR="00A52E3D" w:rsidRPr="00D56A55">
        <w:t>approach</w:t>
      </w:r>
      <w:r w:rsidR="00044FF4" w:rsidRPr="00D56A55">
        <w:t xml:space="preserve">. </w:t>
      </w:r>
      <w:r w:rsidR="00A52E3D" w:rsidRPr="00D56A55">
        <w:t>To achieve this, e</w:t>
      </w:r>
      <w:r w:rsidR="00044FF4" w:rsidRPr="00D56A55">
        <w:t xml:space="preserve">fficient planning tools, </w:t>
      </w:r>
      <w:r w:rsidRPr="00D56A55">
        <w:rPr>
          <w:rFonts w:hint="eastAsia"/>
        </w:rPr>
        <w:t>supportive</w:t>
      </w:r>
      <w:r w:rsidRPr="00D56A55">
        <w:t xml:space="preserve"> </w:t>
      </w:r>
      <w:r w:rsidR="00044FF4" w:rsidRPr="00D56A55">
        <w:t xml:space="preserve">regulatory frameworks, and </w:t>
      </w:r>
      <w:r w:rsidRPr="00D56A55">
        <w:rPr>
          <w:rFonts w:hint="eastAsia"/>
        </w:rPr>
        <w:t>a broad</w:t>
      </w:r>
      <w:r w:rsidRPr="00D56A55">
        <w:t xml:space="preserve"> </w:t>
      </w:r>
      <w:r w:rsidR="00044FF4" w:rsidRPr="00D56A55">
        <w:t>policy discourse are essential components</w:t>
      </w:r>
      <w:r w:rsidR="006D6CA0" w:rsidRPr="00D56A55">
        <w:t>.</w:t>
      </w:r>
      <w:r w:rsidR="00044FF4" w:rsidRPr="00D56A55">
        <w:rPr>
          <w:szCs w:val="32"/>
          <w:vertAlign w:val="superscript"/>
        </w:rPr>
        <w:fldChar w:fldCharType="begin"/>
      </w:r>
      <w:r w:rsidR="00A43A89">
        <w:rPr>
          <w:szCs w:val="32"/>
          <w:vertAlign w:val="superscript"/>
        </w:rPr>
        <w:instrText xml:space="preserve"> ADDIN ZOTERO_ITEM CSL_CITATION {"citationID":"C7gW2GLl","properties":{"formattedCitation":"(International Energy Agency, 2020)","plainCitation":"(International Energy Agency, 2020)","dontUpdate":true,"noteIndex":0},"citationItems":[{"id":717,"uris":["http://zotero.org/users/9110477/items/EAVZCM5J"],"itemData":{"id":717,"type":"book","abstract":"Abstract In 2019 global energy demand increased by less than half the rate of growth in 2018, well below the average rate since 2010. This deceleration was due mainly to slower global economic growth and the impact of milder weather on heating and cooling. There was, however, significant variation across energy sources, with coal showing an absolute decline and renewables a record increase. Electricity demand grew at the slowest rate since the financial crisis. Energy efficiency continued to improve but at levels well below those needed to meet the Sustainable Development Goals. Energyrelated CO2 emissions remained flat as emissions from electricity generation in advanced economies declined markedly.","ISBN":"978-92-64-49585-2","language":"en","note":"DOI: 10.1787/90c8c125-en","publisher":"OECD","title":"Global Energy Review 2019: The latest trends in energy and emissions in 2019","title-short":"Global Energy Review 2019","URL":"https://www.oecd-ilibrary.org/energy/global-energy-review-2019_90c8c125-en","author":[{"literal":"International Energy Agency"}],"accessed":{"date-parts":[["2022",10,12]]},"issued":{"date-parts":[["2020",6,16]]}}}],"schema":"https://github.com/citation-style-language/schema/raw/master/csl-citation.json"} </w:instrText>
      </w:r>
      <w:r w:rsidR="00044FF4" w:rsidRPr="00D56A55">
        <w:rPr>
          <w:szCs w:val="32"/>
          <w:vertAlign w:val="superscript"/>
        </w:rPr>
        <w:fldChar w:fldCharType="separate"/>
      </w:r>
      <w:r w:rsidR="00BC43BB" w:rsidRPr="00D56A55">
        <w:rPr>
          <w:noProof/>
          <w:szCs w:val="32"/>
          <w:vertAlign w:val="superscript"/>
        </w:rPr>
        <w:t>58</w:t>
      </w:r>
      <w:r w:rsidR="00044FF4" w:rsidRPr="00D56A55">
        <w:rPr>
          <w:szCs w:val="32"/>
          <w:vertAlign w:val="superscript"/>
        </w:rPr>
        <w:fldChar w:fldCharType="end"/>
      </w:r>
    </w:p>
    <w:p w14:paraId="54C394E2" w14:textId="29D66C1F" w:rsidR="00EC5BB3" w:rsidRPr="00EC5BB3" w:rsidRDefault="00EC5BB3" w:rsidP="00EC5BB3">
      <w:pPr>
        <w:spacing w:line="360" w:lineRule="auto"/>
        <w:ind w:firstLine="420"/>
      </w:pPr>
      <w:r>
        <w:t>There is an urgent</w:t>
      </w:r>
      <w:r w:rsidRPr="00D56A55">
        <w:t xml:space="preserve"> need to change the existing </w:t>
      </w:r>
      <w:r w:rsidR="00617EC0">
        <w:rPr>
          <w:rFonts w:hint="eastAsia"/>
        </w:rPr>
        <w:t>land occupation</w:t>
      </w:r>
      <w:r w:rsidR="00617EC0" w:rsidRPr="00D56A55">
        <w:t xml:space="preserve"> </w:t>
      </w:r>
      <w:r w:rsidRPr="00D56A55">
        <w:t xml:space="preserve">paradigm that sacrifices biodiversity </w:t>
      </w:r>
      <w:r w:rsidRPr="00D56A55">
        <w:rPr>
          <w:rFonts w:hint="eastAsia"/>
        </w:rPr>
        <w:t>in the</w:t>
      </w:r>
      <w:r w:rsidRPr="00D56A55">
        <w:t xml:space="preserve"> energy transition. It is essential to thoroughly evaluate the implementation of biodiversity conservation strategies and the establishment of renewable energy infrastructure. To ensure the development of renewable energy in all </w:t>
      </w:r>
      <w:r w:rsidRPr="00D56A55">
        <w:lastRenderedPageBreak/>
        <w:t xml:space="preserve">countries and regions while </w:t>
      </w:r>
      <w:r w:rsidRPr="00D56A55">
        <w:rPr>
          <w:rFonts w:hint="eastAsia"/>
        </w:rPr>
        <w:t>respecting</w:t>
      </w:r>
      <w:r w:rsidRPr="00D56A55">
        <w:t xml:space="preserve"> conservation principles, the global layout of renewable energy</w:t>
      </w:r>
      <w:r w:rsidR="00011908">
        <w:t xml:space="preserve"> infrastructure</w:t>
      </w:r>
      <w:r w:rsidRPr="00D56A55">
        <w:t xml:space="preserve"> should be optimized. This includes avoiding KBAs, reducing landscape fragmentation, and avoiding migration and survival routes for critical species.</w:t>
      </w:r>
      <w:r w:rsidRPr="00D56A55">
        <w:rPr>
          <w:szCs w:val="32"/>
        </w:rPr>
        <w:fldChar w:fldCharType="begin"/>
      </w:r>
      <w:r w:rsidR="00A43A89">
        <w:rPr>
          <w:szCs w:val="32"/>
        </w:rPr>
        <w:instrText xml:space="preserve"> ADDIN ZOTERO_ITEM CSL_CITATION {"citationID":"KqDM7nFH","properties":{"formattedCitation":"\\super 72\\nosupersub{}","plainCitation":"72","noteIndex":0},"citationItems":[{"id":700,"uris":["http://zotero.org/users/9110477/items/QD9U7JHU"],"itemData":{"id":700,"type":"article-journal","abstract":"Significance\n            Decisions humans make about how much land to use, where, and for what end use, can inform innovation and policies directing sustainable pathways of land use for energy. Using the state of California (United States) as a model system, our study shows that the majority of utility-scale solar energy (USSE) installations are sited in natural environments, namely shrublands and scrublands, and agricultural land cover types, and near (&lt;10 km) p</w:instrText>
      </w:r>
      <w:r w:rsidR="00A43A89">
        <w:rPr>
          <w:rFonts w:hint="eastAsia"/>
          <w:szCs w:val="32"/>
        </w:rPr>
        <w:instrText xml:space="preserve">rotected areas. </w:instrText>
      </w:r>
      <w:r w:rsidR="00A43A89">
        <w:rPr>
          <w:rFonts w:hint="eastAsia"/>
          <w:szCs w:val="32"/>
        </w:rPr>
        <w:instrText>“</w:instrText>
      </w:r>
      <w:r w:rsidR="00A43A89">
        <w:rPr>
          <w:rFonts w:hint="eastAsia"/>
          <w:szCs w:val="32"/>
        </w:rPr>
        <w:instrText>Compatible</w:instrText>
      </w:r>
      <w:r w:rsidR="00A43A89">
        <w:rPr>
          <w:rFonts w:hint="eastAsia"/>
          <w:szCs w:val="32"/>
        </w:rPr>
        <w:instrText>”</w:instrText>
      </w:r>
      <w:r w:rsidR="00A43A89">
        <w:rPr>
          <w:rFonts w:hint="eastAsia"/>
          <w:szCs w:val="32"/>
        </w:rPr>
        <w:instrText xml:space="preserve"> (</w:instrText>
      </w:r>
      <w:r w:rsidR="00A43A89">
        <w:rPr>
          <w:rFonts w:hint="eastAsia"/>
          <w:szCs w:val="32"/>
        </w:rPr>
        <w:instrText>≤</w:instrText>
      </w:r>
      <w:r w:rsidR="00A43A89">
        <w:rPr>
          <w:rFonts w:hint="eastAsia"/>
          <w:szCs w:val="32"/>
        </w:rPr>
        <w:instrText xml:space="preserve">15%) USSE installations are sited in developed areas, whereas </w:instrText>
      </w:r>
      <w:r w:rsidR="00A43A89">
        <w:rPr>
          <w:rFonts w:hint="eastAsia"/>
          <w:szCs w:val="32"/>
        </w:rPr>
        <w:instrText>“</w:instrText>
      </w:r>
      <w:r w:rsidR="00A43A89">
        <w:rPr>
          <w:rFonts w:hint="eastAsia"/>
          <w:szCs w:val="32"/>
        </w:rPr>
        <w:instrText>Incompatible</w:instrText>
      </w:r>
      <w:r w:rsidR="00A43A89">
        <w:rPr>
          <w:rFonts w:hint="eastAsia"/>
          <w:szCs w:val="32"/>
        </w:rPr>
        <w:instrText>”</w:instrText>
      </w:r>
      <w:r w:rsidR="00A43A89">
        <w:rPr>
          <w:rFonts w:hint="eastAsia"/>
          <w:szCs w:val="32"/>
        </w:rPr>
        <w:instrText xml:space="preserve"> installations (19%) are classified as such owing to, predominantly, lengthier distances to existing transmission. Our results suggest a dynamic lan</w:instrText>
      </w:r>
      <w:r w:rsidR="00A43A89">
        <w:rPr>
          <w:szCs w:val="32"/>
        </w:rPr>
        <w:instrText>dscape where land for energy, food, and conservation goals overlap and where environmental cobenefit opportunities should be explored.\n          , \n            \n              Decisions determining the use of land for energy are of exigent concern as la</w:instrText>
      </w:r>
      <w:r w:rsidR="00A43A89">
        <w:rPr>
          <w:rFonts w:hint="eastAsia"/>
          <w:szCs w:val="32"/>
        </w:rPr>
        <w:instrText xml:space="preserve">nd scarcity, the need for ecosystem services, and demands for energy generation have concomitantly increased globally. Utility-scale solar energy (USSE) [i.e., </w:instrText>
      </w:r>
      <w:r w:rsidR="00A43A89">
        <w:rPr>
          <w:rFonts w:hint="eastAsia"/>
          <w:szCs w:val="32"/>
        </w:rPr>
        <w:instrText>≥</w:instrText>
      </w:r>
      <w:r w:rsidR="00A43A89">
        <w:rPr>
          <w:rFonts w:hint="eastAsia"/>
          <w:szCs w:val="32"/>
        </w:rPr>
        <w:instrText>1 megawatt (MW)] development requires large quantities of space and land; however, studies qua</w:instrText>
      </w:r>
      <w:r w:rsidR="00A43A89">
        <w:rPr>
          <w:szCs w:val="32"/>
        </w:rPr>
        <w:instrText xml:space="preserve">ntifying the effect of USSE on land cover change and protected areas are limited. We assessed siting impacts of &gt;160 USSE installations by technology type [photovoltaic (PV) vs. concentrating solar power (CSP)], area (in square kilometers), and capacity (in MW) within the global solar hot spot of the state of California (United States). Additionally, we used the Carnegie Energy and Environmental Compatibility model, a multiple criteria model, to quantify each installation according to environmental and technical compatibility. Last, we evaluated installations according to their proximity to protected areas, including inventoried roadless areas, endangered and threatened species habitat, and federally protected areas. We found the plurality of USSE (6,995 MW) in California is sited in shrublands and scrublands, comprising 375 km\n              2\n              of land cover change. Twenty-eight percent of USSE installations are located in croplands and pastures, comprising 155 km\n              2\n              of change. Less than 15% of USSE installations are sited in “Compatible” areas. The majority of “Incompatible” USSE power plants are sited far from existing transmission infrastructure, and all USSE installations average at most 7 and 5 km from protected areas, for PV and CSP, respectively. Where energy, food, and conservation goals intersect, environmental compatibility can be achieved when resource opportunities, constraints, and trade-offs are integrated into siting decisions.","container-title":"Proceedings of the National Academy of Sciences","DOI":"10.1073/pnas.1517656112","ISSN":"0027-8424, 1091-6490","issue":"44","journalAbbreviation":"Proc. Natl. Acad. Sci. U.S.A.","language":"en","page":"13579-13584","title":"Solar energy development impacts on land cover change and protected areas","volume":"112","author":[{"family":"Hernandez","given":"Rebecca R."},{"family":"Hoffacker","given":"Madison K."},{"family":"Murphy-Mariscal","given":"Michelle L."},{"family":"Wu","given":"Grace C."},{"family":"Allen","given":"Michael F."}],"issued":{"date-parts":[["2015",11,3]]}}}],"schema":"https://github.com/citation-style-language/schema/raw/master/csl-citation.json"} </w:instrText>
      </w:r>
      <w:r w:rsidRPr="00D56A55">
        <w:rPr>
          <w:szCs w:val="32"/>
        </w:rPr>
        <w:fldChar w:fldCharType="separate"/>
      </w:r>
      <w:r w:rsidR="008B7B48" w:rsidRPr="008B7B48">
        <w:rPr>
          <w:rFonts w:eastAsiaTheme="minorEastAsia"/>
          <w:kern w:val="0"/>
          <w:szCs w:val="24"/>
          <w:vertAlign w:val="superscript"/>
          <w14:ligatures w14:val="none"/>
        </w:rPr>
        <w:t>72</w:t>
      </w:r>
      <w:r w:rsidRPr="00D56A55">
        <w:rPr>
          <w:szCs w:val="32"/>
        </w:rPr>
        <w:fldChar w:fldCharType="end"/>
      </w:r>
      <w:r w:rsidRPr="00D56A55">
        <w:t xml:space="preserve"> Renewable energy infrastructure should be constructed on land types </w:t>
      </w:r>
      <w:r>
        <w:t xml:space="preserve">where comprehensive landscape </w:t>
      </w:r>
      <w:r>
        <w:rPr>
          <w:rFonts w:hint="eastAsia"/>
        </w:rPr>
        <w:t>a</w:t>
      </w:r>
      <w:r>
        <w:t xml:space="preserve">nd grid scale impact assessments indicate </w:t>
      </w:r>
      <w:r w:rsidRPr="00D56A55">
        <w:t xml:space="preserve">minimal </w:t>
      </w:r>
      <w:r>
        <w:t xml:space="preserve">biodiversity </w:t>
      </w:r>
      <w:r w:rsidRPr="00D56A55">
        <w:t>impact</w:t>
      </w:r>
      <w:r>
        <w:t>s</w:t>
      </w:r>
      <w:r w:rsidRPr="00D56A55">
        <w:t>, while avoiding critical species migration routes.</w:t>
      </w:r>
      <w:r w:rsidRPr="00D56A55">
        <w:rPr>
          <w:szCs w:val="32"/>
        </w:rPr>
        <w:fldChar w:fldCharType="begin"/>
      </w:r>
      <w:r w:rsidR="00A43A89">
        <w:rPr>
          <w:szCs w:val="32"/>
        </w:rPr>
        <w:instrText xml:space="preserve"> ADDIN ZOTERO_ITEM CSL_CITATION {"citationID":"DYF4Jmqu","properties":{"formattedCitation":"\\super 73,74\\nosupersub{}","plainCitation":"73,74","noteIndex":0},"citationItems":[{"id":531,"uris":["http://zotero.org/users/9110477/items/RXD4SFFE"],"itemData":{"id":531,"type":"article-journal","abstract":"Renewable energy development is an arena where ecological, political, and socioeconomic values collide. Advances in renewable energy will incur steep environmental costs to landscapes in which facilities are</w:instrText>
      </w:r>
      <w:r w:rsidR="00A43A89">
        <w:rPr>
          <w:rFonts w:hint="eastAsia"/>
          <w:szCs w:val="32"/>
        </w:rPr>
        <w:instrText xml:space="preserve"> constructed and operated. Scientists </w:instrText>
      </w:r>
      <w:r w:rsidR="00A43A89">
        <w:rPr>
          <w:rFonts w:hint="eastAsia"/>
          <w:szCs w:val="32"/>
        </w:rPr>
        <w:instrText>–</w:instrText>
      </w:r>
      <w:r w:rsidR="00A43A89">
        <w:rPr>
          <w:rFonts w:hint="eastAsia"/>
          <w:szCs w:val="32"/>
        </w:rPr>
        <w:instrText xml:space="preserve"> including those from academia, industry, and government agencies </w:instrText>
      </w:r>
      <w:r w:rsidR="00A43A89">
        <w:rPr>
          <w:rFonts w:hint="eastAsia"/>
          <w:szCs w:val="32"/>
        </w:rPr>
        <w:instrText>–</w:instrText>
      </w:r>
      <w:r w:rsidR="00A43A89">
        <w:rPr>
          <w:rFonts w:hint="eastAsia"/>
          <w:szCs w:val="32"/>
        </w:rPr>
        <w:instrText xml:space="preserve"> have only recently begun to quantify trade</w:instrText>
      </w:r>
      <w:r w:rsidR="00A43A89">
        <w:rPr>
          <w:rFonts w:hint="eastAsia"/>
          <w:szCs w:val="32"/>
        </w:rPr>
        <w:instrText>‐</w:instrText>
      </w:r>
      <w:r w:rsidR="00A43A89">
        <w:rPr>
          <w:rFonts w:hint="eastAsia"/>
          <w:szCs w:val="32"/>
        </w:rPr>
        <w:instrText>offs in this arena, often using ground</w:instrText>
      </w:r>
      <w:r w:rsidR="00A43A89">
        <w:rPr>
          <w:rFonts w:hint="eastAsia"/>
          <w:szCs w:val="32"/>
        </w:rPr>
        <w:instrText>‐</w:instrText>
      </w:r>
      <w:r w:rsidR="00A43A89">
        <w:rPr>
          <w:rFonts w:hint="eastAsia"/>
          <w:szCs w:val="32"/>
        </w:rPr>
        <w:instrText>mounted, utility</w:instrText>
      </w:r>
      <w:r w:rsidR="00A43A89">
        <w:rPr>
          <w:rFonts w:hint="eastAsia"/>
          <w:szCs w:val="32"/>
        </w:rPr>
        <w:instrText>‐</w:instrText>
      </w:r>
      <w:r w:rsidR="00A43A89">
        <w:rPr>
          <w:rFonts w:hint="eastAsia"/>
          <w:szCs w:val="32"/>
        </w:rPr>
        <w:instrText xml:space="preserve">scale solar energy facilities (\n              USSE\n              , </w:instrText>
      </w:r>
      <w:r w:rsidR="00A43A89">
        <w:rPr>
          <w:rFonts w:hint="eastAsia"/>
          <w:szCs w:val="32"/>
        </w:rPr>
        <w:instrText>≥</w:instrText>
      </w:r>
      <w:r w:rsidR="00A43A89">
        <w:rPr>
          <w:rFonts w:hint="eastAsia"/>
          <w:szCs w:val="32"/>
        </w:rPr>
        <w:instrText>1 megawatt) as a model. Here, we discuss five critical ecological concepts applicable to the development of more sustainable\n              USSE\n              with benefits over fossil</w:instrText>
      </w:r>
      <w:r w:rsidR="00A43A89">
        <w:rPr>
          <w:rFonts w:hint="eastAsia"/>
          <w:szCs w:val="32"/>
        </w:rPr>
        <w:instrText>‐</w:instrText>
      </w:r>
      <w:r w:rsidR="00A43A89">
        <w:rPr>
          <w:rFonts w:hint="eastAsia"/>
          <w:szCs w:val="32"/>
        </w:rPr>
        <w:instrText>fuel</w:instrText>
      </w:r>
      <w:r w:rsidR="00A43A89">
        <w:rPr>
          <w:rFonts w:hint="eastAsia"/>
          <w:szCs w:val="32"/>
        </w:rPr>
        <w:instrText>‐</w:instrText>
      </w:r>
      <w:r w:rsidR="00A43A89">
        <w:rPr>
          <w:rFonts w:hint="eastAsia"/>
          <w:szCs w:val="32"/>
        </w:rPr>
        <w:instrText>generated energy: (1) more sustainable\n              USSE\n              development requires careful evaluation of trade</w:instrText>
      </w:r>
      <w:r w:rsidR="00A43A89">
        <w:rPr>
          <w:rFonts w:hint="eastAsia"/>
          <w:szCs w:val="32"/>
        </w:rPr>
        <w:instrText>‐</w:instrText>
      </w:r>
      <w:r w:rsidR="00A43A89">
        <w:rPr>
          <w:rFonts w:hint="eastAsia"/>
          <w:szCs w:val="32"/>
        </w:rPr>
        <w:instrText>offs between land, energy, and ecology; (2) species responses to habitat modification by\n              USSE\n              vary; (3) cumulative and large</w:instrText>
      </w:r>
      <w:r w:rsidR="00A43A89">
        <w:rPr>
          <w:rFonts w:hint="eastAsia"/>
          <w:szCs w:val="32"/>
        </w:rPr>
        <w:instrText>‐</w:instrText>
      </w:r>
      <w:r w:rsidR="00A43A89">
        <w:rPr>
          <w:rFonts w:hint="eastAsia"/>
          <w:szCs w:val="32"/>
        </w:rPr>
        <w:instrText>scale ecological impacts are complex and challenging to mitigate; (4)\n              USSE\n              development affects different types of ecosystems and requires customized design and management strategies; and (5) long</w:instrText>
      </w:r>
      <w:r w:rsidR="00A43A89">
        <w:rPr>
          <w:rFonts w:hint="eastAsia"/>
          <w:szCs w:val="32"/>
        </w:rPr>
        <w:instrText>‐</w:instrText>
      </w:r>
      <w:r w:rsidR="00A43A89">
        <w:rPr>
          <w:rFonts w:hint="eastAsia"/>
          <w:szCs w:val="32"/>
        </w:rPr>
        <w:instrText xml:space="preserve">term ecological consequences associated with\n   </w:instrText>
      </w:r>
      <w:r w:rsidR="00A43A89">
        <w:rPr>
          <w:szCs w:val="32"/>
        </w:rPr>
        <w:instrText xml:space="preserve">           USSE\n              sites must be carefully considered. These critical concepts provide a framework for reducing adverse environmental impacts, informing policy to establish and address conservation priorities, and improving energy production sustainability.","call-number":"1","container-title":"Frontiers in Ecology and the Environment","DOI":"10.1002/fee.1517","ISSN":"1540-9295, 1540-9309","issue":"7","journalAbbreviation":"Frontiers in Ecol &amp; Environ","language":"en","page":"385-394","source"</w:instrText>
      </w:r>
      <w:r w:rsidR="00A43A89">
        <w:rPr>
          <w:rFonts w:hint="eastAsia"/>
          <w:szCs w:val="32"/>
        </w:rPr>
        <w:instrText>:"10.3","title":"Sustainability of utility</w:instrText>
      </w:r>
      <w:r w:rsidR="00A43A89">
        <w:rPr>
          <w:rFonts w:hint="eastAsia"/>
          <w:szCs w:val="32"/>
        </w:rPr>
        <w:instrText>‐</w:instrText>
      </w:r>
      <w:r w:rsidR="00A43A89">
        <w:rPr>
          <w:rFonts w:hint="eastAsia"/>
          <w:szCs w:val="32"/>
        </w:rPr>
        <w:instrText xml:space="preserve">scale solar energy </w:instrText>
      </w:r>
      <w:r w:rsidR="00A43A89">
        <w:rPr>
          <w:rFonts w:hint="eastAsia"/>
          <w:szCs w:val="32"/>
        </w:rPr>
        <w:instrText>–</w:instrText>
      </w:r>
      <w:r w:rsidR="00A43A89">
        <w:rPr>
          <w:rFonts w:hint="eastAsia"/>
          <w:szCs w:val="32"/>
        </w:rPr>
        <w:instrText xml:space="preserve"> critical ecological concepts","volume":"15","author":[{"family":"Moore</w:instrText>
      </w:r>
      <w:r w:rsidR="00A43A89">
        <w:rPr>
          <w:rFonts w:hint="eastAsia"/>
          <w:szCs w:val="32"/>
        </w:rPr>
        <w:instrText>‐</w:instrText>
      </w:r>
      <w:r w:rsidR="00A43A89">
        <w:rPr>
          <w:rFonts w:hint="eastAsia"/>
          <w:szCs w:val="32"/>
        </w:rPr>
        <w:instrText>O'Leary","given":"Kara A"},{"family":"Hernandez","given":"Rebecca R"},{"family":"Johnston","given":"Dave S"},{"family":"</w:instrText>
      </w:r>
      <w:r w:rsidR="00A43A89">
        <w:rPr>
          <w:szCs w:val="32"/>
        </w:rPr>
        <w:instrText xml:space="preserve">Abella","given":"Scott R"},{"family":"Tanner","given":"Karen E"},{"family":"Swanson","given":"Amanda C"},{"family":"Kreitler","given":"Jason"},{"family":"Lovich","given":"Jeffrey E"}],"issued":{"date-parts":[["2017",9]]}},"label":"page"},{"id":4132,"uris":["http://zotero.org/users/9110477/items/GH3GRQZ5"],"itemData":{"id":4132,"type":"article-journal","abstract":"Letter to the Editor","call-number":"1","container-title":"Nature","DOI":"10.1038/d41586-024-00516-8","issue":"8000","language":"en","license":"2024 Springer Nature Limited","note":"Bandiera_abtest: a\nCg_type: Correspondence\nnumber: 8000\npublisher: Nature Publishing Group\nSubject_term: Energy, Sustainability","page":"716-716","source":"64.8","title":"Triple win: solar farms in deserts can boost power, incomes and ecosystems","title-short":"Triple win","volume":"626","author":[{"family":"Liu","given":"Haimeng"},{"family":"Liu","given":"Jianguo"}],"issued":{"date-parts":[["2024",2,20]]}},"label":"page"}],"schema":"https://github.com/citation-style-language/schema/raw/master/csl-citation.json"} </w:instrText>
      </w:r>
      <w:r w:rsidRPr="00D56A55">
        <w:rPr>
          <w:szCs w:val="32"/>
        </w:rPr>
        <w:fldChar w:fldCharType="separate"/>
      </w:r>
      <w:r w:rsidR="008B7B48" w:rsidRPr="008B7B48">
        <w:rPr>
          <w:rFonts w:eastAsiaTheme="minorEastAsia"/>
          <w:kern w:val="0"/>
          <w:szCs w:val="24"/>
          <w:vertAlign w:val="superscript"/>
          <w14:ligatures w14:val="none"/>
        </w:rPr>
        <w:t>73,74</w:t>
      </w:r>
      <w:r w:rsidRPr="00D56A55">
        <w:rPr>
          <w:szCs w:val="32"/>
        </w:rPr>
        <w:fldChar w:fldCharType="end"/>
      </w:r>
      <w:r w:rsidRPr="00D56A55">
        <w:t xml:space="preserve"> Furthermore, countries and regions should develop policies tailored to their specific situations. Large </w:t>
      </w:r>
      <w:r w:rsidRPr="00D56A55">
        <w:rPr>
          <w:rFonts w:hint="eastAsia"/>
        </w:rPr>
        <w:t>producers</w:t>
      </w:r>
      <w:r w:rsidRPr="00D56A55">
        <w:t>, such as China, India, the United States, and Brazil</w:t>
      </w:r>
      <w:r w:rsidRPr="00D56A55">
        <w:rPr>
          <w:rFonts w:hint="eastAsia"/>
        </w:rPr>
        <w:t>,</w:t>
      </w:r>
      <w:r w:rsidRPr="00D56A55">
        <w:t xml:space="preserve"> could consider deploying wind farms and solar photovoltaic systems by sharing the land needed for auxiliary roads and substations, which would help to mitigate the detrimental impact on biological habitats. Attempts can be made to establish livestock or breeding facilities for local rare species using solar photovoltaics, thus achieving coordinated development of renewable energy </w:t>
      </w:r>
      <w:r w:rsidR="00D75DF8">
        <w:t>infrastructure</w:t>
      </w:r>
      <w:r w:rsidR="00D75DF8" w:rsidRPr="00D56A55">
        <w:t xml:space="preserve"> </w:t>
      </w:r>
      <w:r w:rsidRPr="00D56A55">
        <w:t>and biodiversity conservation.</w:t>
      </w:r>
      <w:r w:rsidRPr="00D56A55">
        <w:rPr>
          <w:szCs w:val="32"/>
        </w:rPr>
        <w:fldChar w:fldCharType="begin"/>
      </w:r>
      <w:r w:rsidR="00A43A89">
        <w:rPr>
          <w:szCs w:val="32"/>
        </w:rPr>
        <w:instrText xml:space="preserve"> ADDIN ZOTERO_ITEM CSL_CITATION {"citationID":"eDCjqJRq","properties":{"formattedCitation":"\\super 75\\nosupersub{}","plainCitation":"75","noteIndex":0},"citationItems":[{"id":3861,"uris":["http://zotero.org/users/9110477/items/H7RPWART"],"itemData":{"id":3861,"type":"article-journal","abstract":"Abstract\n            \n              \n                \n                  The expansion of renewable energy generation sites in the landscape is controversial, as is repopulation by large predators, particularly wolves. Both range extensions are recent phenomena, and both lead to harsh incompatibilities that arise from exclusions.\n                \n                \n                  Regarding solar parks, the problems would be solvable by a paradigm shift, namely towards inclusions. The required changes sound trivial: First, it would be more multifunctional to make use of the valuable plant growth in solar parks. Second, it would be more sustainable to rely on grazing rather than mowing for solar park maintenance. Grazing livestock would need to be protected from wolves by strong fencing.\n                \n                \n                  If these changes become the reality, this could locally remove large predators like the wolf from the line of fire of social resistance. In addition, implementation would bring benefits across sectors by bringing together previously divergent and hardened utilization concepts, which would ultimately have positive impacts for renewable energy generation, biodiversity and society.\n                \n              \n            \n            \n              Read the free\n              Plain Language Summary\n              for this article on the Journal blog.\n            \n          , \n            \n              Read the free\n              Plain Language Summary\n              for this article on the Journal blog.","call-number":"3","container-title":"People and Nature","DOI":"10.1002/pan3.10522","ISSN":"2575-8314, 2575-8314","issue":"5","journalAbbreviation":"People and Nature","language":"en","page":"1457-1463","source":"6.1","title":"Solar parks as livestock enclosures can become key to linking energy, biodiversity and society","volume":"5","author":[{"family":"Zaplata","given":"Markus K."}],"issued":{"date-parts":[["2023",10]]}}}],"schema":"https://github.com/citation-style-language/schema/raw/master/csl-citation.json"} </w:instrText>
      </w:r>
      <w:r w:rsidRPr="00D56A55">
        <w:rPr>
          <w:szCs w:val="32"/>
        </w:rPr>
        <w:fldChar w:fldCharType="separate"/>
      </w:r>
      <w:r w:rsidR="008B7B48" w:rsidRPr="008B7B48">
        <w:rPr>
          <w:rFonts w:eastAsiaTheme="minorEastAsia"/>
          <w:kern w:val="0"/>
          <w:szCs w:val="24"/>
          <w:vertAlign w:val="superscript"/>
          <w14:ligatures w14:val="none"/>
        </w:rPr>
        <w:t>75</w:t>
      </w:r>
      <w:r w:rsidRPr="00D56A55">
        <w:rPr>
          <w:szCs w:val="32"/>
        </w:rPr>
        <w:fldChar w:fldCharType="end"/>
      </w:r>
    </w:p>
    <w:p w14:paraId="268504FF" w14:textId="21FE981D" w:rsidR="00044FF4" w:rsidRPr="00D56A55" w:rsidRDefault="00044FF4" w:rsidP="00777F7E">
      <w:pPr>
        <w:spacing w:line="360" w:lineRule="auto"/>
        <w:ind w:firstLine="420"/>
      </w:pPr>
      <w:r w:rsidRPr="00D56A55">
        <w:t xml:space="preserve">Essentially, </w:t>
      </w:r>
      <w:r w:rsidR="00757EC2" w:rsidRPr="00D56A55">
        <w:t>bio</w:t>
      </w:r>
      <w:r w:rsidR="007457C0" w:rsidRPr="00D56A55">
        <w:rPr>
          <w:rFonts w:hint="eastAsia"/>
        </w:rPr>
        <w:t>diversity</w:t>
      </w:r>
      <w:r w:rsidR="007457C0" w:rsidRPr="00D56A55">
        <w:t xml:space="preserve"> loss</w:t>
      </w:r>
      <w:r w:rsidRPr="00D56A55">
        <w:t xml:space="preserve"> </w:t>
      </w:r>
      <w:r w:rsidR="008137BB" w:rsidRPr="00D56A55">
        <w:rPr>
          <w:rFonts w:hint="eastAsia"/>
        </w:rPr>
        <w:t xml:space="preserve">associated with renewable energy </w:t>
      </w:r>
      <w:r w:rsidR="00617EC0">
        <w:rPr>
          <w:rFonts w:hint="eastAsia"/>
        </w:rPr>
        <w:t>land occupation</w:t>
      </w:r>
      <w:r w:rsidR="00617EC0" w:rsidRPr="00D56A55">
        <w:rPr>
          <w:rFonts w:hint="eastAsia"/>
        </w:rPr>
        <w:t xml:space="preserve"> </w:t>
      </w:r>
      <w:r w:rsidRPr="00D56A55">
        <w:t xml:space="preserve">is primarily </w:t>
      </w:r>
      <w:r w:rsidR="007457C0" w:rsidRPr="00D56A55">
        <w:t>driven</w:t>
      </w:r>
      <w:r w:rsidRPr="00D56A55">
        <w:t xml:space="preserve"> by </w:t>
      </w:r>
      <w:r w:rsidR="00C5207A">
        <w:t xml:space="preserve">international </w:t>
      </w:r>
      <w:r w:rsidR="007457C0" w:rsidRPr="00D56A55">
        <w:t>demand</w:t>
      </w:r>
      <w:r w:rsidRPr="00D56A55">
        <w:t xml:space="preserve">. In contrast to </w:t>
      </w:r>
      <w:r w:rsidR="008137BB" w:rsidRPr="00D56A55">
        <w:rPr>
          <w:rFonts w:hint="eastAsia"/>
        </w:rPr>
        <w:t xml:space="preserve">the </w:t>
      </w:r>
      <w:r w:rsidRPr="00D56A55">
        <w:t xml:space="preserve">focus </w:t>
      </w:r>
      <w:r w:rsidR="007457C0" w:rsidRPr="00D56A55">
        <w:t>on direct local biodiversity impact by</w:t>
      </w:r>
      <w:r w:rsidRPr="00D56A55">
        <w:t xml:space="preserve"> </w:t>
      </w:r>
      <w:r w:rsidR="00D00410" w:rsidRPr="00D00410">
        <w:rPr>
          <w:szCs w:val="32"/>
        </w:rPr>
        <w:t>Rehbein et al.</w:t>
      </w:r>
      <w:r w:rsidR="00D00410">
        <w:rPr>
          <w:szCs w:val="32"/>
        </w:rPr>
        <w:fldChar w:fldCharType="begin"/>
      </w:r>
      <w:r w:rsidR="00A43A89">
        <w:rPr>
          <w:szCs w:val="32"/>
        </w:rPr>
        <w:instrText xml:space="preserve"> ADDIN ZOTERO_ITEM CSL_CITATION {"citationID":"m0unESCY","properties":{"formattedCitation":"\\super 12\\nosupersub{}","plainCitation":"12","noteIndex":0},"citationItems":[{"id":660,"uris":["http://zotero.org/users/9110477/items/4DC6X3TY"],"itemData":{"id":660,"type":"article-journal","abstract":"Transitioning from fossil fuels to renewable energy is fundamental for halting anthropogenic climate change. However, renewable energy facilities can be land-use intensive and impact conservation areas, and little attention has been given to whether the aggregated effect of energy transitions poses a substantial threat to global biodiversity. Here, we assess the extent of current and likely future renewable energy infrastructure associated with onshore wind, hydropower and solar photovoltaic generation, within three important conservation areas: protected areas, Key Biodiversity Areas and Earth’s remaining wilderness. We identified 2,206 fully operational renewable energy facilities within the boundaries of these conservation areas, with another 922 facilities under development. Combined, these facilities span and are degrading 886 protected areas, 749 Key Biodiversity Areas, and 40 distinct wilderness areas. Two trends are particularly concerning. First, while the majority of historical overlap occurs in Western Europe, the renewable electricity facilities under development increasingly overlap with conservation areas in South East Asia, a globally important region for biodiversity. Second, this next wave of renewable energy infrastructure represents a ~30% increase in the number of protected areas and Key Biodiversity Areas impacted and could increase the number of compromised wilderness areas by ~60%. If the world continues to rapidly transition towards renewable energy these areas will face increasing pressure to allow infrastructure expansion. Coordinated planning of renewable energy expansion and biodiversity conservation is essential to avoid conflicts that compromise their respective objectives.","call-number":"1","container-title":"Global Change Biology","DOI":"10.1111/gcb.15067","ISSN":"1354-1013, 1365-2486","issue":"5","journalAbbreviation":"Glob Change Biol","language":"en","page":"3040-3051","source":"11.6","title":"Renewable energy development threatens many globally important biodiversity areas","volume":"26","author":[{"family":"Rehbein","given":"Jose A."},{"family":"Watson","given":"James E. M."},{"family":"Lane","given":"Joe L."},{"family":"Sonter","given":"Laura J."},{"family":"Venter","given":"Oscar"},{"family":"Atkinson","given":"Scott C."},{"family":"Allan","given":"James R."}],"issued":{"date-parts":[["2020",5]]}}}],"schema":"https://github.com/citation-style-language/schema/raw/master/csl-citation.json"} </w:instrText>
      </w:r>
      <w:r w:rsidR="00D00410">
        <w:rPr>
          <w:szCs w:val="32"/>
        </w:rPr>
        <w:fldChar w:fldCharType="separate"/>
      </w:r>
      <w:r w:rsidR="00D00410" w:rsidRPr="00D00410">
        <w:rPr>
          <w:kern w:val="0"/>
          <w:vertAlign w:val="superscript"/>
        </w:rPr>
        <w:t>12</w:t>
      </w:r>
      <w:r w:rsidR="00D00410">
        <w:rPr>
          <w:szCs w:val="32"/>
        </w:rPr>
        <w:fldChar w:fldCharType="end"/>
      </w:r>
      <w:r w:rsidRPr="00D56A55">
        <w:t xml:space="preserve"> and </w:t>
      </w:r>
      <w:r w:rsidR="00D00410" w:rsidRPr="00D56A55">
        <w:rPr>
          <w:noProof/>
          <w:szCs w:val="32"/>
        </w:rPr>
        <w:t>Gasparatos et al.</w:t>
      </w:r>
      <w:r w:rsidR="00D00410">
        <w:rPr>
          <w:noProof/>
          <w:szCs w:val="32"/>
        </w:rPr>
        <w:fldChar w:fldCharType="begin"/>
      </w:r>
      <w:r w:rsidR="00A43A89">
        <w:rPr>
          <w:noProof/>
          <w:szCs w:val="32"/>
        </w:rPr>
        <w:instrText xml:space="preserve"> ADDIN ZOTERO_ITEM CSL_CITATION {"citationID":"89tpiKtt","properties":{"formattedCitation":"\\super 76\\nosupersub{}","plainCitation":"76","noteIndex":0},"citationItems":[{"id":3901,"uris":["http://zotero.org/users/9110477/items/WD9TBWS3"],"itemData":{"id":3901,"type":"article-journal","abstract":"This literature review identifies the impacts of different renewable energy pathways on ecosystems and biodiversity, and the implications of these impacts for transitioning to a Green Economy. While the higher penetration of renewable energy is currently the backbone of Green Economy efforts, an emerging body of literature demonstrates that the renewable energy sector can affect ecosystems and biodiversity. The current review synthesizes the existing knowledge at the interface of renewable energy and biodiversity accross the five drivers of ecosystem change and biodiversity loss of the Millennium Ecosystem Assessment (MA) framework (i.e. habitat loss/change, pollution, overexploitation, climate change and introduction of invasive species). It identifies the main impact mechanisms for different renewable energy pathways, including solar, wind, hydro, ocean, geothermal and bioenergy. Our review demonstrates that while all reviewed renewable energy pathways are associated (directly or indirectly) with each of the five MA drivers of ecosystem change and biodiversity loss, the actual impact mechanisms depend significantly between the different pathways, specific technologies and the environmental contexts within which they operate. With this review we do not question the fundamental logic of renewable energy expansion as it has been shown to have high environmental and socio-economic benefits. However, we want to make the point that some negative impacts on biodiversity do exist, and need to be considered when developing renewable energy policies. We put these findings into perspective by illustrating the major knowledge/practices gaps and policy implications at the interface of renewable energy, biodiversity conservation and the Green Economy.","container-title":"Renewable and Sustainable Energy Reviews","DOI":"10.1016/j.rser.2016.08.030","ISSN":"1364-0321","journalAbbreviation":"Renewable and Sustainable Energy Reviews","page":"161-184","source":"ScienceDirect","title":"Renewable energy and biodiversity: Implications for transitioning to a Green Economy","title-short":"Renewable energy and biodiversity","volume":"70","author":[{"family":"Gasparatos","given":"Alexandros"},{"family":"Doll","given":"Christopher N. H."},{"family":"Esteban","given":"Miguel"},{"family":"Ahmed","given":"Abubakari"},{"family":"Olang","given":"Tabitha A."}],"issued":{"date-parts":[["2017",4,1]]}}}],"schema":"https://github.com/citation-style-language/schema/raw/master/csl-citation.json"} </w:instrText>
      </w:r>
      <w:r w:rsidR="00D00410">
        <w:rPr>
          <w:noProof/>
          <w:szCs w:val="32"/>
        </w:rPr>
        <w:fldChar w:fldCharType="separate"/>
      </w:r>
      <w:r w:rsidR="008B7B48" w:rsidRPr="008B7B48">
        <w:rPr>
          <w:rFonts w:eastAsiaTheme="minorEastAsia"/>
          <w:kern w:val="0"/>
          <w:szCs w:val="24"/>
          <w:vertAlign w:val="superscript"/>
          <w14:ligatures w14:val="none"/>
        </w:rPr>
        <w:t>76</w:t>
      </w:r>
      <w:r w:rsidR="00D00410">
        <w:rPr>
          <w:noProof/>
          <w:szCs w:val="32"/>
        </w:rPr>
        <w:fldChar w:fldCharType="end"/>
      </w:r>
      <w:r w:rsidRPr="00D56A55">
        <w:t xml:space="preserve">, </w:t>
      </w:r>
      <w:r w:rsidR="007457C0" w:rsidRPr="00D56A55">
        <w:t>this study</w:t>
      </w:r>
      <w:r w:rsidRPr="00D56A55">
        <w:t xml:space="preserve"> </w:t>
      </w:r>
      <w:r w:rsidR="007457C0" w:rsidRPr="00D56A55">
        <w:t>integrate</w:t>
      </w:r>
      <w:r w:rsidR="008137BB" w:rsidRPr="00D56A55">
        <w:rPr>
          <w:rFonts w:hint="eastAsia"/>
        </w:rPr>
        <w:t>s the</w:t>
      </w:r>
      <w:r w:rsidRPr="00D56A55">
        <w:t xml:space="preserve"> c-SAR model and the MRIO model to investigate</w:t>
      </w:r>
      <w:r w:rsidR="007457C0" w:rsidRPr="00D56A55">
        <w:t xml:space="preserve"> impacts</w:t>
      </w:r>
      <w:r w:rsidRPr="00D56A55">
        <w:t xml:space="preserve"> </w:t>
      </w:r>
      <w:r w:rsidR="00A52E3D" w:rsidRPr="00D56A55">
        <w:t xml:space="preserve">at production sites </w:t>
      </w:r>
      <w:r w:rsidRPr="00D56A55">
        <w:t xml:space="preserve">and </w:t>
      </w:r>
      <w:r w:rsidR="007457C0" w:rsidRPr="00D56A55">
        <w:t>along</w:t>
      </w:r>
      <w:r w:rsidRPr="00D56A55">
        <w:t xml:space="preserve"> </w:t>
      </w:r>
      <w:r w:rsidR="008137BB" w:rsidRPr="00D56A55">
        <w:rPr>
          <w:rFonts w:hint="eastAsia"/>
        </w:rPr>
        <w:t>complex</w:t>
      </w:r>
      <w:r w:rsidR="008137BB" w:rsidRPr="00D56A55">
        <w:t xml:space="preserve"> </w:t>
      </w:r>
      <w:r w:rsidRPr="00D56A55">
        <w:t xml:space="preserve">industrial supply chains. Although </w:t>
      </w:r>
      <w:r w:rsidR="00713765" w:rsidRPr="00D56A55">
        <w:t>countries and regions</w:t>
      </w:r>
      <w:r w:rsidRPr="00D56A55">
        <w:t xml:space="preserve"> </w:t>
      </w:r>
      <w:r w:rsidR="007457C0" w:rsidRPr="00D56A55">
        <w:t xml:space="preserve">should </w:t>
      </w:r>
      <w:r w:rsidR="00A52E3D" w:rsidRPr="00D56A55">
        <w:t xml:space="preserve">primarily </w:t>
      </w:r>
      <w:r w:rsidR="007457C0" w:rsidRPr="00D56A55">
        <w:t>take</w:t>
      </w:r>
      <w:r w:rsidR="00A52E3D" w:rsidRPr="00D56A55">
        <w:t xml:space="preserve"> </w:t>
      </w:r>
      <w:r w:rsidRPr="00D56A55">
        <w:t xml:space="preserve">responsibility for </w:t>
      </w:r>
      <w:r w:rsidR="00FC75D7" w:rsidRPr="00D56A55">
        <w:t>renewable energy</w:t>
      </w:r>
      <w:r w:rsidR="008137BB" w:rsidRPr="00D56A55">
        <w:rPr>
          <w:rFonts w:hint="eastAsia"/>
        </w:rPr>
        <w:t>-</w:t>
      </w:r>
      <w:r w:rsidR="007457C0" w:rsidRPr="00D56A55">
        <w:t>related biodiversity loss</w:t>
      </w:r>
      <w:r w:rsidR="00A52E3D" w:rsidRPr="00D56A55">
        <w:t xml:space="preserve"> themselves</w:t>
      </w:r>
      <w:r w:rsidRPr="00D56A55">
        <w:t xml:space="preserve">, </w:t>
      </w:r>
      <w:r w:rsidR="007457C0" w:rsidRPr="00D56A55">
        <w:t xml:space="preserve">renewable </w:t>
      </w:r>
      <w:r w:rsidR="00B23C66" w:rsidRPr="00D56A55">
        <w:t>energy</w:t>
      </w:r>
      <w:r w:rsidR="007457C0" w:rsidRPr="00D56A55">
        <w:t xml:space="preserve"> imports of </w:t>
      </w:r>
      <w:r w:rsidRPr="00D56A55">
        <w:t xml:space="preserve">wealthy </w:t>
      </w:r>
      <w:r w:rsidR="008137BB" w:rsidRPr="00D56A55">
        <w:rPr>
          <w:rFonts w:hint="eastAsia"/>
        </w:rPr>
        <w:t xml:space="preserve">countries and </w:t>
      </w:r>
      <w:r w:rsidR="00772915" w:rsidRPr="00D56A55">
        <w:t>regions</w:t>
      </w:r>
      <w:r w:rsidRPr="00D56A55">
        <w:t xml:space="preserve"> </w:t>
      </w:r>
      <w:r w:rsidR="00A52E3D" w:rsidRPr="00D56A55">
        <w:t>also</w:t>
      </w:r>
      <w:r w:rsidR="007457C0" w:rsidRPr="00D56A55">
        <w:t xml:space="preserve"> impose</w:t>
      </w:r>
      <w:r w:rsidRPr="00D56A55">
        <w:t xml:space="preserve"> </w:t>
      </w:r>
      <w:r w:rsidR="008137BB" w:rsidRPr="00D56A55">
        <w:rPr>
          <w:rFonts w:hint="eastAsia"/>
        </w:rPr>
        <w:t xml:space="preserve">significant </w:t>
      </w:r>
      <w:r w:rsidRPr="00D56A55">
        <w:t xml:space="preserve">biodiversity pressures on </w:t>
      </w:r>
      <w:r w:rsidR="00A52E3D" w:rsidRPr="00D56A55">
        <w:t xml:space="preserve">developing </w:t>
      </w:r>
      <w:r w:rsidR="00713765" w:rsidRPr="00D56A55">
        <w:t>countries</w:t>
      </w:r>
      <w:r w:rsidRPr="00D56A55">
        <w:t>.</w:t>
      </w:r>
      <w:r w:rsidR="00C34C71">
        <w:rPr>
          <w:rFonts w:hint="eastAsia"/>
        </w:rPr>
        <w:t xml:space="preserve"> </w:t>
      </w:r>
      <w:r w:rsidR="003C3400" w:rsidRPr="00517623">
        <w:t xml:space="preserve">This phenomenon becomes increasingly </w:t>
      </w:r>
      <w:r w:rsidR="00617EC0" w:rsidRPr="00517623">
        <w:t>not</w:t>
      </w:r>
      <w:r w:rsidR="00617EC0">
        <w:rPr>
          <w:rFonts w:hint="eastAsia"/>
        </w:rPr>
        <w:t>able</w:t>
      </w:r>
      <w:r w:rsidR="00617EC0" w:rsidRPr="00517623">
        <w:t xml:space="preserve"> </w:t>
      </w:r>
      <w:r w:rsidR="003C3400" w:rsidRPr="00517623">
        <w:t>amid future energy transitions</w:t>
      </w:r>
      <w:r w:rsidR="00C34C71">
        <w:rPr>
          <w:rFonts w:hint="eastAsia"/>
        </w:rPr>
        <w:t xml:space="preserve"> (</w:t>
      </w:r>
      <w:r w:rsidR="00C34C71" w:rsidRPr="00C34C71">
        <w:rPr>
          <w:rFonts w:hint="eastAsia"/>
        </w:rPr>
        <w:t>Table S</w:t>
      </w:r>
      <w:r w:rsidR="00B3748E">
        <w:rPr>
          <w:rFonts w:hint="eastAsia"/>
        </w:rPr>
        <w:t>12</w:t>
      </w:r>
      <w:r w:rsidR="00C34C71">
        <w:rPr>
          <w:rFonts w:hint="eastAsia"/>
        </w:rPr>
        <w:t>).</w:t>
      </w:r>
      <w:r w:rsidRPr="00D56A55">
        <w:t xml:space="preserve"> Furthermore, </w:t>
      </w:r>
      <w:r w:rsidR="008137BB" w:rsidRPr="00D56A55">
        <w:rPr>
          <w:rFonts w:hint="eastAsia"/>
        </w:rPr>
        <w:t>as</w:t>
      </w:r>
      <w:r w:rsidRPr="00D56A55">
        <w:t xml:space="preserve"> energy demand </w:t>
      </w:r>
      <w:r w:rsidR="008137BB" w:rsidRPr="00D56A55">
        <w:rPr>
          <w:rFonts w:hint="eastAsia"/>
        </w:rPr>
        <w:t xml:space="preserve">increases </w:t>
      </w:r>
      <w:r w:rsidRPr="00D56A55">
        <w:t xml:space="preserve">and </w:t>
      </w:r>
      <w:r w:rsidR="009272CC" w:rsidRPr="00D56A55">
        <w:t>energy transition</w:t>
      </w:r>
      <w:r w:rsidR="008137BB" w:rsidRPr="00D56A55">
        <w:rPr>
          <w:rFonts w:hint="eastAsia"/>
        </w:rPr>
        <w:t xml:space="preserve"> progresses</w:t>
      </w:r>
      <w:r w:rsidRPr="00D56A55">
        <w:t xml:space="preserve">, the threat to biodiversity will </w:t>
      </w:r>
      <w:r w:rsidR="002A3ED3" w:rsidRPr="00D56A55">
        <w:t>be</w:t>
      </w:r>
      <w:r w:rsidR="008137BB" w:rsidRPr="00D56A55">
        <w:rPr>
          <w:rFonts w:hint="eastAsia"/>
        </w:rPr>
        <w:t>come</w:t>
      </w:r>
      <w:r w:rsidR="002A3ED3" w:rsidRPr="00D56A55">
        <w:t xml:space="preserve"> even </w:t>
      </w:r>
      <w:r w:rsidR="008137BB" w:rsidRPr="00D56A55">
        <w:rPr>
          <w:rFonts w:hint="eastAsia"/>
        </w:rPr>
        <w:t xml:space="preserve">more </w:t>
      </w:r>
      <w:r w:rsidR="00A52E3D" w:rsidRPr="00D56A55">
        <w:t xml:space="preserve">severe </w:t>
      </w:r>
      <w:r w:rsidR="002A3ED3" w:rsidRPr="00D56A55">
        <w:t>and</w:t>
      </w:r>
      <w:r w:rsidRPr="00D56A55">
        <w:t xml:space="preserve"> unevenly distributed. </w:t>
      </w:r>
      <w:bookmarkStart w:id="31" w:name="OLE_LINK7"/>
      <w:bookmarkStart w:id="32" w:name="OLE_LINK8"/>
      <w:r w:rsidR="00222CEF" w:rsidRPr="000C24B8">
        <w:t xml:space="preserve">Accordingly, </w:t>
      </w:r>
      <w:r w:rsidR="00222CEF">
        <w:t>calling for a</w:t>
      </w:r>
      <w:r w:rsidR="008137BB" w:rsidRPr="00D56A55">
        <w:rPr>
          <w:rFonts w:hint="eastAsia"/>
        </w:rPr>
        <w:t xml:space="preserve"> fair</w:t>
      </w:r>
      <w:r w:rsidR="008137BB" w:rsidRPr="00D56A55">
        <w:t xml:space="preserve"> </w:t>
      </w:r>
      <w:r w:rsidRPr="00D56A55">
        <w:t>and reasonabl</w:t>
      </w:r>
      <w:r w:rsidR="008137BB" w:rsidRPr="00D56A55">
        <w:rPr>
          <w:rFonts w:hint="eastAsia"/>
        </w:rPr>
        <w:t>e</w:t>
      </w:r>
      <w:r w:rsidR="00A52E3D" w:rsidRPr="00D56A55">
        <w:t xml:space="preserve"> allocati</w:t>
      </w:r>
      <w:r w:rsidR="003E02D5" w:rsidRPr="00D56A55">
        <w:rPr>
          <w:rFonts w:hint="eastAsia"/>
        </w:rPr>
        <w:t>on of</w:t>
      </w:r>
      <w:r w:rsidRPr="00D56A55">
        <w:t xml:space="preserve"> responsibilit</w:t>
      </w:r>
      <w:r w:rsidR="00A52E3D" w:rsidRPr="00D56A55">
        <w:t>ies</w:t>
      </w:r>
      <w:r w:rsidRPr="00D56A55">
        <w:t xml:space="preserve"> </w:t>
      </w:r>
      <w:r w:rsidR="003E02D5" w:rsidRPr="00D56A55">
        <w:rPr>
          <w:rFonts w:hint="eastAsia"/>
        </w:rPr>
        <w:t xml:space="preserve">among countries </w:t>
      </w:r>
      <w:r w:rsidR="00CB193F">
        <w:t>c</w:t>
      </w:r>
      <w:r w:rsidRPr="00D56A55">
        <w:t xml:space="preserve">ould </w:t>
      </w:r>
      <w:r w:rsidR="00A52E3D" w:rsidRPr="00D56A55">
        <w:t>improve global</w:t>
      </w:r>
      <w:r w:rsidRPr="00D56A55">
        <w:t xml:space="preserve"> </w:t>
      </w:r>
      <w:r w:rsidR="00A52E3D" w:rsidRPr="00D56A55">
        <w:t>cooperation</w:t>
      </w:r>
      <w:r w:rsidR="003E02D5" w:rsidRPr="00D56A55">
        <w:rPr>
          <w:rFonts w:hint="eastAsia"/>
        </w:rPr>
        <w:t xml:space="preserve"> to</w:t>
      </w:r>
      <w:r w:rsidRPr="00D56A55">
        <w:t xml:space="preserve"> effectively </w:t>
      </w:r>
      <w:r w:rsidR="00A52E3D" w:rsidRPr="00D56A55">
        <w:t xml:space="preserve">address </w:t>
      </w:r>
      <w:r w:rsidRPr="00D56A55">
        <w:t xml:space="preserve">climate change and biodiversity </w:t>
      </w:r>
      <w:bookmarkEnd w:id="31"/>
      <w:bookmarkEnd w:id="32"/>
      <w:r w:rsidR="001C6F6A" w:rsidRPr="00D56A55">
        <w:t>conservation</w:t>
      </w:r>
      <w:r w:rsidR="00242FAB" w:rsidRPr="00D56A55">
        <w:rPr>
          <w:rFonts w:hint="eastAsia"/>
        </w:rPr>
        <w:t>.</w:t>
      </w:r>
      <w:r w:rsidR="007B2BE0" w:rsidRPr="00D56A55">
        <w:rPr>
          <w:rFonts w:hint="eastAsia"/>
        </w:rPr>
        <w:t xml:space="preserve"> </w:t>
      </w:r>
      <w:r w:rsidR="00CB193F">
        <w:t>P</w:t>
      </w:r>
      <w:r w:rsidR="00222CEF" w:rsidRPr="00682CA1">
        <w:t xml:space="preserve">roducing </w:t>
      </w:r>
      <w:r w:rsidR="00222CEF">
        <w:t>countries</w:t>
      </w:r>
      <w:r w:rsidR="00222CEF" w:rsidRPr="00682CA1">
        <w:t xml:space="preserve"> should </w:t>
      </w:r>
      <w:r w:rsidR="00617EC0">
        <w:rPr>
          <w:rFonts w:hint="eastAsia"/>
        </w:rPr>
        <w:t>strengthen</w:t>
      </w:r>
      <w:r w:rsidR="00222CEF" w:rsidRPr="00682CA1">
        <w:t xml:space="preserve"> environmental impact disclosures, thereby </w:t>
      </w:r>
      <w:r w:rsidR="00617EC0">
        <w:rPr>
          <w:rFonts w:hint="eastAsia"/>
        </w:rPr>
        <w:t>raising</w:t>
      </w:r>
      <w:r w:rsidR="00617EC0" w:rsidRPr="00682CA1">
        <w:t xml:space="preserve"> </w:t>
      </w:r>
      <w:r w:rsidR="00222CEF" w:rsidRPr="00682CA1">
        <w:t xml:space="preserve">the awareness of </w:t>
      </w:r>
      <w:r w:rsidR="00CB193F">
        <w:t xml:space="preserve">both exporting and </w:t>
      </w:r>
      <w:r w:rsidR="00222CEF" w:rsidRPr="00682CA1">
        <w:t xml:space="preserve">importing countries </w:t>
      </w:r>
      <w:r w:rsidR="00617EC0">
        <w:rPr>
          <w:rFonts w:hint="eastAsia"/>
        </w:rPr>
        <w:t>of</w:t>
      </w:r>
      <w:r w:rsidR="00222CEF" w:rsidRPr="00682CA1">
        <w:t xml:space="preserve"> potential </w:t>
      </w:r>
      <w:r w:rsidR="00617EC0">
        <w:rPr>
          <w:rFonts w:hint="eastAsia"/>
        </w:rPr>
        <w:t>damage</w:t>
      </w:r>
      <w:r w:rsidR="00617EC0" w:rsidRPr="00682CA1">
        <w:t xml:space="preserve"> </w:t>
      </w:r>
      <w:r w:rsidR="00222CEF" w:rsidRPr="00682CA1">
        <w:t xml:space="preserve">to biodiversity resulting </w:t>
      </w:r>
      <w:r w:rsidR="00222CEF" w:rsidRPr="00682CA1">
        <w:lastRenderedPageBreak/>
        <w:t xml:space="preserve">from </w:t>
      </w:r>
      <w:r w:rsidR="00222CEF">
        <w:t>renewable energy</w:t>
      </w:r>
      <w:r w:rsidR="00222CEF" w:rsidRPr="00682CA1">
        <w:t xml:space="preserve"> consumption</w:t>
      </w:r>
      <w:r w:rsidR="00CB193F">
        <w:t xml:space="preserve"> and providing a basis for </w:t>
      </w:r>
      <w:r w:rsidR="00617EC0">
        <w:rPr>
          <w:rFonts w:hint="eastAsia"/>
        </w:rPr>
        <w:t xml:space="preserve">ecological </w:t>
      </w:r>
      <w:r w:rsidR="00CB193F">
        <w:t>compensation, offsetting or other mechanisms</w:t>
      </w:r>
      <w:r w:rsidR="00222CEF">
        <w:t xml:space="preserve">. </w:t>
      </w:r>
    </w:p>
    <w:p w14:paraId="79CD0EE9" w14:textId="08FA1974" w:rsidR="00044FF4" w:rsidRDefault="00617EC0" w:rsidP="004F6357">
      <w:pPr>
        <w:spacing w:line="360" w:lineRule="auto"/>
        <w:ind w:firstLine="420"/>
      </w:pPr>
      <w:bookmarkStart w:id="33" w:name="OLE_LINK19"/>
      <w:r>
        <w:rPr>
          <w:rFonts w:hint="eastAsia"/>
        </w:rPr>
        <w:t>R</w:t>
      </w:r>
      <w:r w:rsidR="00044FF4" w:rsidRPr="00D56A55">
        <w:t xml:space="preserve">esponsibility for </w:t>
      </w:r>
      <w:r w:rsidR="00700212" w:rsidRPr="00D56A55">
        <w:rPr>
          <w:rFonts w:hint="eastAsia"/>
        </w:rPr>
        <w:t>biodiversity</w:t>
      </w:r>
      <w:r w:rsidR="00700212" w:rsidRPr="00D56A55">
        <w:t xml:space="preserve"> loss</w:t>
      </w:r>
      <w:r w:rsidR="00044FF4" w:rsidRPr="00D56A55">
        <w:t xml:space="preserve"> </w:t>
      </w:r>
      <w:r>
        <w:rPr>
          <w:rFonts w:hint="eastAsia"/>
        </w:rPr>
        <w:t>associated with land occupation along global supply chain</w:t>
      </w:r>
      <w:r w:rsidR="00044FF4" w:rsidRPr="00D56A55">
        <w:t xml:space="preserve"> is a contentious issue. </w:t>
      </w:r>
      <w:r w:rsidR="00A52E3D" w:rsidRPr="00D56A55">
        <w:rPr>
          <w:rFonts w:hint="eastAsia"/>
        </w:rPr>
        <w:t>However</w:t>
      </w:r>
      <w:r w:rsidR="00FC063E" w:rsidRPr="00D56A55">
        <w:t>, change</w:t>
      </w:r>
      <w:r w:rsidR="00A52E3D" w:rsidRPr="00D56A55">
        <w:t>s</w:t>
      </w:r>
      <w:r w:rsidR="00FC063E" w:rsidRPr="00D56A55">
        <w:t xml:space="preserve"> </w:t>
      </w:r>
      <w:r w:rsidR="003E02D5" w:rsidRPr="00D56A55">
        <w:rPr>
          <w:rFonts w:hint="eastAsia"/>
        </w:rPr>
        <w:t>in</w:t>
      </w:r>
      <w:r w:rsidR="00FC063E" w:rsidRPr="00D56A55">
        <w:t xml:space="preserve"> consumer </w:t>
      </w:r>
      <w:r w:rsidR="003E02D5" w:rsidRPr="00D56A55">
        <w:t>behavior</w:t>
      </w:r>
      <w:r w:rsidR="00FC063E" w:rsidRPr="00D56A55">
        <w:t xml:space="preserve"> </w:t>
      </w:r>
      <w:r w:rsidR="00A52E3D" w:rsidRPr="00D56A55">
        <w:t>can</w:t>
      </w:r>
      <w:r w:rsidR="00FC063E" w:rsidRPr="00D56A55">
        <w:t xml:space="preserve"> </w:t>
      </w:r>
      <w:r w:rsidR="003E02D5" w:rsidRPr="00D56A55">
        <w:rPr>
          <w:rFonts w:hint="eastAsia"/>
        </w:rPr>
        <w:t xml:space="preserve">contribute to </w:t>
      </w:r>
      <w:r w:rsidR="00FC063E" w:rsidRPr="00D56A55">
        <w:t>biodiversity conservation.</w:t>
      </w:r>
      <w:r w:rsidR="008678C5">
        <w:fldChar w:fldCharType="begin"/>
      </w:r>
      <w:r w:rsidR="00A43A89">
        <w:instrText xml:space="preserve"> ADDIN ZOTERO_ITEM CSL_CITATION {"citationID":"ebpNRR75","properties":{"formattedCitation":"\\super 77\\nosupersub{}","plainCitation":"77","noteIndex":0},"citationItems":[{"id":4726,"uris":["http://zotero.org/users/9110477/items/976D5ADR"],"itemData":{"id":4726,"type":"article-journal","call-number":"1","container-title":"Nature Climate Change","DOI":"10.1038/s41558-024-02016-z","ISSN":"1758-678X, 1758-6798","journalAbbreviation":"Nat. Clim. Change","language":"en","source":"30.7","title":"Demand-side strategies key for mitigating material impacts of energy transitions","URL":"https://www.nature.com/articles/s41558-024-02016-z","author":[{"family":"Creutzig","given":"Felix"},{"family":"Simoes","given":"Sofia G."},{"family":"Leipold","given":"Sina"},{"family":"Berrill","given":"Peter"},{"family":"Azevedo","given":"Isabel"},{"family":"Edelenbosch","given":"Oreane"},{"family":"Fishman","given":"Tomer"},{"family":"Haberl","given":"Helmut"},{"family":"Hertwich","given":"Edgar"},{"family":"Krey","given":"Volker"},{"family":"Lima","given":"Ana Teresa"},{"family":"Makov","given":"Tamar"},{"family":"Mastrucci","given":"Alessio"},{"family":"Milojevic-Dupont","given":"Nikola"},{"family":"Nachtigall","given":"Florian"},{"family":"Pauliuk","given":"Stefan"},{"family":"Silva","given":"Mafalda"},{"family":"Verdolini","given":"Elena"},{"family":"Van Vuuren","given":"Detlef"},{"family":"Wagner","given":"Felix"},{"family":"Wiedenhofer","given":"Dominik"},{"family":"Wilson","given":"Charlie"}],"accessed":{"date-parts":[["2024",6,7]]},"issued":{"date-parts":[["2024",6,4]]}}}],"schema":"https://github.com/citation-style-language/schema/raw/master/csl-citation.json"} </w:instrText>
      </w:r>
      <w:r w:rsidR="008678C5">
        <w:fldChar w:fldCharType="separate"/>
      </w:r>
      <w:r w:rsidR="008B7B48" w:rsidRPr="008B7B48">
        <w:rPr>
          <w:rFonts w:eastAsiaTheme="minorEastAsia"/>
          <w:kern w:val="0"/>
          <w:szCs w:val="24"/>
          <w:vertAlign w:val="superscript"/>
          <w14:ligatures w14:val="none"/>
        </w:rPr>
        <w:t>77</w:t>
      </w:r>
      <w:r w:rsidR="008678C5">
        <w:fldChar w:fldCharType="end"/>
      </w:r>
      <w:r w:rsidR="00404151">
        <w:t xml:space="preserve"> </w:t>
      </w:r>
      <w:r w:rsidR="00FC063E" w:rsidRPr="00D56A55">
        <w:t>Increasing public exposure</w:t>
      </w:r>
      <w:r w:rsidR="00FC063E" w:rsidRPr="00D56A55" w:rsidDel="008201DF">
        <w:rPr>
          <w:rFonts w:hint="eastAsia"/>
        </w:rPr>
        <w:t xml:space="preserve"> </w:t>
      </w:r>
      <w:r w:rsidR="00A52E3D" w:rsidRPr="00D56A55">
        <w:t>through</w:t>
      </w:r>
      <w:r w:rsidR="00FC063E" w:rsidRPr="00D56A55">
        <w:t xml:space="preserve"> </w:t>
      </w:r>
      <w:r>
        <w:t>information</w:t>
      </w:r>
      <w:r>
        <w:rPr>
          <w:rFonts w:hint="eastAsia"/>
        </w:rPr>
        <w:t xml:space="preserve"> disclosure</w:t>
      </w:r>
      <w:r w:rsidR="00044FF4" w:rsidRPr="00D56A55">
        <w:t xml:space="preserve"> </w:t>
      </w:r>
      <w:r w:rsidR="008201DF" w:rsidRPr="00D56A55">
        <w:t xml:space="preserve">can </w:t>
      </w:r>
      <w:r w:rsidR="003E02D5" w:rsidRPr="00D56A55">
        <w:rPr>
          <w:rFonts w:hint="eastAsia"/>
        </w:rPr>
        <w:t xml:space="preserve">raise </w:t>
      </w:r>
      <w:r w:rsidR="00044FF4" w:rsidRPr="00D56A55">
        <w:t>consumers'</w:t>
      </w:r>
      <w:r w:rsidR="00FC063E" w:rsidRPr="00D56A55">
        <w:t xml:space="preserve"> environmental</w:t>
      </w:r>
      <w:r w:rsidR="00044FF4" w:rsidRPr="00D56A55">
        <w:t xml:space="preserve"> </w:t>
      </w:r>
      <w:r w:rsidR="003E02D5" w:rsidRPr="00D56A55">
        <w:rPr>
          <w:rFonts w:hint="eastAsia"/>
        </w:rPr>
        <w:t>awareness and</w:t>
      </w:r>
      <w:r w:rsidR="003E02D5" w:rsidRPr="00D56A55">
        <w:t xml:space="preserve"> </w:t>
      </w:r>
      <w:r w:rsidR="00A52E3D" w:rsidRPr="00D56A55">
        <w:t xml:space="preserve">thereby </w:t>
      </w:r>
      <w:r w:rsidR="003E02D5" w:rsidRPr="00D56A55">
        <w:t>encourag</w:t>
      </w:r>
      <w:r w:rsidR="003E02D5" w:rsidRPr="00D56A55">
        <w:rPr>
          <w:rFonts w:hint="eastAsia"/>
        </w:rPr>
        <w:t>e them to choose</w:t>
      </w:r>
      <w:r w:rsidR="003E02D5" w:rsidRPr="00D56A55">
        <w:t xml:space="preserve"> </w:t>
      </w:r>
      <w:r w:rsidR="00FC063E" w:rsidRPr="00D56A55">
        <w:t>goods and services</w:t>
      </w:r>
      <w:r w:rsidR="00044FF4" w:rsidRPr="00D56A55">
        <w:t xml:space="preserve"> that are more conducive to biodiversity </w:t>
      </w:r>
      <w:r w:rsidR="005C4EE1" w:rsidRPr="00D56A55">
        <w:t>conservation</w:t>
      </w:r>
      <w:r w:rsidR="00452F0A" w:rsidRPr="00D56A55">
        <w:t>.</w:t>
      </w:r>
      <w:r w:rsidR="006F348E" w:rsidRPr="00D56A55" w:rsidDel="006F348E">
        <w:t xml:space="preserve"> </w:t>
      </w:r>
      <w:r w:rsidR="00044FF4" w:rsidRPr="00D56A55">
        <w:t xml:space="preserve">Such </w:t>
      </w:r>
      <w:r w:rsidR="00FC063E" w:rsidRPr="00D56A55">
        <w:t>strategies</w:t>
      </w:r>
      <w:r w:rsidR="00044FF4" w:rsidRPr="00D56A55">
        <w:t xml:space="preserve"> have </w:t>
      </w:r>
      <w:r w:rsidR="00A52E3D" w:rsidRPr="00D56A55">
        <w:t xml:space="preserve">been shown to be </w:t>
      </w:r>
      <w:r w:rsidR="00044FF4" w:rsidRPr="00D56A55">
        <w:t xml:space="preserve">effective in areas such as </w:t>
      </w:r>
      <w:r w:rsidR="003E02D5" w:rsidRPr="00D56A55">
        <w:rPr>
          <w:rFonts w:hint="eastAsia"/>
        </w:rPr>
        <w:t xml:space="preserve">reducing </w:t>
      </w:r>
      <w:r w:rsidR="00044FF4" w:rsidRPr="00D56A55">
        <w:t xml:space="preserve">carbon </w:t>
      </w:r>
      <w:r w:rsidR="00A52E3D" w:rsidRPr="00D56A55">
        <w:t>emission</w:t>
      </w:r>
      <w:r w:rsidR="003E02D5" w:rsidRPr="00D56A55">
        <w:rPr>
          <w:rFonts w:hint="eastAsia"/>
        </w:rPr>
        <w:t>s</w:t>
      </w:r>
      <w:r w:rsidR="00452F0A" w:rsidRPr="00D56A55">
        <w:t>.</w:t>
      </w:r>
      <w:r w:rsidR="009E1195" w:rsidRPr="00D56A55">
        <w:fldChar w:fldCharType="begin"/>
      </w:r>
      <w:r w:rsidR="00A43A89">
        <w:instrText xml:space="preserve"> ADDIN ZOTERO_ITEM CSL_CITATION {"citationID":"Z9VJDtjX","properties":{"formattedCitation":"\\super 79\\nosupersub{}","plainCitation":"79","noteIndex":0},"citationItems":[{"id":3843,"uris":["http://zotero.org/users/9110477/items/5CBZIJRI"],"itemData":{"id":3843,"type":"article-journal","abstract":"New consumer awareness is shifting industry towards more sustainable practices, creating a virtuous cycle between producers and consumers enabled by eco-labelling. Eco-labelling informs consumers of specific characteristics of products and has been used to market greener products. Eco-labelling in the food industry has yet been mostly focused on promoting organic farming, limiting the scope to the agricultural stage of the supply chain, while carbon labelling informs on the carbon footprint throughout the life cycle of the product. These labelling strategies help value products in the eyes of the consumer. Because of this, decision makers are motivated to adopt more sustainable models. In the food industry, this has led to important environmental impact improvements at the agricultural stage, while most other stages in the Food Supply Chain (FSC) have continued to be designed inefficiently. The objective of this work is to define a framework showing how carbon labelling can be integrated into the design process of the FSC. For this purpose, the concept of Green Supply Chain Network Design (GSCND) focusing on the strategic decision making for location and allocation of resources and production capacity is developed considering operational, financial and environmental (CO2 emissions) issues along key stages in the product life cycle. A multi-objective optimization strategy implemented by use of a genetic algorithm is applied to a case study on orange juice production. The results show that the consideration of CO2 emission minimization as an objective function during the GSCND process together with techno-economic criteria produces improved FSC environmental performance compared to both organic and conventional orange juice production. Typical results thus highlight the importance that carbon emissions optimization and labelling may have to improve FSC beyond organic labelling. Finally, CO2 emission-oriented labelling could be an important tool to improve the effects eco-labelling has on food product environmental impact going forward.","call-number":"1","collection-title":"Modeling the impact of human activity, behavior and decisions on the environment. Marketing and green consumer","container-title":"Journal of Environmental Management","DOI":"10.1016/j.jenvman.2017.05.027","ISSN":"0301-4797","journalAbbreviation":"Journal of Environmental Management","note":"TLDR: CO2 emission-oriented labelling could be an important tool to improve the effects eco-labelling has on food product environmental impact going forward.","page":"814-824","source":"8.7","title":"Extending the scope of eco-labelling in the food industry to drive change beyond sustainable agriculture practices","volume":"204","author":[{"family":"Miranda-Ackerman","given":"Marco A."},{"family":"Azzaro-Pantel","given":"Catherine"}],"issued":{"date-parts":[["2017",12,15]]}}}],"schema":"https://github.com/citation-style-language/schema/raw/master/csl-citation.json"} </w:instrText>
      </w:r>
      <w:r w:rsidR="009E1195" w:rsidRPr="00D56A55">
        <w:fldChar w:fldCharType="separate"/>
      </w:r>
      <w:r w:rsidR="008B7B48" w:rsidRPr="008B7B48">
        <w:rPr>
          <w:rFonts w:eastAsiaTheme="minorEastAsia"/>
          <w:kern w:val="0"/>
          <w:szCs w:val="24"/>
          <w:vertAlign w:val="superscript"/>
          <w14:ligatures w14:val="none"/>
        </w:rPr>
        <w:t>79</w:t>
      </w:r>
      <w:r w:rsidR="009E1195" w:rsidRPr="00D56A55">
        <w:fldChar w:fldCharType="end"/>
      </w:r>
      <w:r w:rsidR="00044FF4" w:rsidRPr="00D56A55">
        <w:t xml:space="preserve"> </w:t>
      </w:r>
      <w:r>
        <w:rPr>
          <w:rFonts w:hint="eastAsia"/>
        </w:rPr>
        <w:t>D</w:t>
      </w:r>
      <w:r w:rsidR="00A52E3D" w:rsidRPr="00D56A55">
        <w:t>ue to the growing</w:t>
      </w:r>
      <w:r w:rsidR="008201DF" w:rsidRPr="00D56A55">
        <w:t xml:space="preserve"> separation</w:t>
      </w:r>
      <w:r w:rsidR="00044FF4" w:rsidRPr="00D56A55">
        <w:t xml:space="preserve"> between production and consumption, biodiversity </w:t>
      </w:r>
      <w:r w:rsidR="003E02D5" w:rsidRPr="00D56A55">
        <w:rPr>
          <w:rFonts w:hint="eastAsia"/>
        </w:rPr>
        <w:t>conservation requires</w:t>
      </w:r>
      <w:r w:rsidR="00A52E3D" w:rsidRPr="00D56A55">
        <w:t xml:space="preserve"> </w:t>
      </w:r>
      <w:r w:rsidR="00044FF4" w:rsidRPr="00D56A55">
        <w:t xml:space="preserve">substantial </w:t>
      </w:r>
      <w:r w:rsidR="00FC063E" w:rsidRPr="00D56A55">
        <w:t>cooperation</w:t>
      </w:r>
      <w:r w:rsidR="00044FF4" w:rsidRPr="00D56A55">
        <w:t xml:space="preserve"> across </w:t>
      </w:r>
      <w:r w:rsidR="00713765" w:rsidRPr="00D56A55">
        <w:t>countries</w:t>
      </w:r>
      <w:r w:rsidR="00452F0A" w:rsidRPr="00D56A55">
        <w:t>.</w:t>
      </w:r>
      <w:r w:rsidR="00044FF4" w:rsidRPr="00D56A55">
        <w:fldChar w:fldCharType="begin"/>
      </w:r>
      <w:r w:rsidR="00A43A89">
        <w:instrText xml:space="preserve"> ADDIN ZOTERO_ITEM CSL_CITATION {"citationID":"NwKdKrok","properties":{"formattedCitation":"\\super 39,80\\nosupersub{}","plainCitation":"39,80","noteIndex":0},"citationItems":[{"id":598,"uris":["http://zotero.org/users/9110477/items/XRYGFVB2"],"itemData":{"id":598,"type":"article-journal","call-number":"1","container-title":"Nature","DOI":"10.1038/nature11145","ISSN":"0028-0836, 1476-4687","issue":"7401","journalAbbreviation":"Nature","language":"en","page":"109-112","source":"64.8","title":"International trade drives biodiversity threats in developing nations","volume":"486","author":[{"family":"Lenzen","given":"M."},{"family":"Moran","given":"D."},{"family":"Kanemoto","given":"K."},{"family":"Foran","given":"B."},{"family":"Lobefaro","given":"L."},{"family":"Geschke","given":"A."}],"issued":{"date-parts":[["2012",6]]}},"label":"page"},{"id":4069,"uris":["http://zotero.org/users/9110477/items/J9CCVBTG"],"itemData":{"id":4069,"type":"article-journal","abstract":"Human land use is the main driver of terrestrial biodiversity loss. It has been argued that producers and consumers have a shared responsibility for biodiversity loss because this land use is directly and indirectly driven by the local and global demand for products. Such responsibility sharing would be an important step for global biodiversity cooperation and conservation. Here, we use a global multiregional input-output framework to estimate consumption-based biodiversity loss, integrating with both the physical Food and Agriculture Biomass Input-Output (FABIO) dataset and a global monetary input-output table (EXIOBASE). We use an environmental justice framework for assigning biodiversity loss responsibility between producers and consumers. In this framework, we employ the Human Development Index (HDI) as a proxy of the weighting parameter for both producers and consumers. An environmental justice perspective may provide a fairer distribution of responsibility in a world where different nations have very different capabilities and see varying benefits from international trade. Environmentally just accounting increases the footprint of the Global North compared to other common approaches for sharing responsibility across all producers and consumers along international supply chains. We describe how environmental justice may inform cooperation in biodiversity protection between stakeholders along global supply chains.","call-number":"2","container-title":"Ecological Economics","DOI":"10.1016/j.ecolecon.2022.107339","ISSN":"0921-8009","journalAbbreviation":"Ecological Economics","page":"107339","source":"7","title":"Shared and environmentally just responsibility for global biodiversity loss","volume":"194","author":[{"family":"Sun","given":"Zhongxiao"},{"family":"Behrens","given":"Paul"},{"family":"Tukker","given":"Arnold"},{"family":"Bruckner","given":"Martin"},{"family":"Scherer","given":"Laura"}],"issued":{"date-parts":[["2022",4,1]]}},"label":"page"}],"schema":"https://github.com/citation-style-language/schema/raw/master/csl-citation.json"} </w:instrText>
      </w:r>
      <w:r w:rsidR="00044FF4" w:rsidRPr="00D56A55">
        <w:fldChar w:fldCharType="separate"/>
      </w:r>
      <w:r w:rsidR="008B7B48" w:rsidRPr="008B7B48">
        <w:rPr>
          <w:rFonts w:eastAsiaTheme="minorEastAsia"/>
          <w:kern w:val="0"/>
          <w:szCs w:val="24"/>
          <w:vertAlign w:val="superscript"/>
          <w14:ligatures w14:val="none"/>
        </w:rPr>
        <w:t>39,80</w:t>
      </w:r>
      <w:r w:rsidR="00044FF4" w:rsidRPr="00D56A55">
        <w:fldChar w:fldCharType="end"/>
      </w:r>
      <w:r w:rsidR="00044FF4" w:rsidRPr="00D56A55">
        <w:t xml:space="preserve"> Our results </w:t>
      </w:r>
      <w:r w:rsidR="003E02D5" w:rsidRPr="00D56A55">
        <w:rPr>
          <w:rFonts w:hint="eastAsia"/>
        </w:rPr>
        <w:t>suggest</w:t>
      </w:r>
      <w:r w:rsidR="003E02D5" w:rsidRPr="00D56A55">
        <w:t xml:space="preserve"> </w:t>
      </w:r>
      <w:r w:rsidR="00044FF4" w:rsidRPr="00D56A55">
        <w:t>that</w:t>
      </w:r>
      <w:r w:rsidR="003E02D5" w:rsidRPr="00D56A55">
        <w:rPr>
          <w:rFonts w:hint="eastAsia"/>
        </w:rPr>
        <w:t xml:space="preserve"> the</w:t>
      </w:r>
      <w:r w:rsidR="00044FF4" w:rsidRPr="00D56A55">
        <w:t xml:space="preserve"> </w:t>
      </w:r>
      <w:r w:rsidR="00FC063E" w:rsidRPr="00D56A55">
        <w:t>bio</w:t>
      </w:r>
      <w:r w:rsidR="00044FF4" w:rsidRPr="00D56A55">
        <w:t xml:space="preserve">diversity loss </w:t>
      </w:r>
      <w:r w:rsidR="00FC063E" w:rsidRPr="00D56A55">
        <w:t xml:space="preserve">embodied in </w:t>
      </w:r>
      <w:r w:rsidR="00FC75D7" w:rsidRPr="00D56A55">
        <w:t>renewable energy</w:t>
      </w:r>
      <w:r w:rsidR="008201DF" w:rsidRPr="00D56A55">
        <w:t xml:space="preserve"> trade</w:t>
      </w:r>
      <w:r w:rsidR="00044FF4" w:rsidRPr="00D56A55">
        <w:t xml:space="preserve"> </w:t>
      </w:r>
      <w:r w:rsidR="003E02D5" w:rsidRPr="00D56A55">
        <w:rPr>
          <w:rFonts w:hint="eastAsia"/>
        </w:rPr>
        <w:t xml:space="preserve">has </w:t>
      </w:r>
      <w:r w:rsidR="00A52E3D" w:rsidRPr="00D56A55">
        <w:t>primarily</w:t>
      </w:r>
      <w:r w:rsidR="00044FF4" w:rsidRPr="00D56A55">
        <w:t xml:space="preserve"> flow</w:t>
      </w:r>
      <w:r w:rsidR="00A52E3D" w:rsidRPr="00D56A55">
        <w:t>ed</w:t>
      </w:r>
      <w:r w:rsidR="00044FF4" w:rsidRPr="00D56A55">
        <w:t xml:space="preserve"> from developing </w:t>
      </w:r>
      <w:r w:rsidR="00713765" w:rsidRPr="00D56A55">
        <w:t xml:space="preserve">countries </w:t>
      </w:r>
      <w:r w:rsidR="00044FF4" w:rsidRPr="00D56A55">
        <w:t xml:space="preserve">to developed </w:t>
      </w:r>
      <w:r w:rsidR="00A52E3D" w:rsidRPr="00D56A55">
        <w:t>ones</w:t>
      </w:r>
      <w:r w:rsidR="00044FF4" w:rsidRPr="00D56A55">
        <w:t xml:space="preserve">. </w:t>
      </w:r>
      <w:r w:rsidR="00442A27">
        <w:rPr>
          <w:rFonts w:hint="eastAsia"/>
        </w:rPr>
        <w:t>This phenomenon</w:t>
      </w:r>
      <w:r w:rsidR="008678C5" w:rsidRPr="00517623">
        <w:t xml:space="preserve"> </w:t>
      </w:r>
      <w:r w:rsidR="00442A27">
        <w:rPr>
          <w:rFonts w:hint="eastAsia"/>
        </w:rPr>
        <w:t>was also found in</w:t>
      </w:r>
      <w:r w:rsidR="008678C5" w:rsidRPr="00517623">
        <w:t xml:space="preserve"> traditional energy systems</w:t>
      </w:r>
      <w:r w:rsidR="008678C5">
        <w:t xml:space="preserve"> (</w:t>
      </w:r>
      <w:r w:rsidR="008678C5" w:rsidRPr="00784CD2">
        <w:rPr>
          <w:rFonts w:hint="eastAsia"/>
          <w:szCs w:val="32"/>
        </w:rPr>
        <w:t xml:space="preserve">see </w:t>
      </w:r>
      <w:r w:rsidR="003E5B13">
        <w:rPr>
          <w:rFonts w:hint="eastAsia"/>
          <w:szCs w:val="32"/>
        </w:rPr>
        <w:t>Supplementary Information</w:t>
      </w:r>
      <w:r w:rsidR="008678C5" w:rsidRPr="008678C5">
        <w:rPr>
          <w:rFonts w:hint="eastAsia"/>
        </w:rPr>
        <w:t>-</w:t>
      </w:r>
      <w:r w:rsidR="008678C5" w:rsidRPr="008678C5">
        <w:t>1</w:t>
      </w:r>
      <w:r w:rsidR="007D1C84">
        <w:rPr>
          <w:rFonts w:hint="eastAsia"/>
        </w:rPr>
        <w:t>5</w:t>
      </w:r>
      <w:r w:rsidR="008678C5">
        <w:t>)</w:t>
      </w:r>
      <w:r w:rsidR="008678C5" w:rsidRPr="00517623">
        <w:t>.</w:t>
      </w:r>
      <w:r w:rsidR="008678C5">
        <w:t xml:space="preserve"> </w:t>
      </w:r>
      <w:r w:rsidR="004F6357" w:rsidRPr="004F6357">
        <w:t xml:space="preserve">Additionally, the direct land occupation of renewable energy infrastructure is the primary source of its impact on biodiversity, accounting for </w:t>
      </w:r>
      <m:oMath>
        <m:r>
          <m:rPr>
            <m:sty m:val="p"/>
          </m:rPr>
          <w:rPr>
            <w:rFonts w:ascii="Cambria Math" w:hAnsi="Cambria Math"/>
          </w:rPr>
          <m:t>19×1</m:t>
        </m:r>
        <m:sSup>
          <m:sSupPr>
            <m:ctrlPr>
              <w:rPr>
                <w:rFonts w:ascii="Cambria Math" w:hAnsi="Cambria Math"/>
              </w:rPr>
            </m:ctrlPr>
          </m:sSupPr>
          <m:e>
            <m:r>
              <m:rPr>
                <m:sty m:val="p"/>
              </m:rPr>
              <w:rPr>
                <w:rFonts w:ascii="Cambria Math" w:hAnsi="Cambria Math"/>
              </w:rPr>
              <m:t>0</m:t>
            </m:r>
          </m:e>
          <m:sup>
            <m:r>
              <m:rPr>
                <m:sty m:val="p"/>
              </m:rPr>
              <w:rPr>
                <w:rFonts w:ascii="Cambria Math" w:hAnsi="Cambria Math"/>
              </w:rPr>
              <m:t>-4</m:t>
            </m:r>
          </m:sup>
        </m:sSup>
      </m:oMath>
      <w:r w:rsidR="004F6357" w:rsidRPr="004F6357">
        <w:t xml:space="preserve"> global pdf, whereas only </w:t>
      </w:r>
      <m:oMath>
        <m:r>
          <m:rPr>
            <m:sty m:val="p"/>
          </m:rPr>
          <w:rPr>
            <w:rFonts w:ascii="Cambria Math" w:hAnsi="Cambria Math"/>
          </w:rPr>
          <m:t>3.6×1</m:t>
        </m:r>
        <m:sSup>
          <m:sSupPr>
            <m:ctrlPr>
              <w:rPr>
                <w:rFonts w:ascii="Cambria Math" w:hAnsi="Cambria Math"/>
              </w:rPr>
            </m:ctrlPr>
          </m:sSupPr>
          <m:e>
            <m:r>
              <m:rPr>
                <m:sty m:val="p"/>
              </m:rPr>
              <w:rPr>
                <w:rFonts w:ascii="Cambria Math" w:hAnsi="Cambria Math"/>
              </w:rPr>
              <m:t>0</m:t>
            </m:r>
          </m:e>
          <m:sup>
            <m:r>
              <m:rPr>
                <m:sty m:val="p"/>
              </m:rPr>
              <w:rPr>
                <w:rFonts w:ascii="Cambria Math" w:hAnsi="Cambria Math"/>
              </w:rPr>
              <m:t>-7</m:t>
            </m:r>
          </m:sup>
        </m:sSup>
      </m:oMath>
      <w:r w:rsidR="004F6357" w:rsidRPr="004F6357">
        <w:t xml:space="preserve"> </w:t>
      </w:r>
      <w:r w:rsidR="004F6357" w:rsidRPr="004F6357">
        <w:rPr>
          <w:rFonts w:hint="eastAsia"/>
        </w:rPr>
        <w:t>global pdf</w:t>
      </w:r>
      <w:r w:rsidR="004F6357" w:rsidRPr="004F6357">
        <w:t xml:space="preserve"> of mining-related biodiversity loss is driven by the direct demand of renewable energy (</w:t>
      </w:r>
      <w:r w:rsidR="004F6357" w:rsidRPr="004F6357">
        <w:rPr>
          <w:rFonts w:hint="eastAsia"/>
        </w:rPr>
        <w:t>see Supplementary Information-</w:t>
      </w:r>
      <w:r w:rsidR="004F6357" w:rsidRPr="004F6357">
        <w:t>1</w:t>
      </w:r>
      <w:r w:rsidR="004F6357" w:rsidRPr="004F6357">
        <w:rPr>
          <w:rFonts w:hint="eastAsia"/>
        </w:rPr>
        <w:t>8 for</w:t>
      </w:r>
      <w:r w:rsidR="004F6357" w:rsidRPr="004F6357">
        <w:t xml:space="preserve"> detailed </w:t>
      </w:r>
      <w:r w:rsidR="004F6357" w:rsidRPr="004F6357">
        <w:rPr>
          <w:rFonts w:hint="eastAsia"/>
        </w:rPr>
        <w:t>comparison</w:t>
      </w:r>
      <w:r w:rsidR="004F6357" w:rsidRPr="004F6357">
        <w:t>).</w:t>
      </w:r>
      <w:r w:rsidR="004F6357">
        <w:rPr>
          <w:rFonts w:hint="eastAsia"/>
        </w:rPr>
        <w:t xml:space="preserve"> </w:t>
      </w:r>
      <w:r w:rsidR="008B2F12">
        <w:t>Hence, d</w:t>
      </w:r>
      <w:r w:rsidR="00B15E78" w:rsidRPr="00D56A55">
        <w:t xml:space="preserve">eveloped </w:t>
      </w:r>
      <w:r w:rsidR="00713765" w:rsidRPr="00D56A55">
        <w:t>countries and regions</w:t>
      </w:r>
      <w:r w:rsidR="00B15E78" w:rsidRPr="00D56A55">
        <w:t xml:space="preserve"> </w:t>
      </w:r>
      <w:r w:rsidR="00A52E3D" w:rsidRPr="00D56A55">
        <w:t>should take a</w:t>
      </w:r>
      <w:r w:rsidR="00B15E78" w:rsidRPr="00D56A55">
        <w:t xml:space="preserve"> more </w:t>
      </w:r>
      <w:r w:rsidR="00FC063E" w:rsidRPr="00D56A55">
        <w:t>proactive</w:t>
      </w:r>
      <w:r w:rsidR="00B15E78" w:rsidRPr="00D56A55">
        <w:t xml:space="preserve"> </w:t>
      </w:r>
      <w:r w:rsidR="00A52E3D" w:rsidRPr="00D56A55">
        <w:t>approach to</w:t>
      </w:r>
      <w:r w:rsidR="00B15E78" w:rsidRPr="00D56A55">
        <w:t xml:space="preserve"> minimiz</w:t>
      </w:r>
      <w:r w:rsidR="00A52E3D" w:rsidRPr="00D56A55">
        <w:t>ing</w:t>
      </w:r>
      <w:r w:rsidR="00B15E78" w:rsidRPr="00D56A55">
        <w:t xml:space="preserve"> their impa</w:t>
      </w:r>
      <w:r w:rsidR="00FC063E" w:rsidRPr="00D56A55">
        <w:t>c</w:t>
      </w:r>
      <w:r w:rsidR="00B15E78" w:rsidRPr="00D56A55">
        <w:t>t</w:t>
      </w:r>
      <w:r w:rsidR="00FC063E" w:rsidRPr="00D56A55">
        <w:t>s</w:t>
      </w:r>
      <w:r w:rsidR="00B15E78" w:rsidRPr="00D56A55">
        <w:t xml:space="preserve"> by improving energy </w:t>
      </w:r>
      <w:r w:rsidR="001E2527" w:rsidRPr="00D56A55">
        <w:rPr>
          <w:rFonts w:hint="eastAsia"/>
        </w:rPr>
        <w:t>use</w:t>
      </w:r>
      <w:r w:rsidR="001E2527" w:rsidRPr="00D56A55">
        <w:t xml:space="preserve"> </w:t>
      </w:r>
      <w:r w:rsidR="00B15E78" w:rsidRPr="00D56A55">
        <w:t xml:space="preserve">efficiency and responsible </w:t>
      </w:r>
      <w:r w:rsidR="003E02D5" w:rsidRPr="00D56A55">
        <w:t>consum</w:t>
      </w:r>
      <w:r w:rsidR="003E02D5" w:rsidRPr="00D56A55">
        <w:rPr>
          <w:rFonts w:hint="eastAsia"/>
        </w:rPr>
        <w:t>ption</w:t>
      </w:r>
      <w:r w:rsidR="00B15E78" w:rsidRPr="00D56A55">
        <w:t xml:space="preserve">. </w:t>
      </w:r>
      <w:r w:rsidR="002466F2" w:rsidRPr="00D56A55">
        <w:t>T</w:t>
      </w:r>
      <w:r w:rsidR="00B15E78" w:rsidRPr="00D56A55">
        <w:t>hey</w:t>
      </w:r>
      <w:r w:rsidR="00044FF4" w:rsidRPr="00D56A55">
        <w:t xml:space="preserve"> should </w:t>
      </w:r>
      <w:r w:rsidR="00A52E3D" w:rsidRPr="00D56A55">
        <w:t xml:space="preserve">also </w:t>
      </w:r>
      <w:r w:rsidR="00044FF4" w:rsidRPr="00D56A55">
        <w:t xml:space="preserve">support </w:t>
      </w:r>
      <w:r w:rsidR="00713765" w:rsidRPr="00D56A55">
        <w:t>countries and regions</w:t>
      </w:r>
      <w:r w:rsidR="00A52E3D" w:rsidRPr="00D56A55">
        <w:t xml:space="preserve"> </w:t>
      </w:r>
      <w:r w:rsidR="00FC063E" w:rsidRPr="00D56A55">
        <w:t xml:space="preserve">rich </w:t>
      </w:r>
      <w:r w:rsidR="003E02D5" w:rsidRPr="00D56A55">
        <w:rPr>
          <w:rFonts w:hint="eastAsia"/>
        </w:rPr>
        <w:t xml:space="preserve">in </w:t>
      </w:r>
      <w:r w:rsidR="00FC063E" w:rsidRPr="00D56A55">
        <w:t>biodiversity</w:t>
      </w:r>
      <w:r w:rsidR="00044FF4" w:rsidRPr="00D56A55">
        <w:t>, such as Brazi</w:t>
      </w:r>
      <w:r w:rsidR="002466F2" w:rsidRPr="00D56A55">
        <w:t>l</w:t>
      </w:r>
      <w:r w:rsidR="009B3A9E" w:rsidRPr="00D56A55">
        <w:t xml:space="preserve">, </w:t>
      </w:r>
      <w:r w:rsidR="00B17421" w:rsidRPr="00D56A55">
        <w:t>Guadeloupe,</w:t>
      </w:r>
      <w:r w:rsidR="002466F2" w:rsidRPr="00D56A55">
        <w:t xml:space="preserve"> and </w:t>
      </w:r>
      <w:r w:rsidR="009B3A9E" w:rsidRPr="00D56A55">
        <w:t xml:space="preserve">the </w:t>
      </w:r>
      <w:r w:rsidR="003E02D5" w:rsidRPr="00D56A55">
        <w:rPr>
          <w:rFonts w:hint="eastAsia"/>
        </w:rPr>
        <w:t>R</w:t>
      </w:r>
      <w:r w:rsidR="009B3A9E" w:rsidRPr="00D56A55">
        <w:t>est of America</w:t>
      </w:r>
      <w:r w:rsidR="00044FF4" w:rsidRPr="00D56A55">
        <w:t xml:space="preserve">, </w:t>
      </w:r>
      <w:r w:rsidR="003E02D5" w:rsidRPr="00D56A55">
        <w:rPr>
          <w:rFonts w:hint="eastAsia"/>
        </w:rPr>
        <w:t>to</w:t>
      </w:r>
      <w:r w:rsidR="003E02D5" w:rsidRPr="00D56A55">
        <w:t xml:space="preserve"> </w:t>
      </w:r>
      <w:r w:rsidR="00044FF4" w:rsidRPr="00D56A55">
        <w:t>tak</w:t>
      </w:r>
      <w:r w:rsidR="003E02D5" w:rsidRPr="00D56A55">
        <w:rPr>
          <w:rFonts w:hint="eastAsia"/>
        </w:rPr>
        <w:t>e</w:t>
      </w:r>
      <w:r w:rsidR="00044FF4" w:rsidRPr="00D56A55">
        <w:t xml:space="preserve"> effective measures to mitigate their impacts through </w:t>
      </w:r>
      <w:r w:rsidR="00A52E3D" w:rsidRPr="00D56A55">
        <w:t xml:space="preserve">the transfer of </w:t>
      </w:r>
      <w:r w:rsidR="00FC75D7" w:rsidRPr="00D56A55">
        <w:t>renewable energy</w:t>
      </w:r>
      <w:r w:rsidR="00044FF4" w:rsidRPr="00D56A55">
        <w:t xml:space="preserve"> technology</w:t>
      </w:r>
      <w:r w:rsidR="00B15E78" w:rsidRPr="00D56A55">
        <w:t xml:space="preserve">, investment </w:t>
      </w:r>
      <w:r w:rsidR="00044FF4" w:rsidRPr="00D56A55">
        <w:t xml:space="preserve">and management </w:t>
      </w:r>
      <w:r w:rsidR="00A52E3D" w:rsidRPr="00D56A55">
        <w:t>skills</w:t>
      </w:r>
      <w:r w:rsidR="00452F0A" w:rsidRPr="00D56A55">
        <w:t>.</w:t>
      </w:r>
      <w:r w:rsidR="00044FF4" w:rsidRPr="00D56A55">
        <w:rPr>
          <w:noProof/>
          <w:szCs w:val="32"/>
          <w:vertAlign w:val="superscript"/>
        </w:rPr>
        <w:fldChar w:fldCharType="begin"/>
      </w:r>
      <w:r w:rsidR="00A43A89">
        <w:rPr>
          <w:noProof/>
          <w:szCs w:val="32"/>
          <w:vertAlign w:val="superscript"/>
        </w:rPr>
        <w:instrText xml:space="preserve"> ADDIN ZOTERO_ITEM CSL_CITATION {"citationID":"NXN4M3NE","properties":{"formattedCitation":"(Shahbaz et al., 2022)","plainCitation":"(Shahbaz et al., 2022)","dontUpdate":true,"noteIndex":0},"citationItems":[{"id":3862,"uris":["http://zotero.org/users/9110477/items/NUXEY7A6"],"itemData":{"id":3862,"type":"article-journal","abstract":"This paper contributes to literature by divulging the nature of scale and technique effects on renewable energy consumption, considering foreign direct investment (FDI) and financial development as considerable factors of renewable energy demand. The data for 39 countries over the period of 2000-2019 is used for empirical analysis. In doing so, second generation methodological approaches are applied to decompose scale and technique effects. The empirical results show the presence of cointegration between the model parameters, in the presence of cross-sectional dependence and structural breaks. Further, financial development is positively linked with renewable energy consumption. Foreign direct investment and renewable energy demand are positively linked. Composition effect has negative effect on renewable energy consumption. Economic growth and fossil fuel consumption have positive impact on renewable energy consumption. Long run estimation results indicate that renewable energy-FDI and renewable energy-financial development associations are U-shaped. It indicates that the scale effects exerted by FDI and financial development are overridden by technique and composition effects, and hence, the demand for renewable energy and consequential renewable energy consumption rises with the progression of economic growth. Based on this, policy suggestions are provided for these nations to ascertain sustainable development through bringing forth transformations in the energy policies.","call-number":"1","container-title":"Energy","DOI":"10.1016/j.energy.2021.121758","ISSN":"03605442","journalAbbreviation":"Energy","language":"en","page":"121758","source":"9","title":"Decomposing scale and technique effects of financial development and foreign direct investment on renewable energy consumption","volume":"238","author":[{"family":"Shahbaz","given":"Muhammad"},{"family":"Sinha","given":"Avik"},{"family":"Raghutla","given":"Chandrashekar"},{"family":"Vo","given":"Xuan Vinh"}],"issued":{"date-parts":[["2022",1]]}}}],"schema":"https://github.com/citation-style-language/schema/raw/master/csl-citation.json"} </w:instrText>
      </w:r>
      <w:r w:rsidR="00044FF4" w:rsidRPr="00D56A55">
        <w:rPr>
          <w:noProof/>
          <w:szCs w:val="32"/>
          <w:vertAlign w:val="superscript"/>
        </w:rPr>
        <w:fldChar w:fldCharType="separate"/>
      </w:r>
      <w:r w:rsidR="00B17421" w:rsidRPr="00D56A55">
        <w:rPr>
          <w:noProof/>
          <w:szCs w:val="32"/>
          <w:vertAlign w:val="superscript"/>
        </w:rPr>
        <w:t>67,</w:t>
      </w:r>
      <w:r w:rsidR="00044FF4" w:rsidRPr="00D56A55">
        <w:rPr>
          <w:noProof/>
          <w:szCs w:val="32"/>
          <w:vertAlign w:val="superscript"/>
        </w:rPr>
        <w:fldChar w:fldCharType="end"/>
      </w:r>
      <w:r w:rsidR="00044FF4" w:rsidRPr="00D56A55">
        <w:rPr>
          <w:vertAlign w:val="superscript"/>
        </w:rPr>
        <w:t xml:space="preserve"> </w:t>
      </w:r>
      <w:r w:rsidR="00044FF4" w:rsidRPr="00D56A55">
        <w:rPr>
          <w:noProof/>
          <w:szCs w:val="32"/>
          <w:vertAlign w:val="superscript"/>
        </w:rPr>
        <w:fldChar w:fldCharType="begin"/>
      </w:r>
      <w:r w:rsidR="00A43A89">
        <w:rPr>
          <w:noProof/>
          <w:szCs w:val="32"/>
          <w:vertAlign w:val="superscript"/>
        </w:rPr>
        <w:instrText xml:space="preserve"> ADDIN ZOTERO_ITEM CSL_CITATION {"citationID":"yWbnfn8U","properties":{"formattedCitation":"(Bogdanov et al., 2019)","plainCitation":"(Bogdanov et al., 2019)","dontUpdate":true,"noteIndex":0},"citationItems":[{"id":574,"uris":["http://zotero.org/users/9110477/items/PE56N644"],"itemData":{"id":574,"type":"article-journal","abstract":"Abstract\n            A transition towards long-term sustainability in global energy systems based on renewable energy resources can mitigate several growing threats to human society simultaneously: greenhouse gas emissions, human-induced climate deviations, and the exceeding of critical planetary boundaries. However, the optimal structure of future systems and potential transition pathways are still open questions. This research describes a global, 100% renewable electricity system, which can be achieved by 2050, and the steps required to enable a realistic transition that prevents societal disruption. Modelling results show that a carbon neutral electricity system can be built in all regions of the world in an economically feasible manner. This radical transformation will require steady but evolutionary changes for the next 35 years, and will lead to sustainable and affordable power supply globally.","call-number":"1","container-title":"Nature Communications","DOI":"10.1038/s41467-019-08855-1","ISSN":"2041-1723","issue":"1","journalAbbreviation":"Nat Commun","language":"en","note":"TLDR: A LUT Energy System Transition Model is utilized to indicate that a carbon neutral electricity system can be built in all global regions in an economically feasible way but requires evolutionary changes for the following 35 years.","page":"1077","source":"16.6","title":"Radical transformation pathway towards sustainable electricity via evolutionary steps","volume":"10","author":[{"family":"Bogdanov","given":"Dmitrii"},{"family":"Farfan","given":"Javier"},{"family":"Sadovskaia","given":"Kristina"},{"family":"Aghahosseini","given":"Arman"},{"family":"Child","given":"Michael"},{"family":"Gulagi","given":"Ashish"},{"family":"Oyewo","given":"Ayobami Solomon"},{"family":"De Souza Noel Simas Barbosa","given":"Larissa"},{"family":"Breyer","given":"Christian"}],"issued":{"date-parts":[["2019",3,6]]}}}],"schema":"https://github.com/citation-style-language/schema/raw/master/csl-citation.json"} </w:instrText>
      </w:r>
      <w:r w:rsidR="00044FF4" w:rsidRPr="00D56A55">
        <w:rPr>
          <w:noProof/>
          <w:szCs w:val="32"/>
          <w:vertAlign w:val="superscript"/>
        </w:rPr>
        <w:fldChar w:fldCharType="separate"/>
      </w:r>
      <w:r w:rsidR="00B17421" w:rsidRPr="00D56A55">
        <w:rPr>
          <w:noProof/>
          <w:szCs w:val="32"/>
          <w:vertAlign w:val="superscript"/>
        </w:rPr>
        <w:t>68</w:t>
      </w:r>
      <w:r w:rsidR="00044FF4" w:rsidRPr="00D56A55">
        <w:rPr>
          <w:noProof/>
          <w:szCs w:val="32"/>
          <w:vertAlign w:val="superscript"/>
        </w:rPr>
        <w:fldChar w:fldCharType="end"/>
      </w:r>
      <w:r w:rsidR="00B15E78" w:rsidRPr="00D56A55">
        <w:t xml:space="preserve"> </w:t>
      </w:r>
      <w:r w:rsidR="00713765" w:rsidRPr="00D56A55">
        <w:t>Countries and regions</w:t>
      </w:r>
      <w:r w:rsidR="00434E73" w:rsidRPr="00D56A55">
        <w:t xml:space="preserve"> with lower </w:t>
      </w:r>
      <w:r w:rsidR="003E02D5" w:rsidRPr="00D56A55">
        <w:rPr>
          <w:rFonts w:hint="eastAsia"/>
        </w:rPr>
        <w:t>biodiversity</w:t>
      </w:r>
      <w:r w:rsidR="00434E73" w:rsidRPr="00D56A55">
        <w:t xml:space="preserve"> but higher </w:t>
      </w:r>
      <w:r w:rsidR="00FC75D7" w:rsidRPr="00D56A55">
        <w:t>renewable energy</w:t>
      </w:r>
      <w:r w:rsidR="003E02D5" w:rsidRPr="00D56A55">
        <w:t xml:space="preserve"> potential</w:t>
      </w:r>
      <w:r w:rsidR="00434E73" w:rsidRPr="00D56A55">
        <w:t xml:space="preserve">, such as </w:t>
      </w:r>
      <w:r w:rsidR="00A52E3D" w:rsidRPr="00D56A55">
        <w:t xml:space="preserve">the </w:t>
      </w:r>
      <w:r w:rsidR="00434E73" w:rsidRPr="00D56A55">
        <w:t xml:space="preserve">Middle East and </w:t>
      </w:r>
      <w:r w:rsidR="005B242C" w:rsidRPr="00D56A55">
        <w:t>North</w:t>
      </w:r>
      <w:r w:rsidR="00434E73" w:rsidRPr="00D56A55">
        <w:t xml:space="preserve"> Africa, could become </w:t>
      </w:r>
      <w:r w:rsidR="005B242C" w:rsidRPr="00D56A55">
        <w:t>maj</w:t>
      </w:r>
      <w:r w:rsidR="00A52E3D" w:rsidRPr="00D56A55">
        <w:t>o</w:t>
      </w:r>
      <w:r w:rsidR="005B242C" w:rsidRPr="00D56A55">
        <w:t>r</w:t>
      </w:r>
      <w:r w:rsidR="00434E73" w:rsidRPr="00D56A55">
        <w:t xml:space="preserve"> </w:t>
      </w:r>
      <w:r w:rsidR="003E02D5" w:rsidRPr="00D56A55">
        <w:rPr>
          <w:rFonts w:hint="eastAsia"/>
        </w:rPr>
        <w:t>producers</w:t>
      </w:r>
      <w:r w:rsidR="003E02D5" w:rsidRPr="00D56A55">
        <w:t xml:space="preserve"> </w:t>
      </w:r>
      <w:r w:rsidR="00FC063E" w:rsidRPr="00D56A55">
        <w:t xml:space="preserve">and </w:t>
      </w:r>
      <w:r w:rsidR="00434E73" w:rsidRPr="00D56A55">
        <w:t>exporters of renewable energy</w:t>
      </w:r>
      <w:r w:rsidR="00452F0A" w:rsidRPr="00D56A55">
        <w:t>.</w:t>
      </w:r>
      <w:r w:rsidR="00434E73" w:rsidRPr="00D56A55">
        <w:rPr>
          <w:szCs w:val="32"/>
        </w:rPr>
        <w:fldChar w:fldCharType="begin"/>
      </w:r>
      <w:r w:rsidR="00A43A89">
        <w:rPr>
          <w:szCs w:val="32"/>
        </w:rPr>
        <w:instrText xml:space="preserve"> ADDIN ZOTERO_ITEM CSL_CITATION {"citationID":"sczogGHO","properties":{"formattedCitation":"\\super 63,83\\nosupersub{}","plainCitation":"63,83","noteIndex":0},"citationItems":[{"id":658,"uris":["http://zotero.org/users/9110477/items/TMF89E93"],"itemData":{"id":658,"type":"article-journal","call-number":"2","container-title":"Scientific Data","DOI":"10.1038/s41597-019-0084-8","ISSN":"2052-4463","issue":"1","journalAbbreviation":"Sci Data","language":"en","note":"TLDR: 1-km spatially-explicit global land suitability maps are generated, referred to as “development potential indices” (DPIs), for 13 sectors related to renewable energy, fossil fuels, mining, and agriculture to illustrate how these DPIs can be used to elucidate potential individual sector expansion and cumulative development patterns.","page":"101","source":"9.8","title":"Mapping global development potential for renewable energy, fossil fuels, mining and agriculture sectors","volume":"6","author":[{"family":"Oakleaf","given":"James R."},{"family":"Kennedy","given":"Christina M."},{"family":"Baruch-Mordo","given":"Sharon"},{"family":"Gerber","given":"James S."},{"family":"West","given":"Paul C."},{"family":"Johnson","given":"Justin A."},{"family":"Kiesecker","given":"Joseph"}],"issued":{"date-parts":[["2019",12]]}},"label":"page"},{"id":3865,"uris":["http://zotero.org/users/9110477/items/9VHYMLXE"],"itemData":{"id":3865,"type":"article-journal","abstract":"The transition to low-carbon electricity is crucial for meeting global climate goals. However, given the uneven spatial distribution and temporal variability of renewable resources, balancing the supply and demand of electricity will be challenging when relying on close to 100% shares of renewable energy. Here, we use an electricity planning model with hourly supply-demand projections and high-resolution renewable resource maps, to examine whether transcontinental power pools reliably meet the growing global demand for renewable electricity and reduce the system cost. If all suitable sites for renewable energy are available for development, transcontinental trade in electricity reduces the annual system cost of electricity in 2050 by 5–52% across six transcontinental power pools compared to no electricity trade. Under land constraints, if only the global top 10% of suitable renewable energy sites are available, then without international trade, renewables are unable to meet 12% of global demand in 2050. Introducing transcontinental power pools with the same land constraints, however, enables renewables to meet 100% of future electricity demand, while also reducing costs by up to 23% across power pools. Our results highlight the benefits of expanding regional transmission networks in highly decarbonized but land-constrained future electricity systems.","call-number":"1","container-title":"Nature Communications","DOI":"10.1038/s41467-023-43723-z","ISSN":"2041-1723","issue":"1","journalAbbreviation":"Nat Commun","language":"en","license":"2023 The Author(s)","note":"number: 1\npublisher: Nature Publishing Group","page":"8350","source":"16.6","title":"Global transcontinental power pools for low-carbon electricity","volume":"14","author":[{"family":"Yang","given":"Haozhe"},{"family":"Deshmukh","given":"Ranjit"},{"family":"Suh","given":"Sangwon"}],"issued":{"date-parts":[["2023",12,15]]}},"label":"page"}],"schema":"https://github.com/citation-style-language/schema/raw/master/csl-citation.json"} </w:instrText>
      </w:r>
      <w:r w:rsidR="00434E73" w:rsidRPr="00D56A55">
        <w:rPr>
          <w:szCs w:val="32"/>
        </w:rPr>
        <w:fldChar w:fldCharType="separate"/>
      </w:r>
      <w:r w:rsidR="008B7B48" w:rsidRPr="008B7B48">
        <w:rPr>
          <w:rFonts w:eastAsiaTheme="minorEastAsia"/>
          <w:kern w:val="0"/>
          <w:szCs w:val="24"/>
          <w:vertAlign w:val="superscript"/>
          <w14:ligatures w14:val="none"/>
        </w:rPr>
        <w:t>63,83</w:t>
      </w:r>
      <w:r w:rsidR="00434E73" w:rsidRPr="00D56A55">
        <w:rPr>
          <w:szCs w:val="32"/>
        </w:rPr>
        <w:fldChar w:fldCharType="end"/>
      </w:r>
      <w:r w:rsidR="00434E73" w:rsidRPr="00D56A55">
        <w:t xml:space="preserve"> This could also </w:t>
      </w:r>
      <w:r w:rsidR="005B242C" w:rsidRPr="00D56A55">
        <w:t>accelerate</w:t>
      </w:r>
      <w:r w:rsidR="00434E73" w:rsidRPr="00D56A55">
        <w:t xml:space="preserve"> the transition to </w:t>
      </w:r>
      <w:r w:rsidR="005B242C" w:rsidRPr="00D56A55">
        <w:t>low-carbon</w:t>
      </w:r>
      <w:r w:rsidR="00434E73" w:rsidRPr="00D56A55">
        <w:t xml:space="preserve"> energy consumption for these oil-rich </w:t>
      </w:r>
      <w:r w:rsidR="00713765" w:rsidRPr="00D56A55">
        <w:t>countries and regions</w:t>
      </w:r>
      <w:r w:rsidR="00434E73" w:rsidRPr="00D56A55">
        <w:t>.</w:t>
      </w:r>
      <w:bookmarkEnd w:id="33"/>
      <w:r w:rsidR="00434E73" w:rsidRPr="00D56A55" w:rsidDel="00B15E78">
        <w:t xml:space="preserve"> </w:t>
      </w:r>
    </w:p>
    <w:p w14:paraId="0D87CE23" w14:textId="3E600886" w:rsidR="00FE4227" w:rsidRDefault="00113A03" w:rsidP="004F6357">
      <w:pPr>
        <w:spacing w:line="360" w:lineRule="auto"/>
        <w:ind w:firstLine="420"/>
      </w:pPr>
      <w:r>
        <w:rPr>
          <w:rFonts w:hint="eastAsia"/>
        </w:rPr>
        <w:t>There</w:t>
      </w:r>
      <w:r>
        <w:t xml:space="preserve"> are</w:t>
      </w:r>
      <w:r w:rsidR="004A596A">
        <w:t xml:space="preserve"> certain limitation</w:t>
      </w:r>
      <w:r>
        <w:t>s</w:t>
      </w:r>
      <w:r w:rsidR="004A596A">
        <w:t xml:space="preserve"> existed</w:t>
      </w:r>
      <w:r>
        <w:t xml:space="preserve"> in our research</w:t>
      </w:r>
      <w:r w:rsidR="002F3D06">
        <w:rPr>
          <w:rFonts w:hint="eastAsia"/>
        </w:rPr>
        <w:t xml:space="preserve"> </w:t>
      </w:r>
      <w:r w:rsidR="002F3D06">
        <w:t>(</w:t>
      </w:r>
      <w:r w:rsidR="002F3D06" w:rsidRPr="00784CD2">
        <w:rPr>
          <w:rFonts w:hint="eastAsia"/>
          <w:szCs w:val="32"/>
        </w:rPr>
        <w:t xml:space="preserve">see </w:t>
      </w:r>
      <w:r w:rsidR="002F3D06">
        <w:rPr>
          <w:rFonts w:hint="eastAsia"/>
          <w:szCs w:val="32"/>
        </w:rPr>
        <w:t xml:space="preserve">Supplementary </w:t>
      </w:r>
      <w:r w:rsidR="002F3D06">
        <w:rPr>
          <w:rFonts w:hint="eastAsia"/>
          <w:szCs w:val="32"/>
        </w:rPr>
        <w:lastRenderedPageBreak/>
        <w:t>Information</w:t>
      </w:r>
      <w:r w:rsidR="002F3D06" w:rsidRPr="008678C5">
        <w:rPr>
          <w:rFonts w:hint="eastAsia"/>
        </w:rPr>
        <w:t>-</w:t>
      </w:r>
      <w:r w:rsidR="002F3D06" w:rsidRPr="008678C5">
        <w:t>1</w:t>
      </w:r>
      <w:r w:rsidR="002F3D06">
        <w:rPr>
          <w:rFonts w:hint="eastAsia"/>
        </w:rPr>
        <w:t>4</w:t>
      </w:r>
      <w:r w:rsidR="002F3D06">
        <w:t>)</w:t>
      </w:r>
      <w:r>
        <w:t xml:space="preserve">. </w:t>
      </w:r>
      <w:r w:rsidR="00FE4227" w:rsidRPr="00FE4227">
        <w:t>Two major limitations constrain our ability to achieve a more precise assessment.</w:t>
      </w:r>
      <w:r w:rsidR="00FE4227">
        <w:rPr>
          <w:rFonts w:hint="eastAsia"/>
        </w:rPr>
        <w:t xml:space="preserve"> </w:t>
      </w:r>
      <w:bookmarkStart w:id="34" w:name="_Hlk190092140"/>
      <w:r w:rsidR="00F973E2" w:rsidRPr="00F973E2">
        <w:rPr>
          <w:rFonts w:hint="eastAsia"/>
        </w:rPr>
        <w:t>First</w:t>
      </w:r>
      <w:r w:rsidR="00F973E2" w:rsidRPr="00F973E2">
        <w:t xml:space="preserve">, our assumption regarding the impact range of wind farms may fail to fully capture the complexity of real-world conditions. Variations in wind power technology, turbine blade size, and national regulations impose different requirements on the </w:t>
      </w:r>
      <w:r w:rsidR="00F973E2" w:rsidRPr="00F973E2">
        <w:rPr>
          <w:rFonts w:hint="eastAsia"/>
        </w:rPr>
        <w:t>land consolidation as well as land use changes for wind farm construction</w:t>
      </w:r>
      <w:r w:rsidR="00F973E2" w:rsidRPr="00F973E2">
        <w:t>. Moreover, wind farm operations can influence local climate, potentially causing subtle changes in surrounding land cover, which we have not accounted for.</w:t>
      </w:r>
      <w:r w:rsidR="00F973E2" w:rsidRPr="00F973E2">
        <w:rPr>
          <w:vertAlign w:val="superscript"/>
        </w:rPr>
        <w:fldChar w:fldCharType="begin"/>
      </w:r>
      <w:r w:rsidR="00A43A89">
        <w:rPr>
          <w:vertAlign w:val="superscript"/>
        </w:rPr>
        <w:instrText xml:space="preserve"> ADDIN ZOTERO_ITEM CSL_CITATION {"citationID":"hetmdzai","properties":{"formattedCitation":"\\super 24\\nosupersub{}","plainCitation":"24","noteIndex":0},"citationItems":[{"id":702,"uris":["http://zotero.org/users/9110477/items/WIV7SKIQ"],"itemData":{"id":702,"type":"article-journal","abstract":"Of all the renewable energy sources (RESs)―except direct solar heat and light―wind energy is believed to have the least adverse environmental impacts. It is also one of the RES which has become economically affordable much before several other RESs have. As a result, next to biomass (and excluding large hydro), wind energy is the RES being most extensively tapped by the world at present. Despite carrying the drawback of intermittency, wind energy has found favor due to its perceived twin virtues of relatively lesser production cost and environment-friendliness.","container-title":"Renewable and Sustainable Energy Reviews","DOI":"10.1016/j.rser.2013.11.019","ISSN":"13640321","journalAbbreviation":"Renewable and Sustainable Energy Reviews","language":"en","page":"270-288","title":"Wind energy: Increasing deployment, rising environmental concerns","title-short":"Wind energy","volume":"31","author":[{"literal":"Tabassum-Abbasi"},{"family":"Premalatha","given":"M."},{"family":"Abbasi","given":"Tasneem"},{"family":"Abbasi","given":"S.A."}],"issued":{"date-parts":[["2014",3]]}}}],"schema":"https://github.com/citation-style-language/schema/raw/master/csl-citation.json"} </w:instrText>
      </w:r>
      <w:r w:rsidR="00F973E2" w:rsidRPr="00F973E2">
        <w:rPr>
          <w:vertAlign w:val="superscript"/>
        </w:rPr>
        <w:fldChar w:fldCharType="separate"/>
      </w:r>
      <w:r w:rsidR="00A43A89" w:rsidRPr="00A43A89">
        <w:rPr>
          <w:kern w:val="0"/>
          <w:vertAlign w:val="superscript"/>
        </w:rPr>
        <w:t>24</w:t>
      </w:r>
      <w:r w:rsidR="00F973E2" w:rsidRPr="00F973E2">
        <w:fldChar w:fldCharType="end"/>
      </w:r>
      <w:r w:rsidR="00F973E2" w:rsidRPr="00F973E2">
        <w:rPr>
          <w:vertAlign w:val="superscript"/>
        </w:rPr>
        <w:t xml:space="preserve"> </w:t>
      </w:r>
      <w:r w:rsidR="00F973E2" w:rsidRPr="000B7482">
        <w:t>The 800</w:t>
      </w:r>
      <w:r w:rsidR="00F973E2" w:rsidRPr="00F973E2">
        <w:t xml:space="preserve"> </w:t>
      </w:r>
      <w:r w:rsidR="00F973E2" w:rsidRPr="000B7482">
        <w:t xml:space="preserve">m impact range is primarily based on the assumption proposed by </w:t>
      </w:r>
      <w:r w:rsidR="00F973E2" w:rsidRPr="00F973E2">
        <w:t>Dunnett et al.</w:t>
      </w:r>
      <w:r w:rsidR="00F973E2" w:rsidRPr="00F973E2">
        <w:fldChar w:fldCharType="begin"/>
      </w:r>
      <w:r w:rsidR="00A43A89">
        <w:instrText xml:space="preserve"> ADDIN ZOTERO_ITEM CSL_CITATION {"citationID":"a1v6uscdt9l","properties":{"formattedCitation":"\\super 84\\nosupersub{}","plainCitation":"84","noteIndex":0},"citationItems":[{"id":683,"uris":["http://zotero.org/users/9110477/items/XD4SBREK"],"itemData":{"id":683,"type":"article-journal","abstract":"Abstract\n            Energy systems need decarbonisation in order to limit global warming to within safe limits. While global land planners are promising more of the planet’s limited space to wind and solar photovoltaic, there is little information on where current infrastructure is located. The majority of recent studies use land suitability for wind and solar, coupled with technical and socioeconomic constraints, as a proxy for actual location data. Here, we address this shortcoming. Using readily accessible OpenStreetMap data we present, to our knowledge, the first global, open-access, harmonised spatial datasets of wind and solar installations. We also include user friendly code to enable users to easily create newer versions of the dataset. Finally, we include first order estimates of power capacities of installations. We anticipate these data will be of widespread interest within global studies of the future potential and trade-offs associated with the global decarbonisation of energy systems.","call-number":"2","container-title":"Scientific Data","DOI":"10.1038/s41597-020-0469-8","ISSN":"2052-4463","issue":"1","journalAbbreviation":"Sci Data","language":"en","page":"130","source":"9.8","title":"Harmonised global datasets of wind and solar farm locations and power","volume":"7","author":[{"family":"Dunnett","given":"Sebastian"},{"family":"Sorichetta","given":"Alessandro"},{"family":"Taylor","given":"Gail"},{"family":"Eigenbrod","given":"Felix"}],"issued":{"date-parts":[["2020",12]]}}}],"schema":"https://github.com/citation-style-language/schema/raw/master/csl-citation.json"} </w:instrText>
      </w:r>
      <w:r w:rsidR="00F973E2" w:rsidRPr="00F973E2">
        <w:fldChar w:fldCharType="separate"/>
      </w:r>
      <w:r w:rsidR="00A43A89" w:rsidRPr="00A43A89">
        <w:rPr>
          <w:kern w:val="0"/>
          <w:vertAlign w:val="superscript"/>
        </w:rPr>
        <w:t>84</w:t>
      </w:r>
      <w:r w:rsidR="00F973E2" w:rsidRPr="00F973E2">
        <w:fldChar w:fldCharType="end"/>
      </w:r>
      <w:r w:rsidR="00F973E2" w:rsidRPr="000B7482">
        <w:t>, which is an estimate derived from the maximization of wind farm energy production efficiency.</w:t>
      </w:r>
      <w:r w:rsidR="00F973E2" w:rsidRPr="00F973E2">
        <w:t xml:space="preserve"> This range is also the most adopted standard for wind farm construction in the United States and Germany. </w:t>
      </w:r>
      <w:bookmarkStart w:id="35" w:name="_Hlk189926723"/>
      <w:r w:rsidR="00F973E2" w:rsidRPr="00F973E2">
        <w:t xml:space="preserve">Therefore, </w:t>
      </w:r>
      <w:r w:rsidR="00F973E2" w:rsidRPr="00F973E2">
        <w:rPr>
          <w:rFonts w:hint="eastAsia"/>
        </w:rPr>
        <w:t>future study need</w:t>
      </w:r>
      <w:r w:rsidR="00CC7A93">
        <w:t>s</w:t>
      </w:r>
      <w:r w:rsidR="00F973E2" w:rsidRPr="00F973E2">
        <w:rPr>
          <w:rFonts w:hint="eastAsia"/>
        </w:rPr>
        <w:t xml:space="preserve"> to incorporate more refined data on local characteristics</w:t>
      </w:r>
      <w:r w:rsidR="00F973E2" w:rsidRPr="00F973E2">
        <w:t>.</w:t>
      </w:r>
      <w:r w:rsidR="004F6357">
        <w:rPr>
          <w:rFonts w:hint="eastAsia"/>
        </w:rPr>
        <w:t xml:space="preserve"> </w:t>
      </w:r>
      <w:r w:rsidR="004F6357" w:rsidRPr="004F6357">
        <w:t xml:space="preserve">Second, </w:t>
      </w:r>
      <w:r w:rsidR="004F6357" w:rsidRPr="004F6357">
        <w:rPr>
          <w:rFonts w:hint="eastAsia"/>
        </w:rPr>
        <w:t>w</w:t>
      </w:r>
      <w:r w:rsidR="004F6357" w:rsidRPr="004F6357">
        <w:t>e only considered the i</w:t>
      </w:r>
      <w:bookmarkStart w:id="36" w:name="_Hlk190092981"/>
      <w:r w:rsidR="004F6357" w:rsidRPr="004F6357">
        <w:t>mpact of cumulative land use on biodiversity, while the improved c-SAR model proposed by Scherer et al.</w:t>
      </w:r>
      <w:r w:rsidR="004F6357" w:rsidRPr="004F6357">
        <w:rPr>
          <w:vertAlign w:val="superscript"/>
        </w:rPr>
        <w:fldChar w:fldCharType="begin"/>
      </w:r>
      <w:r w:rsidR="00A43A89">
        <w:rPr>
          <w:vertAlign w:val="superscript"/>
        </w:rPr>
        <w:instrText xml:space="preserve"> ADDIN ZOTERO_ITEM CSL_CITATION {"citationID":"uldt7Lol","properties":{"formattedCitation":"\\super 85\\nosupersub{}","plainCitation":"85","noteIndex":0},"citationItems":[{"id":3805,"uris":["http://zotero.org/users/9110477/items/7PYQDTPK"],"itemData":{"id":3805,"type":"article-journal","abstract":"Land use is a major threat to terrestrial biodiversity. Life cycle assessment is a tool that can assess such threats and thereby support environmental decision-making. Within the Global Guidance for Life Cycle Impact Assessment (GLAM) project, the Life Cycle Initiative hosted by UN Environment aims to create a life cycle impact assessment method across multiple impact categories, including land use impacts on ecosystem quality represented by regional and global species richness. A working group of the GLAM project focused on such land use impacts and developed new characterization factors to combine the strengths of two separate recent advancements in the field: the consideration of land use intensities and land fragmentation. The data sets to parametrize the underlying model are also updated from previous models. The new characterization factors cover five species groups (plants, amphibians, birds, mammals, and reptiles) and five broad land use types (cropland, pasture, plantations, managed forests, and urban land) at three intensity levels (minimal, light, and intense). They are available at the level of terrestrial ecoregions and countries. This paper documents the development of the characterization factors, provides practical guidance for their use, and critically assesses the strengths and remaining shortcomings.","call-number":"1","container-title":"Environmental Science &amp; Technology","DOI":"10.1021/acs.est.3c04191","ISSN":"0013-936X, 1520-5851","journalAbbreviation":"Environ. Sci. Technol.","language":"en","page":"acs.est.3c04191","source":"11.4","title":"Biodiversity Impact Assessment Considering Land Use Intensities and Fragmentation","author":[{"family":"Scherer","given":"Laura"},{"family":"Rosa","given":"Francesca"},{"family":"Sun","given":"Zhongxiao"},{"family":"Michelsen","given":"Ottar"},{"family":"De Laurentiis","given":"Valeria"},{"family":"Marques","given":"Alexandra"},{"family":"Pfister","given":"Stephan"},{"family":"Verones","given":"Francesca"},{"family":"Kuipers","given":"Koen J. J."}],"issued":{"date-parts":[["2023",11,16]]}}}],"schema":"https://github.com/citation-style-language/schema/raw/master/csl-citation.json"} </w:instrText>
      </w:r>
      <w:r w:rsidR="004F6357" w:rsidRPr="004F6357">
        <w:rPr>
          <w:vertAlign w:val="superscript"/>
        </w:rPr>
        <w:fldChar w:fldCharType="separate"/>
      </w:r>
      <w:r w:rsidR="00A43A89" w:rsidRPr="00A43A89">
        <w:rPr>
          <w:kern w:val="0"/>
          <w:vertAlign w:val="superscript"/>
        </w:rPr>
        <w:t>85</w:t>
      </w:r>
      <w:r w:rsidR="004F6357" w:rsidRPr="004F6357">
        <w:fldChar w:fldCharType="end"/>
      </w:r>
      <w:r w:rsidR="004F6357" w:rsidRPr="004F6357">
        <w:t>, which takes land use intensities and fragmentation into account, could more accurately reflect the impact of human land use activities on biodiversity.</w:t>
      </w:r>
      <w:r w:rsidR="004F6357" w:rsidRPr="004F6357">
        <w:rPr>
          <w:rFonts w:hint="eastAsia"/>
        </w:rPr>
        <w:t xml:space="preserve"> </w:t>
      </w:r>
      <w:r w:rsidR="004F6357" w:rsidRPr="004F6357">
        <w:t>However, due to data collection limitations and alignment with the parameter settings of Dorber et al.</w:t>
      </w:r>
      <w:r w:rsidR="004F6357" w:rsidRPr="004F6357">
        <w:fldChar w:fldCharType="begin"/>
      </w:r>
      <w:r w:rsidR="00A43A89">
        <w:instrText xml:space="preserve"> ADDIN ZOTERO_ITEM CSL_CITATION {"citationID":"a26ai7cdn4","properties":{"formattedCitation":"\\super 55\\nosupersub{}","plainCitation":"55","noteIndex":0},"citationItems":[{"id":682,"uris":["http://zotero.org/users/9110477/items/29ALIEEK"],"itemData":{"id":682,"type":"article-journal","abstract":"Life Cycle Assessment (LCA) is a tool for analyzing and comparing environmental impacts of products throughout their life cycles, facilitating shifts towards more environmentally friendly products. However, LCA does currently not address terrestrial biodiversity impacts related to the conversion of terrestrial habitat into aquatic habitat. This conversion can occur because of sea level rise, establishment of new land-based aquaculture, as well as reservoir expansion or creation. Here, we focus on land occupation and terrestrial biodiversity impacts, while transformation impacts, and habitat gain for aquatic species were beyond the scope of the study. To be able to estimate the regional and global terrestrial biodiversity impacts of future land occupation from terrestrial to aquatic habitat in LCA, we developed new characterization factors (CFs) for 781 terrestrial ecoregions, 5 land cover/use types, and 4 taxonomic groups. The basis for the development of the proposed CFs is the model concept of the currently recommended method for quantifying land use impacts on biodiversity in LCA by the Life Cycle Initiative hosted by United Nations Environmental Program. The global CFs vary between 7.44 EÀ20 PDF/m2 and 6.25 EÀ09 PDF/m2, showing that a highly variable terrestrial biodiversity impact of land inundation between land cover/use types, taxonomic groups and ecoregions exists.","call-number":"1","container-title":"Science of The Total Environment","DOI":"10.1016/j.scitotenv.2019.134582","ISSN":"00489697","journalAbbreviation":"Science of The Total Environment","language":"en","note":"TLDR: This work developed new characterization factors (CFs) for 781 terrestrial ecoregions, 5 land cover/use types, and 4 taxonomic groups, showing that a highly variable terrestrial biodiversity impact of land inundation between land cover/.","page":"134582","source":"9.8","title":"Global characterization factors for terrestrial biodiversity impacts of future land inundation in Life Cycle Assessment","volume":"712","author":[{"family":"Dorber","given":"Martin"},{"family":"Kuipers","given":"Koen"},{"family":"Verones","given":"Francesca"}],"issued":{"date-parts":[["2020",4]]}}}],"schema":"https://github.com/citation-style-language/schema/raw/master/csl-citation.json"} </w:instrText>
      </w:r>
      <w:r w:rsidR="004F6357" w:rsidRPr="004F6357">
        <w:fldChar w:fldCharType="separate"/>
      </w:r>
      <w:r w:rsidR="00A43A89" w:rsidRPr="00A43A89">
        <w:rPr>
          <w:kern w:val="0"/>
          <w:vertAlign w:val="superscript"/>
        </w:rPr>
        <w:t>55</w:t>
      </w:r>
      <w:r w:rsidR="004F6357" w:rsidRPr="004F6357">
        <w:fldChar w:fldCharType="end"/>
      </w:r>
      <w:r w:rsidR="004F6357" w:rsidRPr="004F6357">
        <w:t>, we continued to follow the former recommendation.</w:t>
      </w:r>
      <w:bookmarkEnd w:id="34"/>
      <w:bookmarkEnd w:id="35"/>
      <w:bookmarkEnd w:id="36"/>
      <w:r w:rsidR="004F6357">
        <w:rPr>
          <w:rFonts w:hint="eastAsia"/>
        </w:rPr>
        <w:t xml:space="preserve"> </w:t>
      </w:r>
      <w:r w:rsidR="00AD6C2C" w:rsidRPr="00AD6C2C">
        <w:t>In future research, addressing these two issues will be crucial for improving the accuracy of biodiversity loss assessments in this context.</w:t>
      </w:r>
    </w:p>
    <w:p w14:paraId="0B069D95" w14:textId="77777777" w:rsidR="008E5EE0" w:rsidRDefault="008E5EE0" w:rsidP="004F6357">
      <w:pPr>
        <w:spacing w:line="360" w:lineRule="auto"/>
        <w:ind w:firstLine="420"/>
      </w:pPr>
    </w:p>
    <w:p w14:paraId="3D519F9A" w14:textId="32AD2983" w:rsidR="00AD6C2C" w:rsidRPr="00D22961" w:rsidRDefault="00751118" w:rsidP="00751118">
      <w:pPr>
        <w:spacing w:line="360" w:lineRule="auto"/>
        <w:rPr>
          <w:b/>
          <w:bCs/>
        </w:rPr>
      </w:pPr>
      <w:r w:rsidRPr="00D22961">
        <w:rPr>
          <w:b/>
          <w:bCs/>
        </w:rPr>
        <w:t>Supporting Information</w:t>
      </w:r>
    </w:p>
    <w:p w14:paraId="789B4946" w14:textId="2F5A7478" w:rsidR="00751118" w:rsidRDefault="00751118" w:rsidP="00751118">
      <w:pPr>
        <w:spacing w:line="360" w:lineRule="auto"/>
      </w:pPr>
      <w:r>
        <w:t xml:space="preserve">Literature review, </w:t>
      </w:r>
      <w:r w:rsidR="005967F7">
        <w:rPr>
          <w:rFonts w:hint="eastAsia"/>
        </w:rPr>
        <w:t>detailed</w:t>
      </w:r>
      <w:r w:rsidR="005967F7">
        <w:t xml:space="preserve"> methods, data source and processing, land use classification, countries classification, growth rates of renewable energy, gini coefficients, limitations of the research, comparison</w:t>
      </w:r>
      <w:r w:rsidR="005967F7" w:rsidRPr="005967F7">
        <w:t xml:space="preserve"> of renewable energy and mining</w:t>
      </w:r>
      <w:r w:rsidR="005967F7">
        <w:t xml:space="preserve"> sectors; </w:t>
      </w:r>
      <w:r w:rsidR="005967F7" w:rsidRPr="005967F7">
        <w:t>additional information provided as supporting figures</w:t>
      </w:r>
      <w:r w:rsidR="005967F7">
        <w:t xml:space="preserve"> (Figure S1-S</w:t>
      </w:r>
      <w:r w:rsidR="00343C82">
        <w:rPr>
          <w:rFonts w:hint="eastAsia"/>
        </w:rPr>
        <w:t>5</w:t>
      </w:r>
      <w:r w:rsidR="005967F7">
        <w:t xml:space="preserve">) </w:t>
      </w:r>
      <w:r>
        <w:t>(PDF)</w:t>
      </w:r>
    </w:p>
    <w:p w14:paraId="643F2A0E" w14:textId="3BD3B454" w:rsidR="00751118" w:rsidRDefault="00751118" w:rsidP="00D22961">
      <w:pPr>
        <w:spacing w:line="360" w:lineRule="auto"/>
      </w:pPr>
      <w:r>
        <w:t>Characterization factors for land use and inundation, b</w:t>
      </w:r>
      <w:r w:rsidRPr="00D22961">
        <w:rPr>
          <w:rFonts w:hint="eastAsia"/>
        </w:rPr>
        <w:t>iodiversity impacts of land occupation</w:t>
      </w:r>
      <w:r>
        <w:t>, l</w:t>
      </w:r>
      <w:r w:rsidRPr="00A53C99">
        <w:t>and occupation</w:t>
      </w:r>
      <w:r>
        <w:t xml:space="preserve"> of renewable energy in KBAs, consumption footprint for countries and regions, and result of scenario simulation (XLSX)</w:t>
      </w:r>
    </w:p>
    <w:p w14:paraId="559A8C25" w14:textId="77777777" w:rsidR="008E5EE0" w:rsidRDefault="008E5EE0" w:rsidP="00D22961">
      <w:pPr>
        <w:spacing w:line="360" w:lineRule="auto"/>
      </w:pPr>
    </w:p>
    <w:p w14:paraId="4B498E6E" w14:textId="096A9129" w:rsidR="002C0E0F" w:rsidRPr="002C0E0F" w:rsidRDefault="002C0E0F" w:rsidP="002C0E0F">
      <w:pPr>
        <w:spacing w:line="360" w:lineRule="auto"/>
        <w:rPr>
          <w:b/>
          <w:bCs/>
        </w:rPr>
      </w:pPr>
      <w:r w:rsidRPr="002C0E0F">
        <w:rPr>
          <w:rFonts w:hint="eastAsia"/>
          <w:b/>
          <w:bCs/>
        </w:rPr>
        <w:t>Acknowledgement</w:t>
      </w:r>
    </w:p>
    <w:p w14:paraId="5F8A7D67" w14:textId="27B2A686" w:rsidR="00F776B7" w:rsidRDefault="00F776B7" w:rsidP="00F776B7">
      <w:pPr>
        <w:spacing w:line="360" w:lineRule="auto"/>
        <w:ind w:firstLine="420"/>
      </w:pPr>
      <w:r w:rsidRPr="00F67FF3">
        <w:rPr>
          <w:rFonts w:eastAsia="Times New Roman"/>
          <w:bCs/>
          <w:color w:val="000000" w:themeColor="text1"/>
          <w:kern w:val="0"/>
          <w:szCs w:val="24"/>
          <w:lang w:eastAsia="en-US"/>
        </w:rPr>
        <w:t xml:space="preserve">This study is financially supported by the National </w:t>
      </w:r>
      <w:r w:rsidR="00B87925" w:rsidRPr="00B87925">
        <w:rPr>
          <w:rFonts w:eastAsia="Times New Roman"/>
          <w:bCs/>
          <w:color w:val="000000" w:themeColor="text1"/>
          <w:kern w:val="0"/>
          <w:szCs w:val="24"/>
          <w:lang w:eastAsia="en-US"/>
        </w:rPr>
        <w:t>Key R&amp;D Plan of China</w:t>
      </w:r>
      <w:r w:rsidR="00B87925">
        <w:rPr>
          <w:rFonts w:eastAsia="Times New Roman"/>
          <w:bCs/>
          <w:color w:val="000000" w:themeColor="text1"/>
          <w:kern w:val="0"/>
          <w:szCs w:val="24"/>
          <w:lang w:eastAsia="en-US"/>
        </w:rPr>
        <w:t xml:space="preserve"> (</w:t>
      </w:r>
      <w:r w:rsidR="00B87925">
        <w:rPr>
          <w:rFonts w:hint="eastAsia"/>
          <w:color w:val="000000" w:themeColor="text1"/>
          <w:szCs w:val="24"/>
        </w:rPr>
        <w:t>2024YFF130660501</w:t>
      </w:r>
      <w:r w:rsidR="00B87925">
        <w:rPr>
          <w:rFonts w:eastAsia="Times New Roman"/>
          <w:bCs/>
          <w:color w:val="000000" w:themeColor="text1"/>
          <w:kern w:val="0"/>
          <w:szCs w:val="24"/>
          <w:lang w:eastAsia="en-US"/>
        </w:rPr>
        <w:t>)</w:t>
      </w:r>
      <w:r w:rsidR="00B87925">
        <w:rPr>
          <w:rFonts w:ascii="SimSun" w:hAnsi="SimSun" w:cs="SimSun"/>
          <w:bCs/>
          <w:color w:val="000000" w:themeColor="text1"/>
          <w:kern w:val="0"/>
          <w:szCs w:val="24"/>
        </w:rPr>
        <w:t xml:space="preserve">, </w:t>
      </w:r>
      <w:r w:rsidRPr="00F67FF3">
        <w:rPr>
          <w:rFonts w:eastAsia="Times New Roman"/>
          <w:bCs/>
          <w:color w:val="000000" w:themeColor="text1"/>
          <w:kern w:val="0"/>
          <w:szCs w:val="24"/>
          <w:lang w:eastAsia="en-US"/>
        </w:rPr>
        <w:t>the National Natural Science Foundation of China (42</w:t>
      </w:r>
      <w:r w:rsidR="007449A0">
        <w:rPr>
          <w:rFonts w:eastAsia="Times New Roman"/>
          <w:bCs/>
          <w:color w:val="000000" w:themeColor="text1"/>
          <w:kern w:val="0"/>
          <w:szCs w:val="24"/>
          <w:lang w:eastAsia="en-US"/>
        </w:rPr>
        <w:t>3</w:t>
      </w:r>
      <w:r w:rsidRPr="00F67FF3">
        <w:rPr>
          <w:rFonts w:eastAsia="Times New Roman"/>
          <w:bCs/>
          <w:color w:val="000000" w:themeColor="text1"/>
          <w:kern w:val="0"/>
          <w:szCs w:val="24"/>
          <w:lang w:eastAsia="en-US"/>
        </w:rPr>
        <w:t>77</w:t>
      </w:r>
      <w:r w:rsidR="007449A0">
        <w:rPr>
          <w:rFonts w:eastAsia="Times New Roman"/>
          <w:bCs/>
          <w:color w:val="000000" w:themeColor="text1"/>
          <w:kern w:val="0"/>
          <w:szCs w:val="24"/>
          <w:lang w:eastAsia="en-US"/>
        </w:rPr>
        <w:t>321</w:t>
      </w:r>
      <w:r>
        <w:rPr>
          <w:rFonts w:eastAsia="Times New Roman" w:hint="eastAsia"/>
          <w:bCs/>
          <w:color w:val="000000" w:themeColor="text1"/>
          <w:kern w:val="0"/>
          <w:szCs w:val="24"/>
        </w:rPr>
        <w:t xml:space="preserve"> and 52100214</w:t>
      </w:r>
      <w:r w:rsidRPr="00F67FF3">
        <w:rPr>
          <w:rFonts w:eastAsia="Times New Roman"/>
          <w:bCs/>
          <w:color w:val="000000" w:themeColor="text1"/>
          <w:kern w:val="0"/>
          <w:szCs w:val="24"/>
          <w:lang w:eastAsia="en-US"/>
        </w:rPr>
        <w:t>)</w:t>
      </w:r>
      <w:r>
        <w:rPr>
          <w:rFonts w:eastAsia="Times New Roman"/>
          <w:bCs/>
          <w:color w:val="000000" w:themeColor="text1"/>
          <w:kern w:val="0"/>
          <w:szCs w:val="24"/>
          <w:lang w:eastAsia="en-US"/>
        </w:rPr>
        <w:t>, the Royal Society International Exchanges 2021 Cost Share (NSFC) programme (</w:t>
      </w:r>
      <w:r w:rsidRPr="00A51286">
        <w:rPr>
          <w:rFonts w:eastAsia="Times New Roman"/>
          <w:bCs/>
          <w:color w:val="000000" w:themeColor="text1"/>
          <w:kern w:val="0"/>
          <w:szCs w:val="24"/>
          <w:lang w:eastAsia="en-US"/>
        </w:rPr>
        <w:t>IEC\NSFC\211274</w:t>
      </w:r>
      <w:r>
        <w:rPr>
          <w:rFonts w:eastAsia="Times New Roman"/>
          <w:bCs/>
          <w:color w:val="000000" w:themeColor="text1"/>
          <w:kern w:val="0"/>
          <w:szCs w:val="24"/>
          <w:lang w:eastAsia="en-US"/>
        </w:rPr>
        <w:t>)</w:t>
      </w:r>
      <w:r w:rsidRPr="00F67FF3">
        <w:rPr>
          <w:rFonts w:eastAsia="Times New Roman"/>
          <w:bCs/>
          <w:color w:val="000000" w:themeColor="text1"/>
          <w:kern w:val="0"/>
          <w:szCs w:val="24"/>
          <w:lang w:eastAsia="en-US"/>
        </w:rPr>
        <w:t>.</w:t>
      </w:r>
    </w:p>
    <w:p w14:paraId="27DF1F12" w14:textId="77777777" w:rsidR="002C0E0F" w:rsidRPr="00D56A55" w:rsidRDefault="002C0E0F" w:rsidP="00044FF4">
      <w:pPr>
        <w:spacing w:line="360" w:lineRule="auto"/>
        <w:ind w:firstLine="420"/>
      </w:pPr>
    </w:p>
    <w:p w14:paraId="3E93FC9B" w14:textId="66980250" w:rsidR="00044FF4" w:rsidRPr="00D56A55" w:rsidRDefault="00044FF4" w:rsidP="00044FF4">
      <w:pPr>
        <w:rPr>
          <w:b/>
          <w:bCs/>
        </w:rPr>
      </w:pPr>
      <w:bookmarkStart w:id="37" w:name="_Hlk180434205"/>
      <w:r w:rsidRPr="00D56A55">
        <w:rPr>
          <w:rFonts w:hint="eastAsia"/>
          <w:b/>
          <w:bCs/>
        </w:rPr>
        <w:t>R</w:t>
      </w:r>
      <w:r w:rsidRPr="00D56A55">
        <w:rPr>
          <w:b/>
          <w:bCs/>
        </w:rPr>
        <w:t>eference</w:t>
      </w:r>
      <w:r w:rsidR="00A6041B">
        <w:rPr>
          <w:b/>
          <w:bCs/>
        </w:rPr>
        <w:t>s</w:t>
      </w:r>
    </w:p>
    <w:p w14:paraId="7B7D1CD6" w14:textId="77777777" w:rsidR="00A43A89" w:rsidRDefault="00044FF4" w:rsidP="00A43A89">
      <w:pPr>
        <w:pStyle w:val="Bibliography0"/>
      </w:pPr>
      <w:r w:rsidRPr="00D56A55">
        <w:fldChar w:fldCharType="begin"/>
      </w:r>
      <w:r w:rsidR="00A43A89">
        <w:instrText xml:space="preserve"> ADDIN ZOTERO_BIBL {"uncited":[],"omitted":[],"custom":[]} CSL_BIBLIOGRAPHY </w:instrText>
      </w:r>
      <w:r w:rsidRPr="00D56A55">
        <w:fldChar w:fldCharType="separate"/>
      </w:r>
      <w:r w:rsidR="00A43A89">
        <w:t>(1)</w:t>
      </w:r>
      <w:r w:rsidR="00A43A89">
        <w:tab/>
        <w:t xml:space="preserve">Díaz, S.; Settele, J.; Brondízio, E. S.; Ngo, H. T.; Agard, J.; Arneth, A.; Balvanera, P.; Brauman, K. A.; Butchart, S. H. M.; Chan, K. M. A.; Garibaldi, L. A.; Ichii, K.; Liu, J.; Subramanian, S. M.; Midgley, G. F.; Miloslavich, P.; Molnár, Z.; Obura, D.; Pfaff, A.; Polasky, S.; Purvis, A.; Razzaque, J.; Reyers, B.; Chowdhury, R. R.; Shin, Y.-J.; Visseren-Hamakers, I.; Willis, K. J.; Zayas, C. N. Pervasive Human-Driven Decline of Life on Earth Points to the Need for Transformative Change. </w:t>
      </w:r>
      <w:r w:rsidR="00A43A89">
        <w:rPr>
          <w:i/>
          <w:iCs/>
        </w:rPr>
        <w:t>Science</w:t>
      </w:r>
      <w:r w:rsidR="00A43A89">
        <w:t xml:space="preserve"> </w:t>
      </w:r>
      <w:r w:rsidR="00A43A89">
        <w:rPr>
          <w:b/>
          <w:bCs/>
        </w:rPr>
        <w:t>2019</w:t>
      </w:r>
      <w:r w:rsidR="00A43A89">
        <w:t xml:space="preserve">, </w:t>
      </w:r>
      <w:r w:rsidR="00A43A89">
        <w:rPr>
          <w:i/>
          <w:iCs/>
        </w:rPr>
        <w:t>366</w:t>
      </w:r>
      <w:r w:rsidR="00A43A89">
        <w:t xml:space="preserve"> (6471), eaax3100. https://doi.org/10.1126/science.aax3100.</w:t>
      </w:r>
    </w:p>
    <w:p w14:paraId="09C837B0" w14:textId="77777777" w:rsidR="00A43A89" w:rsidRDefault="00A43A89" w:rsidP="00A43A89">
      <w:pPr>
        <w:pStyle w:val="Bibliography0"/>
      </w:pPr>
      <w:r>
        <w:t>(2)</w:t>
      </w:r>
      <w:r>
        <w:tab/>
        <w:t xml:space="preserve">Levin, M. O.; Kalies, E. L.; Forester, E.; Jackson, E. L. A.; Levin, A. H.; Markus, C.; McKenzie, P. F.; Meek, J. B.; Hernandez, R. R. Solar Energy-Driven Land-Cover Change Could Alter Landscapes Critical to Animal Movement in the Continental United States. </w:t>
      </w:r>
      <w:r>
        <w:rPr>
          <w:i/>
          <w:iCs/>
        </w:rPr>
        <w:t>Environ. Sci. Technol.</w:t>
      </w:r>
      <w:r>
        <w:t xml:space="preserve"> </w:t>
      </w:r>
      <w:r>
        <w:rPr>
          <w:b/>
          <w:bCs/>
        </w:rPr>
        <w:t>2023</w:t>
      </w:r>
      <w:r>
        <w:t xml:space="preserve">, </w:t>
      </w:r>
      <w:r>
        <w:rPr>
          <w:i/>
          <w:iCs/>
        </w:rPr>
        <w:t>57</w:t>
      </w:r>
      <w:r>
        <w:t xml:space="preserve"> (31), 11499–11509. https://doi.org/10.1021/acs.est.3c00578.</w:t>
      </w:r>
    </w:p>
    <w:p w14:paraId="610D227E" w14:textId="77777777" w:rsidR="00A43A89" w:rsidRDefault="00A43A89" w:rsidP="00A43A89">
      <w:pPr>
        <w:pStyle w:val="Bibliography0"/>
      </w:pPr>
      <w:r>
        <w:t>(3)</w:t>
      </w:r>
      <w:r>
        <w:tab/>
        <w:t xml:space="preserve">Tilman, D.; Clark, M.; Williams, D. R.; Kimmel, K.; Polasky, S.; Packer, C. Future Threats to Biodiversity and Pathways to Their Prevention. </w:t>
      </w:r>
      <w:r>
        <w:rPr>
          <w:i/>
          <w:iCs/>
        </w:rPr>
        <w:t>Nature</w:t>
      </w:r>
      <w:r>
        <w:t xml:space="preserve"> </w:t>
      </w:r>
      <w:r>
        <w:rPr>
          <w:b/>
          <w:bCs/>
        </w:rPr>
        <w:t>2017</w:t>
      </w:r>
      <w:r>
        <w:t xml:space="preserve">, </w:t>
      </w:r>
      <w:r>
        <w:rPr>
          <w:i/>
          <w:iCs/>
        </w:rPr>
        <w:t>546</w:t>
      </w:r>
      <w:r>
        <w:t xml:space="preserve"> (7656), 73–81. https://doi.org/10.1038/nature22900.</w:t>
      </w:r>
    </w:p>
    <w:p w14:paraId="4FF12785" w14:textId="77777777" w:rsidR="00A43A89" w:rsidRDefault="00A43A89" w:rsidP="00A43A89">
      <w:pPr>
        <w:pStyle w:val="Bibliography0"/>
      </w:pPr>
      <w:r>
        <w:t>(4)</w:t>
      </w:r>
      <w:r>
        <w:tab/>
        <w:t xml:space="preserve">Venter, O.; Sanderson, E. W.; Magrach, A.; Allan, J. R.; Beher, J.; Jones, K. R.; Possingham, H. P.; Laurance, W. F.; Wood, P.; Fekete, B. M.; Levy, M. A.; Watson, J. E. M. Sixteen Years of Change in the Global Terrestrial Human Footprint and Implications for Biodiversity Conservation. </w:t>
      </w:r>
      <w:r>
        <w:rPr>
          <w:i/>
          <w:iCs/>
        </w:rPr>
        <w:t>Nat. Commun.</w:t>
      </w:r>
      <w:r>
        <w:t xml:space="preserve"> </w:t>
      </w:r>
      <w:r>
        <w:rPr>
          <w:b/>
          <w:bCs/>
        </w:rPr>
        <w:t>2016</w:t>
      </w:r>
      <w:r>
        <w:t xml:space="preserve">, </w:t>
      </w:r>
      <w:r>
        <w:rPr>
          <w:i/>
          <w:iCs/>
        </w:rPr>
        <w:t>7</w:t>
      </w:r>
      <w:r>
        <w:t xml:space="preserve"> (1), 12558. https://doi.org/10.1038/ncomms12558.</w:t>
      </w:r>
    </w:p>
    <w:p w14:paraId="7185FACC" w14:textId="77777777" w:rsidR="00A43A89" w:rsidRDefault="00A43A89" w:rsidP="00A43A89">
      <w:pPr>
        <w:pStyle w:val="Bibliography0"/>
      </w:pPr>
      <w:r>
        <w:t>(5)</w:t>
      </w:r>
      <w:r>
        <w:tab/>
        <w:t xml:space="preserve">Pörtner, H.-O.; Scholes, R. J.; Arneth, A.; Barnes, D. K. A.; Burrows, M. T.; Diamond, S. E.; Duarte, C. M.; Kiessling, W.; Leadley, P.; Managi, S.; McElwee, P.; Midgley, G.; Ngo, H. T.; Obura, D.; Pascual, U.; Sankaran, M.; Shin, Y. J.; Val, A. L. Overcoming the Coupled Climate and Biodiversity Crises and Their Societal Impacts. </w:t>
      </w:r>
      <w:r>
        <w:rPr>
          <w:i/>
          <w:iCs/>
        </w:rPr>
        <w:t>Science</w:t>
      </w:r>
      <w:r>
        <w:t xml:space="preserve"> </w:t>
      </w:r>
      <w:r>
        <w:rPr>
          <w:b/>
          <w:bCs/>
        </w:rPr>
        <w:t>2023</w:t>
      </w:r>
      <w:r>
        <w:t xml:space="preserve">, </w:t>
      </w:r>
      <w:r>
        <w:rPr>
          <w:i/>
          <w:iCs/>
        </w:rPr>
        <w:t>380</w:t>
      </w:r>
      <w:r>
        <w:t xml:space="preserve"> (6642), eabl4881. https://doi.org/10.1126/science.abl4881.</w:t>
      </w:r>
    </w:p>
    <w:p w14:paraId="3BF34A03" w14:textId="77777777" w:rsidR="00A43A89" w:rsidRDefault="00A43A89" w:rsidP="00A43A89">
      <w:pPr>
        <w:pStyle w:val="Bibliography0"/>
      </w:pPr>
      <w:r>
        <w:t>(6)</w:t>
      </w:r>
      <w:r>
        <w:tab/>
        <w:t xml:space="preserve">Huang, M.-T.; Zhai, P.-M. Achieving Paris Agreement Temperature Goals Requires Carbon Neutrality by Middle Century with Far-Reaching Transitions in the Whole Society. </w:t>
      </w:r>
      <w:r>
        <w:rPr>
          <w:i/>
          <w:iCs/>
        </w:rPr>
        <w:t>Adv. Clim. Change Res.</w:t>
      </w:r>
      <w:r>
        <w:t xml:space="preserve"> </w:t>
      </w:r>
      <w:r>
        <w:rPr>
          <w:b/>
          <w:bCs/>
        </w:rPr>
        <w:t>2021</w:t>
      </w:r>
      <w:r>
        <w:t xml:space="preserve">, </w:t>
      </w:r>
      <w:r>
        <w:rPr>
          <w:i/>
          <w:iCs/>
        </w:rPr>
        <w:t>12</w:t>
      </w:r>
      <w:r>
        <w:t xml:space="preserve"> (2), 281–286. https://doi.org/10.1016/j.accre.2021.03.004.</w:t>
      </w:r>
    </w:p>
    <w:p w14:paraId="7F6B3020" w14:textId="1C188854" w:rsidR="00A43A89" w:rsidRDefault="00A43A89" w:rsidP="00A43A89">
      <w:pPr>
        <w:pStyle w:val="Bibliography0"/>
      </w:pPr>
      <w:r>
        <w:t>(7)</w:t>
      </w:r>
      <w:r>
        <w:tab/>
      </w:r>
      <w:r w:rsidRPr="00E40231">
        <w:t>Renewables 2023, IEA, Paris https://www.iea.org/reports/renewables-2023, Licence: CC BY 4.0</w:t>
      </w:r>
      <w:r w:rsidRPr="00E40231" w:rsidDel="00E40231">
        <w:t xml:space="preserve"> </w:t>
      </w:r>
      <w:r>
        <w:t>.</w:t>
      </w:r>
    </w:p>
    <w:p w14:paraId="4E223010" w14:textId="77777777" w:rsidR="00A43A89" w:rsidRDefault="00A43A89" w:rsidP="00A43A89">
      <w:pPr>
        <w:pStyle w:val="Bibliography0"/>
      </w:pPr>
      <w:r>
        <w:lastRenderedPageBreak/>
        <w:t>(8)</w:t>
      </w:r>
      <w:r>
        <w:tab/>
        <w:t xml:space="preserve">van Zalk, J.; Behrens, P. The Spatial Extent of Renewable and Non-Renewable Power Generation: A Review and Meta-Analysis of Power Densities and Their Application in the U.S. </w:t>
      </w:r>
      <w:r>
        <w:rPr>
          <w:i/>
          <w:iCs/>
        </w:rPr>
        <w:t>Energy Policy</w:t>
      </w:r>
      <w:r>
        <w:t xml:space="preserve"> </w:t>
      </w:r>
      <w:r>
        <w:rPr>
          <w:b/>
          <w:bCs/>
        </w:rPr>
        <w:t>2018</w:t>
      </w:r>
      <w:r>
        <w:t xml:space="preserve">, </w:t>
      </w:r>
      <w:r>
        <w:rPr>
          <w:i/>
          <w:iCs/>
        </w:rPr>
        <w:t>123</w:t>
      </w:r>
      <w:r>
        <w:t>, 83–91. https://doi.org/10.1016/j.enpol.2018.08.023.</w:t>
      </w:r>
    </w:p>
    <w:p w14:paraId="109ABA25" w14:textId="77777777" w:rsidR="00A43A89" w:rsidRDefault="00A43A89" w:rsidP="00A43A89">
      <w:pPr>
        <w:pStyle w:val="Bibliography0"/>
      </w:pPr>
      <w:r>
        <w:t>(9)</w:t>
      </w:r>
      <w:r>
        <w:tab/>
        <w:t xml:space="preserve">Dunnett, S.; Holland, R. A.; Taylor, G.; Eigenbrod, F. Predicted Wind and Solar Energy Expansion Has Minimal Overlap with Multiple Conservation Priorities across Global Regions. </w:t>
      </w:r>
      <w:r>
        <w:rPr>
          <w:i/>
          <w:iCs/>
        </w:rPr>
        <w:t>Proc. Natl. Acad. Sci.</w:t>
      </w:r>
      <w:r>
        <w:t xml:space="preserve"> </w:t>
      </w:r>
      <w:r>
        <w:rPr>
          <w:b/>
          <w:bCs/>
        </w:rPr>
        <w:t>2022</w:t>
      </w:r>
      <w:r>
        <w:t xml:space="preserve">, </w:t>
      </w:r>
      <w:r>
        <w:rPr>
          <w:i/>
          <w:iCs/>
        </w:rPr>
        <w:t>119</w:t>
      </w:r>
      <w:r>
        <w:t xml:space="preserve"> (6), e2104764119. https://doi.org/10.1073/pnas.2104764119.</w:t>
      </w:r>
    </w:p>
    <w:p w14:paraId="1AE3D93D" w14:textId="77777777" w:rsidR="00A43A89" w:rsidRDefault="00A43A89" w:rsidP="00A43A89">
      <w:pPr>
        <w:pStyle w:val="Bibliography0"/>
      </w:pPr>
      <w:r>
        <w:t>(10)</w:t>
      </w:r>
      <w:r>
        <w:tab/>
        <w:t xml:space="preserve">Miller, L. M.; Keith, D. W. Observation-Based Solar and Wind Power Capacity Factors and Power Densities. </w:t>
      </w:r>
      <w:r>
        <w:rPr>
          <w:i/>
          <w:iCs/>
        </w:rPr>
        <w:t>Environ. Res. Lett.</w:t>
      </w:r>
      <w:r>
        <w:t xml:space="preserve"> </w:t>
      </w:r>
      <w:r>
        <w:rPr>
          <w:b/>
          <w:bCs/>
        </w:rPr>
        <w:t>2018</w:t>
      </w:r>
      <w:r>
        <w:t xml:space="preserve">, </w:t>
      </w:r>
      <w:r>
        <w:rPr>
          <w:i/>
          <w:iCs/>
        </w:rPr>
        <w:t>13</w:t>
      </w:r>
      <w:r>
        <w:t xml:space="preserve"> (10), 104008. https://doi.org/10.1088/1748-9326/aae102.</w:t>
      </w:r>
    </w:p>
    <w:p w14:paraId="3211AAB0" w14:textId="77777777" w:rsidR="00A43A89" w:rsidRDefault="00A43A89" w:rsidP="00A43A89">
      <w:pPr>
        <w:pStyle w:val="Bibliography0"/>
      </w:pPr>
      <w:r>
        <w:t>(11)</w:t>
      </w:r>
      <w:r>
        <w:tab/>
        <w:t xml:space="preserve">Fthenakis, V.; Kim, H. C. Land Use and Electricity Generation: A Life-Cycle Analysis. </w:t>
      </w:r>
      <w:r>
        <w:rPr>
          <w:i/>
          <w:iCs/>
        </w:rPr>
        <w:t>Renew. Sustain. Energy Rev.</w:t>
      </w:r>
      <w:r>
        <w:t xml:space="preserve"> </w:t>
      </w:r>
      <w:r>
        <w:rPr>
          <w:b/>
          <w:bCs/>
        </w:rPr>
        <w:t>2009</w:t>
      </w:r>
      <w:r>
        <w:t xml:space="preserve">, </w:t>
      </w:r>
      <w:r>
        <w:rPr>
          <w:i/>
          <w:iCs/>
        </w:rPr>
        <w:t>13</w:t>
      </w:r>
      <w:r>
        <w:t xml:space="preserve"> (6), 1465–1474. https://doi.org/10.1016/j.rser.2008.09.017.</w:t>
      </w:r>
    </w:p>
    <w:p w14:paraId="6ACDFE3F" w14:textId="77777777" w:rsidR="00A43A89" w:rsidRDefault="00A43A89" w:rsidP="00A43A89">
      <w:pPr>
        <w:pStyle w:val="Bibliography0"/>
      </w:pPr>
      <w:r>
        <w:t>(12)</w:t>
      </w:r>
      <w:r>
        <w:tab/>
        <w:t xml:space="preserve">Rehbein, J. A.; Watson, J. E. M.; Lane, J. L.; Sonter, L. J.; Venter, O.; Atkinson, S. C.; Allan, J. R. Renewable Energy Development Threatens Many Globally Important Biodiversity Areas. </w:t>
      </w:r>
      <w:r>
        <w:rPr>
          <w:i/>
          <w:iCs/>
        </w:rPr>
        <w:t>Glob. Change Biol.</w:t>
      </w:r>
      <w:r>
        <w:t xml:space="preserve"> </w:t>
      </w:r>
      <w:r>
        <w:rPr>
          <w:b/>
          <w:bCs/>
        </w:rPr>
        <w:t>2020</w:t>
      </w:r>
      <w:r>
        <w:t xml:space="preserve">, </w:t>
      </w:r>
      <w:r>
        <w:rPr>
          <w:i/>
          <w:iCs/>
        </w:rPr>
        <w:t>26</w:t>
      </w:r>
      <w:r>
        <w:t xml:space="preserve"> (5), 3040–3051. https://doi.org/10.1111/gcb.15067.</w:t>
      </w:r>
    </w:p>
    <w:p w14:paraId="7B9FAEB2" w14:textId="77777777" w:rsidR="00A43A89" w:rsidRDefault="00A43A89" w:rsidP="00A43A89">
      <w:pPr>
        <w:pStyle w:val="Bibliography0"/>
      </w:pPr>
      <w:r>
        <w:t>(13)</w:t>
      </w:r>
      <w:r>
        <w:tab/>
        <w:t xml:space="preserve">McManamay, R. A.; Vernon, C. R.; Jager, H. I. Global Biodiversity Implications of Alternative Electrification Strategies Under the Shared Socioeconomic Pathways. </w:t>
      </w:r>
      <w:r>
        <w:rPr>
          <w:i/>
          <w:iCs/>
        </w:rPr>
        <w:t>Biol. Conserv.</w:t>
      </w:r>
      <w:r>
        <w:t xml:space="preserve"> </w:t>
      </w:r>
      <w:r>
        <w:rPr>
          <w:b/>
          <w:bCs/>
        </w:rPr>
        <w:t>2021</w:t>
      </w:r>
      <w:r>
        <w:t xml:space="preserve">, </w:t>
      </w:r>
      <w:r>
        <w:rPr>
          <w:i/>
          <w:iCs/>
        </w:rPr>
        <w:t>260</w:t>
      </w:r>
      <w:r>
        <w:t>, 109234. https://doi.org/10.1016/j.biocon.2021.109234.</w:t>
      </w:r>
    </w:p>
    <w:p w14:paraId="37FDCD96" w14:textId="77777777" w:rsidR="00A43A89" w:rsidRDefault="00A43A89" w:rsidP="00A43A89">
      <w:pPr>
        <w:pStyle w:val="Bibliography0"/>
      </w:pPr>
      <w:r>
        <w:t>(14)</w:t>
      </w:r>
      <w:r>
        <w:tab/>
        <w:t xml:space="preserve">Kiesecker, J.; Baruch-Mordo, S.; Kennedy, C. M.; Oakleaf, J. R.; Baccini, A.; Griscom, B. W. Hitting the Target but Missing the Mark: Unintended Environmental Consequences of the Paris Climate Agreement. </w:t>
      </w:r>
      <w:r>
        <w:rPr>
          <w:i/>
          <w:iCs/>
        </w:rPr>
        <w:t>Front. Environ. Sci.</w:t>
      </w:r>
      <w:r>
        <w:t xml:space="preserve"> </w:t>
      </w:r>
      <w:r>
        <w:rPr>
          <w:b/>
          <w:bCs/>
        </w:rPr>
        <w:t>2019</w:t>
      </w:r>
      <w:r>
        <w:t xml:space="preserve">, </w:t>
      </w:r>
      <w:r>
        <w:rPr>
          <w:i/>
          <w:iCs/>
        </w:rPr>
        <w:t>7</w:t>
      </w:r>
      <w:r>
        <w:t>. https://doi.org/10.3389/fenvs.2019.00151.</w:t>
      </w:r>
    </w:p>
    <w:p w14:paraId="1EC4D520" w14:textId="77777777" w:rsidR="00A43A89" w:rsidRDefault="00A43A89" w:rsidP="00A43A89">
      <w:pPr>
        <w:pStyle w:val="Bibliography0"/>
      </w:pPr>
      <w:r>
        <w:t>(15)</w:t>
      </w:r>
      <w:r>
        <w:tab/>
        <w:t xml:space="preserve">Bennun, L.; Van Bochove, J.; Ng, C.; Fletcher, C.; Wilson, D.; Phair, N.; Carbone, G. </w:t>
      </w:r>
      <w:r>
        <w:rPr>
          <w:i/>
          <w:iCs/>
        </w:rPr>
        <w:t>Mitigating Biodiversity Impacts Associated with Solar and Wind Energy Development: Guidelines for Project Developers</w:t>
      </w:r>
      <w:r>
        <w:t>; 2021. https://doi.org/10.2305/IUCN.CH.2021.04.en.</w:t>
      </w:r>
    </w:p>
    <w:p w14:paraId="0030FA1B" w14:textId="77777777" w:rsidR="00A43A89" w:rsidRDefault="00A43A89" w:rsidP="00A43A89">
      <w:pPr>
        <w:pStyle w:val="Bibliography0"/>
      </w:pPr>
      <w:r>
        <w:t>(16)</w:t>
      </w:r>
      <w:r>
        <w:tab/>
        <w:t xml:space="preserve">Niebuhr, B. B.; Sant’Ana, D.; Panzacchi, M.; van Moorter, B.; Sandström, P.; Morato, R. G.; Skarin, A. Renewable Energy Infrastructure Impacts Biodiversity beyond the Area It Occupies. </w:t>
      </w:r>
      <w:r>
        <w:rPr>
          <w:i/>
          <w:iCs/>
        </w:rPr>
        <w:t>Proc. Natl. Acad. Sci.</w:t>
      </w:r>
      <w:r>
        <w:t xml:space="preserve"> </w:t>
      </w:r>
      <w:r>
        <w:rPr>
          <w:b/>
          <w:bCs/>
        </w:rPr>
        <w:t>2022</w:t>
      </w:r>
      <w:r>
        <w:t xml:space="preserve">, </w:t>
      </w:r>
      <w:r>
        <w:rPr>
          <w:i/>
          <w:iCs/>
        </w:rPr>
        <w:t>119</w:t>
      </w:r>
      <w:r>
        <w:t xml:space="preserve"> (48), e2208815119. https://doi.org/10.1073/pnas.2208815119.</w:t>
      </w:r>
    </w:p>
    <w:p w14:paraId="71F78A3D" w14:textId="77777777" w:rsidR="00A43A89" w:rsidRDefault="00A43A89" w:rsidP="00A43A89">
      <w:pPr>
        <w:pStyle w:val="Bibliography0"/>
      </w:pPr>
      <w:r>
        <w:t>(17)</w:t>
      </w:r>
      <w:r>
        <w:tab/>
        <w:t xml:space="preserve">Jaureguiberry, P.; Titeux, N.; Wiemers, M.; Bowler, D. E.; Coscieme, L.; Golden, A. S.; Guerra, C. A.; Jacob, U.; Takahashi, Y.; Settele, J.; Díaz, S.; Molnár, Z.; Purvis, A. The Direct Drivers of Recent Global Anthropogenic Biodiversity Loss. </w:t>
      </w:r>
      <w:r>
        <w:rPr>
          <w:i/>
          <w:iCs/>
        </w:rPr>
        <w:t>Sci. Adv.</w:t>
      </w:r>
      <w:r>
        <w:t xml:space="preserve"> </w:t>
      </w:r>
      <w:r>
        <w:rPr>
          <w:b/>
          <w:bCs/>
        </w:rPr>
        <w:t>2022</w:t>
      </w:r>
      <w:r>
        <w:t xml:space="preserve">, </w:t>
      </w:r>
      <w:r>
        <w:rPr>
          <w:i/>
          <w:iCs/>
        </w:rPr>
        <w:t>8</w:t>
      </w:r>
      <w:r>
        <w:t xml:space="preserve"> (45), eabm9982. https://doi.org/10.1126/sciadv.abm9982.</w:t>
      </w:r>
    </w:p>
    <w:p w14:paraId="407F3B5A" w14:textId="77777777" w:rsidR="00A43A89" w:rsidRDefault="00A43A89" w:rsidP="00A43A89">
      <w:pPr>
        <w:pStyle w:val="Bibliography0"/>
      </w:pPr>
      <w:r>
        <w:t>(18)</w:t>
      </w:r>
      <w:r>
        <w:tab/>
        <w:t xml:space="preserve">Marques, A.; Martins, I. S.; Kastner, T.; Plutzar, C.; Theurl, M. C.; Eisenmenger, N.; Huijbregts, M. A. J.; Wood, R.; Stadler, K.; Bruckner, M.; Canelas, J.; Hilbers, J. P.; Tukker, A.; Erb, K.; Pereira, H. M. Increasing Impacts of Land Use on Biodiversity and Carbon Sequestration Driven by Population and Economic Growth. </w:t>
      </w:r>
      <w:r>
        <w:rPr>
          <w:i/>
          <w:iCs/>
        </w:rPr>
        <w:t>Nat. Ecol. Evol.</w:t>
      </w:r>
      <w:r>
        <w:t xml:space="preserve"> </w:t>
      </w:r>
      <w:r>
        <w:rPr>
          <w:b/>
          <w:bCs/>
        </w:rPr>
        <w:t>2019</w:t>
      </w:r>
      <w:r>
        <w:t xml:space="preserve">, </w:t>
      </w:r>
      <w:r>
        <w:rPr>
          <w:i/>
          <w:iCs/>
        </w:rPr>
        <w:t>3</w:t>
      </w:r>
      <w:r>
        <w:t xml:space="preserve"> (4), 628–637. https://doi.org/10.1038/s41559-019-0824-3.</w:t>
      </w:r>
    </w:p>
    <w:p w14:paraId="6C14B0DA" w14:textId="77777777" w:rsidR="00A43A89" w:rsidRDefault="00A43A89" w:rsidP="00A43A89">
      <w:pPr>
        <w:pStyle w:val="Bibliography0"/>
      </w:pPr>
      <w:r>
        <w:lastRenderedPageBreak/>
        <w:t>(19)</w:t>
      </w:r>
      <w:r>
        <w:tab/>
        <w:t xml:space="preserve">de Baan, L.; Alkemade, R.; Koellner, T. Land Use Impacts on Biodiversity in LCA: A Global Approach. </w:t>
      </w:r>
      <w:r>
        <w:rPr>
          <w:i/>
          <w:iCs/>
        </w:rPr>
        <w:t>Int. J. Life Cycle Assess.</w:t>
      </w:r>
      <w:r>
        <w:t xml:space="preserve"> </w:t>
      </w:r>
      <w:r>
        <w:rPr>
          <w:b/>
          <w:bCs/>
        </w:rPr>
        <w:t>2013</w:t>
      </w:r>
      <w:r>
        <w:t xml:space="preserve">, </w:t>
      </w:r>
      <w:r>
        <w:rPr>
          <w:i/>
          <w:iCs/>
        </w:rPr>
        <w:t>18</w:t>
      </w:r>
      <w:r>
        <w:t xml:space="preserve"> (6), 1216–1230. https://doi.org/10.1007/s11367-012-0412-0.</w:t>
      </w:r>
    </w:p>
    <w:p w14:paraId="70D18E22" w14:textId="77777777" w:rsidR="00A43A89" w:rsidRDefault="00A43A89" w:rsidP="00A43A89">
      <w:pPr>
        <w:pStyle w:val="Bibliography0"/>
      </w:pPr>
      <w:r>
        <w:t>(20)</w:t>
      </w:r>
      <w:r>
        <w:tab/>
        <w:t xml:space="preserve">Dai, K.; Bergot, A.; Liang, C.; Xiang, W.-N.; Huang, Z. Environmental Issues Associated with Wind Energy – A Review. </w:t>
      </w:r>
      <w:r>
        <w:rPr>
          <w:i/>
          <w:iCs/>
        </w:rPr>
        <w:t>Renew. Energy</w:t>
      </w:r>
      <w:r>
        <w:t xml:space="preserve"> </w:t>
      </w:r>
      <w:r>
        <w:rPr>
          <w:b/>
          <w:bCs/>
        </w:rPr>
        <w:t>2015</w:t>
      </w:r>
      <w:r>
        <w:t xml:space="preserve">, </w:t>
      </w:r>
      <w:r>
        <w:rPr>
          <w:i/>
          <w:iCs/>
        </w:rPr>
        <w:t>75</w:t>
      </w:r>
      <w:r>
        <w:t>, 911–921. https://doi.org/10.1016/j.renene.2014.10.074.</w:t>
      </w:r>
    </w:p>
    <w:p w14:paraId="3246A0C5" w14:textId="77777777" w:rsidR="00A43A89" w:rsidRDefault="00A43A89" w:rsidP="00A43A89">
      <w:pPr>
        <w:pStyle w:val="Bibliography0"/>
      </w:pPr>
      <w:r>
        <w:t>(21)</w:t>
      </w:r>
      <w:r>
        <w:tab/>
        <w:t xml:space="preserve">Thaxter, C. B.; Buchanan, G. M.; Carr, J.; Butchart, S. H. M.; Newbold, T.; Green, R. E.; Tobias, J. A.; Foden, W. B.; O’Brien, S.; Pearce-Higgins, J. W. Bird and Bat Species’ Global Vulnerability to Collision Mortality at Wind Farms Revealed through a Trait-Based Assessment. </w:t>
      </w:r>
      <w:r>
        <w:rPr>
          <w:i/>
          <w:iCs/>
        </w:rPr>
        <w:t>Proc. R. Soc. B Biol. Sci.</w:t>
      </w:r>
      <w:r>
        <w:t xml:space="preserve"> </w:t>
      </w:r>
      <w:r>
        <w:rPr>
          <w:b/>
          <w:bCs/>
        </w:rPr>
        <w:t>2017</w:t>
      </w:r>
      <w:r>
        <w:t xml:space="preserve">, </w:t>
      </w:r>
      <w:r>
        <w:rPr>
          <w:i/>
          <w:iCs/>
        </w:rPr>
        <w:t>284</w:t>
      </w:r>
      <w:r>
        <w:t xml:space="preserve"> (1862), 20170829. https://doi.org/10.1098/rspb.2017.0829.</w:t>
      </w:r>
    </w:p>
    <w:p w14:paraId="5A926721" w14:textId="77777777" w:rsidR="00A43A89" w:rsidRDefault="00A43A89" w:rsidP="00A43A89">
      <w:pPr>
        <w:pStyle w:val="Bibliography0"/>
      </w:pPr>
      <w:r>
        <w:t>(22)</w:t>
      </w:r>
      <w:r>
        <w:tab/>
        <w:t xml:space="preserve">Armstrong, A.; Waldron, S.; Whitaker, J.; Ostle, N. J. Wind Farm and Solar Park Effects on Plant–Soil Carbon Cycling: Uncertain Impacts of Changes in Ground-Level Microclimate. </w:t>
      </w:r>
      <w:r>
        <w:rPr>
          <w:i/>
          <w:iCs/>
        </w:rPr>
        <w:t>Glob. Change Biol.</w:t>
      </w:r>
      <w:r>
        <w:t xml:space="preserve"> </w:t>
      </w:r>
      <w:r>
        <w:rPr>
          <w:b/>
          <w:bCs/>
        </w:rPr>
        <w:t>2014</w:t>
      </w:r>
      <w:r>
        <w:t xml:space="preserve">, </w:t>
      </w:r>
      <w:r>
        <w:rPr>
          <w:i/>
          <w:iCs/>
        </w:rPr>
        <w:t>20</w:t>
      </w:r>
      <w:r>
        <w:t xml:space="preserve"> (6), 1699–1706. https://doi.org/10.1111/gcb.12437.</w:t>
      </w:r>
    </w:p>
    <w:p w14:paraId="3D8B345B" w14:textId="77777777" w:rsidR="00A43A89" w:rsidRDefault="00A43A89" w:rsidP="00A43A89">
      <w:pPr>
        <w:pStyle w:val="Bibliography0"/>
      </w:pPr>
      <w:r>
        <w:t>(23)</w:t>
      </w:r>
      <w:r>
        <w:tab/>
        <w:t xml:space="preserve">Hallan, C.; González, A. Adaptive Responses to Landscape Changes from Onshore Wind Energy Development in the Republic of Ireland. </w:t>
      </w:r>
      <w:r>
        <w:rPr>
          <w:i/>
          <w:iCs/>
        </w:rPr>
        <w:t>Land Use Policy</w:t>
      </w:r>
      <w:r>
        <w:t xml:space="preserve"> </w:t>
      </w:r>
      <w:r>
        <w:rPr>
          <w:b/>
          <w:bCs/>
        </w:rPr>
        <w:t>2020</w:t>
      </w:r>
      <w:r>
        <w:t xml:space="preserve">, </w:t>
      </w:r>
      <w:r>
        <w:rPr>
          <w:i/>
          <w:iCs/>
        </w:rPr>
        <w:t>97</w:t>
      </w:r>
      <w:r>
        <w:t>, 104751. https://doi.org/10.1016/j.landusepol.2020.104751.</w:t>
      </w:r>
    </w:p>
    <w:p w14:paraId="206458F5" w14:textId="77777777" w:rsidR="00A43A89" w:rsidRDefault="00A43A89" w:rsidP="00A43A89">
      <w:pPr>
        <w:pStyle w:val="Bibliography0"/>
      </w:pPr>
      <w:r>
        <w:t>(24)</w:t>
      </w:r>
      <w:r>
        <w:tab/>
        <w:t xml:space="preserve">Tabassum-Abbasi; Premalatha, M.; Abbasi, T.; Abbasi, S. A. Wind Energy: Increasing Deployment, Rising Environmental Concerns. </w:t>
      </w:r>
      <w:r>
        <w:rPr>
          <w:i/>
          <w:iCs/>
        </w:rPr>
        <w:t>Renew. Sustain. Energy Rev.</w:t>
      </w:r>
      <w:r>
        <w:t xml:space="preserve"> </w:t>
      </w:r>
      <w:r>
        <w:rPr>
          <w:b/>
          <w:bCs/>
        </w:rPr>
        <w:t>2014</w:t>
      </w:r>
      <w:r>
        <w:t xml:space="preserve">, </w:t>
      </w:r>
      <w:r>
        <w:rPr>
          <w:i/>
          <w:iCs/>
        </w:rPr>
        <w:t>31</w:t>
      </w:r>
      <w:r>
        <w:t>, 270–288. https://doi.org/10.1016/j.rser.2013.11.019.</w:t>
      </w:r>
    </w:p>
    <w:p w14:paraId="44B576EF" w14:textId="77777777" w:rsidR="00A43A89" w:rsidRDefault="00A43A89" w:rsidP="00A43A89">
      <w:pPr>
        <w:pStyle w:val="Bibliography0"/>
      </w:pPr>
      <w:r>
        <w:t>(25)</w:t>
      </w:r>
      <w:r>
        <w:tab/>
        <w:t xml:space="preserve">Troia, M. J.; McManamay, R. A.; Kao, S.-C.; O’Connor, P. W. A Heuristic Tool to Assess Regional Impacts of Renewable Energy Infrastructure on Conservation Areas. </w:t>
      </w:r>
      <w:r>
        <w:rPr>
          <w:i/>
          <w:iCs/>
        </w:rPr>
        <w:t>Biol. Conserv.</w:t>
      </w:r>
      <w:r>
        <w:t xml:space="preserve"> </w:t>
      </w:r>
      <w:r>
        <w:rPr>
          <w:b/>
          <w:bCs/>
        </w:rPr>
        <w:t>2021</w:t>
      </w:r>
      <w:r>
        <w:t xml:space="preserve">, </w:t>
      </w:r>
      <w:r>
        <w:rPr>
          <w:i/>
          <w:iCs/>
        </w:rPr>
        <w:t>263</w:t>
      </w:r>
      <w:r>
        <w:t>, 109334. https://doi.org/10.1016/j.biocon.2021.109334.</w:t>
      </w:r>
    </w:p>
    <w:p w14:paraId="00A0970E" w14:textId="77777777" w:rsidR="00A43A89" w:rsidRDefault="00A43A89" w:rsidP="00A43A89">
      <w:pPr>
        <w:pStyle w:val="Bibliography0"/>
      </w:pPr>
      <w:r>
        <w:t>(26)</w:t>
      </w:r>
      <w:r>
        <w:tab/>
        <w:t xml:space="preserve">Wu, G. C.; Deshmukh, R.; Trainor, A.; Uppal, A.; Chowdhury, A. F. M. K.; Baez, C.; Martin, E.; Higgins, J.; Mileva, A.; Ndhlukula, K. Avoiding Ecosystem and Social Impacts of Hydropower, Wind, and Solar in Southern Africa’s Low-Carbon Electricity System. </w:t>
      </w:r>
      <w:r>
        <w:rPr>
          <w:i/>
          <w:iCs/>
        </w:rPr>
        <w:t>Nat. Commun.</w:t>
      </w:r>
      <w:r>
        <w:t xml:space="preserve"> </w:t>
      </w:r>
      <w:r>
        <w:rPr>
          <w:b/>
          <w:bCs/>
        </w:rPr>
        <w:t>2024</w:t>
      </w:r>
      <w:r>
        <w:t xml:space="preserve">, </w:t>
      </w:r>
      <w:r>
        <w:rPr>
          <w:i/>
          <w:iCs/>
        </w:rPr>
        <w:t>15</w:t>
      </w:r>
      <w:r>
        <w:t xml:space="preserve"> (1), 1083. https://doi.org/10.1038/s41467-024-45313-z.</w:t>
      </w:r>
    </w:p>
    <w:p w14:paraId="2BCF9A9A" w14:textId="77777777" w:rsidR="00A43A89" w:rsidRDefault="00A43A89" w:rsidP="00A43A89">
      <w:pPr>
        <w:pStyle w:val="Bibliography0"/>
      </w:pPr>
      <w:r>
        <w:t>(27)</w:t>
      </w:r>
      <w:r>
        <w:tab/>
        <w:t xml:space="preserve">Cleber J. R. Alho. Hydropower Dams and Reservoirs and Their Impacts on Brazil’s Biodiversity and Natural Habitats: A Review. </w:t>
      </w:r>
      <w:r>
        <w:rPr>
          <w:i/>
          <w:iCs/>
        </w:rPr>
        <w:t>World J. Adv. Res. Rev.</w:t>
      </w:r>
      <w:r>
        <w:t xml:space="preserve"> </w:t>
      </w:r>
      <w:r>
        <w:rPr>
          <w:b/>
          <w:bCs/>
        </w:rPr>
        <w:t>2020</w:t>
      </w:r>
      <w:r>
        <w:t xml:space="preserve">, </w:t>
      </w:r>
      <w:r>
        <w:rPr>
          <w:i/>
          <w:iCs/>
        </w:rPr>
        <w:t>6</w:t>
      </w:r>
      <w:r>
        <w:t xml:space="preserve"> (3), 205–215. https://doi.org/10.30574/wjarr.2020.6.3.0197.</w:t>
      </w:r>
    </w:p>
    <w:p w14:paraId="566AC75C" w14:textId="77777777" w:rsidR="00A43A89" w:rsidRDefault="00A43A89" w:rsidP="00A43A89">
      <w:pPr>
        <w:pStyle w:val="Bibliography0"/>
      </w:pPr>
      <w:r>
        <w:t>(28)</w:t>
      </w:r>
      <w:r>
        <w:tab/>
        <w:t xml:space="preserve">Fuso Nerini, F.; Sovacool, B.; Hughes, N.; Cozzi, L.; Cosgrave, E.; Howells, M.; Tavoni, M.; Tomei, J.; Zerriffi, H.; Milligan, B. Connecting Climate Action with Other Sustainable Development Goals. </w:t>
      </w:r>
      <w:r>
        <w:rPr>
          <w:i/>
          <w:iCs/>
        </w:rPr>
        <w:t>Nat. Sustain.</w:t>
      </w:r>
      <w:r>
        <w:t xml:space="preserve"> </w:t>
      </w:r>
      <w:r>
        <w:rPr>
          <w:b/>
          <w:bCs/>
        </w:rPr>
        <w:t>2019</w:t>
      </w:r>
      <w:r>
        <w:t xml:space="preserve">, </w:t>
      </w:r>
      <w:r>
        <w:rPr>
          <w:i/>
          <w:iCs/>
        </w:rPr>
        <w:t>2</w:t>
      </w:r>
      <w:r>
        <w:t xml:space="preserve"> (8), 674–680. https://doi.org/10.1038/s41893-019-0334-y.</w:t>
      </w:r>
    </w:p>
    <w:p w14:paraId="596EE95A" w14:textId="77777777" w:rsidR="00A43A89" w:rsidRDefault="00A43A89" w:rsidP="00A43A89">
      <w:pPr>
        <w:pStyle w:val="Bibliography0"/>
      </w:pPr>
      <w:r>
        <w:t>(29)</w:t>
      </w:r>
      <w:r>
        <w:tab/>
        <w:t xml:space="preserve">Levin, M. O.; Kalies, E. L.; Forester, E.; Jackson, E. L. A.; Levin, A. H.; Markus, C.; McKenzie, P. F.; Meek, J. B.; Hernandez, R. R. Solar Energy-Driven Land-Cover Change Could Alter Landscapes Critical to Animal Movement in the Continental United States. </w:t>
      </w:r>
      <w:r>
        <w:rPr>
          <w:i/>
          <w:iCs/>
        </w:rPr>
        <w:t>Environ. Sci. Technol.</w:t>
      </w:r>
      <w:r>
        <w:t xml:space="preserve"> </w:t>
      </w:r>
      <w:r>
        <w:rPr>
          <w:b/>
          <w:bCs/>
        </w:rPr>
        <w:t>2023</w:t>
      </w:r>
      <w:r>
        <w:t xml:space="preserve">, </w:t>
      </w:r>
      <w:r>
        <w:rPr>
          <w:i/>
          <w:iCs/>
        </w:rPr>
        <w:t>57</w:t>
      </w:r>
      <w:r>
        <w:t xml:space="preserve"> (31), 11499–11509. https://doi.org/10.1021/acs.est.3c00578.</w:t>
      </w:r>
    </w:p>
    <w:p w14:paraId="0EFB0A73" w14:textId="77777777" w:rsidR="00A43A89" w:rsidRDefault="00A43A89" w:rsidP="00A43A89">
      <w:pPr>
        <w:pStyle w:val="Bibliography0"/>
      </w:pPr>
      <w:r>
        <w:t>(30)</w:t>
      </w:r>
      <w:r>
        <w:tab/>
        <w:t xml:space="preserve">Lovering, J.; Swain, M.; Blomqvist, L.; Hernandez, R. R. Land-Use Intensity of </w:t>
      </w:r>
      <w:r>
        <w:lastRenderedPageBreak/>
        <w:t xml:space="preserve">Electricity Production and Tomorrow’s Energy Landscape. </w:t>
      </w:r>
      <w:r>
        <w:rPr>
          <w:i/>
          <w:iCs/>
        </w:rPr>
        <w:t>PLOS ONE</w:t>
      </w:r>
      <w:r>
        <w:t xml:space="preserve"> </w:t>
      </w:r>
      <w:r>
        <w:rPr>
          <w:b/>
          <w:bCs/>
        </w:rPr>
        <w:t>2022</w:t>
      </w:r>
      <w:r>
        <w:t xml:space="preserve">, </w:t>
      </w:r>
      <w:r>
        <w:rPr>
          <w:i/>
          <w:iCs/>
        </w:rPr>
        <w:t>17</w:t>
      </w:r>
      <w:r>
        <w:t xml:space="preserve"> (7), e0270155. https://doi.org/10.1371/journal.pone.0270155.</w:t>
      </w:r>
    </w:p>
    <w:p w14:paraId="4FCC8EB4" w14:textId="77777777" w:rsidR="00A43A89" w:rsidRDefault="00A43A89" w:rsidP="00A43A89">
      <w:pPr>
        <w:pStyle w:val="Bibliography0"/>
      </w:pPr>
      <w:r>
        <w:t>(31)</w:t>
      </w:r>
      <w:r>
        <w:tab/>
        <w:t xml:space="preserve">McManamay, R. A.; Vernon, C. R.; Jager, H. I. Global Biodiversity Implications of Alternative Electrification Strategies Under the Shared Socioeconomic Pathways. </w:t>
      </w:r>
      <w:r>
        <w:rPr>
          <w:i/>
          <w:iCs/>
        </w:rPr>
        <w:t>Biol. Conserv.</w:t>
      </w:r>
      <w:r>
        <w:t xml:space="preserve"> </w:t>
      </w:r>
      <w:r>
        <w:rPr>
          <w:b/>
          <w:bCs/>
        </w:rPr>
        <w:t>2021</w:t>
      </w:r>
      <w:r>
        <w:t xml:space="preserve">, </w:t>
      </w:r>
      <w:r>
        <w:rPr>
          <w:i/>
          <w:iCs/>
        </w:rPr>
        <w:t>260</w:t>
      </w:r>
      <w:r>
        <w:t>, 109234. https://doi.org/10.1016/j.biocon.2021.109234.</w:t>
      </w:r>
    </w:p>
    <w:p w14:paraId="758B80AE" w14:textId="77777777" w:rsidR="00A43A89" w:rsidRDefault="00A43A89" w:rsidP="00A43A89">
      <w:pPr>
        <w:pStyle w:val="Bibliography0"/>
      </w:pPr>
      <w:r>
        <w:t>(32)</w:t>
      </w:r>
      <w:r>
        <w:tab/>
        <w:t xml:space="preserve">Zhang, N.; Duan, H.; Shan, Y.; Miller, T. R.; Yang, J.; Bai, X. Booming Solar Energy Is Encroaching on Cropland. </w:t>
      </w:r>
      <w:r>
        <w:rPr>
          <w:i/>
          <w:iCs/>
        </w:rPr>
        <w:t>Nat. Geosci.</w:t>
      </w:r>
      <w:r>
        <w:t xml:space="preserve"> </w:t>
      </w:r>
      <w:r>
        <w:rPr>
          <w:b/>
          <w:bCs/>
        </w:rPr>
        <w:t>2023</w:t>
      </w:r>
      <w:r>
        <w:t xml:space="preserve">, </w:t>
      </w:r>
      <w:r>
        <w:rPr>
          <w:i/>
          <w:iCs/>
        </w:rPr>
        <w:t>16</w:t>
      </w:r>
      <w:r>
        <w:t xml:space="preserve"> (11), 932–934. https://doi.org/10.1038/s41561-023-01304-1.</w:t>
      </w:r>
    </w:p>
    <w:p w14:paraId="03D485A1" w14:textId="77777777" w:rsidR="00A43A89" w:rsidRDefault="00A43A89" w:rsidP="00A43A89">
      <w:pPr>
        <w:pStyle w:val="Bibliography0"/>
      </w:pPr>
      <w:r>
        <w:t>(33)</w:t>
      </w:r>
      <w:r>
        <w:tab/>
        <w:t xml:space="preserve">Schipper, A. M.; Hilbers, J. P.; Meijer, J. R.; Antão, L. H.; Benítez‐López, A.; Jonge, M. M. J.; Leemans, L. H.; Scheper, E.; Alkemade, R.; Doelman, J. C.; Mylius, S.; Stehfest, E.; Vuuren, D. P.; Zeist, W.; Huijbregts, M. A. J. Projecting Terrestrial Biodiversity Intactness with GLOBIO 4. </w:t>
      </w:r>
      <w:r>
        <w:rPr>
          <w:i/>
          <w:iCs/>
        </w:rPr>
        <w:t>Glob. Change Biol.</w:t>
      </w:r>
      <w:r>
        <w:t xml:space="preserve"> </w:t>
      </w:r>
      <w:r>
        <w:rPr>
          <w:b/>
          <w:bCs/>
        </w:rPr>
        <w:t>2020</w:t>
      </w:r>
      <w:r>
        <w:t xml:space="preserve">, </w:t>
      </w:r>
      <w:r>
        <w:rPr>
          <w:i/>
          <w:iCs/>
        </w:rPr>
        <w:t>26</w:t>
      </w:r>
      <w:r>
        <w:t xml:space="preserve"> (2), 760–771. https://doi.org/10.1111/gcb.14848.</w:t>
      </w:r>
    </w:p>
    <w:p w14:paraId="0B17330E" w14:textId="77777777" w:rsidR="00A43A89" w:rsidRDefault="00A43A89" w:rsidP="00A43A89">
      <w:pPr>
        <w:pStyle w:val="Bibliography0"/>
      </w:pPr>
      <w:r>
        <w:t>(34)</w:t>
      </w:r>
      <w:r>
        <w:tab/>
        <w:t xml:space="preserve">Gasparatos, A.; Ahmed, A.; Voigt, C. Facilitating Policy Responses for Renewable Energy and Biodiversity. </w:t>
      </w:r>
      <w:r>
        <w:rPr>
          <w:i/>
          <w:iCs/>
        </w:rPr>
        <w:t>Trends Ecol. Evol.</w:t>
      </w:r>
      <w:r>
        <w:t xml:space="preserve"> </w:t>
      </w:r>
      <w:r>
        <w:rPr>
          <w:b/>
          <w:bCs/>
        </w:rPr>
        <w:t>2021</w:t>
      </w:r>
      <w:r>
        <w:t xml:space="preserve">, </w:t>
      </w:r>
      <w:r>
        <w:rPr>
          <w:i/>
          <w:iCs/>
        </w:rPr>
        <w:t>36</w:t>
      </w:r>
      <w:r>
        <w:t xml:space="preserve"> (5), 377–380. https://doi.org/10.1016/j.tree.2021.01.013.</w:t>
      </w:r>
    </w:p>
    <w:p w14:paraId="140E5118" w14:textId="77777777" w:rsidR="00A43A89" w:rsidRDefault="00A43A89" w:rsidP="00A43A89">
      <w:pPr>
        <w:pStyle w:val="Bibliography0"/>
      </w:pPr>
      <w:r>
        <w:t>(35)</w:t>
      </w:r>
      <w:r>
        <w:tab/>
        <w:t xml:space="preserve">Johnson, J. A.; Kennedy, C. M.; Oakleaf, J. R.; Baruch-Mordo, S.; Polasky, S.; Kiesecker, J. Energy Matters: Mitigating the Impacts of Future Land Expansion Will Require Managing Energy and Extractive Footprints. </w:t>
      </w:r>
      <w:r>
        <w:rPr>
          <w:i/>
          <w:iCs/>
        </w:rPr>
        <w:t>Ecol. Econ.</w:t>
      </w:r>
      <w:r>
        <w:t xml:space="preserve"> </w:t>
      </w:r>
      <w:r>
        <w:rPr>
          <w:b/>
          <w:bCs/>
        </w:rPr>
        <w:t>2021</w:t>
      </w:r>
      <w:r>
        <w:t xml:space="preserve">, </w:t>
      </w:r>
      <w:r>
        <w:rPr>
          <w:i/>
          <w:iCs/>
        </w:rPr>
        <w:t>187</w:t>
      </w:r>
      <w:r>
        <w:t>, 107106. https://doi.org/10.1016/j.ecolecon.2021.107106.</w:t>
      </w:r>
    </w:p>
    <w:p w14:paraId="0449B142" w14:textId="77777777" w:rsidR="00A43A89" w:rsidRDefault="00A43A89" w:rsidP="00A43A89">
      <w:pPr>
        <w:pStyle w:val="Bibliography0"/>
      </w:pPr>
      <w:r>
        <w:t>(36)</w:t>
      </w:r>
      <w:r>
        <w:tab/>
        <w:t xml:space="preserve">Finch, T.; Bradbury, R. B.; Bradfer-Lawrence, T.; Buchanan, G. M.; Copping, J. P.; Massimino, D.; Smith, P.; Peach, W. J.; Field, R. H. Spatially Targeted Nature-Based Solutions Can Mitigate Climate Change and Nature Loss but Require a Systems Approach. </w:t>
      </w:r>
      <w:r>
        <w:rPr>
          <w:i/>
          <w:iCs/>
        </w:rPr>
        <w:t>One Earth</w:t>
      </w:r>
      <w:r>
        <w:t xml:space="preserve"> </w:t>
      </w:r>
      <w:r>
        <w:rPr>
          <w:b/>
          <w:bCs/>
        </w:rPr>
        <w:t>2023</w:t>
      </w:r>
      <w:r>
        <w:t xml:space="preserve">, </w:t>
      </w:r>
      <w:r>
        <w:rPr>
          <w:i/>
          <w:iCs/>
        </w:rPr>
        <w:t>6</w:t>
      </w:r>
      <w:r>
        <w:t xml:space="preserve"> (10), 1350–1374. https://doi.org/10.1016/j.oneear.2023.09.005.</w:t>
      </w:r>
    </w:p>
    <w:p w14:paraId="1A21D28C" w14:textId="77777777" w:rsidR="00A43A89" w:rsidRDefault="00A43A89" w:rsidP="00A43A89">
      <w:pPr>
        <w:pStyle w:val="Bibliography0"/>
      </w:pPr>
      <w:r>
        <w:t>(37)</w:t>
      </w:r>
      <w:r>
        <w:tab/>
        <w:t xml:space="preserve">Chaudhary, A.; Brooks, T. M. National Consumption and Global Trade Impacts on Biodiversity. </w:t>
      </w:r>
      <w:r>
        <w:rPr>
          <w:i/>
          <w:iCs/>
        </w:rPr>
        <w:t>World Dev.</w:t>
      </w:r>
      <w:r>
        <w:t xml:space="preserve"> </w:t>
      </w:r>
      <w:r>
        <w:rPr>
          <w:b/>
          <w:bCs/>
        </w:rPr>
        <w:t>2019</w:t>
      </w:r>
      <w:r>
        <w:t xml:space="preserve">, </w:t>
      </w:r>
      <w:r>
        <w:rPr>
          <w:i/>
          <w:iCs/>
        </w:rPr>
        <w:t>121</w:t>
      </w:r>
      <w:r>
        <w:t>, 178–187. https://doi.org/10.1016/j.worlddev.2017.10.012.</w:t>
      </w:r>
    </w:p>
    <w:p w14:paraId="1E9706B9" w14:textId="77777777" w:rsidR="00A43A89" w:rsidRDefault="00A43A89" w:rsidP="00A43A89">
      <w:pPr>
        <w:pStyle w:val="Bibliography0"/>
      </w:pPr>
      <w:r>
        <w:t>(38)</w:t>
      </w:r>
      <w:r>
        <w:tab/>
        <w:t xml:space="preserve">Chaudhary, A.; Kastner, T. Land Use Biodiversity Impacts Embodied in International Food Trade. </w:t>
      </w:r>
      <w:r>
        <w:rPr>
          <w:i/>
          <w:iCs/>
        </w:rPr>
        <w:t>Glob. Environ. Change</w:t>
      </w:r>
      <w:r>
        <w:t xml:space="preserve"> </w:t>
      </w:r>
      <w:r>
        <w:rPr>
          <w:b/>
          <w:bCs/>
        </w:rPr>
        <w:t>2016</w:t>
      </w:r>
      <w:r>
        <w:t xml:space="preserve">, </w:t>
      </w:r>
      <w:r>
        <w:rPr>
          <w:i/>
          <w:iCs/>
        </w:rPr>
        <w:t>38</w:t>
      </w:r>
      <w:r>
        <w:t>, 195–204. https://doi.org/10.1016/j.gloenvcha.2016.03.013.</w:t>
      </w:r>
    </w:p>
    <w:p w14:paraId="22E9B416" w14:textId="77777777" w:rsidR="00A43A89" w:rsidRDefault="00A43A89" w:rsidP="00A43A89">
      <w:pPr>
        <w:pStyle w:val="Bibliography0"/>
      </w:pPr>
      <w:r>
        <w:t>(39)</w:t>
      </w:r>
      <w:r>
        <w:tab/>
        <w:t xml:space="preserve">Lenzen, M.; Moran, D.; Kanemoto, K.; Foran, B.; Lobefaro, L.; Geschke, A. International Trade Drives Biodiversity Threats in Developing Nations. </w:t>
      </w:r>
      <w:r>
        <w:rPr>
          <w:i/>
          <w:iCs/>
        </w:rPr>
        <w:t>Nature</w:t>
      </w:r>
      <w:r>
        <w:t xml:space="preserve"> </w:t>
      </w:r>
      <w:r>
        <w:rPr>
          <w:b/>
          <w:bCs/>
        </w:rPr>
        <w:t>2012</w:t>
      </w:r>
      <w:r>
        <w:t xml:space="preserve">, </w:t>
      </w:r>
      <w:r>
        <w:rPr>
          <w:i/>
          <w:iCs/>
        </w:rPr>
        <w:t>486</w:t>
      </w:r>
      <w:r>
        <w:t xml:space="preserve"> (7401), 109–112. https://doi.org/10.1038/nature11145.</w:t>
      </w:r>
    </w:p>
    <w:p w14:paraId="7AAE7167" w14:textId="77777777" w:rsidR="00A43A89" w:rsidRDefault="00A43A89" w:rsidP="00A43A89">
      <w:pPr>
        <w:pStyle w:val="Bibliography0"/>
      </w:pPr>
      <w:r>
        <w:t>(40)</w:t>
      </w:r>
      <w:r>
        <w:tab/>
        <w:t xml:space="preserve">Qu, S.; Li, Y.; Liang, S.; Yuan, J.; Xu, M. Virtual CO </w:t>
      </w:r>
      <w:r>
        <w:rPr>
          <w:vertAlign w:val="subscript"/>
        </w:rPr>
        <w:t>2</w:t>
      </w:r>
      <w:r>
        <w:t xml:space="preserve"> Emission Flows in the Global Electricity Trade Network. </w:t>
      </w:r>
      <w:r>
        <w:rPr>
          <w:i/>
          <w:iCs/>
        </w:rPr>
        <w:t>Environ. Sci. Technol.</w:t>
      </w:r>
      <w:r>
        <w:t xml:space="preserve"> </w:t>
      </w:r>
      <w:r>
        <w:rPr>
          <w:b/>
          <w:bCs/>
        </w:rPr>
        <w:t>2018</w:t>
      </w:r>
      <w:r>
        <w:t xml:space="preserve">, </w:t>
      </w:r>
      <w:r>
        <w:rPr>
          <w:i/>
          <w:iCs/>
        </w:rPr>
        <w:t>52</w:t>
      </w:r>
      <w:r>
        <w:t xml:space="preserve"> (11), 6666–6675. https://doi.org/10.1021/acs.est.7b05191.</w:t>
      </w:r>
    </w:p>
    <w:p w14:paraId="11416C37" w14:textId="77777777" w:rsidR="00A43A89" w:rsidRDefault="00A43A89" w:rsidP="00A43A89">
      <w:pPr>
        <w:pStyle w:val="Bibliography0"/>
      </w:pPr>
      <w:r>
        <w:t>(41)</w:t>
      </w:r>
      <w:r>
        <w:tab/>
        <w:t xml:space="preserve">Peters, G. P.; Minx, J. C.; Weber, C. L.; Edenhofer, O. Growth in Emission Transfers via International Trade from 1990 to 2008. </w:t>
      </w:r>
      <w:r>
        <w:rPr>
          <w:i/>
          <w:iCs/>
        </w:rPr>
        <w:t>Proc. Natl. Acad. Sci.</w:t>
      </w:r>
      <w:r>
        <w:t xml:space="preserve"> </w:t>
      </w:r>
      <w:r>
        <w:rPr>
          <w:b/>
          <w:bCs/>
        </w:rPr>
        <w:t>2011</w:t>
      </w:r>
      <w:r>
        <w:t xml:space="preserve">, </w:t>
      </w:r>
      <w:r>
        <w:rPr>
          <w:i/>
          <w:iCs/>
        </w:rPr>
        <w:t>108</w:t>
      </w:r>
      <w:r>
        <w:t xml:space="preserve"> (21), 8903–8908. https://doi.org/10.1073/pnas.1006388108.</w:t>
      </w:r>
    </w:p>
    <w:p w14:paraId="15E12DC2" w14:textId="77777777" w:rsidR="00A43A89" w:rsidRDefault="00A43A89" w:rsidP="00A43A89">
      <w:pPr>
        <w:pStyle w:val="Bibliography0"/>
      </w:pPr>
      <w:r>
        <w:t>(42)</w:t>
      </w:r>
      <w:r>
        <w:tab/>
        <w:t xml:space="preserve">Morton, O.; Scheffers, B. R.; Haugaasen, T.; Edwards, D. P. Impacts of Wildlife Trade on Terrestrial Biodiversity. </w:t>
      </w:r>
      <w:r>
        <w:rPr>
          <w:i/>
          <w:iCs/>
        </w:rPr>
        <w:t>Nat. Ecol. Evol.</w:t>
      </w:r>
      <w:r>
        <w:t xml:space="preserve"> </w:t>
      </w:r>
      <w:r>
        <w:rPr>
          <w:b/>
          <w:bCs/>
        </w:rPr>
        <w:t>2021</w:t>
      </w:r>
      <w:r>
        <w:t xml:space="preserve">, </w:t>
      </w:r>
      <w:r>
        <w:rPr>
          <w:i/>
          <w:iCs/>
        </w:rPr>
        <w:t>5</w:t>
      </w:r>
      <w:r>
        <w:t xml:space="preserve"> (4), 540–548. </w:t>
      </w:r>
      <w:r>
        <w:lastRenderedPageBreak/>
        <w:t>https://doi.org/10.1038/s41559-021-01399-y.</w:t>
      </w:r>
    </w:p>
    <w:p w14:paraId="7AA532A8" w14:textId="77777777" w:rsidR="00A43A89" w:rsidRDefault="00A43A89" w:rsidP="00A43A89">
      <w:pPr>
        <w:pStyle w:val="Bibliography0"/>
      </w:pPr>
      <w:r>
        <w:t>(43)</w:t>
      </w:r>
      <w:r>
        <w:tab/>
        <w:t xml:space="preserve">Moran, D.; Kanemoto, K. Identifying Species Threat Hotspots from Global Supply Chains. </w:t>
      </w:r>
      <w:r>
        <w:rPr>
          <w:i/>
          <w:iCs/>
        </w:rPr>
        <w:t>Nat. Ecol. Evol.</w:t>
      </w:r>
      <w:r>
        <w:t xml:space="preserve"> </w:t>
      </w:r>
      <w:r>
        <w:rPr>
          <w:b/>
          <w:bCs/>
        </w:rPr>
        <w:t>2017</w:t>
      </w:r>
      <w:r>
        <w:t xml:space="preserve">, </w:t>
      </w:r>
      <w:r>
        <w:rPr>
          <w:i/>
          <w:iCs/>
        </w:rPr>
        <w:t>1</w:t>
      </w:r>
      <w:r>
        <w:t xml:space="preserve"> (1), 0023. https://doi.org/10.1038/s41559-016-0023.</w:t>
      </w:r>
    </w:p>
    <w:p w14:paraId="2E95464D" w14:textId="77777777" w:rsidR="00A43A89" w:rsidRDefault="00A43A89" w:rsidP="00A43A89">
      <w:pPr>
        <w:pStyle w:val="Bibliography0"/>
      </w:pPr>
      <w:r>
        <w:t>(44)</w:t>
      </w:r>
      <w:r>
        <w:tab/>
        <w:t xml:space="preserve">Wang, Z.; Zeng, Y.; Li, C.; Yan, H.; Yu, S.; Wang, L.; Shi, Z. Telecoupling Cropland Soil Erosion with Distant Drivers within China. </w:t>
      </w:r>
      <w:r>
        <w:rPr>
          <w:i/>
          <w:iCs/>
        </w:rPr>
        <w:t>J. Environ. Manage.</w:t>
      </w:r>
      <w:r>
        <w:t xml:space="preserve"> </w:t>
      </w:r>
      <w:r>
        <w:rPr>
          <w:b/>
          <w:bCs/>
        </w:rPr>
        <w:t>2021</w:t>
      </w:r>
      <w:r>
        <w:t xml:space="preserve">, </w:t>
      </w:r>
      <w:r>
        <w:rPr>
          <w:i/>
          <w:iCs/>
        </w:rPr>
        <w:t>288</w:t>
      </w:r>
      <w:r>
        <w:t>, 112395. https://doi.org/10.1016/j.jenvman.2021.112395.</w:t>
      </w:r>
    </w:p>
    <w:p w14:paraId="2FB6C7C6" w14:textId="77777777" w:rsidR="00A43A89" w:rsidRDefault="00A43A89" w:rsidP="00A43A89">
      <w:pPr>
        <w:pStyle w:val="Bibliography0"/>
      </w:pPr>
      <w:r>
        <w:t>(45)</w:t>
      </w:r>
      <w:r>
        <w:tab/>
        <w:t xml:space="preserve">Grandell, L.; Lehtilä, A.; Kivinen, M.; Koljonen, T.; Kihlman, S.; Lauri, L. S. Role of Critical Metals in the Future Markets of Clean Energy Technologies. </w:t>
      </w:r>
      <w:r>
        <w:rPr>
          <w:i/>
          <w:iCs/>
        </w:rPr>
        <w:t>Renew. Energy</w:t>
      </w:r>
      <w:r>
        <w:t xml:space="preserve"> </w:t>
      </w:r>
      <w:r>
        <w:rPr>
          <w:b/>
          <w:bCs/>
        </w:rPr>
        <w:t>2016</w:t>
      </w:r>
      <w:r>
        <w:t xml:space="preserve">, </w:t>
      </w:r>
      <w:r>
        <w:rPr>
          <w:i/>
          <w:iCs/>
        </w:rPr>
        <w:t>95</w:t>
      </w:r>
      <w:r>
        <w:t>, 53–62. https://doi.org/10.1016/j.renene.2016.03.102.</w:t>
      </w:r>
    </w:p>
    <w:p w14:paraId="121ABB91" w14:textId="77777777" w:rsidR="00A43A89" w:rsidRDefault="00A43A89" w:rsidP="00A43A89">
      <w:pPr>
        <w:pStyle w:val="Bibliography0"/>
      </w:pPr>
      <w:r>
        <w:t>(46)</w:t>
      </w:r>
      <w:r>
        <w:tab/>
        <w:t xml:space="preserve">Kober, T.; Schiffer, H.-W.; Densing, M.; Panos, E. Global Energy Perspectives to 2060 – WEC’s World Energy Scenarios 2019. </w:t>
      </w:r>
      <w:r>
        <w:rPr>
          <w:i/>
          <w:iCs/>
        </w:rPr>
        <w:t>Energy Strategy Rev.</w:t>
      </w:r>
      <w:r>
        <w:t xml:space="preserve"> </w:t>
      </w:r>
      <w:r>
        <w:rPr>
          <w:b/>
          <w:bCs/>
        </w:rPr>
        <w:t>2020</w:t>
      </w:r>
      <w:r>
        <w:t xml:space="preserve">, </w:t>
      </w:r>
      <w:r>
        <w:rPr>
          <w:i/>
          <w:iCs/>
        </w:rPr>
        <w:t>31</w:t>
      </w:r>
      <w:r>
        <w:t>, 100523. https://doi.org/10.1016/j.esr.2020.100523.</w:t>
      </w:r>
    </w:p>
    <w:p w14:paraId="269A6BD7" w14:textId="77777777" w:rsidR="00A43A89" w:rsidRDefault="00A43A89" w:rsidP="00A43A89">
      <w:pPr>
        <w:pStyle w:val="Bibliography0"/>
      </w:pPr>
      <w:r>
        <w:t>(47)</w:t>
      </w:r>
      <w:r>
        <w:tab/>
        <w:t xml:space="preserve">López Prol, J.; Steininger, K. W.; Williges, K.; Grossmann, W. D.; Grossmann, I. Potential Gains of Long-Distance Trade in Electricity. </w:t>
      </w:r>
      <w:r>
        <w:rPr>
          <w:i/>
          <w:iCs/>
        </w:rPr>
        <w:t>Energy Econ.</w:t>
      </w:r>
      <w:r>
        <w:t xml:space="preserve"> </w:t>
      </w:r>
      <w:r>
        <w:rPr>
          <w:b/>
          <w:bCs/>
        </w:rPr>
        <w:t>2023</w:t>
      </w:r>
      <w:r>
        <w:t xml:space="preserve">, </w:t>
      </w:r>
      <w:r>
        <w:rPr>
          <w:i/>
          <w:iCs/>
        </w:rPr>
        <w:t>124</w:t>
      </w:r>
      <w:r>
        <w:t>, 106739. https://doi.org/10.1016/j.eneco.2023.106739.</w:t>
      </w:r>
    </w:p>
    <w:p w14:paraId="0D27D97F" w14:textId="77777777" w:rsidR="00A43A89" w:rsidRDefault="00A43A89" w:rsidP="00A43A89">
      <w:pPr>
        <w:pStyle w:val="Bibliography0"/>
      </w:pPr>
      <w:r>
        <w:t>(48)</w:t>
      </w:r>
      <w:r>
        <w:tab/>
        <w:t xml:space="preserve">Wiedmann, T.; Lenzen, M. Environmental and Social Footprints of International Trade. </w:t>
      </w:r>
      <w:r>
        <w:rPr>
          <w:i/>
          <w:iCs/>
        </w:rPr>
        <w:t>Nat. Geosci.</w:t>
      </w:r>
      <w:r>
        <w:t xml:space="preserve"> </w:t>
      </w:r>
      <w:r>
        <w:rPr>
          <w:b/>
          <w:bCs/>
        </w:rPr>
        <w:t>2018</w:t>
      </w:r>
      <w:r>
        <w:t xml:space="preserve">, </w:t>
      </w:r>
      <w:r>
        <w:rPr>
          <w:i/>
          <w:iCs/>
        </w:rPr>
        <w:t>11</w:t>
      </w:r>
      <w:r>
        <w:t xml:space="preserve"> (5), 314–321. https://doi.org/10.1038/s41561-018-0113-9.</w:t>
      </w:r>
    </w:p>
    <w:p w14:paraId="4CCF8E10" w14:textId="5ACBAD73" w:rsidR="00A43A89" w:rsidRDefault="00A43A89" w:rsidP="00A43A89">
      <w:pPr>
        <w:pStyle w:val="Bibliography0"/>
      </w:pPr>
      <w:r>
        <w:t>(49)</w:t>
      </w:r>
      <w:r>
        <w:tab/>
      </w:r>
      <w:r w:rsidRPr="00E40231">
        <w:t>Torkington, S. </w:t>
      </w:r>
      <w:r w:rsidRPr="00E40231">
        <w:rPr>
          <w:i/>
          <w:iCs/>
        </w:rPr>
        <w:t>Renewable energy: Production of wind, solar and hydro energy is rising fast</w:t>
      </w:r>
      <w:r w:rsidRPr="00E40231">
        <w:t>. World Economic Forum. https://www.weforum.org/agenda/2022/11/renewable-energy-generation-soar.</w:t>
      </w:r>
    </w:p>
    <w:p w14:paraId="5189ED1A" w14:textId="77777777" w:rsidR="00A43A89" w:rsidRDefault="00A43A89" w:rsidP="00A43A89">
      <w:pPr>
        <w:pStyle w:val="Bibliography0"/>
      </w:pPr>
      <w:r>
        <w:t>(50)</w:t>
      </w:r>
      <w:r>
        <w:tab/>
        <w:t xml:space="preserve">Ashraf, U.; Morelli, T. L.; Smith, A. B.; Hernandez, R. R. Aligning Renewable Energy Expansion with Climate-Driven Range Shifts. </w:t>
      </w:r>
      <w:r>
        <w:rPr>
          <w:i/>
          <w:iCs/>
        </w:rPr>
        <w:t>Nat. Clim. Change</w:t>
      </w:r>
      <w:r>
        <w:t xml:space="preserve"> </w:t>
      </w:r>
      <w:r>
        <w:rPr>
          <w:b/>
          <w:bCs/>
        </w:rPr>
        <w:t>2024</w:t>
      </w:r>
      <w:r>
        <w:t>, 1–5. https://doi.org/10.1038/s41558-024-01941-3.</w:t>
      </w:r>
    </w:p>
    <w:p w14:paraId="3359F0DD" w14:textId="52C9F50F" w:rsidR="00A43A89" w:rsidRDefault="00A43A89" w:rsidP="00A43A89">
      <w:pPr>
        <w:pStyle w:val="Bibliography0"/>
      </w:pPr>
      <w:r>
        <w:t>(51)</w:t>
      </w:r>
      <w:r>
        <w:tab/>
      </w:r>
      <w:r w:rsidR="006F348E" w:rsidRPr="00E40231">
        <w:t>Energy Technology Perspectives 2017, IEA, Paris https://www.iea.org/reports/energy-technology-perspectives-2017, Licence: CC BY 4.0</w:t>
      </w:r>
      <w:r w:rsidR="006F348E">
        <w:t>.</w:t>
      </w:r>
    </w:p>
    <w:p w14:paraId="1C7A0FC6" w14:textId="77777777" w:rsidR="00A43A89" w:rsidRDefault="00A43A89" w:rsidP="00A43A89">
      <w:pPr>
        <w:pStyle w:val="Bibliography0"/>
      </w:pPr>
      <w:r>
        <w:t>(52)</w:t>
      </w:r>
      <w:r>
        <w:tab/>
        <w:t xml:space="preserve">Chaudhary, A.; Verones, F.; de Baan, L.; Hellweg, S. Quantifying Land Use Impacts on Biodiversity: Combining Species–Area Models and Vulnerability Indicators. </w:t>
      </w:r>
      <w:r>
        <w:rPr>
          <w:i/>
          <w:iCs/>
        </w:rPr>
        <w:t>Environ. Sci. Technol.</w:t>
      </w:r>
      <w:r>
        <w:t xml:space="preserve"> </w:t>
      </w:r>
      <w:r>
        <w:rPr>
          <w:b/>
          <w:bCs/>
        </w:rPr>
        <w:t>2015</w:t>
      </w:r>
      <w:r>
        <w:t xml:space="preserve">, </w:t>
      </w:r>
      <w:r>
        <w:rPr>
          <w:i/>
          <w:iCs/>
        </w:rPr>
        <w:t>49</w:t>
      </w:r>
      <w:r>
        <w:t xml:space="preserve"> (16), 9987–9995. https://doi.org/10.1021/acs.est.5b02507.</w:t>
      </w:r>
    </w:p>
    <w:p w14:paraId="11BBEF55" w14:textId="3617CBFB" w:rsidR="00A43A89" w:rsidRDefault="00A43A89" w:rsidP="00A43A89">
      <w:pPr>
        <w:pStyle w:val="Bibliography0"/>
      </w:pPr>
      <w:r>
        <w:t>(53)</w:t>
      </w:r>
      <w:r>
        <w:tab/>
      </w:r>
      <w:r>
        <w:rPr>
          <w:i/>
          <w:iCs/>
        </w:rPr>
        <w:t>Terrestrial Ecoregions of the World | Publications | WWF</w:t>
      </w:r>
      <w:r>
        <w:t>. World Wildlife Fund. https://www.worldwildlife.org/publications/terrestrial-ecoregions-of-the-world.</w:t>
      </w:r>
    </w:p>
    <w:p w14:paraId="71D93F88" w14:textId="77777777" w:rsidR="00A43A89" w:rsidRDefault="00A43A89" w:rsidP="00A43A89">
      <w:pPr>
        <w:pStyle w:val="Bibliography0"/>
      </w:pPr>
      <w:r>
        <w:t>(54)</w:t>
      </w:r>
      <w:r>
        <w:tab/>
        <w:t xml:space="preserve">Semenchuk, P.; Plutzar, C.; Kastner, T.; Matej, S.; Bidoglio, G.; Erb, K.-H.; Essl, F.; Haberl, H.; Wessely, J.; Krausmann, F.; Dullinger, S. Relative Effects of Land Conversion and Land-Use Intensity on Terrestrial Vertebrate Diversity. </w:t>
      </w:r>
      <w:r>
        <w:rPr>
          <w:i/>
          <w:iCs/>
        </w:rPr>
        <w:t>Nat. Commun.</w:t>
      </w:r>
      <w:r>
        <w:t xml:space="preserve"> </w:t>
      </w:r>
      <w:r>
        <w:rPr>
          <w:b/>
          <w:bCs/>
        </w:rPr>
        <w:t>2022</w:t>
      </w:r>
      <w:r>
        <w:t xml:space="preserve">, </w:t>
      </w:r>
      <w:r>
        <w:rPr>
          <w:i/>
          <w:iCs/>
        </w:rPr>
        <w:t>13</w:t>
      </w:r>
      <w:r>
        <w:t xml:space="preserve"> (1), 615. https://doi.org/10.1038/s41467-022-28245-4.</w:t>
      </w:r>
    </w:p>
    <w:p w14:paraId="36673254" w14:textId="77777777" w:rsidR="00A43A89" w:rsidRDefault="00A43A89" w:rsidP="00A43A89">
      <w:pPr>
        <w:pStyle w:val="Bibliography0"/>
      </w:pPr>
      <w:r>
        <w:t>(55)</w:t>
      </w:r>
      <w:r>
        <w:tab/>
        <w:t xml:space="preserve">Dorber, M.; Kuipers, K.; Verones, F. Global Characterization Factors for Terrestrial Biodiversity Impacts of Future Land Inundation in Life Cycle Assessment. </w:t>
      </w:r>
      <w:r>
        <w:rPr>
          <w:i/>
          <w:iCs/>
        </w:rPr>
        <w:t>Sci. Total Environ.</w:t>
      </w:r>
      <w:r>
        <w:t xml:space="preserve"> </w:t>
      </w:r>
      <w:r>
        <w:rPr>
          <w:b/>
          <w:bCs/>
        </w:rPr>
        <w:t>2020</w:t>
      </w:r>
      <w:r>
        <w:t xml:space="preserve">, </w:t>
      </w:r>
      <w:r>
        <w:rPr>
          <w:i/>
          <w:iCs/>
        </w:rPr>
        <w:t>712</w:t>
      </w:r>
      <w:r>
        <w:t>, 134582. https://doi.org/10.1016/j.scitotenv.2019.134582.</w:t>
      </w:r>
    </w:p>
    <w:p w14:paraId="300285FA" w14:textId="77777777" w:rsidR="00A43A89" w:rsidRDefault="00A43A89" w:rsidP="00A43A89">
      <w:pPr>
        <w:pStyle w:val="Bibliography0"/>
      </w:pPr>
      <w:r>
        <w:t>(56)</w:t>
      </w:r>
      <w:r>
        <w:tab/>
        <w:t xml:space="preserve">Verones, F.; Kuipers, K.; Núñez, M.; Rosa, F.; Scherer, L.; Marques, A.; Michelsen, O.; Barbarossa, V.; Jaffe, B.; Pfister, S.; Dorber, M. Global Extinction Probabilities of Terrestrial, Freshwater, and Marine Species Groups for Use in Life Cycle Assessment. </w:t>
      </w:r>
      <w:r>
        <w:rPr>
          <w:i/>
          <w:iCs/>
        </w:rPr>
        <w:lastRenderedPageBreak/>
        <w:t>Ecol. Indic.</w:t>
      </w:r>
      <w:r>
        <w:t xml:space="preserve"> </w:t>
      </w:r>
      <w:r>
        <w:rPr>
          <w:b/>
          <w:bCs/>
        </w:rPr>
        <w:t>2022</w:t>
      </w:r>
      <w:r>
        <w:t xml:space="preserve">, </w:t>
      </w:r>
      <w:r>
        <w:rPr>
          <w:i/>
          <w:iCs/>
        </w:rPr>
        <w:t>142</w:t>
      </w:r>
      <w:r>
        <w:t>, 109204. https://doi.org/10.1016/j.ecolind.2022.109204.</w:t>
      </w:r>
    </w:p>
    <w:p w14:paraId="6BDA89E8" w14:textId="77777777" w:rsidR="00A43A89" w:rsidRDefault="00A43A89" w:rsidP="00A43A89">
      <w:pPr>
        <w:pStyle w:val="Bibliography0"/>
      </w:pPr>
      <w:r>
        <w:t>(57)</w:t>
      </w:r>
      <w:r>
        <w:tab/>
        <w:t xml:space="preserve">Li, K.; Wang, L.; Wang, Z.; Hu, Y.; Zeng, Y.; Yan, H.; Xu, B.; Li, C.; Cui, H.; Yu, S.; Shi, Z. Multiple Perspective Accountings of Cropland Soil Erosion in China Reveal Its Complex Connection with Socioeconomic Activities. </w:t>
      </w:r>
      <w:r>
        <w:rPr>
          <w:i/>
          <w:iCs/>
        </w:rPr>
        <w:t>Agric. Ecosyst. Environ.</w:t>
      </w:r>
      <w:r>
        <w:t xml:space="preserve"> </w:t>
      </w:r>
      <w:r>
        <w:rPr>
          <w:b/>
          <w:bCs/>
        </w:rPr>
        <w:t>2022</w:t>
      </w:r>
      <w:r>
        <w:t xml:space="preserve">, </w:t>
      </w:r>
      <w:r>
        <w:rPr>
          <w:i/>
          <w:iCs/>
        </w:rPr>
        <w:t>337</w:t>
      </w:r>
      <w:r>
        <w:t>, 108083. https://doi.org/10.1016/j.agee.2022.108083.</w:t>
      </w:r>
    </w:p>
    <w:p w14:paraId="39E96B10" w14:textId="77777777" w:rsidR="00A43A89" w:rsidRDefault="00A43A89" w:rsidP="00A43A89">
      <w:pPr>
        <w:pStyle w:val="Bibliography0"/>
      </w:pPr>
      <w:r>
        <w:t>(58)</w:t>
      </w:r>
      <w:r>
        <w:tab/>
        <w:t xml:space="preserve">Hu, Y.; Lin, J.; Cui, S.; Khanna, N. Z. Measuring Urban Carbon Footprint from Carbon Flows in the Global Supply Chain. </w:t>
      </w:r>
      <w:r>
        <w:rPr>
          <w:i/>
          <w:iCs/>
        </w:rPr>
        <w:t>Environ. Sci. Technol.</w:t>
      </w:r>
      <w:r>
        <w:t xml:space="preserve"> </w:t>
      </w:r>
      <w:r>
        <w:rPr>
          <w:b/>
          <w:bCs/>
        </w:rPr>
        <w:t>2016</w:t>
      </w:r>
      <w:r>
        <w:t xml:space="preserve">, </w:t>
      </w:r>
      <w:r>
        <w:rPr>
          <w:i/>
          <w:iCs/>
        </w:rPr>
        <w:t>50</w:t>
      </w:r>
      <w:r>
        <w:t xml:space="preserve"> (12), 6154–6163. https://doi.org/10.1021/acs.est.6b00985.</w:t>
      </w:r>
    </w:p>
    <w:p w14:paraId="4ABD204D" w14:textId="77777777" w:rsidR="00A43A89" w:rsidRDefault="00A43A89" w:rsidP="00A43A89">
      <w:pPr>
        <w:pStyle w:val="Bibliography0"/>
      </w:pPr>
      <w:r>
        <w:t>(59)</w:t>
      </w:r>
      <w:r>
        <w:tab/>
        <w:t xml:space="preserve">Li, M.; Wiedmann, T.; Hadjikakou, M. Enabling Full Supply Chain Corporate Responsibility: Scope 3 Emissions Targets for Ambitious Climate Change Mitigation. </w:t>
      </w:r>
      <w:r>
        <w:rPr>
          <w:i/>
          <w:iCs/>
        </w:rPr>
        <w:t>Environ. Sci. Technol.</w:t>
      </w:r>
      <w:r>
        <w:t xml:space="preserve"> </w:t>
      </w:r>
      <w:r>
        <w:rPr>
          <w:b/>
          <w:bCs/>
        </w:rPr>
        <w:t>2020</w:t>
      </w:r>
      <w:r>
        <w:t xml:space="preserve">, </w:t>
      </w:r>
      <w:r>
        <w:rPr>
          <w:i/>
          <w:iCs/>
        </w:rPr>
        <w:t>54</w:t>
      </w:r>
      <w:r>
        <w:t xml:space="preserve"> (1), 400–411. https://doi.org/10.1021/acs.est.9b05245.</w:t>
      </w:r>
    </w:p>
    <w:p w14:paraId="548CFB7E" w14:textId="77777777" w:rsidR="00A43A89" w:rsidRDefault="00A43A89" w:rsidP="00A43A89">
      <w:pPr>
        <w:pStyle w:val="Bibliography0"/>
      </w:pPr>
      <w:r>
        <w:t>(60)</w:t>
      </w:r>
      <w:r>
        <w:tab/>
        <w:t xml:space="preserve">Malik, A.; Lenzen, M.; Ely, R. N.; Dietzenbacher, E. Simulating the Impact of New Industries on the Economy: The Case of Biorefining in Australia. </w:t>
      </w:r>
      <w:r>
        <w:rPr>
          <w:i/>
          <w:iCs/>
        </w:rPr>
        <w:t>Ecol. Econ.</w:t>
      </w:r>
      <w:r>
        <w:t xml:space="preserve"> </w:t>
      </w:r>
      <w:r>
        <w:rPr>
          <w:b/>
          <w:bCs/>
        </w:rPr>
        <w:t>2014</w:t>
      </w:r>
      <w:r>
        <w:t xml:space="preserve">, </w:t>
      </w:r>
      <w:r>
        <w:rPr>
          <w:i/>
          <w:iCs/>
        </w:rPr>
        <w:t>107</w:t>
      </w:r>
      <w:r>
        <w:t>, 84–93. https://doi.org/10.1016/j.ecolecon.2014.07.022.</w:t>
      </w:r>
    </w:p>
    <w:p w14:paraId="3F990297" w14:textId="2D65A195" w:rsidR="00A43A89" w:rsidRDefault="00A43A89" w:rsidP="00A43A89">
      <w:pPr>
        <w:pStyle w:val="Bibliography0"/>
      </w:pPr>
      <w:r>
        <w:t>(61)</w:t>
      </w:r>
      <w:r>
        <w:tab/>
        <w:t xml:space="preserve">Hua, Y.; Oliphant, M.; Hu, E. J. Development of Renewable Energy in Australia and China: A Comparison of Policies and Status. </w:t>
      </w:r>
      <w:r>
        <w:rPr>
          <w:i/>
          <w:iCs/>
        </w:rPr>
        <w:t>Renew. Energy</w:t>
      </w:r>
      <w:r>
        <w:t xml:space="preserve"> </w:t>
      </w:r>
      <w:r>
        <w:rPr>
          <w:b/>
          <w:bCs/>
        </w:rPr>
        <w:t>2016</w:t>
      </w:r>
      <w:r>
        <w:t xml:space="preserve">, </w:t>
      </w:r>
      <w:r>
        <w:rPr>
          <w:i/>
          <w:iCs/>
        </w:rPr>
        <w:t>85</w:t>
      </w:r>
      <w:r>
        <w:t>, 1044–1051. https://doi.org/10.1016/j.renene.2015.07.060.</w:t>
      </w:r>
    </w:p>
    <w:p w14:paraId="6C053152" w14:textId="2EF4A919" w:rsidR="00A43A89" w:rsidRDefault="00A43A89" w:rsidP="00A43A89">
      <w:pPr>
        <w:pStyle w:val="Bibliography0"/>
      </w:pPr>
      <w:r>
        <w:t>(62)</w:t>
      </w:r>
      <w:r>
        <w:tab/>
        <w:t xml:space="preserve">Kumar, N.; Mewar, O.; Tyagi, N.; Hi-Tech, S. T.; Kumar, A. Renewable Energy as a Key Factor for Sustainable Development in India. </w:t>
      </w:r>
      <w:r>
        <w:rPr>
          <w:i/>
          <w:iCs/>
        </w:rPr>
        <w:t>Int. J. Health Sci.</w:t>
      </w:r>
      <w:r>
        <w:t xml:space="preserve"> </w:t>
      </w:r>
      <w:r>
        <w:rPr>
          <w:b/>
          <w:bCs/>
        </w:rPr>
        <w:t>2022</w:t>
      </w:r>
      <w:r>
        <w:t>, 4727–4734. https://doi.org/10.53730/ijhs.v6nS3.6942.</w:t>
      </w:r>
    </w:p>
    <w:p w14:paraId="1E420828" w14:textId="7B07E0FF" w:rsidR="00A43A89" w:rsidRDefault="00A43A89" w:rsidP="00A43A89">
      <w:pPr>
        <w:pStyle w:val="Bibliography0"/>
      </w:pPr>
      <w:r>
        <w:t>(63)</w:t>
      </w:r>
      <w:r>
        <w:tab/>
        <w:t xml:space="preserve">Yang, H.; Deshmukh, R.; Suh, S. Global Transcontinental Power Pools for Low-Carbon Electricity. </w:t>
      </w:r>
      <w:r>
        <w:rPr>
          <w:i/>
          <w:iCs/>
        </w:rPr>
        <w:t>Nat. Commun.</w:t>
      </w:r>
      <w:r>
        <w:t xml:space="preserve"> </w:t>
      </w:r>
      <w:r>
        <w:rPr>
          <w:b/>
          <w:bCs/>
        </w:rPr>
        <w:t>2023</w:t>
      </w:r>
      <w:r>
        <w:t xml:space="preserve">, </w:t>
      </w:r>
      <w:r>
        <w:rPr>
          <w:i/>
          <w:iCs/>
        </w:rPr>
        <w:t>14</w:t>
      </w:r>
      <w:r>
        <w:t xml:space="preserve"> (1), 8350. https://doi.org/10.1038/s41467-023-43723-z.</w:t>
      </w:r>
    </w:p>
    <w:p w14:paraId="663FB9A0" w14:textId="784F8A53" w:rsidR="00A43A89" w:rsidRDefault="00A43A89" w:rsidP="00A43A89">
      <w:pPr>
        <w:pStyle w:val="Bibliography0"/>
      </w:pPr>
      <w:r>
        <w:t>(64)</w:t>
      </w:r>
      <w:r>
        <w:tab/>
        <w:t xml:space="preserve">Bhutto, A. W.; Bazmi, A. A.; Zahedi, G.; Klemeš, J. J. A Review of Progress in Renewable Energy Implementation in the Gulf Cooperation Council Countries. </w:t>
      </w:r>
      <w:r>
        <w:rPr>
          <w:i/>
          <w:iCs/>
        </w:rPr>
        <w:t>J. Clean. Prod.</w:t>
      </w:r>
      <w:r>
        <w:t xml:space="preserve"> </w:t>
      </w:r>
      <w:r>
        <w:rPr>
          <w:b/>
          <w:bCs/>
        </w:rPr>
        <w:t>2014</w:t>
      </w:r>
      <w:r>
        <w:t xml:space="preserve">, </w:t>
      </w:r>
      <w:r>
        <w:rPr>
          <w:i/>
          <w:iCs/>
        </w:rPr>
        <w:t>71</w:t>
      </w:r>
      <w:r>
        <w:t>, 168–180. https://doi.org/10.1016/j.jclepro.2013.12.073.</w:t>
      </w:r>
    </w:p>
    <w:p w14:paraId="35C119D3" w14:textId="1E7A7D61" w:rsidR="00A43A89" w:rsidRDefault="00A43A89" w:rsidP="00A43A89">
      <w:pPr>
        <w:pStyle w:val="Bibliography0"/>
      </w:pPr>
      <w:r>
        <w:t>(65)</w:t>
      </w:r>
      <w:r>
        <w:tab/>
        <w:t xml:space="preserve">Malik, K.; Rahman, S. M.; Khondaker, A. N.; Abubakar, I. R.; Aina, Y. A.; Hasan, M. A. Renewable Energy Utilization to Promote Sustainability in GCC Countries: Policies, Drivers, and Barriers. </w:t>
      </w:r>
      <w:r>
        <w:rPr>
          <w:i/>
          <w:iCs/>
        </w:rPr>
        <w:t>Environ. Sci. Pollut. Res.</w:t>
      </w:r>
      <w:r>
        <w:t xml:space="preserve"> </w:t>
      </w:r>
      <w:r>
        <w:rPr>
          <w:b/>
          <w:bCs/>
        </w:rPr>
        <w:t>2019</w:t>
      </w:r>
      <w:r>
        <w:t xml:space="preserve">, </w:t>
      </w:r>
      <w:r>
        <w:rPr>
          <w:i/>
          <w:iCs/>
        </w:rPr>
        <w:t>26</w:t>
      </w:r>
      <w:r>
        <w:t xml:space="preserve"> (20), 20798–20814. https://doi.org/10.1007/s11356-019-05337-1.</w:t>
      </w:r>
    </w:p>
    <w:p w14:paraId="4C08804E" w14:textId="5C28A304" w:rsidR="00A43A89" w:rsidRDefault="00A43A89" w:rsidP="00A43A89">
      <w:pPr>
        <w:pStyle w:val="Bibliography0"/>
      </w:pPr>
      <w:r>
        <w:t>(66)</w:t>
      </w:r>
      <w:r>
        <w:tab/>
      </w:r>
      <w:r w:rsidR="006F348E" w:rsidRPr="00E40231">
        <w:rPr>
          <w:i/>
          <w:iCs/>
        </w:rPr>
        <w:t>2022 Hydropower Status Report</w:t>
      </w:r>
      <w:r w:rsidR="006F348E" w:rsidRPr="00E40231">
        <w:t>. Hydropower.org. https://www.hydropower.org/publications/2022-hydropower-status-repor.</w:t>
      </w:r>
    </w:p>
    <w:p w14:paraId="7D2F0334" w14:textId="1E02B3CF" w:rsidR="00A43A89" w:rsidRDefault="00A43A89" w:rsidP="00A43A89">
      <w:pPr>
        <w:pStyle w:val="Bibliography0"/>
      </w:pPr>
      <w:r>
        <w:t>(67)</w:t>
      </w:r>
      <w:r>
        <w:tab/>
        <w:t xml:space="preserve">Adeoye, O.; Spataru, C. Quantifying the Integration of Renewable Energy Sources in West Africa’s Interconnected Electricity Network. </w:t>
      </w:r>
      <w:r>
        <w:rPr>
          <w:i/>
          <w:iCs/>
        </w:rPr>
        <w:t>Renew. Sustain. Energy Rev.</w:t>
      </w:r>
      <w:r>
        <w:t xml:space="preserve"> </w:t>
      </w:r>
      <w:r>
        <w:rPr>
          <w:b/>
          <w:bCs/>
        </w:rPr>
        <w:t>2020</w:t>
      </w:r>
      <w:r>
        <w:t xml:space="preserve">, </w:t>
      </w:r>
      <w:r>
        <w:rPr>
          <w:i/>
          <w:iCs/>
        </w:rPr>
        <w:t>120</w:t>
      </w:r>
      <w:r>
        <w:t>, 109647. https://doi.org/10.1016/j.rser.2019.109647.</w:t>
      </w:r>
    </w:p>
    <w:p w14:paraId="0F9ADE0D" w14:textId="68B8E07E" w:rsidR="00A43A89" w:rsidRDefault="00A43A89" w:rsidP="00A43A89">
      <w:pPr>
        <w:pStyle w:val="Bibliography0"/>
      </w:pPr>
      <w:r>
        <w:t>(68)</w:t>
      </w:r>
      <w:r>
        <w:tab/>
        <w:t xml:space="preserve">Siddiqui, S.; Vaillancourt, K.; Bahn, O.; Victor, N.; Nichols, C.; Avraam, C.; Brown, M. Integrated North American Energy Markets under Different Futures of Cross-Border Energy Infrastructure. </w:t>
      </w:r>
      <w:r>
        <w:rPr>
          <w:i/>
          <w:iCs/>
        </w:rPr>
        <w:t>Energy Policy</w:t>
      </w:r>
      <w:r>
        <w:t xml:space="preserve"> </w:t>
      </w:r>
      <w:r>
        <w:rPr>
          <w:b/>
          <w:bCs/>
        </w:rPr>
        <w:t>2020</w:t>
      </w:r>
      <w:r>
        <w:t xml:space="preserve">, </w:t>
      </w:r>
      <w:r>
        <w:rPr>
          <w:i/>
          <w:iCs/>
        </w:rPr>
        <w:t>144</w:t>
      </w:r>
      <w:r>
        <w:t>, 111658. https://doi.org/10.1016/j.enpol.2020.111658.</w:t>
      </w:r>
    </w:p>
    <w:p w14:paraId="43454B73" w14:textId="178928E1" w:rsidR="00A43A89" w:rsidRDefault="00A43A89" w:rsidP="00A43A89">
      <w:pPr>
        <w:pStyle w:val="Bibliography0"/>
      </w:pPr>
      <w:r>
        <w:t>(69)</w:t>
      </w:r>
      <w:r>
        <w:tab/>
        <w:t xml:space="preserve">Durá‐Alemañ, C. J.; Moleón, M.; Pérez‐García, J. M.; Serrano, D.; Sánchez‐Zapata, J. A. Climate Change and Energy Crisis Drive an Unprecedented EU Environmental Law Regression. </w:t>
      </w:r>
      <w:r>
        <w:rPr>
          <w:i/>
          <w:iCs/>
        </w:rPr>
        <w:t>Conserv. Lett.</w:t>
      </w:r>
      <w:r>
        <w:t xml:space="preserve"> </w:t>
      </w:r>
      <w:r>
        <w:rPr>
          <w:b/>
          <w:bCs/>
        </w:rPr>
        <w:t>2023</w:t>
      </w:r>
      <w:r>
        <w:t xml:space="preserve">, </w:t>
      </w:r>
      <w:r>
        <w:rPr>
          <w:i/>
          <w:iCs/>
        </w:rPr>
        <w:t>16</w:t>
      </w:r>
      <w:r>
        <w:t xml:space="preserve"> (3), e12958. </w:t>
      </w:r>
      <w:r>
        <w:lastRenderedPageBreak/>
        <w:t>https://doi.org/10.1111/conl.12958.</w:t>
      </w:r>
    </w:p>
    <w:p w14:paraId="546C537E" w14:textId="03F1F0D2" w:rsidR="00A43A89" w:rsidRDefault="00A43A89" w:rsidP="00A43A89">
      <w:pPr>
        <w:pStyle w:val="Bibliography0"/>
      </w:pPr>
      <w:r>
        <w:t>(70)</w:t>
      </w:r>
      <w:r>
        <w:tab/>
        <w:t xml:space="preserve">Chai, L.; Liu, A.; Li, X.; Guo, Z.; He, W.; Huang, J.; Bai, T.; Liu, J. Telecoupled Impacts of the Russia–Ukraine War on Global Cropland Expansion and Biodiversity. </w:t>
      </w:r>
      <w:r>
        <w:rPr>
          <w:i/>
          <w:iCs/>
        </w:rPr>
        <w:t>Nat. Sustain.</w:t>
      </w:r>
      <w:r>
        <w:t xml:space="preserve"> </w:t>
      </w:r>
      <w:r>
        <w:rPr>
          <w:b/>
          <w:bCs/>
        </w:rPr>
        <w:t>2024</w:t>
      </w:r>
      <w:r>
        <w:t>. https://doi.org/10.1038/s41893-024-01292-z.</w:t>
      </w:r>
    </w:p>
    <w:p w14:paraId="5ACBE502" w14:textId="73B05ACA" w:rsidR="00A43A89" w:rsidRDefault="00A43A89" w:rsidP="00A43A89">
      <w:pPr>
        <w:pStyle w:val="Bibliography0"/>
      </w:pPr>
      <w:r>
        <w:t>(71)</w:t>
      </w:r>
      <w:r>
        <w:tab/>
        <w:t xml:space="preserve">International Energy Agency. </w:t>
      </w:r>
      <w:r>
        <w:rPr>
          <w:i/>
          <w:iCs/>
        </w:rPr>
        <w:t>Global Energy Review 2019: The Latest Trends in Energy and Emissions in 2019</w:t>
      </w:r>
      <w:r>
        <w:t>; OECD, 2020. https://doi.org/10.1787/90c8c125-en.</w:t>
      </w:r>
    </w:p>
    <w:p w14:paraId="5B1D6E91" w14:textId="4F97E18E" w:rsidR="00A43A89" w:rsidRDefault="00A43A89" w:rsidP="00A43A89">
      <w:pPr>
        <w:pStyle w:val="Bibliography0"/>
      </w:pPr>
      <w:r>
        <w:t>(72)</w:t>
      </w:r>
      <w:r>
        <w:tab/>
        <w:t xml:space="preserve">Hernandez, R. R.; Hoffacker, M. K.; Murphy-Mariscal, M. L.; Wu, G. C.; Allen, M. F. Solar Energy Development Impacts on Land Cover Change and Protected Areas. </w:t>
      </w:r>
      <w:r>
        <w:rPr>
          <w:i/>
          <w:iCs/>
        </w:rPr>
        <w:t>Proc. Natl. Acad. Sci.</w:t>
      </w:r>
      <w:r>
        <w:t xml:space="preserve"> </w:t>
      </w:r>
      <w:r>
        <w:rPr>
          <w:b/>
          <w:bCs/>
        </w:rPr>
        <w:t>2015</w:t>
      </w:r>
      <w:r>
        <w:t xml:space="preserve">, </w:t>
      </w:r>
      <w:r>
        <w:rPr>
          <w:i/>
          <w:iCs/>
        </w:rPr>
        <w:t>112</w:t>
      </w:r>
      <w:r>
        <w:t xml:space="preserve"> (44), 13579–13584. https://doi.org/10.1073/pnas.1517656112.</w:t>
      </w:r>
    </w:p>
    <w:p w14:paraId="13279FA6" w14:textId="10B4ED44" w:rsidR="00A43A89" w:rsidRDefault="00A43A89" w:rsidP="00A43A89">
      <w:pPr>
        <w:pStyle w:val="Bibliography0"/>
      </w:pPr>
      <w:r>
        <w:t>(73)</w:t>
      </w:r>
      <w:r>
        <w:tab/>
        <w:t xml:space="preserve">Moore‐O’Leary, K. A.; Hernandez, R. R.; Johnston, D. S.; Abella, S. R.; Tanner, K. E.; Swanson, A. C.; Kreitler, J.; Lovich, J. E. Sustainability of Utility‐scale Solar Energy – Critical Ecological Concepts. </w:t>
      </w:r>
      <w:r>
        <w:rPr>
          <w:i/>
          <w:iCs/>
        </w:rPr>
        <w:t>Front. Ecol. Environ.</w:t>
      </w:r>
      <w:r>
        <w:t xml:space="preserve"> </w:t>
      </w:r>
      <w:r>
        <w:rPr>
          <w:b/>
          <w:bCs/>
        </w:rPr>
        <w:t>2017</w:t>
      </w:r>
      <w:r>
        <w:t xml:space="preserve">, </w:t>
      </w:r>
      <w:r>
        <w:rPr>
          <w:i/>
          <w:iCs/>
        </w:rPr>
        <w:t>15</w:t>
      </w:r>
      <w:r>
        <w:t xml:space="preserve"> (7), 385–394. https://doi.org/10.1002/fee.1517.</w:t>
      </w:r>
    </w:p>
    <w:p w14:paraId="72245727" w14:textId="07FEF3AB" w:rsidR="00A43A89" w:rsidRDefault="00A43A89" w:rsidP="00A43A89">
      <w:pPr>
        <w:pStyle w:val="Bibliography0"/>
      </w:pPr>
      <w:r>
        <w:t>(74)</w:t>
      </w:r>
      <w:r>
        <w:tab/>
        <w:t xml:space="preserve">Liu, H.; Liu, J. Triple Win: Solar Farms in Deserts Can Boost Power, Incomes and Ecosystems. </w:t>
      </w:r>
      <w:r>
        <w:rPr>
          <w:i/>
          <w:iCs/>
        </w:rPr>
        <w:t>Nature</w:t>
      </w:r>
      <w:r>
        <w:t xml:space="preserve"> </w:t>
      </w:r>
      <w:r>
        <w:rPr>
          <w:b/>
          <w:bCs/>
        </w:rPr>
        <w:t>2024</w:t>
      </w:r>
      <w:r>
        <w:t xml:space="preserve">, </w:t>
      </w:r>
      <w:r>
        <w:rPr>
          <w:i/>
          <w:iCs/>
        </w:rPr>
        <w:t>626</w:t>
      </w:r>
      <w:r>
        <w:t xml:space="preserve"> (8000), 716–716. https://doi.org/10.1038/d41586-024-00516-8.</w:t>
      </w:r>
    </w:p>
    <w:p w14:paraId="773067AE" w14:textId="5AD68FCE" w:rsidR="00A43A89" w:rsidRDefault="00A43A89" w:rsidP="00A43A89">
      <w:pPr>
        <w:pStyle w:val="Bibliography0"/>
      </w:pPr>
      <w:r>
        <w:t>(75)</w:t>
      </w:r>
      <w:r>
        <w:tab/>
        <w:t xml:space="preserve">Zaplata, M. K. Solar Parks as Livestock Enclosures Can Become Key to Linking Energy, Biodiversity and Society. </w:t>
      </w:r>
      <w:r>
        <w:rPr>
          <w:i/>
          <w:iCs/>
        </w:rPr>
        <w:t>People Nat.</w:t>
      </w:r>
      <w:r>
        <w:t xml:space="preserve"> </w:t>
      </w:r>
      <w:r>
        <w:rPr>
          <w:b/>
          <w:bCs/>
        </w:rPr>
        <w:t>2023</w:t>
      </w:r>
      <w:r>
        <w:t xml:space="preserve">, </w:t>
      </w:r>
      <w:r>
        <w:rPr>
          <w:i/>
          <w:iCs/>
        </w:rPr>
        <w:t>5</w:t>
      </w:r>
      <w:r>
        <w:t xml:space="preserve"> (5), 1457–1463. https://doi.org/10.1002/pan3.10522.</w:t>
      </w:r>
    </w:p>
    <w:p w14:paraId="17066970" w14:textId="7457C3E0" w:rsidR="00A43A89" w:rsidRDefault="00A43A89" w:rsidP="00A43A89">
      <w:pPr>
        <w:pStyle w:val="Bibliography0"/>
      </w:pPr>
      <w:r>
        <w:t>(76)</w:t>
      </w:r>
      <w:r>
        <w:tab/>
        <w:t xml:space="preserve">Gasparatos, A.; Doll, C. N. H.; Esteban, M.; Ahmed, A.; Olang, T. A. Renewable Energy and Biodiversity: Implications for Transitioning to a Green Economy. </w:t>
      </w:r>
      <w:r>
        <w:rPr>
          <w:i/>
          <w:iCs/>
        </w:rPr>
        <w:t>Renew. Sustain. Energy Rev.</w:t>
      </w:r>
      <w:r>
        <w:t xml:space="preserve"> </w:t>
      </w:r>
      <w:r>
        <w:rPr>
          <w:b/>
          <w:bCs/>
        </w:rPr>
        <w:t>2017</w:t>
      </w:r>
      <w:r>
        <w:t xml:space="preserve">, </w:t>
      </w:r>
      <w:r>
        <w:rPr>
          <w:i/>
          <w:iCs/>
        </w:rPr>
        <w:t>70</w:t>
      </w:r>
      <w:r>
        <w:t>, 161–184. https://doi.org/10.1016/j.rser.2016.08.030.</w:t>
      </w:r>
    </w:p>
    <w:p w14:paraId="6C079E77" w14:textId="660253BF" w:rsidR="00A43A89" w:rsidRDefault="00A43A89" w:rsidP="00A43A89">
      <w:pPr>
        <w:pStyle w:val="Bibliography0"/>
      </w:pPr>
      <w:r>
        <w:t>(77)</w:t>
      </w:r>
      <w:r>
        <w:tab/>
        <w:t xml:space="preserve">Creutzig, F.; Simoes, S. G.; Leipold, S.; Berrill, P.; Azevedo, I.; Edelenbosch, O.; Fishman, T.; Haberl, H.; Hertwich, E.; Krey, V.; Lima, A. T.; Makov, T.; Mastrucci, A.; Milojevic-Dupont, N.; Nachtigall, F.; Pauliuk, S.; Silva, M.; Verdolini, E.; Van Vuuren, D.; Wagner, F.; Wiedenhofer, D.; Wilson, C. Demand-Side Strategies Key for Mitigating Material Impacts of Energy Transitions. </w:t>
      </w:r>
      <w:r>
        <w:rPr>
          <w:i/>
          <w:iCs/>
        </w:rPr>
        <w:t>Nat. Clim. Change</w:t>
      </w:r>
      <w:r>
        <w:t xml:space="preserve"> </w:t>
      </w:r>
      <w:r>
        <w:rPr>
          <w:b/>
          <w:bCs/>
        </w:rPr>
        <w:t>2024</w:t>
      </w:r>
      <w:r>
        <w:t>. https://doi.org/10.1038/s41558-024-02016-z.</w:t>
      </w:r>
    </w:p>
    <w:p w14:paraId="7B571E95" w14:textId="0253AB78" w:rsidR="00A43A89" w:rsidRDefault="00A43A89" w:rsidP="00A43A89">
      <w:pPr>
        <w:pStyle w:val="Bibliography0"/>
      </w:pPr>
      <w:r>
        <w:t>(78)</w:t>
      </w:r>
      <w:r>
        <w:tab/>
        <w:t xml:space="preserve">Testa, F.; Iraldo, F.; Vaccari, A.; Ferrari, E. Why Eco-Labels Can Be Effective Marketing Tools: Evidence from a Study on Italian Consumers. </w:t>
      </w:r>
      <w:r>
        <w:rPr>
          <w:i/>
          <w:iCs/>
        </w:rPr>
        <w:t>Bus. Strategy Environ.</w:t>
      </w:r>
      <w:r>
        <w:t xml:space="preserve"> </w:t>
      </w:r>
      <w:r>
        <w:rPr>
          <w:b/>
          <w:bCs/>
        </w:rPr>
        <w:t>2015</w:t>
      </w:r>
      <w:r>
        <w:t xml:space="preserve">, </w:t>
      </w:r>
      <w:r>
        <w:rPr>
          <w:i/>
          <w:iCs/>
        </w:rPr>
        <w:t>24</w:t>
      </w:r>
      <w:r>
        <w:t xml:space="preserve"> (4), 252–265. https://doi.org/10.1002/bse.1821.</w:t>
      </w:r>
    </w:p>
    <w:p w14:paraId="583D34EF" w14:textId="5EE5CF57" w:rsidR="00A43A89" w:rsidRDefault="00A43A89" w:rsidP="00A43A89">
      <w:pPr>
        <w:pStyle w:val="Bibliography0"/>
      </w:pPr>
      <w:r>
        <w:t>(79)</w:t>
      </w:r>
      <w:r>
        <w:tab/>
        <w:t xml:space="preserve">Miranda-Ackerman, M. A.; Azzaro-Pantel, C. Extending the Scope of Eco-Labelling in the Food Industry to Drive Change beyond Sustainable Agriculture Practices. </w:t>
      </w:r>
      <w:r>
        <w:rPr>
          <w:i/>
          <w:iCs/>
        </w:rPr>
        <w:t>J. Environ. Manage.</w:t>
      </w:r>
      <w:r>
        <w:t xml:space="preserve"> </w:t>
      </w:r>
      <w:r>
        <w:rPr>
          <w:b/>
          <w:bCs/>
        </w:rPr>
        <w:t>2017</w:t>
      </w:r>
      <w:r>
        <w:t xml:space="preserve">, </w:t>
      </w:r>
      <w:r>
        <w:rPr>
          <w:i/>
          <w:iCs/>
        </w:rPr>
        <w:t>204</w:t>
      </w:r>
      <w:r>
        <w:t>, 814–824. https://doi.org/10.1016/j.jenvman.2017.05.027.</w:t>
      </w:r>
    </w:p>
    <w:p w14:paraId="3F24A9F0" w14:textId="31503804" w:rsidR="00A43A89" w:rsidRDefault="00A43A89" w:rsidP="00A43A89">
      <w:pPr>
        <w:pStyle w:val="Bibliography0"/>
      </w:pPr>
      <w:r>
        <w:t>(80)</w:t>
      </w:r>
      <w:r>
        <w:tab/>
        <w:t xml:space="preserve">Sun, Z.; Behrens, P.; Tukker, A.; Bruckner, M.; Scherer, L. Shared and Environmentally Just Responsibility for Global Biodiversity Loss. </w:t>
      </w:r>
      <w:r>
        <w:rPr>
          <w:i/>
          <w:iCs/>
        </w:rPr>
        <w:t>Ecol. Econ.</w:t>
      </w:r>
      <w:r>
        <w:t xml:space="preserve"> </w:t>
      </w:r>
      <w:r>
        <w:rPr>
          <w:b/>
          <w:bCs/>
        </w:rPr>
        <w:t>2022</w:t>
      </w:r>
      <w:r>
        <w:t xml:space="preserve">, </w:t>
      </w:r>
      <w:r>
        <w:rPr>
          <w:i/>
          <w:iCs/>
        </w:rPr>
        <w:t>194</w:t>
      </w:r>
      <w:r>
        <w:t>, 107339. https://doi.org/10.1016/j.ecolecon.2022.107339.</w:t>
      </w:r>
    </w:p>
    <w:p w14:paraId="7C98325A" w14:textId="6D81C226" w:rsidR="00A43A89" w:rsidRDefault="00A43A89" w:rsidP="00A43A89">
      <w:pPr>
        <w:pStyle w:val="Bibliography0"/>
      </w:pPr>
      <w:r>
        <w:t>(81)</w:t>
      </w:r>
      <w:r>
        <w:tab/>
        <w:t xml:space="preserve">Shahbaz, M.; Sinha, A.; Raghutla, C.; Vo, X. V. Decomposing Scale and Technique Effects of Financial Development and Foreign Direct Investment on Renewable Energy Consumption. </w:t>
      </w:r>
      <w:r>
        <w:rPr>
          <w:i/>
          <w:iCs/>
        </w:rPr>
        <w:t>Energy</w:t>
      </w:r>
      <w:r>
        <w:t xml:space="preserve"> </w:t>
      </w:r>
      <w:r>
        <w:rPr>
          <w:b/>
          <w:bCs/>
        </w:rPr>
        <w:t>2022</w:t>
      </w:r>
      <w:r>
        <w:t xml:space="preserve">, </w:t>
      </w:r>
      <w:r>
        <w:rPr>
          <w:i/>
          <w:iCs/>
        </w:rPr>
        <w:t>238</w:t>
      </w:r>
      <w:r>
        <w:t xml:space="preserve">, 121758. </w:t>
      </w:r>
      <w:r>
        <w:lastRenderedPageBreak/>
        <w:t>https://doi.org/10.1016/j.energy.2021.121758.</w:t>
      </w:r>
    </w:p>
    <w:p w14:paraId="75D0A28C" w14:textId="26021DB3" w:rsidR="00A43A89" w:rsidRDefault="00A43A89" w:rsidP="00A43A89">
      <w:pPr>
        <w:pStyle w:val="Bibliography0"/>
      </w:pPr>
      <w:r>
        <w:t>(82)</w:t>
      </w:r>
      <w:r>
        <w:tab/>
        <w:t xml:space="preserve">Bogdanov, D.; Farfan, J.; Sadovskaia, K.; Aghahosseini, A.; Child, M.; Gulagi, A.; Oyewo, A. S.; De Souza Noel Simas Barbosa, L.; Breyer, C. Radical Transformation Pathway towards Sustainable Electricity via Evolutionary Steps. </w:t>
      </w:r>
      <w:r>
        <w:rPr>
          <w:i/>
          <w:iCs/>
        </w:rPr>
        <w:t>Nat. Commun.</w:t>
      </w:r>
      <w:r>
        <w:t xml:space="preserve"> </w:t>
      </w:r>
      <w:r>
        <w:rPr>
          <w:b/>
          <w:bCs/>
        </w:rPr>
        <w:t>2019</w:t>
      </w:r>
      <w:r>
        <w:t xml:space="preserve">, </w:t>
      </w:r>
      <w:r>
        <w:rPr>
          <w:i/>
          <w:iCs/>
        </w:rPr>
        <w:t>10</w:t>
      </w:r>
      <w:r>
        <w:t xml:space="preserve"> (1), 1077. https://doi.org/10.1038/s41467-019-08855-1.</w:t>
      </w:r>
    </w:p>
    <w:p w14:paraId="5FF8DECD" w14:textId="3A3A131A" w:rsidR="00A43A89" w:rsidRDefault="00A43A89" w:rsidP="00A43A89">
      <w:pPr>
        <w:pStyle w:val="Bibliography0"/>
      </w:pPr>
      <w:r>
        <w:t>(83)</w:t>
      </w:r>
      <w:r>
        <w:tab/>
        <w:t xml:space="preserve">Oakleaf, J. R.; Kennedy, C. M.; Baruch-Mordo, S.; Gerber, J. S.; West, P. C.; Johnson, J. A.; Kiesecker, J. Mapping Global Development Potential for Renewable Energy, Fossil Fuels, Mining and Agriculture Sectors. </w:t>
      </w:r>
      <w:r>
        <w:rPr>
          <w:i/>
          <w:iCs/>
        </w:rPr>
        <w:t>Sci. Data</w:t>
      </w:r>
      <w:r>
        <w:t xml:space="preserve"> </w:t>
      </w:r>
      <w:r>
        <w:rPr>
          <w:b/>
          <w:bCs/>
        </w:rPr>
        <w:t>2019</w:t>
      </w:r>
      <w:r>
        <w:t xml:space="preserve">, </w:t>
      </w:r>
      <w:r>
        <w:rPr>
          <w:i/>
          <w:iCs/>
        </w:rPr>
        <w:t>6</w:t>
      </w:r>
      <w:r>
        <w:t xml:space="preserve"> (1), 101. https://doi.org/10.1038/s41597-019-0084-8.</w:t>
      </w:r>
    </w:p>
    <w:p w14:paraId="698847BF" w14:textId="77777777" w:rsidR="00A43A89" w:rsidRDefault="00A43A89" w:rsidP="00A43A89">
      <w:pPr>
        <w:pStyle w:val="Bibliography0"/>
      </w:pPr>
      <w:r>
        <w:t>(84)</w:t>
      </w:r>
      <w:r>
        <w:tab/>
        <w:t xml:space="preserve">Dunnett, S.; Sorichetta, A.; Taylor, G.; Eigenbrod, F. Harmonised Global Datasets of Wind and Solar Farm Locations and Power. </w:t>
      </w:r>
      <w:r>
        <w:rPr>
          <w:i/>
          <w:iCs/>
        </w:rPr>
        <w:t>Sci. Data</w:t>
      </w:r>
      <w:r>
        <w:t xml:space="preserve"> </w:t>
      </w:r>
      <w:r>
        <w:rPr>
          <w:b/>
          <w:bCs/>
        </w:rPr>
        <w:t>2020</w:t>
      </w:r>
      <w:r>
        <w:t xml:space="preserve">, </w:t>
      </w:r>
      <w:r>
        <w:rPr>
          <w:i/>
          <w:iCs/>
        </w:rPr>
        <w:t>7</w:t>
      </w:r>
      <w:r>
        <w:t xml:space="preserve"> (1), 130. https://doi.org/10.1038/s41597-020-0469-8.</w:t>
      </w:r>
    </w:p>
    <w:p w14:paraId="2C354C18" w14:textId="77777777" w:rsidR="00A43A89" w:rsidRDefault="00A43A89" w:rsidP="00A43A89">
      <w:pPr>
        <w:pStyle w:val="Bibliography0"/>
      </w:pPr>
      <w:r>
        <w:t>(85)</w:t>
      </w:r>
      <w:r>
        <w:tab/>
        <w:t xml:space="preserve">Scherer, L.; Rosa, F.; Sun, Z.; Michelsen, O.; De Laurentiis, V.; Marques, A.; Pfister, S.; Verones, F.; Kuipers, K. J. J. Biodiversity Impact Assessment Considering Land Use Intensities and Fragmentation. </w:t>
      </w:r>
      <w:r>
        <w:rPr>
          <w:i/>
          <w:iCs/>
        </w:rPr>
        <w:t>Environ. Sci. Technol.</w:t>
      </w:r>
      <w:r>
        <w:t xml:space="preserve"> </w:t>
      </w:r>
      <w:r>
        <w:rPr>
          <w:b/>
          <w:bCs/>
        </w:rPr>
        <w:t>2023</w:t>
      </w:r>
      <w:r>
        <w:t>, acs.est.3c04191. https://doi.org/10.1021/acs.est.3c04191.</w:t>
      </w:r>
    </w:p>
    <w:p w14:paraId="745A3E65" w14:textId="232D5EEF" w:rsidR="00044FF4" w:rsidRPr="00044FF4" w:rsidRDefault="00044FF4" w:rsidP="00F45DF9">
      <w:pPr>
        <w:pStyle w:val="Bibliography0"/>
      </w:pPr>
      <w:r w:rsidRPr="00D56A55">
        <w:fldChar w:fldCharType="end"/>
      </w:r>
      <w:bookmarkEnd w:id="37"/>
    </w:p>
    <w:sectPr w:rsidR="00044FF4" w:rsidRPr="00044FF4" w:rsidSect="00F45DF9">
      <w:headerReference w:type="default" r:id="rId14"/>
      <w:footerReference w:type="even" r:id="rId15"/>
      <w:footerReference w:type="default" r:id="rId16"/>
      <w:pgSz w:w="11906" w:h="16838"/>
      <w:pgMar w:top="1440" w:right="1800" w:bottom="1440" w:left="1800" w:header="851" w:footer="992" w:gutter="0"/>
      <w:cols w:space="425"/>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A5AD1C" w14:textId="77777777" w:rsidR="00CB2FF5" w:rsidRDefault="00CB2FF5" w:rsidP="006E1B0A">
      <w:r>
        <w:separator/>
      </w:r>
    </w:p>
  </w:endnote>
  <w:endnote w:type="continuationSeparator" w:id="0">
    <w:p w14:paraId="46337D01" w14:textId="77777777" w:rsidR="00CB2FF5" w:rsidRDefault="00CB2FF5" w:rsidP="006E1B0A">
      <w:r>
        <w:continuationSeparator/>
      </w:r>
    </w:p>
  </w:endnote>
  <w:endnote w:type="continuationNotice" w:id="1">
    <w:p w14:paraId="4189814E" w14:textId="77777777" w:rsidR="00CB2FF5" w:rsidRDefault="00CB2FF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engXian">
    <w:altName w:val="等线"/>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KaiTi">
    <w:charset w:val="86"/>
    <w:family w:val="modern"/>
    <w:pitch w:val="fixed"/>
    <w:sig w:usb0="800002BF" w:usb1="38CF7CFA" w:usb2="00000016" w:usb3="00000000" w:csb0="00040001" w:csb1="00000000"/>
  </w:font>
  <w:font w:name="DengXian Light">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392010113"/>
      <w:docPartObj>
        <w:docPartGallery w:val="Page Numbers (Bottom of Page)"/>
        <w:docPartUnique/>
      </w:docPartObj>
    </w:sdtPr>
    <w:sdtEndPr>
      <w:rPr>
        <w:rStyle w:val="PageNumber"/>
      </w:rPr>
    </w:sdtEndPr>
    <w:sdtContent>
      <w:p w14:paraId="2724C160" w14:textId="5A060D67" w:rsidR="006E1B0A" w:rsidRDefault="006E1B0A" w:rsidP="003B21E2">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6C4635D" w14:textId="77777777" w:rsidR="006E1B0A" w:rsidRDefault="006E1B0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767383153"/>
      <w:docPartObj>
        <w:docPartGallery w:val="Page Numbers (Bottom of Page)"/>
        <w:docPartUnique/>
      </w:docPartObj>
    </w:sdtPr>
    <w:sdtEndPr>
      <w:rPr>
        <w:rStyle w:val="PageNumber"/>
      </w:rPr>
    </w:sdtEndPr>
    <w:sdtContent>
      <w:p w14:paraId="23D5BDF1" w14:textId="3434761B" w:rsidR="003B21E2" w:rsidRDefault="003B21E2" w:rsidP="003B21E2">
        <w:pPr>
          <w:pStyle w:val="Footer"/>
          <w:framePr w:wrap="none" w:vAnchor="text" w:hAnchor="margin" w:xAlign="center" w:y="1"/>
          <w:jc w:val="cente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26CD3A2B" w14:textId="0C8610E8" w:rsidR="006E1B0A" w:rsidRDefault="006E1B0A">
    <w:pPr>
      <w:pStyle w:val="Footer"/>
      <w:framePr w:wrap="none" w:vAnchor="text" w:hAnchor="margin" w:xAlign="center" w:y="1"/>
      <w:rPr>
        <w:rStyle w:val="PageNumber"/>
      </w:rPr>
    </w:pPr>
  </w:p>
  <w:p w14:paraId="74D83DF1" w14:textId="77777777" w:rsidR="006E1B0A" w:rsidRDefault="006E1B0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550339" w14:textId="77777777" w:rsidR="00CB2FF5" w:rsidRDefault="00CB2FF5" w:rsidP="006E1B0A">
      <w:r>
        <w:separator/>
      </w:r>
    </w:p>
  </w:footnote>
  <w:footnote w:type="continuationSeparator" w:id="0">
    <w:p w14:paraId="43EE1F65" w14:textId="77777777" w:rsidR="00CB2FF5" w:rsidRDefault="00CB2FF5" w:rsidP="006E1B0A">
      <w:r>
        <w:continuationSeparator/>
      </w:r>
    </w:p>
  </w:footnote>
  <w:footnote w:type="continuationNotice" w:id="1">
    <w:p w14:paraId="5FC3B39F" w14:textId="77777777" w:rsidR="00CB2FF5" w:rsidRDefault="00CB2FF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4DFE4B" w14:textId="77777777" w:rsidR="00CC7A93" w:rsidRDefault="00CC7A9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14049B"/>
    <w:multiLevelType w:val="multilevel"/>
    <w:tmpl w:val="CF2098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B2B6B70"/>
    <w:multiLevelType w:val="hybridMultilevel"/>
    <w:tmpl w:val="89ECB404"/>
    <w:lvl w:ilvl="0" w:tplc="58BEF71C">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num w:numId="1" w16cid:durableId="156308646">
    <w:abstractNumId w:val="1"/>
  </w:num>
  <w:num w:numId="2" w16cid:durableId="37474187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defaultTabStop w:val="420"/>
  <w:drawingGridHorizontalSpacing w:val="120"/>
  <w:drawingGridVerticalSpacing w:val="163"/>
  <w:displayHorizontalDrawingGridEvery w:val="0"/>
  <w:displayVerticalDrawingGridEvery w:val="2"/>
  <w:characterSpacingControl w:val="compressPunctuation"/>
  <w:hdrShapeDefaults>
    <o:shapedefaults v:ext="edit" spidmax="2050"/>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22CD"/>
    <w:rsid w:val="00001069"/>
    <w:rsid w:val="000029AB"/>
    <w:rsid w:val="000039CC"/>
    <w:rsid w:val="00011908"/>
    <w:rsid w:val="00011C4B"/>
    <w:rsid w:val="00011FC0"/>
    <w:rsid w:val="00012340"/>
    <w:rsid w:val="000151B1"/>
    <w:rsid w:val="000165EE"/>
    <w:rsid w:val="00017BAE"/>
    <w:rsid w:val="0002101D"/>
    <w:rsid w:val="00023DC6"/>
    <w:rsid w:val="00024CB6"/>
    <w:rsid w:val="00024E85"/>
    <w:rsid w:val="000277C6"/>
    <w:rsid w:val="0003011E"/>
    <w:rsid w:val="000314B9"/>
    <w:rsid w:val="0003321D"/>
    <w:rsid w:val="0003428E"/>
    <w:rsid w:val="00036F01"/>
    <w:rsid w:val="00036F4F"/>
    <w:rsid w:val="0003754B"/>
    <w:rsid w:val="000377D4"/>
    <w:rsid w:val="000409A7"/>
    <w:rsid w:val="00042383"/>
    <w:rsid w:val="0004362D"/>
    <w:rsid w:val="00044FF4"/>
    <w:rsid w:val="00045268"/>
    <w:rsid w:val="0004684F"/>
    <w:rsid w:val="000477AA"/>
    <w:rsid w:val="00054560"/>
    <w:rsid w:val="00054946"/>
    <w:rsid w:val="00055DB1"/>
    <w:rsid w:val="00060BD5"/>
    <w:rsid w:val="00063C40"/>
    <w:rsid w:val="000659AB"/>
    <w:rsid w:val="000660B0"/>
    <w:rsid w:val="00066EF7"/>
    <w:rsid w:val="000708AF"/>
    <w:rsid w:val="00072BC4"/>
    <w:rsid w:val="00074BDC"/>
    <w:rsid w:val="00075F43"/>
    <w:rsid w:val="00083BF9"/>
    <w:rsid w:val="00084C71"/>
    <w:rsid w:val="000866C0"/>
    <w:rsid w:val="00086D88"/>
    <w:rsid w:val="00086F8E"/>
    <w:rsid w:val="0009005B"/>
    <w:rsid w:val="00090675"/>
    <w:rsid w:val="00090DB8"/>
    <w:rsid w:val="000918DA"/>
    <w:rsid w:val="000933CE"/>
    <w:rsid w:val="00093F6F"/>
    <w:rsid w:val="00095D7A"/>
    <w:rsid w:val="000A1022"/>
    <w:rsid w:val="000A12B3"/>
    <w:rsid w:val="000A6FC2"/>
    <w:rsid w:val="000A7F2F"/>
    <w:rsid w:val="000B0033"/>
    <w:rsid w:val="000B1B96"/>
    <w:rsid w:val="000B4CCA"/>
    <w:rsid w:val="000B626D"/>
    <w:rsid w:val="000B6BE7"/>
    <w:rsid w:val="000B7482"/>
    <w:rsid w:val="000B7CDD"/>
    <w:rsid w:val="000C22EA"/>
    <w:rsid w:val="000C24B8"/>
    <w:rsid w:val="000C2A47"/>
    <w:rsid w:val="000C2A7E"/>
    <w:rsid w:val="000C42C3"/>
    <w:rsid w:val="000C43A2"/>
    <w:rsid w:val="000C6B1F"/>
    <w:rsid w:val="000C7081"/>
    <w:rsid w:val="000E0B67"/>
    <w:rsid w:val="000E11BF"/>
    <w:rsid w:val="000E37FC"/>
    <w:rsid w:val="000F0A07"/>
    <w:rsid w:val="000F1575"/>
    <w:rsid w:val="000F34D1"/>
    <w:rsid w:val="000F3BF6"/>
    <w:rsid w:val="000F3DD4"/>
    <w:rsid w:val="000F5CFC"/>
    <w:rsid w:val="000F7F31"/>
    <w:rsid w:val="00102D53"/>
    <w:rsid w:val="001061F9"/>
    <w:rsid w:val="001065A5"/>
    <w:rsid w:val="0010771F"/>
    <w:rsid w:val="0011258B"/>
    <w:rsid w:val="00113A03"/>
    <w:rsid w:val="00114C58"/>
    <w:rsid w:val="001159C9"/>
    <w:rsid w:val="0012012F"/>
    <w:rsid w:val="001213C5"/>
    <w:rsid w:val="00133176"/>
    <w:rsid w:val="001331C9"/>
    <w:rsid w:val="00134265"/>
    <w:rsid w:val="00134F04"/>
    <w:rsid w:val="00135D0C"/>
    <w:rsid w:val="0014196B"/>
    <w:rsid w:val="0014291E"/>
    <w:rsid w:val="00143BDA"/>
    <w:rsid w:val="00143F80"/>
    <w:rsid w:val="001444F8"/>
    <w:rsid w:val="00145951"/>
    <w:rsid w:val="0014630F"/>
    <w:rsid w:val="00146770"/>
    <w:rsid w:val="0014770F"/>
    <w:rsid w:val="001500C9"/>
    <w:rsid w:val="001520C4"/>
    <w:rsid w:val="001534B7"/>
    <w:rsid w:val="001550D5"/>
    <w:rsid w:val="00155AC9"/>
    <w:rsid w:val="00157B45"/>
    <w:rsid w:val="00157FCA"/>
    <w:rsid w:val="001600F7"/>
    <w:rsid w:val="00161395"/>
    <w:rsid w:val="001620B8"/>
    <w:rsid w:val="001651C8"/>
    <w:rsid w:val="0017029A"/>
    <w:rsid w:val="00170A87"/>
    <w:rsid w:val="00175170"/>
    <w:rsid w:val="00175D11"/>
    <w:rsid w:val="001776B7"/>
    <w:rsid w:val="00185BCD"/>
    <w:rsid w:val="00187368"/>
    <w:rsid w:val="00194384"/>
    <w:rsid w:val="001968BE"/>
    <w:rsid w:val="001A053E"/>
    <w:rsid w:val="001A48A9"/>
    <w:rsid w:val="001A7139"/>
    <w:rsid w:val="001A7140"/>
    <w:rsid w:val="001B0A8C"/>
    <w:rsid w:val="001B2920"/>
    <w:rsid w:val="001B3AD1"/>
    <w:rsid w:val="001B47C4"/>
    <w:rsid w:val="001C0A06"/>
    <w:rsid w:val="001C15AA"/>
    <w:rsid w:val="001C2F27"/>
    <w:rsid w:val="001C3A5E"/>
    <w:rsid w:val="001C4215"/>
    <w:rsid w:val="001C6F6A"/>
    <w:rsid w:val="001D0D87"/>
    <w:rsid w:val="001D2891"/>
    <w:rsid w:val="001D57DA"/>
    <w:rsid w:val="001E2527"/>
    <w:rsid w:val="001E25F3"/>
    <w:rsid w:val="001E44B1"/>
    <w:rsid w:val="001E4B8F"/>
    <w:rsid w:val="001E5E06"/>
    <w:rsid w:val="001E6598"/>
    <w:rsid w:val="001E6716"/>
    <w:rsid w:val="001E6B26"/>
    <w:rsid w:val="001F061D"/>
    <w:rsid w:val="001F2867"/>
    <w:rsid w:val="001F390D"/>
    <w:rsid w:val="001F396C"/>
    <w:rsid w:val="001F4B8A"/>
    <w:rsid w:val="001F56A9"/>
    <w:rsid w:val="001F6202"/>
    <w:rsid w:val="001F72FB"/>
    <w:rsid w:val="001F7626"/>
    <w:rsid w:val="0020128C"/>
    <w:rsid w:val="00201F77"/>
    <w:rsid w:val="00202172"/>
    <w:rsid w:val="0020618D"/>
    <w:rsid w:val="00206A26"/>
    <w:rsid w:val="00207A5B"/>
    <w:rsid w:val="00211E3D"/>
    <w:rsid w:val="002120A0"/>
    <w:rsid w:val="002137B9"/>
    <w:rsid w:val="00214380"/>
    <w:rsid w:val="002153EA"/>
    <w:rsid w:val="00215926"/>
    <w:rsid w:val="00217B7F"/>
    <w:rsid w:val="00217E3A"/>
    <w:rsid w:val="0022180C"/>
    <w:rsid w:val="0022243C"/>
    <w:rsid w:val="00222CEF"/>
    <w:rsid w:val="00223A12"/>
    <w:rsid w:val="00224007"/>
    <w:rsid w:val="00224D2E"/>
    <w:rsid w:val="0022679A"/>
    <w:rsid w:val="00227715"/>
    <w:rsid w:val="0023240D"/>
    <w:rsid w:val="00236A58"/>
    <w:rsid w:val="00242FAB"/>
    <w:rsid w:val="0024334F"/>
    <w:rsid w:val="00243C18"/>
    <w:rsid w:val="002466F2"/>
    <w:rsid w:val="002516ED"/>
    <w:rsid w:val="00251E1B"/>
    <w:rsid w:val="00261B75"/>
    <w:rsid w:val="00261D04"/>
    <w:rsid w:val="002630F4"/>
    <w:rsid w:val="00264537"/>
    <w:rsid w:val="002650C3"/>
    <w:rsid w:val="002654A4"/>
    <w:rsid w:val="00265847"/>
    <w:rsid w:val="00265F5A"/>
    <w:rsid w:val="00266C4A"/>
    <w:rsid w:val="00271EA9"/>
    <w:rsid w:val="002721FB"/>
    <w:rsid w:val="002744BC"/>
    <w:rsid w:val="00274AAF"/>
    <w:rsid w:val="00276BC8"/>
    <w:rsid w:val="00277D65"/>
    <w:rsid w:val="00280937"/>
    <w:rsid w:val="002813D8"/>
    <w:rsid w:val="00283613"/>
    <w:rsid w:val="00286BCF"/>
    <w:rsid w:val="00287073"/>
    <w:rsid w:val="002909E7"/>
    <w:rsid w:val="00292999"/>
    <w:rsid w:val="00294EC6"/>
    <w:rsid w:val="002956AC"/>
    <w:rsid w:val="0029685B"/>
    <w:rsid w:val="00296C2B"/>
    <w:rsid w:val="0029734B"/>
    <w:rsid w:val="002A121B"/>
    <w:rsid w:val="002A1409"/>
    <w:rsid w:val="002A3ED3"/>
    <w:rsid w:val="002A5579"/>
    <w:rsid w:val="002A5750"/>
    <w:rsid w:val="002B26E0"/>
    <w:rsid w:val="002B2D6A"/>
    <w:rsid w:val="002B338B"/>
    <w:rsid w:val="002B3AEE"/>
    <w:rsid w:val="002B3F99"/>
    <w:rsid w:val="002B7D5E"/>
    <w:rsid w:val="002C0E0F"/>
    <w:rsid w:val="002C2E9B"/>
    <w:rsid w:val="002C5557"/>
    <w:rsid w:val="002C6788"/>
    <w:rsid w:val="002D0300"/>
    <w:rsid w:val="002D0980"/>
    <w:rsid w:val="002D0E78"/>
    <w:rsid w:val="002D2450"/>
    <w:rsid w:val="002D2EEB"/>
    <w:rsid w:val="002D45F8"/>
    <w:rsid w:val="002D5E4C"/>
    <w:rsid w:val="002D6E4B"/>
    <w:rsid w:val="002D7D23"/>
    <w:rsid w:val="002D7FE3"/>
    <w:rsid w:val="002E02E0"/>
    <w:rsid w:val="002E3EE0"/>
    <w:rsid w:val="002E4A8D"/>
    <w:rsid w:val="002E6973"/>
    <w:rsid w:val="002E798D"/>
    <w:rsid w:val="002F01D0"/>
    <w:rsid w:val="002F0D1D"/>
    <w:rsid w:val="002F0DAA"/>
    <w:rsid w:val="002F195B"/>
    <w:rsid w:val="002F37A0"/>
    <w:rsid w:val="002F3D06"/>
    <w:rsid w:val="002F59C1"/>
    <w:rsid w:val="002F65C8"/>
    <w:rsid w:val="00301DE4"/>
    <w:rsid w:val="00312146"/>
    <w:rsid w:val="0031238D"/>
    <w:rsid w:val="0031497E"/>
    <w:rsid w:val="00320F8D"/>
    <w:rsid w:val="00321A8A"/>
    <w:rsid w:val="003221CD"/>
    <w:rsid w:val="003235CF"/>
    <w:rsid w:val="003311B2"/>
    <w:rsid w:val="0033168C"/>
    <w:rsid w:val="00331AB9"/>
    <w:rsid w:val="00332996"/>
    <w:rsid w:val="00335D7D"/>
    <w:rsid w:val="003372DF"/>
    <w:rsid w:val="003400A0"/>
    <w:rsid w:val="0034315A"/>
    <w:rsid w:val="00343C19"/>
    <w:rsid w:val="00343C82"/>
    <w:rsid w:val="00343F94"/>
    <w:rsid w:val="0034432B"/>
    <w:rsid w:val="0034496E"/>
    <w:rsid w:val="00344986"/>
    <w:rsid w:val="00344DFD"/>
    <w:rsid w:val="003528A4"/>
    <w:rsid w:val="003550E7"/>
    <w:rsid w:val="003552EB"/>
    <w:rsid w:val="00360D31"/>
    <w:rsid w:val="003651AB"/>
    <w:rsid w:val="00365593"/>
    <w:rsid w:val="00366C08"/>
    <w:rsid w:val="00372EB9"/>
    <w:rsid w:val="00373A27"/>
    <w:rsid w:val="003759EA"/>
    <w:rsid w:val="003818F7"/>
    <w:rsid w:val="00381ED4"/>
    <w:rsid w:val="00385C9D"/>
    <w:rsid w:val="0038601A"/>
    <w:rsid w:val="00386C3E"/>
    <w:rsid w:val="00387D57"/>
    <w:rsid w:val="00390B50"/>
    <w:rsid w:val="00390D0B"/>
    <w:rsid w:val="00395D5A"/>
    <w:rsid w:val="0039640A"/>
    <w:rsid w:val="0039676D"/>
    <w:rsid w:val="003A014A"/>
    <w:rsid w:val="003A0C6B"/>
    <w:rsid w:val="003A0E19"/>
    <w:rsid w:val="003A3510"/>
    <w:rsid w:val="003A4A66"/>
    <w:rsid w:val="003A65B0"/>
    <w:rsid w:val="003A72E9"/>
    <w:rsid w:val="003A773F"/>
    <w:rsid w:val="003B005D"/>
    <w:rsid w:val="003B0D9E"/>
    <w:rsid w:val="003B14AF"/>
    <w:rsid w:val="003B1BB0"/>
    <w:rsid w:val="003B1DD1"/>
    <w:rsid w:val="003B21E2"/>
    <w:rsid w:val="003B31C0"/>
    <w:rsid w:val="003B49CF"/>
    <w:rsid w:val="003B630B"/>
    <w:rsid w:val="003B640A"/>
    <w:rsid w:val="003B6F08"/>
    <w:rsid w:val="003B7D80"/>
    <w:rsid w:val="003C18A7"/>
    <w:rsid w:val="003C3400"/>
    <w:rsid w:val="003C3905"/>
    <w:rsid w:val="003C3B61"/>
    <w:rsid w:val="003C5D2F"/>
    <w:rsid w:val="003D3200"/>
    <w:rsid w:val="003D4C01"/>
    <w:rsid w:val="003E02D5"/>
    <w:rsid w:val="003E2A18"/>
    <w:rsid w:val="003E3D2F"/>
    <w:rsid w:val="003E4380"/>
    <w:rsid w:val="003E5B13"/>
    <w:rsid w:val="003F06F9"/>
    <w:rsid w:val="003F4B31"/>
    <w:rsid w:val="00404151"/>
    <w:rsid w:val="004100FA"/>
    <w:rsid w:val="00412DA0"/>
    <w:rsid w:val="00412F3F"/>
    <w:rsid w:val="0041483A"/>
    <w:rsid w:val="00415855"/>
    <w:rsid w:val="00416E2D"/>
    <w:rsid w:val="0041749A"/>
    <w:rsid w:val="004179A1"/>
    <w:rsid w:val="0042249B"/>
    <w:rsid w:val="00424C0D"/>
    <w:rsid w:val="0042771E"/>
    <w:rsid w:val="00427C32"/>
    <w:rsid w:val="00430149"/>
    <w:rsid w:val="00432444"/>
    <w:rsid w:val="00434E73"/>
    <w:rsid w:val="0043521B"/>
    <w:rsid w:val="004401A0"/>
    <w:rsid w:val="004403C0"/>
    <w:rsid w:val="0044049B"/>
    <w:rsid w:val="00442A27"/>
    <w:rsid w:val="0044456F"/>
    <w:rsid w:val="00444EA8"/>
    <w:rsid w:val="00447BC2"/>
    <w:rsid w:val="00452F0A"/>
    <w:rsid w:val="00453CF5"/>
    <w:rsid w:val="00454105"/>
    <w:rsid w:val="0045691E"/>
    <w:rsid w:val="00472BC8"/>
    <w:rsid w:val="00473DB6"/>
    <w:rsid w:val="00475B33"/>
    <w:rsid w:val="0047701C"/>
    <w:rsid w:val="004777F7"/>
    <w:rsid w:val="00480D03"/>
    <w:rsid w:val="00482888"/>
    <w:rsid w:val="00482FBC"/>
    <w:rsid w:val="00486462"/>
    <w:rsid w:val="004866D0"/>
    <w:rsid w:val="0049034F"/>
    <w:rsid w:val="004919AE"/>
    <w:rsid w:val="004A2611"/>
    <w:rsid w:val="004A596A"/>
    <w:rsid w:val="004A7547"/>
    <w:rsid w:val="004B1A19"/>
    <w:rsid w:val="004B4E92"/>
    <w:rsid w:val="004C1CEC"/>
    <w:rsid w:val="004C49BC"/>
    <w:rsid w:val="004D02D9"/>
    <w:rsid w:val="004D085E"/>
    <w:rsid w:val="004D67A6"/>
    <w:rsid w:val="004D6BC0"/>
    <w:rsid w:val="004E5F71"/>
    <w:rsid w:val="004E7133"/>
    <w:rsid w:val="004F1374"/>
    <w:rsid w:val="004F31BE"/>
    <w:rsid w:val="004F323A"/>
    <w:rsid w:val="004F4DF7"/>
    <w:rsid w:val="004F4F12"/>
    <w:rsid w:val="004F5761"/>
    <w:rsid w:val="004F6357"/>
    <w:rsid w:val="004F6680"/>
    <w:rsid w:val="004F7DD0"/>
    <w:rsid w:val="005071E5"/>
    <w:rsid w:val="005079ED"/>
    <w:rsid w:val="00511533"/>
    <w:rsid w:val="00512547"/>
    <w:rsid w:val="0051376A"/>
    <w:rsid w:val="00514428"/>
    <w:rsid w:val="00516085"/>
    <w:rsid w:val="00517623"/>
    <w:rsid w:val="0052068F"/>
    <w:rsid w:val="00520E2A"/>
    <w:rsid w:val="00523655"/>
    <w:rsid w:val="005236E6"/>
    <w:rsid w:val="00523833"/>
    <w:rsid w:val="00532AD2"/>
    <w:rsid w:val="00532CC8"/>
    <w:rsid w:val="0053530C"/>
    <w:rsid w:val="00535A6C"/>
    <w:rsid w:val="005374FC"/>
    <w:rsid w:val="00537F88"/>
    <w:rsid w:val="00541352"/>
    <w:rsid w:val="00541C50"/>
    <w:rsid w:val="0054678C"/>
    <w:rsid w:val="005473DF"/>
    <w:rsid w:val="00547872"/>
    <w:rsid w:val="00551C08"/>
    <w:rsid w:val="00554737"/>
    <w:rsid w:val="00560F45"/>
    <w:rsid w:val="00564750"/>
    <w:rsid w:val="005662A8"/>
    <w:rsid w:val="00570A68"/>
    <w:rsid w:val="005720A9"/>
    <w:rsid w:val="00574024"/>
    <w:rsid w:val="005764C4"/>
    <w:rsid w:val="00581679"/>
    <w:rsid w:val="00582A45"/>
    <w:rsid w:val="005851A7"/>
    <w:rsid w:val="005929A1"/>
    <w:rsid w:val="005967F7"/>
    <w:rsid w:val="00596D30"/>
    <w:rsid w:val="00597716"/>
    <w:rsid w:val="00597999"/>
    <w:rsid w:val="005A0243"/>
    <w:rsid w:val="005A28D3"/>
    <w:rsid w:val="005A2D5C"/>
    <w:rsid w:val="005A3F43"/>
    <w:rsid w:val="005A52FD"/>
    <w:rsid w:val="005A5D64"/>
    <w:rsid w:val="005A68B4"/>
    <w:rsid w:val="005A6D8F"/>
    <w:rsid w:val="005B119F"/>
    <w:rsid w:val="005B242C"/>
    <w:rsid w:val="005B2601"/>
    <w:rsid w:val="005B304C"/>
    <w:rsid w:val="005B36EC"/>
    <w:rsid w:val="005B378D"/>
    <w:rsid w:val="005B3A70"/>
    <w:rsid w:val="005B50BD"/>
    <w:rsid w:val="005B50F5"/>
    <w:rsid w:val="005C19B3"/>
    <w:rsid w:val="005C3D85"/>
    <w:rsid w:val="005C4EE1"/>
    <w:rsid w:val="005D01E8"/>
    <w:rsid w:val="005D1923"/>
    <w:rsid w:val="005D1D3E"/>
    <w:rsid w:val="005D2BE4"/>
    <w:rsid w:val="005D435A"/>
    <w:rsid w:val="005D4D78"/>
    <w:rsid w:val="005D73D5"/>
    <w:rsid w:val="005D7B02"/>
    <w:rsid w:val="005E1EF6"/>
    <w:rsid w:val="005E2E6A"/>
    <w:rsid w:val="005E3A1D"/>
    <w:rsid w:val="005E3A84"/>
    <w:rsid w:val="005E4C44"/>
    <w:rsid w:val="005F06E4"/>
    <w:rsid w:val="005F4539"/>
    <w:rsid w:val="005F55F8"/>
    <w:rsid w:val="005F561F"/>
    <w:rsid w:val="00601171"/>
    <w:rsid w:val="0060141B"/>
    <w:rsid w:val="0060250A"/>
    <w:rsid w:val="006139FE"/>
    <w:rsid w:val="00614548"/>
    <w:rsid w:val="00614A50"/>
    <w:rsid w:val="00616010"/>
    <w:rsid w:val="00616815"/>
    <w:rsid w:val="00617522"/>
    <w:rsid w:val="00617EC0"/>
    <w:rsid w:val="00623576"/>
    <w:rsid w:val="0062702B"/>
    <w:rsid w:val="00627139"/>
    <w:rsid w:val="006319AC"/>
    <w:rsid w:val="00631D07"/>
    <w:rsid w:val="006329FC"/>
    <w:rsid w:val="00636FA5"/>
    <w:rsid w:val="00640F19"/>
    <w:rsid w:val="00641CB6"/>
    <w:rsid w:val="00642241"/>
    <w:rsid w:val="00646AD1"/>
    <w:rsid w:val="00654300"/>
    <w:rsid w:val="00654916"/>
    <w:rsid w:val="006557F3"/>
    <w:rsid w:val="006563B0"/>
    <w:rsid w:val="0066135E"/>
    <w:rsid w:val="006613D2"/>
    <w:rsid w:val="006654BD"/>
    <w:rsid w:val="00667A5B"/>
    <w:rsid w:val="0067261A"/>
    <w:rsid w:val="006734D8"/>
    <w:rsid w:val="00676666"/>
    <w:rsid w:val="006822E6"/>
    <w:rsid w:val="006850FF"/>
    <w:rsid w:val="006865E5"/>
    <w:rsid w:val="006866A7"/>
    <w:rsid w:val="00686BD5"/>
    <w:rsid w:val="0068705F"/>
    <w:rsid w:val="006957B2"/>
    <w:rsid w:val="00695C58"/>
    <w:rsid w:val="00697FF2"/>
    <w:rsid w:val="006A0041"/>
    <w:rsid w:val="006A4EE5"/>
    <w:rsid w:val="006A581A"/>
    <w:rsid w:val="006A678A"/>
    <w:rsid w:val="006B0245"/>
    <w:rsid w:val="006B0272"/>
    <w:rsid w:val="006B058B"/>
    <w:rsid w:val="006B0BB4"/>
    <w:rsid w:val="006B3E5C"/>
    <w:rsid w:val="006B6F8E"/>
    <w:rsid w:val="006C04A5"/>
    <w:rsid w:val="006C1AE8"/>
    <w:rsid w:val="006C2479"/>
    <w:rsid w:val="006C3684"/>
    <w:rsid w:val="006C618F"/>
    <w:rsid w:val="006C686D"/>
    <w:rsid w:val="006C7057"/>
    <w:rsid w:val="006D0A1F"/>
    <w:rsid w:val="006D51E6"/>
    <w:rsid w:val="006D6CA0"/>
    <w:rsid w:val="006D7D22"/>
    <w:rsid w:val="006E15BB"/>
    <w:rsid w:val="006E1B0A"/>
    <w:rsid w:val="006E2F79"/>
    <w:rsid w:val="006E4F66"/>
    <w:rsid w:val="006E5374"/>
    <w:rsid w:val="006E6315"/>
    <w:rsid w:val="006F24D5"/>
    <w:rsid w:val="006F348E"/>
    <w:rsid w:val="00700212"/>
    <w:rsid w:val="00701501"/>
    <w:rsid w:val="00702F5F"/>
    <w:rsid w:val="007036FA"/>
    <w:rsid w:val="00704FCA"/>
    <w:rsid w:val="007118F1"/>
    <w:rsid w:val="00712F7A"/>
    <w:rsid w:val="00713765"/>
    <w:rsid w:val="007151BC"/>
    <w:rsid w:val="00715226"/>
    <w:rsid w:val="00715BA1"/>
    <w:rsid w:val="007179DF"/>
    <w:rsid w:val="00717DDD"/>
    <w:rsid w:val="00720AC6"/>
    <w:rsid w:val="00720C13"/>
    <w:rsid w:val="00724523"/>
    <w:rsid w:val="00725BDE"/>
    <w:rsid w:val="00726CB5"/>
    <w:rsid w:val="00730D35"/>
    <w:rsid w:val="00731ACB"/>
    <w:rsid w:val="00734B89"/>
    <w:rsid w:val="007355DC"/>
    <w:rsid w:val="0074082D"/>
    <w:rsid w:val="00742012"/>
    <w:rsid w:val="007422CD"/>
    <w:rsid w:val="007449A0"/>
    <w:rsid w:val="007457C0"/>
    <w:rsid w:val="00751118"/>
    <w:rsid w:val="00751D75"/>
    <w:rsid w:val="00752800"/>
    <w:rsid w:val="00752885"/>
    <w:rsid w:val="00754053"/>
    <w:rsid w:val="00754817"/>
    <w:rsid w:val="00755690"/>
    <w:rsid w:val="00756167"/>
    <w:rsid w:val="00757EC2"/>
    <w:rsid w:val="00760BCB"/>
    <w:rsid w:val="00763A78"/>
    <w:rsid w:val="0076440B"/>
    <w:rsid w:val="00766637"/>
    <w:rsid w:val="0077002E"/>
    <w:rsid w:val="00771099"/>
    <w:rsid w:val="00772915"/>
    <w:rsid w:val="00774EEB"/>
    <w:rsid w:val="007750A2"/>
    <w:rsid w:val="007751CB"/>
    <w:rsid w:val="00777F7E"/>
    <w:rsid w:val="007826C0"/>
    <w:rsid w:val="00783601"/>
    <w:rsid w:val="0078397D"/>
    <w:rsid w:val="00784755"/>
    <w:rsid w:val="00784CD2"/>
    <w:rsid w:val="007852FF"/>
    <w:rsid w:val="00785DAD"/>
    <w:rsid w:val="00786F53"/>
    <w:rsid w:val="007900FB"/>
    <w:rsid w:val="00791ABE"/>
    <w:rsid w:val="00792F96"/>
    <w:rsid w:val="007934CD"/>
    <w:rsid w:val="00793B40"/>
    <w:rsid w:val="007A068B"/>
    <w:rsid w:val="007A2805"/>
    <w:rsid w:val="007A3543"/>
    <w:rsid w:val="007A69DD"/>
    <w:rsid w:val="007A7B32"/>
    <w:rsid w:val="007B10EC"/>
    <w:rsid w:val="007B257E"/>
    <w:rsid w:val="007B2BE0"/>
    <w:rsid w:val="007B5AD1"/>
    <w:rsid w:val="007B6F94"/>
    <w:rsid w:val="007B7018"/>
    <w:rsid w:val="007B73CF"/>
    <w:rsid w:val="007C1F79"/>
    <w:rsid w:val="007C27B3"/>
    <w:rsid w:val="007C5E2B"/>
    <w:rsid w:val="007C6EF3"/>
    <w:rsid w:val="007D0E3D"/>
    <w:rsid w:val="007D1C84"/>
    <w:rsid w:val="007D3114"/>
    <w:rsid w:val="007D37A3"/>
    <w:rsid w:val="007D461D"/>
    <w:rsid w:val="007D5A6E"/>
    <w:rsid w:val="007D6919"/>
    <w:rsid w:val="007E1D44"/>
    <w:rsid w:val="007E5BC9"/>
    <w:rsid w:val="007E6D2A"/>
    <w:rsid w:val="007F0E5F"/>
    <w:rsid w:val="007F156C"/>
    <w:rsid w:val="007F2C3E"/>
    <w:rsid w:val="007F30D0"/>
    <w:rsid w:val="007F3179"/>
    <w:rsid w:val="007F397B"/>
    <w:rsid w:val="007F42EE"/>
    <w:rsid w:val="007F469F"/>
    <w:rsid w:val="007F62C0"/>
    <w:rsid w:val="007F6413"/>
    <w:rsid w:val="008018CB"/>
    <w:rsid w:val="00801A41"/>
    <w:rsid w:val="008035B2"/>
    <w:rsid w:val="008046AD"/>
    <w:rsid w:val="00805A10"/>
    <w:rsid w:val="00810ACC"/>
    <w:rsid w:val="008137BB"/>
    <w:rsid w:val="00813979"/>
    <w:rsid w:val="0081467C"/>
    <w:rsid w:val="00816A2E"/>
    <w:rsid w:val="008201DF"/>
    <w:rsid w:val="00822DD5"/>
    <w:rsid w:val="00823770"/>
    <w:rsid w:val="00825A87"/>
    <w:rsid w:val="00826C22"/>
    <w:rsid w:val="00827DB4"/>
    <w:rsid w:val="0083515F"/>
    <w:rsid w:val="00836134"/>
    <w:rsid w:val="00837B9B"/>
    <w:rsid w:val="00840AFD"/>
    <w:rsid w:val="00844949"/>
    <w:rsid w:val="00845DC7"/>
    <w:rsid w:val="008464F5"/>
    <w:rsid w:val="00847DC8"/>
    <w:rsid w:val="00850487"/>
    <w:rsid w:val="00850BB7"/>
    <w:rsid w:val="00860E5F"/>
    <w:rsid w:val="008632F0"/>
    <w:rsid w:val="00864E37"/>
    <w:rsid w:val="00866AD5"/>
    <w:rsid w:val="008678C5"/>
    <w:rsid w:val="0087528E"/>
    <w:rsid w:val="00876D72"/>
    <w:rsid w:val="0088087D"/>
    <w:rsid w:val="00880B2B"/>
    <w:rsid w:val="00882965"/>
    <w:rsid w:val="00885FF8"/>
    <w:rsid w:val="00891DE7"/>
    <w:rsid w:val="00892002"/>
    <w:rsid w:val="008939DD"/>
    <w:rsid w:val="00893EA8"/>
    <w:rsid w:val="008948E8"/>
    <w:rsid w:val="00896FEC"/>
    <w:rsid w:val="00897349"/>
    <w:rsid w:val="008A0840"/>
    <w:rsid w:val="008A0FDF"/>
    <w:rsid w:val="008A11B2"/>
    <w:rsid w:val="008A1A06"/>
    <w:rsid w:val="008A2DBA"/>
    <w:rsid w:val="008B0F3E"/>
    <w:rsid w:val="008B2F12"/>
    <w:rsid w:val="008B4A4A"/>
    <w:rsid w:val="008B5AAD"/>
    <w:rsid w:val="008B7B48"/>
    <w:rsid w:val="008B7CD3"/>
    <w:rsid w:val="008C1FA1"/>
    <w:rsid w:val="008C34AA"/>
    <w:rsid w:val="008C3CA5"/>
    <w:rsid w:val="008C74DC"/>
    <w:rsid w:val="008D17FC"/>
    <w:rsid w:val="008D4BCB"/>
    <w:rsid w:val="008D50A4"/>
    <w:rsid w:val="008D6456"/>
    <w:rsid w:val="008E1DE3"/>
    <w:rsid w:val="008E4EB2"/>
    <w:rsid w:val="008E5147"/>
    <w:rsid w:val="008E59CF"/>
    <w:rsid w:val="008E5B7F"/>
    <w:rsid w:val="008E5EE0"/>
    <w:rsid w:val="008E62CB"/>
    <w:rsid w:val="008E7198"/>
    <w:rsid w:val="008F23A8"/>
    <w:rsid w:val="008F5117"/>
    <w:rsid w:val="008F681D"/>
    <w:rsid w:val="00901EB0"/>
    <w:rsid w:val="009020FC"/>
    <w:rsid w:val="00905651"/>
    <w:rsid w:val="009068BA"/>
    <w:rsid w:val="009113B6"/>
    <w:rsid w:val="00912073"/>
    <w:rsid w:val="009121FC"/>
    <w:rsid w:val="00912605"/>
    <w:rsid w:val="009171B3"/>
    <w:rsid w:val="00920613"/>
    <w:rsid w:val="00921F7E"/>
    <w:rsid w:val="009229CF"/>
    <w:rsid w:val="009272CC"/>
    <w:rsid w:val="00937225"/>
    <w:rsid w:val="00937B3E"/>
    <w:rsid w:val="00937E4D"/>
    <w:rsid w:val="00941DE0"/>
    <w:rsid w:val="0094375A"/>
    <w:rsid w:val="00945AB0"/>
    <w:rsid w:val="0094752E"/>
    <w:rsid w:val="009526DD"/>
    <w:rsid w:val="00952DD2"/>
    <w:rsid w:val="00953E9D"/>
    <w:rsid w:val="009607CF"/>
    <w:rsid w:val="00960DAD"/>
    <w:rsid w:val="00960F03"/>
    <w:rsid w:val="00962CA8"/>
    <w:rsid w:val="00963468"/>
    <w:rsid w:val="009645FA"/>
    <w:rsid w:val="00965328"/>
    <w:rsid w:val="00970CB6"/>
    <w:rsid w:val="00971323"/>
    <w:rsid w:val="0097319B"/>
    <w:rsid w:val="00973D8F"/>
    <w:rsid w:val="009752AA"/>
    <w:rsid w:val="00975EF9"/>
    <w:rsid w:val="0097659E"/>
    <w:rsid w:val="00976979"/>
    <w:rsid w:val="009809EE"/>
    <w:rsid w:val="00981119"/>
    <w:rsid w:val="00983AA0"/>
    <w:rsid w:val="009864B6"/>
    <w:rsid w:val="00993903"/>
    <w:rsid w:val="00994097"/>
    <w:rsid w:val="00997006"/>
    <w:rsid w:val="009A45A4"/>
    <w:rsid w:val="009A77A5"/>
    <w:rsid w:val="009B279C"/>
    <w:rsid w:val="009B3A9E"/>
    <w:rsid w:val="009B44A5"/>
    <w:rsid w:val="009B4A7E"/>
    <w:rsid w:val="009B5D9F"/>
    <w:rsid w:val="009B6BC3"/>
    <w:rsid w:val="009B6C6A"/>
    <w:rsid w:val="009B6DA2"/>
    <w:rsid w:val="009B733D"/>
    <w:rsid w:val="009B74B6"/>
    <w:rsid w:val="009C0B60"/>
    <w:rsid w:val="009C245B"/>
    <w:rsid w:val="009C79CF"/>
    <w:rsid w:val="009D2208"/>
    <w:rsid w:val="009D4B29"/>
    <w:rsid w:val="009D6DFF"/>
    <w:rsid w:val="009D753C"/>
    <w:rsid w:val="009D78A4"/>
    <w:rsid w:val="009E1195"/>
    <w:rsid w:val="009E3CA5"/>
    <w:rsid w:val="009F1051"/>
    <w:rsid w:val="009F1275"/>
    <w:rsid w:val="009F66F3"/>
    <w:rsid w:val="009F6DAD"/>
    <w:rsid w:val="00A00941"/>
    <w:rsid w:val="00A01BFF"/>
    <w:rsid w:val="00A0219F"/>
    <w:rsid w:val="00A0339D"/>
    <w:rsid w:val="00A0413E"/>
    <w:rsid w:val="00A0635C"/>
    <w:rsid w:val="00A07EE2"/>
    <w:rsid w:val="00A10F77"/>
    <w:rsid w:val="00A1104C"/>
    <w:rsid w:val="00A119B4"/>
    <w:rsid w:val="00A13BFA"/>
    <w:rsid w:val="00A13C12"/>
    <w:rsid w:val="00A14A66"/>
    <w:rsid w:val="00A15670"/>
    <w:rsid w:val="00A2066E"/>
    <w:rsid w:val="00A22692"/>
    <w:rsid w:val="00A33AE8"/>
    <w:rsid w:val="00A415BD"/>
    <w:rsid w:val="00A43508"/>
    <w:rsid w:val="00A43A89"/>
    <w:rsid w:val="00A44701"/>
    <w:rsid w:val="00A47381"/>
    <w:rsid w:val="00A47DFC"/>
    <w:rsid w:val="00A51573"/>
    <w:rsid w:val="00A52E3D"/>
    <w:rsid w:val="00A53B5E"/>
    <w:rsid w:val="00A54134"/>
    <w:rsid w:val="00A55C22"/>
    <w:rsid w:val="00A6041B"/>
    <w:rsid w:val="00A60E19"/>
    <w:rsid w:val="00A617DB"/>
    <w:rsid w:val="00A6274F"/>
    <w:rsid w:val="00A64215"/>
    <w:rsid w:val="00A66277"/>
    <w:rsid w:val="00A7038C"/>
    <w:rsid w:val="00A71A0C"/>
    <w:rsid w:val="00A71DB8"/>
    <w:rsid w:val="00A71E2B"/>
    <w:rsid w:val="00A72419"/>
    <w:rsid w:val="00A72C4C"/>
    <w:rsid w:val="00A72FFE"/>
    <w:rsid w:val="00A73655"/>
    <w:rsid w:val="00A76158"/>
    <w:rsid w:val="00A769D2"/>
    <w:rsid w:val="00A77B9A"/>
    <w:rsid w:val="00A82DED"/>
    <w:rsid w:val="00A8468F"/>
    <w:rsid w:val="00A872AB"/>
    <w:rsid w:val="00A902F1"/>
    <w:rsid w:val="00A949C6"/>
    <w:rsid w:val="00A9564A"/>
    <w:rsid w:val="00AA4122"/>
    <w:rsid w:val="00AA4253"/>
    <w:rsid w:val="00AB069E"/>
    <w:rsid w:val="00AB1A2E"/>
    <w:rsid w:val="00AB701B"/>
    <w:rsid w:val="00AB7573"/>
    <w:rsid w:val="00AC04EE"/>
    <w:rsid w:val="00AC0D5C"/>
    <w:rsid w:val="00AC215F"/>
    <w:rsid w:val="00AC3783"/>
    <w:rsid w:val="00AD1513"/>
    <w:rsid w:val="00AD4CB3"/>
    <w:rsid w:val="00AD5E2F"/>
    <w:rsid w:val="00AD6C2C"/>
    <w:rsid w:val="00AE0C82"/>
    <w:rsid w:val="00AE105B"/>
    <w:rsid w:val="00AE1EFA"/>
    <w:rsid w:val="00AE5A2B"/>
    <w:rsid w:val="00AE5ABC"/>
    <w:rsid w:val="00AE5FF3"/>
    <w:rsid w:val="00AE770F"/>
    <w:rsid w:val="00AF12AB"/>
    <w:rsid w:val="00AF1870"/>
    <w:rsid w:val="00AF3875"/>
    <w:rsid w:val="00AF3F24"/>
    <w:rsid w:val="00AF70B5"/>
    <w:rsid w:val="00B038CF"/>
    <w:rsid w:val="00B052CB"/>
    <w:rsid w:val="00B1272B"/>
    <w:rsid w:val="00B138BF"/>
    <w:rsid w:val="00B158A9"/>
    <w:rsid w:val="00B15E78"/>
    <w:rsid w:val="00B166CB"/>
    <w:rsid w:val="00B168C9"/>
    <w:rsid w:val="00B17421"/>
    <w:rsid w:val="00B17E9C"/>
    <w:rsid w:val="00B23C66"/>
    <w:rsid w:val="00B311FE"/>
    <w:rsid w:val="00B36515"/>
    <w:rsid w:val="00B3748E"/>
    <w:rsid w:val="00B3787C"/>
    <w:rsid w:val="00B46C7C"/>
    <w:rsid w:val="00B46CD4"/>
    <w:rsid w:val="00B47F74"/>
    <w:rsid w:val="00B5009C"/>
    <w:rsid w:val="00B50E6A"/>
    <w:rsid w:val="00B522D0"/>
    <w:rsid w:val="00B5422B"/>
    <w:rsid w:val="00B54387"/>
    <w:rsid w:val="00B54C14"/>
    <w:rsid w:val="00B5671B"/>
    <w:rsid w:val="00B56E47"/>
    <w:rsid w:val="00B6215C"/>
    <w:rsid w:val="00B62756"/>
    <w:rsid w:val="00B62A32"/>
    <w:rsid w:val="00B6326A"/>
    <w:rsid w:val="00B64286"/>
    <w:rsid w:val="00B647F3"/>
    <w:rsid w:val="00B7115C"/>
    <w:rsid w:val="00B71AA4"/>
    <w:rsid w:val="00B751FC"/>
    <w:rsid w:val="00B75EC0"/>
    <w:rsid w:val="00B7746F"/>
    <w:rsid w:val="00B808C1"/>
    <w:rsid w:val="00B81BF6"/>
    <w:rsid w:val="00B82246"/>
    <w:rsid w:val="00B83B86"/>
    <w:rsid w:val="00B84283"/>
    <w:rsid w:val="00B85282"/>
    <w:rsid w:val="00B87925"/>
    <w:rsid w:val="00B87F02"/>
    <w:rsid w:val="00B90548"/>
    <w:rsid w:val="00B91209"/>
    <w:rsid w:val="00B91E2F"/>
    <w:rsid w:val="00B92D35"/>
    <w:rsid w:val="00B94550"/>
    <w:rsid w:val="00B94B9A"/>
    <w:rsid w:val="00B94CB1"/>
    <w:rsid w:val="00B94FAC"/>
    <w:rsid w:val="00B97B43"/>
    <w:rsid w:val="00B97CE6"/>
    <w:rsid w:val="00B97EC4"/>
    <w:rsid w:val="00BA44F4"/>
    <w:rsid w:val="00BA557D"/>
    <w:rsid w:val="00BB1A1A"/>
    <w:rsid w:val="00BB347A"/>
    <w:rsid w:val="00BB7582"/>
    <w:rsid w:val="00BC01B3"/>
    <w:rsid w:val="00BC308F"/>
    <w:rsid w:val="00BC43BB"/>
    <w:rsid w:val="00BC4F34"/>
    <w:rsid w:val="00BC7CB8"/>
    <w:rsid w:val="00BD031C"/>
    <w:rsid w:val="00BD121C"/>
    <w:rsid w:val="00BD2BAD"/>
    <w:rsid w:val="00BD3B93"/>
    <w:rsid w:val="00BD5089"/>
    <w:rsid w:val="00BD5887"/>
    <w:rsid w:val="00BD7119"/>
    <w:rsid w:val="00BE1664"/>
    <w:rsid w:val="00BE1DC6"/>
    <w:rsid w:val="00BE4717"/>
    <w:rsid w:val="00BF3A02"/>
    <w:rsid w:val="00BF7CA1"/>
    <w:rsid w:val="00C0095A"/>
    <w:rsid w:val="00C01EEC"/>
    <w:rsid w:val="00C034C0"/>
    <w:rsid w:val="00C0409F"/>
    <w:rsid w:val="00C04383"/>
    <w:rsid w:val="00C05A90"/>
    <w:rsid w:val="00C0720C"/>
    <w:rsid w:val="00C1012C"/>
    <w:rsid w:val="00C1068D"/>
    <w:rsid w:val="00C11B2D"/>
    <w:rsid w:val="00C12678"/>
    <w:rsid w:val="00C133B2"/>
    <w:rsid w:val="00C148E6"/>
    <w:rsid w:val="00C155F9"/>
    <w:rsid w:val="00C218FE"/>
    <w:rsid w:val="00C2339A"/>
    <w:rsid w:val="00C2350C"/>
    <w:rsid w:val="00C25C81"/>
    <w:rsid w:val="00C260FE"/>
    <w:rsid w:val="00C263E9"/>
    <w:rsid w:val="00C31B58"/>
    <w:rsid w:val="00C32531"/>
    <w:rsid w:val="00C34C71"/>
    <w:rsid w:val="00C35B06"/>
    <w:rsid w:val="00C414D8"/>
    <w:rsid w:val="00C421A3"/>
    <w:rsid w:val="00C430FA"/>
    <w:rsid w:val="00C46707"/>
    <w:rsid w:val="00C47506"/>
    <w:rsid w:val="00C51865"/>
    <w:rsid w:val="00C5207A"/>
    <w:rsid w:val="00C52FFD"/>
    <w:rsid w:val="00C5499F"/>
    <w:rsid w:val="00C5783F"/>
    <w:rsid w:val="00C60A40"/>
    <w:rsid w:val="00C61F50"/>
    <w:rsid w:val="00C6583B"/>
    <w:rsid w:val="00C65F09"/>
    <w:rsid w:val="00C71F40"/>
    <w:rsid w:val="00C7292D"/>
    <w:rsid w:val="00C72D36"/>
    <w:rsid w:val="00C75809"/>
    <w:rsid w:val="00C75D4B"/>
    <w:rsid w:val="00C76226"/>
    <w:rsid w:val="00C76DF7"/>
    <w:rsid w:val="00C7748B"/>
    <w:rsid w:val="00C813BC"/>
    <w:rsid w:val="00C8151E"/>
    <w:rsid w:val="00C819B3"/>
    <w:rsid w:val="00C82F33"/>
    <w:rsid w:val="00C836D1"/>
    <w:rsid w:val="00C85A48"/>
    <w:rsid w:val="00C905FD"/>
    <w:rsid w:val="00C923AC"/>
    <w:rsid w:val="00CA0F9E"/>
    <w:rsid w:val="00CA1AB1"/>
    <w:rsid w:val="00CA3958"/>
    <w:rsid w:val="00CB193F"/>
    <w:rsid w:val="00CB2FF5"/>
    <w:rsid w:val="00CB3B98"/>
    <w:rsid w:val="00CB405A"/>
    <w:rsid w:val="00CB5E2C"/>
    <w:rsid w:val="00CB6027"/>
    <w:rsid w:val="00CC1E05"/>
    <w:rsid w:val="00CC70E6"/>
    <w:rsid w:val="00CC7385"/>
    <w:rsid w:val="00CC7A93"/>
    <w:rsid w:val="00CC7BE9"/>
    <w:rsid w:val="00CC7E09"/>
    <w:rsid w:val="00CD43EE"/>
    <w:rsid w:val="00CD63A5"/>
    <w:rsid w:val="00CD66DC"/>
    <w:rsid w:val="00CE38C4"/>
    <w:rsid w:val="00CE43B6"/>
    <w:rsid w:val="00CE7E26"/>
    <w:rsid w:val="00CF1377"/>
    <w:rsid w:val="00CF1779"/>
    <w:rsid w:val="00CF21FC"/>
    <w:rsid w:val="00CF51AE"/>
    <w:rsid w:val="00CF607A"/>
    <w:rsid w:val="00D00410"/>
    <w:rsid w:val="00D00727"/>
    <w:rsid w:val="00D01BD6"/>
    <w:rsid w:val="00D02055"/>
    <w:rsid w:val="00D0394E"/>
    <w:rsid w:val="00D03A3D"/>
    <w:rsid w:val="00D07E95"/>
    <w:rsid w:val="00D10A69"/>
    <w:rsid w:val="00D111FB"/>
    <w:rsid w:val="00D16A44"/>
    <w:rsid w:val="00D217FD"/>
    <w:rsid w:val="00D21C51"/>
    <w:rsid w:val="00D22961"/>
    <w:rsid w:val="00D2407A"/>
    <w:rsid w:val="00D25208"/>
    <w:rsid w:val="00D26408"/>
    <w:rsid w:val="00D264DC"/>
    <w:rsid w:val="00D270D2"/>
    <w:rsid w:val="00D30C34"/>
    <w:rsid w:val="00D32522"/>
    <w:rsid w:val="00D343DF"/>
    <w:rsid w:val="00D36CF1"/>
    <w:rsid w:val="00D4064F"/>
    <w:rsid w:val="00D406BD"/>
    <w:rsid w:val="00D41413"/>
    <w:rsid w:val="00D41D1C"/>
    <w:rsid w:val="00D423BF"/>
    <w:rsid w:val="00D473DF"/>
    <w:rsid w:val="00D474E7"/>
    <w:rsid w:val="00D502B8"/>
    <w:rsid w:val="00D51914"/>
    <w:rsid w:val="00D51C37"/>
    <w:rsid w:val="00D52F04"/>
    <w:rsid w:val="00D5406A"/>
    <w:rsid w:val="00D56496"/>
    <w:rsid w:val="00D56A55"/>
    <w:rsid w:val="00D57A28"/>
    <w:rsid w:val="00D62C84"/>
    <w:rsid w:val="00D64C62"/>
    <w:rsid w:val="00D65626"/>
    <w:rsid w:val="00D7059B"/>
    <w:rsid w:val="00D71385"/>
    <w:rsid w:val="00D75DF8"/>
    <w:rsid w:val="00D76911"/>
    <w:rsid w:val="00D8070C"/>
    <w:rsid w:val="00D80BD8"/>
    <w:rsid w:val="00D84E3D"/>
    <w:rsid w:val="00D8567D"/>
    <w:rsid w:val="00D86EDA"/>
    <w:rsid w:val="00D9387D"/>
    <w:rsid w:val="00D95233"/>
    <w:rsid w:val="00D95B57"/>
    <w:rsid w:val="00DA0236"/>
    <w:rsid w:val="00DA4F39"/>
    <w:rsid w:val="00DA65CE"/>
    <w:rsid w:val="00DB08D4"/>
    <w:rsid w:val="00DB409A"/>
    <w:rsid w:val="00DB4504"/>
    <w:rsid w:val="00DB4BCE"/>
    <w:rsid w:val="00DB50BF"/>
    <w:rsid w:val="00DB6667"/>
    <w:rsid w:val="00DC08C6"/>
    <w:rsid w:val="00DC214D"/>
    <w:rsid w:val="00DC387D"/>
    <w:rsid w:val="00DC4284"/>
    <w:rsid w:val="00DC7FF3"/>
    <w:rsid w:val="00DD3080"/>
    <w:rsid w:val="00DD372E"/>
    <w:rsid w:val="00DD6A9C"/>
    <w:rsid w:val="00DE04F1"/>
    <w:rsid w:val="00DE5E3F"/>
    <w:rsid w:val="00DE72E5"/>
    <w:rsid w:val="00DE7CE3"/>
    <w:rsid w:val="00DF21DE"/>
    <w:rsid w:val="00DF3B3B"/>
    <w:rsid w:val="00DF421F"/>
    <w:rsid w:val="00E01AE5"/>
    <w:rsid w:val="00E02A67"/>
    <w:rsid w:val="00E059BD"/>
    <w:rsid w:val="00E06EA9"/>
    <w:rsid w:val="00E071FF"/>
    <w:rsid w:val="00E075C4"/>
    <w:rsid w:val="00E07784"/>
    <w:rsid w:val="00E12FA1"/>
    <w:rsid w:val="00E14C33"/>
    <w:rsid w:val="00E164B2"/>
    <w:rsid w:val="00E168DD"/>
    <w:rsid w:val="00E208EB"/>
    <w:rsid w:val="00E23E2E"/>
    <w:rsid w:val="00E240A2"/>
    <w:rsid w:val="00E24B4C"/>
    <w:rsid w:val="00E2576E"/>
    <w:rsid w:val="00E26473"/>
    <w:rsid w:val="00E2685C"/>
    <w:rsid w:val="00E30072"/>
    <w:rsid w:val="00E300F5"/>
    <w:rsid w:val="00E33031"/>
    <w:rsid w:val="00E3610A"/>
    <w:rsid w:val="00E365C2"/>
    <w:rsid w:val="00E36A97"/>
    <w:rsid w:val="00E40231"/>
    <w:rsid w:val="00E417F1"/>
    <w:rsid w:val="00E41D79"/>
    <w:rsid w:val="00E44BD4"/>
    <w:rsid w:val="00E45522"/>
    <w:rsid w:val="00E46BFF"/>
    <w:rsid w:val="00E531E2"/>
    <w:rsid w:val="00E543D5"/>
    <w:rsid w:val="00E57F35"/>
    <w:rsid w:val="00E6051A"/>
    <w:rsid w:val="00E64AB3"/>
    <w:rsid w:val="00E65C13"/>
    <w:rsid w:val="00E66092"/>
    <w:rsid w:val="00E674EE"/>
    <w:rsid w:val="00E72CCB"/>
    <w:rsid w:val="00E73663"/>
    <w:rsid w:val="00E751B5"/>
    <w:rsid w:val="00E75239"/>
    <w:rsid w:val="00E759F3"/>
    <w:rsid w:val="00E8114B"/>
    <w:rsid w:val="00E8126E"/>
    <w:rsid w:val="00E83786"/>
    <w:rsid w:val="00E87E34"/>
    <w:rsid w:val="00E90E04"/>
    <w:rsid w:val="00E9296D"/>
    <w:rsid w:val="00E94794"/>
    <w:rsid w:val="00E97B89"/>
    <w:rsid w:val="00EA016A"/>
    <w:rsid w:val="00EA2379"/>
    <w:rsid w:val="00EA4F32"/>
    <w:rsid w:val="00EA5259"/>
    <w:rsid w:val="00EA55F1"/>
    <w:rsid w:val="00EB3DB8"/>
    <w:rsid w:val="00EB5709"/>
    <w:rsid w:val="00EB612D"/>
    <w:rsid w:val="00EB66C1"/>
    <w:rsid w:val="00EC1E00"/>
    <w:rsid w:val="00EC5BB3"/>
    <w:rsid w:val="00EC5F5B"/>
    <w:rsid w:val="00EC6800"/>
    <w:rsid w:val="00EC7B67"/>
    <w:rsid w:val="00ED036F"/>
    <w:rsid w:val="00ED0C82"/>
    <w:rsid w:val="00ED1CF0"/>
    <w:rsid w:val="00ED5F2E"/>
    <w:rsid w:val="00ED6EF6"/>
    <w:rsid w:val="00EE0AAC"/>
    <w:rsid w:val="00EE3F55"/>
    <w:rsid w:val="00EE7028"/>
    <w:rsid w:val="00EF29D1"/>
    <w:rsid w:val="00EF2A56"/>
    <w:rsid w:val="00EF3C37"/>
    <w:rsid w:val="00EF4BFA"/>
    <w:rsid w:val="00EF6BF7"/>
    <w:rsid w:val="00F01760"/>
    <w:rsid w:val="00F06B53"/>
    <w:rsid w:val="00F078C9"/>
    <w:rsid w:val="00F10564"/>
    <w:rsid w:val="00F15153"/>
    <w:rsid w:val="00F167BA"/>
    <w:rsid w:val="00F17060"/>
    <w:rsid w:val="00F2314F"/>
    <w:rsid w:val="00F2492C"/>
    <w:rsid w:val="00F25E8B"/>
    <w:rsid w:val="00F30D5F"/>
    <w:rsid w:val="00F31A48"/>
    <w:rsid w:val="00F32EB6"/>
    <w:rsid w:val="00F37C02"/>
    <w:rsid w:val="00F4503D"/>
    <w:rsid w:val="00F45DF9"/>
    <w:rsid w:val="00F45FC5"/>
    <w:rsid w:val="00F51477"/>
    <w:rsid w:val="00F52F64"/>
    <w:rsid w:val="00F53E1C"/>
    <w:rsid w:val="00F546D9"/>
    <w:rsid w:val="00F55876"/>
    <w:rsid w:val="00F56449"/>
    <w:rsid w:val="00F564B2"/>
    <w:rsid w:val="00F569BC"/>
    <w:rsid w:val="00F62EFC"/>
    <w:rsid w:val="00F648CC"/>
    <w:rsid w:val="00F712E9"/>
    <w:rsid w:val="00F71681"/>
    <w:rsid w:val="00F71AB0"/>
    <w:rsid w:val="00F725D0"/>
    <w:rsid w:val="00F72737"/>
    <w:rsid w:val="00F728E4"/>
    <w:rsid w:val="00F74F11"/>
    <w:rsid w:val="00F769DE"/>
    <w:rsid w:val="00F776B7"/>
    <w:rsid w:val="00F80F0F"/>
    <w:rsid w:val="00F81B42"/>
    <w:rsid w:val="00F860F4"/>
    <w:rsid w:val="00F87501"/>
    <w:rsid w:val="00F87EEE"/>
    <w:rsid w:val="00F912AB"/>
    <w:rsid w:val="00F912C2"/>
    <w:rsid w:val="00F9276B"/>
    <w:rsid w:val="00F94882"/>
    <w:rsid w:val="00F973E2"/>
    <w:rsid w:val="00FA0104"/>
    <w:rsid w:val="00FA1AB3"/>
    <w:rsid w:val="00FA3D95"/>
    <w:rsid w:val="00FA47FE"/>
    <w:rsid w:val="00FA5C5C"/>
    <w:rsid w:val="00FA5FFD"/>
    <w:rsid w:val="00FB06C8"/>
    <w:rsid w:val="00FB0884"/>
    <w:rsid w:val="00FB25A1"/>
    <w:rsid w:val="00FB3BFB"/>
    <w:rsid w:val="00FB5D9C"/>
    <w:rsid w:val="00FB6228"/>
    <w:rsid w:val="00FB6B47"/>
    <w:rsid w:val="00FC063E"/>
    <w:rsid w:val="00FC75D7"/>
    <w:rsid w:val="00FD0A76"/>
    <w:rsid w:val="00FD0DAD"/>
    <w:rsid w:val="00FD148B"/>
    <w:rsid w:val="00FD23E7"/>
    <w:rsid w:val="00FD798E"/>
    <w:rsid w:val="00FE25D6"/>
    <w:rsid w:val="00FE4227"/>
    <w:rsid w:val="00FE4324"/>
    <w:rsid w:val="00FE5A18"/>
    <w:rsid w:val="00FE766A"/>
    <w:rsid w:val="00FF4677"/>
    <w:rsid w:val="00FF47C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03B5403"/>
  <w15:chartTrackingRefBased/>
  <w15:docId w15:val="{A9742486-0711-174C-A91A-270027BF80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4"/>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B7B48"/>
    <w:pPr>
      <w:widowControl w:val="0"/>
      <w:jc w:val="both"/>
    </w:pPr>
    <w:rPr>
      <w:rFonts w:ascii="Times New Roman" w:eastAsia="SimSun" w:hAnsi="Times New Roman" w:cs="Times New Roman"/>
      <w:sz w:val="24"/>
      <w:szCs w:val="28"/>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44FF4"/>
    <w:pPr>
      <w:ind w:firstLineChars="200" w:firstLine="420"/>
    </w:pPr>
    <w:rPr>
      <w:rFonts w:asciiTheme="minorHAnsi" w:eastAsiaTheme="minorEastAsia" w:hAnsiTheme="minorHAnsi" w:cstheme="minorBidi"/>
      <w:sz w:val="21"/>
      <w:szCs w:val="24"/>
    </w:rPr>
  </w:style>
  <w:style w:type="paragraph" w:customStyle="1" w:styleId="AMDisplayEquation">
    <w:name w:val="AMDisplayEquation"/>
    <w:basedOn w:val="Normal"/>
    <w:next w:val="Normal"/>
    <w:link w:val="AMDisplayEquation0"/>
    <w:rsid w:val="00044FF4"/>
    <w:pPr>
      <w:tabs>
        <w:tab w:val="center" w:pos="4160"/>
        <w:tab w:val="right" w:pos="8300"/>
      </w:tabs>
      <w:spacing w:line="360" w:lineRule="auto"/>
    </w:pPr>
    <w:rPr>
      <w:szCs w:val="32"/>
    </w:rPr>
  </w:style>
  <w:style w:type="character" w:customStyle="1" w:styleId="AMDisplayEquation0">
    <w:name w:val="AMDisplayEquation 字符"/>
    <w:basedOn w:val="DefaultParagraphFont"/>
    <w:link w:val="AMDisplayEquation"/>
    <w:rsid w:val="00044FF4"/>
    <w:rPr>
      <w:rFonts w:ascii="Times New Roman" w:eastAsia="SimSun" w:hAnsi="Times New Roman" w:cs="Times New Roman"/>
      <w:sz w:val="24"/>
      <w:szCs w:val="32"/>
      <w14:ligatures w14:val="standardContextual"/>
    </w:rPr>
  </w:style>
  <w:style w:type="character" w:styleId="CommentReference">
    <w:name w:val="annotation reference"/>
    <w:basedOn w:val="DefaultParagraphFont"/>
    <w:uiPriority w:val="99"/>
    <w:semiHidden/>
    <w:unhideWhenUsed/>
    <w:rsid w:val="00044FF4"/>
    <w:rPr>
      <w:sz w:val="21"/>
      <w:szCs w:val="21"/>
    </w:rPr>
  </w:style>
  <w:style w:type="paragraph" w:customStyle="1" w:styleId="1">
    <w:name w:val="书目1"/>
    <w:basedOn w:val="Normal"/>
    <w:link w:val="Bibliography"/>
    <w:rsid w:val="00044FF4"/>
    <w:pPr>
      <w:ind w:left="720" w:hanging="720"/>
    </w:pPr>
  </w:style>
  <w:style w:type="character" w:customStyle="1" w:styleId="Bibliography">
    <w:name w:val="Bibliography 字符"/>
    <w:basedOn w:val="DefaultParagraphFont"/>
    <w:link w:val="1"/>
    <w:rsid w:val="00044FF4"/>
    <w:rPr>
      <w:rFonts w:ascii="Times New Roman" w:eastAsia="SimSun" w:hAnsi="Times New Roman" w:cs="Times New Roman"/>
      <w:sz w:val="24"/>
      <w:szCs w:val="28"/>
      <w14:ligatures w14:val="standardContextual"/>
    </w:rPr>
  </w:style>
  <w:style w:type="paragraph" w:styleId="CommentText">
    <w:name w:val="annotation text"/>
    <w:basedOn w:val="Normal"/>
    <w:link w:val="CommentTextChar"/>
    <w:uiPriority w:val="99"/>
    <w:unhideWhenUsed/>
    <w:pPr>
      <w:jc w:val="left"/>
    </w:pPr>
  </w:style>
  <w:style w:type="character" w:customStyle="1" w:styleId="CommentTextChar">
    <w:name w:val="Comment Text Char"/>
    <w:basedOn w:val="DefaultParagraphFont"/>
    <w:link w:val="CommentText"/>
    <w:uiPriority w:val="99"/>
    <w:rPr>
      <w:rFonts w:ascii="Times New Roman" w:eastAsia="SimSun" w:hAnsi="Times New Roman" w:cs="Times New Roman"/>
      <w:sz w:val="24"/>
      <w:szCs w:val="28"/>
      <w14:ligatures w14:val="standardContextual"/>
    </w:rPr>
  </w:style>
  <w:style w:type="paragraph" w:styleId="Revision">
    <w:name w:val="Revision"/>
    <w:hidden/>
    <w:uiPriority w:val="99"/>
    <w:semiHidden/>
    <w:rsid w:val="00C2350C"/>
    <w:rPr>
      <w:rFonts w:ascii="Times New Roman" w:eastAsia="SimSun" w:hAnsi="Times New Roman" w:cs="Times New Roman"/>
      <w:sz w:val="24"/>
      <w:szCs w:val="28"/>
      <w14:ligatures w14:val="standardContextual"/>
    </w:rPr>
  </w:style>
  <w:style w:type="paragraph" w:styleId="CommentSubject">
    <w:name w:val="annotation subject"/>
    <w:basedOn w:val="CommentText"/>
    <w:next w:val="CommentText"/>
    <w:link w:val="CommentSubjectChar"/>
    <w:uiPriority w:val="99"/>
    <w:semiHidden/>
    <w:unhideWhenUsed/>
    <w:rsid w:val="00E41D79"/>
    <w:rPr>
      <w:b/>
      <w:bCs/>
    </w:rPr>
  </w:style>
  <w:style w:type="character" w:customStyle="1" w:styleId="CommentSubjectChar">
    <w:name w:val="Comment Subject Char"/>
    <w:basedOn w:val="CommentTextChar"/>
    <w:link w:val="CommentSubject"/>
    <w:uiPriority w:val="99"/>
    <w:semiHidden/>
    <w:rsid w:val="00E41D79"/>
    <w:rPr>
      <w:rFonts w:ascii="Times New Roman" w:eastAsia="SimSun" w:hAnsi="Times New Roman" w:cs="Times New Roman"/>
      <w:b/>
      <w:bCs/>
      <w:sz w:val="24"/>
      <w:szCs w:val="28"/>
      <w14:ligatures w14:val="standardContextual"/>
    </w:rPr>
  </w:style>
  <w:style w:type="paragraph" w:styleId="Bibliography0">
    <w:name w:val="Bibliography"/>
    <w:basedOn w:val="Normal"/>
    <w:next w:val="Normal"/>
    <w:uiPriority w:val="37"/>
    <w:unhideWhenUsed/>
    <w:rsid w:val="00D86EDA"/>
  </w:style>
  <w:style w:type="paragraph" w:customStyle="1" w:styleId="2">
    <w:name w:val="书目2"/>
    <w:basedOn w:val="Normal"/>
    <w:link w:val="Bibliography1"/>
    <w:rsid w:val="00FA5C5C"/>
    <w:pPr>
      <w:tabs>
        <w:tab w:val="left" w:pos="500"/>
      </w:tabs>
      <w:ind w:left="504" w:hanging="504"/>
    </w:pPr>
  </w:style>
  <w:style w:type="character" w:customStyle="1" w:styleId="Bibliography1">
    <w:name w:val="Bibliography 字符1"/>
    <w:basedOn w:val="DefaultParagraphFont"/>
    <w:link w:val="2"/>
    <w:rsid w:val="00FA5C5C"/>
    <w:rPr>
      <w:rFonts w:ascii="Times New Roman" w:eastAsia="SimSun" w:hAnsi="Times New Roman" w:cs="Times New Roman"/>
      <w:sz w:val="24"/>
      <w:szCs w:val="28"/>
      <w14:ligatures w14:val="standardContextual"/>
    </w:rPr>
  </w:style>
  <w:style w:type="character" w:customStyle="1" w:styleId="apple-converted-space">
    <w:name w:val="apple-converted-space"/>
    <w:basedOn w:val="DefaultParagraphFont"/>
    <w:rsid w:val="004D02D9"/>
  </w:style>
  <w:style w:type="character" w:styleId="Hyperlink">
    <w:name w:val="Hyperlink"/>
    <w:basedOn w:val="DefaultParagraphFont"/>
    <w:uiPriority w:val="99"/>
    <w:unhideWhenUsed/>
    <w:rsid w:val="00EA55F1"/>
    <w:rPr>
      <w:color w:val="0000FF"/>
      <w:u w:val="single"/>
    </w:rPr>
  </w:style>
  <w:style w:type="character" w:styleId="FollowedHyperlink">
    <w:name w:val="FollowedHyperlink"/>
    <w:basedOn w:val="DefaultParagraphFont"/>
    <w:uiPriority w:val="99"/>
    <w:semiHidden/>
    <w:unhideWhenUsed/>
    <w:rsid w:val="004D02D9"/>
    <w:rPr>
      <w:color w:val="954F72" w:themeColor="followedHyperlink"/>
      <w:u w:val="single"/>
    </w:rPr>
  </w:style>
  <w:style w:type="character" w:styleId="Emphasis">
    <w:name w:val="Emphasis"/>
    <w:basedOn w:val="DefaultParagraphFont"/>
    <w:uiPriority w:val="20"/>
    <w:qFormat/>
    <w:rsid w:val="006A678A"/>
    <w:rPr>
      <w:i/>
      <w:iCs/>
    </w:rPr>
  </w:style>
  <w:style w:type="table" w:styleId="TableGrid">
    <w:name w:val="Table Grid"/>
    <w:basedOn w:val="TableNormal"/>
    <w:uiPriority w:val="39"/>
    <w:rsid w:val="006C68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6E1B0A"/>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rsid w:val="006E1B0A"/>
    <w:rPr>
      <w:rFonts w:ascii="Times New Roman" w:eastAsia="SimSun" w:hAnsi="Times New Roman" w:cs="Times New Roman"/>
      <w:sz w:val="18"/>
      <w:szCs w:val="18"/>
      <w14:ligatures w14:val="standardContextual"/>
    </w:rPr>
  </w:style>
  <w:style w:type="character" w:styleId="PageNumber">
    <w:name w:val="page number"/>
    <w:basedOn w:val="DefaultParagraphFont"/>
    <w:uiPriority w:val="99"/>
    <w:semiHidden/>
    <w:unhideWhenUsed/>
    <w:rsid w:val="006E1B0A"/>
  </w:style>
  <w:style w:type="paragraph" w:styleId="Header">
    <w:name w:val="header"/>
    <w:basedOn w:val="Normal"/>
    <w:link w:val="HeaderChar"/>
    <w:uiPriority w:val="99"/>
    <w:unhideWhenUsed/>
    <w:rsid w:val="00EA55F1"/>
    <w:pP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B6215C"/>
    <w:rPr>
      <w:rFonts w:ascii="Times New Roman" w:eastAsia="SimSun" w:hAnsi="Times New Roman" w:cs="Times New Roman"/>
      <w:sz w:val="18"/>
      <w:szCs w:val="18"/>
      <w14:ligatures w14:val="standardContextual"/>
    </w:rPr>
  </w:style>
  <w:style w:type="character" w:styleId="UnresolvedMention">
    <w:name w:val="Unresolved Mention"/>
    <w:basedOn w:val="DefaultParagraphFont"/>
    <w:uiPriority w:val="99"/>
    <w:semiHidden/>
    <w:unhideWhenUsed/>
    <w:rsid w:val="00A872AB"/>
    <w:rPr>
      <w:color w:val="605E5C"/>
      <w:shd w:val="clear" w:color="auto" w:fill="E1DFDD"/>
    </w:rPr>
  </w:style>
  <w:style w:type="character" w:styleId="Strong">
    <w:name w:val="Strong"/>
    <w:basedOn w:val="DefaultParagraphFont"/>
    <w:uiPriority w:val="22"/>
    <w:qFormat/>
    <w:rsid w:val="0011258B"/>
    <w:rPr>
      <w:b/>
      <w:bCs/>
    </w:rPr>
  </w:style>
  <w:style w:type="character" w:styleId="LineNumber">
    <w:name w:val="line number"/>
    <w:basedOn w:val="DefaultParagraphFont"/>
    <w:uiPriority w:val="99"/>
    <w:semiHidden/>
    <w:unhideWhenUsed/>
    <w:rsid w:val="00C813B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1651165">
      <w:bodyDiv w:val="1"/>
      <w:marLeft w:val="0"/>
      <w:marRight w:val="0"/>
      <w:marTop w:val="0"/>
      <w:marBottom w:val="0"/>
      <w:divBdr>
        <w:top w:val="none" w:sz="0" w:space="0" w:color="auto"/>
        <w:left w:val="none" w:sz="0" w:space="0" w:color="auto"/>
        <w:bottom w:val="none" w:sz="0" w:space="0" w:color="auto"/>
        <w:right w:val="none" w:sz="0" w:space="0" w:color="auto"/>
      </w:divBdr>
    </w:div>
    <w:div w:id="276912589">
      <w:bodyDiv w:val="1"/>
      <w:marLeft w:val="0"/>
      <w:marRight w:val="0"/>
      <w:marTop w:val="0"/>
      <w:marBottom w:val="0"/>
      <w:divBdr>
        <w:top w:val="none" w:sz="0" w:space="0" w:color="auto"/>
        <w:left w:val="none" w:sz="0" w:space="0" w:color="auto"/>
        <w:bottom w:val="none" w:sz="0" w:space="0" w:color="auto"/>
        <w:right w:val="none" w:sz="0" w:space="0" w:color="auto"/>
      </w:divBdr>
      <w:divsChild>
        <w:div w:id="372703392">
          <w:marLeft w:val="0"/>
          <w:marRight w:val="0"/>
          <w:marTop w:val="0"/>
          <w:marBottom w:val="0"/>
          <w:divBdr>
            <w:top w:val="none" w:sz="0" w:space="0" w:color="auto"/>
            <w:left w:val="none" w:sz="0" w:space="0" w:color="auto"/>
            <w:bottom w:val="none" w:sz="0" w:space="0" w:color="auto"/>
            <w:right w:val="none" w:sz="0" w:space="0" w:color="auto"/>
          </w:divBdr>
        </w:div>
        <w:div w:id="1189101860">
          <w:marLeft w:val="0"/>
          <w:marRight w:val="0"/>
          <w:marTop w:val="0"/>
          <w:marBottom w:val="0"/>
          <w:divBdr>
            <w:top w:val="none" w:sz="0" w:space="0" w:color="auto"/>
            <w:left w:val="none" w:sz="0" w:space="0" w:color="auto"/>
            <w:bottom w:val="none" w:sz="0" w:space="0" w:color="auto"/>
            <w:right w:val="none" w:sz="0" w:space="0" w:color="auto"/>
          </w:divBdr>
        </w:div>
      </w:divsChild>
    </w:div>
    <w:div w:id="279460953">
      <w:bodyDiv w:val="1"/>
      <w:marLeft w:val="0"/>
      <w:marRight w:val="0"/>
      <w:marTop w:val="0"/>
      <w:marBottom w:val="0"/>
      <w:divBdr>
        <w:top w:val="none" w:sz="0" w:space="0" w:color="auto"/>
        <w:left w:val="none" w:sz="0" w:space="0" w:color="auto"/>
        <w:bottom w:val="none" w:sz="0" w:space="0" w:color="auto"/>
        <w:right w:val="none" w:sz="0" w:space="0" w:color="auto"/>
      </w:divBdr>
    </w:div>
    <w:div w:id="334651418">
      <w:bodyDiv w:val="1"/>
      <w:marLeft w:val="0"/>
      <w:marRight w:val="0"/>
      <w:marTop w:val="0"/>
      <w:marBottom w:val="0"/>
      <w:divBdr>
        <w:top w:val="none" w:sz="0" w:space="0" w:color="auto"/>
        <w:left w:val="none" w:sz="0" w:space="0" w:color="auto"/>
        <w:bottom w:val="none" w:sz="0" w:space="0" w:color="auto"/>
        <w:right w:val="none" w:sz="0" w:space="0" w:color="auto"/>
      </w:divBdr>
      <w:divsChild>
        <w:div w:id="226496557">
          <w:marLeft w:val="0"/>
          <w:marRight w:val="0"/>
          <w:marTop w:val="0"/>
          <w:marBottom w:val="0"/>
          <w:divBdr>
            <w:top w:val="none" w:sz="0" w:space="0" w:color="auto"/>
            <w:left w:val="none" w:sz="0" w:space="0" w:color="auto"/>
            <w:bottom w:val="none" w:sz="0" w:space="0" w:color="auto"/>
            <w:right w:val="none" w:sz="0" w:space="0" w:color="auto"/>
          </w:divBdr>
        </w:div>
        <w:div w:id="1026175323">
          <w:marLeft w:val="0"/>
          <w:marRight w:val="0"/>
          <w:marTop w:val="0"/>
          <w:marBottom w:val="0"/>
          <w:divBdr>
            <w:top w:val="none" w:sz="0" w:space="0" w:color="auto"/>
            <w:left w:val="none" w:sz="0" w:space="0" w:color="auto"/>
            <w:bottom w:val="none" w:sz="0" w:space="0" w:color="auto"/>
            <w:right w:val="none" w:sz="0" w:space="0" w:color="auto"/>
          </w:divBdr>
        </w:div>
      </w:divsChild>
    </w:div>
    <w:div w:id="443622855">
      <w:bodyDiv w:val="1"/>
      <w:marLeft w:val="0"/>
      <w:marRight w:val="0"/>
      <w:marTop w:val="0"/>
      <w:marBottom w:val="0"/>
      <w:divBdr>
        <w:top w:val="none" w:sz="0" w:space="0" w:color="auto"/>
        <w:left w:val="none" w:sz="0" w:space="0" w:color="auto"/>
        <w:bottom w:val="none" w:sz="0" w:space="0" w:color="auto"/>
        <w:right w:val="none" w:sz="0" w:space="0" w:color="auto"/>
      </w:divBdr>
    </w:div>
    <w:div w:id="493960846">
      <w:bodyDiv w:val="1"/>
      <w:marLeft w:val="0"/>
      <w:marRight w:val="0"/>
      <w:marTop w:val="0"/>
      <w:marBottom w:val="0"/>
      <w:divBdr>
        <w:top w:val="none" w:sz="0" w:space="0" w:color="auto"/>
        <w:left w:val="none" w:sz="0" w:space="0" w:color="auto"/>
        <w:bottom w:val="none" w:sz="0" w:space="0" w:color="auto"/>
        <w:right w:val="none" w:sz="0" w:space="0" w:color="auto"/>
      </w:divBdr>
    </w:div>
    <w:div w:id="501554095">
      <w:bodyDiv w:val="1"/>
      <w:marLeft w:val="0"/>
      <w:marRight w:val="0"/>
      <w:marTop w:val="0"/>
      <w:marBottom w:val="0"/>
      <w:divBdr>
        <w:top w:val="none" w:sz="0" w:space="0" w:color="auto"/>
        <w:left w:val="none" w:sz="0" w:space="0" w:color="auto"/>
        <w:bottom w:val="none" w:sz="0" w:space="0" w:color="auto"/>
        <w:right w:val="none" w:sz="0" w:space="0" w:color="auto"/>
      </w:divBdr>
    </w:div>
    <w:div w:id="603997583">
      <w:bodyDiv w:val="1"/>
      <w:marLeft w:val="0"/>
      <w:marRight w:val="0"/>
      <w:marTop w:val="0"/>
      <w:marBottom w:val="0"/>
      <w:divBdr>
        <w:top w:val="none" w:sz="0" w:space="0" w:color="auto"/>
        <w:left w:val="none" w:sz="0" w:space="0" w:color="auto"/>
        <w:bottom w:val="none" w:sz="0" w:space="0" w:color="auto"/>
        <w:right w:val="none" w:sz="0" w:space="0" w:color="auto"/>
      </w:divBdr>
    </w:div>
    <w:div w:id="787352470">
      <w:bodyDiv w:val="1"/>
      <w:marLeft w:val="0"/>
      <w:marRight w:val="0"/>
      <w:marTop w:val="0"/>
      <w:marBottom w:val="0"/>
      <w:divBdr>
        <w:top w:val="none" w:sz="0" w:space="0" w:color="auto"/>
        <w:left w:val="none" w:sz="0" w:space="0" w:color="auto"/>
        <w:bottom w:val="none" w:sz="0" w:space="0" w:color="auto"/>
        <w:right w:val="none" w:sz="0" w:space="0" w:color="auto"/>
      </w:divBdr>
      <w:divsChild>
        <w:div w:id="162821638">
          <w:marLeft w:val="0"/>
          <w:marRight w:val="0"/>
          <w:marTop w:val="0"/>
          <w:marBottom w:val="0"/>
          <w:divBdr>
            <w:top w:val="none" w:sz="0" w:space="0" w:color="auto"/>
            <w:left w:val="none" w:sz="0" w:space="0" w:color="auto"/>
            <w:bottom w:val="none" w:sz="0" w:space="0" w:color="auto"/>
            <w:right w:val="none" w:sz="0" w:space="0" w:color="auto"/>
          </w:divBdr>
        </w:div>
        <w:div w:id="1608734290">
          <w:marLeft w:val="0"/>
          <w:marRight w:val="0"/>
          <w:marTop w:val="0"/>
          <w:marBottom w:val="0"/>
          <w:divBdr>
            <w:top w:val="none" w:sz="0" w:space="0" w:color="auto"/>
            <w:left w:val="none" w:sz="0" w:space="0" w:color="auto"/>
            <w:bottom w:val="none" w:sz="0" w:space="0" w:color="auto"/>
            <w:right w:val="none" w:sz="0" w:space="0" w:color="auto"/>
          </w:divBdr>
        </w:div>
      </w:divsChild>
    </w:div>
    <w:div w:id="1077748185">
      <w:bodyDiv w:val="1"/>
      <w:marLeft w:val="0"/>
      <w:marRight w:val="0"/>
      <w:marTop w:val="0"/>
      <w:marBottom w:val="0"/>
      <w:divBdr>
        <w:top w:val="none" w:sz="0" w:space="0" w:color="auto"/>
        <w:left w:val="none" w:sz="0" w:space="0" w:color="auto"/>
        <w:bottom w:val="none" w:sz="0" w:space="0" w:color="auto"/>
        <w:right w:val="none" w:sz="0" w:space="0" w:color="auto"/>
      </w:divBdr>
    </w:div>
    <w:div w:id="1179076961">
      <w:bodyDiv w:val="1"/>
      <w:marLeft w:val="0"/>
      <w:marRight w:val="0"/>
      <w:marTop w:val="0"/>
      <w:marBottom w:val="0"/>
      <w:divBdr>
        <w:top w:val="none" w:sz="0" w:space="0" w:color="auto"/>
        <w:left w:val="none" w:sz="0" w:space="0" w:color="auto"/>
        <w:bottom w:val="none" w:sz="0" w:space="0" w:color="auto"/>
        <w:right w:val="none" w:sz="0" w:space="0" w:color="auto"/>
      </w:divBdr>
      <w:divsChild>
        <w:div w:id="1508205534">
          <w:marLeft w:val="0"/>
          <w:marRight w:val="0"/>
          <w:marTop w:val="0"/>
          <w:marBottom w:val="0"/>
          <w:divBdr>
            <w:top w:val="none" w:sz="0" w:space="0" w:color="auto"/>
            <w:left w:val="none" w:sz="0" w:space="0" w:color="auto"/>
            <w:bottom w:val="none" w:sz="0" w:space="0" w:color="auto"/>
            <w:right w:val="none" w:sz="0" w:space="0" w:color="auto"/>
          </w:divBdr>
        </w:div>
        <w:div w:id="1641226861">
          <w:marLeft w:val="0"/>
          <w:marRight w:val="0"/>
          <w:marTop w:val="0"/>
          <w:marBottom w:val="0"/>
          <w:divBdr>
            <w:top w:val="none" w:sz="0" w:space="0" w:color="auto"/>
            <w:left w:val="none" w:sz="0" w:space="0" w:color="auto"/>
            <w:bottom w:val="none" w:sz="0" w:space="0" w:color="auto"/>
            <w:right w:val="none" w:sz="0" w:space="0" w:color="auto"/>
          </w:divBdr>
        </w:div>
      </w:divsChild>
    </w:div>
    <w:div w:id="1232426548">
      <w:bodyDiv w:val="1"/>
      <w:marLeft w:val="0"/>
      <w:marRight w:val="0"/>
      <w:marTop w:val="0"/>
      <w:marBottom w:val="0"/>
      <w:divBdr>
        <w:top w:val="none" w:sz="0" w:space="0" w:color="auto"/>
        <w:left w:val="none" w:sz="0" w:space="0" w:color="auto"/>
        <w:bottom w:val="none" w:sz="0" w:space="0" w:color="auto"/>
        <w:right w:val="none" w:sz="0" w:space="0" w:color="auto"/>
      </w:divBdr>
    </w:div>
    <w:div w:id="1338460286">
      <w:bodyDiv w:val="1"/>
      <w:marLeft w:val="0"/>
      <w:marRight w:val="0"/>
      <w:marTop w:val="0"/>
      <w:marBottom w:val="0"/>
      <w:divBdr>
        <w:top w:val="none" w:sz="0" w:space="0" w:color="auto"/>
        <w:left w:val="none" w:sz="0" w:space="0" w:color="auto"/>
        <w:bottom w:val="none" w:sz="0" w:space="0" w:color="auto"/>
        <w:right w:val="none" w:sz="0" w:space="0" w:color="auto"/>
      </w:divBdr>
    </w:div>
    <w:div w:id="1404256031">
      <w:bodyDiv w:val="1"/>
      <w:marLeft w:val="0"/>
      <w:marRight w:val="0"/>
      <w:marTop w:val="0"/>
      <w:marBottom w:val="0"/>
      <w:divBdr>
        <w:top w:val="none" w:sz="0" w:space="0" w:color="auto"/>
        <w:left w:val="none" w:sz="0" w:space="0" w:color="auto"/>
        <w:bottom w:val="none" w:sz="0" w:space="0" w:color="auto"/>
        <w:right w:val="none" w:sz="0" w:space="0" w:color="auto"/>
      </w:divBdr>
      <w:divsChild>
        <w:div w:id="375277445">
          <w:marLeft w:val="0"/>
          <w:marRight w:val="0"/>
          <w:marTop w:val="0"/>
          <w:marBottom w:val="0"/>
          <w:divBdr>
            <w:top w:val="none" w:sz="0" w:space="0" w:color="auto"/>
            <w:left w:val="none" w:sz="0" w:space="0" w:color="auto"/>
            <w:bottom w:val="none" w:sz="0" w:space="0" w:color="auto"/>
            <w:right w:val="none" w:sz="0" w:space="0" w:color="auto"/>
          </w:divBdr>
        </w:div>
        <w:div w:id="691304934">
          <w:marLeft w:val="0"/>
          <w:marRight w:val="0"/>
          <w:marTop w:val="0"/>
          <w:marBottom w:val="0"/>
          <w:divBdr>
            <w:top w:val="none" w:sz="0" w:space="0" w:color="auto"/>
            <w:left w:val="none" w:sz="0" w:space="0" w:color="auto"/>
            <w:bottom w:val="none" w:sz="0" w:space="0" w:color="auto"/>
            <w:right w:val="none" w:sz="0" w:space="0" w:color="auto"/>
          </w:divBdr>
        </w:div>
      </w:divsChild>
    </w:div>
    <w:div w:id="1672443773">
      <w:bodyDiv w:val="1"/>
      <w:marLeft w:val="0"/>
      <w:marRight w:val="0"/>
      <w:marTop w:val="0"/>
      <w:marBottom w:val="0"/>
      <w:divBdr>
        <w:top w:val="none" w:sz="0" w:space="0" w:color="auto"/>
        <w:left w:val="none" w:sz="0" w:space="0" w:color="auto"/>
        <w:bottom w:val="none" w:sz="0" w:space="0" w:color="auto"/>
        <w:right w:val="none" w:sz="0" w:space="0" w:color="auto"/>
      </w:divBdr>
    </w:div>
    <w:div w:id="1723020985">
      <w:bodyDiv w:val="1"/>
      <w:marLeft w:val="0"/>
      <w:marRight w:val="0"/>
      <w:marTop w:val="0"/>
      <w:marBottom w:val="0"/>
      <w:divBdr>
        <w:top w:val="none" w:sz="0" w:space="0" w:color="auto"/>
        <w:left w:val="none" w:sz="0" w:space="0" w:color="auto"/>
        <w:bottom w:val="none" w:sz="0" w:space="0" w:color="auto"/>
        <w:right w:val="none" w:sz="0" w:space="0" w:color="auto"/>
      </w:divBdr>
      <w:divsChild>
        <w:div w:id="913323184">
          <w:marLeft w:val="0"/>
          <w:marRight w:val="0"/>
          <w:marTop w:val="0"/>
          <w:marBottom w:val="0"/>
          <w:divBdr>
            <w:top w:val="none" w:sz="0" w:space="0" w:color="auto"/>
            <w:left w:val="none" w:sz="0" w:space="0" w:color="auto"/>
            <w:bottom w:val="none" w:sz="0" w:space="0" w:color="auto"/>
            <w:right w:val="none" w:sz="0" w:space="0" w:color="auto"/>
          </w:divBdr>
        </w:div>
        <w:div w:id="1307859039">
          <w:marLeft w:val="0"/>
          <w:marRight w:val="0"/>
          <w:marTop w:val="0"/>
          <w:marBottom w:val="0"/>
          <w:divBdr>
            <w:top w:val="none" w:sz="0" w:space="0" w:color="auto"/>
            <w:left w:val="none" w:sz="0" w:space="0" w:color="auto"/>
            <w:bottom w:val="none" w:sz="0" w:space="0" w:color="auto"/>
            <w:right w:val="none" w:sz="0" w:space="0" w:color="auto"/>
          </w:divBdr>
        </w:div>
      </w:divsChild>
    </w:div>
    <w:div w:id="1756315037">
      <w:bodyDiv w:val="1"/>
      <w:marLeft w:val="0"/>
      <w:marRight w:val="0"/>
      <w:marTop w:val="0"/>
      <w:marBottom w:val="0"/>
      <w:divBdr>
        <w:top w:val="none" w:sz="0" w:space="0" w:color="auto"/>
        <w:left w:val="none" w:sz="0" w:space="0" w:color="auto"/>
        <w:bottom w:val="none" w:sz="0" w:space="0" w:color="auto"/>
        <w:right w:val="none" w:sz="0" w:space="0" w:color="auto"/>
      </w:divBdr>
    </w:div>
    <w:div w:id="1812210196">
      <w:bodyDiv w:val="1"/>
      <w:marLeft w:val="0"/>
      <w:marRight w:val="0"/>
      <w:marTop w:val="0"/>
      <w:marBottom w:val="0"/>
      <w:divBdr>
        <w:top w:val="none" w:sz="0" w:space="0" w:color="auto"/>
        <w:left w:val="none" w:sz="0" w:space="0" w:color="auto"/>
        <w:bottom w:val="none" w:sz="0" w:space="0" w:color="auto"/>
        <w:right w:val="none" w:sz="0" w:space="0" w:color="auto"/>
      </w:divBdr>
    </w:div>
    <w:div w:id="1844932083">
      <w:bodyDiv w:val="1"/>
      <w:marLeft w:val="0"/>
      <w:marRight w:val="0"/>
      <w:marTop w:val="0"/>
      <w:marBottom w:val="0"/>
      <w:divBdr>
        <w:top w:val="none" w:sz="0" w:space="0" w:color="auto"/>
        <w:left w:val="none" w:sz="0" w:space="0" w:color="auto"/>
        <w:bottom w:val="none" w:sz="0" w:space="0" w:color="auto"/>
        <w:right w:val="none" w:sz="0" w:space="0" w:color="auto"/>
      </w:divBdr>
    </w:div>
    <w:div w:id="1937471081">
      <w:bodyDiv w:val="1"/>
      <w:marLeft w:val="0"/>
      <w:marRight w:val="0"/>
      <w:marTop w:val="0"/>
      <w:marBottom w:val="0"/>
      <w:divBdr>
        <w:top w:val="none" w:sz="0" w:space="0" w:color="auto"/>
        <w:left w:val="none" w:sz="0" w:space="0" w:color="auto"/>
        <w:bottom w:val="none" w:sz="0" w:space="0" w:color="auto"/>
        <w:right w:val="none" w:sz="0" w:space="0" w:color="auto"/>
      </w:divBdr>
      <w:divsChild>
        <w:div w:id="154533993">
          <w:marLeft w:val="0"/>
          <w:marRight w:val="0"/>
          <w:marTop w:val="0"/>
          <w:marBottom w:val="0"/>
          <w:divBdr>
            <w:top w:val="none" w:sz="0" w:space="0" w:color="auto"/>
            <w:left w:val="none" w:sz="0" w:space="0" w:color="auto"/>
            <w:bottom w:val="none" w:sz="0" w:space="0" w:color="auto"/>
            <w:right w:val="none" w:sz="0" w:space="0" w:color="auto"/>
          </w:divBdr>
        </w:div>
        <w:div w:id="1055616414">
          <w:marLeft w:val="0"/>
          <w:marRight w:val="0"/>
          <w:marTop w:val="0"/>
          <w:marBottom w:val="0"/>
          <w:divBdr>
            <w:top w:val="none" w:sz="0" w:space="0" w:color="auto"/>
            <w:left w:val="none" w:sz="0" w:space="0" w:color="auto"/>
            <w:bottom w:val="none" w:sz="0" w:space="0" w:color="auto"/>
            <w:right w:val="none" w:sz="0" w:space="0" w:color="auto"/>
          </w:divBdr>
        </w:div>
      </w:divsChild>
    </w:div>
    <w:div w:id="1971740966">
      <w:bodyDiv w:val="1"/>
      <w:marLeft w:val="0"/>
      <w:marRight w:val="0"/>
      <w:marTop w:val="0"/>
      <w:marBottom w:val="0"/>
      <w:divBdr>
        <w:top w:val="none" w:sz="0" w:space="0" w:color="auto"/>
        <w:left w:val="none" w:sz="0" w:space="0" w:color="auto"/>
        <w:bottom w:val="none" w:sz="0" w:space="0" w:color="auto"/>
        <w:right w:val="none" w:sz="0" w:space="0" w:color="auto"/>
      </w:divBdr>
    </w:div>
    <w:div w:id="2010938880">
      <w:bodyDiv w:val="1"/>
      <w:marLeft w:val="0"/>
      <w:marRight w:val="0"/>
      <w:marTop w:val="0"/>
      <w:marBottom w:val="0"/>
      <w:divBdr>
        <w:top w:val="none" w:sz="0" w:space="0" w:color="auto"/>
        <w:left w:val="none" w:sz="0" w:space="0" w:color="auto"/>
        <w:bottom w:val="none" w:sz="0" w:space="0" w:color="auto"/>
        <w:right w:val="none" w:sz="0" w:space="0" w:color="auto"/>
      </w:divBdr>
      <w:divsChild>
        <w:div w:id="36635454">
          <w:marLeft w:val="0"/>
          <w:marRight w:val="0"/>
          <w:marTop w:val="0"/>
          <w:marBottom w:val="0"/>
          <w:divBdr>
            <w:top w:val="none" w:sz="0" w:space="0" w:color="auto"/>
            <w:left w:val="none" w:sz="0" w:space="0" w:color="auto"/>
            <w:bottom w:val="none" w:sz="0" w:space="0" w:color="auto"/>
            <w:right w:val="none" w:sz="0" w:space="0" w:color="auto"/>
          </w:divBdr>
        </w:div>
        <w:div w:id="113128384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inoo@mail.hzau.edu.cn" TargetMode="External"/><Relationship Id="rId13" Type="http://schemas.openxmlformats.org/officeDocument/2006/relationships/image" Target="media/image5.e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iff"/><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tiff"/><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header" Target="head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334663-85C9-9640-83E5-68C66D4DDC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Pages>
  <Words>8019</Words>
  <Characters>278313</Characters>
  <Application>Microsoft Office Word</Application>
  <DocSecurity>4</DocSecurity>
  <Lines>2319</Lines>
  <Paragraphs>571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285761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a12208</dc:creator>
  <cp:keywords/>
  <dc:description/>
  <cp:lastModifiedBy>Lindsay Stringer</cp:lastModifiedBy>
  <cp:revision>2</cp:revision>
  <cp:lastPrinted>2025-02-19T07:11:00Z</cp:lastPrinted>
  <dcterms:created xsi:type="dcterms:W3CDTF">2025-03-05T15:36:00Z</dcterms:created>
  <dcterms:modified xsi:type="dcterms:W3CDTF">2025-03-05T15:36:00Z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zotero-version="7.0.11"&gt;&lt;session id="gt1nbpQY"/&gt;&lt;style id="http://www.zotero.org/styles/american-chemical-society" hasBibliography="1" bibliographyStyleHasBeenSet="1"/&gt;&lt;prefs&gt;&lt;pref name="fieldType" value="Field"/&gt;&lt;pref name="automat</vt:lpwstr>
  </property>
  <property fmtid="{D5CDD505-2E9C-101B-9397-08002B2CF9AE}" pid="3" name="ZOTERO_PREF_2">
    <vt:lpwstr>icJournalAbbreviations" value="true"/&gt;&lt;pref name="dontAskDelayCitationUpdates" value="true"/&gt;&lt;/prefs&gt;&lt;/data&gt;</vt:lpwstr>
  </property>
  <property fmtid="{D5CDD505-2E9C-101B-9397-08002B2CF9AE}" pid="4" name="GrammarlyDocumentId">
    <vt:lpwstr>24d47164121f5cefd3a209755eea9b20f8d28317404241fac73ac47531a920c6</vt:lpwstr>
  </property>
</Properties>
</file>