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1BD60" w14:textId="17DFF21B" w:rsidR="00E94952" w:rsidRDefault="00000000" w:rsidP="00123C13">
      <w:pPr>
        <w:spacing w:after="120"/>
        <w:jc w:val="both"/>
        <w:rPr>
          <w:rFonts w:ascii="Times New Roman" w:eastAsia="Times New Roman" w:hAnsi="Times New Roman" w:cs="Times New Roman"/>
          <w:u w:val="single"/>
          <w:shd w:val="clear" w:color="auto" w:fill="FFFFFF"/>
          <w:lang w:eastAsia="en-GB"/>
        </w:rPr>
      </w:pPr>
      <w:r>
        <w:rPr>
          <w:rFonts w:ascii="Times New Roman" w:eastAsia="Times New Roman" w:hAnsi="Times New Roman" w:cs="Times New Roman"/>
          <w:u w:val="single"/>
          <w:shd w:val="clear" w:color="auto" w:fill="FFFFFF"/>
          <w:lang w:eastAsia="en-GB"/>
        </w:rPr>
        <w:t>The p</w:t>
      </w:r>
      <w:r w:rsidR="008A57D4">
        <w:rPr>
          <w:rFonts w:ascii="Times New Roman" w:eastAsia="Times New Roman" w:hAnsi="Times New Roman" w:cs="Times New Roman"/>
          <w:u w:val="single"/>
          <w:shd w:val="clear" w:color="auto" w:fill="FFFFFF"/>
          <w:lang w:eastAsia="en-GB"/>
        </w:rPr>
        <w:t xml:space="preserve">rofessional diversity </w:t>
      </w:r>
      <w:r>
        <w:rPr>
          <w:rFonts w:ascii="Times New Roman" w:eastAsia="Times New Roman" w:hAnsi="Times New Roman" w:cs="Times New Roman"/>
          <w:u w:val="single"/>
          <w:shd w:val="clear" w:color="auto" w:fill="FFFFFF"/>
          <w:lang w:eastAsia="en-GB"/>
        </w:rPr>
        <w:t xml:space="preserve">deficit: </w:t>
      </w:r>
      <w:r w:rsidR="008A57D4">
        <w:rPr>
          <w:rFonts w:ascii="Times New Roman" w:eastAsia="Times New Roman" w:hAnsi="Times New Roman" w:cs="Times New Roman"/>
          <w:u w:val="single"/>
          <w:shd w:val="clear" w:color="auto" w:fill="FFFFFF"/>
          <w:lang w:eastAsia="en-GB"/>
        </w:rPr>
        <w:t>the UK Supreme Court</w:t>
      </w:r>
      <w:r>
        <w:rPr>
          <w:rFonts w:ascii="Times New Roman" w:eastAsia="Times New Roman" w:hAnsi="Times New Roman" w:cs="Times New Roman"/>
          <w:u w:val="single"/>
          <w:shd w:val="clear" w:color="auto" w:fill="FFFFFF"/>
          <w:lang w:eastAsia="en-GB"/>
        </w:rPr>
        <w:t xml:space="preserve">’s social security law blind spot </w:t>
      </w:r>
    </w:p>
    <w:p w14:paraId="2E56D564" w14:textId="77777777" w:rsidR="00E94952" w:rsidRDefault="00E94952" w:rsidP="00E94952">
      <w:pPr>
        <w:spacing w:after="120"/>
        <w:jc w:val="right"/>
        <w:rPr>
          <w:rFonts w:ascii="Times New Roman" w:eastAsia="Times New Roman" w:hAnsi="Times New Roman" w:cs="Times New Roman"/>
          <w:shd w:val="clear" w:color="auto" w:fill="FFFFFF"/>
          <w:lang w:eastAsia="en-GB"/>
        </w:rPr>
      </w:pPr>
      <w:r w:rsidRPr="00E94952">
        <w:rPr>
          <w:rFonts w:ascii="Times New Roman" w:eastAsia="Times New Roman" w:hAnsi="Times New Roman" w:cs="Times New Roman"/>
          <w:shd w:val="clear" w:color="auto" w:fill="FFFFFF"/>
          <w:lang w:eastAsia="en-GB"/>
        </w:rPr>
        <w:t>Charlotte O’Brien</w:t>
      </w:r>
    </w:p>
    <w:p w14:paraId="0330E168" w14:textId="3F822C9D" w:rsidR="00E94952" w:rsidRPr="00E94952" w:rsidRDefault="00E94952" w:rsidP="00E94952">
      <w:pPr>
        <w:spacing w:after="120"/>
        <w:jc w:val="right"/>
        <w:rPr>
          <w:rFonts w:ascii="Times New Roman" w:eastAsia="Times New Roman" w:hAnsi="Times New Roman" w:cs="Times New Roman"/>
          <w:shd w:val="clear" w:color="auto" w:fill="FFFFFF"/>
          <w:lang w:eastAsia="en-GB"/>
        </w:rPr>
      </w:pPr>
      <w:r>
        <w:rPr>
          <w:rFonts w:ascii="Times New Roman" w:eastAsia="Times New Roman" w:hAnsi="Times New Roman" w:cs="Times New Roman"/>
          <w:shd w:val="clear" w:color="auto" w:fill="FFFFFF"/>
          <w:lang w:eastAsia="en-GB"/>
        </w:rPr>
        <w:t>York Law School, University of York</w:t>
      </w:r>
      <w:r>
        <w:rPr>
          <w:rStyle w:val="FootnoteReference"/>
          <w:rFonts w:ascii="Times New Roman" w:eastAsia="Times New Roman" w:hAnsi="Times New Roman" w:cs="Times New Roman"/>
          <w:shd w:val="clear" w:color="auto" w:fill="FFFFFF"/>
          <w:lang w:eastAsia="en-GB"/>
        </w:rPr>
        <w:footnoteReference w:id="1"/>
      </w:r>
    </w:p>
    <w:p w14:paraId="3086054F" w14:textId="22DF8B76" w:rsidR="00C40614" w:rsidRDefault="00000000" w:rsidP="00123C13">
      <w:pPr>
        <w:spacing w:after="120"/>
        <w:jc w:val="both"/>
        <w:rPr>
          <w:rFonts w:ascii="Times New Roman" w:eastAsia="Times New Roman" w:hAnsi="Times New Roman" w:cs="Times New Roman"/>
          <w:color w:val="222222"/>
          <w:lang w:eastAsia="en-GB"/>
        </w:rPr>
      </w:pPr>
      <w:r w:rsidRPr="00E84859">
        <w:rPr>
          <w:rFonts w:ascii="Times New Roman" w:eastAsia="Times New Roman" w:hAnsi="Times New Roman" w:cs="Times New Roman"/>
          <w:color w:val="222222"/>
          <w:lang w:eastAsia="en-GB"/>
        </w:rPr>
        <w:t>Abstract: It is no secret that the Supreme Court lacks demographic diversity.</w:t>
      </w:r>
      <w:r w:rsidR="001B7E67">
        <w:rPr>
          <w:rStyle w:val="CommentReference"/>
        </w:rPr>
        <w:t xml:space="preserve"> </w:t>
      </w:r>
      <w:r w:rsidRPr="00E84859">
        <w:rPr>
          <w:rFonts w:ascii="Times New Roman" w:eastAsia="Times New Roman" w:hAnsi="Times New Roman" w:cs="Times New Roman"/>
          <w:color w:val="222222"/>
          <w:lang w:eastAsia="en-GB"/>
        </w:rPr>
        <w:t xml:space="preserve">But there is very little commentary on a different diversity gap – that of professional experience. UK Supreme Court judges are typically drawn from lucrative areas of legal practice, creating a pronounced professional practice gap in the realm of social security law. </w:t>
      </w:r>
      <w:r w:rsidR="000D0EFA">
        <w:rPr>
          <w:rFonts w:ascii="Times New Roman" w:eastAsia="Times New Roman" w:hAnsi="Times New Roman" w:cs="Times New Roman"/>
          <w:color w:val="222222"/>
          <w:lang w:eastAsia="en-GB"/>
        </w:rPr>
        <w:t xml:space="preserve">None </w:t>
      </w:r>
      <w:r w:rsidR="00CB483B">
        <w:rPr>
          <w:rFonts w:ascii="Times New Roman" w:eastAsia="Times New Roman" w:hAnsi="Times New Roman" w:cs="Times New Roman"/>
          <w:color w:val="222222"/>
          <w:lang w:eastAsia="en-GB"/>
        </w:rPr>
        <w:t xml:space="preserve">of the sitting Supreme Court judges </w:t>
      </w:r>
      <w:r w:rsidR="000D0EFA">
        <w:rPr>
          <w:rFonts w:ascii="Times New Roman" w:eastAsia="Times New Roman" w:hAnsi="Times New Roman" w:cs="Times New Roman"/>
          <w:color w:val="222222"/>
          <w:lang w:eastAsia="en-GB"/>
        </w:rPr>
        <w:t xml:space="preserve">have </w:t>
      </w:r>
      <w:r w:rsidR="00601483">
        <w:rPr>
          <w:rFonts w:ascii="Times New Roman" w:eastAsia="Times New Roman" w:hAnsi="Times New Roman" w:cs="Times New Roman"/>
          <w:color w:val="222222"/>
          <w:lang w:eastAsia="en-GB"/>
        </w:rPr>
        <w:t xml:space="preserve">ever acted in a reported </w:t>
      </w:r>
      <w:r w:rsidRPr="00E84859">
        <w:rPr>
          <w:rFonts w:ascii="Times New Roman" w:eastAsia="Times New Roman" w:hAnsi="Times New Roman" w:cs="Times New Roman"/>
          <w:color w:val="222222"/>
          <w:lang w:eastAsia="en-GB"/>
        </w:rPr>
        <w:t>security case</w:t>
      </w:r>
      <w:r w:rsidR="000D0EFA">
        <w:rPr>
          <w:rFonts w:ascii="Times New Roman" w:eastAsia="Times New Roman" w:hAnsi="Times New Roman" w:cs="Times New Roman"/>
          <w:color w:val="222222"/>
          <w:lang w:eastAsia="en-GB"/>
        </w:rPr>
        <w:t xml:space="preserve"> </w:t>
      </w:r>
      <w:r w:rsidRPr="000D0EFA">
        <w:rPr>
          <w:rFonts w:ascii="Times New Roman" w:eastAsia="Times New Roman" w:hAnsi="Times New Roman" w:cs="Times New Roman"/>
          <w:color w:val="222222"/>
          <w:lang w:eastAsia="en-GB"/>
        </w:rPr>
        <w:t>for </w:t>
      </w:r>
      <w:r w:rsidRPr="00E84859">
        <w:rPr>
          <w:rFonts w:ascii="Times New Roman" w:eastAsia="Times New Roman" w:hAnsi="Times New Roman" w:cs="Times New Roman"/>
          <w:color w:val="222222"/>
          <w:lang w:eastAsia="en-GB"/>
        </w:rPr>
        <w:t>social security claimants</w:t>
      </w:r>
      <w:r w:rsidR="00601483">
        <w:rPr>
          <w:rFonts w:ascii="Times New Roman" w:eastAsia="Times New Roman" w:hAnsi="Times New Roman" w:cs="Times New Roman"/>
          <w:color w:val="222222"/>
          <w:lang w:eastAsia="en-GB"/>
        </w:rPr>
        <w:t xml:space="preserve"> against the State</w:t>
      </w:r>
      <w:r w:rsidRPr="00E84859">
        <w:rPr>
          <w:rFonts w:ascii="Times New Roman" w:eastAsia="Times New Roman" w:hAnsi="Times New Roman" w:cs="Times New Roman"/>
          <w:color w:val="222222"/>
          <w:lang w:eastAsia="en-GB"/>
        </w:rPr>
        <w:t>. This creates a problem of perspective; would we really expect a panel of Goliath advocates to give David a fair hearing</w:t>
      </w:r>
      <w:r w:rsidR="009908C9">
        <w:rPr>
          <w:rFonts w:ascii="Times New Roman" w:eastAsia="Times New Roman" w:hAnsi="Times New Roman" w:cs="Times New Roman"/>
          <w:color w:val="222222"/>
          <w:lang w:eastAsia="en-GB"/>
        </w:rPr>
        <w:t xml:space="preserve">? </w:t>
      </w:r>
      <w:r w:rsidR="00CB483B">
        <w:rPr>
          <w:rFonts w:ascii="Times New Roman" w:eastAsia="Times New Roman" w:hAnsi="Times New Roman" w:cs="Times New Roman"/>
          <w:color w:val="222222"/>
          <w:lang w:eastAsia="en-GB"/>
        </w:rPr>
        <w:t>This article highlights the hitherto under-explored evidence of a professional deficit on the court, and argues that this cannot help but have an influence upon judicial perspectives. One such possible influence is the ‘</w:t>
      </w:r>
      <w:proofErr w:type="spellStart"/>
      <w:r w:rsidR="00CB483B">
        <w:rPr>
          <w:rFonts w:ascii="Times New Roman" w:eastAsia="Times New Roman" w:hAnsi="Times New Roman" w:cs="Times New Roman"/>
          <w:color w:val="222222"/>
          <w:lang w:eastAsia="en-GB"/>
        </w:rPr>
        <w:t>alegalisation</w:t>
      </w:r>
      <w:proofErr w:type="spellEnd"/>
      <w:r w:rsidR="00CB483B">
        <w:rPr>
          <w:rFonts w:ascii="Times New Roman" w:eastAsia="Times New Roman" w:hAnsi="Times New Roman" w:cs="Times New Roman"/>
          <w:color w:val="222222"/>
          <w:lang w:eastAsia="en-GB"/>
        </w:rPr>
        <w:t xml:space="preserve">’ of social security law – the treatment of it as not-law </w:t>
      </w:r>
      <w:r w:rsidR="00512D94">
        <w:rPr>
          <w:rFonts w:ascii="Times New Roman" w:eastAsia="Times New Roman" w:hAnsi="Times New Roman" w:cs="Times New Roman"/>
          <w:color w:val="222222"/>
          <w:lang w:eastAsia="en-GB"/>
        </w:rPr>
        <w:t>but as</w:t>
      </w:r>
      <w:r w:rsidR="00CB483B">
        <w:rPr>
          <w:rFonts w:ascii="Times New Roman" w:eastAsia="Times New Roman" w:hAnsi="Times New Roman" w:cs="Times New Roman"/>
          <w:color w:val="222222"/>
          <w:lang w:eastAsia="en-GB"/>
        </w:rPr>
        <w:t xml:space="preserve"> a matter of pure politics. </w:t>
      </w:r>
      <w:r w:rsidR="009451A4">
        <w:rPr>
          <w:rFonts w:ascii="Times New Roman" w:eastAsia="Times New Roman" w:hAnsi="Times New Roman" w:cs="Times New Roman"/>
          <w:color w:val="222222"/>
          <w:lang w:eastAsia="en-GB"/>
        </w:rPr>
        <w:t xml:space="preserve">Here, the article analyses how the line is drawn in key cases, in which it seems the court feels responsible for defending some </w:t>
      </w:r>
      <w:r w:rsidR="009908C9">
        <w:rPr>
          <w:rFonts w:ascii="Times New Roman" w:eastAsia="Times New Roman" w:hAnsi="Times New Roman" w:cs="Times New Roman"/>
          <w:color w:val="222222"/>
          <w:lang w:eastAsia="en-GB"/>
        </w:rPr>
        <w:t xml:space="preserve">‘pure law’ </w:t>
      </w:r>
      <w:r w:rsidR="009451A4">
        <w:rPr>
          <w:rFonts w:ascii="Times New Roman" w:eastAsia="Times New Roman" w:hAnsi="Times New Roman" w:cs="Times New Roman"/>
          <w:color w:val="222222"/>
          <w:lang w:eastAsia="en-GB"/>
        </w:rPr>
        <w:t xml:space="preserve">human rights, while defending the courtroom </w:t>
      </w:r>
      <w:r w:rsidR="009451A4" w:rsidRPr="009451A4">
        <w:rPr>
          <w:rFonts w:ascii="Times New Roman" w:eastAsia="Times New Roman" w:hAnsi="Times New Roman" w:cs="Times New Roman"/>
          <w:i/>
          <w:iCs/>
          <w:color w:val="222222"/>
          <w:lang w:eastAsia="en-GB"/>
        </w:rPr>
        <w:t>from</w:t>
      </w:r>
      <w:r w:rsidR="009451A4">
        <w:rPr>
          <w:rFonts w:ascii="Times New Roman" w:eastAsia="Times New Roman" w:hAnsi="Times New Roman" w:cs="Times New Roman"/>
          <w:color w:val="222222"/>
          <w:lang w:eastAsia="en-GB"/>
        </w:rPr>
        <w:t xml:space="preserve"> other human rights claims – those relating to social security. </w:t>
      </w:r>
      <w:r w:rsidRPr="00E84859">
        <w:rPr>
          <w:rFonts w:ascii="Times New Roman" w:eastAsia="Times New Roman" w:hAnsi="Times New Roman" w:cs="Times New Roman"/>
          <w:color w:val="222222"/>
          <w:lang w:eastAsia="en-GB"/>
        </w:rPr>
        <w:t xml:space="preserve">But poverty is a human rights issue, and human rights are (still) a matter of law. We need to bring social security expertise and claimant perspectives to the bench if we are to </w:t>
      </w:r>
      <w:r w:rsidR="008A57D4">
        <w:rPr>
          <w:rFonts w:ascii="Times New Roman" w:eastAsia="Times New Roman" w:hAnsi="Times New Roman" w:cs="Times New Roman"/>
          <w:color w:val="222222"/>
          <w:lang w:eastAsia="en-GB"/>
        </w:rPr>
        <w:t>reassert the legal nature of social security rights</w:t>
      </w:r>
      <w:r w:rsidRPr="00E84859">
        <w:rPr>
          <w:rFonts w:ascii="Times New Roman" w:eastAsia="Times New Roman" w:hAnsi="Times New Roman" w:cs="Times New Roman"/>
          <w:color w:val="222222"/>
          <w:lang w:eastAsia="en-GB"/>
        </w:rPr>
        <w:t>.  </w:t>
      </w:r>
    </w:p>
    <w:p w14:paraId="6DEE3DD9" w14:textId="77777777" w:rsidR="00123C13" w:rsidRPr="00123C13" w:rsidRDefault="00123C13" w:rsidP="00123C13">
      <w:pPr>
        <w:spacing w:after="120"/>
        <w:jc w:val="both"/>
        <w:rPr>
          <w:rFonts w:ascii="Times New Roman" w:eastAsia="Times New Roman" w:hAnsi="Times New Roman" w:cs="Times New Roman"/>
          <w:color w:val="222222"/>
          <w:lang w:eastAsia="en-GB"/>
        </w:rPr>
      </w:pPr>
    </w:p>
    <w:p w14:paraId="36409CC7" w14:textId="5D22FC1C" w:rsidR="00352D97" w:rsidRPr="00123C13" w:rsidRDefault="00000000" w:rsidP="00123C13">
      <w:pPr>
        <w:pStyle w:val="ListParagraph"/>
        <w:numPr>
          <w:ilvl w:val="0"/>
          <w:numId w:val="2"/>
        </w:numPr>
        <w:spacing w:after="120"/>
        <w:contextualSpacing w:val="0"/>
        <w:jc w:val="both"/>
        <w:rPr>
          <w:rFonts w:ascii="Times New Roman" w:hAnsi="Times New Roman" w:cs="Times New Roman"/>
        </w:rPr>
      </w:pPr>
      <w:r w:rsidRPr="00E84859">
        <w:rPr>
          <w:rFonts w:ascii="Times New Roman" w:hAnsi="Times New Roman" w:cs="Times New Roman"/>
        </w:rPr>
        <w:t xml:space="preserve">Introduction </w:t>
      </w:r>
    </w:p>
    <w:p w14:paraId="001221B7" w14:textId="0A3E1AB5" w:rsidR="00540597" w:rsidRDefault="00000000" w:rsidP="00123C13">
      <w:pPr>
        <w:spacing w:after="120"/>
        <w:jc w:val="both"/>
        <w:rPr>
          <w:rFonts w:ascii="Times New Roman" w:hAnsi="Times New Roman" w:cs="Times New Roman"/>
        </w:rPr>
      </w:pPr>
      <w:r>
        <w:rPr>
          <w:rFonts w:ascii="Times New Roman" w:hAnsi="Times New Roman" w:cs="Times New Roman"/>
        </w:rPr>
        <w:t xml:space="preserve">Judges are not born, they are made. </w:t>
      </w:r>
      <w:r w:rsidR="0092063E">
        <w:rPr>
          <w:rFonts w:ascii="Times New Roman" w:hAnsi="Times New Roman" w:cs="Times New Roman"/>
        </w:rPr>
        <w:t xml:space="preserve">And they are not made in </w:t>
      </w:r>
      <w:r>
        <w:rPr>
          <w:rFonts w:ascii="Times New Roman" w:hAnsi="Times New Roman" w:cs="Times New Roman"/>
        </w:rPr>
        <w:t xml:space="preserve">a </w:t>
      </w:r>
      <w:r w:rsidR="00BF39B3">
        <w:rPr>
          <w:rFonts w:ascii="Times New Roman" w:hAnsi="Times New Roman" w:cs="Times New Roman"/>
        </w:rPr>
        <w:t>societal vacuum</w:t>
      </w:r>
      <w:r w:rsidR="00C65A4B">
        <w:rPr>
          <w:rFonts w:ascii="Times New Roman" w:hAnsi="Times New Roman" w:cs="Times New Roman"/>
        </w:rPr>
        <w:t>. They are shaped by their experiences and constrained by the parameters of their own perceptions. As such, it is widely recognised that the male tilt on the bench is problematic – gender being ‘the inescapable backdrop to all our experiences’, Erica Rackley noted it has to be a factor in how one judges</w:t>
      </w:r>
      <w:r w:rsidR="009D2600">
        <w:rPr>
          <w:rFonts w:ascii="Times New Roman" w:hAnsi="Times New Roman" w:cs="Times New Roman"/>
        </w:rPr>
        <w:t>,</w:t>
      </w:r>
      <w:bookmarkStart w:id="0" w:name="_Ref185583247"/>
      <w:r>
        <w:rPr>
          <w:rStyle w:val="FootnoteReference"/>
          <w:rFonts w:ascii="Times New Roman" w:hAnsi="Times New Roman" w:cs="Times New Roman"/>
        </w:rPr>
        <w:footnoteReference w:id="2"/>
      </w:r>
      <w:bookmarkEnd w:id="0"/>
      <w:r w:rsidR="009D2600">
        <w:rPr>
          <w:rFonts w:ascii="Times New Roman" w:hAnsi="Times New Roman" w:cs="Times New Roman"/>
        </w:rPr>
        <w:t xml:space="preserve"> and there is an extensive literature </w:t>
      </w:r>
      <w:r w:rsidR="007B09AB">
        <w:rPr>
          <w:rFonts w:ascii="Times New Roman" w:hAnsi="Times New Roman" w:cs="Times New Roman"/>
        </w:rPr>
        <w:t>in agreement</w:t>
      </w:r>
      <w:r w:rsidR="009D2600">
        <w:rPr>
          <w:rFonts w:ascii="Times New Roman" w:hAnsi="Times New Roman" w:cs="Times New Roman"/>
        </w:rPr>
        <w:t>.</w:t>
      </w:r>
      <w:r>
        <w:rPr>
          <w:rStyle w:val="FootnoteReference"/>
          <w:rFonts w:ascii="Times New Roman" w:hAnsi="Times New Roman" w:cs="Times New Roman"/>
        </w:rPr>
        <w:footnoteReference w:id="3"/>
      </w:r>
      <w:r w:rsidR="009D2600">
        <w:rPr>
          <w:rFonts w:ascii="Times New Roman" w:hAnsi="Times New Roman" w:cs="Times New Roman"/>
        </w:rPr>
        <w:t xml:space="preserve"> </w:t>
      </w:r>
      <w:r w:rsidR="004C462A">
        <w:rPr>
          <w:rFonts w:ascii="Times New Roman" w:hAnsi="Times New Roman" w:cs="Times New Roman"/>
        </w:rPr>
        <w:t>Given the importance of “backgrounds, communities and experiences”,</w:t>
      </w:r>
      <w:r>
        <w:rPr>
          <w:rStyle w:val="FootnoteReference"/>
          <w:rFonts w:ascii="Times New Roman" w:hAnsi="Times New Roman" w:cs="Times New Roman"/>
        </w:rPr>
        <w:footnoteReference w:id="4"/>
      </w:r>
      <w:r w:rsidR="004C462A">
        <w:rPr>
          <w:rFonts w:ascii="Times New Roman" w:hAnsi="Times New Roman" w:cs="Times New Roman"/>
        </w:rPr>
        <w:t xml:space="preserve"> </w:t>
      </w:r>
      <w:r w:rsidR="00D11662">
        <w:rPr>
          <w:rFonts w:ascii="Times New Roman" w:hAnsi="Times New Roman" w:cs="Times New Roman"/>
        </w:rPr>
        <w:t xml:space="preserve">studies have pointed to the importance (and lack of) </w:t>
      </w:r>
      <w:r w:rsidR="004C462A">
        <w:rPr>
          <w:rFonts w:ascii="Times New Roman" w:hAnsi="Times New Roman" w:cs="Times New Roman"/>
        </w:rPr>
        <w:t xml:space="preserve">racial/ethnic diversity </w:t>
      </w:r>
      <w:r w:rsidR="00D11662">
        <w:rPr>
          <w:rFonts w:ascii="Times New Roman" w:hAnsi="Times New Roman" w:cs="Times New Roman"/>
        </w:rPr>
        <w:t>in the higher courts,</w:t>
      </w:r>
      <w:r>
        <w:rPr>
          <w:rStyle w:val="FootnoteReference"/>
          <w:rFonts w:ascii="Times New Roman" w:hAnsi="Times New Roman" w:cs="Times New Roman"/>
        </w:rPr>
        <w:footnoteReference w:id="5"/>
      </w:r>
      <w:r w:rsidR="00D11662">
        <w:rPr>
          <w:rFonts w:ascii="Times New Roman" w:hAnsi="Times New Roman" w:cs="Times New Roman"/>
        </w:rPr>
        <w:t xml:space="preserve"> </w:t>
      </w:r>
      <w:r w:rsidR="001B7E67">
        <w:rPr>
          <w:rFonts w:ascii="Times New Roman" w:hAnsi="Times New Roman" w:cs="Times New Roman"/>
        </w:rPr>
        <w:t>and the slow progress on gender and racial diversity,</w:t>
      </w:r>
      <w:r w:rsidR="001B7E67">
        <w:rPr>
          <w:rStyle w:val="FootnoteReference"/>
          <w:rFonts w:ascii="Times New Roman" w:hAnsi="Times New Roman" w:cs="Times New Roman"/>
        </w:rPr>
        <w:footnoteReference w:id="6"/>
      </w:r>
      <w:r w:rsidR="001B7E67">
        <w:rPr>
          <w:rFonts w:ascii="Times New Roman" w:hAnsi="Times New Roman" w:cs="Times New Roman"/>
        </w:rPr>
        <w:t xml:space="preserve"> </w:t>
      </w:r>
      <w:r w:rsidR="00D11662">
        <w:rPr>
          <w:rFonts w:ascii="Times New Roman" w:hAnsi="Times New Roman" w:cs="Times New Roman"/>
        </w:rPr>
        <w:t>while the lack of diversity with regard to other protected characteristics, sexual orientation</w:t>
      </w:r>
      <w:r>
        <w:rPr>
          <w:rStyle w:val="FootnoteReference"/>
          <w:rFonts w:ascii="Times New Roman" w:hAnsi="Times New Roman" w:cs="Times New Roman"/>
        </w:rPr>
        <w:footnoteReference w:id="7"/>
      </w:r>
      <w:r w:rsidR="00D11662">
        <w:rPr>
          <w:rFonts w:ascii="Times New Roman" w:hAnsi="Times New Roman" w:cs="Times New Roman"/>
        </w:rPr>
        <w:t xml:space="preserve"> and disability,</w:t>
      </w:r>
      <w:r>
        <w:rPr>
          <w:rStyle w:val="FootnoteReference"/>
          <w:rFonts w:ascii="Times New Roman" w:hAnsi="Times New Roman" w:cs="Times New Roman"/>
        </w:rPr>
        <w:footnoteReference w:id="8"/>
      </w:r>
      <w:r w:rsidR="00D11662">
        <w:rPr>
          <w:rFonts w:ascii="Times New Roman" w:hAnsi="Times New Roman" w:cs="Times New Roman"/>
        </w:rPr>
        <w:t xml:space="preserve"> have received some attention. </w:t>
      </w:r>
      <w:r>
        <w:rPr>
          <w:rFonts w:ascii="Times New Roman" w:hAnsi="Times New Roman" w:cs="Times New Roman"/>
        </w:rPr>
        <w:t xml:space="preserve">However, the question of </w:t>
      </w:r>
      <w:r>
        <w:rPr>
          <w:rFonts w:ascii="Times New Roman" w:hAnsi="Times New Roman" w:cs="Times New Roman"/>
        </w:rPr>
        <w:lastRenderedPageBreak/>
        <w:t xml:space="preserve">professional diversity remains unexplored – but the ways in which one learns and trains to become a lawyer, and the kind of lawyer one becomes cannot but contribute to one’s perceptions of the law. </w:t>
      </w:r>
      <w:r w:rsidR="00B8477E">
        <w:rPr>
          <w:rFonts w:ascii="Times New Roman" w:hAnsi="Times New Roman" w:cs="Times New Roman"/>
        </w:rPr>
        <w:t xml:space="preserve"> </w:t>
      </w:r>
      <w:r w:rsidR="00C65A4B">
        <w:rPr>
          <w:rFonts w:ascii="Times New Roman" w:hAnsi="Times New Roman" w:cs="Times New Roman"/>
        </w:rPr>
        <w:t xml:space="preserve"> </w:t>
      </w:r>
    </w:p>
    <w:p w14:paraId="41ED3363" w14:textId="222E9E9B" w:rsidR="009B27FD" w:rsidRDefault="00000000" w:rsidP="00123C13">
      <w:pPr>
        <w:spacing w:after="120"/>
        <w:jc w:val="both"/>
        <w:rPr>
          <w:rFonts w:ascii="Times New Roman" w:hAnsi="Times New Roman" w:cs="Times New Roman"/>
        </w:rPr>
      </w:pPr>
      <w:r>
        <w:rPr>
          <w:rFonts w:ascii="Times New Roman" w:hAnsi="Times New Roman" w:cs="Times New Roman"/>
        </w:rPr>
        <w:t>Arvind and Stirton have shown the importance of (broadly defined, measurable) ideological differences between Supreme Court judges to “</w:t>
      </w:r>
      <w:r w:rsidRPr="009B27FD">
        <w:rPr>
          <w:rFonts w:ascii="Times New Roman" w:hAnsi="Times New Roman" w:cs="Times New Roman"/>
        </w:rPr>
        <w:t>the outcome of cases and the direction in which the law evolves</w:t>
      </w:r>
      <w:r>
        <w:rPr>
          <w:rFonts w:ascii="Times New Roman" w:hAnsi="Times New Roman" w:cs="Times New Roman"/>
        </w:rPr>
        <w:t>”</w:t>
      </w:r>
      <w:r w:rsidRPr="009B27FD">
        <w:rPr>
          <w:rFonts w:ascii="Times New Roman" w:hAnsi="Times New Roman" w:cs="Times New Roman"/>
        </w:rPr>
        <w:t>.</w:t>
      </w:r>
      <w:r>
        <w:rPr>
          <w:rStyle w:val="FootnoteReference"/>
          <w:rFonts w:ascii="Times New Roman" w:hAnsi="Times New Roman" w:cs="Times New Roman"/>
        </w:rPr>
        <w:footnoteReference w:id="9"/>
      </w:r>
      <w:r w:rsidR="004018B6">
        <w:rPr>
          <w:rFonts w:ascii="Times New Roman" w:hAnsi="Times New Roman" w:cs="Times New Roman"/>
        </w:rPr>
        <w:t xml:space="preserve"> Building on this, </w:t>
      </w:r>
      <w:proofErr w:type="spellStart"/>
      <w:r w:rsidR="004018B6">
        <w:rPr>
          <w:rFonts w:ascii="Times New Roman" w:hAnsi="Times New Roman" w:cs="Times New Roman"/>
        </w:rPr>
        <w:t>Malleson</w:t>
      </w:r>
      <w:proofErr w:type="spellEnd"/>
      <w:r w:rsidR="004018B6">
        <w:rPr>
          <w:rFonts w:ascii="Times New Roman" w:hAnsi="Times New Roman" w:cs="Times New Roman"/>
        </w:rPr>
        <w:t xml:space="preserve"> proposes seeking greater ‘values diversity’ within the judiciary, rather than focusing solely on demographic diversity, and abandoning the ‘don’t ask, don’t tell’ approach which tends to promote value</w:t>
      </w:r>
      <w:r w:rsidR="000E099E">
        <w:rPr>
          <w:rFonts w:ascii="Times New Roman" w:hAnsi="Times New Roman" w:cs="Times New Roman"/>
        </w:rPr>
        <w:t>-</w:t>
      </w:r>
      <w:r w:rsidR="004018B6">
        <w:rPr>
          <w:rFonts w:ascii="Times New Roman" w:hAnsi="Times New Roman" w:cs="Times New Roman"/>
        </w:rPr>
        <w:t>homogeneity.</w:t>
      </w:r>
      <w:r>
        <w:rPr>
          <w:rStyle w:val="FootnoteReference"/>
          <w:rFonts w:ascii="Times New Roman" w:hAnsi="Times New Roman" w:cs="Times New Roman"/>
        </w:rPr>
        <w:footnoteReference w:id="10"/>
      </w:r>
      <w:r w:rsidR="004018B6">
        <w:rPr>
          <w:rFonts w:ascii="Times New Roman" w:hAnsi="Times New Roman" w:cs="Times New Roman"/>
        </w:rPr>
        <w:t xml:space="preserve"> </w:t>
      </w:r>
      <w:r w:rsidR="006C56F9">
        <w:rPr>
          <w:rFonts w:ascii="Times New Roman" w:hAnsi="Times New Roman" w:cs="Times New Roman"/>
        </w:rPr>
        <w:t>While acknowledging the complexity of ascertaining which values</w:t>
      </w:r>
      <w:r w:rsidR="000E099E">
        <w:rPr>
          <w:rFonts w:ascii="Times New Roman" w:hAnsi="Times New Roman" w:cs="Times New Roman"/>
        </w:rPr>
        <w:t xml:space="preserve"> to select for</w:t>
      </w:r>
      <w:r w:rsidR="006C56F9">
        <w:rPr>
          <w:rFonts w:ascii="Times New Roman" w:hAnsi="Times New Roman" w:cs="Times New Roman"/>
        </w:rPr>
        <w:t xml:space="preserve">, and the difficulty of how to incorporate values into the selection process, </w:t>
      </w:r>
      <w:proofErr w:type="spellStart"/>
      <w:r w:rsidR="006C56F9">
        <w:rPr>
          <w:rFonts w:ascii="Times New Roman" w:hAnsi="Times New Roman" w:cs="Times New Roman"/>
        </w:rPr>
        <w:t>Malleson</w:t>
      </w:r>
      <w:proofErr w:type="spellEnd"/>
      <w:r w:rsidR="006C56F9">
        <w:rPr>
          <w:rFonts w:ascii="Times New Roman" w:hAnsi="Times New Roman" w:cs="Times New Roman"/>
        </w:rPr>
        <w:t xml:space="preserve"> argues that doing so would “</w:t>
      </w:r>
      <w:r w:rsidR="006C56F9" w:rsidRPr="006C56F9">
        <w:rPr>
          <w:rFonts w:ascii="Times New Roman" w:hAnsi="Times New Roman" w:cs="Times New Roman"/>
        </w:rPr>
        <w:t>ultimately strengthen the Court's legitimacy in making decisions in the fuzzy space between law and politics in which it must adjudicate</w:t>
      </w:r>
      <w:r w:rsidR="006C56F9">
        <w:rPr>
          <w:rFonts w:ascii="Times New Roman" w:hAnsi="Times New Roman" w:cs="Times New Roman"/>
        </w:rPr>
        <w:t>”</w:t>
      </w:r>
      <w:r w:rsidR="006C56F9" w:rsidRPr="006C56F9">
        <w:rPr>
          <w:rFonts w:ascii="Times New Roman" w:hAnsi="Times New Roman" w:cs="Times New Roman"/>
        </w:rPr>
        <w:t>.</w:t>
      </w:r>
      <w:r>
        <w:rPr>
          <w:rStyle w:val="FootnoteReference"/>
          <w:rFonts w:ascii="Times New Roman" w:hAnsi="Times New Roman" w:cs="Times New Roman"/>
        </w:rPr>
        <w:footnoteReference w:id="11"/>
      </w:r>
      <w:r w:rsidR="006C56F9">
        <w:rPr>
          <w:rFonts w:ascii="Times New Roman" w:hAnsi="Times New Roman" w:cs="Times New Roman"/>
        </w:rPr>
        <w:t xml:space="preserve"> </w:t>
      </w:r>
      <w:r w:rsidR="004018B6">
        <w:rPr>
          <w:rFonts w:ascii="Times New Roman" w:hAnsi="Times New Roman" w:cs="Times New Roman"/>
        </w:rPr>
        <w:t xml:space="preserve">  </w:t>
      </w:r>
    </w:p>
    <w:p w14:paraId="4D4A418E" w14:textId="013A0DBA" w:rsidR="00D732FB" w:rsidRDefault="00000000" w:rsidP="00123C13">
      <w:pPr>
        <w:spacing w:after="120"/>
        <w:jc w:val="both"/>
        <w:rPr>
          <w:rFonts w:ascii="Times New Roman" w:hAnsi="Times New Roman" w:cs="Times New Roman"/>
        </w:rPr>
      </w:pPr>
      <w:r>
        <w:rPr>
          <w:rFonts w:ascii="Times New Roman" w:hAnsi="Times New Roman" w:cs="Times New Roman"/>
        </w:rPr>
        <w:t xml:space="preserve">How that fuzzy space is defined and delineated is informed by what one thinks the law is. Professional diversity would involve different engagements with, and perceptions of, the law, and </w:t>
      </w:r>
      <w:r w:rsidR="000E099E">
        <w:rPr>
          <w:rFonts w:ascii="Times New Roman" w:hAnsi="Times New Roman" w:cs="Times New Roman"/>
        </w:rPr>
        <w:t xml:space="preserve">potentially </w:t>
      </w:r>
      <w:r>
        <w:rPr>
          <w:rFonts w:ascii="Times New Roman" w:hAnsi="Times New Roman" w:cs="Times New Roman"/>
        </w:rPr>
        <w:t>introduce subtle degrees of ideological and values diversity. Chris Hanretty’s extensive study of judicial behaviour on the Supreme Court found that judges</w:t>
      </w:r>
      <w:r w:rsidR="001B7E67">
        <w:rPr>
          <w:rFonts w:ascii="Times New Roman" w:hAnsi="Times New Roman" w:cs="Times New Roman"/>
        </w:rPr>
        <w:t>’</w:t>
      </w:r>
      <w:r>
        <w:rPr>
          <w:rFonts w:ascii="Times New Roman" w:hAnsi="Times New Roman" w:cs="Times New Roman"/>
        </w:rPr>
        <w:t xml:space="preserve"> legal specialisations were profoundly </w:t>
      </w:r>
      <w:proofErr w:type="gramStart"/>
      <w:r>
        <w:rPr>
          <w:rFonts w:ascii="Times New Roman" w:hAnsi="Times New Roman" w:cs="Times New Roman"/>
        </w:rPr>
        <w:t>influential;</w:t>
      </w:r>
      <w:proofErr w:type="gramEnd"/>
      <w:r>
        <w:rPr>
          <w:rFonts w:ascii="Times New Roman" w:hAnsi="Times New Roman" w:cs="Times New Roman"/>
        </w:rPr>
        <w:t xml:space="preserve"> </w:t>
      </w:r>
    </w:p>
    <w:p w14:paraId="6089C591" w14:textId="7415849B" w:rsidR="00D732FB" w:rsidRPr="001B7E67" w:rsidRDefault="00000000" w:rsidP="00123C13">
      <w:pPr>
        <w:spacing w:after="120"/>
        <w:ind w:left="720"/>
        <w:jc w:val="both"/>
        <w:rPr>
          <w:rFonts w:ascii="Times New Roman" w:hAnsi="Times New Roman" w:cs="Times New Roman"/>
        </w:rPr>
      </w:pPr>
      <w:r w:rsidRPr="001B7E67">
        <w:rPr>
          <w:rFonts w:ascii="Times New Roman" w:hAnsi="Times New Roman" w:cs="Times New Roman"/>
        </w:rPr>
        <w:t>“Legal outcomes (understood in the broadest sense) are therefore not dictated or even constrained by a monolithic, universal conception of what the law requires, but rather conceptions of what the law requires, as refracted through different specializations.”</w:t>
      </w:r>
      <w:r w:rsidRPr="001B7E67">
        <w:rPr>
          <w:rStyle w:val="FootnoteReference"/>
          <w:rFonts w:ascii="Times New Roman" w:hAnsi="Times New Roman" w:cs="Times New Roman"/>
        </w:rPr>
        <w:footnoteReference w:id="12"/>
      </w:r>
      <w:r w:rsidRPr="001B7E67">
        <w:rPr>
          <w:rFonts w:ascii="Times New Roman" w:hAnsi="Times New Roman" w:cs="Times New Roman"/>
        </w:rPr>
        <w:t xml:space="preserve"> </w:t>
      </w:r>
      <w:r w:rsidR="00834872" w:rsidRPr="001B7E67">
        <w:rPr>
          <w:rFonts w:ascii="Times New Roman" w:hAnsi="Times New Roman" w:cs="Times New Roman"/>
        </w:rPr>
        <w:t xml:space="preserve"> </w:t>
      </w:r>
    </w:p>
    <w:p w14:paraId="0072A4A5" w14:textId="788D1D93" w:rsidR="00D732FB" w:rsidRDefault="00000000" w:rsidP="00123C13">
      <w:pPr>
        <w:spacing w:after="120"/>
        <w:jc w:val="both"/>
        <w:rPr>
          <w:rFonts w:ascii="Times New Roman" w:hAnsi="Times New Roman" w:cs="Times New Roman"/>
        </w:rPr>
      </w:pPr>
      <w:r>
        <w:rPr>
          <w:rFonts w:ascii="Times New Roman" w:hAnsi="Times New Roman" w:cs="Times New Roman"/>
        </w:rPr>
        <w:t xml:space="preserve">However, in spite of being a key factor, “explaining more of the court’s work than political differences between judges”, the nature of UKSC judges’ specialisations – and lack of diversity thereof, has not been examined. </w:t>
      </w:r>
    </w:p>
    <w:p w14:paraId="79F6ADFF" w14:textId="76EE595B" w:rsidR="00D732FB" w:rsidRDefault="00000000" w:rsidP="00123C13">
      <w:pPr>
        <w:spacing w:after="120"/>
        <w:jc w:val="both"/>
        <w:rPr>
          <w:rFonts w:ascii="Times New Roman" w:hAnsi="Times New Roman" w:cs="Times New Roman"/>
        </w:rPr>
      </w:pPr>
      <w:r>
        <w:rPr>
          <w:rFonts w:ascii="Times New Roman" w:hAnsi="Times New Roman" w:cs="Times New Roman"/>
        </w:rPr>
        <w:t>This article begin</w:t>
      </w:r>
      <w:r w:rsidR="00591561">
        <w:rPr>
          <w:rFonts w:ascii="Times New Roman" w:hAnsi="Times New Roman" w:cs="Times New Roman"/>
        </w:rPr>
        <w:t>s</w:t>
      </w:r>
      <w:r>
        <w:rPr>
          <w:rFonts w:ascii="Times New Roman" w:hAnsi="Times New Roman" w:cs="Times New Roman"/>
        </w:rPr>
        <w:t xml:space="preserve"> the process of analysing this factor</w:t>
      </w:r>
      <w:r w:rsidR="00591561">
        <w:rPr>
          <w:rFonts w:ascii="Times New Roman" w:hAnsi="Times New Roman" w:cs="Times New Roman"/>
        </w:rPr>
        <w:t>, by drawing out evidence of UKSC judges’ histor</w:t>
      </w:r>
      <w:r w:rsidR="00A16F18">
        <w:rPr>
          <w:rFonts w:ascii="Times New Roman" w:hAnsi="Times New Roman" w:cs="Times New Roman"/>
        </w:rPr>
        <w:t>ies</w:t>
      </w:r>
      <w:r w:rsidR="00591561">
        <w:rPr>
          <w:rFonts w:ascii="Times New Roman" w:hAnsi="Times New Roman" w:cs="Times New Roman"/>
        </w:rPr>
        <w:t xml:space="preserve"> </w:t>
      </w:r>
      <w:r w:rsidR="00A16F18">
        <w:rPr>
          <w:rFonts w:ascii="Times New Roman" w:hAnsi="Times New Roman" w:cs="Times New Roman"/>
        </w:rPr>
        <w:t>as</w:t>
      </w:r>
      <w:r w:rsidR="00591561">
        <w:rPr>
          <w:rFonts w:ascii="Times New Roman" w:hAnsi="Times New Roman" w:cs="Times New Roman"/>
        </w:rPr>
        <w:t xml:space="preserve"> lawyers before they were judges, to show not only areas of specialisation, but also areas in which there is any, or no, recorded experience at all. This piece does not seek to unpick the ways in which this and other factors interact to create complex judicial identities, or to isolate causal links with specific outcomes – such tasks being beyond the scope of a single article (or, possibly, lifetime).</w:t>
      </w:r>
      <w:r w:rsidR="004D68AF">
        <w:rPr>
          <w:rFonts w:ascii="Times New Roman" w:hAnsi="Times New Roman" w:cs="Times New Roman"/>
        </w:rPr>
        <w:t xml:space="preserve"> In</w:t>
      </w:r>
      <w:r w:rsidR="008D0C5B">
        <w:rPr>
          <w:rFonts w:ascii="Times New Roman" w:hAnsi="Times New Roman" w:cs="Times New Roman"/>
        </w:rPr>
        <w:t xml:space="preserve"> any case</w:t>
      </w:r>
      <w:r w:rsidR="004D68AF">
        <w:rPr>
          <w:rFonts w:ascii="Times New Roman" w:hAnsi="Times New Roman" w:cs="Times New Roman"/>
        </w:rPr>
        <w:t xml:space="preserve">, it would be impossible to measure the effects of having a </w:t>
      </w:r>
      <w:r w:rsidR="00186769">
        <w:rPr>
          <w:rFonts w:ascii="Times New Roman" w:hAnsi="Times New Roman" w:cs="Times New Roman"/>
        </w:rPr>
        <w:t xml:space="preserve">social security practice background </w:t>
      </w:r>
      <w:r w:rsidR="008D0C5B">
        <w:rPr>
          <w:rFonts w:ascii="Times New Roman" w:hAnsi="Times New Roman" w:cs="Times New Roman"/>
        </w:rPr>
        <w:t xml:space="preserve">on </w:t>
      </w:r>
      <w:r w:rsidR="00DE4085">
        <w:rPr>
          <w:rFonts w:ascii="Times New Roman" w:hAnsi="Times New Roman" w:cs="Times New Roman"/>
        </w:rPr>
        <w:t xml:space="preserve">current </w:t>
      </w:r>
      <w:r w:rsidR="008D0C5B">
        <w:rPr>
          <w:rFonts w:ascii="Times New Roman" w:hAnsi="Times New Roman" w:cs="Times New Roman"/>
        </w:rPr>
        <w:t xml:space="preserve">UKSC judges </w:t>
      </w:r>
      <w:r w:rsidR="00186769">
        <w:rPr>
          <w:rFonts w:ascii="Times New Roman" w:hAnsi="Times New Roman" w:cs="Times New Roman"/>
        </w:rPr>
        <w:t>in the absence of any such experience.</w:t>
      </w:r>
      <w:r w:rsidR="00591561">
        <w:rPr>
          <w:rFonts w:ascii="Times New Roman" w:hAnsi="Times New Roman" w:cs="Times New Roman"/>
        </w:rPr>
        <w:t xml:space="preserve"> Rather, it has the more modest aims of identifying a professional deficit in the experiences and specialisations of the Supreme Court when it comes to social security law, and reflects that this likely play</w:t>
      </w:r>
      <w:r w:rsidR="004F18BF">
        <w:rPr>
          <w:rFonts w:ascii="Times New Roman" w:hAnsi="Times New Roman" w:cs="Times New Roman"/>
        </w:rPr>
        <w:t>s</w:t>
      </w:r>
      <w:r w:rsidR="00591561">
        <w:rPr>
          <w:rFonts w:ascii="Times New Roman" w:hAnsi="Times New Roman" w:cs="Times New Roman"/>
        </w:rPr>
        <w:t xml:space="preserve"> a part in the Court’s ‘</w:t>
      </w:r>
      <w:proofErr w:type="spellStart"/>
      <w:r w:rsidR="00591561">
        <w:rPr>
          <w:rFonts w:ascii="Times New Roman" w:hAnsi="Times New Roman" w:cs="Times New Roman"/>
        </w:rPr>
        <w:t>alegalising</w:t>
      </w:r>
      <w:proofErr w:type="spellEnd"/>
      <w:r w:rsidR="00591561">
        <w:rPr>
          <w:rFonts w:ascii="Times New Roman" w:hAnsi="Times New Roman" w:cs="Times New Roman"/>
        </w:rPr>
        <w:t xml:space="preserve">’ of social security; judges who have not encountered it as law, are less likely to treat it as such. </w:t>
      </w:r>
      <w:r w:rsidR="00DE4085">
        <w:rPr>
          <w:rFonts w:ascii="Times New Roman" w:hAnsi="Times New Roman" w:cs="Times New Roman"/>
        </w:rPr>
        <w:t>This is a substantive, rather than purely procedural argument in favour of professional diversity; a broader range of legal experi</w:t>
      </w:r>
      <w:r w:rsidR="00DE4085" w:rsidRPr="008A660E">
        <w:rPr>
          <w:rFonts w:ascii="Times New Roman" w:hAnsi="Times New Roman" w:cs="Times New Roman"/>
        </w:rPr>
        <w:t>ences could enhance judicial engagement with social security law, not just provide the optics of legitimacy.</w:t>
      </w:r>
      <w:r>
        <w:rPr>
          <w:rStyle w:val="FootnoteReference"/>
          <w:rFonts w:ascii="Times New Roman" w:hAnsi="Times New Roman" w:cs="Times New Roman"/>
        </w:rPr>
        <w:footnoteReference w:id="13"/>
      </w:r>
      <w:r w:rsidR="00DE4085" w:rsidRPr="008A660E">
        <w:rPr>
          <w:rFonts w:ascii="Times New Roman" w:hAnsi="Times New Roman" w:cs="Times New Roman"/>
        </w:rPr>
        <w:t xml:space="preserve"> A study of judges at the European Court of Human Rights, </w:t>
      </w:r>
      <w:r w:rsidR="005B3075">
        <w:rPr>
          <w:rFonts w:ascii="Times New Roman" w:hAnsi="Times New Roman" w:cs="Times New Roman"/>
        </w:rPr>
        <w:t xml:space="preserve">by </w:t>
      </w:r>
      <w:proofErr w:type="spellStart"/>
      <w:r w:rsidR="00DE4085" w:rsidRPr="008A660E">
        <w:rPr>
          <w:rFonts w:ascii="Times New Roman" w:hAnsi="Times New Roman" w:cs="Times New Roman"/>
        </w:rPr>
        <w:t>D</w:t>
      </w:r>
      <w:r w:rsidR="0059017B">
        <w:rPr>
          <w:rFonts w:ascii="Times New Roman" w:hAnsi="Times New Roman" w:cs="Times New Roman"/>
        </w:rPr>
        <w:t>zehtsiarou</w:t>
      </w:r>
      <w:proofErr w:type="spellEnd"/>
      <w:r w:rsidR="00DE4085" w:rsidRPr="008A660E">
        <w:rPr>
          <w:rFonts w:ascii="Times New Roman" w:hAnsi="Times New Roman" w:cs="Times New Roman"/>
        </w:rPr>
        <w:t xml:space="preserve"> and </w:t>
      </w:r>
      <w:proofErr w:type="spellStart"/>
      <w:r w:rsidR="00DE4085" w:rsidRPr="008A660E">
        <w:rPr>
          <w:rFonts w:ascii="Times New Roman" w:hAnsi="Times New Roman" w:cs="Times New Roman"/>
        </w:rPr>
        <w:t>Schwatz</w:t>
      </w:r>
      <w:proofErr w:type="spellEnd"/>
      <w:r w:rsidR="005B3075">
        <w:rPr>
          <w:rFonts w:ascii="Times New Roman" w:hAnsi="Times New Roman" w:cs="Times New Roman"/>
        </w:rPr>
        <w:t>,</w:t>
      </w:r>
      <w:r w:rsidR="00DE4085" w:rsidRPr="008A660E">
        <w:rPr>
          <w:rFonts w:ascii="Times New Roman" w:hAnsi="Times New Roman" w:cs="Times New Roman"/>
        </w:rPr>
        <w:t xml:space="preserve"> reached “striking” findings of “</w:t>
      </w:r>
      <w:r w:rsidR="00DE4085" w:rsidRPr="008A660E">
        <w:rPr>
          <w:rFonts w:ascii="Times New Roman" w:hAnsi="Times New Roman" w:cs="Times New Roman"/>
          <w:color w:val="333333"/>
          <w:shd w:val="clear" w:color="auto" w:fill="FFFFFF"/>
        </w:rPr>
        <w:t>just how consistent the judges are in affirming both the value of collegiality and the view that professional diversity can enhance the quality of the Court’s deliberations”.</w:t>
      </w:r>
      <w:r>
        <w:rPr>
          <w:rStyle w:val="FootnoteReference"/>
          <w:rFonts w:ascii="Times New Roman" w:hAnsi="Times New Roman" w:cs="Times New Roman"/>
          <w:color w:val="333333"/>
          <w:shd w:val="clear" w:color="auto" w:fill="FFFFFF"/>
        </w:rPr>
        <w:footnoteReference w:id="14"/>
      </w:r>
      <w:r w:rsidR="0059017B">
        <w:rPr>
          <w:rFonts w:ascii="Times New Roman" w:hAnsi="Times New Roman" w:cs="Times New Roman"/>
          <w:color w:val="333333"/>
          <w:shd w:val="clear" w:color="auto" w:fill="FFFFFF"/>
        </w:rPr>
        <w:t xml:space="preserve"> </w:t>
      </w:r>
    </w:p>
    <w:p w14:paraId="79C59913" w14:textId="05B3CB08" w:rsidR="00045E87" w:rsidRDefault="00000000" w:rsidP="00123C13">
      <w:pPr>
        <w:spacing w:after="120"/>
        <w:jc w:val="both"/>
        <w:rPr>
          <w:rFonts w:ascii="Times New Roman" w:hAnsi="Times New Roman" w:cs="Times New Roman"/>
        </w:rPr>
      </w:pPr>
      <w:r>
        <w:rPr>
          <w:rFonts w:ascii="Times New Roman" w:hAnsi="Times New Roman" w:cs="Times New Roman"/>
        </w:rPr>
        <w:lastRenderedPageBreak/>
        <w:t xml:space="preserve">The </w:t>
      </w:r>
      <w:r w:rsidR="004F18BF">
        <w:rPr>
          <w:rFonts w:ascii="Times New Roman" w:hAnsi="Times New Roman" w:cs="Times New Roman"/>
        </w:rPr>
        <w:t xml:space="preserve">next </w:t>
      </w:r>
      <w:r>
        <w:rPr>
          <w:rFonts w:ascii="Times New Roman" w:hAnsi="Times New Roman" w:cs="Times New Roman"/>
        </w:rPr>
        <w:t>section looks</w:t>
      </w:r>
      <w:r w:rsidRPr="00E84859">
        <w:rPr>
          <w:rFonts w:ascii="Times New Roman" w:hAnsi="Times New Roman" w:cs="Times New Roman"/>
        </w:rPr>
        <w:t xml:space="preserve"> at the experiences of the </w:t>
      </w:r>
      <w:r w:rsidR="00241EA2">
        <w:rPr>
          <w:rFonts w:ascii="Times New Roman" w:hAnsi="Times New Roman" w:cs="Times New Roman"/>
        </w:rPr>
        <w:t xml:space="preserve">current </w:t>
      </w:r>
      <w:r w:rsidRPr="00E84859">
        <w:rPr>
          <w:rFonts w:ascii="Times New Roman" w:hAnsi="Times New Roman" w:cs="Times New Roman"/>
        </w:rPr>
        <w:t xml:space="preserve">UKSC justices when in legal practice. </w:t>
      </w:r>
      <w:r>
        <w:rPr>
          <w:rFonts w:ascii="Times New Roman" w:hAnsi="Times New Roman" w:cs="Times New Roman"/>
        </w:rPr>
        <w:t xml:space="preserve">Judicial constructions of the law reflect the ways in which judges have experienced professional prestige. </w:t>
      </w:r>
      <w:r w:rsidRPr="00E84859">
        <w:rPr>
          <w:rFonts w:ascii="Times New Roman" w:hAnsi="Times New Roman" w:cs="Times New Roman"/>
        </w:rPr>
        <w:t>Despite claims of wide or varied practices in their public biographies,</w:t>
      </w:r>
      <w:bookmarkStart w:id="1" w:name="_Ref162350923"/>
      <w:r>
        <w:rPr>
          <w:rStyle w:val="FootnoteReference"/>
          <w:rFonts w:ascii="Times New Roman" w:hAnsi="Times New Roman" w:cs="Times New Roman"/>
        </w:rPr>
        <w:footnoteReference w:id="15"/>
      </w:r>
      <w:bookmarkEnd w:id="1"/>
      <w:r w:rsidRPr="00E84859">
        <w:rPr>
          <w:rFonts w:ascii="Times New Roman" w:hAnsi="Times New Roman" w:cs="Times New Roman"/>
        </w:rPr>
        <w:t xml:space="preserve"> I could not find any evidence of any of the justices having </w:t>
      </w:r>
      <w:r w:rsidRPr="00E84859">
        <w:rPr>
          <w:rFonts w:ascii="Times New Roman" w:hAnsi="Times New Roman" w:cs="Times New Roman"/>
          <w:i/>
          <w:iCs/>
        </w:rPr>
        <w:t>ever</w:t>
      </w:r>
      <w:r w:rsidRPr="00E84859">
        <w:rPr>
          <w:rFonts w:ascii="Times New Roman" w:hAnsi="Times New Roman" w:cs="Times New Roman"/>
        </w:rPr>
        <w:t xml:space="preserve"> acted in a reported case </w:t>
      </w:r>
      <w:r w:rsidRPr="00E84859">
        <w:rPr>
          <w:rFonts w:ascii="Times New Roman" w:hAnsi="Times New Roman" w:cs="Times New Roman"/>
          <w:i/>
          <w:iCs/>
        </w:rPr>
        <w:t>for</w:t>
      </w:r>
      <w:r w:rsidRPr="00E84859">
        <w:rPr>
          <w:rFonts w:ascii="Times New Roman" w:hAnsi="Times New Roman" w:cs="Times New Roman"/>
        </w:rPr>
        <w:t xml:space="preserve"> </w:t>
      </w:r>
      <w:r w:rsidRPr="00E84859">
        <w:rPr>
          <w:rFonts w:ascii="Times New Roman" w:hAnsi="Times New Roman" w:cs="Times New Roman"/>
          <w:i/>
          <w:iCs/>
        </w:rPr>
        <w:t>a claimant</w:t>
      </w:r>
      <w:r w:rsidRPr="00E84859">
        <w:rPr>
          <w:rFonts w:ascii="Times New Roman" w:hAnsi="Times New Roman" w:cs="Times New Roman"/>
        </w:rPr>
        <w:t xml:space="preserve"> in a social security case. Further, apart from Lord Sales, who was First Treasury Counsel and so acted for the </w:t>
      </w:r>
      <w:r>
        <w:rPr>
          <w:rFonts w:ascii="Times New Roman" w:hAnsi="Times New Roman" w:cs="Times New Roman"/>
        </w:rPr>
        <w:t>S</w:t>
      </w:r>
      <w:r w:rsidRPr="00E84859">
        <w:rPr>
          <w:rFonts w:ascii="Times New Roman" w:hAnsi="Times New Roman" w:cs="Times New Roman"/>
        </w:rPr>
        <w:t xml:space="preserve">tate in a vast range of cases, I found no evidence of any of the other justices having acted </w:t>
      </w:r>
      <w:r w:rsidRPr="00E84859">
        <w:rPr>
          <w:rFonts w:ascii="Times New Roman" w:hAnsi="Times New Roman" w:cs="Times New Roman"/>
          <w:i/>
          <w:iCs/>
        </w:rPr>
        <w:t>at all</w:t>
      </w:r>
      <w:r w:rsidRPr="00E84859">
        <w:rPr>
          <w:rFonts w:ascii="Times New Roman" w:hAnsi="Times New Roman" w:cs="Times New Roman"/>
        </w:rPr>
        <w:t xml:space="preserve"> in any </w:t>
      </w:r>
      <w:r>
        <w:rPr>
          <w:rFonts w:ascii="Times New Roman" w:hAnsi="Times New Roman" w:cs="Times New Roman"/>
        </w:rPr>
        <w:t>state social security benefit case</w:t>
      </w:r>
      <w:r w:rsidRPr="00E84859">
        <w:rPr>
          <w:rFonts w:ascii="Times New Roman" w:hAnsi="Times New Roman" w:cs="Times New Roman"/>
        </w:rPr>
        <w:t xml:space="preserve">. This experience deficit, and potential anti-claimant </w:t>
      </w:r>
      <w:r>
        <w:rPr>
          <w:rFonts w:ascii="Times New Roman" w:hAnsi="Times New Roman" w:cs="Times New Roman"/>
        </w:rPr>
        <w:t>perspective</w:t>
      </w:r>
      <w:r w:rsidRPr="00E84859">
        <w:rPr>
          <w:rFonts w:ascii="Times New Roman" w:hAnsi="Times New Roman" w:cs="Times New Roman"/>
        </w:rPr>
        <w:t xml:space="preserve">, is important. Simply trusting in the prodigious intellects of judges to compensate for ignorance and lack of relevant perspectives is </w:t>
      </w:r>
      <w:r w:rsidR="00A16F18">
        <w:rPr>
          <w:rFonts w:ascii="Times New Roman" w:hAnsi="Times New Roman" w:cs="Times New Roman"/>
        </w:rPr>
        <w:t xml:space="preserve">perhaps </w:t>
      </w:r>
      <w:r w:rsidRPr="00E84859">
        <w:rPr>
          <w:rFonts w:ascii="Times New Roman" w:hAnsi="Times New Roman" w:cs="Times New Roman"/>
        </w:rPr>
        <w:t>naïve. That social security law accounts for such a large swathe of disputes</w:t>
      </w:r>
      <w:r>
        <w:rPr>
          <w:rFonts w:ascii="Times New Roman" w:hAnsi="Times New Roman" w:cs="Times New Roman"/>
        </w:rPr>
        <w:t>,</w:t>
      </w:r>
      <w:r w:rsidRPr="00E84859">
        <w:rPr>
          <w:rFonts w:ascii="Times New Roman" w:hAnsi="Times New Roman" w:cs="Times New Roman"/>
        </w:rPr>
        <w:t xml:space="preserve"> litigation,</w:t>
      </w:r>
      <w:bookmarkStart w:id="2" w:name="_Ref162291753"/>
      <w:r>
        <w:rPr>
          <w:rFonts w:ascii="Times New Roman" w:hAnsi="Times New Roman" w:cs="Times New Roman"/>
          <w:vertAlign w:val="superscript"/>
        </w:rPr>
        <w:footnoteReference w:id="16"/>
      </w:r>
      <w:r w:rsidRPr="00086703">
        <w:rPr>
          <w:rFonts w:ascii="Times New Roman" w:hAnsi="Times New Roman" w:cs="Times New Roman"/>
        </w:rPr>
        <w:t xml:space="preserve"> </w:t>
      </w:r>
      <w:r>
        <w:rPr>
          <w:rFonts w:ascii="Times New Roman" w:hAnsi="Times New Roman" w:cs="Times New Roman"/>
        </w:rPr>
        <w:t xml:space="preserve"> and public expense,</w:t>
      </w:r>
      <w:bookmarkEnd w:id="2"/>
      <w:r w:rsidRPr="00E84859">
        <w:rPr>
          <w:rFonts w:ascii="Times New Roman" w:hAnsi="Times New Roman" w:cs="Times New Roman"/>
        </w:rPr>
        <w:t xml:space="preserve"> and yet is treated as something that can be picked up as you go along, reflects a lack of respect for the discipline, and </w:t>
      </w:r>
      <w:r w:rsidR="00512D94">
        <w:rPr>
          <w:rFonts w:ascii="Times New Roman" w:hAnsi="Times New Roman" w:cs="Times New Roman"/>
        </w:rPr>
        <w:t>a</w:t>
      </w:r>
      <w:r w:rsidRPr="00E84859">
        <w:rPr>
          <w:rFonts w:ascii="Times New Roman" w:hAnsi="Times New Roman" w:cs="Times New Roman"/>
        </w:rPr>
        <w:t>n indifference to the understanding required of claimants’ perspectives.</w:t>
      </w:r>
    </w:p>
    <w:p w14:paraId="664949D8" w14:textId="5A9CE3D3" w:rsidR="006C08EA" w:rsidRPr="00E84859" w:rsidRDefault="00000000" w:rsidP="00123C13">
      <w:pPr>
        <w:spacing w:after="120"/>
        <w:jc w:val="both"/>
        <w:rPr>
          <w:rFonts w:ascii="Times New Roman" w:hAnsi="Times New Roman" w:cs="Times New Roman"/>
        </w:rPr>
      </w:pPr>
      <w:r>
        <w:rPr>
          <w:rFonts w:ascii="Times New Roman" w:hAnsi="Times New Roman" w:cs="Times New Roman"/>
        </w:rPr>
        <w:t xml:space="preserve">The scepticism of the Supreme Court when it comes to considering social security law as law has rarely been as explicit as it was in the case of </w:t>
      </w:r>
      <w:r>
        <w:rPr>
          <w:rFonts w:ascii="Times New Roman" w:hAnsi="Times New Roman" w:cs="Times New Roman"/>
          <w:i/>
          <w:iCs/>
        </w:rPr>
        <w:t>SC,</w:t>
      </w:r>
      <w:r w:rsidR="001B7E67" w:rsidRPr="001B7E67">
        <w:rPr>
          <w:rStyle w:val="FootnoteReference"/>
          <w:rFonts w:ascii="Times New Roman" w:hAnsi="Times New Roman" w:cs="Times New Roman"/>
        </w:rPr>
        <w:footnoteReference w:id="17"/>
      </w:r>
      <w:r>
        <w:rPr>
          <w:rFonts w:ascii="Times New Roman" w:hAnsi="Times New Roman" w:cs="Times New Roman"/>
          <w:i/>
          <w:iCs/>
        </w:rPr>
        <w:t xml:space="preserve"> </w:t>
      </w:r>
      <w:r>
        <w:rPr>
          <w:rFonts w:ascii="Times New Roman" w:hAnsi="Times New Roman" w:cs="Times New Roman"/>
        </w:rPr>
        <w:t>and the mechanisms by which social security questions became relegated to the realm of politics are examined in the</w:t>
      </w:r>
      <w:r w:rsidR="004F18BF">
        <w:rPr>
          <w:rFonts w:ascii="Times New Roman" w:hAnsi="Times New Roman" w:cs="Times New Roman"/>
        </w:rPr>
        <w:t xml:space="preserve"> third</w:t>
      </w:r>
      <w:r>
        <w:rPr>
          <w:rFonts w:ascii="Times New Roman" w:hAnsi="Times New Roman" w:cs="Times New Roman"/>
        </w:rPr>
        <w:t xml:space="preserve"> section</w:t>
      </w:r>
      <w:r w:rsidR="00512D94">
        <w:rPr>
          <w:rFonts w:ascii="Times New Roman" w:hAnsi="Times New Roman" w:cs="Times New Roman"/>
        </w:rPr>
        <w:t xml:space="preserve"> of this article</w:t>
      </w:r>
      <w:r>
        <w:rPr>
          <w:rFonts w:ascii="Times New Roman" w:hAnsi="Times New Roman" w:cs="Times New Roman"/>
        </w:rPr>
        <w:t xml:space="preserve">. </w:t>
      </w:r>
      <w:r w:rsidR="004F18BF">
        <w:rPr>
          <w:rFonts w:ascii="Times New Roman" w:hAnsi="Times New Roman" w:cs="Times New Roman"/>
        </w:rPr>
        <w:t xml:space="preserve">That case considered the two-child rule </w:t>
      </w:r>
      <w:r w:rsidR="004F18BF" w:rsidRPr="00E84859">
        <w:rPr>
          <w:rFonts w:ascii="Times New Roman" w:hAnsi="Times New Roman" w:cs="Times New Roman"/>
        </w:rPr>
        <w:t>limit</w:t>
      </w:r>
      <w:r w:rsidR="004F18BF">
        <w:rPr>
          <w:rFonts w:ascii="Times New Roman" w:hAnsi="Times New Roman" w:cs="Times New Roman"/>
        </w:rPr>
        <w:t xml:space="preserve">ing key subsistence benefits to a maximum of two children to be a matter for Parliament, in which there were simply no legal means for the courts to intervene. Former UKSC judge Jonathan Sumption hailed the ruling as </w:t>
      </w:r>
      <w:r w:rsidR="00F7296C" w:rsidRPr="00E84859">
        <w:rPr>
          <w:rFonts w:ascii="Times New Roman" w:hAnsi="Times New Roman" w:cs="Times New Roman"/>
        </w:rPr>
        <w:t>a redrawing of the boundaries between the legal/justiciable and the political.</w:t>
      </w:r>
      <w:r>
        <w:rPr>
          <w:rStyle w:val="FootnoteReference"/>
          <w:rFonts w:ascii="Times New Roman" w:hAnsi="Times New Roman" w:cs="Times New Roman"/>
        </w:rPr>
        <w:footnoteReference w:id="18"/>
      </w:r>
      <w:r w:rsidR="00F7296C" w:rsidRPr="00E84859">
        <w:rPr>
          <w:rFonts w:ascii="Times New Roman" w:hAnsi="Times New Roman" w:cs="Times New Roman"/>
        </w:rPr>
        <w:t xml:space="preserve"> </w:t>
      </w:r>
      <w:r w:rsidR="00C354C1" w:rsidRPr="00E84859">
        <w:rPr>
          <w:rFonts w:ascii="Times New Roman" w:hAnsi="Times New Roman" w:cs="Times New Roman"/>
        </w:rPr>
        <w:t xml:space="preserve">However, </w:t>
      </w:r>
      <w:r w:rsidR="0095763D">
        <w:rPr>
          <w:rFonts w:ascii="Times New Roman" w:hAnsi="Times New Roman" w:cs="Times New Roman"/>
        </w:rPr>
        <w:t>t</w:t>
      </w:r>
      <w:r w:rsidR="006650A4" w:rsidRPr="00E84859">
        <w:rPr>
          <w:rFonts w:ascii="Times New Roman" w:hAnsi="Times New Roman" w:cs="Times New Roman"/>
        </w:rPr>
        <w:t xml:space="preserve">he notion that there can be a clear line between politics and the law – and the tendency to dump matters of social security on the </w:t>
      </w:r>
      <w:r w:rsidR="0095763D">
        <w:rPr>
          <w:rFonts w:ascii="Times New Roman" w:hAnsi="Times New Roman" w:cs="Times New Roman"/>
        </w:rPr>
        <w:t>non-legal</w:t>
      </w:r>
      <w:r w:rsidR="006650A4" w:rsidRPr="00E84859">
        <w:rPr>
          <w:rFonts w:ascii="Times New Roman" w:hAnsi="Times New Roman" w:cs="Times New Roman"/>
        </w:rPr>
        <w:t xml:space="preserve"> side of it – is misleading. It is a political </w:t>
      </w:r>
      <w:r w:rsidR="00E62752">
        <w:rPr>
          <w:rFonts w:ascii="Times New Roman" w:hAnsi="Times New Roman" w:cs="Times New Roman"/>
        </w:rPr>
        <w:t>choice,</w:t>
      </w:r>
      <w:r w:rsidR="006650A4" w:rsidRPr="00E84859">
        <w:rPr>
          <w:rFonts w:ascii="Times New Roman" w:hAnsi="Times New Roman" w:cs="Times New Roman"/>
        </w:rPr>
        <w:t xml:space="preserve"> help</w:t>
      </w:r>
      <w:r w:rsidR="00E62752">
        <w:rPr>
          <w:rFonts w:ascii="Times New Roman" w:hAnsi="Times New Roman" w:cs="Times New Roman"/>
        </w:rPr>
        <w:t>ing</w:t>
      </w:r>
      <w:r w:rsidR="006650A4" w:rsidRPr="00E84859">
        <w:rPr>
          <w:rFonts w:ascii="Times New Roman" w:hAnsi="Times New Roman" w:cs="Times New Roman"/>
        </w:rPr>
        <w:t xml:space="preserve"> to entrench existing power dynamics in society, protecting the executive and the legislature from scrutiny when they infringe the rights of a socio-economically disadvantaged minority. In the context of children in particular, it abrogates the duty to protect </w:t>
      </w:r>
      <w:r w:rsidR="006650A4" w:rsidRPr="00E84859">
        <w:rPr>
          <w:rFonts w:ascii="Times New Roman" w:hAnsi="Times New Roman" w:cs="Times New Roman"/>
          <w:i/>
          <w:iCs/>
        </w:rPr>
        <w:t>disenfranchised</w:t>
      </w:r>
      <w:r w:rsidR="006650A4" w:rsidRPr="00E84859">
        <w:rPr>
          <w:rFonts w:ascii="Times New Roman" w:hAnsi="Times New Roman" w:cs="Times New Roman"/>
        </w:rPr>
        <w:t xml:space="preserve"> minorities. </w:t>
      </w:r>
      <w:r w:rsidR="000C4ED0">
        <w:rPr>
          <w:rFonts w:ascii="Times New Roman" w:hAnsi="Times New Roman" w:cs="Times New Roman"/>
        </w:rPr>
        <w:t>T</w:t>
      </w:r>
      <w:r w:rsidR="006873D9" w:rsidRPr="00E84859">
        <w:rPr>
          <w:rFonts w:ascii="Times New Roman" w:hAnsi="Times New Roman" w:cs="Times New Roman"/>
        </w:rPr>
        <w:t xml:space="preserve">his article argues that </w:t>
      </w:r>
      <w:r w:rsidR="00500778" w:rsidRPr="00E84859">
        <w:rPr>
          <w:rFonts w:ascii="Times New Roman" w:hAnsi="Times New Roman" w:cs="Times New Roman"/>
        </w:rPr>
        <w:t xml:space="preserve">diversity of </w:t>
      </w:r>
      <w:r w:rsidR="004F18BF">
        <w:rPr>
          <w:rFonts w:ascii="Times New Roman" w:hAnsi="Times New Roman" w:cs="Times New Roman"/>
        </w:rPr>
        <w:t xml:space="preserve">professional </w:t>
      </w:r>
      <w:r w:rsidR="00500778" w:rsidRPr="00E84859">
        <w:rPr>
          <w:rFonts w:ascii="Times New Roman" w:hAnsi="Times New Roman" w:cs="Times New Roman"/>
        </w:rPr>
        <w:t xml:space="preserve">experience </w:t>
      </w:r>
      <w:r w:rsidR="00E86513" w:rsidRPr="00E84859">
        <w:rPr>
          <w:rFonts w:ascii="Times New Roman" w:hAnsi="Times New Roman" w:cs="Times New Roman"/>
        </w:rPr>
        <w:t>is vital</w:t>
      </w:r>
      <w:r w:rsidR="007E6DFC">
        <w:rPr>
          <w:rFonts w:ascii="Times New Roman" w:hAnsi="Times New Roman" w:cs="Times New Roman"/>
        </w:rPr>
        <w:t>,</w:t>
      </w:r>
      <w:r w:rsidR="00E86513" w:rsidRPr="00E84859">
        <w:rPr>
          <w:rFonts w:ascii="Times New Roman" w:hAnsi="Times New Roman" w:cs="Times New Roman"/>
        </w:rPr>
        <w:t xml:space="preserve"> if matters of social security, human rights and poverty are to get a fair hearing. </w:t>
      </w:r>
      <w:r w:rsidR="006873D9" w:rsidRPr="00E84859">
        <w:rPr>
          <w:rFonts w:ascii="Times New Roman" w:hAnsi="Times New Roman" w:cs="Times New Roman"/>
        </w:rPr>
        <w:t xml:space="preserve"> </w:t>
      </w:r>
    </w:p>
    <w:p w14:paraId="1C1D53E3" w14:textId="0BB1121A" w:rsidR="000F780F" w:rsidRPr="00E84859" w:rsidRDefault="00000000" w:rsidP="00123C13">
      <w:pPr>
        <w:spacing w:after="120"/>
        <w:jc w:val="both"/>
        <w:rPr>
          <w:rFonts w:ascii="Times New Roman" w:hAnsi="Times New Roman" w:cs="Times New Roman"/>
        </w:rPr>
      </w:pPr>
      <w:r w:rsidRPr="00E84859">
        <w:rPr>
          <w:rFonts w:ascii="Times New Roman" w:hAnsi="Times New Roman" w:cs="Times New Roman"/>
        </w:rPr>
        <w:t xml:space="preserve">The treatment of poverty as a political problem in </w:t>
      </w:r>
      <w:r w:rsidRPr="00E84859">
        <w:rPr>
          <w:rFonts w:ascii="Times New Roman" w:hAnsi="Times New Roman" w:cs="Times New Roman"/>
          <w:i/>
          <w:iCs/>
        </w:rPr>
        <w:t>SC</w:t>
      </w:r>
      <w:r w:rsidRPr="00E84859">
        <w:rPr>
          <w:rFonts w:ascii="Times New Roman" w:hAnsi="Times New Roman" w:cs="Times New Roman"/>
        </w:rPr>
        <w:t xml:space="preserve"> contrasts with the attitude taken </w:t>
      </w:r>
      <w:r w:rsidR="00867E47" w:rsidRPr="00E84859">
        <w:rPr>
          <w:rFonts w:ascii="Times New Roman" w:hAnsi="Times New Roman" w:cs="Times New Roman"/>
        </w:rPr>
        <w:t xml:space="preserve">in the </w:t>
      </w:r>
      <w:r w:rsidR="00867E47" w:rsidRPr="00E84859">
        <w:rPr>
          <w:rFonts w:ascii="Times New Roman" w:hAnsi="Times New Roman" w:cs="Times New Roman"/>
          <w:i/>
          <w:iCs/>
        </w:rPr>
        <w:t>UNISON</w:t>
      </w:r>
      <w:r>
        <w:rPr>
          <w:rStyle w:val="FootnoteReference"/>
          <w:rFonts w:ascii="Times New Roman" w:hAnsi="Times New Roman" w:cs="Times New Roman"/>
        </w:rPr>
        <w:footnoteReference w:id="19"/>
      </w:r>
      <w:r w:rsidR="00867E47" w:rsidRPr="00E84859">
        <w:rPr>
          <w:rFonts w:ascii="Times New Roman" w:hAnsi="Times New Roman" w:cs="Times New Roman"/>
          <w:i/>
          <w:iCs/>
        </w:rPr>
        <w:t xml:space="preserve"> </w:t>
      </w:r>
      <w:r w:rsidR="00867E47" w:rsidRPr="00E84859">
        <w:rPr>
          <w:rFonts w:ascii="Times New Roman" w:hAnsi="Times New Roman" w:cs="Times New Roman"/>
        </w:rPr>
        <w:t xml:space="preserve"> case on employment tribunal fees, where Lord Reed decried the effects upon </w:t>
      </w:r>
      <w:r w:rsidRPr="00E84859">
        <w:rPr>
          <w:rFonts w:ascii="Times New Roman" w:hAnsi="Times New Roman" w:cs="Times New Roman"/>
        </w:rPr>
        <w:t xml:space="preserve">people living below </w:t>
      </w:r>
      <w:r w:rsidR="00415FEB">
        <w:rPr>
          <w:rFonts w:ascii="Times New Roman" w:hAnsi="Times New Roman" w:cs="Times New Roman"/>
        </w:rPr>
        <w:t>m</w:t>
      </w:r>
      <w:r w:rsidRPr="00E84859">
        <w:rPr>
          <w:rFonts w:ascii="Times New Roman" w:hAnsi="Times New Roman" w:cs="Times New Roman"/>
        </w:rPr>
        <w:t xml:space="preserve">inimum </w:t>
      </w:r>
      <w:r w:rsidR="00415FEB">
        <w:rPr>
          <w:rFonts w:ascii="Times New Roman" w:hAnsi="Times New Roman" w:cs="Times New Roman"/>
        </w:rPr>
        <w:t>i</w:t>
      </w:r>
      <w:r w:rsidRPr="00E84859">
        <w:rPr>
          <w:rFonts w:ascii="Times New Roman" w:hAnsi="Times New Roman" w:cs="Times New Roman"/>
        </w:rPr>
        <w:t xml:space="preserve">ncome </w:t>
      </w:r>
      <w:r w:rsidR="00415FEB">
        <w:rPr>
          <w:rFonts w:ascii="Times New Roman" w:hAnsi="Times New Roman" w:cs="Times New Roman"/>
        </w:rPr>
        <w:t>s</w:t>
      </w:r>
      <w:r w:rsidRPr="00E84859">
        <w:rPr>
          <w:rFonts w:ascii="Times New Roman" w:hAnsi="Times New Roman" w:cs="Times New Roman"/>
        </w:rPr>
        <w:t>tandards</w:t>
      </w:r>
      <w:r w:rsidR="005F1AA3">
        <w:rPr>
          <w:rFonts w:ascii="Times New Roman" w:hAnsi="Times New Roman" w:cs="Times New Roman"/>
        </w:rPr>
        <w:t xml:space="preserve"> – an approach analysed in s</w:t>
      </w:r>
      <w:r w:rsidR="00867E47" w:rsidRPr="00E84859">
        <w:rPr>
          <w:rFonts w:ascii="Times New Roman" w:hAnsi="Times New Roman" w:cs="Times New Roman"/>
        </w:rPr>
        <w:t xml:space="preserve">ection </w:t>
      </w:r>
      <w:r w:rsidR="004F18BF">
        <w:rPr>
          <w:rFonts w:ascii="Times New Roman" w:hAnsi="Times New Roman" w:cs="Times New Roman"/>
        </w:rPr>
        <w:t>4</w:t>
      </w:r>
      <w:r w:rsidR="00512D94">
        <w:rPr>
          <w:rFonts w:ascii="Times New Roman" w:hAnsi="Times New Roman" w:cs="Times New Roman"/>
        </w:rPr>
        <w:t xml:space="preserve"> of this article</w:t>
      </w:r>
      <w:r w:rsidR="00867E47" w:rsidRPr="00E84859">
        <w:rPr>
          <w:rFonts w:ascii="Times New Roman" w:hAnsi="Times New Roman" w:cs="Times New Roman"/>
        </w:rPr>
        <w:t xml:space="preserve">. It is striking that </w:t>
      </w:r>
      <w:r w:rsidR="00E66225" w:rsidRPr="00E84859">
        <w:rPr>
          <w:rFonts w:ascii="Times New Roman" w:hAnsi="Times New Roman" w:cs="Times New Roman"/>
        </w:rPr>
        <w:t>while tribunal fees made much smaller inroads tha</w:t>
      </w:r>
      <w:r w:rsidR="00415FEB">
        <w:rPr>
          <w:rFonts w:ascii="Times New Roman" w:hAnsi="Times New Roman" w:cs="Times New Roman"/>
        </w:rPr>
        <w:t>n</w:t>
      </w:r>
      <w:r w:rsidR="00E66225" w:rsidRPr="00E84859">
        <w:rPr>
          <w:rFonts w:ascii="Times New Roman" w:hAnsi="Times New Roman" w:cs="Times New Roman"/>
        </w:rPr>
        <w:t xml:space="preserve"> the two</w:t>
      </w:r>
      <w:r w:rsidR="00415FEB">
        <w:rPr>
          <w:rFonts w:ascii="Times New Roman" w:hAnsi="Times New Roman" w:cs="Times New Roman"/>
        </w:rPr>
        <w:t>-</w:t>
      </w:r>
      <w:r w:rsidR="00E66225" w:rsidRPr="00E84859">
        <w:rPr>
          <w:rFonts w:ascii="Times New Roman" w:hAnsi="Times New Roman" w:cs="Times New Roman"/>
        </w:rPr>
        <w:t xml:space="preserve">child rule into a person’s means of subsistence, they attracted much stronger criticism (drawing upon anti-poverty discourse). </w:t>
      </w:r>
      <w:r w:rsidR="001E7D57">
        <w:rPr>
          <w:rFonts w:ascii="Times New Roman" w:hAnsi="Times New Roman" w:cs="Times New Roman"/>
        </w:rPr>
        <w:t>T</w:t>
      </w:r>
      <w:r w:rsidR="00E66225" w:rsidRPr="00E84859">
        <w:rPr>
          <w:rFonts w:ascii="Times New Roman" w:hAnsi="Times New Roman" w:cs="Times New Roman"/>
        </w:rPr>
        <w:t xml:space="preserve">he </w:t>
      </w:r>
      <w:r w:rsidR="0009519E">
        <w:rPr>
          <w:rFonts w:ascii="Times New Roman" w:hAnsi="Times New Roman" w:cs="Times New Roman"/>
        </w:rPr>
        <w:t>court</w:t>
      </w:r>
      <w:r w:rsidR="00867E47" w:rsidRPr="00E84859">
        <w:rPr>
          <w:rFonts w:ascii="Times New Roman" w:hAnsi="Times New Roman" w:cs="Times New Roman"/>
        </w:rPr>
        <w:t xml:space="preserve"> imbued the human right to a fair hearing with a</w:t>
      </w:r>
      <w:r w:rsidR="000136A0">
        <w:rPr>
          <w:rFonts w:ascii="Times New Roman" w:hAnsi="Times New Roman" w:cs="Times New Roman"/>
        </w:rPr>
        <w:t xml:space="preserve">n importance </w:t>
      </w:r>
      <w:r w:rsidR="00867E47" w:rsidRPr="00E84859">
        <w:rPr>
          <w:rFonts w:ascii="Times New Roman" w:hAnsi="Times New Roman" w:cs="Times New Roman"/>
        </w:rPr>
        <w:t xml:space="preserve">that </w:t>
      </w:r>
      <w:r w:rsidR="0015352B">
        <w:rPr>
          <w:rFonts w:ascii="Times New Roman" w:hAnsi="Times New Roman" w:cs="Times New Roman"/>
        </w:rPr>
        <w:t xml:space="preserve">it </w:t>
      </w:r>
      <w:r w:rsidR="00867E47" w:rsidRPr="00E84859">
        <w:rPr>
          <w:rFonts w:ascii="Times New Roman" w:hAnsi="Times New Roman" w:cs="Times New Roman"/>
        </w:rPr>
        <w:t xml:space="preserve">does not accord the </w:t>
      </w:r>
      <w:r w:rsidR="006A3145" w:rsidRPr="00E84859">
        <w:rPr>
          <w:rFonts w:ascii="Times New Roman" w:hAnsi="Times New Roman" w:cs="Times New Roman"/>
        </w:rPr>
        <w:t xml:space="preserve">right </w:t>
      </w:r>
      <w:r w:rsidR="00867E47" w:rsidRPr="00E84859">
        <w:rPr>
          <w:rFonts w:ascii="Times New Roman" w:hAnsi="Times New Roman" w:cs="Times New Roman"/>
        </w:rPr>
        <w:t>to</w:t>
      </w:r>
      <w:r w:rsidR="006A3145" w:rsidRPr="00E84859">
        <w:rPr>
          <w:rFonts w:ascii="Times New Roman" w:hAnsi="Times New Roman" w:cs="Times New Roman"/>
        </w:rPr>
        <w:t xml:space="preserve"> non-discriminatory access to</w:t>
      </w:r>
      <w:r w:rsidR="00867E47" w:rsidRPr="00E84859">
        <w:rPr>
          <w:rFonts w:ascii="Times New Roman" w:hAnsi="Times New Roman" w:cs="Times New Roman"/>
        </w:rPr>
        <w:t xml:space="preserve"> enough money for food and heating</w:t>
      </w:r>
      <w:r w:rsidR="00E62752">
        <w:rPr>
          <w:rFonts w:ascii="Times New Roman" w:hAnsi="Times New Roman" w:cs="Times New Roman"/>
        </w:rPr>
        <w:t xml:space="preserve">; the lack of social security expertise on the bench </w:t>
      </w:r>
      <w:r w:rsidR="009B1DE9">
        <w:rPr>
          <w:rFonts w:ascii="Times New Roman" w:hAnsi="Times New Roman" w:cs="Times New Roman"/>
        </w:rPr>
        <w:t xml:space="preserve">may contribute to this </w:t>
      </w:r>
      <w:r w:rsidR="00E62752">
        <w:rPr>
          <w:rFonts w:ascii="Times New Roman" w:hAnsi="Times New Roman" w:cs="Times New Roman"/>
        </w:rPr>
        <w:t>lack of understanding of the pivotal importance of social security for human rights</w:t>
      </w:r>
      <w:r w:rsidR="001E7D57">
        <w:rPr>
          <w:rFonts w:ascii="Times New Roman" w:hAnsi="Times New Roman" w:cs="Times New Roman"/>
        </w:rPr>
        <w:t>.</w:t>
      </w:r>
    </w:p>
    <w:p w14:paraId="51FA071B" w14:textId="2365FB41" w:rsidR="006873D9" w:rsidRPr="00E84859" w:rsidRDefault="00000000" w:rsidP="00123C13">
      <w:pPr>
        <w:spacing w:after="120"/>
        <w:jc w:val="both"/>
        <w:rPr>
          <w:rFonts w:ascii="Times New Roman" w:hAnsi="Times New Roman" w:cs="Times New Roman"/>
        </w:rPr>
      </w:pPr>
      <w:r>
        <w:rPr>
          <w:rFonts w:ascii="Times New Roman" w:hAnsi="Times New Roman" w:cs="Times New Roman"/>
        </w:rPr>
        <w:t>W</w:t>
      </w:r>
      <w:r w:rsidR="00587DC4" w:rsidRPr="00E84859">
        <w:rPr>
          <w:rFonts w:ascii="Times New Roman" w:hAnsi="Times New Roman" w:cs="Times New Roman"/>
        </w:rPr>
        <w:t xml:space="preserve">e have to recognise that poverty is a matter of human rights, and that human rights are in turn, a matter of law. And to get to that point, we have to recognise that socio-economic rights </w:t>
      </w:r>
      <w:r w:rsidR="00587DC4" w:rsidRPr="00E84859">
        <w:rPr>
          <w:rFonts w:ascii="Times New Roman" w:hAnsi="Times New Roman" w:cs="Times New Roman"/>
        </w:rPr>
        <w:lastRenderedPageBreak/>
        <w:t>are legal rights, and not treat them as the grubby poor cousin of lofty ‘true’ legal rights. But to get there we have a difficult starting point.</w:t>
      </w:r>
      <w:r>
        <w:rPr>
          <w:rFonts w:ascii="Times New Roman" w:hAnsi="Times New Roman" w:cs="Times New Roman"/>
        </w:rPr>
        <w:t xml:space="preserve"> Section </w:t>
      </w:r>
      <w:r w:rsidR="004F18BF">
        <w:rPr>
          <w:rFonts w:ascii="Times New Roman" w:hAnsi="Times New Roman" w:cs="Times New Roman"/>
        </w:rPr>
        <w:t>5</w:t>
      </w:r>
      <w:r>
        <w:rPr>
          <w:rFonts w:ascii="Times New Roman" w:hAnsi="Times New Roman" w:cs="Times New Roman"/>
        </w:rPr>
        <w:t xml:space="preserve"> </w:t>
      </w:r>
      <w:r w:rsidR="00512D94">
        <w:rPr>
          <w:rFonts w:ascii="Times New Roman" w:hAnsi="Times New Roman" w:cs="Times New Roman"/>
        </w:rPr>
        <w:t xml:space="preserve">of this article </w:t>
      </w:r>
      <w:r>
        <w:rPr>
          <w:rFonts w:ascii="Times New Roman" w:hAnsi="Times New Roman" w:cs="Times New Roman"/>
        </w:rPr>
        <w:t>argues that w</w:t>
      </w:r>
      <w:r w:rsidR="00587DC4" w:rsidRPr="00E84859">
        <w:rPr>
          <w:rFonts w:ascii="Times New Roman" w:hAnsi="Times New Roman" w:cs="Times New Roman"/>
        </w:rPr>
        <w:t xml:space="preserve">e need to bring different </w:t>
      </w:r>
      <w:r w:rsidR="006A0779" w:rsidRPr="00E84859">
        <w:rPr>
          <w:rFonts w:ascii="Times New Roman" w:hAnsi="Times New Roman" w:cs="Times New Roman"/>
        </w:rPr>
        <w:t>perspectives</w:t>
      </w:r>
      <w:r w:rsidR="00587DC4" w:rsidRPr="00E84859">
        <w:rPr>
          <w:rFonts w:ascii="Times New Roman" w:hAnsi="Times New Roman" w:cs="Times New Roman"/>
        </w:rPr>
        <w:t xml:space="preserve"> to </w:t>
      </w:r>
      <w:r w:rsidR="006A0779" w:rsidRPr="00E84859">
        <w:rPr>
          <w:rFonts w:ascii="Times New Roman" w:hAnsi="Times New Roman" w:cs="Times New Roman"/>
        </w:rPr>
        <w:t xml:space="preserve">the bench – perspectives that bring with them more humility and more empathy. </w:t>
      </w:r>
      <w:r w:rsidRPr="00E84859">
        <w:rPr>
          <w:rFonts w:ascii="Times New Roman" w:hAnsi="Times New Roman" w:cs="Times New Roman"/>
        </w:rPr>
        <w:t xml:space="preserve">We need greater diversity of experience and of expertise if we are going to </w:t>
      </w:r>
      <w:r w:rsidR="007828C2">
        <w:rPr>
          <w:rFonts w:ascii="Times New Roman" w:hAnsi="Times New Roman" w:cs="Times New Roman"/>
        </w:rPr>
        <w:t xml:space="preserve">protect equality-based rights in social security law. </w:t>
      </w:r>
    </w:p>
    <w:p w14:paraId="5D617575" w14:textId="77777777" w:rsidR="00352D97" w:rsidRDefault="00352D97" w:rsidP="00123C13">
      <w:pPr>
        <w:spacing w:after="120"/>
        <w:jc w:val="both"/>
        <w:rPr>
          <w:rFonts w:ascii="Times New Roman" w:hAnsi="Times New Roman" w:cs="Times New Roman"/>
        </w:rPr>
      </w:pPr>
    </w:p>
    <w:p w14:paraId="5E0043B4" w14:textId="2E0C6BC9" w:rsidR="00606EB7" w:rsidRDefault="00000000" w:rsidP="00123C13">
      <w:pPr>
        <w:spacing w:after="120"/>
        <w:jc w:val="both"/>
        <w:rPr>
          <w:rFonts w:ascii="Times New Roman" w:hAnsi="Times New Roman" w:cs="Times New Roman"/>
        </w:rPr>
      </w:pPr>
      <w:r>
        <w:rPr>
          <w:rFonts w:ascii="Times New Roman" w:hAnsi="Times New Roman" w:cs="Times New Roman"/>
        </w:rPr>
        <w:t>2</w:t>
      </w:r>
      <w:r w:rsidR="004F18BF" w:rsidRPr="00E84859">
        <w:rPr>
          <w:rFonts w:ascii="Times New Roman" w:hAnsi="Times New Roman" w:cs="Times New Roman"/>
        </w:rPr>
        <w:t xml:space="preserve">. </w:t>
      </w:r>
      <w:r w:rsidR="00890177">
        <w:rPr>
          <w:rFonts w:ascii="Times New Roman" w:hAnsi="Times New Roman" w:cs="Times New Roman"/>
        </w:rPr>
        <w:t>The professional deficit on the current Supreme Court</w:t>
      </w:r>
    </w:p>
    <w:p w14:paraId="6AA15E10" w14:textId="0C940AEB" w:rsidR="004F18BF" w:rsidRDefault="00000000" w:rsidP="00123C13">
      <w:pPr>
        <w:spacing w:after="120"/>
        <w:jc w:val="both"/>
        <w:rPr>
          <w:rFonts w:ascii="Times New Roman" w:hAnsi="Times New Roman" w:cs="Times New Roman"/>
        </w:rPr>
      </w:pPr>
      <w:r>
        <w:rPr>
          <w:rFonts w:ascii="Times New Roman" w:hAnsi="Times New Roman" w:cs="Times New Roman"/>
        </w:rPr>
        <w:t>In spite of occupying a large part of the legal proceedings in England and Wales, social security law is not taught as part of a standard law degree or course;</w:t>
      </w:r>
      <w:r>
        <w:rPr>
          <w:rStyle w:val="FootnoteReference"/>
          <w:rFonts w:ascii="Times New Roman" w:hAnsi="Times New Roman" w:cs="Times New Roman"/>
        </w:rPr>
        <w:footnoteReference w:id="20"/>
      </w:r>
      <w:r>
        <w:rPr>
          <w:rFonts w:ascii="Times New Roman" w:hAnsi="Times New Roman" w:cs="Times New Roman"/>
        </w:rPr>
        <w:t xml:space="preserve"> it is excluded from many lawyers’ legal horizons from the start. But that professional distance is perpetuated for the lawyers who become Supreme Court justices. Social security law is treated as something that they can pick up as they go along. The biographical summaries give a flavour of the justices’ experiences,</w:t>
      </w:r>
      <w:r>
        <w:rPr>
          <w:rStyle w:val="FootnoteReference"/>
          <w:rFonts w:ascii="Times New Roman" w:hAnsi="Times New Roman" w:cs="Times New Roman"/>
        </w:rPr>
        <w:footnoteReference w:id="21"/>
      </w:r>
      <w:r>
        <w:rPr>
          <w:rFonts w:ascii="Times New Roman" w:hAnsi="Times New Roman" w:cs="Times New Roman"/>
        </w:rPr>
        <w:t xml:space="preserve"> but to find out about the experiences of the current</w:t>
      </w:r>
      <w:r w:rsidR="006918F2">
        <w:rPr>
          <w:rFonts w:ascii="Times New Roman" w:hAnsi="Times New Roman" w:cs="Times New Roman"/>
        </w:rPr>
        <w:t xml:space="preserve"> (as of January 2025)</w:t>
      </w:r>
      <w:r>
        <w:rPr>
          <w:rFonts w:ascii="Times New Roman" w:hAnsi="Times New Roman" w:cs="Times New Roman"/>
        </w:rPr>
        <w:t xml:space="preserve"> Supreme Court justices</w:t>
      </w:r>
      <w:r w:rsidR="007468DB">
        <w:rPr>
          <w:rStyle w:val="FootnoteReference"/>
          <w:rFonts w:ascii="Times New Roman" w:hAnsi="Times New Roman" w:cs="Times New Roman"/>
        </w:rPr>
        <w:footnoteReference w:id="22"/>
      </w:r>
      <w:r>
        <w:rPr>
          <w:rFonts w:ascii="Times New Roman" w:hAnsi="Times New Roman" w:cs="Times New Roman"/>
        </w:rPr>
        <w:t xml:space="preserve"> when they were in practice, I searched Westlaw for all reported cases in which each were listed as a legal representative,</w:t>
      </w:r>
      <w:r>
        <w:rPr>
          <w:rFonts w:ascii="Times New Roman" w:hAnsi="Times New Roman" w:cs="Times New Roman"/>
          <w:vertAlign w:val="superscript"/>
        </w:rPr>
        <w:footnoteReference w:id="23"/>
      </w:r>
      <w:r w:rsidRPr="00EA418A">
        <w:rPr>
          <w:rFonts w:ascii="Times New Roman" w:hAnsi="Times New Roman" w:cs="Times New Roman"/>
        </w:rPr>
        <w:t xml:space="preserve"> </w:t>
      </w:r>
      <w:r>
        <w:rPr>
          <w:rFonts w:ascii="Times New Roman" w:hAnsi="Times New Roman" w:cs="Times New Roman"/>
        </w:rPr>
        <w:t xml:space="preserve"> using their surnames and dates of practice, </w:t>
      </w:r>
      <w:r w:rsidR="00512D94">
        <w:rPr>
          <w:rFonts w:ascii="Times New Roman" w:hAnsi="Times New Roman" w:cs="Times New Roman"/>
        </w:rPr>
        <w:t xml:space="preserve">and </w:t>
      </w:r>
      <w:r>
        <w:rPr>
          <w:rFonts w:ascii="Times New Roman" w:hAnsi="Times New Roman" w:cs="Times New Roman"/>
        </w:rPr>
        <w:t>then trawled through the results eliminating those with inapplicable first names/initials, or cases where the surname appeared as part of a name of a solicitors’ organisation.</w:t>
      </w:r>
      <w:r>
        <w:rPr>
          <w:rStyle w:val="FootnoteReference"/>
          <w:rFonts w:ascii="Times New Roman" w:hAnsi="Times New Roman" w:cs="Times New Roman"/>
        </w:rPr>
        <w:footnoteReference w:id="24"/>
      </w:r>
      <w:r>
        <w:rPr>
          <w:rFonts w:ascii="Times New Roman" w:hAnsi="Times New Roman" w:cs="Times New Roman"/>
        </w:rPr>
        <w:t xml:space="preserve"> This was to ensure that cases where the legal representative is not listed with any initials were included, which </w:t>
      </w:r>
      <w:r w:rsidRPr="00E36BE0">
        <w:rPr>
          <w:rFonts w:ascii="Times New Roman" w:hAnsi="Times New Roman" w:cs="Times New Roman"/>
        </w:rPr>
        <w:t>results in a potentially overinclusive lis</w:t>
      </w:r>
      <w:r>
        <w:rPr>
          <w:rFonts w:ascii="Times New Roman" w:hAnsi="Times New Roman" w:cs="Times New Roman"/>
        </w:rPr>
        <w:t xml:space="preserve">t but </w:t>
      </w:r>
      <w:r w:rsidRPr="00BD2E5F">
        <w:rPr>
          <w:rFonts w:ascii="Times New Roman" w:hAnsi="Times New Roman" w:cs="Times New Roman"/>
        </w:rPr>
        <w:t xml:space="preserve">was especially necessary for those who practised in Scotland, where a large number of the case reports list barristers only by surname. </w:t>
      </w:r>
    </w:p>
    <w:p w14:paraId="3244B0C5" w14:textId="0B4C83BA" w:rsidR="004F18BF" w:rsidRDefault="00000000" w:rsidP="00123C13">
      <w:pPr>
        <w:spacing w:after="120"/>
        <w:jc w:val="both"/>
        <w:rPr>
          <w:rFonts w:ascii="Times New Roman" w:hAnsi="Times New Roman" w:cs="Times New Roman"/>
        </w:rPr>
      </w:pPr>
      <w:r>
        <w:rPr>
          <w:rFonts w:ascii="Times New Roman" w:hAnsi="Times New Roman" w:cs="Times New Roman"/>
        </w:rPr>
        <w:t>I then referred to the case categorisation used on that database as a guideline for finding social security cases. “Social security benefits” and “social security administration” are available classifications, as a subset of “Health and Social Welfare”. I checked any case listed as a social security case to ensure it really was one, (excluding the occasional erroneous listing),</w:t>
      </w:r>
      <w:r>
        <w:rPr>
          <w:rStyle w:val="FootnoteReference"/>
          <w:rFonts w:ascii="Times New Roman" w:hAnsi="Times New Roman" w:cs="Times New Roman"/>
        </w:rPr>
        <w:footnoteReference w:id="25"/>
      </w:r>
      <w:r>
        <w:rPr>
          <w:rFonts w:ascii="Times New Roman" w:hAnsi="Times New Roman" w:cs="Times New Roman"/>
        </w:rPr>
        <w:t xml:space="preserve"> and then checked any case listed under the broader heading of Health and Social Welfare to catch any possible extra social security cases. Each case can be tagged in multiple categories, so searching for those categories should not exclude cases with additional designations. However, to make the results as inclusive as possible, I checked each case tagged as a ‘public and constitutional law’, and ‘equality and human rights law’ case (and any listed as ‘unclassified’) to check social security cases were not missed, which did slightly increase the number assigned to </w:t>
      </w:r>
      <w:r w:rsidR="002D1E59">
        <w:rPr>
          <w:rFonts w:ascii="Times New Roman" w:hAnsi="Times New Roman" w:cs="Times New Roman"/>
        </w:rPr>
        <w:t xml:space="preserve">Lord </w:t>
      </w:r>
      <w:r>
        <w:rPr>
          <w:rFonts w:ascii="Times New Roman" w:hAnsi="Times New Roman" w:cs="Times New Roman"/>
        </w:rPr>
        <w:t xml:space="preserve">Philip Sales. This is by no means an exhaustive account; despite my efforts to mitigate erroneous case tagging, I might have missed mis-tagged cases, and the name searches may </w:t>
      </w:r>
      <w:r>
        <w:rPr>
          <w:rFonts w:ascii="Times New Roman" w:hAnsi="Times New Roman" w:cs="Times New Roman"/>
        </w:rPr>
        <w:lastRenderedPageBreak/>
        <w:t xml:space="preserve">have been overinclusive (should different lawyers share the same name) or underinclusive (of different variations names not accounted for in the search methods). And it does not take account of unreported cases, and/or representation that did not lead to hearings. But the analysis is a useful yardstick, indicative of the justices’ previous practices. </w:t>
      </w:r>
      <w:r w:rsidR="00B926B6">
        <w:rPr>
          <w:rFonts w:ascii="Times New Roman" w:hAnsi="Times New Roman" w:cs="Times New Roman"/>
        </w:rPr>
        <w:t>The categorisation is displayed in figure 1 below.</w:t>
      </w:r>
    </w:p>
    <w:p w14:paraId="262C0BC4" w14:textId="05E88075" w:rsidR="00645F74" w:rsidRDefault="006123A3" w:rsidP="00123C13">
      <w:pPr>
        <w:spacing w:after="120"/>
        <w:jc w:val="both"/>
        <w:rPr>
          <w:rFonts w:ascii="Times New Roman" w:hAnsi="Times New Roman" w:cs="Times New Roman"/>
        </w:rPr>
      </w:pPr>
      <w:r>
        <w:rPr>
          <w:noProof/>
        </w:rPr>
        <w:drawing>
          <wp:inline distT="0" distB="0" distL="0" distR="0" wp14:anchorId="4394B1B7" wp14:editId="27E76CBF">
            <wp:extent cx="6434455" cy="7509934"/>
            <wp:effectExtent l="0" t="0" r="17145" b="8890"/>
            <wp:docPr id="528137418" name="Chart 1">
              <a:extLst xmlns:a="http://schemas.openxmlformats.org/drawingml/2006/main">
                <a:ext uri="{FF2B5EF4-FFF2-40B4-BE49-F238E27FC236}">
                  <a16:creationId xmlns:a16="http://schemas.microsoft.com/office/drawing/2014/main" id="{45F4758C-532F-CC4C-EE36-4506B34956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2A1A4D0" w14:textId="0376E68E" w:rsidR="00C43AEE" w:rsidRDefault="00C43AEE" w:rsidP="00123C13">
      <w:pPr>
        <w:spacing w:after="120"/>
        <w:jc w:val="both"/>
        <w:rPr>
          <w:rFonts w:ascii="Times New Roman" w:hAnsi="Times New Roman" w:cs="Times New Roman"/>
        </w:rPr>
      </w:pPr>
    </w:p>
    <w:p w14:paraId="6BFCB8CB" w14:textId="77777777" w:rsidR="00645F74" w:rsidRDefault="00645F74" w:rsidP="00123C13">
      <w:pPr>
        <w:spacing w:after="120"/>
        <w:jc w:val="both"/>
        <w:rPr>
          <w:rFonts w:ascii="Times New Roman" w:hAnsi="Times New Roman" w:cs="Times New Roman"/>
        </w:rPr>
      </w:pPr>
    </w:p>
    <w:p w14:paraId="3F0C3663" w14:textId="2EA8168F" w:rsidR="004F18BF" w:rsidRDefault="00000000" w:rsidP="00123C13">
      <w:pPr>
        <w:spacing w:after="120"/>
        <w:jc w:val="both"/>
        <w:rPr>
          <w:rFonts w:ascii="Times New Roman" w:hAnsi="Times New Roman" w:cs="Times New Roman"/>
        </w:rPr>
      </w:pPr>
      <w:r>
        <w:rPr>
          <w:rFonts w:ascii="Times New Roman" w:hAnsi="Times New Roman" w:cs="Times New Roman"/>
        </w:rPr>
        <w:t>Robert Reed’s judicial experience includes being “Principal Commercial Judge” in the Scottish Outer House Court of Session. The list of reported cases in which he appears to be listed as a representative (</w:t>
      </w:r>
      <w:r w:rsidR="00512D94">
        <w:rPr>
          <w:rFonts w:ascii="Times New Roman" w:hAnsi="Times New Roman" w:cs="Times New Roman"/>
        </w:rPr>
        <w:t>n=</w:t>
      </w:r>
      <w:r>
        <w:rPr>
          <w:rFonts w:ascii="Times New Roman" w:hAnsi="Times New Roman" w:cs="Times New Roman"/>
        </w:rPr>
        <w:t xml:space="preserve">131) does not include social security cases. Two cases are tagged as health and social welfare, and are about health care and child abuse. Patrick Hodge’s subject-specific judicial experience includes being </w:t>
      </w:r>
      <w:r w:rsidRPr="00A8792E">
        <w:rPr>
          <w:rFonts w:ascii="Times New Roman" w:hAnsi="Times New Roman" w:cs="Times New Roman"/>
        </w:rPr>
        <w:t>Commercial Judge and the Scottish Judge in Exchequer Cause</w:t>
      </w:r>
      <w:r>
        <w:rPr>
          <w:rFonts w:ascii="Times New Roman" w:hAnsi="Times New Roman" w:cs="Times New Roman"/>
        </w:rPr>
        <w:t>; a</w:t>
      </w:r>
      <w:r w:rsidRPr="00A8792E">
        <w:rPr>
          <w:rFonts w:ascii="Times New Roman" w:hAnsi="Times New Roman" w:cs="Times New Roman"/>
        </w:rPr>
        <w:t xml:space="preserve"> Scottish Intellectual Property Judge and a Judge in the Lands Valuation Appeal Court.</w:t>
      </w:r>
      <w:r>
        <w:rPr>
          <w:rFonts w:ascii="Times New Roman" w:hAnsi="Times New Roman" w:cs="Times New Roman"/>
        </w:rPr>
        <w:t xml:space="preserve"> The reported cases in which he acted as legal representative do not include social security cases. They include seven cases classed as health and social welfare cases – six on healthcare, one on nursing accommodation. </w:t>
      </w:r>
    </w:p>
    <w:p w14:paraId="5FC25CD5" w14:textId="36281098" w:rsidR="004F18BF" w:rsidRDefault="00000000" w:rsidP="00123C13">
      <w:pPr>
        <w:spacing w:after="120"/>
        <w:jc w:val="both"/>
        <w:rPr>
          <w:rFonts w:ascii="Times New Roman" w:hAnsi="Times New Roman" w:cs="Times New Roman"/>
        </w:rPr>
      </w:pPr>
      <w:r>
        <w:rPr>
          <w:rFonts w:ascii="Times New Roman" w:hAnsi="Times New Roman" w:cs="Times New Roman"/>
        </w:rPr>
        <w:t xml:space="preserve">The Supreme Court website tells us that David Lloyd Jones’s practice included international law, EU law and public law. None of the reported cases in which he appears to have acted are classified as social security cases. The six listed health and social welfare cases were all health care cases. Michael Briggs practised in commercial and chancery work, and was </w:t>
      </w:r>
      <w:r w:rsidRPr="00B15E1C">
        <w:rPr>
          <w:rFonts w:ascii="Times New Roman" w:hAnsi="Times New Roman" w:cs="Times New Roman"/>
        </w:rPr>
        <w:t>in charge of the Chancery Modernisation Review</w:t>
      </w:r>
      <w:r>
        <w:rPr>
          <w:rFonts w:ascii="Times New Roman" w:hAnsi="Times New Roman" w:cs="Times New Roman"/>
        </w:rPr>
        <w:t xml:space="preserve">. The reported cases in which he acted include four hearings tagged as health and social welfare cases, one on breach of contract in the pharmaceutical industry, three on terms of employment of medical professionals. The list does not include any social security cases. It includes three cases listed as public and constitutional law, one on trust property on the British Virgin Islands, one on GP contractual rights, and one on a confidentiality agreement and London Regional Transport. </w:t>
      </w:r>
    </w:p>
    <w:p w14:paraId="73C3647E" w14:textId="7CAE2C3A" w:rsidR="004F18BF" w:rsidRDefault="00000000" w:rsidP="00123C13">
      <w:pPr>
        <w:spacing w:after="120"/>
        <w:jc w:val="both"/>
        <w:rPr>
          <w:rFonts w:ascii="Times New Roman" w:hAnsi="Times New Roman" w:cs="Times New Roman"/>
        </w:rPr>
      </w:pPr>
      <w:r>
        <w:rPr>
          <w:rFonts w:ascii="Times New Roman" w:hAnsi="Times New Roman" w:cs="Times New Roman"/>
        </w:rPr>
        <w:t xml:space="preserve">Of all the judges, it is unsurprising that the one with the largest, and most varied, portfolio of reported cases as a practitioner </w:t>
      </w:r>
      <w:r w:rsidR="00606EB7">
        <w:rPr>
          <w:rFonts w:ascii="Times New Roman" w:hAnsi="Times New Roman" w:cs="Times New Roman"/>
        </w:rPr>
        <w:t>wa</w:t>
      </w:r>
      <w:r>
        <w:rPr>
          <w:rFonts w:ascii="Times New Roman" w:hAnsi="Times New Roman" w:cs="Times New Roman"/>
        </w:rPr>
        <w:t>s Philip Sales, as he was First Treasury Counsel before being appointed to the High Court. Of the 304 reported cases/hearings in which he appears to have acted, ten hearings involved social security benefits.</w:t>
      </w:r>
      <w:r>
        <w:rPr>
          <w:rStyle w:val="FootnoteReference"/>
          <w:rFonts w:ascii="Times New Roman" w:hAnsi="Times New Roman" w:cs="Times New Roman"/>
        </w:rPr>
        <w:footnoteReference w:id="26"/>
      </w:r>
      <w:r>
        <w:rPr>
          <w:rFonts w:ascii="Times New Roman" w:hAnsi="Times New Roman" w:cs="Times New Roman"/>
        </w:rPr>
        <w:t xml:space="preserve"> In each one he acted for the government. Nicholas Hamblen practised at the commercial bar, and was a nominated Commercial Court Judge. His reported cases do not include any social security, health and social welfare, equality and human rights or public and constitutional law cases. George Leggatt specialised “mainly in commercial cases” before becoming a judge.</w:t>
      </w:r>
      <w:r>
        <w:rPr>
          <w:rStyle w:val="FootnoteReference"/>
          <w:rFonts w:ascii="Times New Roman" w:hAnsi="Times New Roman" w:cs="Times New Roman"/>
        </w:rPr>
        <w:footnoteReference w:id="27"/>
      </w:r>
      <w:r>
        <w:rPr>
          <w:rFonts w:ascii="Times New Roman" w:hAnsi="Times New Roman" w:cs="Times New Roman"/>
        </w:rPr>
        <w:t xml:space="preserve"> Of the 104 reported cases/hearings in which he acted, none are social security cases. Three are designated health and social welfare cases – about a personal injury action against a pharmaceutical company; product liability for pharmaceuticals, and one about liability for schools in cases of abuse.  Andrew Burrows has “</w:t>
      </w:r>
      <w:r w:rsidRPr="008C4EB1">
        <w:rPr>
          <w:rFonts w:ascii="Times New Roman" w:hAnsi="Times New Roman" w:cs="Times New Roman"/>
        </w:rPr>
        <w:t>written many books and articles especially on contract, tort, unjust enrichment, and statute law</w:t>
      </w:r>
      <w:r>
        <w:rPr>
          <w:rFonts w:ascii="Times New Roman" w:hAnsi="Times New Roman" w:cs="Times New Roman"/>
        </w:rPr>
        <w:t>”</w:t>
      </w:r>
      <w:r w:rsidRPr="008C4EB1">
        <w:rPr>
          <w:rFonts w:ascii="Times New Roman" w:hAnsi="Times New Roman" w:cs="Times New Roman"/>
        </w:rPr>
        <w:t>.</w:t>
      </w:r>
      <w:r>
        <w:rPr>
          <w:rStyle w:val="FootnoteReference"/>
          <w:rFonts w:ascii="Times New Roman" w:hAnsi="Times New Roman" w:cs="Times New Roman"/>
        </w:rPr>
        <w:footnoteReference w:id="28"/>
      </w:r>
      <w:r>
        <w:rPr>
          <w:rFonts w:ascii="Times New Roman" w:hAnsi="Times New Roman" w:cs="Times New Roman"/>
        </w:rPr>
        <w:t xml:space="preserve"> Burrows had not acted in any social security, health and social welfare or equality and</w:t>
      </w:r>
      <w:r w:rsidR="00B926B6">
        <w:rPr>
          <w:rFonts w:ascii="Times New Roman" w:hAnsi="Times New Roman" w:cs="Times New Roman"/>
        </w:rPr>
        <w:t xml:space="preserve"> </w:t>
      </w:r>
      <w:r>
        <w:rPr>
          <w:rFonts w:ascii="Times New Roman" w:hAnsi="Times New Roman" w:cs="Times New Roman"/>
        </w:rPr>
        <w:t>human rights cases. The one case listed as public and constitutional law is about corporation tax.</w:t>
      </w:r>
      <w:r>
        <w:rPr>
          <w:rStyle w:val="FootnoteReference"/>
          <w:rFonts w:ascii="Times New Roman" w:hAnsi="Times New Roman" w:cs="Times New Roman"/>
        </w:rPr>
        <w:footnoteReference w:id="29"/>
      </w:r>
      <w:r>
        <w:rPr>
          <w:rFonts w:ascii="Times New Roman" w:hAnsi="Times New Roman" w:cs="Times New Roman"/>
        </w:rPr>
        <w:t xml:space="preserve"> </w:t>
      </w:r>
    </w:p>
    <w:p w14:paraId="7053E19E" w14:textId="3877F26D" w:rsidR="004F18BF" w:rsidRDefault="00000000" w:rsidP="00123C13">
      <w:pPr>
        <w:spacing w:after="120"/>
        <w:jc w:val="both"/>
        <w:rPr>
          <w:rFonts w:ascii="Times New Roman" w:hAnsi="Times New Roman" w:cs="Times New Roman"/>
        </w:rPr>
      </w:pPr>
      <w:r>
        <w:rPr>
          <w:rFonts w:ascii="Times New Roman" w:hAnsi="Times New Roman" w:cs="Times New Roman"/>
        </w:rPr>
        <w:lastRenderedPageBreak/>
        <w:t>It is slightly harder work to discover cases in which Ben Stephens acted, and it may be that Westlaw is insufficiently inclusive of Northern Ireland tribunals and lower courts. Of the reported cases/hearings identified, none were about social security, health and social welfare, equality and human rights, or public and constitutional law. Dame Vivien Rose’s judicial experience includes being a</w:t>
      </w:r>
      <w:r w:rsidRPr="007D14D1">
        <w:rPr>
          <w:rFonts w:ascii="Times New Roman" w:hAnsi="Times New Roman" w:cs="Times New Roman"/>
        </w:rPr>
        <w:t xml:space="preserve"> High Court Judge in the Chancery Division</w:t>
      </w:r>
      <w:r>
        <w:rPr>
          <w:rFonts w:ascii="Times New Roman" w:hAnsi="Times New Roman" w:cs="Times New Roman"/>
        </w:rPr>
        <w:t xml:space="preserve">; </w:t>
      </w:r>
      <w:r w:rsidRPr="007D14D1">
        <w:rPr>
          <w:rFonts w:ascii="Times New Roman" w:hAnsi="Times New Roman" w:cs="Times New Roman"/>
        </w:rPr>
        <w:t>President of the Upper Tribunal (Tax and Chancery Chamber)</w:t>
      </w:r>
      <w:r>
        <w:rPr>
          <w:rFonts w:ascii="Times New Roman" w:hAnsi="Times New Roman" w:cs="Times New Roman"/>
        </w:rPr>
        <w:t xml:space="preserve">; and </w:t>
      </w:r>
      <w:r w:rsidR="00512D94">
        <w:rPr>
          <w:rFonts w:ascii="Times New Roman" w:hAnsi="Times New Roman" w:cs="Times New Roman"/>
        </w:rPr>
        <w:t xml:space="preserve">she </w:t>
      </w:r>
      <w:r>
        <w:rPr>
          <w:rFonts w:ascii="Times New Roman" w:hAnsi="Times New Roman" w:cs="Times New Roman"/>
        </w:rPr>
        <w:t xml:space="preserve">was </w:t>
      </w:r>
      <w:r w:rsidRPr="007D14D1">
        <w:rPr>
          <w:rFonts w:ascii="Times New Roman" w:hAnsi="Times New Roman" w:cs="Times New Roman"/>
        </w:rPr>
        <w:t>a nominated judge of the Financial Lis</w:t>
      </w:r>
      <w:r>
        <w:rPr>
          <w:rFonts w:ascii="Times New Roman" w:hAnsi="Times New Roman" w:cs="Times New Roman"/>
        </w:rPr>
        <w:t xml:space="preserve">t. Of the reported cases in which she is listed as a legal representative, one was described as on health and social welfare but was an intellectual property case. None of the cases involved social security, or equality and human rights, or public and constitutional law. David Richards was a </w:t>
      </w:r>
      <w:r w:rsidRPr="00625C2B">
        <w:rPr>
          <w:rFonts w:ascii="Times New Roman" w:hAnsi="Times New Roman" w:cs="Times New Roman"/>
        </w:rPr>
        <w:t>High Court Judge (Chancery Division</w:t>
      </w:r>
      <w:r>
        <w:rPr>
          <w:rFonts w:ascii="Times New Roman" w:hAnsi="Times New Roman" w:cs="Times New Roman"/>
        </w:rPr>
        <w:t>),</w:t>
      </w:r>
      <w:r w:rsidRPr="00625C2B">
        <w:rPr>
          <w:rFonts w:ascii="Times New Roman" w:hAnsi="Times New Roman" w:cs="Times New Roman"/>
        </w:rPr>
        <w:t xml:space="preserve"> a chairman of the Competition Appeal Tribunal in 2004 and chairman of the Insolvency Rules Committee</w:t>
      </w:r>
      <w:r>
        <w:rPr>
          <w:rFonts w:ascii="Times New Roman" w:hAnsi="Times New Roman" w:cs="Times New Roman"/>
        </w:rPr>
        <w:t>. The reported cases in which he acted include no social security cases, equality and human rights or public and constitutional law cases. Ingrid Simler is the only judge other than Philip Sales to have acted in a single reported social security benefits case (also for the government) – a statutory sick pay case;</w:t>
      </w:r>
      <w:r>
        <w:rPr>
          <w:rFonts w:ascii="Times New Roman" w:hAnsi="Times New Roman" w:cs="Times New Roman"/>
          <w:vertAlign w:val="superscript"/>
        </w:rPr>
        <w:footnoteReference w:id="30"/>
      </w:r>
      <w:r>
        <w:rPr>
          <w:rFonts w:ascii="Times New Roman" w:hAnsi="Times New Roman" w:cs="Times New Roman"/>
        </w:rPr>
        <w:t xml:space="preserve"> however, SSP is a payment made </w:t>
      </w:r>
      <w:r>
        <w:rPr>
          <w:rFonts w:ascii="Times New Roman" w:hAnsi="Times New Roman" w:cs="Times New Roman"/>
          <w:i/>
          <w:iCs/>
        </w:rPr>
        <w:t xml:space="preserve">by </w:t>
      </w:r>
      <w:r w:rsidRPr="00582CBA">
        <w:rPr>
          <w:rFonts w:ascii="Times New Roman" w:hAnsi="Times New Roman" w:cs="Times New Roman"/>
          <w:i/>
          <w:iCs/>
        </w:rPr>
        <w:t>employers</w:t>
      </w:r>
      <w:r>
        <w:rPr>
          <w:rFonts w:ascii="Times New Roman" w:hAnsi="Times New Roman" w:cs="Times New Roman"/>
        </w:rPr>
        <w:t xml:space="preserve">, not the State. She has not acted in any other social security cases. </w:t>
      </w:r>
    </w:p>
    <w:p w14:paraId="1B71D47F" w14:textId="36FD796E" w:rsidR="00DA49B7" w:rsidRDefault="00000000" w:rsidP="00F16915">
      <w:pPr>
        <w:spacing w:after="120"/>
        <w:jc w:val="both"/>
        <w:rPr>
          <w:rFonts w:ascii="Times New Roman" w:hAnsi="Times New Roman" w:cs="Times New Roman"/>
        </w:rPr>
      </w:pPr>
      <w:r>
        <w:rPr>
          <w:rFonts w:ascii="Times New Roman" w:hAnsi="Times New Roman" w:cs="Times New Roman"/>
        </w:rPr>
        <w:t xml:space="preserve">So where does all of this leave us? Of the 1213 reported cases in which a current Supreme Court justice appears to have acted as a legal representative, 10 involved some aspect of social security, and only 9 involve social security benefits paid by the State. Each one of those 9 hearings was one of Philip Sales’s cases as Treasury Counsel. Not one of the justices of the Supreme Court has ever acted in a reported social security case </w:t>
      </w:r>
      <w:r>
        <w:rPr>
          <w:rFonts w:ascii="Times New Roman" w:hAnsi="Times New Roman" w:cs="Times New Roman"/>
          <w:i/>
          <w:iCs/>
        </w:rPr>
        <w:t xml:space="preserve">for </w:t>
      </w:r>
      <w:r>
        <w:rPr>
          <w:rFonts w:ascii="Times New Roman" w:hAnsi="Times New Roman" w:cs="Times New Roman"/>
        </w:rPr>
        <w:t xml:space="preserve">a claimant </w:t>
      </w:r>
      <w:r>
        <w:rPr>
          <w:rFonts w:ascii="Times New Roman" w:hAnsi="Times New Roman" w:cs="Times New Roman"/>
          <w:i/>
          <w:iCs/>
        </w:rPr>
        <w:t xml:space="preserve">against </w:t>
      </w:r>
      <w:r>
        <w:rPr>
          <w:rFonts w:ascii="Times New Roman" w:hAnsi="Times New Roman" w:cs="Times New Roman"/>
        </w:rPr>
        <w:t xml:space="preserve">the State. This is a significant experience and expertise gap. While the justice system requires its highest judges to be, to some extent, </w:t>
      </w:r>
      <w:r w:rsidR="00512D94">
        <w:rPr>
          <w:rFonts w:ascii="Times New Roman" w:hAnsi="Times New Roman" w:cs="Times New Roman"/>
        </w:rPr>
        <w:t>J</w:t>
      </w:r>
      <w:r>
        <w:rPr>
          <w:rFonts w:ascii="Times New Roman" w:hAnsi="Times New Roman" w:cs="Times New Roman"/>
        </w:rPr>
        <w:t xml:space="preserve">acks (and </w:t>
      </w:r>
      <w:r w:rsidR="00512D94">
        <w:rPr>
          <w:rFonts w:ascii="Times New Roman" w:hAnsi="Times New Roman" w:cs="Times New Roman"/>
        </w:rPr>
        <w:t>J</w:t>
      </w:r>
      <w:r>
        <w:rPr>
          <w:rFonts w:ascii="Times New Roman" w:hAnsi="Times New Roman" w:cs="Times New Roman"/>
        </w:rPr>
        <w:t xml:space="preserve">ills) of all trades, it is inescapable that they are drawn from a small pool of professional experience (a large amount of commercial and corporate work) – where they have good claim to be experts – and that the area of social security is </w:t>
      </w:r>
      <w:r w:rsidR="00606EB7">
        <w:rPr>
          <w:rFonts w:ascii="Times New Roman" w:hAnsi="Times New Roman" w:cs="Times New Roman"/>
        </w:rPr>
        <w:t xml:space="preserve">seriously </w:t>
      </w:r>
      <w:r>
        <w:rPr>
          <w:rFonts w:ascii="Times New Roman" w:hAnsi="Times New Roman" w:cs="Times New Roman"/>
        </w:rPr>
        <w:t>unrepresented among judicial backgrounds.</w:t>
      </w:r>
      <w:r w:rsidR="00B926B6">
        <w:rPr>
          <w:rFonts w:ascii="Times New Roman" w:hAnsi="Times New Roman" w:cs="Times New Roman"/>
        </w:rPr>
        <w:t xml:space="preserve"> </w:t>
      </w:r>
      <w:r w:rsidR="002743E9">
        <w:rPr>
          <w:rFonts w:ascii="Times New Roman" w:hAnsi="Times New Roman" w:cs="Times New Roman"/>
        </w:rPr>
        <w:t>Figure 2 shows how many judges have acted as representatives in each of the areas:</w:t>
      </w:r>
    </w:p>
    <w:p w14:paraId="49317081" w14:textId="77777777" w:rsidR="006563D1" w:rsidRDefault="006563D1" w:rsidP="00F16915">
      <w:pPr>
        <w:spacing w:after="120"/>
        <w:jc w:val="both"/>
        <w:rPr>
          <w:rFonts w:ascii="Times New Roman" w:hAnsi="Times New Roman" w:cs="Times New Roman"/>
        </w:rPr>
      </w:pPr>
    </w:p>
    <w:p w14:paraId="4524A5F1" w14:textId="6A7B0710" w:rsidR="006563D1" w:rsidRDefault="006563D1" w:rsidP="00F16915">
      <w:pPr>
        <w:spacing w:after="120"/>
        <w:jc w:val="both"/>
        <w:rPr>
          <w:rFonts w:ascii="Times New Roman" w:hAnsi="Times New Roman" w:cs="Times New Roman"/>
        </w:rPr>
      </w:pPr>
      <w:r>
        <w:rPr>
          <w:noProof/>
        </w:rPr>
        <w:lastRenderedPageBreak/>
        <w:drawing>
          <wp:inline distT="0" distB="0" distL="0" distR="0" wp14:anchorId="0CCAED32" wp14:editId="07C76E63">
            <wp:extent cx="5545667" cy="3649133"/>
            <wp:effectExtent l="0" t="0" r="17145" b="8890"/>
            <wp:docPr id="2087971458" name="Chart 1">
              <a:extLst xmlns:a="http://schemas.openxmlformats.org/drawingml/2006/main">
                <a:ext uri="{FF2B5EF4-FFF2-40B4-BE49-F238E27FC236}">
                  <a16:creationId xmlns:a16="http://schemas.microsoft.com/office/drawing/2014/main" id="{2F25AB0D-92AC-9588-6285-0102E6A31E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9C9232" w14:textId="77777777" w:rsidR="00B926B6" w:rsidRDefault="00B926B6" w:rsidP="00123C13">
      <w:pPr>
        <w:spacing w:after="120"/>
        <w:jc w:val="both"/>
        <w:rPr>
          <w:rFonts w:ascii="Times New Roman" w:hAnsi="Times New Roman" w:cs="Times New Roman"/>
        </w:rPr>
      </w:pPr>
    </w:p>
    <w:p w14:paraId="513CDD5F" w14:textId="6880580B" w:rsidR="004F18BF" w:rsidRDefault="004A49E6" w:rsidP="00123C13">
      <w:pPr>
        <w:spacing w:after="120"/>
        <w:jc w:val="both"/>
        <w:rPr>
          <w:rFonts w:ascii="Times New Roman" w:hAnsi="Times New Roman" w:cs="Times New Roman"/>
          <w:lang w:val="en-US"/>
        </w:rPr>
      </w:pPr>
      <w:r>
        <w:rPr>
          <w:rFonts w:ascii="Times New Roman" w:hAnsi="Times New Roman" w:cs="Times New Roman"/>
        </w:rPr>
        <w:t xml:space="preserve">That almost no </w:t>
      </w:r>
      <w:r w:rsidR="00C13B02">
        <w:rPr>
          <w:rFonts w:ascii="Times New Roman" w:hAnsi="Times New Roman" w:cs="Times New Roman"/>
        </w:rPr>
        <w:t xml:space="preserve">current </w:t>
      </w:r>
      <w:r>
        <w:rPr>
          <w:rFonts w:ascii="Times New Roman" w:hAnsi="Times New Roman" w:cs="Times New Roman"/>
        </w:rPr>
        <w:t xml:space="preserve">Supreme Court judges have practiced in social security law </w:t>
      </w:r>
      <w:r w:rsidR="00C13B02">
        <w:rPr>
          <w:rFonts w:ascii="Times New Roman" w:hAnsi="Times New Roman" w:cs="Times New Roman"/>
        </w:rPr>
        <w:t xml:space="preserve">(or otherwise studied it), and none have represented claimants against the State, </w:t>
      </w:r>
      <w:r>
        <w:rPr>
          <w:rFonts w:ascii="Times New Roman" w:hAnsi="Times New Roman" w:cs="Times New Roman"/>
        </w:rPr>
        <w:t xml:space="preserve">presents </w:t>
      </w:r>
      <w:r w:rsidR="00C13B02">
        <w:rPr>
          <w:rFonts w:ascii="Times New Roman" w:hAnsi="Times New Roman" w:cs="Times New Roman"/>
        </w:rPr>
        <w:t xml:space="preserve">challenges which have not been hitherto acknowledged. It is not just a question of familiarity; is also problematic that, </w:t>
      </w:r>
      <w:r>
        <w:rPr>
          <w:rFonts w:ascii="Times New Roman" w:hAnsi="Times New Roman" w:cs="Times New Roman"/>
          <w:lang w:val="en-US"/>
        </w:rPr>
        <w:t xml:space="preserve">to the extent that the interests of those they have acted for are relevant, they are stacked up on one side. </w:t>
      </w:r>
      <w:r w:rsidR="001E104F">
        <w:rPr>
          <w:rFonts w:ascii="Times New Roman" w:hAnsi="Times New Roman" w:cs="Times New Roman"/>
          <w:lang w:val="en-US"/>
        </w:rPr>
        <w:t>Of course, in apex courts i</w:t>
      </w:r>
      <w:r w:rsidR="001E104F" w:rsidRPr="001E104F">
        <w:rPr>
          <w:rFonts w:ascii="Times New Roman" w:hAnsi="Times New Roman" w:cs="Times New Roman"/>
          <w:lang w:val="en-US"/>
        </w:rPr>
        <w:t>t is not possible to have all possible areas of law represented at all times</w:t>
      </w:r>
      <w:r w:rsidR="001E104F">
        <w:rPr>
          <w:rFonts w:ascii="Times New Roman" w:hAnsi="Times New Roman" w:cs="Times New Roman"/>
          <w:lang w:val="en-US"/>
        </w:rPr>
        <w:t xml:space="preserve">, and </w:t>
      </w:r>
      <w:proofErr w:type="spellStart"/>
      <w:r w:rsidR="0009178D">
        <w:rPr>
          <w:rFonts w:ascii="Times New Roman" w:hAnsi="Times New Roman" w:cs="Times New Roman"/>
          <w:lang w:val="en-US"/>
        </w:rPr>
        <w:t>Opeskin</w:t>
      </w:r>
      <w:proofErr w:type="spellEnd"/>
      <w:r w:rsidR="0009178D">
        <w:rPr>
          <w:rFonts w:ascii="Times New Roman" w:hAnsi="Times New Roman" w:cs="Times New Roman"/>
          <w:lang w:val="en-US"/>
        </w:rPr>
        <w:t xml:space="preserve"> argues for retaining strong elements of generalization in apex courts</w:t>
      </w:r>
      <w:r w:rsidR="001E104F" w:rsidRPr="001E104F">
        <w:rPr>
          <w:rFonts w:ascii="Times New Roman" w:hAnsi="Times New Roman" w:cs="Times New Roman"/>
          <w:lang w:val="en-US"/>
        </w:rPr>
        <w:t>.</w:t>
      </w:r>
      <w:r>
        <w:rPr>
          <w:rStyle w:val="FootnoteReference"/>
          <w:rFonts w:ascii="Times New Roman" w:hAnsi="Times New Roman" w:cs="Times New Roman"/>
          <w:lang w:val="en-US"/>
        </w:rPr>
        <w:footnoteReference w:id="31"/>
      </w:r>
      <w:r w:rsidR="001E104F" w:rsidRPr="001E104F">
        <w:rPr>
          <w:rFonts w:ascii="Times New Roman" w:hAnsi="Times New Roman" w:cs="Times New Roman"/>
          <w:lang w:val="en-US"/>
        </w:rPr>
        <w:t xml:space="preserve"> But that does not mean we should not give any thought to which </w:t>
      </w:r>
      <w:r w:rsidR="001E104F">
        <w:rPr>
          <w:rFonts w:ascii="Times New Roman" w:hAnsi="Times New Roman" w:cs="Times New Roman"/>
          <w:lang w:val="en-US"/>
        </w:rPr>
        <w:t xml:space="preserve">areas </w:t>
      </w:r>
      <w:r w:rsidR="001E104F" w:rsidRPr="001E104F">
        <w:rPr>
          <w:rFonts w:ascii="Times New Roman" w:hAnsi="Times New Roman" w:cs="Times New Roman"/>
          <w:lang w:val="en-US"/>
        </w:rPr>
        <w:t xml:space="preserve">are represented, </w:t>
      </w:r>
      <w:r w:rsidR="0009178D">
        <w:rPr>
          <w:rFonts w:ascii="Times New Roman" w:hAnsi="Times New Roman" w:cs="Times New Roman"/>
          <w:lang w:val="en-US"/>
        </w:rPr>
        <w:t xml:space="preserve">and whether we have a degree of inadvertent specialization as a result of </w:t>
      </w:r>
      <w:r w:rsidR="001E104F" w:rsidRPr="001E104F">
        <w:rPr>
          <w:rFonts w:ascii="Times New Roman" w:hAnsi="Times New Roman" w:cs="Times New Roman"/>
          <w:lang w:val="en-US"/>
        </w:rPr>
        <w:t>draw</w:t>
      </w:r>
      <w:r w:rsidR="0009178D">
        <w:rPr>
          <w:rFonts w:ascii="Times New Roman" w:hAnsi="Times New Roman" w:cs="Times New Roman"/>
          <w:lang w:val="en-US"/>
        </w:rPr>
        <w:t xml:space="preserve">ing </w:t>
      </w:r>
      <w:r w:rsidR="001E104F" w:rsidRPr="001E104F">
        <w:rPr>
          <w:rFonts w:ascii="Times New Roman" w:hAnsi="Times New Roman" w:cs="Times New Roman"/>
          <w:lang w:val="en-US"/>
        </w:rPr>
        <w:t>from such a narrow range of specialisms</w:t>
      </w:r>
      <w:r w:rsidR="006123A3">
        <w:rPr>
          <w:rFonts w:ascii="Times New Roman" w:hAnsi="Times New Roman" w:cs="Times New Roman"/>
          <w:lang w:val="en-US"/>
        </w:rPr>
        <w:t xml:space="preserve">, especially when there is a ready supply of social security specialists (both practical and academic) in the Upper Tribunal (Administrative Appeals Chamber).  </w:t>
      </w:r>
      <w:r w:rsidR="00DE4085">
        <w:rPr>
          <w:rFonts w:ascii="Times New Roman" w:hAnsi="Times New Roman" w:cs="Times New Roman"/>
          <w:lang w:val="en-US"/>
        </w:rPr>
        <w:t>Nor should it prevent us asking</w:t>
      </w:r>
      <w:r w:rsidR="001E104F" w:rsidRPr="001E104F">
        <w:rPr>
          <w:rFonts w:ascii="Times New Roman" w:hAnsi="Times New Roman" w:cs="Times New Roman"/>
          <w:lang w:val="en-US"/>
        </w:rPr>
        <w:t xml:space="preserve"> whether a branch of law that occupies such a vast swathe of litigation, and in which individual S</w:t>
      </w:r>
      <w:r w:rsidR="001E104F">
        <w:rPr>
          <w:rFonts w:ascii="Times New Roman" w:hAnsi="Times New Roman" w:cs="Times New Roman"/>
          <w:lang w:val="en-US"/>
        </w:rPr>
        <w:t>upreme Court</w:t>
      </w:r>
      <w:r w:rsidR="001E104F" w:rsidRPr="001E104F">
        <w:rPr>
          <w:rFonts w:ascii="Times New Roman" w:hAnsi="Times New Roman" w:cs="Times New Roman"/>
          <w:lang w:val="en-US"/>
        </w:rPr>
        <w:t xml:space="preserve"> decisions can have immediate and life</w:t>
      </w:r>
      <w:r w:rsidR="001E104F">
        <w:rPr>
          <w:rFonts w:ascii="Times New Roman" w:hAnsi="Times New Roman" w:cs="Times New Roman"/>
          <w:lang w:val="en-US"/>
        </w:rPr>
        <w:t>-</w:t>
      </w:r>
      <w:r w:rsidR="001E104F" w:rsidRPr="001E104F">
        <w:rPr>
          <w:rFonts w:ascii="Times New Roman" w:hAnsi="Times New Roman" w:cs="Times New Roman"/>
          <w:lang w:val="en-US"/>
        </w:rPr>
        <w:t xml:space="preserve">long impacts for millions of people, should be properly excluded.  </w:t>
      </w:r>
      <w:r w:rsidR="001E104F">
        <w:rPr>
          <w:rFonts w:ascii="Times New Roman" w:hAnsi="Times New Roman" w:cs="Times New Roman"/>
          <w:lang w:val="en-US"/>
        </w:rPr>
        <w:t xml:space="preserve"> </w:t>
      </w:r>
    </w:p>
    <w:p w14:paraId="13D754FE" w14:textId="09FF0533" w:rsidR="004F18BF" w:rsidRDefault="00000000" w:rsidP="00123C13">
      <w:pPr>
        <w:spacing w:after="120"/>
        <w:jc w:val="both"/>
        <w:rPr>
          <w:rFonts w:ascii="Times New Roman" w:hAnsi="Times New Roman" w:cs="Times New Roman"/>
          <w:lang w:val="en-US"/>
        </w:rPr>
      </w:pPr>
      <w:r>
        <w:rPr>
          <w:rFonts w:ascii="Times New Roman" w:hAnsi="Times New Roman" w:cs="Times New Roman"/>
          <w:lang w:val="en-US"/>
        </w:rPr>
        <w:t xml:space="preserve">Having spent careers focusing on the legal interests of people </w:t>
      </w:r>
      <w:r w:rsidR="009F5A3F">
        <w:rPr>
          <w:rFonts w:ascii="Times New Roman" w:hAnsi="Times New Roman" w:cs="Times New Roman"/>
          <w:lang w:val="en-US"/>
        </w:rPr>
        <w:t xml:space="preserve">and </w:t>
      </w:r>
      <w:proofErr w:type="spellStart"/>
      <w:r w:rsidR="009F5A3F">
        <w:rPr>
          <w:rFonts w:ascii="Times New Roman" w:hAnsi="Times New Roman" w:cs="Times New Roman"/>
          <w:lang w:val="en-US"/>
        </w:rPr>
        <w:t>organisations</w:t>
      </w:r>
      <w:proofErr w:type="spellEnd"/>
      <w:r w:rsidR="009F5A3F">
        <w:rPr>
          <w:rFonts w:ascii="Times New Roman" w:hAnsi="Times New Roman" w:cs="Times New Roman"/>
          <w:lang w:val="en-US"/>
        </w:rPr>
        <w:t xml:space="preserve"> </w:t>
      </w:r>
      <w:r>
        <w:rPr>
          <w:rFonts w:ascii="Times New Roman" w:hAnsi="Times New Roman" w:cs="Times New Roman"/>
          <w:lang w:val="en-US"/>
        </w:rPr>
        <w:t>with money</w:t>
      </w:r>
      <w:r w:rsidR="009F5A3F">
        <w:rPr>
          <w:rFonts w:ascii="Times New Roman" w:hAnsi="Times New Roman" w:cs="Times New Roman"/>
          <w:lang w:val="en-US"/>
        </w:rPr>
        <w:t xml:space="preserve"> is likely to influence one’s experiences and constructions of, the laws that matter. </w:t>
      </w:r>
      <w:r>
        <w:rPr>
          <w:rFonts w:ascii="Times New Roman" w:hAnsi="Times New Roman" w:cs="Times New Roman"/>
          <w:lang w:val="en-US"/>
        </w:rPr>
        <w:t xml:space="preserve">Lord Leggatt said in an international commercial contract case, that it was: </w:t>
      </w:r>
    </w:p>
    <w:p w14:paraId="3E9BA2AE" w14:textId="17772B2E" w:rsidR="004F18BF" w:rsidRDefault="00000000" w:rsidP="00123C13">
      <w:pPr>
        <w:spacing w:after="120"/>
        <w:ind w:left="720"/>
        <w:jc w:val="both"/>
        <w:rPr>
          <w:rFonts w:ascii="Times New Roman" w:hAnsi="Times New Roman" w:cs="Times New Roman"/>
          <w:lang w:val="en-US"/>
        </w:rPr>
      </w:pPr>
      <w:r>
        <w:rPr>
          <w:rFonts w:ascii="Times New Roman" w:hAnsi="Times New Roman" w:cs="Times New Roman"/>
          <w:lang w:val="en-US"/>
        </w:rPr>
        <w:t>“</w:t>
      </w:r>
      <w:r w:rsidRPr="00F421E0">
        <w:rPr>
          <w:rFonts w:ascii="Times New Roman" w:hAnsi="Times New Roman" w:cs="Times New Roman"/>
          <w:i/>
          <w:iCs/>
          <w:lang w:val="en-US"/>
        </w:rPr>
        <w:t>a striking feature of the English proceedings that the trial, the appeal to the Court of Appeal and the appeal to the Supreme Court have all been heard in just over seven months. This is a vivid demonstration of the speed with which the English courts can act when the urgency of a matter requires it</w:t>
      </w:r>
      <w:r w:rsidRPr="00F421E0">
        <w:rPr>
          <w:rFonts w:ascii="Times New Roman" w:hAnsi="Times New Roman" w:cs="Times New Roman"/>
          <w:lang w:val="en-US"/>
        </w:rPr>
        <w:t>.</w:t>
      </w:r>
      <w:r>
        <w:rPr>
          <w:rFonts w:ascii="Times New Roman" w:hAnsi="Times New Roman" w:cs="Times New Roman"/>
          <w:lang w:val="en-US"/>
        </w:rPr>
        <w:t>”</w:t>
      </w:r>
      <w:r>
        <w:rPr>
          <w:rStyle w:val="FootnoteReference"/>
          <w:rFonts w:ascii="Times New Roman" w:hAnsi="Times New Roman" w:cs="Times New Roman"/>
          <w:lang w:val="en-US"/>
        </w:rPr>
        <w:footnoteReference w:id="32"/>
      </w:r>
    </w:p>
    <w:p w14:paraId="73BCCED7" w14:textId="33FD9C67" w:rsidR="004F18BF" w:rsidRDefault="00000000" w:rsidP="00123C13">
      <w:pPr>
        <w:spacing w:after="120"/>
        <w:jc w:val="both"/>
        <w:rPr>
          <w:rFonts w:ascii="Times New Roman" w:hAnsi="Times New Roman" w:cs="Times New Roman"/>
        </w:rPr>
      </w:pPr>
      <w:r>
        <w:rPr>
          <w:rFonts w:ascii="Times New Roman" w:hAnsi="Times New Roman" w:cs="Times New Roman"/>
        </w:rPr>
        <w:t xml:space="preserve">Cases involving claimants with big money are “urgent”. Cases involving huge amounts of benefit claimants, less so. There was a gap of more than two years between the two-child rule </w:t>
      </w:r>
      <w:r>
        <w:rPr>
          <w:rFonts w:ascii="Times New Roman" w:hAnsi="Times New Roman" w:cs="Times New Roman"/>
        </w:rPr>
        <w:lastRenderedPageBreak/>
        <w:t>Court of Appeal and Supreme Court judgments,</w:t>
      </w:r>
      <w:r>
        <w:rPr>
          <w:rStyle w:val="FootnoteReference"/>
          <w:rFonts w:ascii="Times New Roman" w:hAnsi="Times New Roman" w:cs="Times New Roman"/>
        </w:rPr>
        <w:footnoteReference w:id="33"/>
      </w:r>
      <w:r>
        <w:rPr>
          <w:rFonts w:ascii="Times New Roman" w:hAnsi="Times New Roman" w:cs="Times New Roman"/>
        </w:rPr>
        <w:t xml:space="preserve"> despite the rule’s widespread reach – recent figures show 1.</w:t>
      </w:r>
      <w:r w:rsidR="00FE594E">
        <w:rPr>
          <w:rFonts w:ascii="Times New Roman" w:hAnsi="Times New Roman" w:cs="Times New Roman"/>
        </w:rPr>
        <w:t>6</w:t>
      </w:r>
      <w:r>
        <w:rPr>
          <w:rFonts w:ascii="Times New Roman" w:hAnsi="Times New Roman" w:cs="Times New Roman"/>
        </w:rPr>
        <w:t xml:space="preserve"> million children are affected by the rule.</w:t>
      </w:r>
      <w:r>
        <w:rPr>
          <w:rStyle w:val="FootnoteReference"/>
          <w:rFonts w:ascii="Times New Roman" w:hAnsi="Times New Roman" w:cs="Times New Roman"/>
        </w:rPr>
        <w:footnoteReference w:id="34"/>
      </w:r>
      <w:r>
        <w:rPr>
          <w:rFonts w:ascii="Times New Roman" w:hAnsi="Times New Roman" w:cs="Times New Roman"/>
        </w:rPr>
        <w:t xml:space="preserve"> The Master of the Rolls, Geoffrey Vos, caused something of a stir when he gave a speech on dispute resolution implying different standards of justice applied to different values of claim; that “large disputes” might require</w:t>
      </w:r>
      <w:r w:rsidR="00512D94">
        <w:rPr>
          <w:rFonts w:ascii="Times New Roman" w:hAnsi="Times New Roman" w:cs="Times New Roman"/>
        </w:rPr>
        <w:t xml:space="preserve"> a</w:t>
      </w:r>
      <w:r>
        <w:rPr>
          <w:rFonts w:ascii="Times New Roman" w:hAnsi="Times New Roman" w:cs="Times New Roman"/>
        </w:rPr>
        <w:t xml:space="preserve"> “</w:t>
      </w:r>
      <w:r w:rsidRPr="008204FB">
        <w:rPr>
          <w:rFonts w:ascii="Times New Roman" w:hAnsi="Times New Roman" w:cs="Times New Roman"/>
        </w:rPr>
        <w:t>more just and perhaps objectively correct solution</w:t>
      </w:r>
      <w:r>
        <w:rPr>
          <w:rFonts w:ascii="Times New Roman" w:hAnsi="Times New Roman" w:cs="Times New Roman"/>
        </w:rPr>
        <w:t>” than small claims.</w:t>
      </w:r>
      <w:r w:rsidR="003324E2" w:rsidRPr="003324E2">
        <w:rPr>
          <w:rFonts w:ascii="Times New Roman" w:hAnsi="Times New Roman" w:cs="Times New Roman"/>
          <w:vertAlign w:val="superscript"/>
        </w:rPr>
        <w:footnoteReference w:id="35"/>
      </w:r>
      <w:r>
        <w:rPr>
          <w:rFonts w:ascii="Times New Roman" w:hAnsi="Times New Roman" w:cs="Times New Roman"/>
        </w:rPr>
        <w:t xml:space="preserve"> He since clarified that he meant </w:t>
      </w:r>
      <w:r w:rsidR="00820FC2">
        <w:rPr>
          <w:rFonts w:ascii="Times New Roman" w:hAnsi="Times New Roman" w:cs="Times New Roman"/>
        </w:rPr>
        <w:t xml:space="preserve">non-litigious resolutions for “very small” </w:t>
      </w:r>
      <w:r>
        <w:rPr>
          <w:rFonts w:ascii="Times New Roman" w:hAnsi="Times New Roman" w:cs="Times New Roman"/>
        </w:rPr>
        <w:t xml:space="preserve">on platforms such as </w:t>
      </w:r>
      <w:proofErr w:type="spellStart"/>
      <w:r>
        <w:rPr>
          <w:rFonts w:ascii="Times New Roman" w:hAnsi="Times New Roman" w:cs="Times New Roman"/>
        </w:rPr>
        <w:t>ebay</w:t>
      </w:r>
      <w:proofErr w:type="spellEnd"/>
      <w:r w:rsidR="006123A3">
        <w:rPr>
          <w:rFonts w:ascii="Times New Roman" w:hAnsi="Times New Roman" w:cs="Times New Roman"/>
        </w:rPr>
        <w:t>,</w:t>
      </w:r>
      <w:r w:rsidR="00820FC2">
        <w:rPr>
          <w:rFonts w:ascii="Times New Roman" w:hAnsi="Times New Roman" w:cs="Times New Roman"/>
        </w:rPr>
        <w:t xml:space="preserve"> wherein if “they </w:t>
      </w:r>
      <w:r w:rsidR="00820FC2" w:rsidRPr="00820FC2">
        <w:rPr>
          <w:rFonts w:ascii="Times New Roman" w:hAnsi="Times New Roman" w:cs="Times New Roman"/>
        </w:rPr>
        <w:t>elevate a very small claim into a costly court battle that is disproportionate in both court time and party expense, the system sometimes has to put its foot down</w:t>
      </w:r>
      <w:r w:rsidR="00820FC2">
        <w:rPr>
          <w:rFonts w:ascii="Times New Roman" w:hAnsi="Times New Roman" w:cs="Times New Roman"/>
        </w:rPr>
        <w:t>”</w:t>
      </w:r>
      <w:r>
        <w:rPr>
          <w:rFonts w:ascii="Times New Roman" w:hAnsi="Times New Roman" w:cs="Times New Roman"/>
        </w:rPr>
        <w:t>.</w:t>
      </w:r>
      <w:r>
        <w:rPr>
          <w:rFonts w:ascii="Times New Roman" w:hAnsi="Times New Roman" w:cs="Times New Roman"/>
          <w:vertAlign w:val="superscript"/>
        </w:rPr>
        <w:footnoteReference w:id="36"/>
      </w:r>
      <w:r w:rsidRPr="006E464A">
        <w:rPr>
          <w:rFonts w:ascii="Times New Roman" w:hAnsi="Times New Roman" w:cs="Times New Roman"/>
          <w:color w:val="000000"/>
          <w:vertAlign w:val="superscript"/>
        </w:rPr>
        <w:t xml:space="preserve"> </w:t>
      </w:r>
      <w:r>
        <w:rPr>
          <w:rFonts w:ascii="Times New Roman" w:hAnsi="Times New Roman" w:cs="Times New Roman"/>
        </w:rPr>
        <w:t>The problem is that any individual social security claim can too easily appear to be closer to the “</w:t>
      </w:r>
      <w:r w:rsidR="003324E2">
        <w:rPr>
          <w:rFonts w:ascii="Times New Roman" w:hAnsi="Times New Roman" w:cs="Times New Roman"/>
        </w:rPr>
        <w:t>very small</w:t>
      </w:r>
      <w:r>
        <w:rPr>
          <w:rFonts w:ascii="Times New Roman" w:hAnsi="Times New Roman" w:cs="Times New Roman"/>
        </w:rPr>
        <w:t xml:space="preserve">” end of the </w:t>
      </w:r>
      <w:r w:rsidR="003324E2">
        <w:rPr>
          <w:rFonts w:ascii="Times New Roman" w:hAnsi="Times New Roman" w:cs="Times New Roman"/>
        </w:rPr>
        <w:t xml:space="preserve">financial </w:t>
      </w:r>
      <w:r>
        <w:rPr>
          <w:rFonts w:ascii="Times New Roman" w:hAnsi="Times New Roman" w:cs="Times New Roman"/>
        </w:rPr>
        <w:t xml:space="preserve">justice spectrum. </w:t>
      </w:r>
      <w:r w:rsidR="00890177">
        <w:rPr>
          <w:rFonts w:ascii="Times New Roman" w:hAnsi="Times New Roman" w:cs="Times New Roman"/>
        </w:rPr>
        <w:t>Increasing professional diversity on the Supreme Court could enhance understanding of the importance of social security law</w:t>
      </w:r>
      <w:r w:rsidR="00A60CB0">
        <w:rPr>
          <w:rFonts w:ascii="Times New Roman" w:hAnsi="Times New Roman" w:cs="Times New Roman"/>
        </w:rPr>
        <w:t xml:space="preserve"> – with the caveats that much would still depend on judicial leadership,</w:t>
      </w:r>
      <w:r>
        <w:rPr>
          <w:rStyle w:val="FootnoteReference"/>
          <w:rFonts w:ascii="Times New Roman" w:hAnsi="Times New Roman" w:cs="Times New Roman"/>
        </w:rPr>
        <w:footnoteReference w:id="37"/>
      </w:r>
      <w:r w:rsidR="00A60CB0">
        <w:rPr>
          <w:rFonts w:ascii="Times New Roman" w:hAnsi="Times New Roman" w:cs="Times New Roman"/>
        </w:rPr>
        <w:t xml:space="preserve"> </w:t>
      </w:r>
      <w:r w:rsidR="00512D94">
        <w:rPr>
          <w:rFonts w:ascii="Times New Roman" w:hAnsi="Times New Roman" w:cs="Times New Roman"/>
        </w:rPr>
        <w:t xml:space="preserve">with </w:t>
      </w:r>
      <w:r w:rsidR="00A60CB0">
        <w:rPr>
          <w:rFonts w:ascii="Times New Roman" w:hAnsi="Times New Roman" w:cs="Times New Roman"/>
        </w:rPr>
        <w:t xml:space="preserve">non-traditional judges having sufficient courage and encouragement to </w:t>
      </w:r>
      <w:r w:rsidR="00987C68">
        <w:rPr>
          <w:rFonts w:ascii="Times New Roman" w:hAnsi="Times New Roman" w:cs="Times New Roman"/>
        </w:rPr>
        <w:t>‘step out of line’</w:t>
      </w:r>
      <w:r w:rsidR="00A60CB0">
        <w:rPr>
          <w:rFonts w:ascii="Times New Roman" w:hAnsi="Times New Roman" w:cs="Times New Roman"/>
        </w:rPr>
        <w:t>.</w:t>
      </w:r>
      <w:r>
        <w:rPr>
          <w:rStyle w:val="FootnoteReference"/>
          <w:rFonts w:ascii="Times New Roman" w:hAnsi="Times New Roman" w:cs="Times New Roman"/>
        </w:rPr>
        <w:footnoteReference w:id="38"/>
      </w:r>
      <w:r w:rsidR="00A60CB0">
        <w:rPr>
          <w:rFonts w:ascii="Times New Roman" w:hAnsi="Times New Roman" w:cs="Times New Roman"/>
        </w:rPr>
        <w:t xml:space="preserve">  </w:t>
      </w:r>
      <w:r w:rsidR="00890177">
        <w:rPr>
          <w:rFonts w:ascii="Times New Roman" w:hAnsi="Times New Roman" w:cs="Times New Roman"/>
        </w:rPr>
        <w:t xml:space="preserve"> </w:t>
      </w:r>
    </w:p>
    <w:p w14:paraId="0B0B74A4" w14:textId="77777777" w:rsidR="002234D7" w:rsidRDefault="002234D7" w:rsidP="00123C13">
      <w:pPr>
        <w:spacing w:after="120"/>
        <w:jc w:val="both"/>
        <w:rPr>
          <w:rFonts w:ascii="Times New Roman" w:hAnsi="Times New Roman" w:cs="Times New Roman"/>
          <w:i/>
          <w:iCs/>
        </w:rPr>
      </w:pPr>
    </w:p>
    <w:p w14:paraId="56B349AF" w14:textId="29B910FA" w:rsidR="00606EB7" w:rsidRPr="00123C13" w:rsidRDefault="00000000" w:rsidP="00123C13">
      <w:pPr>
        <w:pStyle w:val="ListParagraph"/>
        <w:numPr>
          <w:ilvl w:val="0"/>
          <w:numId w:val="6"/>
        </w:numPr>
        <w:spacing w:after="120"/>
        <w:contextualSpacing w:val="0"/>
        <w:jc w:val="both"/>
        <w:rPr>
          <w:rFonts w:ascii="Times New Roman" w:hAnsi="Times New Roman" w:cs="Times New Roman"/>
        </w:rPr>
      </w:pPr>
      <w:r w:rsidRPr="002234D7">
        <w:rPr>
          <w:rFonts w:ascii="Times New Roman" w:hAnsi="Times New Roman" w:cs="Times New Roman"/>
          <w:i/>
          <w:iCs/>
        </w:rPr>
        <w:t xml:space="preserve">SC </w:t>
      </w:r>
      <w:r w:rsidRPr="002234D7">
        <w:rPr>
          <w:rFonts w:ascii="Times New Roman" w:hAnsi="Times New Roman" w:cs="Times New Roman"/>
        </w:rPr>
        <w:t xml:space="preserve">and the </w:t>
      </w:r>
      <w:proofErr w:type="spellStart"/>
      <w:r w:rsidRPr="002234D7">
        <w:rPr>
          <w:rFonts w:ascii="Times New Roman" w:hAnsi="Times New Roman" w:cs="Times New Roman"/>
        </w:rPr>
        <w:t>alegalisation</w:t>
      </w:r>
      <w:proofErr w:type="spellEnd"/>
      <w:r w:rsidRPr="002234D7">
        <w:rPr>
          <w:rFonts w:ascii="Times New Roman" w:hAnsi="Times New Roman" w:cs="Times New Roman"/>
        </w:rPr>
        <w:t xml:space="preserve"> of social security </w:t>
      </w:r>
    </w:p>
    <w:p w14:paraId="5E42D0DA" w14:textId="3098AC4B" w:rsidR="0073613D" w:rsidRPr="00E84859" w:rsidRDefault="00000000" w:rsidP="00123C13">
      <w:pPr>
        <w:spacing w:after="120"/>
        <w:jc w:val="both"/>
        <w:rPr>
          <w:rFonts w:ascii="Times New Roman" w:hAnsi="Times New Roman" w:cs="Times New Roman"/>
        </w:rPr>
      </w:pPr>
      <w:r w:rsidRPr="00E84859">
        <w:rPr>
          <w:rFonts w:ascii="Times New Roman" w:hAnsi="Times New Roman" w:cs="Times New Roman"/>
        </w:rPr>
        <w:t>The drawing of an inappropriate line between politics and the law was particularly evident in the Supreme Court’s</w:t>
      </w:r>
      <w:r w:rsidR="00122876">
        <w:rPr>
          <w:rFonts w:ascii="Times New Roman" w:hAnsi="Times New Roman" w:cs="Times New Roman"/>
        </w:rPr>
        <w:t xml:space="preserve"> two-child rule</w:t>
      </w:r>
      <w:r w:rsidRPr="00E84859">
        <w:rPr>
          <w:rFonts w:ascii="Times New Roman" w:hAnsi="Times New Roman" w:cs="Times New Roman"/>
        </w:rPr>
        <w:t xml:space="preserve"> judgment in </w:t>
      </w:r>
      <w:r w:rsidRPr="00E84859">
        <w:rPr>
          <w:rFonts w:ascii="Times New Roman" w:hAnsi="Times New Roman" w:cs="Times New Roman"/>
          <w:i/>
          <w:iCs/>
        </w:rPr>
        <w:t>SC</w:t>
      </w:r>
      <w:r w:rsidRPr="00E84859">
        <w:rPr>
          <w:rFonts w:ascii="Times New Roman" w:hAnsi="Times New Roman" w:cs="Times New Roman"/>
        </w:rPr>
        <w:t xml:space="preserve">. The rule was a pet project of </w:t>
      </w:r>
      <w:r w:rsidR="00F163E5" w:rsidRPr="00E84859">
        <w:rPr>
          <w:rFonts w:ascii="Times New Roman" w:hAnsi="Times New Roman" w:cs="Times New Roman"/>
        </w:rPr>
        <w:t>David Cameron’s Conservative</w:t>
      </w:r>
      <w:r w:rsidRPr="00E84859">
        <w:rPr>
          <w:rFonts w:ascii="Times New Roman" w:hAnsi="Times New Roman" w:cs="Times New Roman"/>
        </w:rPr>
        <w:t xml:space="preserve"> government, </w:t>
      </w:r>
      <w:r w:rsidR="00F163E5" w:rsidRPr="00E84859">
        <w:rPr>
          <w:rFonts w:ascii="Times New Roman" w:hAnsi="Times New Roman" w:cs="Times New Roman"/>
        </w:rPr>
        <w:t xml:space="preserve">with then-Chancellor of the Exchequer George Osborne announcing </w:t>
      </w:r>
      <w:r w:rsidRPr="00E84859">
        <w:rPr>
          <w:rFonts w:ascii="Times New Roman" w:hAnsi="Times New Roman" w:cs="Times New Roman"/>
        </w:rPr>
        <w:t>in 201</w:t>
      </w:r>
      <w:r w:rsidR="00F163E5" w:rsidRPr="00E84859">
        <w:rPr>
          <w:rFonts w:ascii="Times New Roman" w:hAnsi="Times New Roman" w:cs="Times New Roman"/>
        </w:rPr>
        <w:t>5</w:t>
      </w:r>
      <w:r w:rsidRPr="00E84859">
        <w:rPr>
          <w:rFonts w:ascii="Times New Roman" w:hAnsi="Times New Roman" w:cs="Times New Roman"/>
        </w:rPr>
        <w:t xml:space="preserve"> </w:t>
      </w:r>
      <w:r w:rsidR="00F163E5" w:rsidRPr="00E84859">
        <w:rPr>
          <w:rFonts w:ascii="Times New Roman" w:hAnsi="Times New Roman" w:cs="Times New Roman"/>
        </w:rPr>
        <w:t>his</w:t>
      </w:r>
      <w:r w:rsidRPr="00E84859">
        <w:rPr>
          <w:rFonts w:ascii="Times New Roman" w:hAnsi="Times New Roman" w:cs="Times New Roman"/>
        </w:rPr>
        <w:t xml:space="preserve"> intention to limit key subsistence benefits to only the first two children in a family.</w:t>
      </w:r>
      <w:r>
        <w:rPr>
          <w:rStyle w:val="FootnoteReference"/>
          <w:rFonts w:ascii="Times New Roman" w:hAnsi="Times New Roman" w:cs="Times New Roman"/>
        </w:rPr>
        <w:footnoteReference w:id="39"/>
      </w:r>
      <w:r w:rsidRPr="00E84859">
        <w:rPr>
          <w:rFonts w:ascii="Times New Roman" w:hAnsi="Times New Roman" w:cs="Times New Roman"/>
        </w:rPr>
        <w:t xml:space="preserve"> </w:t>
      </w:r>
      <w:r w:rsidR="00F163E5" w:rsidRPr="00E84859">
        <w:rPr>
          <w:rFonts w:ascii="Times New Roman" w:hAnsi="Times New Roman" w:cs="Times New Roman"/>
        </w:rPr>
        <w:t>This rule made its way into the Welfare Reform and Work Act 2016,</w:t>
      </w:r>
      <w:r w:rsidR="003324E2">
        <w:rPr>
          <w:rStyle w:val="FootnoteReference"/>
          <w:rFonts w:ascii="Times New Roman" w:hAnsi="Times New Roman" w:cs="Times New Roman"/>
        </w:rPr>
        <w:footnoteReference w:id="40"/>
      </w:r>
      <w:r w:rsidR="00F163E5" w:rsidRPr="00E84859">
        <w:rPr>
          <w:rFonts w:ascii="Times New Roman" w:hAnsi="Times New Roman" w:cs="Times New Roman"/>
        </w:rPr>
        <w:t xml:space="preserve"> and the Social Security (Restrictions on Amounts for Children and Qualifying Young Persons) Amendment Regulations 2017</w:t>
      </w:r>
      <w:r w:rsidR="003324E2">
        <w:rPr>
          <w:rStyle w:val="FootnoteReference"/>
          <w:rFonts w:ascii="Times New Roman" w:hAnsi="Times New Roman" w:cs="Times New Roman"/>
        </w:rPr>
        <w:footnoteReference w:id="41"/>
      </w:r>
      <w:r w:rsidR="00F163E5" w:rsidRPr="00E84859">
        <w:rPr>
          <w:rFonts w:ascii="Times New Roman" w:hAnsi="Times New Roman" w:cs="Times New Roman"/>
        </w:rPr>
        <w:t xml:space="preserve"> and the Child Tax Credit (Amendment) Regulations 2017.</w:t>
      </w:r>
      <w:r w:rsidR="003324E2">
        <w:rPr>
          <w:rStyle w:val="FootnoteReference"/>
          <w:rFonts w:ascii="Times New Roman" w:hAnsi="Times New Roman" w:cs="Times New Roman"/>
        </w:rPr>
        <w:footnoteReference w:id="42"/>
      </w:r>
      <w:r w:rsidR="00F163E5" w:rsidRPr="00E84859">
        <w:rPr>
          <w:rFonts w:ascii="Times New Roman" w:hAnsi="Times New Roman" w:cs="Times New Roman"/>
        </w:rPr>
        <w:t xml:space="preserve"> </w:t>
      </w:r>
      <w:r w:rsidR="00B03434" w:rsidRPr="00E84859">
        <w:rPr>
          <w:rFonts w:ascii="Times New Roman" w:hAnsi="Times New Roman" w:cs="Times New Roman"/>
        </w:rPr>
        <w:t>Put bluntly, it is a human rights disaster of a policy. Families with three or more children were already at greater risk of poverty anyway, so that “</w:t>
      </w:r>
      <w:r w:rsidR="00BD6D86">
        <w:rPr>
          <w:rFonts w:ascii="Times New Roman" w:hAnsi="Times New Roman" w:cs="Times New Roman"/>
        </w:rPr>
        <w:t>y</w:t>
      </w:r>
      <w:r w:rsidR="00BD6D86" w:rsidRPr="00BD6D86">
        <w:rPr>
          <w:rFonts w:ascii="Times New Roman" w:hAnsi="Times New Roman" w:cs="Times New Roman"/>
        </w:rPr>
        <w:t>ou could not design a policy better to increase child poverty than this one.</w:t>
      </w:r>
      <w:r w:rsidR="00B03434" w:rsidRPr="00E84859">
        <w:rPr>
          <w:rFonts w:ascii="Times New Roman" w:hAnsi="Times New Roman" w:cs="Times New Roman"/>
        </w:rPr>
        <w:t>”</w:t>
      </w:r>
      <w:r>
        <w:rPr>
          <w:rStyle w:val="FootnoteReference"/>
          <w:rFonts w:ascii="Times New Roman" w:hAnsi="Times New Roman" w:cs="Times New Roman"/>
        </w:rPr>
        <w:footnoteReference w:id="43"/>
      </w:r>
      <w:r w:rsidR="00B03434" w:rsidRPr="00E84859">
        <w:rPr>
          <w:rFonts w:ascii="Times New Roman" w:hAnsi="Times New Roman" w:cs="Times New Roman"/>
        </w:rPr>
        <w:t xml:space="preserve"> </w:t>
      </w:r>
      <w:r w:rsidR="000C7DE3" w:rsidRPr="00E84859">
        <w:rPr>
          <w:rFonts w:ascii="Times New Roman" w:hAnsi="Times New Roman" w:cs="Times New Roman"/>
        </w:rPr>
        <w:t xml:space="preserve">What is more, in </w:t>
      </w:r>
      <w:r w:rsidR="00122876">
        <w:rPr>
          <w:rFonts w:ascii="Times New Roman" w:hAnsi="Times New Roman" w:cs="Times New Roman"/>
        </w:rPr>
        <w:t>increasing and deepening child poverty</w:t>
      </w:r>
      <w:r w:rsidR="000C7DE3" w:rsidRPr="00E84859">
        <w:rPr>
          <w:rFonts w:ascii="Times New Roman" w:hAnsi="Times New Roman" w:cs="Times New Roman"/>
        </w:rPr>
        <w:t xml:space="preserve">, it </w:t>
      </w:r>
      <w:r w:rsidR="00782586">
        <w:rPr>
          <w:rFonts w:ascii="Times New Roman" w:hAnsi="Times New Roman" w:cs="Times New Roman"/>
        </w:rPr>
        <w:t xml:space="preserve">effectively announces a choice to ignore the UN Convention on the Rights of the Child. </w:t>
      </w:r>
    </w:p>
    <w:p w14:paraId="288FEE73" w14:textId="5ABB83A8" w:rsidR="0078307E" w:rsidRDefault="00000000" w:rsidP="00123C13">
      <w:pPr>
        <w:spacing w:after="120"/>
        <w:jc w:val="both"/>
        <w:rPr>
          <w:rFonts w:ascii="Times New Roman" w:hAnsi="Times New Roman" w:cs="Times New Roman"/>
        </w:rPr>
      </w:pPr>
      <w:r w:rsidRPr="00E84859">
        <w:rPr>
          <w:rFonts w:ascii="Times New Roman" w:hAnsi="Times New Roman" w:cs="Times New Roman"/>
        </w:rPr>
        <w:lastRenderedPageBreak/>
        <w:t xml:space="preserve">The damage the two-child rule is causing </w:t>
      </w:r>
      <w:r w:rsidRPr="00E84859">
        <w:rPr>
          <w:rFonts w:ascii="Times New Roman" w:hAnsi="Times New Roman" w:cs="Times New Roman"/>
          <w:i/>
          <w:iCs/>
        </w:rPr>
        <w:t xml:space="preserve">to children </w:t>
      </w:r>
      <w:r w:rsidRPr="00E84859">
        <w:rPr>
          <w:rFonts w:ascii="Times New Roman" w:hAnsi="Times New Roman" w:cs="Times New Roman"/>
        </w:rPr>
        <w:t>was clearly predicted</w:t>
      </w:r>
      <w:r>
        <w:rPr>
          <w:rStyle w:val="FootnoteReference"/>
          <w:rFonts w:ascii="Times New Roman" w:hAnsi="Times New Roman" w:cs="Times New Roman"/>
        </w:rPr>
        <w:footnoteReference w:id="44"/>
      </w:r>
      <w:r w:rsidRPr="00E84859">
        <w:rPr>
          <w:rFonts w:ascii="Times New Roman" w:hAnsi="Times New Roman" w:cs="Times New Roman"/>
        </w:rPr>
        <w:t xml:space="preserve"> and is being well documented.</w:t>
      </w:r>
      <w:r>
        <w:rPr>
          <w:rStyle w:val="FootnoteReference"/>
          <w:rFonts w:ascii="Times New Roman" w:hAnsi="Times New Roman" w:cs="Times New Roman"/>
        </w:rPr>
        <w:footnoteReference w:id="45"/>
      </w:r>
      <w:r w:rsidRPr="00E84859">
        <w:rPr>
          <w:rFonts w:ascii="Times New Roman" w:hAnsi="Times New Roman" w:cs="Times New Roman"/>
        </w:rPr>
        <w:t xml:space="preserve"> That damage goes to the heart of children’s human rights – rights to adequate housing, food, heating, health, education and to social and personal development.</w:t>
      </w:r>
      <w:r>
        <w:rPr>
          <w:rStyle w:val="FootnoteReference"/>
          <w:rFonts w:ascii="Times New Roman" w:hAnsi="Times New Roman" w:cs="Times New Roman"/>
        </w:rPr>
        <w:footnoteReference w:id="46"/>
      </w:r>
      <w:r w:rsidR="001C6840" w:rsidRPr="00E84859">
        <w:rPr>
          <w:rFonts w:ascii="Times New Roman" w:hAnsi="Times New Roman" w:cs="Times New Roman"/>
        </w:rPr>
        <w:t xml:space="preserve"> Studies show that the measure is directly responsible for driving more families into poverty, and for driving already struggling families deeper into poverty. Testimonies document the multiple ways in which children experience, and suffer from, this poverty.</w:t>
      </w:r>
      <w:r>
        <w:rPr>
          <w:rStyle w:val="FootnoteReference"/>
          <w:rFonts w:ascii="Times New Roman" w:hAnsi="Times New Roman" w:cs="Times New Roman"/>
        </w:rPr>
        <w:footnoteReference w:id="47"/>
      </w:r>
      <w:r w:rsidR="001C6840" w:rsidRPr="00E84859">
        <w:rPr>
          <w:rFonts w:ascii="Times New Roman" w:hAnsi="Times New Roman" w:cs="Times New Roman"/>
        </w:rPr>
        <w:t xml:space="preserve"> The rule was challenged before the Supreme Court in </w:t>
      </w:r>
      <w:r w:rsidR="001C6840" w:rsidRPr="00E84859">
        <w:rPr>
          <w:rFonts w:ascii="Times New Roman" w:hAnsi="Times New Roman" w:cs="Times New Roman"/>
          <w:i/>
          <w:iCs/>
        </w:rPr>
        <w:t>SC</w:t>
      </w:r>
      <w:r w:rsidR="001C6840" w:rsidRPr="00E84859">
        <w:rPr>
          <w:rFonts w:ascii="Times New Roman" w:hAnsi="Times New Roman" w:cs="Times New Roman"/>
        </w:rPr>
        <w:t xml:space="preserve"> on a number of grounds</w:t>
      </w:r>
      <w:r w:rsidR="002E458C" w:rsidRPr="00E84859">
        <w:rPr>
          <w:rFonts w:ascii="Times New Roman" w:hAnsi="Times New Roman" w:cs="Times New Roman"/>
        </w:rPr>
        <w:t>, namely breaches of</w:t>
      </w:r>
      <w:r w:rsidR="009110A2" w:rsidRPr="00E84859">
        <w:rPr>
          <w:rFonts w:ascii="Times New Roman" w:hAnsi="Times New Roman" w:cs="Times New Roman"/>
        </w:rPr>
        <w:t xml:space="preserve">: </w:t>
      </w:r>
      <w:r w:rsidR="002E458C" w:rsidRPr="00E84859">
        <w:rPr>
          <w:rFonts w:ascii="Times New Roman" w:hAnsi="Times New Roman" w:cs="Times New Roman"/>
        </w:rPr>
        <w:t>the</w:t>
      </w:r>
      <w:r w:rsidR="009110A2" w:rsidRPr="00E84859">
        <w:rPr>
          <w:rFonts w:ascii="Times New Roman" w:hAnsi="Times New Roman" w:cs="Times New Roman"/>
        </w:rPr>
        <w:t xml:space="preserve"> Article 8 ECHR right to respect for private and family life; </w:t>
      </w:r>
      <w:r w:rsidR="002E458C" w:rsidRPr="00E84859">
        <w:rPr>
          <w:rFonts w:ascii="Times New Roman" w:hAnsi="Times New Roman" w:cs="Times New Roman"/>
        </w:rPr>
        <w:t>the Article 12 ECHR right to found a family; the Article 14 ECHR rights to non-discriminatory enjoyment of Articles 8 ECHR and Article 1, Protocol 1, the right to property.</w:t>
      </w:r>
      <w:r w:rsidR="00561E16" w:rsidRPr="00E84859">
        <w:rPr>
          <w:rFonts w:ascii="Times New Roman" w:hAnsi="Times New Roman" w:cs="Times New Roman"/>
        </w:rPr>
        <w:t xml:space="preserve"> The appellants claimed that the measure discriminated against women, children, and children living in households with more than two children. </w:t>
      </w:r>
      <w:r w:rsidR="00126B2D" w:rsidRPr="00E84859">
        <w:rPr>
          <w:rFonts w:ascii="Times New Roman" w:hAnsi="Times New Roman" w:cs="Times New Roman"/>
        </w:rPr>
        <w:t xml:space="preserve">The Supreme Court disagreed on all counts. </w:t>
      </w:r>
      <w:r w:rsidR="00E1746F">
        <w:rPr>
          <w:rFonts w:ascii="Times New Roman" w:hAnsi="Times New Roman" w:cs="Times New Roman"/>
        </w:rPr>
        <w:t xml:space="preserve">It is suggested that the fact that not one of the judges in the UKSC has engaged with social security law </w:t>
      </w:r>
      <w:r w:rsidR="00E1746F" w:rsidRPr="00E1746F">
        <w:rPr>
          <w:rFonts w:ascii="Times New Roman" w:hAnsi="Times New Roman" w:cs="Times New Roman"/>
          <w:i/>
          <w:iCs/>
        </w:rPr>
        <w:t>as law</w:t>
      </w:r>
      <w:r w:rsidR="00E1746F">
        <w:rPr>
          <w:rFonts w:ascii="Times New Roman" w:hAnsi="Times New Roman" w:cs="Times New Roman"/>
        </w:rPr>
        <w:t xml:space="preserve"> when in practice, other th</w:t>
      </w:r>
      <w:r w:rsidR="00425EB2">
        <w:rPr>
          <w:rFonts w:ascii="Times New Roman" w:hAnsi="Times New Roman" w:cs="Times New Roman"/>
        </w:rPr>
        <w:t>a</w:t>
      </w:r>
      <w:r w:rsidR="00E1746F">
        <w:rPr>
          <w:rFonts w:ascii="Times New Roman" w:hAnsi="Times New Roman" w:cs="Times New Roman"/>
        </w:rPr>
        <w:t xml:space="preserve">n to defend the government’s (political) interests forms an important backdrop to this </w:t>
      </w:r>
      <w:proofErr w:type="spellStart"/>
      <w:r w:rsidR="00E1746F">
        <w:rPr>
          <w:rFonts w:ascii="Times New Roman" w:hAnsi="Times New Roman" w:cs="Times New Roman"/>
        </w:rPr>
        <w:t>alegalising</w:t>
      </w:r>
      <w:proofErr w:type="spellEnd"/>
      <w:r w:rsidR="00E1746F">
        <w:rPr>
          <w:rFonts w:ascii="Times New Roman" w:hAnsi="Times New Roman" w:cs="Times New Roman"/>
        </w:rPr>
        <w:t xml:space="preserve"> process. For the sake of completeness, the judges hearing </w:t>
      </w:r>
      <w:r w:rsidR="00E1746F">
        <w:rPr>
          <w:rFonts w:ascii="Times New Roman" w:hAnsi="Times New Roman" w:cs="Times New Roman"/>
          <w:i/>
          <w:iCs/>
        </w:rPr>
        <w:t xml:space="preserve">SC </w:t>
      </w:r>
      <w:r w:rsidR="00E1746F">
        <w:rPr>
          <w:rFonts w:ascii="Times New Roman" w:hAnsi="Times New Roman" w:cs="Times New Roman"/>
        </w:rPr>
        <w:t>were Lords Reed, Hodge, Lloyd Jones, Sales, and Stephens, and two former UKSC judges not discussed above in the section on current judges – Lord Kitchin and Lady Black. Using the same search techniques reveals that neither had acted in a reported social security law case. Lady Black’s specialism, family law, was at least different to the dominant ones of her peers. Lord Kitchin’s practice “</w:t>
      </w:r>
      <w:r w:rsidR="00E1746F" w:rsidRPr="00E1746F">
        <w:rPr>
          <w:rFonts w:ascii="Times New Roman" w:hAnsi="Times New Roman" w:cs="Times New Roman"/>
        </w:rPr>
        <w:t>covered all aspects of intellectual property including patents, trademarks, copyright, designs and trade secrets</w:t>
      </w:r>
      <w:r w:rsidR="00E1746F">
        <w:rPr>
          <w:rFonts w:ascii="Times New Roman" w:hAnsi="Times New Roman" w:cs="Times New Roman"/>
        </w:rPr>
        <w:t xml:space="preserve">” and his pre-Supreme Court judicial experience was in Chancery and the Patents Court. </w:t>
      </w:r>
    </w:p>
    <w:p w14:paraId="432B5EA4" w14:textId="428CAB9F" w:rsidR="0078307E" w:rsidRDefault="00000000" w:rsidP="00123C13">
      <w:pPr>
        <w:spacing w:after="120"/>
        <w:jc w:val="both"/>
        <w:rPr>
          <w:rFonts w:ascii="Times New Roman" w:hAnsi="Times New Roman" w:cs="Times New Roman"/>
          <w:lang w:val="en-US"/>
        </w:rPr>
      </w:pPr>
      <w:r>
        <w:rPr>
          <w:rFonts w:ascii="Times New Roman" w:hAnsi="Times New Roman" w:cs="Times New Roman"/>
          <w:lang w:val="en-US"/>
        </w:rPr>
        <w:t xml:space="preserve">An absence of social security law expertise may have contributed to the difficulty the judges had in </w:t>
      </w:r>
      <w:r>
        <w:rPr>
          <w:rFonts w:ascii="Times New Roman" w:hAnsi="Times New Roman" w:cs="Times New Roman"/>
          <w:i/>
          <w:iCs/>
          <w:lang w:val="en-US"/>
        </w:rPr>
        <w:t xml:space="preserve">SC </w:t>
      </w:r>
      <w:r>
        <w:rPr>
          <w:rFonts w:ascii="Times New Roman" w:hAnsi="Times New Roman" w:cs="Times New Roman"/>
          <w:lang w:val="en-US"/>
        </w:rPr>
        <w:t xml:space="preserve">seeing just how inappropriate the Secretary of State’s belief was that the two-child rule could make people at or below the poverty line “face the same choices” as the wealthy when it came to family size.  As </w:t>
      </w:r>
      <w:r w:rsidRPr="00385FCD">
        <w:rPr>
          <w:rFonts w:ascii="Times New Roman" w:hAnsi="Times New Roman" w:cs="Times New Roman"/>
          <w:lang w:val="en-US"/>
        </w:rPr>
        <w:t>Cohen-Rimer</w:t>
      </w:r>
      <w:r>
        <w:rPr>
          <w:rStyle w:val="FootnoteReference"/>
          <w:rFonts w:ascii="Times New Roman" w:hAnsi="Times New Roman" w:cs="Times New Roman"/>
          <w:lang w:val="en-US"/>
        </w:rPr>
        <w:footnoteReference w:id="48"/>
      </w:r>
      <w:r>
        <w:rPr>
          <w:rFonts w:ascii="Times New Roman" w:hAnsi="Times New Roman" w:cs="Times New Roman"/>
          <w:lang w:val="en-US"/>
        </w:rPr>
        <w:t xml:space="preserve"> argues, paternalism and a focus on choice “</w:t>
      </w:r>
      <w:r w:rsidRPr="00385FCD">
        <w:rPr>
          <w:rFonts w:ascii="Times New Roman" w:hAnsi="Times New Roman" w:cs="Times New Roman"/>
          <w:lang w:val="en-US"/>
        </w:rPr>
        <w:t>leads to ill-fitting rules – laws that involve factual and legal assumptions that have no basis in the reality of the very people they are designed to serve</w:t>
      </w:r>
      <w:r>
        <w:rPr>
          <w:rFonts w:ascii="Times New Roman" w:hAnsi="Times New Roman" w:cs="Times New Roman"/>
          <w:lang w:val="en-US"/>
        </w:rPr>
        <w:t xml:space="preserve">”. Cohen-Rimer’s focus is on legislators, who fail to </w:t>
      </w:r>
      <w:proofErr w:type="spellStart"/>
      <w:r>
        <w:rPr>
          <w:rFonts w:ascii="Times New Roman" w:hAnsi="Times New Roman" w:cs="Times New Roman"/>
          <w:lang w:val="en-US"/>
        </w:rPr>
        <w:t>recognise</w:t>
      </w:r>
      <w:proofErr w:type="spellEnd"/>
      <w:r>
        <w:rPr>
          <w:rFonts w:ascii="Times New Roman" w:hAnsi="Times New Roman" w:cs="Times New Roman"/>
          <w:lang w:val="en-US"/>
        </w:rPr>
        <w:t xml:space="preserve"> that “</w:t>
      </w:r>
      <w:r w:rsidRPr="000D40FE">
        <w:rPr>
          <w:rFonts w:ascii="Times New Roman" w:hAnsi="Times New Roman" w:cs="Times New Roman"/>
          <w:lang w:val="en-US"/>
        </w:rPr>
        <w:t>people living in poverty – even 3rd-generation poverty</w:t>
      </w:r>
      <w:r>
        <w:rPr>
          <w:rFonts w:ascii="Times New Roman" w:hAnsi="Times New Roman" w:cs="Times New Roman"/>
          <w:lang w:val="en-US"/>
        </w:rPr>
        <w:t>” have “</w:t>
      </w:r>
      <w:r w:rsidRPr="000D40FE">
        <w:rPr>
          <w:rFonts w:ascii="Times New Roman" w:hAnsi="Times New Roman" w:cs="Times New Roman"/>
          <w:lang w:val="en-US"/>
        </w:rPr>
        <w:t>profoundly different</w:t>
      </w:r>
      <w:r>
        <w:rPr>
          <w:rFonts w:ascii="Times New Roman" w:hAnsi="Times New Roman" w:cs="Times New Roman"/>
          <w:lang w:val="en-US"/>
        </w:rPr>
        <w:t>” lived experiences to them.</w:t>
      </w:r>
      <w:r>
        <w:rPr>
          <w:rStyle w:val="FootnoteReference"/>
          <w:rFonts w:ascii="Times New Roman" w:hAnsi="Times New Roman" w:cs="Times New Roman"/>
          <w:lang w:val="en-US"/>
        </w:rPr>
        <w:footnoteReference w:id="49"/>
      </w:r>
      <w:r>
        <w:rPr>
          <w:rFonts w:ascii="Times New Roman" w:hAnsi="Times New Roman" w:cs="Times New Roman"/>
          <w:lang w:val="en-US"/>
        </w:rPr>
        <w:t xml:space="preserve"> Legislators therefore “</w:t>
      </w:r>
      <w:r w:rsidRPr="000D40FE">
        <w:rPr>
          <w:rFonts w:ascii="Times New Roman" w:hAnsi="Times New Roman" w:cs="Times New Roman"/>
          <w:lang w:val="en-US"/>
        </w:rPr>
        <w:t>assume they can ‘walk in the shoes’ of people-in-poverty</w:t>
      </w:r>
      <w:r>
        <w:rPr>
          <w:rFonts w:ascii="Times New Roman" w:hAnsi="Times New Roman" w:cs="Times New Roman"/>
          <w:lang w:val="en-US"/>
        </w:rPr>
        <w:t>”.</w:t>
      </w:r>
      <w:r>
        <w:rPr>
          <w:rStyle w:val="FootnoteReference"/>
          <w:rFonts w:ascii="Times New Roman" w:hAnsi="Times New Roman" w:cs="Times New Roman"/>
          <w:lang w:val="en-US"/>
        </w:rPr>
        <w:footnoteReference w:id="50"/>
      </w:r>
      <w:r>
        <w:rPr>
          <w:rFonts w:ascii="Times New Roman" w:hAnsi="Times New Roman" w:cs="Times New Roman"/>
          <w:lang w:val="en-US"/>
        </w:rPr>
        <w:t xml:space="preserve"> The same is true, I argue, of a judiciary assuming they can walk in the shoes of a social security </w:t>
      </w:r>
      <w:r w:rsidR="00992146">
        <w:rPr>
          <w:rFonts w:ascii="Times New Roman" w:hAnsi="Times New Roman" w:cs="Times New Roman"/>
          <w:lang w:val="en-US"/>
        </w:rPr>
        <w:t>claimant</w:t>
      </w:r>
      <w:r>
        <w:rPr>
          <w:rFonts w:ascii="Times New Roman" w:hAnsi="Times New Roman" w:cs="Times New Roman"/>
          <w:lang w:val="en-US"/>
        </w:rPr>
        <w:t xml:space="preserve">. The appellants’ argument that the rule </w:t>
      </w:r>
      <w:r>
        <w:rPr>
          <w:rFonts w:ascii="Times New Roman" w:hAnsi="Times New Roman" w:cs="Times New Roman"/>
          <w:lang w:val="en-US"/>
        </w:rPr>
        <w:lastRenderedPageBreak/>
        <w:t>bites even when families make rational “choices” but then experience bereavement, or illness, or family separation, or unemployment, was met with the rather cavalier dismissal that “[h]</w:t>
      </w:r>
      <w:r w:rsidRPr="00C47DBD">
        <w:rPr>
          <w:rFonts w:ascii="Times New Roman" w:hAnsi="Times New Roman" w:cs="Times New Roman"/>
          <w:lang w:val="en-US"/>
        </w:rPr>
        <w:t>ow far the welfare system should go to protect families against the vicissitudes of life is a matter on which opinions in our society differ greatly, and of which Parliament is the best judge</w:t>
      </w:r>
      <w:r>
        <w:rPr>
          <w:rFonts w:ascii="Times New Roman" w:hAnsi="Times New Roman" w:cs="Times New Roman"/>
          <w:lang w:val="en-US"/>
        </w:rPr>
        <w:t>.”</w:t>
      </w:r>
      <w:r>
        <w:rPr>
          <w:rStyle w:val="FootnoteReference"/>
          <w:rFonts w:ascii="Times New Roman" w:hAnsi="Times New Roman" w:cs="Times New Roman"/>
          <w:lang w:val="en-US"/>
        </w:rPr>
        <w:footnoteReference w:id="51"/>
      </w:r>
      <w:r w:rsidR="000F4D61">
        <w:rPr>
          <w:rFonts w:ascii="Times New Roman" w:hAnsi="Times New Roman" w:cs="Times New Roman"/>
          <w:lang w:val="en-US"/>
        </w:rPr>
        <w:t xml:space="preserve"> Elite actors misunderstand poverty and the role that social security plays in alleviating it and so protecting key human rights; they have a simply different understanding of reality.</w:t>
      </w:r>
      <w:r>
        <w:rPr>
          <w:rStyle w:val="FootnoteReference"/>
          <w:rFonts w:ascii="Times New Roman" w:hAnsi="Times New Roman" w:cs="Times New Roman"/>
          <w:lang w:val="en-US"/>
        </w:rPr>
        <w:footnoteReference w:id="52"/>
      </w:r>
    </w:p>
    <w:p w14:paraId="28A81FD5" w14:textId="29A0C3C3" w:rsidR="00631BF7" w:rsidRPr="00123C13" w:rsidRDefault="00000000" w:rsidP="00123C13">
      <w:pPr>
        <w:spacing w:after="120"/>
        <w:jc w:val="both"/>
        <w:rPr>
          <w:rFonts w:ascii="Times New Roman" w:hAnsi="Times New Roman" w:cs="Times New Roman"/>
          <w:lang w:val="en-US"/>
        </w:rPr>
      </w:pPr>
      <w:r>
        <w:rPr>
          <w:rFonts w:ascii="Times New Roman" w:hAnsi="Times New Roman" w:cs="Times New Roman"/>
        </w:rPr>
        <w:t xml:space="preserve">This section will focus on the mechanisms by which the court characterised the issue as one of politics rather than law </w:t>
      </w:r>
      <w:r w:rsidR="00512D94">
        <w:rPr>
          <w:rFonts w:ascii="Times New Roman" w:hAnsi="Times New Roman" w:cs="Times New Roman"/>
        </w:rPr>
        <w:t>through:</w:t>
      </w: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a fatalistic approach to the ‘inevitability’ of discriminating against women and children in the realm of social security, thereby characterising the interests of social security claimants as pitted against the economic interests of society; (ii) the treatment of discrimination claims as means to smuggle politics into the courtroom; (iii) the automatic assumption that the government’s aims are legitimate; (iv) the disclaiming of any proper powers of judicial review; and (v) the inappropriate reliance on ‘democracy’ as the answer.</w:t>
      </w:r>
    </w:p>
    <w:p w14:paraId="6A84A54D" w14:textId="014CAA4B" w:rsidR="007D272A" w:rsidRPr="00123C13" w:rsidRDefault="00000000" w:rsidP="00123C13">
      <w:pPr>
        <w:pStyle w:val="ListParagraph"/>
        <w:numPr>
          <w:ilvl w:val="0"/>
          <w:numId w:val="1"/>
        </w:numPr>
        <w:spacing w:after="120"/>
        <w:contextualSpacing w:val="0"/>
        <w:jc w:val="both"/>
        <w:rPr>
          <w:rFonts w:ascii="Times New Roman" w:hAnsi="Times New Roman" w:cs="Times New Roman"/>
        </w:rPr>
      </w:pPr>
      <w:r>
        <w:rPr>
          <w:rFonts w:ascii="Times New Roman" w:hAnsi="Times New Roman" w:cs="Times New Roman"/>
        </w:rPr>
        <w:t>The inevitability of discriminating against women and children</w:t>
      </w:r>
    </w:p>
    <w:p w14:paraId="30C3E3CD" w14:textId="5370E62A" w:rsidR="00E80EEB" w:rsidRPr="00123C13" w:rsidRDefault="00000000" w:rsidP="00123C13">
      <w:pPr>
        <w:spacing w:after="120"/>
        <w:jc w:val="both"/>
        <w:rPr>
          <w:rFonts w:ascii="Times New Roman" w:hAnsi="Times New Roman" w:cs="Times New Roman"/>
        </w:rPr>
      </w:pPr>
      <w:r>
        <w:rPr>
          <w:rFonts w:ascii="Times New Roman" w:hAnsi="Times New Roman" w:cs="Times New Roman"/>
        </w:rPr>
        <w:t xml:space="preserve">The key legal hook for the claimants challenging the two-child rule, was via discrimination contrary to the European Convention on Human Rights, as incorporated by the Human Rights Act 1998. By </w:t>
      </w:r>
      <w:r w:rsidR="00FA12AC">
        <w:rPr>
          <w:rFonts w:ascii="Times New Roman" w:hAnsi="Times New Roman" w:cs="Times New Roman"/>
        </w:rPr>
        <w:t>weakening the prohibition of discrimination, the court weakens the legal credentials of the claim</w:t>
      </w:r>
      <w:r w:rsidR="00381758">
        <w:rPr>
          <w:rFonts w:ascii="Times New Roman" w:hAnsi="Times New Roman" w:cs="Times New Roman"/>
        </w:rPr>
        <w:t xml:space="preserve">. It does this through creating a novel justification – discrimination was inevitable. In this approach, the fact of disproportionate impact was </w:t>
      </w:r>
      <w:r w:rsidR="005E6240">
        <w:rPr>
          <w:rFonts w:ascii="Times New Roman" w:hAnsi="Times New Roman" w:cs="Times New Roman"/>
        </w:rPr>
        <w:t>used not as evidence of prima facie discrimination, but as evidence that discrimination was unavoidable:</w:t>
      </w:r>
      <w:r w:rsidR="00381758">
        <w:rPr>
          <w:rFonts w:ascii="Times New Roman" w:hAnsi="Times New Roman" w:cs="Times New Roman"/>
        </w:rPr>
        <w:t xml:space="preserve"> </w:t>
      </w:r>
      <w:r w:rsidR="003C7299" w:rsidRPr="008A293D">
        <w:rPr>
          <w:rFonts w:ascii="Times New Roman" w:hAnsi="Times New Roman" w:cs="Times New Roman"/>
        </w:rPr>
        <w:t xml:space="preserve"> </w:t>
      </w:r>
    </w:p>
    <w:p w14:paraId="44EFCFF1" w14:textId="2D3AB08D" w:rsidR="005E6240" w:rsidRPr="00123C13" w:rsidRDefault="00000000" w:rsidP="00123C13">
      <w:pPr>
        <w:pStyle w:val="paralevel1"/>
        <w:spacing w:before="0" w:beforeAutospacing="0" w:after="120" w:afterAutospacing="0"/>
        <w:ind w:left="357"/>
        <w:jc w:val="both"/>
        <w:rPr>
          <w:i/>
          <w:iCs/>
          <w:color w:val="000000"/>
        </w:rPr>
      </w:pPr>
      <w:bookmarkStart w:id="3" w:name="para197"/>
      <w:r w:rsidRPr="00E84859">
        <w:rPr>
          <w:i/>
          <w:iCs/>
          <w:color w:val="000000"/>
        </w:rPr>
        <w:t>“In short, more women than men are affected because more women than men are bringing up children. That is an objective fact. There is no suggestion that that is itself the result of discrimination on the ground of sex.”</w:t>
      </w:r>
      <w:r>
        <w:rPr>
          <w:rStyle w:val="FootnoteReference"/>
          <w:color w:val="000000"/>
        </w:rPr>
        <w:footnoteReference w:id="53"/>
      </w:r>
      <w:bookmarkEnd w:id="3"/>
    </w:p>
    <w:p w14:paraId="0C13F5DD" w14:textId="6AA5B7FE" w:rsidR="00FA5649" w:rsidRDefault="00000000" w:rsidP="00123C13">
      <w:pPr>
        <w:spacing w:after="120"/>
        <w:jc w:val="both"/>
        <w:rPr>
          <w:rFonts w:ascii="Times New Roman" w:hAnsi="Times New Roman" w:cs="Times New Roman"/>
          <w:lang w:val="en-US"/>
        </w:rPr>
      </w:pPr>
      <w:r>
        <w:rPr>
          <w:rFonts w:ascii="Times New Roman" w:hAnsi="Times New Roman" w:cs="Times New Roman"/>
          <w:lang w:val="en-US"/>
        </w:rPr>
        <w:t>This blunt statement of ‘objective fact’ demolishes the foundations of indirect discrimination</w:t>
      </w:r>
      <w:bookmarkStart w:id="4" w:name="_Ref162275169"/>
      <w:r w:rsidR="001C0B42">
        <w:rPr>
          <w:rFonts w:ascii="Times New Roman" w:hAnsi="Times New Roman" w:cs="Times New Roman"/>
          <w:lang w:val="en-US"/>
        </w:rPr>
        <w:t>,</w:t>
      </w:r>
      <w:r>
        <w:rPr>
          <w:rStyle w:val="FootnoteReference"/>
          <w:rFonts w:ascii="Times New Roman" w:hAnsi="Times New Roman" w:cs="Times New Roman"/>
          <w:lang w:val="en-US"/>
        </w:rPr>
        <w:footnoteReference w:id="54"/>
      </w:r>
      <w:bookmarkEnd w:id="4"/>
      <w:r>
        <w:rPr>
          <w:rFonts w:ascii="Times New Roman" w:hAnsi="Times New Roman" w:cs="Times New Roman"/>
          <w:lang w:val="en-US"/>
        </w:rPr>
        <w:t xml:space="preserve"> </w:t>
      </w:r>
      <w:r w:rsidR="001C0B42">
        <w:rPr>
          <w:rFonts w:ascii="Times New Roman" w:hAnsi="Times New Roman" w:cs="Times New Roman"/>
          <w:lang w:val="en-US"/>
        </w:rPr>
        <w:t>which does not require a discriminatory motivation, it stems from disproportionate impact. The prohibition of i</w:t>
      </w:r>
      <w:r w:rsidR="001C0B42" w:rsidRPr="00E84859">
        <w:rPr>
          <w:rFonts w:ascii="Times New Roman" w:hAnsi="Times New Roman" w:cs="Times New Roman"/>
          <w:lang w:val="en-US"/>
        </w:rPr>
        <w:t>ndirect discrimination</w:t>
      </w:r>
      <w:r w:rsidR="001C0B42">
        <w:rPr>
          <w:rFonts w:ascii="Times New Roman" w:hAnsi="Times New Roman" w:cs="Times New Roman"/>
          <w:lang w:val="en-US"/>
        </w:rPr>
        <w:t xml:space="preserve"> is meant to embody the principle that situations which are not alike should not be treated as alike, so preventing measures that disadvantage one group more than others.</w:t>
      </w:r>
      <w:r>
        <w:rPr>
          <w:rStyle w:val="FootnoteReference"/>
          <w:rFonts w:ascii="Times New Roman" w:hAnsi="Times New Roman" w:cs="Times New Roman"/>
          <w:lang w:val="en-US"/>
        </w:rPr>
        <w:footnoteReference w:id="55"/>
      </w:r>
      <w:r w:rsidR="001C0B42">
        <w:rPr>
          <w:rFonts w:ascii="Times New Roman" w:hAnsi="Times New Roman" w:cs="Times New Roman"/>
          <w:lang w:val="en-US"/>
        </w:rPr>
        <w:t xml:space="preserve"> It has been the subject of significant case law </w:t>
      </w:r>
      <w:r w:rsidR="001C0B42" w:rsidRPr="00E84859">
        <w:rPr>
          <w:rFonts w:ascii="Times New Roman" w:hAnsi="Times New Roman" w:cs="Times New Roman"/>
          <w:lang w:val="en-US"/>
        </w:rPr>
        <w:t xml:space="preserve">from the </w:t>
      </w:r>
      <w:r w:rsidR="00512D94">
        <w:rPr>
          <w:rFonts w:ascii="Times New Roman" w:hAnsi="Times New Roman" w:cs="Times New Roman"/>
          <w:lang w:val="en-US"/>
        </w:rPr>
        <w:t>European Court of Human Rights (</w:t>
      </w:r>
      <w:r w:rsidR="001C0B42" w:rsidRPr="00E84859">
        <w:rPr>
          <w:rFonts w:ascii="Times New Roman" w:hAnsi="Times New Roman" w:cs="Times New Roman"/>
          <w:lang w:val="en-US"/>
        </w:rPr>
        <w:t>ECtHR</w:t>
      </w:r>
      <w:r w:rsidR="00512D94">
        <w:rPr>
          <w:rFonts w:ascii="Times New Roman" w:hAnsi="Times New Roman" w:cs="Times New Roman"/>
          <w:lang w:val="en-US"/>
        </w:rPr>
        <w:t>)</w:t>
      </w:r>
      <w:r w:rsidR="001C0B42" w:rsidRPr="00E84859">
        <w:rPr>
          <w:rFonts w:ascii="Times New Roman" w:hAnsi="Times New Roman" w:cs="Times New Roman"/>
          <w:lang w:val="en-US"/>
        </w:rPr>
        <w:t>,</w:t>
      </w:r>
      <w:r>
        <w:rPr>
          <w:rStyle w:val="FootnoteReference"/>
          <w:rFonts w:ascii="Times New Roman" w:hAnsi="Times New Roman" w:cs="Times New Roman"/>
          <w:lang w:val="en-US"/>
        </w:rPr>
        <w:footnoteReference w:id="56"/>
      </w:r>
      <w:r w:rsidR="001C0B42" w:rsidRPr="00E84859">
        <w:rPr>
          <w:rFonts w:ascii="Times New Roman" w:hAnsi="Times New Roman" w:cs="Times New Roman"/>
          <w:lang w:val="en-US"/>
        </w:rPr>
        <w:t xml:space="preserve"> the EU</w:t>
      </w:r>
      <w:r>
        <w:rPr>
          <w:rStyle w:val="FootnoteReference"/>
          <w:rFonts w:ascii="Times New Roman" w:hAnsi="Times New Roman" w:cs="Times New Roman"/>
          <w:lang w:val="en-US"/>
        </w:rPr>
        <w:footnoteReference w:id="57"/>
      </w:r>
      <w:r w:rsidR="001C0B42" w:rsidRPr="00E84859">
        <w:rPr>
          <w:rFonts w:ascii="Times New Roman" w:hAnsi="Times New Roman" w:cs="Times New Roman"/>
          <w:lang w:val="en-US"/>
        </w:rPr>
        <w:t xml:space="preserve"> and </w:t>
      </w:r>
      <w:r w:rsidR="001C0B42">
        <w:rPr>
          <w:rFonts w:ascii="Times New Roman" w:hAnsi="Times New Roman" w:cs="Times New Roman"/>
          <w:lang w:val="en-US"/>
        </w:rPr>
        <w:t xml:space="preserve">in </w:t>
      </w:r>
      <w:r w:rsidR="001C0B42" w:rsidRPr="00E84859">
        <w:rPr>
          <w:rFonts w:ascii="Times New Roman" w:hAnsi="Times New Roman" w:cs="Times New Roman"/>
          <w:lang w:val="en-US"/>
        </w:rPr>
        <w:t>the UK.</w:t>
      </w:r>
      <w:r>
        <w:rPr>
          <w:rStyle w:val="FootnoteReference"/>
          <w:rFonts w:ascii="Times New Roman" w:hAnsi="Times New Roman" w:cs="Times New Roman"/>
          <w:lang w:val="en-US"/>
        </w:rPr>
        <w:footnoteReference w:id="58"/>
      </w:r>
      <w:r w:rsidR="002D3759">
        <w:rPr>
          <w:rFonts w:ascii="Times New Roman" w:hAnsi="Times New Roman" w:cs="Times New Roman"/>
          <w:lang w:val="en-US"/>
        </w:rPr>
        <w:t xml:space="preserve"> But the Supreme Court in </w:t>
      </w:r>
      <w:r w:rsidR="002D3759">
        <w:rPr>
          <w:rFonts w:ascii="Times New Roman" w:hAnsi="Times New Roman" w:cs="Times New Roman"/>
          <w:i/>
          <w:iCs/>
          <w:lang w:val="en-US"/>
        </w:rPr>
        <w:t>SC</w:t>
      </w:r>
      <w:r w:rsidR="002D3759">
        <w:rPr>
          <w:rFonts w:ascii="Times New Roman" w:hAnsi="Times New Roman" w:cs="Times New Roman"/>
          <w:lang w:val="en-US"/>
        </w:rPr>
        <w:t xml:space="preserve"> dispensed with the question by noting </w:t>
      </w:r>
      <w:r w:rsidR="001C0B42">
        <w:rPr>
          <w:rFonts w:ascii="Times New Roman" w:hAnsi="Times New Roman" w:cs="Times New Roman"/>
          <w:lang w:val="en-US"/>
        </w:rPr>
        <w:t xml:space="preserve">that </w:t>
      </w:r>
      <w:r w:rsidR="001C0B42" w:rsidRPr="00E84859">
        <w:rPr>
          <w:rFonts w:ascii="Times New Roman" w:hAnsi="Times New Roman" w:cs="Times New Roman"/>
          <w:lang w:val="en-US"/>
        </w:rPr>
        <w:t>“it was inevitable, if the aims of the legislation were to be achieved, that there would be a greater numerical impact on women than on men</w:t>
      </w:r>
      <w:r w:rsidR="002D3759">
        <w:rPr>
          <w:rFonts w:ascii="Times New Roman" w:hAnsi="Times New Roman" w:cs="Times New Roman"/>
          <w:lang w:val="en-US"/>
        </w:rPr>
        <w:t>.</w:t>
      </w:r>
      <w:r w:rsidR="001C0B42" w:rsidRPr="00E84859">
        <w:rPr>
          <w:rFonts w:ascii="Times New Roman" w:hAnsi="Times New Roman" w:cs="Times New Roman"/>
          <w:lang w:val="en-US"/>
        </w:rPr>
        <w:t>”</w:t>
      </w:r>
      <w:r>
        <w:rPr>
          <w:rStyle w:val="FootnoteReference"/>
          <w:rFonts w:ascii="Times New Roman" w:hAnsi="Times New Roman" w:cs="Times New Roman"/>
          <w:lang w:val="en-US"/>
        </w:rPr>
        <w:footnoteReference w:id="59"/>
      </w:r>
      <w:r w:rsidR="001C0B42">
        <w:rPr>
          <w:rFonts w:ascii="Times New Roman" w:hAnsi="Times New Roman" w:cs="Times New Roman"/>
          <w:lang w:val="en-US"/>
        </w:rPr>
        <w:t xml:space="preserve"> </w:t>
      </w:r>
      <w:r w:rsidR="00C56AD4">
        <w:rPr>
          <w:rFonts w:ascii="Times New Roman" w:hAnsi="Times New Roman" w:cs="Times New Roman"/>
          <w:lang w:val="en-US"/>
        </w:rPr>
        <w:t>Such a gendered impact was found to be</w:t>
      </w:r>
      <w:r w:rsidR="004732C3" w:rsidRPr="00E84859">
        <w:rPr>
          <w:rFonts w:ascii="Times New Roman" w:hAnsi="Times New Roman" w:cs="Times New Roman"/>
          <w:lang w:val="en-US"/>
        </w:rPr>
        <w:t xml:space="preserve"> </w:t>
      </w:r>
      <w:r w:rsidR="00217504">
        <w:rPr>
          <w:rFonts w:ascii="Times New Roman" w:hAnsi="Times New Roman" w:cs="Times New Roman"/>
          <w:lang w:val="en-US"/>
        </w:rPr>
        <w:t>“</w:t>
      </w:r>
      <w:r w:rsidR="004732C3" w:rsidRPr="00E84859">
        <w:rPr>
          <w:rFonts w:ascii="Times New Roman" w:hAnsi="Times New Roman" w:cs="Times New Roman"/>
          <w:lang w:val="en-US"/>
        </w:rPr>
        <w:t>inherent in any general measure which limits expenditure on child-related benefits</w:t>
      </w:r>
      <w:r w:rsidR="00D11EF0" w:rsidRPr="00E84859">
        <w:rPr>
          <w:rFonts w:ascii="Times New Roman" w:hAnsi="Times New Roman" w:cs="Times New Roman"/>
          <w:lang w:val="en-US"/>
        </w:rPr>
        <w:t>”.</w:t>
      </w:r>
      <w:r w:rsidR="00C56AD4">
        <w:rPr>
          <w:rFonts w:ascii="Times New Roman" w:hAnsi="Times New Roman" w:cs="Times New Roman"/>
          <w:lang w:val="en-US"/>
        </w:rPr>
        <w:t xml:space="preserve"> But rather than providing an explanation, this point underlines the </w:t>
      </w:r>
      <w:r w:rsidR="00C56AD4">
        <w:rPr>
          <w:rFonts w:ascii="Times New Roman" w:hAnsi="Times New Roman" w:cs="Times New Roman"/>
          <w:lang w:val="en-US"/>
        </w:rPr>
        <w:lastRenderedPageBreak/>
        <w:t xml:space="preserve">fact that the measures </w:t>
      </w:r>
      <w:r w:rsidR="0099186B">
        <w:rPr>
          <w:rFonts w:ascii="Times New Roman" w:hAnsi="Times New Roman" w:cs="Times New Roman"/>
          <w:lang w:val="en-US"/>
        </w:rPr>
        <w:t xml:space="preserve">will </w:t>
      </w:r>
      <w:r w:rsidR="005E4E22" w:rsidRPr="00E84859">
        <w:rPr>
          <w:rFonts w:ascii="Times New Roman" w:hAnsi="Times New Roman" w:cs="Times New Roman"/>
          <w:lang w:val="en-US"/>
        </w:rPr>
        <w:t xml:space="preserve">hurt women and children first. </w:t>
      </w:r>
      <w:r w:rsidR="000A47F1">
        <w:rPr>
          <w:rFonts w:ascii="Times New Roman" w:hAnsi="Times New Roman" w:cs="Times New Roman"/>
          <w:lang w:val="en-US"/>
        </w:rPr>
        <w:t>T</w:t>
      </w:r>
      <w:r w:rsidRPr="00E84859">
        <w:rPr>
          <w:rFonts w:ascii="Times New Roman" w:hAnsi="Times New Roman" w:cs="Times New Roman"/>
          <w:lang w:val="en-US"/>
        </w:rPr>
        <w:t xml:space="preserve">he </w:t>
      </w:r>
      <w:r w:rsidR="0009519E">
        <w:rPr>
          <w:rFonts w:ascii="Times New Roman" w:hAnsi="Times New Roman" w:cs="Times New Roman"/>
          <w:lang w:val="en-US"/>
        </w:rPr>
        <w:t>court</w:t>
      </w:r>
      <w:r w:rsidRPr="00E84859">
        <w:rPr>
          <w:rFonts w:ascii="Times New Roman" w:hAnsi="Times New Roman" w:cs="Times New Roman"/>
          <w:lang w:val="en-US"/>
        </w:rPr>
        <w:t xml:space="preserve">’s </w:t>
      </w:r>
      <w:r w:rsidR="005C6A3C">
        <w:rPr>
          <w:rFonts w:ascii="Times New Roman" w:hAnsi="Times New Roman" w:cs="Times New Roman"/>
          <w:lang w:val="en-US"/>
        </w:rPr>
        <w:t>jurid</w:t>
      </w:r>
      <w:r w:rsidRPr="00E84859">
        <w:rPr>
          <w:rFonts w:ascii="Times New Roman" w:hAnsi="Times New Roman" w:cs="Times New Roman"/>
          <w:lang w:val="en-US"/>
        </w:rPr>
        <w:t xml:space="preserve">ical </w:t>
      </w:r>
      <w:r w:rsidR="0091459E" w:rsidRPr="00E84859">
        <w:rPr>
          <w:rFonts w:ascii="Times New Roman" w:hAnsi="Times New Roman" w:cs="Times New Roman"/>
          <w:lang w:val="en-US"/>
        </w:rPr>
        <w:t>fatalism</w:t>
      </w:r>
      <w:r w:rsidRPr="00E84859">
        <w:rPr>
          <w:rFonts w:ascii="Times New Roman" w:hAnsi="Times New Roman" w:cs="Times New Roman"/>
          <w:lang w:val="en-US"/>
        </w:rPr>
        <w:t xml:space="preserve"> </w:t>
      </w:r>
      <w:r w:rsidR="0091459E" w:rsidRPr="00E84859">
        <w:rPr>
          <w:rFonts w:ascii="Times New Roman" w:hAnsi="Times New Roman" w:cs="Times New Roman"/>
          <w:lang w:val="en-US"/>
        </w:rPr>
        <w:t>in</w:t>
      </w:r>
      <w:r w:rsidRPr="00E84859">
        <w:rPr>
          <w:rFonts w:ascii="Times New Roman" w:hAnsi="Times New Roman" w:cs="Times New Roman"/>
          <w:lang w:val="en-US"/>
        </w:rPr>
        <w:t xml:space="preserve"> justifying discrimination – it is </w:t>
      </w:r>
      <w:proofErr w:type="gramStart"/>
      <w:r w:rsidRPr="00E84859">
        <w:rPr>
          <w:rFonts w:ascii="Times New Roman" w:hAnsi="Times New Roman" w:cs="Times New Roman"/>
          <w:lang w:val="en-US"/>
        </w:rPr>
        <w:t>inevitable,</w:t>
      </w:r>
      <w:proofErr w:type="gramEnd"/>
      <w:r w:rsidRPr="00E84859">
        <w:rPr>
          <w:rFonts w:ascii="Times New Roman" w:hAnsi="Times New Roman" w:cs="Times New Roman"/>
          <w:lang w:val="en-US"/>
        </w:rPr>
        <w:t xml:space="preserve"> therefore it is lawful </w:t>
      </w:r>
      <w:r w:rsidR="00D2045F" w:rsidRPr="00E84859">
        <w:rPr>
          <w:rFonts w:ascii="Times New Roman" w:hAnsi="Times New Roman" w:cs="Times New Roman"/>
          <w:lang w:val="en-US"/>
        </w:rPr>
        <w:t>–</w:t>
      </w:r>
      <w:r w:rsidRPr="00E84859">
        <w:rPr>
          <w:rFonts w:ascii="Times New Roman" w:hAnsi="Times New Roman" w:cs="Times New Roman"/>
          <w:lang w:val="en-US"/>
        </w:rPr>
        <w:t xml:space="preserve"> </w:t>
      </w:r>
      <w:r w:rsidR="00D2045F" w:rsidRPr="00E84859">
        <w:rPr>
          <w:rFonts w:ascii="Times New Roman" w:hAnsi="Times New Roman" w:cs="Times New Roman"/>
          <w:lang w:val="en-US"/>
        </w:rPr>
        <w:t xml:space="preserve">follows naturally on from the logic that welfare policy is political, therefore it must be lawful, </w:t>
      </w:r>
      <w:r w:rsidR="007D699E" w:rsidRPr="00E84859">
        <w:rPr>
          <w:rFonts w:ascii="Times New Roman" w:hAnsi="Times New Roman" w:cs="Times New Roman"/>
          <w:lang w:val="en-US"/>
        </w:rPr>
        <w:t>and th</w:t>
      </w:r>
      <w:r w:rsidR="005C6A3C">
        <w:rPr>
          <w:rFonts w:ascii="Times New Roman" w:hAnsi="Times New Roman" w:cs="Times New Roman"/>
          <w:lang w:val="en-US"/>
        </w:rPr>
        <w:t>at</w:t>
      </w:r>
      <w:r w:rsidR="007D699E" w:rsidRPr="00E84859">
        <w:rPr>
          <w:rFonts w:ascii="Times New Roman" w:hAnsi="Times New Roman" w:cs="Times New Roman"/>
          <w:lang w:val="en-US"/>
        </w:rPr>
        <w:t xml:space="preserve"> discrimination cannot be avoided</w:t>
      </w:r>
      <w:r w:rsidR="00514C0B" w:rsidRPr="00E84859">
        <w:rPr>
          <w:rFonts w:ascii="Times New Roman" w:hAnsi="Times New Roman" w:cs="Times New Roman"/>
          <w:lang w:val="en-US"/>
        </w:rPr>
        <w:t>.</w:t>
      </w:r>
      <w:r w:rsidR="00415ACB" w:rsidRPr="00E84859">
        <w:rPr>
          <w:rFonts w:ascii="Times New Roman" w:hAnsi="Times New Roman" w:cs="Times New Roman"/>
          <w:lang w:val="en-US"/>
        </w:rPr>
        <w:t xml:space="preserve"> It is </w:t>
      </w:r>
      <w:r w:rsidR="00512D94">
        <w:rPr>
          <w:rFonts w:ascii="Times New Roman" w:hAnsi="Times New Roman" w:cs="Times New Roman"/>
          <w:lang w:val="en-US"/>
        </w:rPr>
        <w:t>‘</w:t>
      </w:r>
      <w:r w:rsidR="00415ACB" w:rsidRPr="00E84859">
        <w:rPr>
          <w:rFonts w:ascii="Times New Roman" w:hAnsi="Times New Roman" w:cs="Times New Roman"/>
          <w:lang w:val="en-US"/>
        </w:rPr>
        <w:t>TINA</w:t>
      </w:r>
      <w:r w:rsidR="00512D94">
        <w:rPr>
          <w:rFonts w:ascii="Times New Roman" w:hAnsi="Times New Roman" w:cs="Times New Roman"/>
          <w:lang w:val="en-US"/>
        </w:rPr>
        <w:t>’</w:t>
      </w:r>
      <w:r w:rsidR="00415ACB" w:rsidRPr="00E84859">
        <w:rPr>
          <w:rFonts w:ascii="Times New Roman" w:hAnsi="Times New Roman" w:cs="Times New Roman"/>
          <w:lang w:val="en-US"/>
        </w:rPr>
        <w:t xml:space="preserve"> for judges </w:t>
      </w:r>
      <w:r w:rsidR="00512D94">
        <w:rPr>
          <w:rFonts w:ascii="Times New Roman" w:hAnsi="Times New Roman" w:cs="Times New Roman"/>
          <w:lang w:val="en-US"/>
        </w:rPr>
        <w:t>(‘T</w:t>
      </w:r>
      <w:r w:rsidR="00415ACB" w:rsidRPr="00E84859">
        <w:rPr>
          <w:rFonts w:ascii="Times New Roman" w:hAnsi="Times New Roman" w:cs="Times New Roman"/>
          <w:lang w:val="en-US"/>
        </w:rPr>
        <w:t xml:space="preserve">here </w:t>
      </w:r>
      <w:r w:rsidR="00512D94">
        <w:rPr>
          <w:rFonts w:ascii="Times New Roman" w:hAnsi="Times New Roman" w:cs="Times New Roman"/>
          <w:lang w:val="en-US"/>
        </w:rPr>
        <w:t>I</w:t>
      </w:r>
      <w:r w:rsidR="00415ACB" w:rsidRPr="00E84859">
        <w:rPr>
          <w:rFonts w:ascii="Times New Roman" w:hAnsi="Times New Roman" w:cs="Times New Roman"/>
          <w:lang w:val="en-US"/>
        </w:rPr>
        <w:t xml:space="preserve">s </w:t>
      </w:r>
      <w:r w:rsidR="00512D94">
        <w:rPr>
          <w:rFonts w:ascii="Times New Roman" w:hAnsi="Times New Roman" w:cs="Times New Roman"/>
          <w:lang w:val="en-US"/>
        </w:rPr>
        <w:t>N</w:t>
      </w:r>
      <w:r w:rsidR="00415ACB" w:rsidRPr="00E84859">
        <w:rPr>
          <w:rFonts w:ascii="Times New Roman" w:hAnsi="Times New Roman" w:cs="Times New Roman"/>
          <w:lang w:val="en-US"/>
        </w:rPr>
        <w:t xml:space="preserve">o </w:t>
      </w:r>
      <w:r w:rsidR="00512D94">
        <w:rPr>
          <w:rFonts w:ascii="Times New Roman" w:hAnsi="Times New Roman" w:cs="Times New Roman"/>
          <w:lang w:val="en-US"/>
        </w:rPr>
        <w:t>A</w:t>
      </w:r>
      <w:r w:rsidR="00415ACB" w:rsidRPr="00E84859">
        <w:rPr>
          <w:rFonts w:ascii="Times New Roman" w:hAnsi="Times New Roman" w:cs="Times New Roman"/>
          <w:lang w:val="en-US"/>
        </w:rPr>
        <w:t>lternative</w:t>
      </w:r>
      <w:r w:rsidR="00512D94">
        <w:rPr>
          <w:rFonts w:ascii="Times New Roman" w:hAnsi="Times New Roman" w:cs="Times New Roman"/>
          <w:lang w:val="en-US"/>
        </w:rPr>
        <w:t>’),</w:t>
      </w:r>
      <w:r>
        <w:rPr>
          <w:rStyle w:val="FootnoteReference"/>
          <w:rFonts w:ascii="Times New Roman" w:hAnsi="Times New Roman" w:cs="Times New Roman"/>
          <w:lang w:val="en-US"/>
        </w:rPr>
        <w:footnoteReference w:id="60"/>
      </w:r>
      <w:r w:rsidR="009C18B7">
        <w:rPr>
          <w:rFonts w:ascii="Times New Roman" w:hAnsi="Times New Roman" w:cs="Times New Roman"/>
          <w:lang w:val="en-US"/>
        </w:rPr>
        <w:t xml:space="preserve"> when </w:t>
      </w:r>
      <w:r w:rsidR="00415ACB" w:rsidRPr="00E84859">
        <w:rPr>
          <w:rFonts w:ascii="Times New Roman" w:hAnsi="Times New Roman" w:cs="Times New Roman"/>
          <w:lang w:val="en-US"/>
        </w:rPr>
        <w:t>clearly, in fact, there is</w:t>
      </w:r>
      <w:r w:rsidR="009C18B7">
        <w:rPr>
          <w:rFonts w:ascii="Times New Roman" w:hAnsi="Times New Roman" w:cs="Times New Roman"/>
          <w:lang w:val="en-US"/>
        </w:rPr>
        <w:t xml:space="preserve">, but recognizing this may be easier if one has a background in interrogating and challenging social security measures. </w:t>
      </w:r>
      <w:r w:rsidR="00514C0B" w:rsidRPr="00E84859">
        <w:rPr>
          <w:rFonts w:ascii="Times New Roman" w:hAnsi="Times New Roman" w:cs="Times New Roman"/>
          <w:lang w:val="en-US"/>
        </w:rPr>
        <w:t xml:space="preserve"> </w:t>
      </w:r>
      <w:r w:rsidR="00D2045F" w:rsidRPr="00E84859">
        <w:rPr>
          <w:rFonts w:ascii="Times New Roman" w:hAnsi="Times New Roman" w:cs="Times New Roman"/>
          <w:lang w:val="en-US"/>
        </w:rPr>
        <w:t xml:space="preserve">   </w:t>
      </w:r>
    </w:p>
    <w:p w14:paraId="3D0014EF" w14:textId="08537349" w:rsidR="005E3704" w:rsidRDefault="00000000" w:rsidP="00123C13">
      <w:pPr>
        <w:spacing w:after="120"/>
        <w:jc w:val="both"/>
        <w:rPr>
          <w:rFonts w:ascii="Times New Roman" w:hAnsi="Times New Roman" w:cs="Times New Roman"/>
          <w:lang w:val="en-US"/>
        </w:rPr>
      </w:pPr>
      <w:r>
        <w:rPr>
          <w:rFonts w:ascii="Times New Roman" w:hAnsi="Times New Roman" w:cs="Times New Roman"/>
          <w:lang w:val="en-US"/>
        </w:rPr>
        <w:t xml:space="preserve">The inevitability </w:t>
      </w:r>
      <w:proofErr w:type="spellStart"/>
      <w:r>
        <w:rPr>
          <w:rFonts w:ascii="Times New Roman" w:hAnsi="Times New Roman" w:cs="Times New Roman"/>
          <w:lang w:val="en-US"/>
        </w:rPr>
        <w:t>defence</w:t>
      </w:r>
      <w:proofErr w:type="spellEnd"/>
      <w:r>
        <w:rPr>
          <w:rFonts w:ascii="Times New Roman" w:hAnsi="Times New Roman" w:cs="Times New Roman"/>
          <w:lang w:val="en-US"/>
        </w:rPr>
        <w:t xml:space="preserve"> was also deployed against claims of discrimination against children. D</w:t>
      </w:r>
      <w:r w:rsidRPr="00E84859">
        <w:rPr>
          <w:rFonts w:ascii="Times New Roman" w:hAnsi="Times New Roman" w:cs="Times New Roman"/>
          <w:lang w:val="en-US"/>
        </w:rPr>
        <w:t xml:space="preserve">isproportionate impact </w:t>
      </w:r>
      <w:r>
        <w:rPr>
          <w:rFonts w:ascii="Times New Roman" w:hAnsi="Times New Roman" w:cs="Times New Roman"/>
          <w:lang w:val="en-US"/>
        </w:rPr>
        <w:t xml:space="preserve">upon children </w:t>
      </w:r>
      <w:r w:rsidRPr="00E84859">
        <w:rPr>
          <w:rFonts w:ascii="Times New Roman" w:hAnsi="Times New Roman" w:cs="Times New Roman"/>
          <w:lang w:val="en-US"/>
        </w:rPr>
        <w:t xml:space="preserve">was “of course, an inevitable consequence of the measure” because the households affected </w:t>
      </w:r>
      <w:r>
        <w:rPr>
          <w:rFonts w:ascii="Times New Roman" w:hAnsi="Times New Roman" w:cs="Times New Roman"/>
          <w:lang w:val="en-US"/>
        </w:rPr>
        <w:t>contain three or more children</w:t>
      </w:r>
      <w:r w:rsidRPr="00E84859">
        <w:rPr>
          <w:rFonts w:ascii="Times New Roman" w:hAnsi="Times New Roman" w:cs="Times New Roman"/>
          <w:lang w:val="en-US"/>
        </w:rPr>
        <w:t>.</w:t>
      </w:r>
      <w:r>
        <w:rPr>
          <w:rFonts w:ascii="Times New Roman" w:hAnsi="Times New Roman" w:cs="Times New Roman"/>
          <w:vertAlign w:val="superscript"/>
          <w:lang w:val="en-US"/>
        </w:rPr>
        <w:footnoteReference w:id="61"/>
      </w:r>
      <w:r w:rsidRPr="00E84859">
        <w:rPr>
          <w:rFonts w:ascii="Times New Roman" w:hAnsi="Times New Roman" w:cs="Times New Roman"/>
          <w:lang w:val="en-US"/>
        </w:rPr>
        <w:t xml:space="preserve"> </w:t>
      </w:r>
      <w:r w:rsidR="00282816" w:rsidRPr="00E84859">
        <w:rPr>
          <w:rFonts w:ascii="Times New Roman" w:hAnsi="Times New Roman" w:cs="Times New Roman"/>
          <w:lang w:val="en-US"/>
        </w:rPr>
        <w:t>Th</w:t>
      </w:r>
      <w:r w:rsidR="00160603">
        <w:rPr>
          <w:rFonts w:ascii="Times New Roman" w:hAnsi="Times New Roman" w:cs="Times New Roman"/>
          <w:lang w:val="en-US"/>
        </w:rPr>
        <w:t xml:space="preserve">e structural disadvantages experienced by women </w:t>
      </w:r>
      <w:r>
        <w:rPr>
          <w:rFonts w:ascii="Times New Roman" w:hAnsi="Times New Roman" w:cs="Times New Roman"/>
          <w:lang w:val="en-US"/>
        </w:rPr>
        <w:t xml:space="preserve">and children </w:t>
      </w:r>
      <w:r w:rsidR="00160603">
        <w:rPr>
          <w:rFonts w:ascii="Times New Roman" w:hAnsi="Times New Roman" w:cs="Times New Roman"/>
          <w:lang w:val="en-US"/>
        </w:rPr>
        <w:t xml:space="preserve">are not natural, unavoidable phenomena, and they do not provide a catch-all </w:t>
      </w:r>
      <w:proofErr w:type="spellStart"/>
      <w:r w:rsidR="00160603">
        <w:rPr>
          <w:rFonts w:ascii="Times New Roman" w:hAnsi="Times New Roman" w:cs="Times New Roman"/>
          <w:lang w:val="en-US"/>
        </w:rPr>
        <w:t>defence</w:t>
      </w:r>
      <w:proofErr w:type="spellEnd"/>
      <w:r w:rsidR="00160603">
        <w:rPr>
          <w:rFonts w:ascii="Times New Roman" w:hAnsi="Times New Roman" w:cs="Times New Roman"/>
          <w:lang w:val="en-US"/>
        </w:rPr>
        <w:t xml:space="preserve"> to discrimination claims.</w:t>
      </w:r>
      <w:r w:rsidR="00282816" w:rsidRPr="00E84859">
        <w:rPr>
          <w:rFonts w:ascii="Times New Roman" w:hAnsi="Times New Roman" w:cs="Times New Roman"/>
          <w:lang w:val="en-US"/>
        </w:rPr>
        <w:t xml:space="preserve"> </w:t>
      </w:r>
      <w:r w:rsidR="00042E2E" w:rsidRPr="00E84859">
        <w:rPr>
          <w:rFonts w:ascii="Times New Roman" w:hAnsi="Times New Roman" w:cs="Times New Roman"/>
          <w:lang w:val="en-US"/>
        </w:rPr>
        <w:t xml:space="preserve">Campbell </w:t>
      </w:r>
      <w:r w:rsidR="002234D7">
        <w:rPr>
          <w:rFonts w:ascii="Times New Roman" w:hAnsi="Times New Roman" w:cs="Times New Roman"/>
          <w:lang w:val="en-US"/>
        </w:rPr>
        <w:t xml:space="preserve">suggests that the </w:t>
      </w:r>
      <w:r w:rsidR="00922EC5" w:rsidRPr="00E84859">
        <w:rPr>
          <w:rFonts w:ascii="Times New Roman" w:hAnsi="Times New Roman" w:cs="Times New Roman"/>
          <w:lang w:val="en-US"/>
        </w:rPr>
        <w:t>Supreme Court has in this case “p</w:t>
      </w:r>
      <w:r w:rsidR="00042E2E" w:rsidRPr="00E84859">
        <w:rPr>
          <w:rFonts w:ascii="Times New Roman" w:hAnsi="Times New Roman" w:cs="Times New Roman"/>
          <w:lang w:val="en-US"/>
        </w:rPr>
        <w:t>ut across a particular vision of society that… sees supporting women’s caring roles as coming at the expense of the country’s economic well-being and tax-payer fairness</w:t>
      </w:r>
      <w:r w:rsidR="00922EC5" w:rsidRPr="00E84859">
        <w:rPr>
          <w:rFonts w:ascii="Times New Roman" w:hAnsi="Times New Roman" w:cs="Times New Roman"/>
          <w:lang w:val="en-US"/>
        </w:rPr>
        <w:t>”</w:t>
      </w:r>
      <w:r w:rsidR="00042E2E" w:rsidRPr="00E84859">
        <w:rPr>
          <w:rFonts w:ascii="Times New Roman" w:hAnsi="Times New Roman" w:cs="Times New Roman"/>
          <w:lang w:val="en-US"/>
        </w:rPr>
        <w:t>.</w:t>
      </w:r>
      <w:r>
        <w:rPr>
          <w:rStyle w:val="FootnoteReference"/>
          <w:rFonts w:ascii="Times New Roman" w:hAnsi="Times New Roman" w:cs="Times New Roman"/>
          <w:lang w:val="en-US"/>
        </w:rPr>
        <w:footnoteReference w:id="62"/>
      </w:r>
      <w:r w:rsidR="00CF7D5C" w:rsidRPr="00E84859">
        <w:rPr>
          <w:rFonts w:ascii="Times New Roman" w:hAnsi="Times New Roman" w:cs="Times New Roman"/>
          <w:lang w:val="en-US"/>
        </w:rPr>
        <w:t xml:space="preserve"> </w:t>
      </w:r>
      <w:r w:rsidR="002234D7">
        <w:rPr>
          <w:rFonts w:ascii="Times New Roman" w:hAnsi="Times New Roman" w:cs="Times New Roman"/>
          <w:lang w:val="en-US"/>
        </w:rPr>
        <w:t>This vision frames s</w:t>
      </w:r>
      <w:r w:rsidR="00D95463" w:rsidRPr="00E84859">
        <w:rPr>
          <w:rFonts w:ascii="Times New Roman" w:hAnsi="Times New Roman" w:cs="Times New Roman"/>
          <w:lang w:val="en-US"/>
        </w:rPr>
        <w:t>ocial security as a cost to be borne, depending on political goodwill</w:t>
      </w:r>
      <w:r w:rsidR="002234D7">
        <w:rPr>
          <w:rFonts w:ascii="Times New Roman" w:hAnsi="Times New Roman" w:cs="Times New Roman"/>
          <w:lang w:val="en-US"/>
        </w:rPr>
        <w:t xml:space="preserve">. </w:t>
      </w:r>
      <w:r w:rsidR="00E60061" w:rsidRPr="00E84859">
        <w:rPr>
          <w:rFonts w:ascii="Times New Roman" w:hAnsi="Times New Roman" w:cs="Times New Roman"/>
          <w:lang w:val="en-US"/>
        </w:rPr>
        <w:t>I</w:t>
      </w:r>
      <w:r w:rsidR="002234D7">
        <w:rPr>
          <w:rFonts w:ascii="Times New Roman" w:hAnsi="Times New Roman" w:cs="Times New Roman"/>
          <w:lang w:val="en-US"/>
        </w:rPr>
        <w:t>t</w:t>
      </w:r>
      <w:r w:rsidR="00E60061" w:rsidRPr="00E84859">
        <w:rPr>
          <w:rFonts w:ascii="Times New Roman" w:hAnsi="Times New Roman" w:cs="Times New Roman"/>
          <w:lang w:val="en-US"/>
        </w:rPr>
        <w:t xml:space="preserve"> is the view of social security, and recipients thereof, as a containable, separate category, that allows </w:t>
      </w:r>
      <w:r w:rsidRPr="00E84859">
        <w:rPr>
          <w:rFonts w:ascii="Times New Roman" w:hAnsi="Times New Roman" w:cs="Times New Roman"/>
          <w:lang w:val="en-US"/>
        </w:rPr>
        <w:t>it to be treated as ‘</w:t>
      </w:r>
      <w:proofErr w:type="spellStart"/>
      <w:r w:rsidRPr="00E84859">
        <w:rPr>
          <w:rFonts w:ascii="Times New Roman" w:hAnsi="Times New Roman" w:cs="Times New Roman"/>
          <w:lang w:val="en-US"/>
        </w:rPr>
        <w:t>alegal</w:t>
      </w:r>
      <w:proofErr w:type="spellEnd"/>
      <w:r w:rsidRPr="00E84859">
        <w:rPr>
          <w:rFonts w:ascii="Times New Roman" w:hAnsi="Times New Roman" w:cs="Times New Roman"/>
          <w:lang w:val="en-US"/>
        </w:rPr>
        <w:t>’</w:t>
      </w:r>
      <w:r w:rsidR="002234D7">
        <w:rPr>
          <w:rFonts w:ascii="Times New Roman" w:hAnsi="Times New Roman" w:cs="Times New Roman"/>
          <w:lang w:val="en-US"/>
        </w:rPr>
        <w:t xml:space="preserve"> – as </w:t>
      </w:r>
      <w:r w:rsidR="004B14F3" w:rsidRPr="00E84859">
        <w:rPr>
          <w:rFonts w:ascii="Times New Roman" w:hAnsi="Times New Roman" w:cs="Times New Roman"/>
          <w:lang w:val="en-US"/>
        </w:rPr>
        <w:t>a function of the government’s beneficence, not as a matter of legal entitlement. In the various cautions expressed about the “risk of undue interference by the courts in the sphere of political choices”</w:t>
      </w:r>
      <w:r>
        <w:rPr>
          <w:rStyle w:val="FootnoteReference"/>
          <w:rFonts w:ascii="Times New Roman" w:hAnsi="Times New Roman" w:cs="Times New Roman"/>
          <w:lang w:val="en-US"/>
        </w:rPr>
        <w:footnoteReference w:id="63"/>
      </w:r>
      <w:r w:rsidR="004B14F3" w:rsidRPr="00E84859">
        <w:rPr>
          <w:rFonts w:ascii="Times New Roman" w:hAnsi="Times New Roman" w:cs="Times New Roman"/>
          <w:lang w:val="en-US"/>
        </w:rPr>
        <w:t xml:space="preserve"> we could replace the word ‘political’ with the word ‘charitable’ and it would not affect (and might even sharpen) the reasoning.</w:t>
      </w:r>
      <w:r w:rsidR="00A7342C">
        <w:rPr>
          <w:rFonts w:ascii="Times New Roman" w:hAnsi="Times New Roman" w:cs="Times New Roman"/>
          <w:lang w:val="en-US"/>
        </w:rPr>
        <w:t xml:space="preserve"> The fact that the court disc</w:t>
      </w:r>
      <w:r w:rsidR="009D6E1E">
        <w:rPr>
          <w:rFonts w:ascii="Times New Roman" w:hAnsi="Times New Roman" w:cs="Times New Roman"/>
          <w:lang w:val="en-US"/>
        </w:rPr>
        <w:t>ussed types of birthday parties as the main disadvantage caused to children</w:t>
      </w:r>
      <w:r>
        <w:rPr>
          <w:rStyle w:val="FootnoteReference"/>
          <w:rFonts w:ascii="Times New Roman" w:hAnsi="Times New Roman" w:cs="Times New Roman"/>
          <w:lang w:val="en-US"/>
        </w:rPr>
        <w:footnoteReference w:id="64"/>
      </w:r>
      <w:r w:rsidR="009D6E1E">
        <w:rPr>
          <w:rFonts w:ascii="Times New Roman" w:hAnsi="Times New Roman" w:cs="Times New Roman"/>
          <w:lang w:val="en-US"/>
        </w:rPr>
        <w:t xml:space="preserve"> gives some insight into</w:t>
      </w:r>
      <w:r w:rsidR="00A7342C" w:rsidRPr="00A7342C">
        <w:t xml:space="preserve"> </w:t>
      </w:r>
      <w:r w:rsidR="00A7342C" w:rsidRPr="00A7342C">
        <w:rPr>
          <w:rFonts w:ascii="Times New Roman" w:hAnsi="Times New Roman" w:cs="Times New Roman"/>
          <w:lang w:val="en-US"/>
        </w:rPr>
        <w:t xml:space="preserve">how little the court understands the role that </w:t>
      </w:r>
      <w:r w:rsidR="009D6E1E">
        <w:rPr>
          <w:rFonts w:ascii="Times New Roman" w:hAnsi="Times New Roman" w:cs="Times New Roman"/>
          <w:lang w:val="en-US"/>
        </w:rPr>
        <w:t>social security</w:t>
      </w:r>
      <w:r w:rsidR="00A7342C" w:rsidRPr="00A7342C">
        <w:rPr>
          <w:rFonts w:ascii="Times New Roman" w:hAnsi="Times New Roman" w:cs="Times New Roman"/>
          <w:lang w:val="en-US"/>
        </w:rPr>
        <w:t xml:space="preserve"> play</w:t>
      </w:r>
      <w:r w:rsidR="009D6E1E">
        <w:rPr>
          <w:rFonts w:ascii="Times New Roman" w:hAnsi="Times New Roman" w:cs="Times New Roman"/>
          <w:lang w:val="en-US"/>
        </w:rPr>
        <w:t>s</w:t>
      </w:r>
      <w:r w:rsidR="00A7342C" w:rsidRPr="00A7342C">
        <w:rPr>
          <w:rFonts w:ascii="Times New Roman" w:hAnsi="Times New Roman" w:cs="Times New Roman"/>
          <w:lang w:val="en-US"/>
        </w:rPr>
        <w:t xml:space="preserve"> in fulfilling human rights. </w:t>
      </w:r>
      <w:r w:rsidR="009D6E1E">
        <w:rPr>
          <w:rFonts w:ascii="Times New Roman" w:hAnsi="Times New Roman" w:cs="Times New Roman"/>
          <w:lang w:val="en-US"/>
        </w:rPr>
        <w:t>It is not a matter of nice perks; social security goes</w:t>
      </w:r>
      <w:r w:rsidR="00A7342C" w:rsidRPr="00A7342C">
        <w:rPr>
          <w:rFonts w:ascii="Times New Roman" w:hAnsi="Times New Roman" w:cs="Times New Roman"/>
          <w:lang w:val="en-US"/>
        </w:rPr>
        <w:t xml:space="preserve"> to subsistence needs to ensure equality across broad areas of life</w:t>
      </w:r>
      <w:r w:rsidR="009D6E1E">
        <w:rPr>
          <w:rFonts w:ascii="Times New Roman" w:hAnsi="Times New Roman" w:cs="Times New Roman"/>
          <w:lang w:val="en-US"/>
        </w:rPr>
        <w:t>.</w:t>
      </w:r>
      <w:r>
        <w:rPr>
          <w:rStyle w:val="FootnoteReference"/>
          <w:rFonts w:ascii="Times New Roman" w:hAnsi="Times New Roman" w:cs="Times New Roman"/>
          <w:lang w:val="en-US"/>
        </w:rPr>
        <w:footnoteReference w:id="65"/>
      </w:r>
      <w:r w:rsidR="009D6E1E">
        <w:rPr>
          <w:rFonts w:ascii="Times New Roman" w:hAnsi="Times New Roman" w:cs="Times New Roman"/>
          <w:lang w:val="en-US"/>
        </w:rPr>
        <w:t xml:space="preserve"> </w:t>
      </w:r>
      <w:r w:rsidR="00A70233" w:rsidRPr="00E84859">
        <w:rPr>
          <w:rFonts w:ascii="Times New Roman" w:hAnsi="Times New Roman" w:cs="Times New Roman"/>
          <w:lang w:val="en-US"/>
        </w:rPr>
        <w:t xml:space="preserve">In defining social security as a matter of </w:t>
      </w:r>
      <w:r w:rsidR="00474CFC" w:rsidRPr="00E84859">
        <w:rPr>
          <w:rFonts w:ascii="Times New Roman" w:hAnsi="Times New Roman" w:cs="Times New Roman"/>
          <w:lang w:val="en-US"/>
        </w:rPr>
        <w:t xml:space="preserve">(charitable) </w:t>
      </w:r>
      <w:r w:rsidR="00A70233" w:rsidRPr="00E84859">
        <w:rPr>
          <w:rFonts w:ascii="Times New Roman" w:hAnsi="Times New Roman" w:cs="Times New Roman"/>
          <w:lang w:val="en-US"/>
        </w:rPr>
        <w:t>politics rather than law, judges are Othering social security recipients.</w:t>
      </w:r>
      <w:r w:rsidR="008F5685">
        <w:rPr>
          <w:rStyle w:val="FootnoteReference"/>
          <w:rFonts w:ascii="Times New Roman" w:hAnsi="Times New Roman" w:cs="Times New Roman"/>
          <w:lang w:val="en-US"/>
        </w:rPr>
        <w:footnoteReference w:id="66"/>
      </w:r>
      <w:r w:rsidR="00A70233" w:rsidRPr="00E84859">
        <w:rPr>
          <w:rFonts w:ascii="Times New Roman" w:hAnsi="Times New Roman" w:cs="Times New Roman"/>
          <w:lang w:val="en-US"/>
        </w:rPr>
        <w:t xml:space="preserve"> While </w:t>
      </w:r>
      <w:proofErr w:type="spellStart"/>
      <w:r w:rsidR="00A70233" w:rsidRPr="00E84859">
        <w:rPr>
          <w:rFonts w:ascii="Times New Roman" w:hAnsi="Times New Roman" w:cs="Times New Roman"/>
          <w:lang w:val="en-US"/>
        </w:rPr>
        <w:t>characterised</w:t>
      </w:r>
      <w:proofErr w:type="spellEnd"/>
      <w:r w:rsidR="00A70233" w:rsidRPr="00E84859">
        <w:rPr>
          <w:rFonts w:ascii="Times New Roman" w:hAnsi="Times New Roman" w:cs="Times New Roman"/>
          <w:lang w:val="en-US"/>
        </w:rPr>
        <w:t xml:space="preserve"> as ‘judicial restraint’, </w:t>
      </w:r>
      <w:r w:rsidR="002234D7">
        <w:rPr>
          <w:rFonts w:ascii="Times New Roman" w:hAnsi="Times New Roman" w:cs="Times New Roman"/>
          <w:lang w:val="en-US"/>
        </w:rPr>
        <w:t xml:space="preserve">it suggests a </w:t>
      </w:r>
      <w:r w:rsidR="00F1035A" w:rsidRPr="00E84859">
        <w:rPr>
          <w:rFonts w:ascii="Times New Roman" w:hAnsi="Times New Roman" w:cs="Times New Roman"/>
          <w:lang w:val="en-US"/>
        </w:rPr>
        <w:t>legal purism – that the law is above the grubby realm of politics.</w:t>
      </w:r>
      <w:r>
        <w:rPr>
          <w:rStyle w:val="FootnoteReference"/>
          <w:rFonts w:ascii="Times New Roman" w:hAnsi="Times New Roman" w:cs="Times New Roman"/>
          <w:lang w:val="en-US"/>
        </w:rPr>
        <w:footnoteReference w:id="67"/>
      </w:r>
      <w:r w:rsidR="00F1035A" w:rsidRPr="00E84859">
        <w:rPr>
          <w:rFonts w:ascii="Times New Roman" w:hAnsi="Times New Roman" w:cs="Times New Roman"/>
          <w:lang w:val="en-US"/>
        </w:rPr>
        <w:t xml:space="preserve"> </w:t>
      </w:r>
    </w:p>
    <w:p w14:paraId="1975A98A" w14:textId="6DB69C31" w:rsidR="004F7B15" w:rsidRDefault="00000000" w:rsidP="00123C13">
      <w:pPr>
        <w:spacing w:after="120"/>
        <w:jc w:val="both"/>
        <w:rPr>
          <w:rFonts w:ascii="Times New Roman" w:hAnsi="Times New Roman" w:cs="Times New Roman"/>
        </w:rPr>
      </w:pPr>
      <w:r>
        <w:rPr>
          <w:rFonts w:ascii="Times New Roman" w:hAnsi="Times New Roman" w:cs="Times New Roman"/>
        </w:rPr>
        <w:t>(ii) Discrimination claims as a vehicle for smuggling politics into the courtroom</w:t>
      </w:r>
    </w:p>
    <w:p w14:paraId="00C772DD" w14:textId="0982C959" w:rsidR="00AB1672" w:rsidRDefault="00000000" w:rsidP="00123C13">
      <w:pPr>
        <w:spacing w:after="120"/>
        <w:jc w:val="both"/>
        <w:rPr>
          <w:rFonts w:ascii="Times New Roman" w:hAnsi="Times New Roman" w:cs="Times New Roman"/>
        </w:rPr>
      </w:pPr>
      <w:r w:rsidRPr="002234D7">
        <w:rPr>
          <w:rFonts w:ascii="Times New Roman" w:hAnsi="Times New Roman" w:cs="Times New Roman"/>
        </w:rPr>
        <w:t xml:space="preserve">Delivering the lead judgment, Lord Reed </w:t>
      </w:r>
      <w:r w:rsidR="004F7B15">
        <w:rPr>
          <w:rFonts w:ascii="Times New Roman" w:hAnsi="Times New Roman" w:cs="Times New Roman"/>
        </w:rPr>
        <w:t xml:space="preserve">positioned the court as defenders at the gates against the invasion of political issues under the guise of discrimination. </w:t>
      </w:r>
      <w:r w:rsidR="00104A69">
        <w:rPr>
          <w:rFonts w:ascii="Times New Roman" w:hAnsi="Times New Roman" w:cs="Times New Roman"/>
        </w:rPr>
        <w:t>In noting that “</w:t>
      </w:r>
      <w:r w:rsidR="00104A69" w:rsidRPr="00970392">
        <w:rPr>
          <w:rFonts w:ascii="Times New Roman" w:hAnsi="Times New Roman" w:cs="Times New Roman"/>
        </w:rPr>
        <w:t xml:space="preserve">almost any legislation is capable of challenge under </w:t>
      </w:r>
      <w:r w:rsidR="00104A69">
        <w:rPr>
          <w:rFonts w:ascii="Times New Roman" w:hAnsi="Times New Roman" w:cs="Times New Roman"/>
        </w:rPr>
        <w:t>A</w:t>
      </w:r>
      <w:r w:rsidR="00104A69" w:rsidRPr="00970392">
        <w:rPr>
          <w:rFonts w:ascii="Times New Roman" w:hAnsi="Times New Roman" w:cs="Times New Roman"/>
        </w:rPr>
        <w:t>rticle 14</w:t>
      </w:r>
      <w:r w:rsidR="00104A69">
        <w:rPr>
          <w:rFonts w:ascii="Times New Roman" w:hAnsi="Times New Roman" w:cs="Times New Roman"/>
        </w:rPr>
        <w:t>”,</w:t>
      </w:r>
      <w:r>
        <w:rPr>
          <w:rStyle w:val="FootnoteReference"/>
          <w:rFonts w:ascii="Times New Roman" w:hAnsi="Times New Roman" w:cs="Times New Roman"/>
        </w:rPr>
        <w:footnoteReference w:id="68"/>
      </w:r>
      <w:r w:rsidR="00194A68">
        <w:rPr>
          <w:rFonts w:ascii="Times New Roman" w:hAnsi="Times New Roman" w:cs="Times New Roman"/>
        </w:rPr>
        <w:t xml:space="preserve"> </w:t>
      </w:r>
      <w:r w:rsidR="00104A69">
        <w:rPr>
          <w:rFonts w:ascii="Times New Roman" w:hAnsi="Times New Roman" w:cs="Times New Roman"/>
        </w:rPr>
        <w:t>he effectively hollowed out that provision. Lord Reed sounded a note of caution, that</w:t>
      </w:r>
      <w:r w:rsidRPr="002234D7">
        <w:rPr>
          <w:rFonts w:ascii="Times New Roman" w:hAnsi="Times New Roman" w:cs="Times New Roman"/>
        </w:rPr>
        <w:t xml:space="preserve"> “challenges to legislation on the ground of discrimination have become increasingly common in the United Kingdom”,</w:t>
      </w:r>
      <w:r>
        <w:rPr>
          <w:rStyle w:val="FootnoteReference"/>
          <w:rFonts w:ascii="Times New Roman" w:hAnsi="Times New Roman" w:cs="Times New Roman"/>
        </w:rPr>
        <w:footnoteReference w:id="69"/>
      </w:r>
      <w:r w:rsidRPr="002234D7">
        <w:rPr>
          <w:rFonts w:ascii="Times New Roman" w:hAnsi="Times New Roman" w:cs="Times New Roman"/>
        </w:rPr>
        <w:t xml:space="preserve"> adding that </w:t>
      </w:r>
      <w:r w:rsidRPr="002234D7">
        <w:rPr>
          <w:rFonts w:ascii="Times New Roman" w:hAnsi="Times New Roman" w:cs="Times New Roman"/>
        </w:rPr>
        <w:lastRenderedPageBreak/>
        <w:t>they were “usually brought by campaigning organisations which lobbied unsuccessfully against the measure when it was being considered in Parliament.”</w:t>
      </w:r>
      <w:r>
        <w:rPr>
          <w:rStyle w:val="FootnoteReference"/>
          <w:rFonts w:ascii="Times New Roman" w:hAnsi="Times New Roman" w:cs="Times New Roman"/>
        </w:rPr>
        <w:footnoteReference w:id="70"/>
      </w:r>
      <w:r w:rsidRPr="002234D7">
        <w:rPr>
          <w:rFonts w:ascii="Times New Roman" w:hAnsi="Times New Roman" w:cs="Times New Roman"/>
        </w:rPr>
        <w:t xml:space="preserve"> Article 14 was described as usually the “favoured ground of challenge” and “such cases present a risk of undue interference by the courts in the sphere of political choices.”</w:t>
      </w:r>
      <w:r>
        <w:rPr>
          <w:rStyle w:val="FootnoteReference"/>
          <w:rFonts w:ascii="Times New Roman" w:hAnsi="Times New Roman" w:cs="Times New Roman"/>
        </w:rPr>
        <w:footnoteReference w:id="71"/>
      </w:r>
      <w:r w:rsidR="00104A69">
        <w:rPr>
          <w:rFonts w:ascii="Times New Roman" w:hAnsi="Times New Roman" w:cs="Times New Roman"/>
        </w:rPr>
        <w:t xml:space="preserve"> </w:t>
      </w:r>
    </w:p>
    <w:p w14:paraId="4A04DE2B" w14:textId="1FAC7AE6" w:rsidR="00CB15E3" w:rsidRDefault="00000000" w:rsidP="00123C13">
      <w:pPr>
        <w:spacing w:after="120"/>
        <w:jc w:val="both"/>
        <w:rPr>
          <w:rFonts w:ascii="Times New Roman" w:hAnsi="Times New Roman" w:cs="Times New Roman"/>
        </w:rPr>
      </w:pPr>
      <w:r>
        <w:rPr>
          <w:rFonts w:ascii="Times New Roman" w:hAnsi="Times New Roman" w:cs="Times New Roman"/>
        </w:rPr>
        <w:t xml:space="preserve">The description of ‘campaigning organisations’ who ‘act’ as solicitors serves to undermine their claims to be legitimate lawyers – rather, they are (failed) political lobbyists in disguise, seeking to turn the court into a platform. But the treatment of social security </w:t>
      </w:r>
      <w:r w:rsidR="00487CA0">
        <w:rPr>
          <w:rFonts w:ascii="Times New Roman" w:hAnsi="Times New Roman" w:cs="Times New Roman"/>
        </w:rPr>
        <w:t xml:space="preserve">questions </w:t>
      </w:r>
      <w:r>
        <w:rPr>
          <w:rFonts w:ascii="Times New Roman" w:hAnsi="Times New Roman" w:cs="Times New Roman"/>
        </w:rPr>
        <w:t xml:space="preserve">as </w:t>
      </w:r>
      <w:proofErr w:type="spellStart"/>
      <w:r>
        <w:rPr>
          <w:rFonts w:ascii="Times New Roman" w:hAnsi="Times New Roman" w:cs="Times New Roman"/>
        </w:rPr>
        <w:t>alegal</w:t>
      </w:r>
      <w:proofErr w:type="spellEnd"/>
      <w:r w:rsidR="00487CA0">
        <w:rPr>
          <w:rFonts w:ascii="Times New Roman" w:hAnsi="Times New Roman" w:cs="Times New Roman"/>
        </w:rPr>
        <w:t>, properly kept out of the courtroom,</w:t>
      </w:r>
      <w:r>
        <w:rPr>
          <w:rFonts w:ascii="Times New Roman" w:hAnsi="Times New Roman" w:cs="Times New Roman"/>
        </w:rPr>
        <w:t xml:space="preserve"> is out of step with the way that many people encounter the law. Social security constitutes a significant proportion of interactions with the justice system; the social security and child support tribunal accounted for 42% of tribunal interim receipts (cases accepted) in July-September 2023,</w:t>
      </w:r>
      <w:r>
        <w:rPr>
          <w:rStyle w:val="FootnoteReference"/>
          <w:rFonts w:ascii="Times New Roman" w:hAnsi="Times New Roman" w:cs="Times New Roman"/>
        </w:rPr>
        <w:footnoteReference w:id="72"/>
      </w:r>
      <w:r>
        <w:rPr>
          <w:rFonts w:ascii="Times New Roman" w:hAnsi="Times New Roman" w:cs="Times New Roman"/>
        </w:rPr>
        <w:t xml:space="preserve"> far more than each of the other tribunal branches.</w:t>
      </w:r>
      <w:r w:rsidR="00CB15E3">
        <w:rPr>
          <w:rFonts w:ascii="Times New Roman" w:hAnsi="Times New Roman" w:cs="Times New Roman"/>
        </w:rPr>
        <w:t xml:space="preserve"> B</w:t>
      </w:r>
      <w:r w:rsidR="00FD22B1">
        <w:rPr>
          <w:rFonts w:ascii="Times New Roman" w:hAnsi="Times New Roman" w:cs="Times New Roman"/>
        </w:rPr>
        <w:t>y</w:t>
      </w:r>
      <w:r w:rsidR="00CB15E3">
        <w:rPr>
          <w:rFonts w:ascii="Times New Roman" w:hAnsi="Times New Roman" w:cs="Times New Roman"/>
        </w:rPr>
        <w:t xml:space="preserve"> way of context, the outstanding case load for tribunals in England and Wales in March 2024, excluding immigration tribunals, was </w:t>
      </w:r>
      <w:r w:rsidR="00CB15E3" w:rsidRPr="00CB15E3">
        <w:rPr>
          <w:rFonts w:ascii="Times New Roman" w:hAnsi="Times New Roman" w:cs="Times New Roman"/>
        </w:rPr>
        <w:t>653,000</w:t>
      </w:r>
      <w:r w:rsidR="00CB15E3">
        <w:rPr>
          <w:rFonts w:ascii="Times New Roman" w:hAnsi="Times New Roman" w:cs="Times New Roman"/>
        </w:rPr>
        <w:t xml:space="preserve"> – </w:t>
      </w:r>
      <w:r w:rsidR="00FD22B1">
        <w:rPr>
          <w:rFonts w:ascii="Times New Roman" w:hAnsi="Times New Roman" w:cs="Times New Roman"/>
        </w:rPr>
        <w:t>t</w:t>
      </w:r>
      <w:r w:rsidR="00A1724E">
        <w:rPr>
          <w:rFonts w:ascii="Times New Roman" w:hAnsi="Times New Roman" w:cs="Times New Roman"/>
        </w:rPr>
        <w:t xml:space="preserve">his is </w:t>
      </w:r>
      <w:r w:rsidR="00FD22B1">
        <w:rPr>
          <w:rFonts w:ascii="Times New Roman" w:hAnsi="Times New Roman" w:cs="Times New Roman"/>
        </w:rPr>
        <w:t>well over a third of</w:t>
      </w:r>
      <w:r w:rsidR="00CD34C0">
        <w:rPr>
          <w:rFonts w:ascii="Times New Roman" w:hAnsi="Times New Roman" w:cs="Times New Roman"/>
        </w:rPr>
        <w:t xml:space="preserve"> the number of </w:t>
      </w:r>
      <w:r w:rsidR="00A1724E">
        <w:rPr>
          <w:rFonts w:ascii="Times New Roman" w:hAnsi="Times New Roman" w:cs="Times New Roman"/>
        </w:rPr>
        <w:t>cases filed in the civil courts in 2023 (1.7 million).</w:t>
      </w:r>
      <w:r w:rsidR="00CD34C0">
        <w:rPr>
          <w:rStyle w:val="FootnoteReference"/>
          <w:rFonts w:ascii="Times New Roman" w:hAnsi="Times New Roman" w:cs="Times New Roman"/>
        </w:rPr>
        <w:footnoteReference w:id="73"/>
      </w:r>
    </w:p>
    <w:p w14:paraId="6A47BC20" w14:textId="73C81672" w:rsidR="00DF30B5" w:rsidRPr="00123C13" w:rsidRDefault="00000000" w:rsidP="00123C13">
      <w:pPr>
        <w:spacing w:after="120"/>
        <w:jc w:val="both"/>
        <w:rPr>
          <w:rFonts w:ascii="Times New Roman" w:hAnsi="Times New Roman" w:cs="Times New Roman"/>
        </w:rPr>
      </w:pPr>
      <w:r>
        <w:rPr>
          <w:rFonts w:ascii="Times New Roman" w:hAnsi="Times New Roman" w:cs="Times New Roman"/>
        </w:rPr>
        <w:t>If we accept that the administration of social security is properly</w:t>
      </w:r>
      <w:r w:rsidR="00512D94">
        <w:rPr>
          <w:rFonts w:ascii="Times New Roman" w:hAnsi="Times New Roman" w:cs="Times New Roman"/>
        </w:rPr>
        <w:t xml:space="preserve"> a</w:t>
      </w:r>
      <w:r>
        <w:rPr>
          <w:rFonts w:ascii="Times New Roman" w:hAnsi="Times New Roman" w:cs="Times New Roman"/>
        </w:rPr>
        <w:t xml:space="preserve"> matter of law, it makes little sense to designate the rules being administered as a primarily, or even solely political issues.</w:t>
      </w:r>
    </w:p>
    <w:p w14:paraId="3BA455F9" w14:textId="2C8B4DA1" w:rsidR="001C0B42" w:rsidRPr="004F7B15" w:rsidRDefault="00000000" w:rsidP="00123C13">
      <w:pPr>
        <w:spacing w:after="120"/>
        <w:jc w:val="both"/>
        <w:rPr>
          <w:rFonts w:ascii="Times New Roman" w:hAnsi="Times New Roman" w:cs="Times New Roman"/>
          <w:lang w:val="en-US"/>
        </w:rPr>
      </w:pPr>
      <w:r>
        <w:rPr>
          <w:rFonts w:ascii="Times New Roman" w:hAnsi="Times New Roman" w:cs="Times New Roman"/>
          <w:lang w:val="en-US"/>
        </w:rPr>
        <w:t xml:space="preserve">(iii) </w:t>
      </w:r>
      <w:r w:rsidRPr="004F7B15">
        <w:rPr>
          <w:rFonts w:ascii="Times New Roman" w:hAnsi="Times New Roman" w:cs="Times New Roman"/>
          <w:lang w:val="en-US"/>
        </w:rPr>
        <w:t>Automatically legitimate aims</w:t>
      </w:r>
    </w:p>
    <w:p w14:paraId="7CFC9AD1" w14:textId="45D9FD49" w:rsidR="001C0B42" w:rsidRPr="00123C13" w:rsidRDefault="00000000" w:rsidP="00123C13">
      <w:pPr>
        <w:spacing w:after="120"/>
        <w:jc w:val="both"/>
        <w:rPr>
          <w:rFonts w:ascii="Times New Roman" w:hAnsi="Times New Roman" w:cs="Times New Roman"/>
          <w:lang w:val="en-US"/>
        </w:rPr>
      </w:pPr>
      <w:r>
        <w:rPr>
          <w:rFonts w:ascii="Times New Roman" w:hAnsi="Times New Roman" w:cs="Times New Roman"/>
          <w:lang w:val="en-US"/>
        </w:rPr>
        <w:t>The court</w:t>
      </w:r>
      <w:r w:rsidRPr="002234D7">
        <w:rPr>
          <w:rFonts w:ascii="Times New Roman" w:hAnsi="Times New Roman" w:cs="Times New Roman"/>
          <w:lang w:val="en-US"/>
        </w:rPr>
        <w:t xml:space="preserve"> failed to </w:t>
      </w:r>
      <w:r>
        <w:rPr>
          <w:rFonts w:ascii="Times New Roman" w:hAnsi="Times New Roman" w:cs="Times New Roman"/>
          <w:lang w:val="en-US"/>
        </w:rPr>
        <w:t>acknowledge</w:t>
      </w:r>
      <w:r w:rsidRPr="002234D7">
        <w:rPr>
          <w:rFonts w:ascii="Times New Roman" w:hAnsi="Times New Roman" w:cs="Times New Roman"/>
          <w:lang w:val="en-US"/>
        </w:rPr>
        <w:t xml:space="preserve"> that the </w:t>
      </w:r>
      <w:r w:rsidRPr="002234D7">
        <w:rPr>
          <w:rFonts w:ascii="Times New Roman" w:hAnsi="Times New Roman" w:cs="Times New Roman"/>
          <w:i/>
          <w:iCs/>
          <w:lang w:val="en-US"/>
        </w:rPr>
        <w:t>aim</w:t>
      </w:r>
      <w:r w:rsidRPr="002234D7">
        <w:rPr>
          <w:rFonts w:ascii="Times New Roman" w:hAnsi="Times New Roman" w:cs="Times New Roman"/>
          <w:lang w:val="en-US"/>
        </w:rPr>
        <w:t xml:space="preserve"> proclaimed by the Secretary of State, </w:t>
      </w:r>
      <w:r w:rsidR="008921F0">
        <w:rPr>
          <w:rFonts w:ascii="Times New Roman" w:hAnsi="Times New Roman" w:cs="Times New Roman"/>
          <w:lang w:val="en-US"/>
        </w:rPr>
        <w:t>“</w:t>
      </w:r>
      <w:r w:rsidR="008921F0" w:rsidRPr="00E84859">
        <w:rPr>
          <w:rFonts w:ascii="Times New Roman" w:hAnsi="Times New Roman" w:cs="Times New Roman"/>
          <w:lang w:val="en-US"/>
        </w:rPr>
        <w:t xml:space="preserve">to address the </w:t>
      </w:r>
      <w:r w:rsidR="008921F0">
        <w:rPr>
          <w:rFonts w:ascii="Times New Roman" w:hAnsi="Times New Roman" w:cs="Times New Roman"/>
          <w:lang w:val="en-US"/>
        </w:rPr>
        <w:t>“</w:t>
      </w:r>
      <w:r w:rsidR="008921F0" w:rsidRPr="00E84859">
        <w:rPr>
          <w:rFonts w:ascii="Times New Roman" w:hAnsi="Times New Roman" w:cs="Times New Roman"/>
          <w:lang w:val="en-US"/>
        </w:rPr>
        <w:t>unfair and unreasonable aspect of the child tax credit system, namely that recipients were guaranteed a rise in income for every additional child they might choose to have, without limit</w:t>
      </w:r>
      <w:r w:rsidR="008921F0">
        <w:rPr>
          <w:rFonts w:ascii="Times New Roman" w:hAnsi="Times New Roman" w:cs="Times New Roman"/>
          <w:lang w:val="en-US"/>
        </w:rPr>
        <w:t>”</w:t>
      </w:r>
      <w:r w:rsidR="008921F0" w:rsidRPr="00E84859">
        <w:rPr>
          <w:rFonts w:ascii="Times New Roman" w:hAnsi="Times New Roman" w:cs="Times New Roman"/>
          <w:lang w:val="en-US"/>
        </w:rPr>
        <w:t xml:space="preserve"> </w:t>
      </w:r>
      <w:r w:rsidR="008921F0">
        <w:rPr>
          <w:rFonts w:ascii="Times New Roman" w:hAnsi="Times New Roman" w:cs="Times New Roman"/>
          <w:lang w:val="en-US"/>
        </w:rPr>
        <w:t xml:space="preserve">i.e. </w:t>
      </w:r>
      <w:r w:rsidRPr="002234D7">
        <w:rPr>
          <w:rFonts w:ascii="Times New Roman" w:hAnsi="Times New Roman" w:cs="Times New Roman"/>
          <w:lang w:val="en-US"/>
        </w:rPr>
        <w:t xml:space="preserve">to stop social security from increasing with family size, and the </w:t>
      </w:r>
      <w:r w:rsidRPr="002234D7">
        <w:rPr>
          <w:rFonts w:ascii="Times New Roman" w:hAnsi="Times New Roman" w:cs="Times New Roman"/>
          <w:i/>
          <w:iCs/>
          <w:lang w:val="en-US"/>
        </w:rPr>
        <w:t>measure</w:t>
      </w:r>
      <w:r w:rsidRPr="002234D7">
        <w:rPr>
          <w:rFonts w:ascii="Times New Roman" w:hAnsi="Times New Roman" w:cs="Times New Roman"/>
          <w:lang w:val="en-US"/>
        </w:rPr>
        <w:t xml:space="preserve"> are practically one and the same. Once you have endorsed that aim, you have greenlit the measure. While </w:t>
      </w:r>
      <w:r>
        <w:rPr>
          <w:rFonts w:ascii="Times New Roman" w:hAnsi="Times New Roman" w:cs="Times New Roman"/>
          <w:lang w:val="en-US"/>
        </w:rPr>
        <w:t>claiming to have no</w:t>
      </w:r>
      <w:r w:rsidRPr="002234D7">
        <w:rPr>
          <w:rFonts w:ascii="Times New Roman" w:hAnsi="Times New Roman" w:cs="Times New Roman"/>
          <w:lang w:val="en-US"/>
        </w:rPr>
        <w:t xml:space="preserve"> role in assessing “what is fair and affordable”,</w:t>
      </w:r>
      <w:r>
        <w:rPr>
          <w:rStyle w:val="FootnoteReference"/>
          <w:rFonts w:ascii="Times New Roman" w:hAnsi="Times New Roman" w:cs="Times New Roman"/>
          <w:lang w:val="en-US"/>
        </w:rPr>
        <w:footnoteReference w:id="74"/>
      </w:r>
      <w:r w:rsidRPr="002234D7">
        <w:rPr>
          <w:rFonts w:ascii="Times New Roman" w:hAnsi="Times New Roman" w:cs="Times New Roman"/>
          <w:lang w:val="en-US"/>
        </w:rPr>
        <w:t xml:space="preserve"> the court </w:t>
      </w:r>
      <w:r>
        <w:rPr>
          <w:rFonts w:ascii="Times New Roman" w:hAnsi="Times New Roman" w:cs="Times New Roman"/>
          <w:lang w:val="en-US"/>
        </w:rPr>
        <w:t xml:space="preserve">nevertheless equated the rule with fairness, </w:t>
      </w:r>
      <w:r w:rsidRPr="002234D7">
        <w:rPr>
          <w:rFonts w:ascii="Times New Roman" w:hAnsi="Times New Roman" w:cs="Times New Roman"/>
          <w:lang w:val="en-US"/>
        </w:rPr>
        <w:t xml:space="preserve">describing the aim as ensuring “that the scheme is fair and reasonable, </w:t>
      </w:r>
      <w:r w:rsidRPr="002234D7">
        <w:rPr>
          <w:rFonts w:ascii="Times New Roman" w:hAnsi="Times New Roman" w:cs="Times New Roman"/>
          <w:i/>
          <w:iCs/>
          <w:lang w:val="en-US"/>
        </w:rPr>
        <w:t xml:space="preserve">by </w:t>
      </w:r>
      <w:r w:rsidRPr="002234D7">
        <w:rPr>
          <w:rFonts w:ascii="Times New Roman" w:hAnsi="Times New Roman" w:cs="Times New Roman"/>
          <w:lang w:val="en-US"/>
        </w:rPr>
        <w:t>limiting the extent to which recipients of child tax credit are guaranteed a rise in income if they have additional children”.</w:t>
      </w:r>
      <w:r>
        <w:rPr>
          <w:rStyle w:val="FootnoteReference"/>
          <w:rFonts w:ascii="Times New Roman" w:hAnsi="Times New Roman" w:cs="Times New Roman"/>
          <w:lang w:val="en-US"/>
        </w:rPr>
        <w:footnoteReference w:id="75"/>
      </w:r>
      <w:r w:rsidRPr="002234D7">
        <w:rPr>
          <w:rFonts w:ascii="Times New Roman" w:hAnsi="Times New Roman" w:cs="Times New Roman"/>
          <w:lang w:val="en-US"/>
        </w:rPr>
        <w:t xml:space="preserve"> The failure to scratch even the surface of the claim to fairness effectively endorses the Secretary of State’s approach of “welfare decadence”, a narrative that </w:t>
      </w:r>
      <w:r>
        <w:rPr>
          <w:rFonts w:ascii="Times New Roman" w:hAnsi="Times New Roman" w:cs="Times New Roman"/>
          <w:lang w:val="en-US"/>
        </w:rPr>
        <w:t xml:space="preserve">suggests social security recipients are </w:t>
      </w:r>
      <w:r w:rsidRPr="002234D7">
        <w:rPr>
          <w:rFonts w:ascii="Times New Roman" w:hAnsi="Times New Roman" w:cs="Times New Roman"/>
          <w:lang w:val="en-US"/>
        </w:rPr>
        <w:t xml:space="preserve">at an advantage compared to those </w:t>
      </w:r>
      <w:r>
        <w:rPr>
          <w:rFonts w:ascii="Times New Roman" w:hAnsi="Times New Roman" w:cs="Times New Roman"/>
          <w:lang w:val="en-US"/>
        </w:rPr>
        <w:t>living</w:t>
      </w:r>
      <w:r w:rsidRPr="002234D7">
        <w:rPr>
          <w:rFonts w:ascii="Times New Roman" w:hAnsi="Times New Roman" w:cs="Times New Roman"/>
          <w:lang w:val="en-US"/>
        </w:rPr>
        <w:t xml:space="preserve"> above the welfare line</w:t>
      </w:r>
      <w:r w:rsidR="005A3F94">
        <w:rPr>
          <w:rFonts w:ascii="Times New Roman" w:hAnsi="Times New Roman" w:cs="Times New Roman"/>
          <w:lang w:val="en-US"/>
        </w:rPr>
        <w:t>,</w:t>
      </w:r>
      <w:r>
        <w:rPr>
          <w:vertAlign w:val="superscript"/>
          <w:lang w:val="en-US"/>
        </w:rPr>
        <w:footnoteReference w:id="76"/>
      </w:r>
      <w:r w:rsidR="005A3F94">
        <w:rPr>
          <w:rFonts w:ascii="Times New Roman" w:hAnsi="Times New Roman" w:cs="Times New Roman"/>
          <w:lang w:val="en-US"/>
        </w:rPr>
        <w:t xml:space="preserve"> again revealing a poor understanding of the centrality of social security to legal rights.</w:t>
      </w:r>
      <w:r w:rsidRPr="002234D7">
        <w:rPr>
          <w:rFonts w:ascii="Times New Roman" w:hAnsi="Times New Roman" w:cs="Times New Roman"/>
          <w:lang w:val="en-US"/>
        </w:rPr>
        <w:t xml:space="preserve"> </w:t>
      </w:r>
    </w:p>
    <w:p w14:paraId="758E2C4C" w14:textId="360F301B" w:rsidR="001C0B42" w:rsidRPr="001C0B42" w:rsidRDefault="00000000" w:rsidP="00123C13">
      <w:pPr>
        <w:spacing w:after="120"/>
        <w:jc w:val="both"/>
        <w:rPr>
          <w:rFonts w:ascii="Times New Roman" w:hAnsi="Times New Roman" w:cs="Times New Roman"/>
          <w:lang w:val="en-US"/>
        </w:rPr>
      </w:pPr>
      <w:r>
        <w:rPr>
          <w:rFonts w:ascii="Times New Roman" w:hAnsi="Times New Roman" w:cs="Times New Roman"/>
          <w:lang w:val="en-US"/>
        </w:rPr>
        <w:t>In addressing the purported need to make the system fairer (for th</w:t>
      </w:r>
      <w:r w:rsidR="00992146">
        <w:rPr>
          <w:rFonts w:ascii="Times New Roman" w:hAnsi="Times New Roman" w:cs="Times New Roman"/>
          <w:lang w:val="en-US"/>
        </w:rPr>
        <w:t>os</w:t>
      </w:r>
      <w:r>
        <w:rPr>
          <w:rFonts w:ascii="Times New Roman" w:hAnsi="Times New Roman" w:cs="Times New Roman"/>
          <w:lang w:val="en-US"/>
        </w:rPr>
        <w:t>e wealthy</w:t>
      </w:r>
      <w:r w:rsidR="00992146">
        <w:rPr>
          <w:rFonts w:ascii="Times New Roman" w:hAnsi="Times New Roman" w:cs="Times New Roman"/>
          <w:lang w:val="en-US"/>
        </w:rPr>
        <w:t xml:space="preserve"> enough to not need social security</w:t>
      </w:r>
      <w:r>
        <w:rPr>
          <w:rFonts w:ascii="Times New Roman" w:hAnsi="Times New Roman" w:cs="Times New Roman"/>
          <w:lang w:val="en-US"/>
        </w:rPr>
        <w:t>), t</w:t>
      </w:r>
      <w:r w:rsidRPr="00766511">
        <w:rPr>
          <w:rFonts w:ascii="Times New Roman" w:hAnsi="Times New Roman" w:cs="Times New Roman"/>
          <w:lang w:val="en-US"/>
        </w:rPr>
        <w:t xml:space="preserve">he judgment uses the phrase “without limit” </w:t>
      </w:r>
      <w:r w:rsidRPr="00766511">
        <w:rPr>
          <w:rFonts w:ascii="Times New Roman" w:hAnsi="Times New Roman" w:cs="Times New Roman"/>
          <w:i/>
          <w:iCs/>
          <w:lang w:val="en-US"/>
        </w:rPr>
        <w:t>four times</w:t>
      </w:r>
      <w:r w:rsidRPr="00766511">
        <w:rPr>
          <w:rFonts w:ascii="Times New Roman" w:hAnsi="Times New Roman" w:cs="Times New Roman"/>
          <w:lang w:val="en-US"/>
        </w:rPr>
        <w:t xml:space="preserve"> when referring to social security recipients having children.</w:t>
      </w:r>
      <w:r>
        <w:rPr>
          <w:rStyle w:val="FootnoteReference"/>
          <w:rFonts w:ascii="Times New Roman" w:hAnsi="Times New Roman" w:cs="Times New Roman"/>
          <w:lang w:val="en-US"/>
        </w:rPr>
        <w:footnoteReference w:id="77"/>
      </w:r>
      <w:r w:rsidRPr="00766511">
        <w:rPr>
          <w:rFonts w:ascii="Times New Roman" w:hAnsi="Times New Roman" w:cs="Times New Roman"/>
          <w:lang w:val="en-US"/>
        </w:rPr>
        <w:t xml:space="preserve"> It is Othering language; it is biologically nonsensical while carrying implications of promiscuity, fecklessness, and sociological threat.</w:t>
      </w:r>
      <w:r>
        <w:rPr>
          <w:rStyle w:val="FootnoteReference"/>
          <w:rFonts w:ascii="Times New Roman" w:hAnsi="Times New Roman" w:cs="Times New Roman"/>
          <w:lang w:val="en-US"/>
        </w:rPr>
        <w:footnoteReference w:id="78"/>
      </w:r>
      <w:r w:rsidRPr="00766511">
        <w:rPr>
          <w:rFonts w:ascii="Times New Roman" w:hAnsi="Times New Roman" w:cs="Times New Roman"/>
          <w:lang w:val="en-US"/>
        </w:rPr>
        <w:t xml:space="preserve"> </w:t>
      </w:r>
      <w:r w:rsidR="005A3F94">
        <w:rPr>
          <w:rFonts w:ascii="Times New Roman" w:hAnsi="Times New Roman" w:cs="Times New Roman"/>
          <w:lang w:val="en-US"/>
        </w:rPr>
        <w:lastRenderedPageBreak/>
        <w:t xml:space="preserve">It constructs social security as a societal problem, and claimants as anti-society actors, rather than recognizing the core role social security plays in safeguarding human rights. </w:t>
      </w:r>
      <w:r w:rsidRPr="00766511">
        <w:rPr>
          <w:rFonts w:ascii="Times New Roman" w:hAnsi="Times New Roman" w:cs="Times New Roman"/>
          <w:lang w:val="en-US"/>
        </w:rPr>
        <w:t>The judgment gives the main example of disadvantage caused for children as an inability to have “birthday parties at commercial venues” (a child-focused equivalent of suggesting cancelling streaming subscriptions, and buying fewer fancy coffees).</w:t>
      </w:r>
      <w:r>
        <w:rPr>
          <w:rStyle w:val="FootnoteReference"/>
          <w:rFonts w:ascii="Times New Roman" w:hAnsi="Times New Roman" w:cs="Times New Roman"/>
          <w:lang w:val="en-US"/>
        </w:rPr>
        <w:footnoteReference w:id="79"/>
      </w:r>
      <w:r w:rsidRPr="00766511">
        <w:rPr>
          <w:rFonts w:ascii="Times New Roman" w:hAnsi="Times New Roman" w:cs="Times New Roman"/>
          <w:lang w:val="en-US"/>
        </w:rPr>
        <w:t xml:space="preserve"> </w:t>
      </w:r>
      <w:r>
        <w:rPr>
          <w:rFonts w:ascii="Times New Roman" w:hAnsi="Times New Roman" w:cs="Times New Roman"/>
          <w:lang w:val="en-US"/>
        </w:rPr>
        <w:t>But t</w:t>
      </w:r>
      <w:r w:rsidRPr="00766511">
        <w:rPr>
          <w:rFonts w:ascii="Times New Roman" w:hAnsi="Times New Roman" w:cs="Times New Roman"/>
          <w:lang w:val="en-US"/>
        </w:rPr>
        <w:t>he genre of birthday party is on a much longer list of worries for families pushed deep below the poverty line.</w:t>
      </w:r>
      <w:r>
        <w:rPr>
          <w:rStyle w:val="FootnoteReference"/>
          <w:rFonts w:ascii="Times New Roman" w:hAnsi="Times New Roman" w:cs="Times New Roman"/>
          <w:lang w:val="en-US"/>
        </w:rPr>
        <w:footnoteReference w:id="80"/>
      </w:r>
      <w:r w:rsidRPr="00766511">
        <w:rPr>
          <w:rFonts w:ascii="Times New Roman" w:hAnsi="Times New Roman" w:cs="Times New Roman"/>
          <w:lang w:val="en-US"/>
        </w:rPr>
        <w:t xml:space="preserve">  </w:t>
      </w:r>
    </w:p>
    <w:p w14:paraId="36E52B6D" w14:textId="071E716A" w:rsidR="00487CA0" w:rsidRDefault="00000000" w:rsidP="00123C13">
      <w:pPr>
        <w:spacing w:after="120"/>
        <w:jc w:val="both"/>
        <w:rPr>
          <w:rFonts w:ascii="Times New Roman" w:hAnsi="Times New Roman" w:cs="Times New Roman"/>
          <w:lang w:val="en-US"/>
        </w:rPr>
      </w:pPr>
      <w:r>
        <w:rPr>
          <w:rFonts w:ascii="Times New Roman" w:hAnsi="Times New Roman" w:cs="Times New Roman"/>
          <w:lang w:val="en-US"/>
        </w:rPr>
        <w:t xml:space="preserve">(iv) Disclaiming of proper powers of </w:t>
      </w:r>
      <w:r w:rsidR="008921F0">
        <w:rPr>
          <w:rFonts w:ascii="Times New Roman" w:hAnsi="Times New Roman" w:cs="Times New Roman"/>
          <w:lang w:val="en-US"/>
        </w:rPr>
        <w:t>proportionality</w:t>
      </w:r>
      <w:r>
        <w:rPr>
          <w:rFonts w:ascii="Times New Roman" w:hAnsi="Times New Roman" w:cs="Times New Roman"/>
          <w:lang w:val="en-US"/>
        </w:rPr>
        <w:t xml:space="preserve"> review </w:t>
      </w:r>
    </w:p>
    <w:p w14:paraId="61F40A72" w14:textId="77777777" w:rsidR="004900B2" w:rsidRDefault="00000000" w:rsidP="00123C13">
      <w:pPr>
        <w:spacing w:after="120"/>
        <w:jc w:val="both"/>
        <w:rPr>
          <w:rFonts w:ascii="Times New Roman" w:hAnsi="Times New Roman" w:cs="Times New Roman"/>
          <w:lang w:val="en-US"/>
        </w:rPr>
      </w:pPr>
      <w:r w:rsidRPr="00E84859">
        <w:rPr>
          <w:rFonts w:ascii="Times New Roman" w:hAnsi="Times New Roman" w:cs="Times New Roman"/>
          <w:lang w:val="en-US"/>
        </w:rPr>
        <w:t xml:space="preserve">The </w:t>
      </w:r>
      <w:r w:rsidR="0009519E">
        <w:rPr>
          <w:rFonts w:ascii="Times New Roman" w:hAnsi="Times New Roman" w:cs="Times New Roman"/>
          <w:lang w:val="en-US"/>
        </w:rPr>
        <w:t>court</w:t>
      </w:r>
      <w:r w:rsidR="00A1553B" w:rsidRPr="00E84859">
        <w:rPr>
          <w:rFonts w:ascii="Times New Roman" w:hAnsi="Times New Roman" w:cs="Times New Roman"/>
          <w:lang w:val="en-US"/>
        </w:rPr>
        <w:t xml:space="preserve"> rejected outright, without a need for a justification assessment</w:t>
      </w:r>
      <w:r w:rsidR="003F202A" w:rsidRPr="00E84859">
        <w:rPr>
          <w:rFonts w:ascii="Times New Roman" w:hAnsi="Times New Roman" w:cs="Times New Roman"/>
          <w:lang w:val="en-US"/>
        </w:rPr>
        <w:t>,</w:t>
      </w:r>
      <w:r w:rsidR="00A1553B" w:rsidRPr="00E84859">
        <w:rPr>
          <w:rFonts w:ascii="Times New Roman" w:hAnsi="Times New Roman" w:cs="Times New Roman"/>
          <w:lang w:val="en-US"/>
        </w:rPr>
        <w:t xml:space="preserve"> claims that the measure discriminated against children as compared to adults.</w:t>
      </w:r>
      <w:r w:rsidR="008921F0">
        <w:rPr>
          <w:rFonts w:ascii="Times New Roman" w:hAnsi="Times New Roman" w:cs="Times New Roman"/>
          <w:lang w:val="en-US"/>
        </w:rPr>
        <w:t xml:space="preserve"> The </w:t>
      </w:r>
      <w:r w:rsidR="00C53629" w:rsidRPr="00E84859">
        <w:rPr>
          <w:rFonts w:ascii="Times New Roman" w:hAnsi="Times New Roman" w:cs="Times New Roman"/>
          <w:lang w:val="en-US"/>
        </w:rPr>
        <w:t xml:space="preserve">only child-focused discrimination claim that reached the stage of justification, was that </w:t>
      </w:r>
      <w:r w:rsidR="00FE3762">
        <w:rPr>
          <w:rFonts w:ascii="Times New Roman" w:hAnsi="Times New Roman" w:cs="Times New Roman"/>
          <w:lang w:val="en-US"/>
        </w:rPr>
        <w:t xml:space="preserve">the measure </w:t>
      </w:r>
      <w:r w:rsidR="00BD7EA0">
        <w:rPr>
          <w:rFonts w:ascii="Times New Roman" w:hAnsi="Times New Roman" w:cs="Times New Roman"/>
          <w:lang w:val="en-US"/>
        </w:rPr>
        <w:t xml:space="preserve">discriminated against </w:t>
      </w:r>
      <w:r w:rsidR="00C53629" w:rsidRPr="00E84859">
        <w:rPr>
          <w:rFonts w:ascii="Times New Roman" w:hAnsi="Times New Roman" w:cs="Times New Roman"/>
          <w:lang w:val="en-US"/>
        </w:rPr>
        <w:t xml:space="preserve">children living in households with more than two children. </w:t>
      </w:r>
      <w:r w:rsidR="008921F0">
        <w:rPr>
          <w:rFonts w:ascii="Times New Roman" w:hAnsi="Times New Roman" w:cs="Times New Roman"/>
          <w:lang w:val="en-US"/>
        </w:rPr>
        <w:t xml:space="preserve">The court then moved to a justification assessment; having found the stated aims legitimate the next step was a proportionality review. </w:t>
      </w:r>
      <w:r w:rsidR="00427910" w:rsidRPr="00E84859">
        <w:rPr>
          <w:rFonts w:ascii="Times New Roman" w:hAnsi="Times New Roman" w:cs="Times New Roman"/>
          <w:lang w:val="en-US"/>
        </w:rPr>
        <w:t xml:space="preserve">However, the </w:t>
      </w:r>
      <w:r w:rsidR="0009519E">
        <w:rPr>
          <w:rFonts w:ascii="Times New Roman" w:hAnsi="Times New Roman" w:cs="Times New Roman"/>
          <w:lang w:val="en-US"/>
        </w:rPr>
        <w:t>court</w:t>
      </w:r>
      <w:r w:rsidR="00427910" w:rsidRPr="00E84859">
        <w:rPr>
          <w:rFonts w:ascii="Times New Roman" w:hAnsi="Times New Roman" w:cs="Times New Roman"/>
          <w:lang w:val="en-US"/>
        </w:rPr>
        <w:t xml:space="preserve"> then</w:t>
      </w:r>
      <w:r w:rsidR="00712EF0">
        <w:rPr>
          <w:rFonts w:ascii="Times New Roman" w:hAnsi="Times New Roman" w:cs="Times New Roman"/>
          <w:lang w:val="en-US"/>
        </w:rPr>
        <w:t xml:space="preserve"> announced that </w:t>
      </w:r>
      <w:r w:rsidR="00520531" w:rsidRPr="00E84859">
        <w:rPr>
          <w:rFonts w:ascii="Times New Roman" w:hAnsi="Times New Roman" w:cs="Times New Roman"/>
          <w:lang w:val="en-US"/>
        </w:rPr>
        <w:t>was not a question for the</w:t>
      </w:r>
      <w:r w:rsidR="00BD7EA0">
        <w:rPr>
          <w:rFonts w:ascii="Times New Roman" w:hAnsi="Times New Roman" w:cs="Times New Roman"/>
          <w:lang w:val="en-US"/>
        </w:rPr>
        <w:t>m</w:t>
      </w:r>
      <w:r w:rsidR="00520531" w:rsidRPr="00E84859">
        <w:rPr>
          <w:rFonts w:ascii="Times New Roman" w:hAnsi="Times New Roman" w:cs="Times New Roman"/>
          <w:lang w:val="en-US"/>
        </w:rPr>
        <w:t xml:space="preserve">, </w:t>
      </w:r>
      <w:r w:rsidR="00BD7EA0">
        <w:rPr>
          <w:rFonts w:ascii="Times New Roman" w:hAnsi="Times New Roman" w:cs="Times New Roman"/>
          <w:lang w:val="en-US"/>
        </w:rPr>
        <w:t>as</w:t>
      </w:r>
      <w:r w:rsidR="003C0889">
        <w:rPr>
          <w:rFonts w:ascii="Times New Roman" w:hAnsi="Times New Roman" w:cs="Times New Roman"/>
          <w:lang w:val="en-US"/>
        </w:rPr>
        <w:t xml:space="preserve"> the </w:t>
      </w:r>
      <w:r w:rsidR="003C0889" w:rsidRPr="003C0889">
        <w:rPr>
          <w:rFonts w:ascii="Times New Roman" w:hAnsi="Times New Roman" w:cs="Times New Roman"/>
          <w:lang w:val="en-US"/>
        </w:rPr>
        <w:t>“</w:t>
      </w:r>
      <w:r w:rsidR="0019765D" w:rsidRPr="003C0889">
        <w:rPr>
          <w:rFonts w:ascii="Times New Roman" w:hAnsi="Times New Roman" w:cs="Times New Roman"/>
          <w:lang w:val="en-US"/>
        </w:rPr>
        <w:t>assessment of proportionality</w:t>
      </w:r>
      <w:r w:rsidR="00BD7EA0">
        <w:rPr>
          <w:rFonts w:ascii="Times New Roman" w:hAnsi="Times New Roman" w:cs="Times New Roman"/>
          <w:lang w:val="en-US"/>
        </w:rPr>
        <w:t>…</w:t>
      </w:r>
      <w:r w:rsidR="0019765D" w:rsidRPr="003C0889">
        <w:rPr>
          <w:rFonts w:ascii="Times New Roman" w:hAnsi="Times New Roman" w:cs="Times New Roman"/>
          <w:lang w:val="en-US"/>
        </w:rPr>
        <w:t xml:space="preserve"> ultimately resolves itself into the question as to whether Parliament made the right judgment</w:t>
      </w:r>
      <w:r w:rsidR="003C0889" w:rsidRPr="003C0889">
        <w:rPr>
          <w:rFonts w:ascii="Times New Roman" w:hAnsi="Times New Roman" w:cs="Times New Roman"/>
          <w:lang w:val="en-US"/>
        </w:rPr>
        <w:t>”</w:t>
      </w:r>
      <w:r w:rsidR="003C0889">
        <w:rPr>
          <w:rFonts w:ascii="Times New Roman" w:hAnsi="Times New Roman" w:cs="Times New Roman"/>
          <w:i/>
          <w:iCs/>
          <w:lang w:val="en-US"/>
        </w:rPr>
        <w:t xml:space="preserve"> </w:t>
      </w:r>
      <w:r w:rsidR="003C0889">
        <w:rPr>
          <w:rFonts w:ascii="Times New Roman" w:hAnsi="Times New Roman" w:cs="Times New Roman"/>
          <w:lang w:val="en-US"/>
        </w:rPr>
        <w:t xml:space="preserve">which “cannot be answered by any process of legal reasoning” and there were “no legal standards” against which the </w:t>
      </w:r>
      <w:r w:rsidR="0009519E">
        <w:rPr>
          <w:rFonts w:ascii="Times New Roman" w:hAnsi="Times New Roman" w:cs="Times New Roman"/>
          <w:lang w:val="en-US"/>
        </w:rPr>
        <w:t>court</w:t>
      </w:r>
      <w:r w:rsidR="003C0889">
        <w:rPr>
          <w:rFonts w:ascii="Times New Roman" w:hAnsi="Times New Roman" w:cs="Times New Roman"/>
          <w:lang w:val="en-US"/>
        </w:rPr>
        <w:t xml:space="preserve"> could assess how interests had been weighed</w:t>
      </w:r>
      <w:r w:rsidR="008921F0">
        <w:rPr>
          <w:rFonts w:ascii="Times New Roman" w:hAnsi="Times New Roman" w:cs="Times New Roman"/>
          <w:lang w:val="en-US"/>
        </w:rPr>
        <w:t>.</w:t>
      </w:r>
      <w:r>
        <w:rPr>
          <w:rStyle w:val="FootnoteReference"/>
          <w:rFonts w:ascii="Times New Roman" w:hAnsi="Times New Roman" w:cs="Times New Roman"/>
          <w:lang w:val="en-US"/>
        </w:rPr>
        <w:footnoteReference w:id="81"/>
      </w:r>
      <w:r w:rsidR="008921F0">
        <w:rPr>
          <w:rFonts w:ascii="Times New Roman" w:hAnsi="Times New Roman" w:cs="Times New Roman"/>
          <w:lang w:val="en-US"/>
        </w:rPr>
        <w:t xml:space="preserve"> </w:t>
      </w:r>
    </w:p>
    <w:p w14:paraId="357FED47" w14:textId="29CF2ED4" w:rsidR="00C53629" w:rsidRDefault="00000000" w:rsidP="00123C13">
      <w:pPr>
        <w:spacing w:after="120"/>
        <w:jc w:val="both"/>
        <w:rPr>
          <w:rFonts w:ascii="Times New Roman" w:hAnsi="Times New Roman" w:cs="Times New Roman"/>
          <w:lang w:val="en-US"/>
        </w:rPr>
      </w:pPr>
      <w:r>
        <w:rPr>
          <w:rFonts w:ascii="Times New Roman" w:hAnsi="Times New Roman" w:cs="Times New Roman"/>
          <w:lang w:val="en-US"/>
        </w:rPr>
        <w:t>Th</w:t>
      </w:r>
      <w:r w:rsidR="00123C13">
        <w:rPr>
          <w:rFonts w:ascii="Times New Roman" w:hAnsi="Times New Roman" w:cs="Times New Roman"/>
          <w:lang w:val="en-US"/>
        </w:rPr>
        <w:t>e</w:t>
      </w:r>
      <w:r>
        <w:rPr>
          <w:rFonts w:ascii="Times New Roman" w:hAnsi="Times New Roman" w:cs="Times New Roman"/>
          <w:lang w:val="en-US"/>
        </w:rPr>
        <w:t xml:space="preserve"> treatment of the proportionality component of </w:t>
      </w:r>
      <w:r w:rsidR="000731DB">
        <w:rPr>
          <w:rFonts w:ascii="Times New Roman" w:hAnsi="Times New Roman" w:cs="Times New Roman"/>
          <w:lang w:val="en-US"/>
        </w:rPr>
        <w:t>a</w:t>
      </w:r>
      <w:r>
        <w:rPr>
          <w:rFonts w:ascii="Times New Roman" w:hAnsi="Times New Roman" w:cs="Times New Roman"/>
          <w:lang w:val="en-US"/>
        </w:rPr>
        <w:t xml:space="preserve"> discrimination </w:t>
      </w:r>
      <w:r w:rsidR="000731DB">
        <w:rPr>
          <w:rFonts w:ascii="Times New Roman" w:hAnsi="Times New Roman" w:cs="Times New Roman"/>
          <w:lang w:val="en-US"/>
        </w:rPr>
        <w:t>justification</w:t>
      </w:r>
      <w:r>
        <w:rPr>
          <w:rFonts w:ascii="Times New Roman" w:hAnsi="Times New Roman" w:cs="Times New Roman"/>
          <w:lang w:val="en-US"/>
        </w:rPr>
        <w:t xml:space="preserve"> </w:t>
      </w:r>
      <w:r w:rsidR="000731DB">
        <w:rPr>
          <w:rFonts w:ascii="Times New Roman" w:hAnsi="Times New Roman" w:cs="Times New Roman"/>
          <w:lang w:val="en-US"/>
        </w:rPr>
        <w:t xml:space="preserve">assessment </w:t>
      </w:r>
      <w:r>
        <w:rPr>
          <w:rFonts w:ascii="Times New Roman" w:hAnsi="Times New Roman" w:cs="Times New Roman"/>
          <w:lang w:val="en-US"/>
        </w:rPr>
        <w:t>as completely beyond judicial review is a radical rewriting of the workings of discrimination law, and a significant blow to the protections supposedly provided</w:t>
      </w:r>
      <w:r w:rsidR="00A13A99">
        <w:rPr>
          <w:rFonts w:ascii="Times New Roman" w:hAnsi="Times New Roman" w:cs="Times New Roman"/>
          <w:lang w:val="en-US"/>
        </w:rPr>
        <w:t xml:space="preserve"> by the courts</w:t>
      </w:r>
      <w:r>
        <w:rPr>
          <w:rFonts w:ascii="Times New Roman" w:hAnsi="Times New Roman" w:cs="Times New Roman"/>
          <w:lang w:val="en-US"/>
        </w:rPr>
        <w:t xml:space="preserve">. It effectively shields a vast amount of social security decisions from judicial review, as proportionality is </w:t>
      </w:r>
      <w:r w:rsidR="00A13A99">
        <w:rPr>
          <w:rFonts w:ascii="Times New Roman" w:hAnsi="Times New Roman" w:cs="Times New Roman"/>
          <w:lang w:val="en-US"/>
        </w:rPr>
        <w:t>the tool by which</w:t>
      </w:r>
      <w:r>
        <w:rPr>
          <w:rFonts w:ascii="Times New Roman" w:hAnsi="Times New Roman" w:cs="Times New Roman"/>
          <w:lang w:val="en-US"/>
        </w:rPr>
        <w:t xml:space="preserve"> different interests in the human rights context are balanced, an exercise hitherto allocated to judges. </w:t>
      </w:r>
      <w:r w:rsidR="007D226B" w:rsidRPr="00E84859">
        <w:rPr>
          <w:rFonts w:ascii="Times New Roman" w:hAnsi="Times New Roman" w:cs="Times New Roman"/>
          <w:lang w:val="en-US"/>
        </w:rPr>
        <w:t>This is not</w:t>
      </w:r>
      <w:r w:rsidR="00B026DF">
        <w:rPr>
          <w:rFonts w:ascii="Times New Roman" w:hAnsi="Times New Roman" w:cs="Times New Roman"/>
          <w:lang w:val="en-US"/>
        </w:rPr>
        <w:t xml:space="preserve"> </w:t>
      </w:r>
      <w:r w:rsidR="007D226B" w:rsidRPr="00E84859">
        <w:rPr>
          <w:rFonts w:ascii="Times New Roman" w:hAnsi="Times New Roman" w:cs="Times New Roman"/>
          <w:lang w:val="en-US"/>
        </w:rPr>
        <w:t>judicial restrain</w:t>
      </w:r>
      <w:r>
        <w:rPr>
          <w:rFonts w:ascii="Times New Roman" w:hAnsi="Times New Roman" w:cs="Times New Roman"/>
          <w:lang w:val="en-US"/>
        </w:rPr>
        <w:t>t – it i</w:t>
      </w:r>
      <w:r w:rsidR="007D226B" w:rsidRPr="00E84859">
        <w:rPr>
          <w:rFonts w:ascii="Times New Roman" w:hAnsi="Times New Roman" w:cs="Times New Roman"/>
          <w:lang w:val="en-US"/>
        </w:rPr>
        <w:t>s activism</w:t>
      </w:r>
      <w:r>
        <w:rPr>
          <w:rFonts w:ascii="Times New Roman" w:hAnsi="Times New Roman" w:cs="Times New Roman"/>
          <w:lang w:val="en-US"/>
        </w:rPr>
        <w:t>. It disregards the</w:t>
      </w:r>
      <w:r w:rsidR="00655F9E" w:rsidRPr="00E84859">
        <w:rPr>
          <w:rFonts w:ascii="Times New Roman" w:hAnsi="Times New Roman" w:cs="Times New Roman"/>
          <w:lang w:val="en-US"/>
        </w:rPr>
        <w:t xml:space="preserve"> duties under the Human Rights Act 1998, </w:t>
      </w:r>
      <w:r>
        <w:rPr>
          <w:rFonts w:ascii="Times New Roman" w:hAnsi="Times New Roman" w:cs="Times New Roman"/>
          <w:lang w:val="en-US"/>
        </w:rPr>
        <w:t>a</w:t>
      </w:r>
      <w:r w:rsidR="00655F9E" w:rsidRPr="00E84859">
        <w:rPr>
          <w:rFonts w:ascii="Times New Roman" w:hAnsi="Times New Roman" w:cs="Times New Roman"/>
          <w:lang w:val="en-US"/>
        </w:rPr>
        <w:t xml:space="preserve"> Parliament</w:t>
      </w:r>
      <w:r>
        <w:rPr>
          <w:rFonts w:ascii="Times New Roman" w:hAnsi="Times New Roman" w:cs="Times New Roman"/>
          <w:lang w:val="en-US"/>
        </w:rPr>
        <w:t>ary instrument</w:t>
      </w:r>
      <w:r w:rsidR="00251225">
        <w:rPr>
          <w:rFonts w:ascii="Times New Roman" w:hAnsi="Times New Roman" w:cs="Times New Roman"/>
          <w:lang w:val="en-US"/>
        </w:rPr>
        <w:t>, which incorporates the ECHR, including the requirement a right to an effective remedy, “</w:t>
      </w:r>
      <w:r w:rsidR="00251225" w:rsidRPr="00251225">
        <w:rPr>
          <w:rFonts w:ascii="Times New Roman" w:hAnsi="Times New Roman" w:cs="Times New Roman"/>
          <w:lang w:val="en-US"/>
        </w:rPr>
        <w:t>notwithstanding that the violation has been committed by persons acting in an official capacity</w:t>
      </w:r>
      <w:r w:rsidR="00251225">
        <w:rPr>
          <w:rFonts w:ascii="Times New Roman" w:hAnsi="Times New Roman" w:cs="Times New Roman"/>
          <w:lang w:val="en-US"/>
        </w:rPr>
        <w:t>”</w:t>
      </w:r>
      <w:r w:rsidR="00251225" w:rsidRPr="00251225">
        <w:rPr>
          <w:rFonts w:ascii="Times New Roman" w:hAnsi="Times New Roman" w:cs="Times New Roman"/>
          <w:lang w:val="en-US"/>
        </w:rPr>
        <w:t>.</w:t>
      </w:r>
      <w:r>
        <w:rPr>
          <w:rStyle w:val="FootnoteReference"/>
          <w:rFonts w:ascii="Times New Roman" w:hAnsi="Times New Roman" w:cs="Times New Roman"/>
          <w:lang w:val="en-US"/>
        </w:rPr>
        <w:footnoteReference w:id="82"/>
      </w:r>
      <w:r w:rsidR="009530DA">
        <w:rPr>
          <w:rFonts w:ascii="Times New Roman" w:hAnsi="Times New Roman" w:cs="Times New Roman"/>
          <w:lang w:val="en-US"/>
        </w:rPr>
        <w:t xml:space="preserve"> This includes violations of the prohibition of discrimination in Article 14, which applies to social security law when applied in combination with the right to respect for private and family life (</w:t>
      </w:r>
      <w:r w:rsidR="00E745B6" w:rsidRPr="00E84859">
        <w:rPr>
          <w:rFonts w:ascii="Times New Roman" w:hAnsi="Times New Roman" w:cs="Times New Roman"/>
          <w:lang w:val="en-US"/>
        </w:rPr>
        <w:t>Article 8</w:t>
      </w:r>
      <w:r w:rsidR="009530DA">
        <w:rPr>
          <w:rFonts w:ascii="Times New Roman" w:hAnsi="Times New Roman" w:cs="Times New Roman"/>
          <w:lang w:val="en-US"/>
        </w:rPr>
        <w:t>)</w:t>
      </w:r>
      <w:r>
        <w:rPr>
          <w:rStyle w:val="FootnoteReference"/>
          <w:rFonts w:ascii="Times New Roman" w:hAnsi="Times New Roman" w:cs="Times New Roman"/>
          <w:lang w:val="en-US"/>
        </w:rPr>
        <w:footnoteReference w:id="83"/>
      </w:r>
      <w:r w:rsidR="00E745B6" w:rsidRPr="00E84859">
        <w:rPr>
          <w:rFonts w:ascii="Times New Roman" w:hAnsi="Times New Roman" w:cs="Times New Roman"/>
          <w:lang w:val="en-US"/>
        </w:rPr>
        <w:t xml:space="preserve"> and</w:t>
      </w:r>
      <w:r w:rsidR="009530DA">
        <w:rPr>
          <w:rFonts w:ascii="Times New Roman" w:hAnsi="Times New Roman" w:cs="Times New Roman"/>
          <w:lang w:val="en-US"/>
        </w:rPr>
        <w:t>/or</w:t>
      </w:r>
      <w:r w:rsidR="00E745B6" w:rsidRPr="00E84859">
        <w:rPr>
          <w:rFonts w:ascii="Times New Roman" w:hAnsi="Times New Roman" w:cs="Times New Roman"/>
          <w:lang w:val="en-US"/>
        </w:rPr>
        <w:t xml:space="preserve"> </w:t>
      </w:r>
      <w:r w:rsidR="009530DA">
        <w:rPr>
          <w:rFonts w:ascii="Times New Roman" w:hAnsi="Times New Roman" w:cs="Times New Roman"/>
          <w:lang w:val="en-US"/>
        </w:rPr>
        <w:t>the right to the protection of property (</w:t>
      </w:r>
      <w:r w:rsidR="00E745B6" w:rsidRPr="00E84859">
        <w:rPr>
          <w:rFonts w:ascii="Times New Roman" w:hAnsi="Times New Roman" w:cs="Times New Roman"/>
          <w:lang w:val="en-US"/>
        </w:rPr>
        <w:t>A</w:t>
      </w:r>
      <w:r w:rsidR="009530DA">
        <w:rPr>
          <w:rFonts w:ascii="Times New Roman" w:hAnsi="Times New Roman" w:cs="Times New Roman"/>
          <w:lang w:val="en-US"/>
        </w:rPr>
        <w:t xml:space="preserve">rticle </w:t>
      </w:r>
      <w:r w:rsidR="00E745B6" w:rsidRPr="00E84859">
        <w:rPr>
          <w:rFonts w:ascii="Times New Roman" w:hAnsi="Times New Roman" w:cs="Times New Roman"/>
          <w:lang w:val="en-US"/>
        </w:rPr>
        <w:t>1 P</w:t>
      </w:r>
      <w:r w:rsidR="009530DA">
        <w:rPr>
          <w:rFonts w:ascii="Times New Roman" w:hAnsi="Times New Roman" w:cs="Times New Roman"/>
          <w:lang w:val="en-US"/>
        </w:rPr>
        <w:t xml:space="preserve">rotocol </w:t>
      </w:r>
      <w:r w:rsidR="00E745B6" w:rsidRPr="00E84859">
        <w:rPr>
          <w:rFonts w:ascii="Times New Roman" w:hAnsi="Times New Roman" w:cs="Times New Roman"/>
          <w:lang w:val="en-US"/>
        </w:rPr>
        <w:t>1</w:t>
      </w:r>
      <w:r w:rsidR="009530DA">
        <w:rPr>
          <w:rFonts w:ascii="Times New Roman" w:hAnsi="Times New Roman" w:cs="Times New Roman"/>
          <w:lang w:val="en-US"/>
        </w:rPr>
        <w:t>).</w:t>
      </w:r>
      <w:r>
        <w:rPr>
          <w:rStyle w:val="FootnoteReference"/>
          <w:rFonts w:ascii="Times New Roman" w:hAnsi="Times New Roman" w:cs="Times New Roman"/>
          <w:lang w:val="en-US"/>
        </w:rPr>
        <w:footnoteReference w:id="84"/>
      </w:r>
      <w:r w:rsidR="00E745B6" w:rsidRPr="00E84859">
        <w:rPr>
          <w:rFonts w:ascii="Times New Roman" w:hAnsi="Times New Roman" w:cs="Times New Roman"/>
          <w:lang w:val="en-US"/>
        </w:rPr>
        <w:t xml:space="preserve"> </w:t>
      </w:r>
      <w:r w:rsidR="000731DB">
        <w:rPr>
          <w:rFonts w:ascii="Times New Roman" w:hAnsi="Times New Roman" w:cs="Times New Roman"/>
        </w:rPr>
        <w:t xml:space="preserve">To land on the line that </w:t>
      </w:r>
      <w:r w:rsidR="00E745B6" w:rsidRPr="00E84859">
        <w:rPr>
          <w:rFonts w:ascii="Times New Roman" w:hAnsi="Times New Roman" w:cs="Times New Roman"/>
          <w:lang w:val="en-US"/>
        </w:rPr>
        <w:t xml:space="preserve">social security discrimination </w:t>
      </w:r>
      <w:r w:rsidR="000731DB">
        <w:rPr>
          <w:rFonts w:ascii="Times New Roman" w:hAnsi="Times New Roman" w:cs="Times New Roman"/>
          <w:lang w:val="en-US"/>
        </w:rPr>
        <w:t xml:space="preserve">is ok if </w:t>
      </w:r>
      <w:r w:rsidR="00E745B6" w:rsidRPr="00E84859">
        <w:rPr>
          <w:rFonts w:ascii="Times New Roman" w:hAnsi="Times New Roman" w:cs="Times New Roman"/>
          <w:lang w:val="en-US"/>
        </w:rPr>
        <w:t xml:space="preserve">the State thinks </w:t>
      </w:r>
      <w:r w:rsidR="00512D94">
        <w:rPr>
          <w:rFonts w:ascii="Times New Roman" w:hAnsi="Times New Roman" w:cs="Times New Roman"/>
          <w:lang w:val="en-US"/>
        </w:rPr>
        <w:t xml:space="preserve">it </w:t>
      </w:r>
      <w:r w:rsidR="00E745B6" w:rsidRPr="00E84859">
        <w:rPr>
          <w:rFonts w:ascii="Times New Roman" w:hAnsi="Times New Roman" w:cs="Times New Roman"/>
          <w:lang w:val="en-US"/>
        </w:rPr>
        <w:t>is fair</w:t>
      </w:r>
      <w:r w:rsidR="000731DB">
        <w:rPr>
          <w:rFonts w:ascii="Times New Roman" w:hAnsi="Times New Roman" w:cs="Times New Roman"/>
          <w:lang w:val="en-US"/>
        </w:rPr>
        <w:t xml:space="preserve"> rather strips these provisions of meaning or </w:t>
      </w:r>
      <w:r w:rsidR="000731DB">
        <w:rPr>
          <w:rFonts w:ascii="Times New Roman" w:hAnsi="Times New Roman" w:cs="Times New Roman"/>
          <w:lang w:val="en-US"/>
        </w:rPr>
        <w:lastRenderedPageBreak/>
        <w:t>effect.  While these and other matters may involve a wide margin of appreciation for States</w:t>
      </w:r>
      <w:r w:rsidR="005F1107">
        <w:rPr>
          <w:rFonts w:ascii="Times New Roman" w:hAnsi="Times New Roman" w:cs="Times New Roman"/>
          <w:lang w:val="en-US"/>
        </w:rPr>
        <w:t>,</w:t>
      </w:r>
      <w:r>
        <w:rPr>
          <w:rStyle w:val="FootnoteReference"/>
          <w:rFonts w:ascii="Times New Roman" w:hAnsi="Times New Roman" w:cs="Times New Roman"/>
          <w:lang w:val="en-US"/>
        </w:rPr>
        <w:footnoteReference w:id="85"/>
      </w:r>
      <w:r w:rsidR="005F1107">
        <w:rPr>
          <w:rFonts w:ascii="Times New Roman" w:hAnsi="Times New Roman" w:cs="Times New Roman"/>
          <w:lang w:val="en-US"/>
        </w:rPr>
        <w:t xml:space="preserve"> </w:t>
      </w:r>
      <w:r w:rsidR="008369DD">
        <w:rPr>
          <w:rFonts w:ascii="Times New Roman" w:hAnsi="Times New Roman" w:cs="Times New Roman"/>
          <w:lang w:val="en-US"/>
        </w:rPr>
        <w:t>“</w:t>
      </w:r>
      <w:r w:rsidR="008369DD" w:rsidRPr="008369DD">
        <w:rPr>
          <w:rFonts w:ascii="Times New Roman" w:hAnsi="Times New Roman" w:cs="Times New Roman"/>
          <w:lang w:val="en-US"/>
        </w:rPr>
        <w:t>it is not all-embracing</w:t>
      </w:r>
      <w:r w:rsidR="000731DB">
        <w:rPr>
          <w:rFonts w:ascii="Times New Roman" w:hAnsi="Times New Roman" w:cs="Times New Roman"/>
          <w:lang w:val="en-US"/>
        </w:rPr>
        <w:t>.</w:t>
      </w:r>
      <w:r w:rsidR="008369DD">
        <w:rPr>
          <w:rFonts w:ascii="Times New Roman" w:hAnsi="Times New Roman" w:cs="Times New Roman"/>
          <w:lang w:val="en-US"/>
        </w:rPr>
        <w:t>”</w:t>
      </w:r>
      <w:r>
        <w:rPr>
          <w:rStyle w:val="FootnoteReference"/>
          <w:rFonts w:ascii="Times New Roman" w:hAnsi="Times New Roman" w:cs="Times New Roman"/>
          <w:lang w:val="en-US"/>
        </w:rPr>
        <w:footnoteReference w:id="86"/>
      </w:r>
      <w:r w:rsidR="008369DD">
        <w:rPr>
          <w:rFonts w:ascii="Times New Roman" w:hAnsi="Times New Roman" w:cs="Times New Roman"/>
          <w:lang w:val="en-US"/>
        </w:rPr>
        <w:t xml:space="preserve"> </w:t>
      </w:r>
    </w:p>
    <w:p w14:paraId="7F17BF39" w14:textId="2DE7481C" w:rsidR="00A13A99" w:rsidRDefault="00000000" w:rsidP="00123C13">
      <w:pPr>
        <w:spacing w:after="120"/>
        <w:jc w:val="both"/>
        <w:rPr>
          <w:rFonts w:ascii="Times New Roman" w:hAnsi="Times New Roman" w:cs="Times New Roman"/>
          <w:lang w:val="en-US"/>
        </w:rPr>
      </w:pPr>
      <w:r>
        <w:rPr>
          <w:rFonts w:ascii="Times New Roman" w:hAnsi="Times New Roman" w:cs="Times New Roman"/>
          <w:lang w:val="en-US"/>
        </w:rPr>
        <w:t xml:space="preserve">Social security is treated as a subject for parliamentary scrapping, using “parliamentary methods of resolving disputes”, which are “very different from judicial methods, </w:t>
      </w:r>
      <w:r w:rsidRPr="00FA49D2">
        <w:rPr>
          <w:rFonts w:ascii="Times New Roman" w:hAnsi="Times New Roman" w:cs="Times New Roman"/>
          <w:lang w:val="en-US"/>
        </w:rPr>
        <w:t>aimed at the production of decisions arrived at by an independent and transparent process of reasoning</w:t>
      </w:r>
      <w:r>
        <w:rPr>
          <w:rFonts w:ascii="Times New Roman" w:hAnsi="Times New Roman" w:cs="Times New Roman"/>
          <w:lang w:val="en-US"/>
        </w:rPr>
        <w:t>”.</w:t>
      </w:r>
      <w:r>
        <w:rPr>
          <w:rStyle w:val="FootnoteReference"/>
          <w:rFonts w:ascii="Times New Roman" w:hAnsi="Times New Roman" w:cs="Times New Roman"/>
          <w:lang w:val="en-US"/>
        </w:rPr>
        <w:footnoteReference w:id="87"/>
      </w:r>
      <w:r>
        <w:rPr>
          <w:rFonts w:ascii="Times New Roman" w:hAnsi="Times New Roman" w:cs="Times New Roman"/>
          <w:lang w:val="en-US"/>
        </w:rPr>
        <w:t xml:space="preserve"> It is not a matter for lucid legal brains.  As the courts could not expect Parliament “</w:t>
      </w:r>
      <w:r w:rsidR="00AA0768" w:rsidRPr="00AA0768">
        <w:rPr>
          <w:rFonts w:ascii="Times New Roman" w:hAnsi="Times New Roman" w:cs="Times New Roman"/>
          <w:lang w:val="en-US"/>
        </w:rPr>
        <w:t>to conform to a judicial model of rationality</w:t>
      </w:r>
      <w:r w:rsidR="00AA0768">
        <w:rPr>
          <w:rFonts w:ascii="Times New Roman" w:hAnsi="Times New Roman" w:cs="Times New Roman"/>
          <w:lang w:val="en-US"/>
        </w:rPr>
        <w:t>”</w:t>
      </w:r>
      <w:r>
        <w:rPr>
          <w:rFonts w:ascii="Times New Roman" w:hAnsi="Times New Roman" w:cs="Times New Roman"/>
          <w:lang w:val="en-US"/>
        </w:rPr>
        <w:t>, nor insist on politicians’ “</w:t>
      </w:r>
      <w:r w:rsidR="00AA0768" w:rsidRPr="00AA0768">
        <w:rPr>
          <w:rFonts w:ascii="Times New Roman" w:hAnsi="Times New Roman" w:cs="Times New Roman"/>
          <w:lang w:val="en-US"/>
        </w:rPr>
        <w:t>transparent and rational analysis</w:t>
      </w:r>
      <w:r w:rsidR="00AA0768">
        <w:rPr>
          <w:rFonts w:ascii="Times New Roman" w:hAnsi="Times New Roman" w:cs="Times New Roman"/>
          <w:lang w:val="en-US"/>
        </w:rPr>
        <w:t>”</w:t>
      </w:r>
      <w:r>
        <w:rPr>
          <w:rFonts w:ascii="Times New Roman" w:hAnsi="Times New Roman" w:cs="Times New Roman"/>
          <w:lang w:val="en-US"/>
        </w:rPr>
        <w:t>,</w:t>
      </w:r>
      <w:r>
        <w:rPr>
          <w:rStyle w:val="FootnoteReference"/>
          <w:rFonts w:ascii="Times New Roman" w:hAnsi="Times New Roman" w:cs="Times New Roman"/>
          <w:lang w:val="en-US"/>
        </w:rPr>
        <w:footnoteReference w:id="88"/>
      </w:r>
      <w:r>
        <w:rPr>
          <w:rFonts w:ascii="Times New Roman" w:hAnsi="Times New Roman" w:cs="Times New Roman"/>
          <w:lang w:val="en-US"/>
        </w:rPr>
        <w:t xml:space="preserve"> it was considered inappropriate to review those decisions using such rational analysis. In other words, these </w:t>
      </w:r>
      <w:proofErr w:type="gramStart"/>
      <w:r>
        <w:rPr>
          <w:rFonts w:ascii="Times New Roman" w:hAnsi="Times New Roman" w:cs="Times New Roman"/>
          <w:lang w:val="en-US"/>
        </w:rPr>
        <w:t>were</w:t>
      </w:r>
      <w:proofErr w:type="gramEnd"/>
      <w:r>
        <w:rPr>
          <w:rFonts w:ascii="Times New Roman" w:hAnsi="Times New Roman" w:cs="Times New Roman"/>
          <w:lang w:val="en-US"/>
        </w:rPr>
        <w:t xml:space="preserve"> not legal questions so should not be subject to legal analysis: t</w:t>
      </w:r>
      <w:r w:rsidR="00CD654F">
        <w:rPr>
          <w:rFonts w:ascii="Times New Roman" w:hAnsi="Times New Roman" w:cs="Times New Roman"/>
          <w:lang w:val="en-US"/>
        </w:rPr>
        <w:t xml:space="preserve">he judgment concludes that there are “no legal standards” for balancing the interests </w:t>
      </w:r>
      <w:r w:rsidR="000C506C">
        <w:rPr>
          <w:rFonts w:ascii="Times New Roman" w:hAnsi="Times New Roman" w:cs="Times New Roman"/>
          <w:lang w:val="en-US"/>
        </w:rPr>
        <w:t xml:space="preserve">at issue. </w:t>
      </w:r>
      <w:r>
        <w:rPr>
          <w:rFonts w:ascii="Times New Roman" w:hAnsi="Times New Roman" w:cs="Times New Roman"/>
          <w:lang w:val="en-US"/>
        </w:rPr>
        <w:t xml:space="preserve">But this stark </w:t>
      </w:r>
      <w:proofErr w:type="spellStart"/>
      <w:r>
        <w:rPr>
          <w:rFonts w:ascii="Times New Roman" w:hAnsi="Times New Roman" w:cs="Times New Roman"/>
          <w:lang w:val="en-US"/>
        </w:rPr>
        <w:t>alegalising</w:t>
      </w:r>
      <w:proofErr w:type="spellEnd"/>
      <w:r>
        <w:rPr>
          <w:rFonts w:ascii="Times New Roman" w:hAnsi="Times New Roman" w:cs="Times New Roman"/>
          <w:lang w:val="en-US"/>
        </w:rPr>
        <w:t xml:space="preserve"> stands in sharp contrast with warnings about the “broad discretionary power” conferred on the courts by the principle of proportionality</w:t>
      </w:r>
      <w:r w:rsidR="00312B77">
        <w:rPr>
          <w:rFonts w:ascii="Times New Roman" w:hAnsi="Times New Roman" w:cs="Times New Roman"/>
          <w:lang w:val="en-US"/>
        </w:rPr>
        <w:t xml:space="preserve">. In order to avoid “undue interference” with the legislature, the court has interpreted that power as being no such power at all, begging the question as to what is </w:t>
      </w:r>
      <w:r w:rsidR="00312B77" w:rsidRPr="00312B77">
        <w:rPr>
          <w:rFonts w:ascii="Times New Roman" w:hAnsi="Times New Roman" w:cs="Times New Roman"/>
          <w:i/>
          <w:iCs/>
          <w:lang w:val="en-US"/>
        </w:rPr>
        <w:t>due</w:t>
      </w:r>
      <w:r w:rsidR="00312B77">
        <w:rPr>
          <w:rFonts w:ascii="Times New Roman" w:hAnsi="Times New Roman" w:cs="Times New Roman"/>
          <w:lang w:val="en-US"/>
        </w:rPr>
        <w:t xml:space="preserve"> interference</w:t>
      </w:r>
      <w:r>
        <w:rPr>
          <w:rFonts w:ascii="Times New Roman" w:hAnsi="Times New Roman" w:cs="Times New Roman"/>
          <w:lang w:val="en-US"/>
        </w:rPr>
        <w:t xml:space="preserve"> </w:t>
      </w:r>
      <w:r w:rsidR="00312B77">
        <w:rPr>
          <w:rFonts w:ascii="Times New Roman" w:hAnsi="Times New Roman" w:cs="Times New Roman"/>
          <w:lang w:val="en-US"/>
        </w:rPr>
        <w:t xml:space="preserve">when it comes to human rights and social security. The court’s approach in </w:t>
      </w:r>
      <w:r w:rsidR="00312B77">
        <w:rPr>
          <w:rFonts w:ascii="Times New Roman" w:hAnsi="Times New Roman" w:cs="Times New Roman"/>
          <w:i/>
          <w:iCs/>
          <w:lang w:val="en-US"/>
        </w:rPr>
        <w:t>SC</w:t>
      </w:r>
      <w:r w:rsidR="00312B77">
        <w:rPr>
          <w:rFonts w:ascii="Times New Roman" w:hAnsi="Times New Roman" w:cs="Times New Roman"/>
          <w:lang w:val="en-US"/>
        </w:rPr>
        <w:t xml:space="preserve"> is that Parliamentary democracy is the only real authority here  </w:t>
      </w:r>
    </w:p>
    <w:p w14:paraId="2C10EDB2" w14:textId="1CC6203B" w:rsidR="00FA49D2" w:rsidRDefault="00000000" w:rsidP="00123C13">
      <w:pPr>
        <w:spacing w:after="120"/>
        <w:jc w:val="both"/>
        <w:rPr>
          <w:rFonts w:ascii="Times New Roman" w:hAnsi="Times New Roman" w:cs="Times New Roman"/>
          <w:lang w:val="en-US"/>
        </w:rPr>
      </w:pPr>
      <w:r>
        <w:rPr>
          <w:rFonts w:ascii="Times New Roman" w:hAnsi="Times New Roman" w:cs="Times New Roman"/>
          <w:lang w:val="en-US"/>
        </w:rPr>
        <w:t xml:space="preserve">(v) Inappropriate reliance on ‘democracy’ as the answer. </w:t>
      </w:r>
    </w:p>
    <w:p w14:paraId="1CC00C96" w14:textId="77CF4AE7" w:rsidR="007F6FBE" w:rsidRDefault="00000000" w:rsidP="00123C13">
      <w:pPr>
        <w:spacing w:after="120"/>
        <w:jc w:val="both"/>
        <w:rPr>
          <w:rFonts w:ascii="Times New Roman" w:hAnsi="Times New Roman" w:cs="Times New Roman"/>
          <w:lang w:val="en-US"/>
        </w:rPr>
      </w:pPr>
      <w:r>
        <w:rPr>
          <w:rFonts w:ascii="Times New Roman" w:hAnsi="Times New Roman" w:cs="Times New Roman"/>
          <w:lang w:val="en-US"/>
        </w:rPr>
        <w:t>Parliamentary decisions are accepted as legitimate “</w:t>
      </w:r>
      <w:r w:rsidRPr="00AA0768">
        <w:rPr>
          <w:rFonts w:ascii="Times New Roman" w:hAnsi="Times New Roman" w:cs="Times New Roman"/>
          <w:lang w:val="en-US"/>
        </w:rPr>
        <w:t>not because of the quality or transparency of the reasoning involved, but because of the democratic credentials of those by whom the decisions are taken</w:t>
      </w:r>
      <w:r>
        <w:rPr>
          <w:rFonts w:ascii="Times New Roman" w:hAnsi="Times New Roman" w:cs="Times New Roman"/>
          <w:lang w:val="en-US"/>
        </w:rPr>
        <w:t>”</w:t>
      </w:r>
      <w:r w:rsidRPr="00AA0768">
        <w:rPr>
          <w:rFonts w:ascii="Times New Roman" w:hAnsi="Times New Roman" w:cs="Times New Roman"/>
          <w:lang w:val="en-US"/>
        </w:rPr>
        <w:t>.</w:t>
      </w:r>
      <w:r w:rsidR="00312B77">
        <w:rPr>
          <w:rFonts w:ascii="Times New Roman" w:hAnsi="Times New Roman" w:cs="Times New Roman"/>
          <w:lang w:val="en-US"/>
        </w:rPr>
        <w:t xml:space="preserve"> Democracy is the answer because it takes “</w:t>
      </w:r>
      <w:r w:rsidR="00312B77" w:rsidRPr="00195E57">
        <w:rPr>
          <w:rFonts w:ascii="Times New Roman" w:hAnsi="Times New Roman" w:cs="Times New Roman"/>
          <w:lang w:val="en-US"/>
        </w:rPr>
        <w:t>account of the values and views of all sections of society</w:t>
      </w:r>
      <w:r w:rsidR="00312B77">
        <w:rPr>
          <w:rFonts w:ascii="Times New Roman" w:hAnsi="Times New Roman" w:cs="Times New Roman"/>
          <w:lang w:val="en-US"/>
        </w:rPr>
        <w:t>”</w:t>
      </w:r>
      <w:r w:rsidR="00312B77" w:rsidRPr="00195E57">
        <w:rPr>
          <w:rFonts w:ascii="Times New Roman" w:hAnsi="Times New Roman" w:cs="Times New Roman"/>
          <w:lang w:val="en-US"/>
        </w:rPr>
        <w:t>.</w:t>
      </w:r>
      <w:r>
        <w:rPr>
          <w:rStyle w:val="FootnoteReference"/>
          <w:rFonts w:ascii="Times New Roman" w:hAnsi="Times New Roman" w:cs="Times New Roman"/>
          <w:lang w:val="en-US"/>
        </w:rPr>
        <w:footnoteReference w:id="89"/>
      </w:r>
      <w:r w:rsidR="00364009">
        <w:rPr>
          <w:rFonts w:ascii="Times New Roman" w:hAnsi="Times New Roman" w:cs="Times New Roman"/>
          <w:lang w:val="en-US"/>
        </w:rPr>
        <w:t xml:space="preserve"> But that is not quite true. T</w:t>
      </w:r>
      <w:r w:rsidR="00195E57">
        <w:rPr>
          <w:rFonts w:ascii="Times New Roman" w:hAnsi="Times New Roman" w:cs="Times New Roman"/>
          <w:lang w:val="en-US"/>
        </w:rPr>
        <w:t xml:space="preserve">he political process explicitly excludes some sections of society. </w:t>
      </w:r>
      <w:r w:rsidR="00190A88">
        <w:rPr>
          <w:rFonts w:ascii="Times New Roman" w:hAnsi="Times New Roman" w:cs="Times New Roman"/>
          <w:lang w:val="en-US"/>
        </w:rPr>
        <w:t xml:space="preserve">Democracy does not inherently protect the disenfranchised from breaches of their human rights. Children are the primary targets of the measure at issue and they </w:t>
      </w:r>
      <w:r w:rsidR="00190A88">
        <w:rPr>
          <w:rFonts w:ascii="Times New Roman" w:hAnsi="Times New Roman" w:cs="Times New Roman"/>
          <w:i/>
          <w:iCs/>
          <w:lang w:val="en-US"/>
        </w:rPr>
        <w:t>cannot vote</w:t>
      </w:r>
      <w:r w:rsidR="00190A88">
        <w:rPr>
          <w:rFonts w:ascii="Times New Roman" w:hAnsi="Times New Roman" w:cs="Times New Roman"/>
          <w:lang w:val="en-US"/>
        </w:rPr>
        <w:t xml:space="preserve">. </w:t>
      </w:r>
      <w:r w:rsidR="00336600">
        <w:rPr>
          <w:rFonts w:ascii="Times New Roman" w:hAnsi="Times New Roman" w:cs="Times New Roman"/>
          <w:lang w:val="en-US"/>
        </w:rPr>
        <w:t xml:space="preserve">A core rationale for human rights law is </w:t>
      </w:r>
      <w:r w:rsidR="00CA5F2D">
        <w:rPr>
          <w:rFonts w:ascii="Times New Roman" w:hAnsi="Times New Roman" w:cs="Times New Roman"/>
          <w:lang w:val="en-US"/>
        </w:rPr>
        <w:t>protecting minorities from the (democratic) tyranny of the majority</w:t>
      </w:r>
      <w:r w:rsidR="00336600">
        <w:rPr>
          <w:rFonts w:ascii="Times New Roman" w:hAnsi="Times New Roman" w:cs="Times New Roman"/>
          <w:lang w:val="en-US"/>
        </w:rPr>
        <w:t>.</w:t>
      </w:r>
      <w:r>
        <w:rPr>
          <w:rStyle w:val="FootnoteReference"/>
          <w:rFonts w:ascii="Times New Roman" w:hAnsi="Times New Roman" w:cs="Times New Roman"/>
          <w:lang w:val="en-US"/>
        </w:rPr>
        <w:footnoteReference w:id="90"/>
      </w:r>
      <w:r w:rsidR="002E4557">
        <w:rPr>
          <w:rFonts w:ascii="Times New Roman" w:hAnsi="Times New Roman" w:cs="Times New Roman"/>
          <w:lang w:val="en-US"/>
        </w:rPr>
        <w:t xml:space="preserve"> </w:t>
      </w:r>
      <w:r w:rsidR="00336600">
        <w:rPr>
          <w:rFonts w:ascii="Times New Roman" w:hAnsi="Times New Roman" w:cs="Times New Roman"/>
          <w:lang w:val="en-US"/>
        </w:rPr>
        <w:t xml:space="preserve">This guiding </w:t>
      </w:r>
      <w:r w:rsidR="002E4557">
        <w:rPr>
          <w:rFonts w:ascii="Times New Roman" w:hAnsi="Times New Roman" w:cs="Times New Roman"/>
          <w:lang w:val="en-US"/>
        </w:rPr>
        <w:t xml:space="preserve">principle </w:t>
      </w:r>
      <w:r w:rsidR="00336600">
        <w:rPr>
          <w:rFonts w:ascii="Times New Roman" w:hAnsi="Times New Roman" w:cs="Times New Roman"/>
          <w:lang w:val="en-US"/>
        </w:rPr>
        <w:t xml:space="preserve">must be stronger still </w:t>
      </w:r>
      <w:r w:rsidR="002E4557">
        <w:rPr>
          <w:rFonts w:ascii="Times New Roman" w:hAnsi="Times New Roman" w:cs="Times New Roman"/>
          <w:lang w:val="en-US"/>
        </w:rPr>
        <w:t xml:space="preserve">when it comes to </w:t>
      </w:r>
      <w:r w:rsidR="00336600">
        <w:rPr>
          <w:rFonts w:ascii="Times New Roman" w:hAnsi="Times New Roman" w:cs="Times New Roman"/>
          <w:lang w:val="en-US"/>
        </w:rPr>
        <w:t xml:space="preserve">disenfranchised </w:t>
      </w:r>
      <w:r w:rsidR="002E4557">
        <w:rPr>
          <w:rFonts w:ascii="Times New Roman" w:hAnsi="Times New Roman" w:cs="Times New Roman"/>
          <w:lang w:val="en-US"/>
        </w:rPr>
        <w:t>minorities.</w:t>
      </w:r>
      <w:r>
        <w:rPr>
          <w:rStyle w:val="FootnoteReference"/>
          <w:rFonts w:ascii="Times New Roman" w:hAnsi="Times New Roman" w:cs="Times New Roman"/>
          <w:lang w:val="en-US"/>
        </w:rPr>
        <w:footnoteReference w:id="91"/>
      </w:r>
      <w:r w:rsidR="002E4557">
        <w:rPr>
          <w:rFonts w:ascii="Times New Roman" w:hAnsi="Times New Roman" w:cs="Times New Roman"/>
          <w:lang w:val="en-US"/>
        </w:rPr>
        <w:t xml:space="preserve"> </w:t>
      </w:r>
      <w:r>
        <w:rPr>
          <w:rFonts w:ascii="Times New Roman" w:hAnsi="Times New Roman" w:cs="Times New Roman"/>
          <w:lang w:val="en-US"/>
        </w:rPr>
        <w:t>Children are in a special category in that regard, and face “</w:t>
      </w:r>
      <w:r w:rsidRPr="00DD6251">
        <w:rPr>
          <w:rFonts w:ascii="Times New Roman" w:hAnsi="Times New Roman" w:cs="Times New Roman"/>
          <w:lang w:val="en-US"/>
        </w:rPr>
        <w:t>real difficulties</w:t>
      </w:r>
      <w:r>
        <w:rPr>
          <w:rFonts w:ascii="Times New Roman" w:hAnsi="Times New Roman" w:cs="Times New Roman"/>
          <w:lang w:val="en-US"/>
        </w:rPr>
        <w:t xml:space="preserve">… </w:t>
      </w:r>
      <w:r w:rsidRPr="00DD6251">
        <w:rPr>
          <w:rFonts w:ascii="Times New Roman" w:hAnsi="Times New Roman" w:cs="Times New Roman"/>
          <w:lang w:val="en-US"/>
        </w:rPr>
        <w:t>in pursuing remedies for breaches of their rights</w:t>
      </w:r>
      <w:r>
        <w:rPr>
          <w:rFonts w:ascii="Times New Roman" w:hAnsi="Times New Roman" w:cs="Times New Roman"/>
          <w:lang w:val="en-US"/>
        </w:rPr>
        <w:t>,”</w:t>
      </w:r>
      <w:r>
        <w:rPr>
          <w:rStyle w:val="FootnoteReference"/>
          <w:rFonts w:ascii="Times New Roman" w:hAnsi="Times New Roman" w:cs="Times New Roman"/>
          <w:lang w:val="en-US"/>
        </w:rPr>
        <w:footnoteReference w:id="92"/>
      </w:r>
      <w:r>
        <w:rPr>
          <w:rFonts w:ascii="Times New Roman" w:hAnsi="Times New Roman" w:cs="Times New Roman"/>
          <w:lang w:val="en-US"/>
        </w:rPr>
        <w:t xml:space="preserve"> </w:t>
      </w:r>
      <w:r w:rsidR="004841D5">
        <w:rPr>
          <w:rFonts w:ascii="Times New Roman" w:hAnsi="Times New Roman" w:cs="Times New Roman"/>
          <w:lang w:val="en-US"/>
        </w:rPr>
        <w:t>so that their “</w:t>
      </w:r>
      <w:r w:rsidR="004841D5" w:rsidRPr="004841D5">
        <w:rPr>
          <w:rFonts w:ascii="Times New Roman" w:hAnsi="Times New Roman" w:cs="Times New Roman"/>
          <w:lang w:val="en-US"/>
        </w:rPr>
        <w:t xml:space="preserve">economic, social and cultural rights, as well as civil and political rights, must be regarded as </w:t>
      </w:r>
      <w:r w:rsidR="004841D5" w:rsidRPr="004841D5">
        <w:rPr>
          <w:rFonts w:ascii="Times New Roman" w:hAnsi="Times New Roman" w:cs="Times New Roman"/>
          <w:lang w:val="en-US"/>
        </w:rPr>
        <w:lastRenderedPageBreak/>
        <w:t>justiciable</w:t>
      </w:r>
      <w:r w:rsidR="000A47F1">
        <w:rPr>
          <w:rFonts w:ascii="Times New Roman" w:hAnsi="Times New Roman" w:cs="Times New Roman"/>
          <w:lang w:val="en-US"/>
        </w:rPr>
        <w:t>,</w:t>
      </w:r>
      <w:r w:rsidR="004841D5">
        <w:rPr>
          <w:rFonts w:ascii="Times New Roman" w:hAnsi="Times New Roman" w:cs="Times New Roman"/>
          <w:lang w:val="en-US"/>
        </w:rPr>
        <w:t>”</w:t>
      </w:r>
      <w:r>
        <w:rPr>
          <w:rStyle w:val="FootnoteReference"/>
          <w:rFonts w:ascii="Times New Roman" w:hAnsi="Times New Roman" w:cs="Times New Roman"/>
          <w:lang w:val="en-US"/>
        </w:rPr>
        <w:footnoteReference w:id="93"/>
      </w:r>
      <w:r w:rsidR="004841D5">
        <w:rPr>
          <w:rFonts w:ascii="Times New Roman" w:hAnsi="Times New Roman" w:cs="Times New Roman"/>
          <w:lang w:val="en-US"/>
        </w:rPr>
        <w:t xml:space="preserve"> </w:t>
      </w:r>
      <w:r w:rsidR="000A47F1">
        <w:rPr>
          <w:rFonts w:ascii="Times New Roman" w:hAnsi="Times New Roman" w:cs="Times New Roman"/>
          <w:lang w:val="en-US"/>
        </w:rPr>
        <w:t xml:space="preserve">which rather contradicts the announcement that there are “no legal standards” to judicially review such rights. </w:t>
      </w:r>
    </w:p>
    <w:p w14:paraId="47D3D5D3" w14:textId="66796718" w:rsidR="00FF5544" w:rsidRDefault="00000000" w:rsidP="00123C13">
      <w:pPr>
        <w:spacing w:after="120"/>
        <w:jc w:val="both"/>
        <w:rPr>
          <w:rFonts w:ascii="Times New Roman" w:hAnsi="Times New Roman" w:cs="Times New Roman"/>
          <w:lang w:val="en-US"/>
        </w:rPr>
      </w:pPr>
      <w:r>
        <w:rPr>
          <w:rFonts w:ascii="Times New Roman" w:hAnsi="Times New Roman" w:cs="Times New Roman"/>
          <w:lang w:val="en-US"/>
        </w:rPr>
        <w:t>Children are vulnerable to the vicissitudes of democratic systems</w:t>
      </w:r>
      <w:r w:rsidR="004841D5" w:rsidRPr="004841D5">
        <w:rPr>
          <w:rFonts w:ascii="Times New Roman" w:hAnsi="Times New Roman" w:cs="Times New Roman"/>
          <w:lang w:val="en-US"/>
        </w:rPr>
        <w:t>.</w:t>
      </w:r>
      <w:r>
        <w:rPr>
          <w:rStyle w:val="FootnoteReference"/>
          <w:rFonts w:ascii="Times New Roman" w:hAnsi="Times New Roman" w:cs="Times New Roman"/>
          <w:lang w:val="en-US"/>
        </w:rPr>
        <w:footnoteReference w:id="94"/>
      </w:r>
      <w:r w:rsidR="00DD6251">
        <w:rPr>
          <w:rFonts w:ascii="Times New Roman" w:hAnsi="Times New Roman" w:cs="Times New Roman"/>
          <w:lang w:val="en-US"/>
        </w:rPr>
        <w:t xml:space="preserve"> </w:t>
      </w:r>
      <w:r>
        <w:rPr>
          <w:rFonts w:ascii="Times New Roman" w:hAnsi="Times New Roman" w:cs="Times New Roman"/>
          <w:lang w:val="en-US"/>
        </w:rPr>
        <w:t xml:space="preserve">A century ago, </w:t>
      </w:r>
      <w:r w:rsidR="000E76F2">
        <w:rPr>
          <w:rFonts w:ascii="Times New Roman" w:hAnsi="Times New Roman" w:cs="Times New Roman"/>
          <w:lang w:val="en-US"/>
        </w:rPr>
        <w:t>the Geneva Declaration of Human Rights</w:t>
      </w:r>
      <w:r w:rsidR="00B01AAC">
        <w:rPr>
          <w:rFonts w:ascii="Times New Roman" w:hAnsi="Times New Roman" w:cs="Times New Roman"/>
          <w:lang w:val="en-US"/>
        </w:rPr>
        <w:t xml:space="preserve"> 1924 </w:t>
      </w:r>
      <w:r w:rsidR="001B021E">
        <w:rPr>
          <w:rFonts w:ascii="Times New Roman" w:hAnsi="Times New Roman" w:cs="Times New Roman"/>
          <w:lang w:val="en-US"/>
        </w:rPr>
        <w:t xml:space="preserve">provided </w:t>
      </w:r>
      <w:r w:rsidR="00B01AAC">
        <w:rPr>
          <w:rFonts w:ascii="Times New Roman" w:hAnsi="Times New Roman" w:cs="Times New Roman"/>
          <w:lang w:val="en-US"/>
        </w:rPr>
        <w:t xml:space="preserve">that </w:t>
      </w:r>
      <w:r>
        <w:rPr>
          <w:rFonts w:ascii="Times New Roman" w:hAnsi="Times New Roman" w:cs="Times New Roman"/>
          <w:lang w:val="en-US"/>
        </w:rPr>
        <w:t>children</w:t>
      </w:r>
      <w:r w:rsidR="00B01AAC" w:rsidRPr="00B01AAC">
        <w:rPr>
          <w:rFonts w:ascii="Times New Roman" w:hAnsi="Times New Roman" w:cs="Times New Roman"/>
          <w:lang w:val="en-US"/>
        </w:rPr>
        <w:t xml:space="preserve"> </w:t>
      </w:r>
      <w:r>
        <w:rPr>
          <w:rFonts w:ascii="Times New Roman" w:hAnsi="Times New Roman" w:cs="Times New Roman"/>
          <w:lang w:val="en-US"/>
        </w:rPr>
        <w:t>“</w:t>
      </w:r>
      <w:r w:rsidR="00B01AAC" w:rsidRPr="00B01AAC">
        <w:rPr>
          <w:rFonts w:ascii="Times New Roman" w:hAnsi="Times New Roman" w:cs="Times New Roman"/>
          <w:lang w:val="en-US"/>
        </w:rPr>
        <w:t>must be the first to receive relief in times of distress</w:t>
      </w:r>
      <w:r w:rsidR="00B01AAC">
        <w:rPr>
          <w:rFonts w:ascii="Times New Roman" w:hAnsi="Times New Roman" w:cs="Times New Roman"/>
          <w:lang w:val="en-US"/>
        </w:rPr>
        <w:t>.”</w:t>
      </w:r>
      <w:r>
        <w:rPr>
          <w:rStyle w:val="FootnoteReference"/>
          <w:rFonts w:ascii="Times New Roman" w:hAnsi="Times New Roman" w:cs="Times New Roman"/>
          <w:lang w:val="en-US"/>
        </w:rPr>
        <w:footnoteReference w:id="95"/>
      </w:r>
      <w:r w:rsidR="00B01AAC">
        <w:rPr>
          <w:rFonts w:ascii="Times New Roman" w:hAnsi="Times New Roman" w:cs="Times New Roman"/>
          <w:lang w:val="en-US"/>
        </w:rPr>
        <w:t xml:space="preserve"> </w:t>
      </w:r>
      <w:r w:rsidR="00B01AAC" w:rsidRPr="00B01AAC">
        <w:rPr>
          <w:rFonts w:ascii="Times New Roman" w:hAnsi="Times New Roman" w:cs="Times New Roman"/>
          <w:lang w:val="en-US"/>
        </w:rPr>
        <w:t xml:space="preserve">The </w:t>
      </w:r>
      <w:r w:rsidRPr="00B01AAC">
        <w:rPr>
          <w:rFonts w:ascii="Times New Roman" w:hAnsi="Times New Roman" w:cs="Times New Roman"/>
          <w:lang w:val="en-US"/>
        </w:rPr>
        <w:t xml:space="preserve">Universal Declaration of Human Rights </w:t>
      </w:r>
      <w:r>
        <w:rPr>
          <w:rFonts w:ascii="Times New Roman" w:hAnsi="Times New Roman" w:cs="Times New Roman"/>
          <w:lang w:val="en-US"/>
        </w:rPr>
        <w:t xml:space="preserve">later noted the </w:t>
      </w:r>
      <w:r w:rsidR="00B01AAC" w:rsidRPr="00B01AAC">
        <w:rPr>
          <w:rFonts w:ascii="Times New Roman" w:hAnsi="Times New Roman" w:cs="Times New Roman"/>
          <w:lang w:val="en-US"/>
        </w:rPr>
        <w:t xml:space="preserve">need for </w:t>
      </w:r>
      <w:r w:rsidR="00B01AAC">
        <w:rPr>
          <w:rFonts w:ascii="Times New Roman" w:hAnsi="Times New Roman" w:cs="Times New Roman"/>
          <w:lang w:val="en-US"/>
        </w:rPr>
        <w:t>“</w:t>
      </w:r>
      <w:r w:rsidR="00B01AAC" w:rsidRPr="00B01AAC">
        <w:rPr>
          <w:rFonts w:ascii="Times New Roman" w:hAnsi="Times New Roman" w:cs="Times New Roman"/>
          <w:lang w:val="en-US"/>
        </w:rPr>
        <w:t>special care and assistance</w:t>
      </w:r>
      <w:r w:rsidR="00B01AAC">
        <w:rPr>
          <w:rFonts w:ascii="Times New Roman" w:hAnsi="Times New Roman" w:cs="Times New Roman"/>
          <w:lang w:val="en-US"/>
        </w:rPr>
        <w:t>”</w:t>
      </w:r>
      <w:r w:rsidR="00B01AAC" w:rsidRPr="00B01AAC">
        <w:rPr>
          <w:rFonts w:ascii="Times New Roman" w:hAnsi="Times New Roman" w:cs="Times New Roman"/>
          <w:lang w:val="en-US"/>
        </w:rPr>
        <w:t xml:space="preserve"> in childhood (and motherhood).</w:t>
      </w:r>
      <w:r>
        <w:rPr>
          <w:rStyle w:val="FootnoteReference"/>
          <w:rFonts w:ascii="Times New Roman" w:hAnsi="Times New Roman" w:cs="Times New Roman"/>
          <w:lang w:val="en-US"/>
        </w:rPr>
        <w:footnoteReference w:id="96"/>
      </w:r>
      <w:r w:rsidR="00B01AAC">
        <w:rPr>
          <w:rFonts w:ascii="Times New Roman" w:hAnsi="Times New Roman" w:cs="Times New Roman"/>
          <w:lang w:val="en-US"/>
        </w:rPr>
        <w:t xml:space="preserve"> </w:t>
      </w:r>
      <w:r>
        <w:rPr>
          <w:rFonts w:ascii="Times New Roman" w:hAnsi="Times New Roman" w:cs="Times New Roman"/>
          <w:lang w:val="en-US"/>
        </w:rPr>
        <w:t>T</w:t>
      </w:r>
      <w:r w:rsidRPr="00E84859">
        <w:rPr>
          <w:rFonts w:ascii="Times New Roman" w:hAnsi="Times New Roman" w:cs="Times New Roman"/>
          <w:lang w:val="en-US"/>
        </w:rPr>
        <w:t xml:space="preserve">he </w:t>
      </w:r>
      <w:r>
        <w:rPr>
          <w:rFonts w:ascii="Times New Roman" w:hAnsi="Times New Roman" w:cs="Times New Roman"/>
          <w:lang w:val="en-US"/>
        </w:rPr>
        <w:t>Article 4 budgeting duty</w:t>
      </w:r>
      <w:r w:rsidRPr="00E84859">
        <w:rPr>
          <w:rFonts w:ascii="Times New Roman" w:hAnsi="Times New Roman" w:cs="Times New Roman"/>
          <w:lang w:val="en-US"/>
        </w:rPr>
        <w:t xml:space="preserve"> </w:t>
      </w:r>
      <w:r>
        <w:rPr>
          <w:rFonts w:ascii="Times New Roman" w:hAnsi="Times New Roman" w:cs="Times New Roman"/>
          <w:lang w:val="en-US"/>
        </w:rPr>
        <w:t xml:space="preserve">in the </w:t>
      </w:r>
      <w:r w:rsidRPr="00E84859">
        <w:rPr>
          <w:rFonts w:ascii="Times New Roman" w:hAnsi="Times New Roman" w:cs="Times New Roman"/>
          <w:lang w:val="en-US"/>
        </w:rPr>
        <w:t xml:space="preserve">UN Convention on the Rights of the Child, </w:t>
      </w:r>
      <w:r>
        <w:rPr>
          <w:rFonts w:ascii="Times New Roman" w:hAnsi="Times New Roman" w:cs="Times New Roman"/>
          <w:lang w:val="en-US"/>
        </w:rPr>
        <w:t xml:space="preserve">asserts the </w:t>
      </w:r>
      <w:r w:rsidRPr="00E84859">
        <w:rPr>
          <w:rFonts w:ascii="Times New Roman" w:hAnsi="Times New Roman" w:cs="Times New Roman"/>
          <w:lang w:val="en-US"/>
        </w:rPr>
        <w:t>core principle that economically “regressive measures may only be considered after assessing all other options and ensuring that children are the last to be affected, especially children in vulnerable situations.”</w:t>
      </w:r>
      <w:r>
        <w:rPr>
          <w:rStyle w:val="FootnoteReference"/>
          <w:rFonts w:ascii="Times New Roman" w:hAnsi="Times New Roman" w:cs="Times New Roman"/>
          <w:lang w:val="en-US"/>
        </w:rPr>
        <w:footnoteReference w:id="97"/>
      </w:r>
      <w:r>
        <w:rPr>
          <w:rFonts w:ascii="Times New Roman" w:hAnsi="Times New Roman" w:cs="Times New Roman"/>
          <w:lang w:val="en-US"/>
        </w:rPr>
        <w:t xml:space="preserve"> Children’s best interests should also be a primary consideration “i</w:t>
      </w:r>
      <w:r w:rsidRPr="000A47F1">
        <w:rPr>
          <w:rFonts w:ascii="Times New Roman" w:hAnsi="Times New Roman" w:cs="Times New Roman"/>
          <w:lang w:val="en-US"/>
        </w:rPr>
        <w:t>n all actions concerning children, whether undertaken by public or private social welfare institutions, courts of law, administrative authorities or legislative bodies</w:t>
      </w:r>
      <w:r>
        <w:rPr>
          <w:rFonts w:ascii="Times New Roman" w:hAnsi="Times New Roman" w:cs="Times New Roman"/>
          <w:lang w:val="en-US"/>
        </w:rPr>
        <w:t xml:space="preserve">” under Article 3 UNCRC, and States are required to </w:t>
      </w:r>
      <w:proofErr w:type="spellStart"/>
      <w:r>
        <w:rPr>
          <w:rFonts w:ascii="Times New Roman" w:hAnsi="Times New Roman" w:cs="Times New Roman"/>
          <w:lang w:val="en-US"/>
        </w:rPr>
        <w:t>recognise</w:t>
      </w:r>
      <w:proofErr w:type="spellEnd"/>
      <w:r>
        <w:rPr>
          <w:rFonts w:ascii="Times New Roman" w:hAnsi="Times New Roman" w:cs="Times New Roman"/>
          <w:lang w:val="en-US"/>
        </w:rPr>
        <w:t xml:space="preserve"> every</w:t>
      </w:r>
      <w:r w:rsidRPr="000A47F1">
        <w:rPr>
          <w:rFonts w:ascii="Times New Roman" w:hAnsi="Times New Roman" w:cs="Times New Roman"/>
          <w:lang w:val="en-US"/>
        </w:rPr>
        <w:t xml:space="preserve"> child</w:t>
      </w:r>
      <w:r>
        <w:rPr>
          <w:rFonts w:ascii="Times New Roman" w:hAnsi="Times New Roman" w:cs="Times New Roman"/>
          <w:lang w:val="en-US"/>
        </w:rPr>
        <w:t>’s</w:t>
      </w:r>
      <w:r w:rsidRPr="000A47F1">
        <w:rPr>
          <w:rFonts w:ascii="Times New Roman" w:hAnsi="Times New Roman" w:cs="Times New Roman"/>
          <w:lang w:val="en-US"/>
        </w:rPr>
        <w:t xml:space="preserve"> </w:t>
      </w:r>
      <w:r>
        <w:rPr>
          <w:rFonts w:ascii="Times New Roman" w:hAnsi="Times New Roman" w:cs="Times New Roman"/>
          <w:lang w:val="en-US"/>
        </w:rPr>
        <w:t>“</w:t>
      </w:r>
      <w:r w:rsidRPr="000A47F1">
        <w:rPr>
          <w:rFonts w:ascii="Times New Roman" w:hAnsi="Times New Roman" w:cs="Times New Roman"/>
          <w:lang w:val="en-US"/>
        </w:rPr>
        <w:t>right to benefit from social security</w:t>
      </w:r>
      <w:r>
        <w:rPr>
          <w:rFonts w:ascii="Times New Roman" w:hAnsi="Times New Roman" w:cs="Times New Roman"/>
          <w:lang w:val="en-US"/>
        </w:rPr>
        <w:t>” (Article 26 UNCRC). The UNCRC is not directly incorporated into UK law, but has played an interpretative role in shaping ECHR rights.</w:t>
      </w:r>
      <w:r>
        <w:rPr>
          <w:rStyle w:val="FootnoteReference"/>
          <w:rFonts w:ascii="Times New Roman" w:hAnsi="Times New Roman" w:cs="Times New Roman"/>
          <w:lang w:val="en-US"/>
        </w:rPr>
        <w:footnoteReference w:id="98"/>
      </w:r>
      <w:r w:rsidR="00A84BF9">
        <w:rPr>
          <w:rFonts w:ascii="Times New Roman" w:hAnsi="Times New Roman" w:cs="Times New Roman"/>
          <w:lang w:val="en-US"/>
        </w:rPr>
        <w:t xml:space="preserve"> </w:t>
      </w:r>
      <w:r>
        <w:rPr>
          <w:rFonts w:ascii="Times New Roman" w:hAnsi="Times New Roman" w:cs="Times New Roman"/>
          <w:lang w:val="en-US"/>
        </w:rPr>
        <w:t>In reasserting the supremacy of the legislature in matters of social security, the UKSC dismissively described the ECtHR’s engagement with international legal instruments as an “eclectic approach”,</w:t>
      </w:r>
      <w:r>
        <w:rPr>
          <w:rStyle w:val="FootnoteReference"/>
          <w:rFonts w:ascii="Times New Roman" w:hAnsi="Times New Roman" w:cs="Times New Roman"/>
          <w:lang w:val="en-US"/>
        </w:rPr>
        <w:footnoteReference w:id="99"/>
      </w:r>
      <w:r>
        <w:rPr>
          <w:rFonts w:ascii="Times New Roman" w:hAnsi="Times New Roman" w:cs="Times New Roman"/>
          <w:lang w:val="en-US"/>
        </w:rPr>
        <w:t xml:space="preserve"> which could not be used to create a duty of judicial review where the Court had opted for a position of deference</w:t>
      </w:r>
      <w:r w:rsidR="00A84BF9">
        <w:rPr>
          <w:rFonts w:ascii="Times New Roman" w:hAnsi="Times New Roman" w:cs="Times New Roman"/>
          <w:lang w:val="en-US"/>
        </w:rPr>
        <w:t>.</w:t>
      </w:r>
      <w:r>
        <w:rPr>
          <w:rStyle w:val="FootnoteReference"/>
          <w:rFonts w:ascii="Times New Roman" w:hAnsi="Times New Roman" w:cs="Times New Roman"/>
          <w:lang w:val="en-US"/>
        </w:rPr>
        <w:footnoteReference w:id="100"/>
      </w:r>
      <w:r w:rsidR="00393BDE">
        <w:rPr>
          <w:rFonts w:ascii="Times New Roman" w:hAnsi="Times New Roman" w:cs="Times New Roman"/>
          <w:lang w:val="en-US"/>
        </w:rPr>
        <w:t xml:space="preserve"> </w:t>
      </w:r>
    </w:p>
    <w:p w14:paraId="24EF9942" w14:textId="77777777" w:rsidR="00E40949" w:rsidRDefault="00000000" w:rsidP="00BF6F49">
      <w:pPr>
        <w:spacing w:after="120"/>
        <w:jc w:val="both"/>
        <w:rPr>
          <w:rFonts w:ascii="Times New Roman" w:hAnsi="Times New Roman" w:cs="Times New Roman"/>
          <w:i/>
          <w:iCs/>
        </w:rPr>
      </w:pPr>
      <w:r>
        <w:rPr>
          <w:rFonts w:ascii="Times New Roman" w:hAnsi="Times New Roman" w:cs="Times New Roman"/>
          <w:lang w:val="en-US"/>
        </w:rPr>
        <w:t>The only concession made to the UNCRC was a finding that</w:t>
      </w:r>
      <w:r w:rsidR="00F04E94">
        <w:rPr>
          <w:rFonts w:ascii="Times New Roman" w:hAnsi="Times New Roman" w:cs="Times New Roman"/>
          <w:lang w:val="en-US"/>
        </w:rPr>
        <w:t xml:space="preserve"> the best interests of the child was a relevant consideration</w:t>
      </w:r>
      <w:r>
        <w:rPr>
          <w:rFonts w:ascii="Times New Roman" w:hAnsi="Times New Roman" w:cs="Times New Roman"/>
          <w:lang w:val="en-US"/>
        </w:rPr>
        <w:t xml:space="preserve">, but the court found that all that was required to consider it </w:t>
      </w:r>
      <w:r w:rsidR="00B16E44">
        <w:rPr>
          <w:rFonts w:ascii="Times New Roman" w:hAnsi="Times New Roman" w:cs="Times New Roman"/>
          <w:lang w:val="en-US"/>
        </w:rPr>
        <w:t xml:space="preserve">was that Parliament </w:t>
      </w:r>
      <w:r w:rsidR="00B16E44" w:rsidRPr="00B16E44">
        <w:rPr>
          <w:rFonts w:ascii="Times New Roman" w:hAnsi="Times New Roman" w:cs="Times New Roman"/>
          <w:i/>
          <w:iCs/>
          <w:lang w:val="en-US"/>
        </w:rPr>
        <w:t xml:space="preserve">knew that children would be </w:t>
      </w:r>
      <w:r w:rsidR="00B16E44">
        <w:rPr>
          <w:rFonts w:ascii="Times New Roman" w:hAnsi="Times New Roman" w:cs="Times New Roman"/>
          <w:i/>
          <w:iCs/>
          <w:lang w:val="en-US"/>
        </w:rPr>
        <w:t>harmed.</w:t>
      </w:r>
      <w:r w:rsidR="00B16E44">
        <w:rPr>
          <w:rFonts w:ascii="Times New Roman" w:hAnsi="Times New Roman" w:cs="Times New Roman"/>
          <w:lang w:val="en-US"/>
        </w:rPr>
        <w:t xml:space="preserve"> </w:t>
      </w:r>
      <w:r>
        <w:rPr>
          <w:rFonts w:ascii="Times New Roman" w:hAnsi="Times New Roman" w:cs="Times New Roman"/>
          <w:lang w:val="en-US"/>
        </w:rPr>
        <w:t xml:space="preserve">By that token alone, we should take it that the interests were taken into account and weighed up (and eclipsed). </w:t>
      </w:r>
      <w:r w:rsidR="00E53C5F">
        <w:rPr>
          <w:rFonts w:ascii="Times New Roman" w:hAnsi="Times New Roman" w:cs="Times New Roman"/>
          <w:lang w:val="en-US"/>
        </w:rPr>
        <w:t xml:space="preserve">Lewis Graham conducted an analysis of the Supreme Court’s recent public law cases, and found greater </w:t>
      </w:r>
      <w:r w:rsidR="00E53C5F" w:rsidRPr="00B8477E">
        <w:rPr>
          <w:rFonts w:ascii="Times New Roman" w:hAnsi="Times New Roman" w:cs="Times New Roman"/>
        </w:rPr>
        <w:t>deference to the legislature on matters defined</w:t>
      </w:r>
      <w:r w:rsidR="00E53C5F" w:rsidRPr="00770D15">
        <w:rPr>
          <w:rFonts w:ascii="Times New Roman" w:hAnsi="Times New Roman" w:cs="Times New Roman"/>
        </w:rPr>
        <w:t xml:space="preserve"> as political, and where human rights claims are made</w:t>
      </w:r>
      <w:r w:rsidR="00E53C5F">
        <w:rPr>
          <w:rFonts w:ascii="Times New Roman" w:hAnsi="Times New Roman" w:cs="Times New Roman"/>
        </w:rPr>
        <w:t>,</w:t>
      </w:r>
      <w:r>
        <w:rPr>
          <w:rStyle w:val="FootnoteReference"/>
          <w:rFonts w:ascii="Times New Roman" w:hAnsi="Times New Roman" w:cs="Times New Roman"/>
        </w:rPr>
        <w:footnoteReference w:id="101"/>
      </w:r>
      <w:r w:rsidR="00E53C5F">
        <w:rPr>
          <w:rFonts w:ascii="Times New Roman" w:hAnsi="Times New Roman" w:cs="Times New Roman"/>
        </w:rPr>
        <w:t xml:space="preserve"> and there are fewer starker examples than in </w:t>
      </w:r>
      <w:r w:rsidR="00E53C5F">
        <w:rPr>
          <w:rFonts w:ascii="Times New Roman" w:hAnsi="Times New Roman" w:cs="Times New Roman"/>
          <w:i/>
          <w:iCs/>
        </w:rPr>
        <w:t>SC.</w:t>
      </w:r>
      <w:r w:rsidR="00BF6F49">
        <w:rPr>
          <w:rFonts w:ascii="Times New Roman" w:hAnsi="Times New Roman" w:cs="Times New Roman"/>
          <w:i/>
          <w:iCs/>
        </w:rPr>
        <w:t xml:space="preserve"> </w:t>
      </w:r>
    </w:p>
    <w:p w14:paraId="5CAEF09C" w14:textId="5E956925" w:rsidR="00BF6F49" w:rsidRDefault="00000000" w:rsidP="00BF6F49">
      <w:pPr>
        <w:spacing w:after="120"/>
        <w:jc w:val="both"/>
        <w:rPr>
          <w:rFonts w:ascii="Times New Roman" w:hAnsi="Times New Roman" w:cs="Times New Roman"/>
        </w:rPr>
      </w:pPr>
      <w:r>
        <w:rPr>
          <w:rFonts w:ascii="Times New Roman" w:hAnsi="Times New Roman" w:cs="Times New Roman"/>
        </w:rPr>
        <w:t xml:space="preserve">A hint at the difference professional diversity could bring to human rights scepticism in the context of social security, may be found in the contrasting approach Lady Hale took when dissenting in the case of </w:t>
      </w:r>
      <w:r>
        <w:rPr>
          <w:rFonts w:ascii="Times New Roman" w:hAnsi="Times New Roman" w:cs="Times New Roman"/>
          <w:i/>
          <w:iCs/>
        </w:rPr>
        <w:t>SG</w:t>
      </w:r>
      <w:r>
        <w:rPr>
          <w:rFonts w:ascii="Times New Roman" w:hAnsi="Times New Roman" w:cs="Times New Roman"/>
        </w:rPr>
        <w:t xml:space="preserve"> – the case challenging the benefit cap.</w:t>
      </w:r>
      <w:r>
        <w:rPr>
          <w:rStyle w:val="FootnoteReference"/>
          <w:rFonts w:ascii="Times New Roman" w:hAnsi="Times New Roman" w:cs="Times New Roman"/>
        </w:rPr>
        <w:footnoteReference w:id="102"/>
      </w:r>
      <w:r>
        <w:rPr>
          <w:rFonts w:ascii="Times New Roman" w:hAnsi="Times New Roman" w:cs="Times New Roman"/>
        </w:rPr>
        <w:t xml:space="preserve"> In that case, the majority decided in favour of deference to Parliament. The judgment in that case of Lord Reed presages the later inevitability approach he took in </w:t>
      </w:r>
      <w:r>
        <w:rPr>
          <w:rFonts w:ascii="Times New Roman" w:hAnsi="Times New Roman" w:cs="Times New Roman"/>
          <w:i/>
          <w:iCs/>
        </w:rPr>
        <w:t>SC</w:t>
      </w:r>
      <w:r>
        <w:rPr>
          <w:rFonts w:ascii="Times New Roman" w:hAnsi="Times New Roman" w:cs="Times New Roman"/>
        </w:rPr>
        <w:t xml:space="preserve">; </w:t>
      </w:r>
      <w:r w:rsidR="001A50CD">
        <w:rPr>
          <w:rFonts w:ascii="Times New Roman" w:hAnsi="Times New Roman" w:cs="Times New Roman"/>
        </w:rPr>
        <w:t>“</w:t>
      </w:r>
      <w:r w:rsidR="001A50CD" w:rsidRPr="001A50CD">
        <w:rPr>
          <w:rFonts w:ascii="Times New Roman" w:hAnsi="Times New Roman" w:cs="Times New Roman"/>
        </w:rPr>
        <w:t>since women head most of the households at which those aims are directed, it appears that a disparity between the numbers of men and women affected was inevitable if the legitimate aims were to be achieved</w:t>
      </w:r>
      <w:r w:rsidR="001A50CD">
        <w:rPr>
          <w:rFonts w:ascii="Times New Roman" w:hAnsi="Times New Roman" w:cs="Times New Roman"/>
        </w:rPr>
        <w:t>”. A</w:t>
      </w:r>
      <w:r>
        <w:rPr>
          <w:rFonts w:ascii="Times New Roman" w:hAnsi="Times New Roman" w:cs="Times New Roman"/>
        </w:rPr>
        <w:t xml:space="preserve">ccepting </w:t>
      </w:r>
      <w:r w:rsidR="001A50CD">
        <w:rPr>
          <w:rFonts w:ascii="Times New Roman" w:hAnsi="Times New Roman" w:cs="Times New Roman"/>
        </w:rPr>
        <w:t xml:space="preserve">the </w:t>
      </w:r>
      <w:r>
        <w:rPr>
          <w:rFonts w:ascii="Times New Roman" w:hAnsi="Times New Roman" w:cs="Times New Roman"/>
        </w:rPr>
        <w:t xml:space="preserve">government aims as legitimate, there was no way of not discriminating – </w:t>
      </w:r>
      <w:r w:rsidR="001A50CD">
        <w:rPr>
          <w:rFonts w:ascii="Times New Roman" w:hAnsi="Times New Roman" w:cs="Times New Roman"/>
        </w:rPr>
        <w:t>the “</w:t>
      </w:r>
      <w:r w:rsidRPr="00BF6F49">
        <w:rPr>
          <w:rFonts w:ascii="Times New Roman" w:hAnsi="Times New Roman" w:cs="Times New Roman"/>
        </w:rPr>
        <w:t xml:space="preserve">greater number of women affected results from the inclusion of child-related benefits within the scope of the </w:t>
      </w:r>
      <w:r w:rsidRPr="00BF6F49">
        <w:rPr>
          <w:rFonts w:ascii="Times New Roman" w:hAnsi="Times New Roman" w:cs="Times New Roman"/>
        </w:rPr>
        <w:lastRenderedPageBreak/>
        <w:t>cap. If those benefits had been excluded from the cap, the legitimate aims of the cap would not have been achieved</w:t>
      </w:r>
      <w:r>
        <w:rPr>
          <w:rFonts w:ascii="Times New Roman" w:hAnsi="Times New Roman" w:cs="Times New Roman"/>
        </w:rPr>
        <w:t>”.</w:t>
      </w:r>
      <w:r>
        <w:rPr>
          <w:rStyle w:val="FootnoteReference"/>
          <w:rFonts w:ascii="Times New Roman" w:hAnsi="Times New Roman" w:cs="Times New Roman"/>
        </w:rPr>
        <w:footnoteReference w:id="103"/>
      </w:r>
    </w:p>
    <w:p w14:paraId="1197E209" w14:textId="37344CD4" w:rsidR="00DA577C" w:rsidRDefault="00000000" w:rsidP="00123C13">
      <w:pPr>
        <w:spacing w:after="120"/>
        <w:jc w:val="both"/>
        <w:rPr>
          <w:rFonts w:ascii="Times New Roman" w:hAnsi="Times New Roman" w:cs="Times New Roman"/>
        </w:rPr>
      </w:pPr>
      <w:r>
        <w:rPr>
          <w:rFonts w:ascii="Times New Roman" w:hAnsi="Times New Roman" w:cs="Times New Roman"/>
        </w:rPr>
        <w:t xml:space="preserve">Lady Hale, whose background includes academic expertise in social welfare law, instead viewed the question through the legal prism of human rights – highlighting the </w:t>
      </w:r>
      <w:r w:rsidR="001C6AC0">
        <w:rPr>
          <w:rFonts w:ascii="Times New Roman" w:hAnsi="Times New Roman" w:cs="Times New Roman"/>
        </w:rPr>
        <w:t xml:space="preserve">connection between social security and </w:t>
      </w:r>
      <w:r>
        <w:rPr>
          <w:rFonts w:ascii="Times New Roman" w:hAnsi="Times New Roman" w:cs="Times New Roman"/>
        </w:rPr>
        <w:t xml:space="preserve">actual breaches early on: </w:t>
      </w:r>
    </w:p>
    <w:p w14:paraId="7AB86153" w14:textId="48F40AFE" w:rsidR="00BF6F49" w:rsidRPr="00DA577C" w:rsidRDefault="00000000" w:rsidP="00DA577C">
      <w:pPr>
        <w:spacing w:after="120"/>
        <w:ind w:left="720"/>
        <w:jc w:val="both"/>
        <w:rPr>
          <w:rFonts w:ascii="Times New Roman" w:hAnsi="Times New Roman" w:cs="Times New Roman"/>
        </w:rPr>
      </w:pPr>
      <w:r w:rsidRPr="00DA577C">
        <w:rPr>
          <w:rFonts w:ascii="Times New Roman" w:hAnsi="Times New Roman" w:cs="Times New Roman"/>
          <w:i/>
          <w:iCs/>
        </w:rPr>
        <w:t>“The prejudicial effect of the cap is obvious and stark. It breaks the link between benefit and need. Claimants affected by the cap will, by definition, not receive the sums of money which the state deems necessary for them adequately to house, feed, clothe and warm themselves and their children.”</w:t>
      </w:r>
      <w:r>
        <w:rPr>
          <w:rStyle w:val="FootnoteReference"/>
          <w:rFonts w:ascii="Times New Roman" w:hAnsi="Times New Roman" w:cs="Times New Roman"/>
          <w:i/>
          <w:iCs/>
        </w:rPr>
        <w:footnoteReference w:id="104"/>
      </w:r>
    </w:p>
    <w:p w14:paraId="6F828956" w14:textId="253CF0A8" w:rsidR="001C6AC0" w:rsidRDefault="00000000" w:rsidP="00123C13">
      <w:pPr>
        <w:spacing w:after="120"/>
        <w:jc w:val="both"/>
        <w:rPr>
          <w:rFonts w:ascii="Times New Roman" w:hAnsi="Times New Roman" w:cs="Times New Roman"/>
        </w:rPr>
      </w:pPr>
      <w:r>
        <w:rPr>
          <w:rFonts w:ascii="Times New Roman" w:hAnsi="Times New Roman" w:cs="Times New Roman"/>
        </w:rPr>
        <w:t>She pointed to the reasons the cap had disproportionate impact upon women as evidence of discrimination, not as a defence to it.</w:t>
      </w:r>
      <w:r>
        <w:rPr>
          <w:rStyle w:val="FootnoteReference"/>
          <w:rFonts w:ascii="Times New Roman" w:hAnsi="Times New Roman" w:cs="Times New Roman"/>
        </w:rPr>
        <w:footnoteReference w:id="105"/>
      </w:r>
      <w:r>
        <w:rPr>
          <w:rFonts w:ascii="Times New Roman" w:hAnsi="Times New Roman" w:cs="Times New Roman"/>
        </w:rPr>
        <w:t xml:space="preserve"> She then pointed out that having reasons for introducing the scheme as a whole do not discharge the justification duty – the discriminatory effects must be justified. She went on to interrogate the legitimacy and appropriateness of the objectives put forward by the State, rather than accepting them without question, and did so in light of the best interests of the child. This robust proportionality review resulted in her concluding that:</w:t>
      </w:r>
    </w:p>
    <w:p w14:paraId="7D179626" w14:textId="74F40966" w:rsidR="001C6AC0" w:rsidRPr="001C6AC0" w:rsidRDefault="00000000" w:rsidP="001C6AC0">
      <w:pPr>
        <w:spacing w:before="100" w:beforeAutospacing="1" w:after="100" w:afterAutospacing="1"/>
        <w:ind w:left="720"/>
        <w:rPr>
          <w:rFonts w:ascii="Times New Roman" w:eastAsia="Times New Roman" w:hAnsi="Times New Roman" w:cs="Times New Roman"/>
          <w:color w:val="000000"/>
          <w:lang w:eastAsia="en-GB"/>
        </w:rPr>
      </w:pPr>
      <w:bookmarkStart w:id="5" w:name="para229"/>
      <w:r>
        <w:rPr>
          <w:rFonts w:ascii="Times New Roman" w:eastAsia="Times New Roman" w:hAnsi="Times New Roman" w:cs="Times New Roman"/>
          <w:i/>
          <w:iCs/>
          <w:color w:val="000000"/>
          <w:lang w:eastAsia="en-GB"/>
        </w:rPr>
        <w:t>“</w:t>
      </w:r>
      <w:proofErr w:type="gramStart"/>
      <w:r w:rsidRPr="001C6AC0">
        <w:rPr>
          <w:rFonts w:ascii="Times New Roman" w:eastAsia="Times New Roman" w:hAnsi="Times New Roman" w:cs="Times New Roman"/>
          <w:i/>
          <w:iCs/>
          <w:color w:val="000000"/>
          <w:lang w:eastAsia="en-GB"/>
        </w:rPr>
        <w:t>the</w:t>
      </w:r>
      <w:proofErr w:type="gramEnd"/>
      <w:r w:rsidRPr="001C6AC0">
        <w:rPr>
          <w:rFonts w:ascii="Times New Roman" w:eastAsia="Times New Roman" w:hAnsi="Times New Roman" w:cs="Times New Roman"/>
          <w:i/>
          <w:iCs/>
          <w:color w:val="000000"/>
          <w:lang w:eastAsia="en-GB"/>
        </w:rPr>
        <w:t xml:space="preserve"> indirect discrimination against women inherent in the way in which the benefit cap has been implemented cannot be seen as a proportionate means of achieving a legitimate aim. Families in work are already better off than those on benefits and so the cap is not necessary in order to achieve fairness between them; saving money cannot be achieved by unjustified discrimination; but the major aim, of incentivising work and changing the benefits culture, has little force in the context of lone parents, whatever the age of their children. Depriving them of the basic means of subsistence cannot be a proportionate means of achieving it.</w:t>
      </w:r>
      <w:bookmarkEnd w:id="5"/>
      <w:r>
        <w:rPr>
          <w:rFonts w:ascii="Times New Roman" w:eastAsia="Times New Roman" w:hAnsi="Times New Roman" w:cs="Times New Roman"/>
          <w:i/>
          <w:iCs/>
          <w:color w:val="000000"/>
          <w:lang w:eastAsia="en-GB"/>
        </w:rPr>
        <w:t>”</w:t>
      </w:r>
      <w:r>
        <w:rPr>
          <w:rStyle w:val="FootnoteReference"/>
          <w:rFonts w:ascii="Times New Roman" w:eastAsia="Times New Roman" w:hAnsi="Times New Roman" w:cs="Times New Roman"/>
          <w:i/>
          <w:iCs/>
          <w:color w:val="000000"/>
          <w:lang w:eastAsia="en-GB"/>
        </w:rPr>
        <w:footnoteReference w:id="106"/>
      </w:r>
    </w:p>
    <w:p w14:paraId="38449C13" w14:textId="53AA0781" w:rsidR="003C7299" w:rsidRPr="006A0F02" w:rsidRDefault="00000000" w:rsidP="00123C13">
      <w:pPr>
        <w:spacing w:after="120"/>
        <w:jc w:val="both"/>
        <w:rPr>
          <w:rFonts w:ascii="Times New Roman" w:hAnsi="Times New Roman" w:cs="Times New Roman"/>
        </w:rPr>
      </w:pPr>
      <w:r>
        <w:rPr>
          <w:rFonts w:ascii="Times New Roman" w:hAnsi="Times New Roman" w:cs="Times New Roman"/>
        </w:rPr>
        <w:t xml:space="preserve">This is a wholly </w:t>
      </w:r>
      <w:r w:rsidRPr="001C6AC0">
        <w:rPr>
          <w:rFonts w:ascii="Times New Roman" w:hAnsi="Times New Roman" w:cs="Times New Roman"/>
          <w:i/>
          <w:iCs/>
        </w:rPr>
        <w:t>legal</w:t>
      </w:r>
      <w:r>
        <w:rPr>
          <w:rFonts w:ascii="Times New Roman" w:hAnsi="Times New Roman" w:cs="Times New Roman"/>
        </w:rPr>
        <w:t xml:space="preserve"> analysis, of legal rights at issue, breaking down the important legal steps in reviewing discrimination claims. </w:t>
      </w:r>
      <w:r w:rsidR="006A0F02">
        <w:rPr>
          <w:rFonts w:ascii="Times New Roman" w:hAnsi="Times New Roman" w:cs="Times New Roman"/>
        </w:rPr>
        <w:t xml:space="preserve">It recognises that social security rights are matters of law as well as politics, and does not trust Parliament to do its own proportionality review. Nor does it treat socioeconomic human rights with suspicion, or as vessels for smuggling political issues into court. It is this perspective – that social security law is law, and is a pivotal source of human rights protection for so many people, which is now missing from the bench. </w:t>
      </w:r>
      <w:r w:rsidR="00E40949">
        <w:rPr>
          <w:rFonts w:ascii="Times New Roman" w:hAnsi="Times New Roman" w:cs="Times New Roman"/>
        </w:rPr>
        <w:t xml:space="preserve">In </w:t>
      </w:r>
      <w:r w:rsidR="00E40949" w:rsidRPr="00E40949">
        <w:rPr>
          <w:rFonts w:ascii="Times New Roman" w:hAnsi="Times New Roman" w:cs="Times New Roman"/>
          <w:i/>
          <w:iCs/>
        </w:rPr>
        <w:t>SC</w:t>
      </w:r>
      <w:r w:rsidR="00E40949">
        <w:rPr>
          <w:rFonts w:ascii="Times New Roman" w:hAnsi="Times New Roman" w:cs="Times New Roman"/>
        </w:rPr>
        <w:t xml:space="preserve"> we see that now, the</w:t>
      </w:r>
      <w:r w:rsidR="006A0F02">
        <w:rPr>
          <w:rFonts w:ascii="Times New Roman" w:hAnsi="Times New Roman" w:cs="Times New Roman"/>
        </w:rPr>
        <w:t xml:space="preserve"> Supreme Court considers that w</w:t>
      </w:r>
      <w:proofErr w:type="spellStart"/>
      <w:r w:rsidR="001B5139">
        <w:rPr>
          <w:rFonts w:ascii="Times New Roman" w:hAnsi="Times New Roman" w:cs="Times New Roman"/>
          <w:lang w:val="en-US"/>
        </w:rPr>
        <w:t>hen</w:t>
      </w:r>
      <w:proofErr w:type="spellEnd"/>
      <w:r w:rsidR="001B5139">
        <w:rPr>
          <w:rFonts w:ascii="Times New Roman" w:hAnsi="Times New Roman" w:cs="Times New Roman"/>
          <w:lang w:val="en-US"/>
        </w:rPr>
        <w:t xml:space="preserve"> it comes to children’s social security rights, Parliament must know best</w:t>
      </w:r>
      <w:r w:rsidR="004A4428">
        <w:rPr>
          <w:rFonts w:ascii="Times New Roman" w:hAnsi="Times New Roman" w:cs="Times New Roman"/>
          <w:lang w:val="en-US"/>
        </w:rPr>
        <w:t xml:space="preserve"> – but this approach contrasts strongly with rights the court defines as truly legal ones.   </w:t>
      </w:r>
      <w:r w:rsidR="001B5139">
        <w:rPr>
          <w:rFonts w:ascii="Times New Roman" w:hAnsi="Times New Roman" w:cs="Times New Roman"/>
          <w:lang w:val="en-US"/>
        </w:rPr>
        <w:t xml:space="preserve"> </w:t>
      </w:r>
      <w:r w:rsidR="00320401">
        <w:rPr>
          <w:rFonts w:ascii="Times New Roman" w:hAnsi="Times New Roman" w:cs="Times New Roman"/>
          <w:lang w:val="en-US"/>
        </w:rPr>
        <w:t xml:space="preserve"> </w:t>
      </w:r>
    </w:p>
    <w:p w14:paraId="6E43C3D2" w14:textId="38BC303F" w:rsidR="006873D9" w:rsidRPr="00E84859" w:rsidRDefault="006873D9" w:rsidP="00123C13">
      <w:pPr>
        <w:spacing w:after="120"/>
        <w:jc w:val="both"/>
        <w:rPr>
          <w:rFonts w:ascii="Times New Roman" w:hAnsi="Times New Roman" w:cs="Times New Roman"/>
        </w:rPr>
      </w:pPr>
    </w:p>
    <w:p w14:paraId="19F0F8FC" w14:textId="543B0218" w:rsidR="004A4428" w:rsidRPr="00123C13" w:rsidRDefault="00000000" w:rsidP="00123C13">
      <w:pPr>
        <w:spacing w:after="120"/>
        <w:jc w:val="both"/>
        <w:rPr>
          <w:rFonts w:ascii="Times New Roman" w:hAnsi="Times New Roman" w:cs="Times New Roman"/>
        </w:rPr>
      </w:pPr>
      <w:r>
        <w:rPr>
          <w:rFonts w:ascii="Times New Roman" w:hAnsi="Times New Roman" w:cs="Times New Roman"/>
        </w:rPr>
        <w:t>4</w:t>
      </w:r>
      <w:r w:rsidR="00352D97" w:rsidRPr="00E84859">
        <w:rPr>
          <w:rFonts w:ascii="Times New Roman" w:hAnsi="Times New Roman" w:cs="Times New Roman"/>
        </w:rPr>
        <w:t xml:space="preserve">. </w:t>
      </w:r>
      <w:r>
        <w:rPr>
          <w:rFonts w:ascii="Times New Roman" w:hAnsi="Times New Roman" w:cs="Times New Roman"/>
        </w:rPr>
        <w:t>True legal rights:</w:t>
      </w:r>
      <w:r w:rsidR="00352D97" w:rsidRPr="00E84859">
        <w:rPr>
          <w:rFonts w:ascii="Times New Roman" w:hAnsi="Times New Roman" w:cs="Times New Roman"/>
        </w:rPr>
        <w:t xml:space="preserve"> </w:t>
      </w:r>
      <w:r w:rsidR="00352D97" w:rsidRPr="00E84859">
        <w:rPr>
          <w:rFonts w:ascii="Times New Roman" w:hAnsi="Times New Roman" w:cs="Times New Roman"/>
          <w:i/>
          <w:iCs/>
        </w:rPr>
        <w:t>UNISON</w:t>
      </w:r>
    </w:p>
    <w:p w14:paraId="7DE94A93" w14:textId="20DD7306" w:rsidR="00064775" w:rsidRDefault="00000000" w:rsidP="00123C13">
      <w:pPr>
        <w:spacing w:after="120"/>
        <w:jc w:val="both"/>
        <w:rPr>
          <w:rFonts w:ascii="Times New Roman" w:hAnsi="Times New Roman" w:cs="Times New Roman"/>
          <w:lang w:val="en-US"/>
        </w:rPr>
      </w:pPr>
      <w:r>
        <w:rPr>
          <w:rFonts w:ascii="Times New Roman" w:hAnsi="Times New Roman" w:cs="Times New Roman"/>
          <w:lang w:val="en-US"/>
        </w:rPr>
        <w:t>Measures that plunge people into poverty are a matter of pure politics, it seems – except, when true legal rights are at stake</w:t>
      </w:r>
      <w:r w:rsidR="00F7081D">
        <w:rPr>
          <w:rFonts w:ascii="Times New Roman" w:hAnsi="Times New Roman" w:cs="Times New Roman"/>
          <w:lang w:val="en-US"/>
        </w:rPr>
        <w:t xml:space="preserve">, in </w:t>
      </w:r>
      <w:r w:rsidR="008354F1">
        <w:rPr>
          <w:rFonts w:ascii="Times New Roman" w:hAnsi="Times New Roman" w:cs="Times New Roman"/>
          <w:lang w:val="en-US"/>
        </w:rPr>
        <w:t xml:space="preserve">access to the courts. </w:t>
      </w:r>
      <w:r w:rsidR="00426DFC">
        <w:rPr>
          <w:rFonts w:ascii="Times New Roman" w:hAnsi="Times New Roman" w:cs="Times New Roman"/>
          <w:lang w:val="en-US"/>
        </w:rPr>
        <w:t xml:space="preserve">In </w:t>
      </w:r>
      <w:r w:rsidR="00426DFC">
        <w:rPr>
          <w:rFonts w:ascii="Times New Roman" w:hAnsi="Times New Roman" w:cs="Times New Roman"/>
          <w:i/>
          <w:iCs/>
          <w:lang w:val="en-US"/>
        </w:rPr>
        <w:t>UNISON</w:t>
      </w:r>
      <w:r w:rsidR="00426DFC">
        <w:rPr>
          <w:rFonts w:ascii="Times New Roman" w:hAnsi="Times New Roman" w:cs="Times New Roman"/>
          <w:lang w:val="en-US"/>
        </w:rPr>
        <w:t>,</w:t>
      </w:r>
      <w:r>
        <w:rPr>
          <w:rStyle w:val="FootnoteReference"/>
          <w:rFonts w:ascii="Times New Roman" w:hAnsi="Times New Roman" w:cs="Times New Roman"/>
          <w:lang w:val="en-US"/>
        </w:rPr>
        <w:footnoteReference w:id="107"/>
      </w:r>
      <w:r w:rsidR="00426DFC">
        <w:rPr>
          <w:rFonts w:ascii="Times New Roman" w:hAnsi="Times New Roman" w:cs="Times New Roman"/>
          <w:lang w:val="en-US"/>
        </w:rPr>
        <w:t xml:space="preserve"> the Supreme Court took great interest in the deprivations </w:t>
      </w:r>
      <w:r w:rsidR="00385A61">
        <w:rPr>
          <w:rFonts w:ascii="Times New Roman" w:hAnsi="Times New Roman" w:cs="Times New Roman"/>
          <w:lang w:val="en-US"/>
        </w:rPr>
        <w:t>that would be created by a particular measure</w:t>
      </w:r>
      <w:r w:rsidR="00873334">
        <w:rPr>
          <w:rFonts w:ascii="Times New Roman" w:hAnsi="Times New Roman" w:cs="Times New Roman"/>
          <w:lang w:val="en-US"/>
        </w:rPr>
        <w:t xml:space="preserve"> </w:t>
      </w:r>
      <w:r w:rsidR="00517B30">
        <w:rPr>
          <w:rFonts w:ascii="Times New Roman" w:hAnsi="Times New Roman" w:cs="Times New Roman"/>
          <w:lang w:val="en-US"/>
        </w:rPr>
        <w:t>–</w:t>
      </w:r>
      <w:r w:rsidR="00873334">
        <w:rPr>
          <w:rFonts w:ascii="Times New Roman" w:hAnsi="Times New Roman" w:cs="Times New Roman"/>
          <w:lang w:val="en-US"/>
        </w:rPr>
        <w:t xml:space="preserve"> </w:t>
      </w:r>
      <w:r w:rsidR="00517B30">
        <w:rPr>
          <w:rFonts w:ascii="Times New Roman" w:hAnsi="Times New Roman" w:cs="Times New Roman"/>
          <w:lang w:val="en-US"/>
        </w:rPr>
        <w:t xml:space="preserve">the introduction of employment tribunal </w:t>
      </w:r>
      <w:r w:rsidR="00241506">
        <w:rPr>
          <w:rFonts w:ascii="Times New Roman" w:hAnsi="Times New Roman" w:cs="Times New Roman"/>
          <w:lang w:val="en-US"/>
        </w:rPr>
        <w:t xml:space="preserve">(ET) </w:t>
      </w:r>
      <w:r w:rsidR="00517B30">
        <w:rPr>
          <w:rFonts w:ascii="Times New Roman" w:hAnsi="Times New Roman" w:cs="Times New Roman"/>
          <w:lang w:val="en-US"/>
        </w:rPr>
        <w:t xml:space="preserve">fees. </w:t>
      </w:r>
      <w:r w:rsidR="006277BC">
        <w:rPr>
          <w:rFonts w:ascii="Times New Roman" w:hAnsi="Times New Roman" w:cs="Times New Roman"/>
          <w:lang w:val="en-US"/>
        </w:rPr>
        <w:t xml:space="preserve">The </w:t>
      </w:r>
      <w:r w:rsidR="006277BC" w:rsidRPr="006277BC">
        <w:rPr>
          <w:rFonts w:ascii="Times New Roman" w:hAnsi="Times New Roman" w:cs="Times New Roman"/>
          <w:lang w:val="en-US"/>
        </w:rPr>
        <w:t>Employment Tribunals and the Employment Appeal Tribunal Fees Order 2013</w:t>
      </w:r>
      <w:r>
        <w:rPr>
          <w:rStyle w:val="FootnoteReference"/>
          <w:rFonts w:ascii="Times New Roman" w:hAnsi="Times New Roman" w:cs="Times New Roman"/>
          <w:lang w:val="en-US"/>
        </w:rPr>
        <w:footnoteReference w:id="108"/>
      </w:r>
      <w:r w:rsidR="00584B66">
        <w:rPr>
          <w:rFonts w:ascii="Times New Roman" w:hAnsi="Times New Roman" w:cs="Times New Roman"/>
          <w:lang w:val="en-US"/>
        </w:rPr>
        <w:t xml:space="preserve"> </w:t>
      </w:r>
      <w:r w:rsidR="001B7BD1">
        <w:rPr>
          <w:rFonts w:ascii="Times New Roman" w:hAnsi="Times New Roman" w:cs="Times New Roman"/>
          <w:lang w:val="en-US"/>
        </w:rPr>
        <w:t xml:space="preserve">introduced fees for making a claim to an </w:t>
      </w:r>
      <w:r w:rsidR="001B7BD1">
        <w:rPr>
          <w:rFonts w:ascii="Times New Roman" w:hAnsi="Times New Roman" w:cs="Times New Roman"/>
          <w:lang w:val="en-US"/>
        </w:rPr>
        <w:lastRenderedPageBreak/>
        <w:t xml:space="preserve">employment tribunal, and/or appealing to the employment appeals tribunal. A ‘type A’ claim from an individual claimant to the ET would cost £390, and type B claim £1200 (with larger fees for group claims). An appeal to the </w:t>
      </w:r>
      <w:r w:rsidR="007B467E">
        <w:rPr>
          <w:rFonts w:ascii="Times New Roman" w:hAnsi="Times New Roman" w:cs="Times New Roman"/>
          <w:lang w:val="en-US"/>
        </w:rPr>
        <w:t>Employment Appeal Tribunal (</w:t>
      </w:r>
      <w:r w:rsidR="001B7BD1">
        <w:rPr>
          <w:rFonts w:ascii="Times New Roman" w:hAnsi="Times New Roman" w:cs="Times New Roman"/>
          <w:lang w:val="en-US"/>
        </w:rPr>
        <w:t>EAT</w:t>
      </w:r>
      <w:r w:rsidR="007B467E">
        <w:rPr>
          <w:rFonts w:ascii="Times New Roman" w:hAnsi="Times New Roman" w:cs="Times New Roman"/>
          <w:lang w:val="en-US"/>
        </w:rPr>
        <w:t>)</w:t>
      </w:r>
      <w:r w:rsidR="001B7BD1">
        <w:rPr>
          <w:rFonts w:ascii="Times New Roman" w:hAnsi="Times New Roman" w:cs="Times New Roman"/>
          <w:lang w:val="en-US"/>
        </w:rPr>
        <w:t xml:space="preserve"> would cost £1600. </w:t>
      </w:r>
      <w:r w:rsidR="009958DA">
        <w:rPr>
          <w:rFonts w:ascii="Times New Roman" w:hAnsi="Times New Roman" w:cs="Times New Roman"/>
          <w:lang w:val="en-US"/>
        </w:rPr>
        <w:t xml:space="preserve">This </w:t>
      </w:r>
      <w:r w:rsidR="00B04B11">
        <w:rPr>
          <w:rFonts w:ascii="Times New Roman" w:hAnsi="Times New Roman" w:cs="Times New Roman"/>
          <w:lang w:val="en-US"/>
        </w:rPr>
        <w:t>obviously</w:t>
      </w:r>
      <w:r w:rsidR="009958DA">
        <w:rPr>
          <w:rFonts w:ascii="Times New Roman" w:hAnsi="Times New Roman" w:cs="Times New Roman"/>
          <w:lang w:val="en-US"/>
        </w:rPr>
        <w:t xml:space="preserve"> created significant access to justice </w:t>
      </w:r>
      <w:r w:rsidR="00B04B11">
        <w:rPr>
          <w:rFonts w:ascii="Times New Roman" w:hAnsi="Times New Roman" w:cs="Times New Roman"/>
          <w:lang w:val="en-US"/>
        </w:rPr>
        <w:t>issues</w:t>
      </w:r>
      <w:r w:rsidR="007011A2">
        <w:rPr>
          <w:rFonts w:ascii="Times New Roman" w:hAnsi="Times New Roman" w:cs="Times New Roman"/>
          <w:lang w:val="en-US"/>
        </w:rPr>
        <w:t>,</w:t>
      </w:r>
      <w:r>
        <w:rPr>
          <w:rStyle w:val="FootnoteReference"/>
          <w:rFonts w:ascii="Times New Roman" w:hAnsi="Times New Roman" w:cs="Times New Roman"/>
          <w:lang w:val="en-US"/>
        </w:rPr>
        <w:footnoteReference w:id="109"/>
      </w:r>
      <w:r w:rsidR="007011A2">
        <w:rPr>
          <w:rFonts w:ascii="Times New Roman" w:hAnsi="Times New Roman" w:cs="Times New Roman"/>
          <w:lang w:val="en-US"/>
        </w:rPr>
        <w:t xml:space="preserve"> which formed the basis of the challenge in </w:t>
      </w:r>
      <w:r w:rsidR="007011A2" w:rsidRPr="007011A2">
        <w:rPr>
          <w:rFonts w:ascii="Times New Roman" w:hAnsi="Times New Roman" w:cs="Times New Roman"/>
          <w:i/>
          <w:iCs/>
          <w:lang w:val="en-US"/>
        </w:rPr>
        <w:t>UNISON</w:t>
      </w:r>
      <w:r w:rsidR="00DE1549">
        <w:rPr>
          <w:rFonts w:ascii="Times New Roman" w:hAnsi="Times New Roman" w:cs="Times New Roman"/>
          <w:lang w:val="en-US"/>
        </w:rPr>
        <w:t xml:space="preserve">. </w:t>
      </w:r>
      <w:r w:rsidR="001B582A">
        <w:rPr>
          <w:rFonts w:ascii="Times New Roman" w:hAnsi="Times New Roman" w:cs="Times New Roman"/>
          <w:lang w:val="en-US"/>
        </w:rPr>
        <w:t xml:space="preserve">The court considered a substantial amount of evidence about the impact that the fees had had upon </w:t>
      </w:r>
      <w:r w:rsidR="00070EFE">
        <w:rPr>
          <w:rFonts w:ascii="Times New Roman" w:hAnsi="Times New Roman" w:cs="Times New Roman"/>
          <w:lang w:val="en-US"/>
        </w:rPr>
        <w:t xml:space="preserve">the number and value of claims, and survey evidence on the chilling effect of the fees upon potential claimants. </w:t>
      </w:r>
    </w:p>
    <w:p w14:paraId="4467238E" w14:textId="7B875743" w:rsidR="0078307E" w:rsidRDefault="00000000" w:rsidP="00123C13">
      <w:pPr>
        <w:spacing w:after="120"/>
        <w:jc w:val="both"/>
        <w:rPr>
          <w:rFonts w:ascii="Times New Roman" w:hAnsi="Times New Roman" w:cs="Times New Roman"/>
          <w:lang w:val="en-US"/>
        </w:rPr>
      </w:pPr>
      <w:r>
        <w:rPr>
          <w:rFonts w:ascii="Times New Roman" w:hAnsi="Times New Roman" w:cs="Times New Roman"/>
          <w:lang w:val="en-US"/>
        </w:rPr>
        <w:t>The Fees Order had been adopted pursuant to an Act of Parliament,</w:t>
      </w:r>
      <w:r>
        <w:rPr>
          <w:rStyle w:val="FootnoteReference"/>
          <w:rFonts w:ascii="Times New Roman" w:hAnsi="Times New Roman" w:cs="Times New Roman"/>
          <w:lang w:val="en-US"/>
        </w:rPr>
        <w:footnoteReference w:id="110"/>
      </w:r>
      <w:r>
        <w:rPr>
          <w:rFonts w:ascii="Times New Roman" w:hAnsi="Times New Roman" w:cs="Times New Roman"/>
          <w:lang w:val="en-US"/>
        </w:rPr>
        <w:t xml:space="preserve"> and had itself been laid before</w:t>
      </w:r>
      <w:r w:rsidR="00584B66">
        <w:rPr>
          <w:rFonts w:ascii="Times New Roman" w:hAnsi="Times New Roman" w:cs="Times New Roman"/>
          <w:lang w:val="en-US"/>
        </w:rPr>
        <w:t>,</w:t>
      </w:r>
      <w:r>
        <w:rPr>
          <w:rFonts w:ascii="Times New Roman" w:hAnsi="Times New Roman" w:cs="Times New Roman"/>
          <w:vertAlign w:val="superscript"/>
          <w:lang w:val="en-US"/>
        </w:rPr>
        <w:footnoteReference w:id="111"/>
      </w:r>
      <w:r w:rsidR="00584B66">
        <w:rPr>
          <w:rFonts w:ascii="Times New Roman" w:hAnsi="Times New Roman" w:cs="Times New Roman"/>
          <w:lang w:val="en-US"/>
        </w:rPr>
        <w:t xml:space="preserve"> and debated and approved by</w:t>
      </w:r>
      <w:r w:rsidR="001A31A0">
        <w:rPr>
          <w:rFonts w:ascii="Times New Roman" w:hAnsi="Times New Roman" w:cs="Times New Roman"/>
          <w:lang w:val="en-US"/>
        </w:rPr>
        <w:t xml:space="preserve"> both Houses of</w:t>
      </w:r>
      <w:r>
        <w:rPr>
          <w:rFonts w:ascii="Times New Roman" w:hAnsi="Times New Roman" w:cs="Times New Roman"/>
          <w:lang w:val="en-US"/>
        </w:rPr>
        <w:t xml:space="preserve"> Parliament.</w:t>
      </w:r>
      <w:r>
        <w:rPr>
          <w:rStyle w:val="FootnoteReference"/>
          <w:rFonts w:ascii="Times New Roman" w:hAnsi="Times New Roman" w:cs="Times New Roman"/>
          <w:lang w:val="en-US"/>
        </w:rPr>
        <w:footnoteReference w:id="112"/>
      </w:r>
      <w:r>
        <w:rPr>
          <w:rFonts w:ascii="Times New Roman" w:hAnsi="Times New Roman" w:cs="Times New Roman"/>
          <w:lang w:val="en-US"/>
        </w:rPr>
        <w:t xml:space="preserve"> It followed on from a 2011 government consultation, </w:t>
      </w:r>
      <w:r w:rsidRPr="00064775">
        <w:rPr>
          <w:rFonts w:ascii="Times New Roman" w:hAnsi="Times New Roman" w:cs="Times New Roman"/>
          <w:i/>
          <w:iCs/>
          <w:lang w:val="en-US"/>
        </w:rPr>
        <w:t>Resolving Workplace Disputes</w:t>
      </w:r>
      <w:r>
        <w:rPr>
          <w:rFonts w:ascii="Times New Roman" w:hAnsi="Times New Roman" w:cs="Times New Roman"/>
          <w:lang w:val="en-US"/>
        </w:rPr>
        <w:t>,</w:t>
      </w:r>
      <w:r w:rsidR="0028512D" w:rsidRPr="0028512D">
        <w:rPr>
          <w:rFonts w:ascii="Times New Roman" w:hAnsi="Times New Roman" w:cs="Times New Roman"/>
          <w:vertAlign w:val="superscript"/>
          <w:lang w:val="en-US"/>
        </w:rPr>
        <w:t xml:space="preserve"> </w:t>
      </w:r>
      <w:r>
        <w:rPr>
          <w:rFonts w:ascii="Times New Roman" w:hAnsi="Times New Roman" w:cs="Times New Roman"/>
          <w:vertAlign w:val="superscript"/>
          <w:lang w:val="en-US"/>
        </w:rPr>
        <w:footnoteReference w:id="113"/>
      </w:r>
      <w:r>
        <w:rPr>
          <w:rFonts w:ascii="Times New Roman" w:hAnsi="Times New Roman" w:cs="Times New Roman"/>
          <w:lang w:val="en-US"/>
        </w:rPr>
        <w:t xml:space="preserve"> which </w:t>
      </w:r>
      <w:r w:rsidR="00584B66">
        <w:rPr>
          <w:rFonts w:ascii="Times New Roman" w:hAnsi="Times New Roman" w:cs="Times New Roman"/>
          <w:lang w:val="en-US"/>
        </w:rPr>
        <w:t xml:space="preserve">announced </w:t>
      </w:r>
      <w:r>
        <w:rPr>
          <w:rFonts w:ascii="Times New Roman" w:hAnsi="Times New Roman" w:cs="Times New Roman"/>
          <w:lang w:val="en-US"/>
        </w:rPr>
        <w:t>the intention to introduce fees</w:t>
      </w:r>
      <w:r w:rsidR="00584B66">
        <w:rPr>
          <w:rFonts w:ascii="Times New Roman" w:hAnsi="Times New Roman" w:cs="Times New Roman"/>
          <w:lang w:val="en-US"/>
        </w:rPr>
        <w:t xml:space="preserve"> and led</w:t>
      </w:r>
      <w:r>
        <w:rPr>
          <w:rFonts w:ascii="Times New Roman" w:hAnsi="Times New Roman" w:cs="Times New Roman"/>
          <w:lang w:val="en-US"/>
        </w:rPr>
        <w:t xml:space="preserve"> to a further consultation specifically on fees </w:t>
      </w:r>
      <w:r w:rsidRPr="00064775">
        <w:rPr>
          <w:rFonts w:ascii="Times New Roman" w:hAnsi="Times New Roman" w:cs="Times New Roman"/>
          <w:i/>
          <w:iCs/>
          <w:lang w:val="en-US"/>
        </w:rPr>
        <w:t>- Introducing fees in the Employment Tribunals and the Employment Appeal Tribunal</w:t>
      </w:r>
      <w:r>
        <w:rPr>
          <w:rFonts w:ascii="Times New Roman" w:hAnsi="Times New Roman" w:cs="Times New Roman"/>
          <w:lang w:val="en-US"/>
        </w:rPr>
        <w:t>. The Ministry of Justice stated that the aims of the measures were to: “</w:t>
      </w:r>
      <w:r w:rsidRPr="00064775">
        <w:rPr>
          <w:rFonts w:ascii="Times New Roman" w:hAnsi="Times New Roman" w:cs="Times New Roman"/>
          <w:lang w:val="en-US"/>
        </w:rPr>
        <w:t>support and encourage early resolution of workplace disputes and in order to transfer some of the cost burden from the taxpayer to the users of the system</w:t>
      </w:r>
      <w:r>
        <w:rPr>
          <w:rFonts w:ascii="Times New Roman" w:hAnsi="Times New Roman" w:cs="Times New Roman"/>
          <w:lang w:val="en-US"/>
        </w:rPr>
        <w:t>”</w:t>
      </w:r>
      <w:r w:rsidRPr="00064775">
        <w:rPr>
          <w:rFonts w:ascii="Times New Roman" w:hAnsi="Times New Roman" w:cs="Times New Roman"/>
          <w:lang w:val="en-US"/>
        </w:rPr>
        <w:t>.</w:t>
      </w:r>
      <w:r w:rsidR="00584B66" w:rsidRPr="00584B66">
        <w:rPr>
          <w:rFonts w:ascii="Times New Roman" w:hAnsi="Times New Roman" w:cs="Times New Roman"/>
          <w:vertAlign w:val="superscript"/>
          <w:lang w:val="en-US"/>
        </w:rPr>
        <w:t xml:space="preserve"> </w:t>
      </w:r>
      <w:r>
        <w:rPr>
          <w:rFonts w:ascii="Times New Roman" w:hAnsi="Times New Roman" w:cs="Times New Roman"/>
          <w:vertAlign w:val="superscript"/>
          <w:lang w:val="en-US"/>
        </w:rPr>
        <w:footnoteReference w:id="114"/>
      </w:r>
      <w:r w:rsidR="00584B66" w:rsidRPr="00584B66">
        <w:rPr>
          <w:rFonts w:ascii="Times New Roman" w:hAnsi="Times New Roman" w:cs="Times New Roman"/>
          <w:lang w:val="en-US"/>
        </w:rPr>
        <w:t xml:space="preserve"> </w:t>
      </w:r>
      <w:r w:rsidR="00F278ED">
        <w:rPr>
          <w:rFonts w:ascii="Times New Roman" w:hAnsi="Times New Roman" w:cs="Times New Roman"/>
          <w:lang w:val="en-US"/>
        </w:rPr>
        <w:t xml:space="preserve"> </w:t>
      </w:r>
      <w:r w:rsidR="00761271">
        <w:rPr>
          <w:rFonts w:ascii="Times New Roman" w:hAnsi="Times New Roman" w:cs="Times New Roman"/>
          <w:lang w:val="en-US"/>
        </w:rPr>
        <w:t>Since coming into force, “employment tribunal fees” was the topic of five House of Commons debates</w:t>
      </w:r>
      <w:r w:rsidR="001A31A0">
        <w:rPr>
          <w:rFonts w:ascii="Times New Roman" w:hAnsi="Times New Roman" w:cs="Times New Roman"/>
          <w:lang w:val="en-US"/>
        </w:rPr>
        <w:t>.</w:t>
      </w:r>
      <w:r>
        <w:rPr>
          <w:rStyle w:val="FootnoteReference"/>
          <w:rFonts w:ascii="Times New Roman" w:hAnsi="Times New Roman" w:cs="Times New Roman"/>
          <w:lang w:val="en-US"/>
        </w:rPr>
        <w:footnoteReference w:id="115"/>
      </w:r>
      <w:r w:rsidR="00761271">
        <w:rPr>
          <w:rFonts w:ascii="Times New Roman" w:hAnsi="Times New Roman" w:cs="Times New Roman"/>
          <w:lang w:val="en-US"/>
        </w:rPr>
        <w:t xml:space="preserve"> </w:t>
      </w:r>
      <w:r w:rsidR="006327EE">
        <w:rPr>
          <w:rFonts w:ascii="Times New Roman" w:hAnsi="Times New Roman" w:cs="Times New Roman"/>
          <w:lang w:val="en-US"/>
        </w:rPr>
        <w:t xml:space="preserve">However, the Supreme Court judgment </w:t>
      </w:r>
      <w:r w:rsidR="00897601">
        <w:rPr>
          <w:rFonts w:ascii="Times New Roman" w:hAnsi="Times New Roman" w:cs="Times New Roman"/>
          <w:lang w:val="en-US"/>
        </w:rPr>
        <w:t>expend</w:t>
      </w:r>
      <w:r w:rsidR="00B2064F">
        <w:rPr>
          <w:rFonts w:ascii="Times New Roman" w:hAnsi="Times New Roman" w:cs="Times New Roman"/>
          <w:lang w:val="en-US"/>
        </w:rPr>
        <w:t>ed</w:t>
      </w:r>
      <w:r w:rsidR="00897601">
        <w:rPr>
          <w:rFonts w:ascii="Times New Roman" w:hAnsi="Times New Roman" w:cs="Times New Roman"/>
          <w:lang w:val="en-US"/>
        </w:rPr>
        <w:t xml:space="preserve"> few (no) words on the importance of parliamentary sovereignty. </w:t>
      </w:r>
      <w:r>
        <w:rPr>
          <w:rFonts w:ascii="Times New Roman" w:hAnsi="Times New Roman" w:cs="Times New Roman"/>
          <w:lang w:val="en-US"/>
        </w:rPr>
        <w:t xml:space="preserve">The panel hearing the case was different to that in </w:t>
      </w:r>
      <w:r>
        <w:rPr>
          <w:rFonts w:ascii="Times New Roman" w:hAnsi="Times New Roman" w:cs="Times New Roman"/>
          <w:i/>
          <w:iCs/>
          <w:lang w:val="en-US"/>
        </w:rPr>
        <w:t>SC</w:t>
      </w:r>
      <w:r>
        <w:rPr>
          <w:rFonts w:ascii="Times New Roman" w:hAnsi="Times New Roman" w:cs="Times New Roman"/>
          <w:lang w:val="en-US"/>
        </w:rPr>
        <w:t xml:space="preserve"> – </w:t>
      </w:r>
      <w:r w:rsidR="00BB6CDA">
        <w:rPr>
          <w:rFonts w:ascii="Times New Roman" w:hAnsi="Times New Roman" w:cs="Times New Roman"/>
          <w:lang w:val="en-US"/>
        </w:rPr>
        <w:t xml:space="preserve">all but one </w:t>
      </w:r>
      <w:r>
        <w:rPr>
          <w:rFonts w:ascii="Times New Roman" w:hAnsi="Times New Roman" w:cs="Times New Roman"/>
          <w:lang w:val="en-US"/>
        </w:rPr>
        <w:t>are</w:t>
      </w:r>
      <w:r w:rsidR="008E2D32">
        <w:rPr>
          <w:rFonts w:ascii="Times New Roman" w:hAnsi="Times New Roman" w:cs="Times New Roman"/>
          <w:lang w:val="en-US"/>
        </w:rPr>
        <w:t xml:space="preserve"> now</w:t>
      </w:r>
      <w:r w:rsidR="00BB6CDA">
        <w:rPr>
          <w:rFonts w:ascii="Times New Roman" w:hAnsi="Times New Roman" w:cs="Times New Roman"/>
          <w:lang w:val="en-US"/>
        </w:rPr>
        <w:t xml:space="preserve"> </w:t>
      </w:r>
      <w:r w:rsidRPr="00BB6CDA">
        <w:rPr>
          <w:rFonts w:ascii="Times New Roman" w:hAnsi="Times New Roman" w:cs="Times New Roman"/>
          <w:i/>
          <w:iCs/>
          <w:lang w:val="en-US"/>
        </w:rPr>
        <w:t>former</w:t>
      </w:r>
      <w:r>
        <w:rPr>
          <w:rFonts w:ascii="Times New Roman" w:hAnsi="Times New Roman" w:cs="Times New Roman"/>
          <w:lang w:val="en-US"/>
        </w:rPr>
        <w:t xml:space="preserve"> Supreme Court justices, </w:t>
      </w:r>
      <w:r w:rsidR="00BB6CDA">
        <w:rPr>
          <w:rFonts w:ascii="Times New Roman" w:hAnsi="Times New Roman" w:cs="Times New Roman"/>
          <w:lang w:val="en-US"/>
        </w:rPr>
        <w:t>but the common denominator is</w:t>
      </w:r>
      <w:r>
        <w:rPr>
          <w:rFonts w:ascii="Times New Roman" w:hAnsi="Times New Roman" w:cs="Times New Roman"/>
          <w:lang w:val="en-US"/>
        </w:rPr>
        <w:t xml:space="preserve"> Lord Reed, who gave the lead judgment in both cases (and with whom the other judges</w:t>
      </w:r>
      <w:r w:rsidR="00BB6CDA">
        <w:rPr>
          <w:rFonts w:ascii="Times New Roman" w:hAnsi="Times New Roman" w:cs="Times New Roman"/>
          <w:lang w:val="en-US"/>
        </w:rPr>
        <w:t xml:space="preserve"> in </w:t>
      </w:r>
      <w:r w:rsidR="00BB6CDA">
        <w:rPr>
          <w:rFonts w:ascii="Times New Roman" w:hAnsi="Times New Roman" w:cs="Times New Roman"/>
          <w:i/>
          <w:iCs/>
          <w:lang w:val="en-US"/>
        </w:rPr>
        <w:t>UNISON</w:t>
      </w:r>
      <w:r>
        <w:rPr>
          <w:rFonts w:ascii="Times New Roman" w:hAnsi="Times New Roman" w:cs="Times New Roman"/>
          <w:lang w:val="en-US"/>
        </w:rPr>
        <w:t xml:space="preserve"> – Lords Neuberger, Mance</w:t>
      </w:r>
      <w:r w:rsidR="00BB6CDA">
        <w:rPr>
          <w:rFonts w:ascii="Times New Roman" w:hAnsi="Times New Roman" w:cs="Times New Roman"/>
          <w:lang w:val="en-US"/>
        </w:rPr>
        <w:t xml:space="preserve">, Wilson, Kerr, Hughes, and Lady Hale – concurred). </w:t>
      </w:r>
    </w:p>
    <w:p w14:paraId="03D2F0D4" w14:textId="6037A6A0" w:rsidR="000C04E8" w:rsidRDefault="00000000" w:rsidP="00123C13">
      <w:pPr>
        <w:spacing w:after="120"/>
        <w:jc w:val="both"/>
        <w:rPr>
          <w:rFonts w:ascii="Times New Roman" w:hAnsi="Times New Roman" w:cs="Times New Roman"/>
          <w:lang w:val="en-US"/>
        </w:rPr>
      </w:pPr>
      <w:r>
        <w:rPr>
          <w:rFonts w:ascii="Times New Roman" w:hAnsi="Times New Roman" w:cs="Times New Roman"/>
          <w:lang w:val="en-US"/>
        </w:rPr>
        <w:t xml:space="preserve">The words Parliament/parliamentary are used seventeen times in the judgment, and they are broken down as follows: once in a technical sense (referring to an Act of Parliament); </w:t>
      </w:r>
      <w:r w:rsidR="00A01A61">
        <w:rPr>
          <w:rFonts w:ascii="Times New Roman" w:hAnsi="Times New Roman" w:cs="Times New Roman"/>
          <w:lang w:val="en-US"/>
        </w:rPr>
        <w:t>twice</w:t>
      </w:r>
      <w:r>
        <w:rPr>
          <w:rFonts w:ascii="Times New Roman" w:hAnsi="Times New Roman" w:cs="Times New Roman"/>
          <w:lang w:val="en-US"/>
        </w:rPr>
        <w:t xml:space="preserve"> to refer to Parliament’s role in adopting the legislation; once to refer to Parliament’s role in another case; </w:t>
      </w:r>
      <w:r w:rsidR="00A01A61">
        <w:rPr>
          <w:rFonts w:ascii="Times New Roman" w:hAnsi="Times New Roman" w:cs="Times New Roman"/>
          <w:lang w:val="en-US"/>
        </w:rPr>
        <w:t xml:space="preserve">and </w:t>
      </w:r>
      <w:r w:rsidR="00A01A61" w:rsidRPr="00A01A61">
        <w:rPr>
          <w:rFonts w:ascii="Times New Roman" w:hAnsi="Times New Roman" w:cs="Times New Roman"/>
          <w:i/>
          <w:iCs/>
          <w:lang w:val="en-US"/>
        </w:rPr>
        <w:t xml:space="preserve">thirteen </w:t>
      </w:r>
      <w:r w:rsidR="00A01A61">
        <w:rPr>
          <w:rFonts w:ascii="Times New Roman" w:hAnsi="Times New Roman" w:cs="Times New Roman"/>
          <w:lang w:val="en-US"/>
        </w:rPr>
        <w:t xml:space="preserve">times to outline how the fees (adopted by Parliament) actually frustrate Parliament’s intentions </w:t>
      </w:r>
      <w:r>
        <w:rPr>
          <w:rFonts w:ascii="Times New Roman" w:hAnsi="Times New Roman" w:cs="Times New Roman"/>
          <w:lang w:val="en-US"/>
        </w:rPr>
        <w:t>to ensure</w:t>
      </w:r>
      <w:r w:rsidR="00A01A61">
        <w:rPr>
          <w:rFonts w:ascii="Times New Roman" w:hAnsi="Times New Roman" w:cs="Times New Roman"/>
          <w:lang w:val="en-US"/>
        </w:rPr>
        <w:t xml:space="preserve"> other laws </w:t>
      </w:r>
      <w:r>
        <w:rPr>
          <w:rFonts w:ascii="Times New Roman" w:hAnsi="Times New Roman" w:cs="Times New Roman"/>
          <w:lang w:val="en-US"/>
        </w:rPr>
        <w:t>are</w:t>
      </w:r>
      <w:r w:rsidR="00A01A61">
        <w:rPr>
          <w:rFonts w:ascii="Times New Roman" w:hAnsi="Times New Roman" w:cs="Times New Roman"/>
          <w:lang w:val="en-US"/>
        </w:rPr>
        <w:t xml:space="preserve"> upheld. The word ‘democratic’ is used twice, both times in the context of the explan</w:t>
      </w:r>
      <w:r w:rsidR="003F142D">
        <w:rPr>
          <w:rFonts w:ascii="Times New Roman" w:hAnsi="Times New Roman" w:cs="Times New Roman"/>
          <w:lang w:val="en-US"/>
        </w:rPr>
        <w:t>a</w:t>
      </w:r>
      <w:r w:rsidR="00A01A61">
        <w:rPr>
          <w:rFonts w:ascii="Times New Roman" w:hAnsi="Times New Roman" w:cs="Times New Roman"/>
          <w:lang w:val="en-US"/>
        </w:rPr>
        <w:t xml:space="preserve">tion of how important access to courts is for upholding </w:t>
      </w:r>
      <w:r w:rsidR="003F142D">
        <w:rPr>
          <w:rFonts w:ascii="Times New Roman" w:hAnsi="Times New Roman" w:cs="Times New Roman"/>
          <w:lang w:val="en-US"/>
        </w:rPr>
        <w:t xml:space="preserve">democratic values. </w:t>
      </w:r>
      <w:r>
        <w:rPr>
          <w:rFonts w:ascii="Times New Roman" w:hAnsi="Times New Roman" w:cs="Times New Roman"/>
          <w:lang w:val="en-US"/>
        </w:rPr>
        <w:t xml:space="preserve">It is striking how little concern </w:t>
      </w:r>
      <w:r w:rsidR="00BB6CDA">
        <w:rPr>
          <w:rFonts w:ascii="Times New Roman" w:hAnsi="Times New Roman" w:cs="Times New Roman"/>
          <w:lang w:val="en-US"/>
        </w:rPr>
        <w:t>Lord Reed</w:t>
      </w:r>
      <w:r>
        <w:rPr>
          <w:rFonts w:ascii="Times New Roman" w:hAnsi="Times New Roman" w:cs="Times New Roman"/>
          <w:lang w:val="en-US"/>
        </w:rPr>
        <w:t xml:space="preserve"> expressed in </w:t>
      </w:r>
      <w:r>
        <w:rPr>
          <w:rFonts w:ascii="Times New Roman" w:hAnsi="Times New Roman" w:cs="Times New Roman"/>
          <w:i/>
          <w:iCs/>
          <w:lang w:val="en-US"/>
        </w:rPr>
        <w:t xml:space="preserve">SC </w:t>
      </w:r>
      <w:r>
        <w:rPr>
          <w:rFonts w:ascii="Times New Roman" w:hAnsi="Times New Roman" w:cs="Times New Roman"/>
          <w:lang w:val="en-US"/>
        </w:rPr>
        <w:t xml:space="preserve">for upholding Parliament’s intentions as expressed in the Human Rights Act 1998. </w:t>
      </w:r>
    </w:p>
    <w:p w14:paraId="126C8E8F" w14:textId="52003CDD" w:rsidR="00DA12AB" w:rsidRDefault="00000000" w:rsidP="00123C13">
      <w:pPr>
        <w:spacing w:after="120"/>
        <w:jc w:val="both"/>
        <w:rPr>
          <w:rFonts w:ascii="Times New Roman" w:hAnsi="Times New Roman" w:cs="Times New Roman"/>
          <w:lang w:val="en-US"/>
        </w:rPr>
      </w:pPr>
      <w:r>
        <w:rPr>
          <w:rFonts w:ascii="Times New Roman" w:hAnsi="Times New Roman" w:cs="Times New Roman"/>
          <w:lang w:val="en-US"/>
        </w:rPr>
        <w:t>T</w:t>
      </w:r>
      <w:r w:rsidR="003405CC">
        <w:rPr>
          <w:rFonts w:ascii="Times New Roman" w:hAnsi="Times New Roman" w:cs="Times New Roman"/>
          <w:lang w:val="en-US"/>
        </w:rPr>
        <w:t xml:space="preserve">he </w:t>
      </w:r>
      <w:r w:rsidR="0009519E">
        <w:rPr>
          <w:rFonts w:ascii="Times New Roman" w:hAnsi="Times New Roman" w:cs="Times New Roman"/>
          <w:lang w:val="en-US"/>
        </w:rPr>
        <w:t>court</w:t>
      </w:r>
      <w:r w:rsidR="003405CC">
        <w:rPr>
          <w:rFonts w:ascii="Times New Roman" w:hAnsi="Times New Roman" w:cs="Times New Roman"/>
          <w:lang w:val="en-US"/>
        </w:rPr>
        <w:t xml:space="preserve"> </w:t>
      </w:r>
      <w:r>
        <w:rPr>
          <w:rFonts w:ascii="Times New Roman" w:hAnsi="Times New Roman" w:cs="Times New Roman"/>
          <w:lang w:val="en-US"/>
        </w:rPr>
        <w:t xml:space="preserve">was able </w:t>
      </w:r>
      <w:r w:rsidR="003405CC">
        <w:rPr>
          <w:rFonts w:ascii="Times New Roman" w:hAnsi="Times New Roman" w:cs="Times New Roman"/>
          <w:lang w:val="en-US"/>
        </w:rPr>
        <w:t xml:space="preserve">to pay heed to </w:t>
      </w:r>
      <w:r w:rsidR="009F5B20">
        <w:rPr>
          <w:rFonts w:ascii="Times New Roman" w:hAnsi="Times New Roman" w:cs="Times New Roman"/>
          <w:lang w:val="en-US"/>
        </w:rPr>
        <w:t>q</w:t>
      </w:r>
      <w:r w:rsidR="00F278ED">
        <w:rPr>
          <w:rFonts w:ascii="Times New Roman" w:hAnsi="Times New Roman" w:cs="Times New Roman"/>
          <w:lang w:val="en-US"/>
        </w:rPr>
        <w:t xml:space="preserve">uestions of means, and of poverty, </w:t>
      </w:r>
      <w:r w:rsidR="003405CC">
        <w:rPr>
          <w:rFonts w:ascii="Times New Roman" w:hAnsi="Times New Roman" w:cs="Times New Roman"/>
          <w:lang w:val="en-US"/>
        </w:rPr>
        <w:t>without having to engage with questions of social security or socio-ec</w:t>
      </w:r>
      <w:r w:rsidR="00A36277">
        <w:rPr>
          <w:rFonts w:ascii="Times New Roman" w:hAnsi="Times New Roman" w:cs="Times New Roman"/>
          <w:lang w:val="en-US"/>
        </w:rPr>
        <w:t>o</w:t>
      </w:r>
      <w:r w:rsidR="003405CC">
        <w:rPr>
          <w:rFonts w:ascii="Times New Roman" w:hAnsi="Times New Roman" w:cs="Times New Roman"/>
          <w:lang w:val="en-US"/>
        </w:rPr>
        <w:t>nomic rights. T</w:t>
      </w:r>
      <w:r w:rsidR="00F278ED">
        <w:rPr>
          <w:rFonts w:ascii="Times New Roman" w:hAnsi="Times New Roman" w:cs="Times New Roman"/>
          <w:lang w:val="en-US"/>
        </w:rPr>
        <w:t xml:space="preserve">he issue </w:t>
      </w:r>
      <w:r w:rsidR="003405CC">
        <w:rPr>
          <w:rFonts w:ascii="Times New Roman" w:hAnsi="Times New Roman" w:cs="Times New Roman"/>
          <w:lang w:val="en-US"/>
        </w:rPr>
        <w:t>wa</w:t>
      </w:r>
      <w:r w:rsidR="00F278ED">
        <w:rPr>
          <w:rFonts w:ascii="Times New Roman" w:hAnsi="Times New Roman" w:cs="Times New Roman"/>
          <w:lang w:val="en-US"/>
        </w:rPr>
        <w:t xml:space="preserve">s not actually the laws that determine </w:t>
      </w:r>
      <w:r w:rsidR="003405CC">
        <w:rPr>
          <w:rFonts w:ascii="Times New Roman" w:hAnsi="Times New Roman" w:cs="Times New Roman"/>
          <w:lang w:val="en-US"/>
        </w:rPr>
        <w:t>resources</w:t>
      </w:r>
      <w:r w:rsidR="00F278ED">
        <w:rPr>
          <w:rFonts w:ascii="Times New Roman" w:hAnsi="Times New Roman" w:cs="Times New Roman"/>
          <w:lang w:val="en-US"/>
        </w:rPr>
        <w:t xml:space="preserve">, but </w:t>
      </w:r>
      <w:r w:rsidR="00A37FF7">
        <w:rPr>
          <w:rFonts w:ascii="Times New Roman" w:hAnsi="Times New Roman" w:cs="Times New Roman"/>
          <w:lang w:val="en-US"/>
        </w:rPr>
        <w:t xml:space="preserve">laws that would require claimants to make incursions into their resources in order to access tribunals. The Supreme Court was persuaded by </w:t>
      </w:r>
      <w:r w:rsidR="00257712">
        <w:rPr>
          <w:rFonts w:ascii="Times New Roman" w:hAnsi="Times New Roman" w:cs="Times New Roman"/>
          <w:lang w:val="en-US"/>
        </w:rPr>
        <w:t xml:space="preserve">UNISON’s construction of hypothetical claimants; for the first, they noted that her actual monthly income was already below the net monthly income required for </w:t>
      </w:r>
      <w:r w:rsidR="00560909">
        <w:rPr>
          <w:rFonts w:ascii="Times New Roman" w:hAnsi="Times New Roman" w:cs="Times New Roman"/>
          <w:lang w:val="en-US"/>
        </w:rPr>
        <w:t xml:space="preserve">an </w:t>
      </w:r>
      <w:r w:rsidR="00257712" w:rsidRPr="00257712">
        <w:rPr>
          <w:rFonts w:ascii="Times New Roman" w:hAnsi="Times New Roman" w:cs="Times New Roman"/>
          <w:lang w:val="en-US"/>
        </w:rPr>
        <w:t>acceptable living standard</w:t>
      </w:r>
      <w:r w:rsidR="00560909">
        <w:rPr>
          <w:rFonts w:ascii="Times New Roman" w:hAnsi="Times New Roman" w:cs="Times New Roman"/>
          <w:lang w:val="en-US"/>
        </w:rPr>
        <w:t xml:space="preserve"> according to the</w:t>
      </w:r>
      <w:r w:rsidR="00257712" w:rsidRPr="00257712">
        <w:rPr>
          <w:rFonts w:ascii="Times New Roman" w:hAnsi="Times New Roman" w:cs="Times New Roman"/>
          <w:lang w:val="en-US"/>
        </w:rPr>
        <w:t xml:space="preserve"> Joseph Rowntree Foundation</w:t>
      </w:r>
      <w:r w:rsidR="00257712">
        <w:rPr>
          <w:rFonts w:ascii="Times New Roman" w:hAnsi="Times New Roman" w:cs="Times New Roman"/>
          <w:lang w:val="en-US"/>
        </w:rPr>
        <w:t>,</w:t>
      </w:r>
      <w:r>
        <w:rPr>
          <w:rStyle w:val="FootnoteReference"/>
          <w:rFonts w:ascii="Times New Roman" w:hAnsi="Times New Roman" w:cs="Times New Roman"/>
          <w:lang w:val="en-US"/>
        </w:rPr>
        <w:footnoteReference w:id="116"/>
      </w:r>
      <w:r w:rsidR="00257712">
        <w:rPr>
          <w:rFonts w:ascii="Times New Roman" w:hAnsi="Times New Roman" w:cs="Times New Roman"/>
          <w:lang w:val="en-US"/>
        </w:rPr>
        <w:t xml:space="preserve"> and reflected that to pursue an employment tribunal </w:t>
      </w:r>
      <w:r w:rsidR="00257712">
        <w:rPr>
          <w:rFonts w:ascii="Times New Roman" w:hAnsi="Times New Roman" w:cs="Times New Roman"/>
          <w:lang w:val="en-US"/>
        </w:rPr>
        <w:lastRenderedPageBreak/>
        <w:t>claim she would have to “</w:t>
      </w:r>
      <w:r w:rsidR="00257712" w:rsidRPr="00257712">
        <w:rPr>
          <w:rFonts w:ascii="Times New Roman" w:hAnsi="Times New Roman" w:cs="Times New Roman"/>
          <w:lang w:val="en-US"/>
        </w:rPr>
        <w:t>suffer a substantial shortfall from what she needs in order to provide an acceptable living standard for herself and her child</w:t>
      </w:r>
      <w:r w:rsidR="00257712">
        <w:rPr>
          <w:rFonts w:ascii="Times New Roman" w:hAnsi="Times New Roman" w:cs="Times New Roman"/>
          <w:lang w:val="en-US"/>
        </w:rPr>
        <w:t xml:space="preserve">”. </w:t>
      </w:r>
      <w:r w:rsidR="00761271">
        <w:rPr>
          <w:rFonts w:ascii="Times New Roman" w:hAnsi="Times New Roman" w:cs="Times New Roman"/>
          <w:lang w:val="en-US"/>
        </w:rPr>
        <w:t>The second hypothetical claimant would have to “</w:t>
      </w:r>
      <w:r w:rsidR="00761271" w:rsidRPr="00761271">
        <w:rPr>
          <w:rFonts w:ascii="Times New Roman" w:hAnsi="Times New Roman" w:cs="Times New Roman"/>
          <w:lang w:val="en-US"/>
        </w:rPr>
        <w:t>make further inroads into living standards which are already below an acceptable level if a claim is to be brought</w:t>
      </w:r>
      <w:r w:rsidR="00761271">
        <w:rPr>
          <w:rFonts w:ascii="Times New Roman" w:hAnsi="Times New Roman" w:cs="Times New Roman"/>
          <w:lang w:val="en-US"/>
        </w:rPr>
        <w:t>”.</w:t>
      </w:r>
      <w:r>
        <w:rPr>
          <w:rStyle w:val="FootnoteReference"/>
          <w:rFonts w:ascii="Times New Roman" w:hAnsi="Times New Roman" w:cs="Times New Roman"/>
          <w:lang w:val="en-US"/>
        </w:rPr>
        <w:footnoteReference w:id="117"/>
      </w:r>
      <w:r w:rsidR="00761271">
        <w:rPr>
          <w:rFonts w:ascii="Times New Roman" w:hAnsi="Times New Roman" w:cs="Times New Roman"/>
          <w:lang w:val="en-US"/>
        </w:rPr>
        <w:t xml:space="preserve"> </w:t>
      </w:r>
      <w:r w:rsidR="003F142D">
        <w:rPr>
          <w:rFonts w:ascii="Times New Roman" w:hAnsi="Times New Roman" w:cs="Times New Roman"/>
          <w:lang w:val="en-US"/>
        </w:rPr>
        <w:t xml:space="preserve"> </w:t>
      </w:r>
    </w:p>
    <w:p w14:paraId="25DDA0F5" w14:textId="4C5BACBC" w:rsidR="004014B0" w:rsidRDefault="00000000" w:rsidP="00123C13">
      <w:pPr>
        <w:spacing w:after="120"/>
        <w:jc w:val="both"/>
        <w:rPr>
          <w:rFonts w:ascii="Times New Roman" w:hAnsi="Times New Roman" w:cs="Times New Roman"/>
        </w:rPr>
      </w:pPr>
      <w:r>
        <w:rPr>
          <w:rFonts w:ascii="Times New Roman" w:hAnsi="Times New Roman" w:cs="Times New Roman"/>
          <w:lang w:val="en-US"/>
        </w:rPr>
        <w:t xml:space="preserve">A low standard of living is only important here as a barrier to accessing a </w:t>
      </w:r>
      <w:r w:rsidR="0073038C">
        <w:rPr>
          <w:rFonts w:ascii="Times New Roman" w:hAnsi="Times New Roman" w:cs="Times New Roman"/>
          <w:lang w:val="en-US"/>
        </w:rPr>
        <w:t>branch of the justice system</w:t>
      </w:r>
      <w:r>
        <w:rPr>
          <w:rFonts w:ascii="Times New Roman" w:hAnsi="Times New Roman" w:cs="Times New Roman"/>
          <w:lang w:val="en-US"/>
        </w:rPr>
        <w:t xml:space="preserve">; </w:t>
      </w:r>
      <w:r w:rsidR="0073038C">
        <w:rPr>
          <w:rFonts w:ascii="Times New Roman" w:hAnsi="Times New Roman" w:cs="Times New Roman"/>
          <w:lang w:val="en-US"/>
        </w:rPr>
        <w:t xml:space="preserve">not the laws that create the low standard of living. </w:t>
      </w:r>
      <w:r w:rsidR="00B72C14">
        <w:rPr>
          <w:rFonts w:ascii="Times New Roman" w:hAnsi="Times New Roman" w:cs="Times New Roman"/>
          <w:lang w:val="en-US"/>
        </w:rPr>
        <w:t>The judgment continues</w:t>
      </w:r>
      <w:r w:rsidR="00512D94">
        <w:rPr>
          <w:rFonts w:ascii="Times New Roman" w:hAnsi="Times New Roman" w:cs="Times New Roman"/>
          <w:lang w:val="en-US"/>
        </w:rPr>
        <w:t>:</w:t>
      </w:r>
      <w:r w:rsidR="00B72C14">
        <w:rPr>
          <w:rFonts w:ascii="Times New Roman" w:hAnsi="Times New Roman" w:cs="Times New Roman"/>
          <w:lang w:val="en-US"/>
        </w:rPr>
        <w:t xml:space="preserve"> “</w:t>
      </w:r>
      <w:r w:rsidR="00032F3E" w:rsidRPr="00B72C14">
        <w:rPr>
          <w:rFonts w:ascii="Times New Roman" w:hAnsi="Times New Roman" w:cs="Times New Roman"/>
        </w:rPr>
        <w:t>the question arises whether the sacrifice of ordinary and reasonable expenditure can properly be the price of access to one’s rights</w:t>
      </w:r>
      <w:r w:rsidR="00B72C14">
        <w:rPr>
          <w:rFonts w:ascii="Times New Roman" w:hAnsi="Times New Roman" w:cs="Times New Roman"/>
        </w:rPr>
        <w:t>”.</w:t>
      </w:r>
      <w:r>
        <w:rPr>
          <w:rStyle w:val="FootnoteReference"/>
          <w:rFonts w:ascii="Times New Roman" w:hAnsi="Times New Roman" w:cs="Times New Roman"/>
        </w:rPr>
        <w:footnoteReference w:id="118"/>
      </w:r>
      <w:r w:rsidR="00B72C14">
        <w:rPr>
          <w:rFonts w:ascii="Times New Roman" w:hAnsi="Times New Roman" w:cs="Times New Roman"/>
        </w:rPr>
        <w:t xml:space="preserve"> </w:t>
      </w:r>
      <w:r w:rsidR="00AB15C7">
        <w:rPr>
          <w:rFonts w:ascii="Times New Roman" w:hAnsi="Times New Roman" w:cs="Times New Roman"/>
        </w:rPr>
        <w:t>The idea that one can</w:t>
      </w:r>
      <w:r>
        <w:rPr>
          <w:rFonts w:ascii="Times New Roman" w:hAnsi="Times New Roman" w:cs="Times New Roman"/>
        </w:rPr>
        <w:t xml:space="preserve"> (properly or improperly) weigh up </w:t>
      </w:r>
      <w:r w:rsidR="00AB15C7" w:rsidRPr="00AB15C7">
        <w:rPr>
          <w:rFonts w:ascii="Times New Roman" w:hAnsi="Times New Roman" w:cs="Times New Roman"/>
        </w:rPr>
        <w:t>ordinary and reasonable expenditure</w:t>
      </w:r>
      <w:r>
        <w:rPr>
          <w:rFonts w:ascii="Times New Roman" w:hAnsi="Times New Roman" w:cs="Times New Roman"/>
        </w:rPr>
        <w:t xml:space="preserve"> on the one hand and “</w:t>
      </w:r>
      <w:r w:rsidR="00AB15C7">
        <w:rPr>
          <w:rFonts w:ascii="Times New Roman" w:hAnsi="Times New Roman" w:cs="Times New Roman"/>
        </w:rPr>
        <w:t>one’s rights</w:t>
      </w:r>
      <w:r>
        <w:rPr>
          <w:rFonts w:ascii="Times New Roman" w:hAnsi="Times New Roman" w:cs="Times New Roman"/>
        </w:rPr>
        <w:t>”</w:t>
      </w:r>
      <w:r w:rsidR="00AB15C7">
        <w:rPr>
          <w:rFonts w:ascii="Times New Roman" w:hAnsi="Times New Roman" w:cs="Times New Roman"/>
        </w:rPr>
        <w:t xml:space="preserve"> </w:t>
      </w:r>
      <w:r>
        <w:rPr>
          <w:rFonts w:ascii="Times New Roman" w:hAnsi="Times New Roman" w:cs="Times New Roman"/>
        </w:rPr>
        <w:t>on the other,</w:t>
      </w:r>
      <w:r w:rsidR="008038BE">
        <w:rPr>
          <w:rFonts w:ascii="Times New Roman" w:hAnsi="Times New Roman" w:cs="Times New Roman"/>
        </w:rPr>
        <w:t xml:space="preserve"> assumes that </w:t>
      </w:r>
      <w:r w:rsidR="009F52D6">
        <w:rPr>
          <w:rFonts w:ascii="Times New Roman" w:hAnsi="Times New Roman" w:cs="Times New Roman"/>
        </w:rPr>
        <w:t xml:space="preserve">being able to meet ordinary and reasonable expenditure </w:t>
      </w:r>
      <w:r w:rsidR="009F52D6" w:rsidRPr="00AB15C7">
        <w:rPr>
          <w:rFonts w:ascii="Times New Roman" w:hAnsi="Times New Roman" w:cs="Times New Roman"/>
          <w:i/>
          <w:iCs/>
        </w:rPr>
        <w:t>is</w:t>
      </w:r>
      <w:r w:rsidR="008038BE">
        <w:rPr>
          <w:rFonts w:ascii="Times New Roman" w:hAnsi="Times New Roman" w:cs="Times New Roman"/>
          <w:i/>
          <w:iCs/>
        </w:rPr>
        <w:t xml:space="preserve"> not </w:t>
      </w:r>
      <w:r w:rsidR="009F52D6" w:rsidRPr="00AB15C7">
        <w:rPr>
          <w:rFonts w:ascii="Times New Roman" w:hAnsi="Times New Roman" w:cs="Times New Roman"/>
          <w:i/>
          <w:iCs/>
        </w:rPr>
        <w:t>a right in itself</w:t>
      </w:r>
      <w:r w:rsidR="009F52D6">
        <w:rPr>
          <w:rFonts w:ascii="Times New Roman" w:hAnsi="Times New Roman" w:cs="Times New Roman"/>
        </w:rPr>
        <w:t>. The only rights discussed</w:t>
      </w:r>
      <w:r w:rsidR="00AB15C7">
        <w:rPr>
          <w:rFonts w:ascii="Times New Roman" w:hAnsi="Times New Roman" w:cs="Times New Roman"/>
        </w:rPr>
        <w:t xml:space="preserve"> throughout the judgment</w:t>
      </w:r>
      <w:r w:rsidR="009F52D6">
        <w:rPr>
          <w:rFonts w:ascii="Times New Roman" w:hAnsi="Times New Roman" w:cs="Times New Roman"/>
        </w:rPr>
        <w:t xml:space="preserve"> are employment rights, and access to justice/courts</w:t>
      </w:r>
      <w:r w:rsidR="00AB15C7">
        <w:rPr>
          <w:rFonts w:ascii="Times New Roman" w:hAnsi="Times New Roman" w:cs="Times New Roman"/>
        </w:rPr>
        <w:t xml:space="preserve"> and rights of audience. </w:t>
      </w:r>
      <w:r w:rsidR="00373CB6">
        <w:rPr>
          <w:rFonts w:ascii="Times New Roman" w:hAnsi="Times New Roman" w:cs="Times New Roman"/>
        </w:rPr>
        <w:t xml:space="preserve">The elevation of the truly legal right of access to justice over socio-economic rights is evident in </w:t>
      </w:r>
      <w:r w:rsidR="00E43F4B">
        <w:rPr>
          <w:rFonts w:ascii="Times New Roman" w:hAnsi="Times New Roman" w:cs="Times New Roman"/>
        </w:rPr>
        <w:t xml:space="preserve">the decrying of </w:t>
      </w:r>
      <w:r w:rsidR="00E43F4B" w:rsidRPr="00E43F4B">
        <w:rPr>
          <w:rFonts w:ascii="Times New Roman" w:hAnsi="Times New Roman" w:cs="Times New Roman"/>
        </w:rPr>
        <w:t>“</w:t>
      </w:r>
      <w:r w:rsidR="00032F3E" w:rsidRPr="00E43F4B">
        <w:rPr>
          <w:rFonts w:ascii="Times New Roman" w:hAnsi="Times New Roman" w:cs="Times New Roman"/>
        </w:rPr>
        <w:t>the assumption that the administration of justice is merely a public service like any other</w:t>
      </w:r>
      <w:r w:rsidR="00E43F4B">
        <w:rPr>
          <w:rFonts w:ascii="Times New Roman" w:hAnsi="Times New Roman" w:cs="Times New Roman"/>
        </w:rPr>
        <w:t xml:space="preserve">”. Here is the problem central to the </w:t>
      </w:r>
      <w:r w:rsidR="00E43F4B">
        <w:rPr>
          <w:rFonts w:ascii="Times New Roman" w:hAnsi="Times New Roman" w:cs="Times New Roman"/>
          <w:i/>
          <w:iCs/>
        </w:rPr>
        <w:t>SC</w:t>
      </w:r>
      <w:r w:rsidR="00E43F4B">
        <w:rPr>
          <w:rFonts w:ascii="Times New Roman" w:hAnsi="Times New Roman" w:cs="Times New Roman"/>
        </w:rPr>
        <w:t xml:space="preserve"> case. </w:t>
      </w:r>
      <w:r w:rsidR="00C77DE8">
        <w:rPr>
          <w:rFonts w:ascii="Times New Roman" w:hAnsi="Times New Roman" w:cs="Times New Roman"/>
        </w:rPr>
        <w:t>As far as the Supreme Court is concerned, s</w:t>
      </w:r>
      <w:r w:rsidR="00E43F4B">
        <w:rPr>
          <w:rFonts w:ascii="Times New Roman" w:hAnsi="Times New Roman" w:cs="Times New Roman"/>
        </w:rPr>
        <w:t xml:space="preserve">ocial security </w:t>
      </w:r>
      <w:r w:rsidR="00E43F4B" w:rsidRPr="00C77DE8">
        <w:rPr>
          <w:rFonts w:ascii="Times New Roman" w:hAnsi="Times New Roman" w:cs="Times New Roman"/>
          <w:i/>
          <w:iCs/>
        </w:rPr>
        <w:t>is</w:t>
      </w:r>
      <w:r w:rsidR="00E43F4B">
        <w:rPr>
          <w:rFonts w:ascii="Times New Roman" w:hAnsi="Times New Roman" w:cs="Times New Roman"/>
        </w:rPr>
        <w:t xml:space="preserve"> “merely a public service”. </w:t>
      </w:r>
      <w:proofErr w:type="gramStart"/>
      <w:r w:rsidR="00D0697E">
        <w:rPr>
          <w:rFonts w:ascii="Times New Roman" w:hAnsi="Times New Roman" w:cs="Times New Roman"/>
        </w:rPr>
        <w:t>So</w:t>
      </w:r>
      <w:proofErr w:type="gramEnd"/>
      <w:r w:rsidR="00D0697E">
        <w:rPr>
          <w:rFonts w:ascii="Times New Roman" w:hAnsi="Times New Roman" w:cs="Times New Roman"/>
        </w:rPr>
        <w:t xml:space="preserve"> a</w:t>
      </w:r>
      <w:r w:rsidR="00032F3E" w:rsidRPr="00E84859">
        <w:rPr>
          <w:rFonts w:ascii="Times New Roman" w:hAnsi="Times New Roman" w:cs="Times New Roman"/>
        </w:rPr>
        <w:t xml:space="preserve">ccess to employment tribunals is </w:t>
      </w:r>
      <w:r w:rsidR="00D0697E">
        <w:rPr>
          <w:rFonts w:ascii="Times New Roman" w:hAnsi="Times New Roman" w:cs="Times New Roman"/>
        </w:rPr>
        <w:t xml:space="preserve">treated as significantly </w:t>
      </w:r>
      <w:r w:rsidR="00032F3E" w:rsidRPr="00E84859">
        <w:rPr>
          <w:rFonts w:ascii="Times New Roman" w:hAnsi="Times New Roman" w:cs="Times New Roman"/>
        </w:rPr>
        <w:t>more important</w:t>
      </w:r>
      <w:r w:rsidR="00D0697E">
        <w:rPr>
          <w:rFonts w:ascii="Times New Roman" w:hAnsi="Times New Roman" w:cs="Times New Roman"/>
        </w:rPr>
        <w:t xml:space="preserve"> in law</w:t>
      </w:r>
      <w:r w:rsidR="00032F3E" w:rsidRPr="00E84859">
        <w:rPr>
          <w:rFonts w:ascii="Times New Roman" w:hAnsi="Times New Roman" w:cs="Times New Roman"/>
        </w:rPr>
        <w:t xml:space="preserve"> than access to minimum subsistence for </w:t>
      </w:r>
      <w:r w:rsidR="00280B3E">
        <w:rPr>
          <w:rFonts w:ascii="Times New Roman" w:hAnsi="Times New Roman" w:cs="Times New Roman"/>
        </w:rPr>
        <w:t>a</w:t>
      </w:r>
      <w:r w:rsidR="00032F3E" w:rsidRPr="00E84859">
        <w:rPr>
          <w:rFonts w:ascii="Times New Roman" w:hAnsi="Times New Roman" w:cs="Times New Roman"/>
        </w:rPr>
        <w:t xml:space="preserve"> human being for the whole of their childhood</w:t>
      </w:r>
      <w:r w:rsidR="00AC27F4">
        <w:rPr>
          <w:rFonts w:ascii="Times New Roman" w:hAnsi="Times New Roman" w:cs="Times New Roman"/>
        </w:rPr>
        <w:t xml:space="preserve"> – because it is treated as being more legal in nature. </w:t>
      </w:r>
    </w:p>
    <w:p w14:paraId="623A735A" w14:textId="77777777" w:rsidR="00C62A17" w:rsidRDefault="00C62A17" w:rsidP="00123C13">
      <w:pPr>
        <w:spacing w:after="120"/>
        <w:jc w:val="both"/>
        <w:rPr>
          <w:rFonts w:ascii="Times New Roman" w:hAnsi="Times New Roman" w:cs="Times New Roman"/>
        </w:rPr>
      </w:pPr>
    </w:p>
    <w:p w14:paraId="0B3DA3CC" w14:textId="200A118F" w:rsidR="002C3CE9" w:rsidRDefault="00000000" w:rsidP="00123C13">
      <w:pPr>
        <w:spacing w:after="120"/>
        <w:jc w:val="both"/>
        <w:rPr>
          <w:rFonts w:ascii="Times New Roman" w:hAnsi="Times New Roman" w:cs="Times New Roman"/>
        </w:rPr>
      </w:pPr>
      <w:r w:rsidRPr="002C3CE9">
        <w:rPr>
          <w:rFonts w:ascii="Times New Roman" w:hAnsi="Times New Roman" w:cs="Times New Roman"/>
        </w:rPr>
        <w:t>5. We need social security expertise and claimant perspectives on the bench</w:t>
      </w:r>
    </w:p>
    <w:p w14:paraId="455EFB96" w14:textId="147A0F91" w:rsidR="002667DF" w:rsidRDefault="00000000" w:rsidP="00123C13">
      <w:pPr>
        <w:spacing w:after="120"/>
        <w:jc w:val="both"/>
        <w:rPr>
          <w:rFonts w:ascii="Times New Roman" w:hAnsi="Times New Roman" w:cs="Times New Roman"/>
        </w:rPr>
      </w:pPr>
      <w:r>
        <w:rPr>
          <w:rFonts w:ascii="Times New Roman" w:hAnsi="Times New Roman" w:cs="Times New Roman"/>
        </w:rPr>
        <w:t>Intelligence and starry career</w:t>
      </w:r>
      <w:r w:rsidR="00563D81">
        <w:rPr>
          <w:rFonts w:ascii="Times New Roman" w:hAnsi="Times New Roman" w:cs="Times New Roman"/>
        </w:rPr>
        <w:t>s</w:t>
      </w:r>
      <w:r>
        <w:rPr>
          <w:rFonts w:ascii="Times New Roman" w:hAnsi="Times New Roman" w:cs="Times New Roman"/>
        </w:rPr>
        <w:t xml:space="preserve"> </w:t>
      </w:r>
      <w:r w:rsidR="00563D81">
        <w:rPr>
          <w:rFonts w:ascii="Times New Roman" w:hAnsi="Times New Roman" w:cs="Times New Roman"/>
        </w:rPr>
        <w:t xml:space="preserve">in lucrative areas of law </w:t>
      </w:r>
      <w:r>
        <w:rPr>
          <w:rFonts w:ascii="Times New Roman" w:hAnsi="Times New Roman" w:cs="Times New Roman"/>
        </w:rPr>
        <w:t>are not enough to ensure a fair consideration of social security law –</w:t>
      </w:r>
      <w:r w:rsidR="00AC27F4">
        <w:rPr>
          <w:rFonts w:ascii="Times New Roman" w:hAnsi="Times New Roman" w:cs="Times New Roman"/>
        </w:rPr>
        <w:t xml:space="preserve"> </w:t>
      </w:r>
      <w:r>
        <w:rPr>
          <w:rFonts w:ascii="Times New Roman" w:hAnsi="Times New Roman" w:cs="Times New Roman"/>
        </w:rPr>
        <w:t xml:space="preserve">they are not enough to ensure </w:t>
      </w:r>
      <w:r w:rsidR="00A85C4E">
        <w:rPr>
          <w:rFonts w:ascii="Times New Roman" w:hAnsi="Times New Roman" w:cs="Times New Roman"/>
        </w:rPr>
        <w:t xml:space="preserve">consideration of </w:t>
      </w:r>
      <w:r>
        <w:rPr>
          <w:rFonts w:ascii="Times New Roman" w:hAnsi="Times New Roman" w:cs="Times New Roman"/>
        </w:rPr>
        <w:t xml:space="preserve">social security </w:t>
      </w:r>
      <w:r w:rsidR="00A85C4E" w:rsidRPr="00A85C4E">
        <w:rPr>
          <w:rFonts w:ascii="Times New Roman" w:hAnsi="Times New Roman" w:cs="Times New Roman"/>
          <w:i/>
          <w:iCs/>
        </w:rPr>
        <w:t>as</w:t>
      </w:r>
      <w:r>
        <w:rPr>
          <w:rFonts w:ascii="Times New Roman" w:hAnsi="Times New Roman" w:cs="Times New Roman"/>
        </w:rPr>
        <w:t xml:space="preserve"> law. </w:t>
      </w:r>
      <w:r w:rsidR="00CE1A41">
        <w:rPr>
          <w:rFonts w:ascii="Times New Roman" w:hAnsi="Times New Roman" w:cs="Times New Roman"/>
        </w:rPr>
        <w:t>Cohen-Rimer argues that legislators should be exposed to people in poverty to “</w:t>
      </w:r>
      <w:r w:rsidR="00CE1A41" w:rsidRPr="00CE1A41">
        <w:rPr>
          <w:rFonts w:ascii="Times New Roman" w:hAnsi="Times New Roman" w:cs="Times New Roman"/>
        </w:rPr>
        <w:t>reduce the bias, stereotyping, and stigma attached to this collective, rendering legislators less likely to be judgmental toward individuals’ choices</w:t>
      </w:r>
      <w:r w:rsidR="00CE1A41">
        <w:rPr>
          <w:rFonts w:ascii="Times New Roman" w:hAnsi="Times New Roman" w:cs="Times New Roman"/>
        </w:rPr>
        <w:t>”.</w:t>
      </w:r>
      <w:r>
        <w:rPr>
          <w:rStyle w:val="FootnoteReference"/>
          <w:rFonts w:ascii="Times New Roman" w:hAnsi="Times New Roman" w:cs="Times New Roman"/>
        </w:rPr>
        <w:footnoteReference w:id="119"/>
      </w:r>
      <w:r w:rsidR="00CE1A41">
        <w:rPr>
          <w:rFonts w:ascii="Times New Roman" w:hAnsi="Times New Roman" w:cs="Times New Roman"/>
        </w:rPr>
        <w:t xml:space="preserve"> </w:t>
      </w:r>
      <w:r w:rsidR="00563D81">
        <w:rPr>
          <w:rFonts w:ascii="Times New Roman" w:hAnsi="Times New Roman" w:cs="Times New Roman"/>
        </w:rPr>
        <w:t xml:space="preserve">I argue that </w:t>
      </w:r>
      <w:r w:rsidR="00BA406F">
        <w:rPr>
          <w:rFonts w:ascii="Times New Roman" w:hAnsi="Times New Roman" w:cs="Times New Roman"/>
        </w:rPr>
        <w:t>the judiciary needs similar exposure, and what is more, there is ample opportunity</w:t>
      </w:r>
      <w:r w:rsidR="00512D94">
        <w:rPr>
          <w:rFonts w:ascii="Times New Roman" w:hAnsi="Times New Roman" w:cs="Times New Roman"/>
        </w:rPr>
        <w:t xml:space="preserve"> to</w:t>
      </w:r>
      <w:r w:rsidR="00BA406F">
        <w:rPr>
          <w:rFonts w:ascii="Times New Roman" w:hAnsi="Times New Roman" w:cs="Times New Roman"/>
        </w:rPr>
        <w:t xml:space="preserve"> acquire it as a lawyer. </w:t>
      </w:r>
      <w:r w:rsidR="006A4D13">
        <w:rPr>
          <w:rFonts w:ascii="Times New Roman" w:hAnsi="Times New Roman" w:cs="Times New Roman"/>
        </w:rPr>
        <w:t xml:space="preserve">By selecting our senior judges from a narrow pool of professional expertise, having encountered a socio-economically limited range of clients, we risk </w:t>
      </w:r>
      <w:r w:rsidR="00C55D80">
        <w:rPr>
          <w:rFonts w:ascii="Times New Roman" w:hAnsi="Times New Roman" w:cs="Times New Roman"/>
        </w:rPr>
        <w:t xml:space="preserve">cultivating </w:t>
      </w:r>
      <w:r w:rsidR="006A4D13">
        <w:rPr>
          <w:rFonts w:ascii="Times New Roman" w:hAnsi="Times New Roman" w:cs="Times New Roman"/>
        </w:rPr>
        <w:t>“</w:t>
      </w:r>
      <w:proofErr w:type="spellStart"/>
      <w:r w:rsidR="006A4D13">
        <w:rPr>
          <w:rFonts w:ascii="Times New Roman" w:hAnsi="Times New Roman" w:cs="Times New Roman"/>
        </w:rPr>
        <w:t>aporaphobia</w:t>
      </w:r>
      <w:proofErr w:type="spellEnd"/>
      <w:r w:rsidR="006A4D13">
        <w:rPr>
          <w:rFonts w:ascii="Times New Roman" w:hAnsi="Times New Roman" w:cs="Times New Roman"/>
        </w:rPr>
        <w:t xml:space="preserve">” in the Supreme Court. </w:t>
      </w:r>
      <w:proofErr w:type="spellStart"/>
      <w:r w:rsidR="00123910">
        <w:rPr>
          <w:rFonts w:ascii="Times New Roman" w:hAnsi="Times New Roman" w:cs="Times New Roman"/>
        </w:rPr>
        <w:t>Aporaphobia</w:t>
      </w:r>
      <w:proofErr w:type="spellEnd"/>
      <w:r w:rsidR="00123910">
        <w:rPr>
          <w:rFonts w:ascii="Times New Roman" w:hAnsi="Times New Roman" w:cs="Times New Roman"/>
        </w:rPr>
        <w:t xml:space="preserve"> is a term coined by Adela Cortina,</w:t>
      </w:r>
      <w:r>
        <w:rPr>
          <w:rStyle w:val="FootnoteReference"/>
          <w:rFonts w:ascii="Times New Roman" w:hAnsi="Times New Roman" w:cs="Times New Roman"/>
        </w:rPr>
        <w:footnoteReference w:id="120"/>
      </w:r>
      <w:r w:rsidR="00123910">
        <w:rPr>
          <w:rFonts w:ascii="Times New Roman" w:hAnsi="Times New Roman" w:cs="Times New Roman"/>
        </w:rPr>
        <w:t xml:space="preserve"> to describe prejudice against the poo</w:t>
      </w:r>
      <w:r w:rsidR="00653F61">
        <w:rPr>
          <w:rFonts w:ascii="Times New Roman" w:hAnsi="Times New Roman" w:cs="Times New Roman"/>
        </w:rPr>
        <w:t>r</w:t>
      </w:r>
      <w:r w:rsidR="00BB2FD2">
        <w:rPr>
          <w:rFonts w:ascii="Times New Roman" w:hAnsi="Times New Roman" w:cs="Times New Roman"/>
        </w:rPr>
        <w:t>, and the belief that the “poor person is in all cases an unprofitable person”.</w:t>
      </w:r>
      <w:r>
        <w:rPr>
          <w:rStyle w:val="FootnoteReference"/>
          <w:rFonts w:ascii="Times New Roman" w:hAnsi="Times New Roman" w:cs="Times New Roman"/>
        </w:rPr>
        <w:footnoteReference w:id="121"/>
      </w:r>
      <w:r w:rsidR="00BB2FD2">
        <w:rPr>
          <w:rFonts w:ascii="Times New Roman" w:hAnsi="Times New Roman" w:cs="Times New Roman"/>
        </w:rPr>
        <w:t xml:space="preserve"> This belief seems to underpin the rationale of the </w:t>
      </w:r>
      <w:proofErr w:type="gramStart"/>
      <w:r w:rsidR="00BB2FD2">
        <w:rPr>
          <w:rFonts w:ascii="Times New Roman" w:hAnsi="Times New Roman" w:cs="Times New Roman"/>
        </w:rPr>
        <w:t>two child</w:t>
      </w:r>
      <w:proofErr w:type="gramEnd"/>
      <w:r w:rsidR="00BB2FD2">
        <w:rPr>
          <w:rFonts w:ascii="Times New Roman" w:hAnsi="Times New Roman" w:cs="Times New Roman"/>
        </w:rPr>
        <w:t xml:space="preserve"> rule</w:t>
      </w:r>
      <w:r w:rsidR="00C93703">
        <w:rPr>
          <w:rFonts w:ascii="Times New Roman" w:hAnsi="Times New Roman" w:cs="Times New Roman"/>
        </w:rPr>
        <w:t>, and any measure that advocates reproductive restraint on the part of the poor.</w:t>
      </w:r>
      <w:r>
        <w:rPr>
          <w:rStyle w:val="FootnoteReference"/>
          <w:rFonts w:ascii="Times New Roman" w:hAnsi="Times New Roman" w:cs="Times New Roman"/>
        </w:rPr>
        <w:footnoteReference w:id="122"/>
      </w:r>
      <w:r w:rsidR="00E34FA2">
        <w:rPr>
          <w:rFonts w:ascii="Times New Roman" w:hAnsi="Times New Roman" w:cs="Times New Roman"/>
        </w:rPr>
        <w:t xml:space="preserve"> </w:t>
      </w:r>
    </w:p>
    <w:p w14:paraId="4CECF8C1" w14:textId="2CBDAE4A" w:rsidR="007533AA" w:rsidRDefault="00000000" w:rsidP="00123C13">
      <w:pPr>
        <w:spacing w:after="120"/>
        <w:jc w:val="both"/>
        <w:rPr>
          <w:rFonts w:ascii="Times New Roman" w:hAnsi="Times New Roman" w:cs="Times New Roman"/>
          <w:lang w:val="en-US"/>
        </w:rPr>
      </w:pPr>
      <w:r>
        <w:rPr>
          <w:rFonts w:ascii="Times New Roman" w:hAnsi="Times New Roman" w:cs="Times New Roman"/>
          <w:lang w:val="en-US"/>
        </w:rPr>
        <w:t xml:space="preserve">The illusion of choice </w:t>
      </w:r>
      <w:r w:rsidR="00C55D80">
        <w:rPr>
          <w:rFonts w:ascii="Times New Roman" w:hAnsi="Times New Roman" w:cs="Times New Roman"/>
          <w:lang w:val="en-US"/>
        </w:rPr>
        <w:t>h</w:t>
      </w:r>
      <w:r>
        <w:rPr>
          <w:rFonts w:ascii="Times New Roman" w:hAnsi="Times New Roman" w:cs="Times New Roman"/>
          <w:lang w:val="en-US"/>
        </w:rPr>
        <w:t xml:space="preserve">as such a hold in the </w:t>
      </w:r>
      <w:r>
        <w:rPr>
          <w:rFonts w:ascii="Times New Roman" w:hAnsi="Times New Roman" w:cs="Times New Roman"/>
          <w:i/>
          <w:iCs/>
          <w:lang w:val="en-US"/>
        </w:rPr>
        <w:t xml:space="preserve">SC </w:t>
      </w:r>
      <w:r>
        <w:rPr>
          <w:rFonts w:ascii="Times New Roman" w:hAnsi="Times New Roman" w:cs="Times New Roman"/>
          <w:lang w:val="en-US"/>
        </w:rPr>
        <w:t xml:space="preserve">judgment because there is no possibility of empathy. The process of </w:t>
      </w:r>
      <w:r w:rsidR="00C55D80">
        <w:rPr>
          <w:rFonts w:ascii="Times New Roman" w:hAnsi="Times New Roman" w:cs="Times New Roman"/>
          <w:lang w:val="en-US"/>
        </w:rPr>
        <w:t>o</w:t>
      </w:r>
      <w:r>
        <w:rPr>
          <w:rFonts w:ascii="Times New Roman" w:hAnsi="Times New Roman" w:cs="Times New Roman"/>
          <w:lang w:val="en-US"/>
        </w:rPr>
        <w:t xml:space="preserve">thering social security as not-law, as </w:t>
      </w:r>
      <w:proofErr w:type="spellStart"/>
      <w:r>
        <w:rPr>
          <w:rFonts w:ascii="Times New Roman" w:hAnsi="Times New Roman" w:cs="Times New Roman"/>
          <w:lang w:val="en-US"/>
        </w:rPr>
        <w:t>alegal</w:t>
      </w:r>
      <w:proofErr w:type="spellEnd"/>
      <w:r>
        <w:rPr>
          <w:rFonts w:ascii="Times New Roman" w:hAnsi="Times New Roman" w:cs="Times New Roman"/>
          <w:lang w:val="en-US"/>
        </w:rPr>
        <w:t>, is bound up with the process of othering social security claimants</w:t>
      </w:r>
      <w:r w:rsidR="00342F6C">
        <w:rPr>
          <w:rFonts w:ascii="Times New Roman" w:hAnsi="Times New Roman" w:cs="Times New Roman"/>
          <w:lang w:val="en-US"/>
        </w:rPr>
        <w:t xml:space="preserve">, and treating the children involved </w:t>
      </w:r>
      <w:r w:rsidR="00FE3228" w:rsidRPr="00E84859">
        <w:rPr>
          <w:rFonts w:ascii="Times New Roman" w:hAnsi="Times New Roman" w:cs="Times New Roman"/>
          <w:lang w:val="en-US"/>
        </w:rPr>
        <w:t>as appendages</w:t>
      </w:r>
      <w:r w:rsidR="00342F6C">
        <w:rPr>
          <w:rFonts w:ascii="Times New Roman" w:hAnsi="Times New Roman" w:cs="Times New Roman"/>
          <w:lang w:val="en-US"/>
        </w:rPr>
        <w:t xml:space="preserve">, or the equivalent of unwise </w:t>
      </w:r>
      <w:r w:rsidR="00FE3228" w:rsidRPr="00E84859">
        <w:rPr>
          <w:rFonts w:ascii="Times New Roman" w:hAnsi="Times New Roman" w:cs="Times New Roman"/>
          <w:lang w:val="en-US"/>
        </w:rPr>
        <w:t>purchases</w:t>
      </w:r>
      <w:r w:rsidR="00342F6C">
        <w:rPr>
          <w:rFonts w:ascii="Times New Roman" w:hAnsi="Times New Roman" w:cs="Times New Roman"/>
          <w:lang w:val="en-US"/>
        </w:rPr>
        <w:t xml:space="preserve">. </w:t>
      </w:r>
      <w:r w:rsidR="00A57589">
        <w:rPr>
          <w:rFonts w:ascii="Times New Roman" w:hAnsi="Times New Roman" w:cs="Times New Roman"/>
          <w:lang w:val="en-US"/>
        </w:rPr>
        <w:t>They are</w:t>
      </w:r>
      <w:r w:rsidR="00AB158A">
        <w:rPr>
          <w:rFonts w:ascii="Times New Roman" w:hAnsi="Times New Roman" w:cs="Times New Roman"/>
          <w:lang w:val="en-US"/>
        </w:rPr>
        <w:t xml:space="preserve"> not</w:t>
      </w:r>
      <w:r w:rsidR="00A57589">
        <w:rPr>
          <w:rFonts w:ascii="Times New Roman" w:hAnsi="Times New Roman" w:cs="Times New Roman"/>
          <w:lang w:val="en-US"/>
        </w:rPr>
        <w:t xml:space="preserve"> treated </w:t>
      </w:r>
      <w:r w:rsidR="00AB158A">
        <w:rPr>
          <w:rFonts w:ascii="Times New Roman" w:hAnsi="Times New Roman" w:cs="Times New Roman"/>
          <w:lang w:val="en-US"/>
        </w:rPr>
        <w:t xml:space="preserve">as </w:t>
      </w:r>
      <w:r w:rsidR="00A57589" w:rsidRPr="0086583A">
        <w:rPr>
          <w:rFonts w:ascii="Times New Roman" w:hAnsi="Times New Roman" w:cs="Times New Roman"/>
          <w:i/>
          <w:iCs/>
          <w:lang w:val="en-US"/>
        </w:rPr>
        <w:t>legal</w:t>
      </w:r>
      <w:r w:rsidR="00A57589">
        <w:rPr>
          <w:rFonts w:ascii="Times New Roman" w:hAnsi="Times New Roman" w:cs="Times New Roman"/>
          <w:lang w:val="en-US"/>
        </w:rPr>
        <w:t xml:space="preserve"> subjects with </w:t>
      </w:r>
      <w:r w:rsidR="00A57589" w:rsidRPr="0086583A">
        <w:rPr>
          <w:rFonts w:ascii="Times New Roman" w:hAnsi="Times New Roman" w:cs="Times New Roman"/>
          <w:i/>
          <w:iCs/>
          <w:lang w:val="en-US"/>
        </w:rPr>
        <w:t>legal</w:t>
      </w:r>
      <w:r w:rsidR="00A57589">
        <w:rPr>
          <w:rFonts w:ascii="Times New Roman" w:hAnsi="Times New Roman" w:cs="Times New Roman"/>
          <w:lang w:val="en-US"/>
        </w:rPr>
        <w:t xml:space="preserve"> </w:t>
      </w:r>
      <w:r w:rsidR="0086583A">
        <w:rPr>
          <w:rFonts w:ascii="Times New Roman" w:hAnsi="Times New Roman" w:cs="Times New Roman"/>
          <w:lang w:val="en-US"/>
        </w:rPr>
        <w:t>rights</w:t>
      </w:r>
      <w:r w:rsidR="00A57589">
        <w:rPr>
          <w:rFonts w:ascii="Times New Roman" w:hAnsi="Times New Roman" w:cs="Times New Roman"/>
          <w:lang w:val="en-US"/>
        </w:rPr>
        <w:t xml:space="preserve"> that must be protected in the absence of any democratic political agency. </w:t>
      </w:r>
      <w:r w:rsidR="006844EF">
        <w:rPr>
          <w:rFonts w:ascii="Times New Roman" w:hAnsi="Times New Roman" w:cs="Times New Roman"/>
        </w:rPr>
        <w:t xml:space="preserve">The </w:t>
      </w:r>
      <w:r w:rsidR="00C5765E">
        <w:rPr>
          <w:rFonts w:ascii="Times New Roman" w:hAnsi="Times New Roman" w:cs="Times New Roman"/>
        </w:rPr>
        <w:t>failure</w:t>
      </w:r>
      <w:r w:rsidR="006844EF">
        <w:rPr>
          <w:rFonts w:ascii="Times New Roman" w:hAnsi="Times New Roman" w:cs="Times New Roman"/>
        </w:rPr>
        <w:t xml:space="preserve"> to recruit any judge who has acted for </w:t>
      </w:r>
      <w:r w:rsidR="008311D0">
        <w:rPr>
          <w:rFonts w:ascii="Times New Roman" w:hAnsi="Times New Roman" w:cs="Times New Roman"/>
        </w:rPr>
        <w:t xml:space="preserve">social security claimants in any reported case entrenches a privilege-facing view of the law. It is one that </w:t>
      </w:r>
      <w:r w:rsidR="00901FCE">
        <w:rPr>
          <w:rFonts w:ascii="Times New Roman" w:hAnsi="Times New Roman" w:cs="Times New Roman"/>
        </w:rPr>
        <w:t>minimises</w:t>
      </w:r>
      <w:r w:rsidR="008311D0">
        <w:rPr>
          <w:rFonts w:ascii="Times New Roman" w:hAnsi="Times New Roman" w:cs="Times New Roman"/>
        </w:rPr>
        <w:t xml:space="preserve"> the importance of social </w:t>
      </w:r>
      <w:r w:rsidR="008311D0" w:rsidRPr="00B82F5E">
        <w:rPr>
          <w:rFonts w:ascii="Times New Roman" w:hAnsi="Times New Roman" w:cs="Times New Roman"/>
        </w:rPr>
        <w:t>security</w:t>
      </w:r>
      <w:r w:rsidR="00901FCE" w:rsidRPr="00B82F5E">
        <w:rPr>
          <w:rFonts w:ascii="Times New Roman" w:hAnsi="Times New Roman" w:cs="Times New Roman"/>
        </w:rPr>
        <w:t xml:space="preserve"> law</w:t>
      </w:r>
      <w:r w:rsidR="008311D0" w:rsidRPr="00B82F5E">
        <w:rPr>
          <w:rFonts w:ascii="Times New Roman" w:hAnsi="Times New Roman" w:cs="Times New Roman"/>
        </w:rPr>
        <w:t xml:space="preserve">, </w:t>
      </w:r>
      <w:r w:rsidR="008311D0" w:rsidRPr="00B82F5E">
        <w:rPr>
          <w:rFonts w:ascii="Times New Roman" w:hAnsi="Times New Roman" w:cs="Times New Roman"/>
        </w:rPr>
        <w:lastRenderedPageBreak/>
        <w:t>and underestimates</w:t>
      </w:r>
      <w:r w:rsidR="00901FCE" w:rsidRPr="00B82F5E">
        <w:rPr>
          <w:rFonts w:ascii="Times New Roman" w:hAnsi="Times New Roman" w:cs="Times New Roman"/>
        </w:rPr>
        <w:t xml:space="preserve"> and sidelines</w:t>
      </w:r>
      <w:r w:rsidR="008311D0" w:rsidRPr="00B82F5E">
        <w:rPr>
          <w:rFonts w:ascii="Times New Roman" w:hAnsi="Times New Roman" w:cs="Times New Roman"/>
        </w:rPr>
        <w:t xml:space="preserve"> the </w:t>
      </w:r>
      <w:r w:rsidR="00901FCE" w:rsidRPr="00B82F5E">
        <w:rPr>
          <w:rFonts w:ascii="Times New Roman" w:hAnsi="Times New Roman" w:cs="Times New Roman"/>
        </w:rPr>
        <w:t>deeply complex, legal arguments to which it gives rise. It pushes the idea of the clever generalist too far, and beyond plausibility, given the ready recruitment of specialists in other areas of law</w:t>
      </w:r>
      <w:r w:rsidRPr="00B82F5E">
        <w:rPr>
          <w:rFonts w:ascii="Times New Roman" w:hAnsi="Times New Roman" w:cs="Times New Roman"/>
        </w:rPr>
        <w:t xml:space="preserve">, from a pool whose work has typically lined up </w:t>
      </w:r>
      <w:r w:rsidRPr="00B82F5E">
        <w:rPr>
          <w:rFonts w:ascii="Times New Roman" w:hAnsi="Times New Roman" w:cs="Times New Roman"/>
          <w:i/>
          <w:iCs/>
        </w:rPr>
        <w:t>against</w:t>
      </w:r>
      <w:r w:rsidRPr="00B82F5E">
        <w:rPr>
          <w:rFonts w:ascii="Times New Roman" w:hAnsi="Times New Roman" w:cs="Times New Roman"/>
        </w:rPr>
        <w:t xml:space="preserve"> the interests of </w:t>
      </w:r>
      <w:r w:rsidR="005250E6" w:rsidRPr="00B82F5E">
        <w:rPr>
          <w:rFonts w:ascii="Times New Roman" w:hAnsi="Times New Roman" w:cs="Times New Roman"/>
        </w:rPr>
        <w:t>the affected cohort</w:t>
      </w:r>
      <w:r w:rsidRPr="00B82F5E">
        <w:rPr>
          <w:rFonts w:ascii="Times New Roman" w:hAnsi="Times New Roman" w:cs="Times New Roman"/>
        </w:rPr>
        <w:t xml:space="preserve"> – by working against claimants for the State, or by working </w:t>
      </w:r>
      <w:r w:rsidR="00390E39">
        <w:rPr>
          <w:rFonts w:ascii="Times New Roman" w:hAnsi="Times New Roman" w:cs="Times New Roman"/>
        </w:rPr>
        <w:t>with</w:t>
      </w:r>
      <w:r w:rsidRPr="00B82F5E">
        <w:rPr>
          <w:rFonts w:ascii="Times New Roman" w:hAnsi="Times New Roman" w:cs="Times New Roman"/>
        </w:rPr>
        <w:t xml:space="preserve"> those institutionally bent on reducing their </w:t>
      </w:r>
      <w:r w:rsidR="00A60647" w:rsidRPr="00B82F5E">
        <w:rPr>
          <w:rFonts w:ascii="Times New Roman" w:hAnsi="Times New Roman" w:cs="Times New Roman"/>
        </w:rPr>
        <w:t>corporate</w:t>
      </w:r>
      <w:r w:rsidR="005250E6" w:rsidRPr="00B82F5E">
        <w:rPr>
          <w:rFonts w:ascii="Times New Roman" w:hAnsi="Times New Roman" w:cs="Times New Roman"/>
        </w:rPr>
        <w:t xml:space="preserve"> </w:t>
      </w:r>
      <w:r w:rsidRPr="00B82F5E">
        <w:rPr>
          <w:rFonts w:ascii="Times New Roman" w:hAnsi="Times New Roman" w:cs="Times New Roman"/>
        </w:rPr>
        <w:t xml:space="preserve">tax burdens, for example. </w:t>
      </w:r>
    </w:p>
    <w:p w14:paraId="44FD328F" w14:textId="49F17A04" w:rsidR="00B82F5E" w:rsidRPr="007E3C87" w:rsidRDefault="00000000" w:rsidP="00123C13">
      <w:pPr>
        <w:spacing w:after="120"/>
        <w:jc w:val="both"/>
        <w:rPr>
          <w:rFonts w:ascii="Times New Roman" w:hAnsi="Times New Roman" w:cs="Times New Roman"/>
          <w:lang w:val="en-US"/>
        </w:rPr>
      </w:pPr>
      <w:r>
        <w:rPr>
          <w:rFonts w:ascii="Times New Roman" w:hAnsi="Times New Roman" w:cs="Times New Roman"/>
          <w:lang w:val="en-US"/>
        </w:rPr>
        <w:t xml:space="preserve">In </w:t>
      </w:r>
      <w:r w:rsidRPr="007E3C87">
        <w:rPr>
          <w:rFonts w:ascii="Times New Roman" w:hAnsi="Times New Roman" w:cs="Times New Roman"/>
          <w:i/>
          <w:iCs/>
          <w:lang w:val="en-US"/>
        </w:rPr>
        <w:t>SC</w:t>
      </w:r>
      <w:r>
        <w:rPr>
          <w:rFonts w:ascii="Times New Roman" w:hAnsi="Times New Roman" w:cs="Times New Roman"/>
          <w:lang w:val="en-US"/>
        </w:rPr>
        <w:t>, t</w:t>
      </w:r>
      <w:r w:rsidRPr="007E3C87">
        <w:rPr>
          <w:rFonts w:ascii="Times New Roman" w:hAnsi="Times New Roman" w:cs="Times New Roman"/>
          <w:lang w:val="en-US"/>
        </w:rPr>
        <w:t>he</w:t>
      </w:r>
      <w:r>
        <w:rPr>
          <w:rFonts w:ascii="Times New Roman" w:hAnsi="Times New Roman" w:cs="Times New Roman"/>
          <w:lang w:val="en-US"/>
        </w:rPr>
        <w:t xml:space="preserve"> apparent judicial distrust of increasing uses of discrimination or human rights law in social security claims, perhaps fails to take account of the effects of </w:t>
      </w:r>
      <w:r w:rsidRPr="00C771E8">
        <w:rPr>
          <w:rFonts w:ascii="Times New Roman" w:hAnsi="Times New Roman" w:cs="Times New Roman"/>
          <w:lang w:val="en-US"/>
        </w:rPr>
        <w:t>the Legal Aid, Sentencing and Punishment of Offenders Act 2012</w:t>
      </w:r>
      <w:r>
        <w:rPr>
          <w:rFonts w:ascii="Times New Roman" w:hAnsi="Times New Roman" w:cs="Times New Roman"/>
          <w:lang w:val="en-US"/>
        </w:rPr>
        <w:t>. As a result of LASPO,</w:t>
      </w:r>
      <w:r w:rsidRPr="00C771E8">
        <w:rPr>
          <w:rFonts w:ascii="Times New Roman" w:hAnsi="Times New Roman" w:cs="Times New Roman"/>
          <w:lang w:val="en-US"/>
        </w:rPr>
        <w:t xml:space="preserve"> human rights law is often the only tenable ‘way in’ to court for social security claimants. It took almost all welfare benefit matters out of scope of legal aid,</w:t>
      </w:r>
      <w:r>
        <w:rPr>
          <w:rFonts w:ascii="Times New Roman" w:hAnsi="Times New Roman" w:cs="Times New Roman"/>
          <w:vertAlign w:val="superscript"/>
          <w:lang w:val="en-US"/>
        </w:rPr>
        <w:footnoteReference w:id="123"/>
      </w:r>
      <w:r w:rsidRPr="00C771E8">
        <w:rPr>
          <w:rFonts w:ascii="Times New Roman" w:hAnsi="Times New Roman" w:cs="Times New Roman"/>
          <w:lang w:val="en-US"/>
        </w:rPr>
        <w:t xml:space="preserve"> and led to a plummet in ‘matter starts’ (new legal aid cases) for welfare benefit cases</w:t>
      </w:r>
      <w:r w:rsidR="00911AC8">
        <w:rPr>
          <w:rFonts w:ascii="Times New Roman" w:hAnsi="Times New Roman" w:cs="Times New Roman"/>
          <w:lang w:val="en-US"/>
        </w:rPr>
        <w:t>,</w:t>
      </w:r>
      <w:r>
        <w:rPr>
          <w:rFonts w:ascii="Times New Roman" w:hAnsi="Times New Roman" w:cs="Times New Roman"/>
          <w:vertAlign w:val="superscript"/>
          <w:lang w:val="en-US"/>
        </w:rPr>
        <w:footnoteReference w:id="124"/>
      </w:r>
      <w:r w:rsidR="00911AC8">
        <w:rPr>
          <w:rFonts w:ascii="Times New Roman" w:hAnsi="Times New Roman" w:cs="Times New Roman"/>
          <w:lang w:val="en-US"/>
        </w:rPr>
        <w:t xml:space="preserve"> making it harder to appeal beyond the First and Upper Tribunal. </w:t>
      </w:r>
      <w:r w:rsidRPr="00C771E8">
        <w:rPr>
          <w:rFonts w:ascii="Times New Roman" w:hAnsi="Times New Roman" w:cs="Times New Roman"/>
          <w:lang w:val="en-US"/>
        </w:rPr>
        <w:t xml:space="preserve"> </w:t>
      </w:r>
      <w:r>
        <w:rPr>
          <w:rFonts w:ascii="Times New Roman" w:hAnsi="Times New Roman" w:cs="Times New Roman"/>
          <w:lang w:val="en-US"/>
        </w:rPr>
        <w:t>Social security has thus been systematically ‘</w:t>
      </w:r>
      <w:proofErr w:type="spellStart"/>
      <w:r>
        <w:rPr>
          <w:rFonts w:ascii="Times New Roman" w:hAnsi="Times New Roman" w:cs="Times New Roman"/>
          <w:lang w:val="en-US"/>
        </w:rPr>
        <w:t>alegalised</w:t>
      </w:r>
      <w:proofErr w:type="spellEnd"/>
      <w:r>
        <w:rPr>
          <w:rFonts w:ascii="Times New Roman" w:hAnsi="Times New Roman" w:cs="Times New Roman"/>
          <w:lang w:val="en-US"/>
        </w:rPr>
        <w:t xml:space="preserve">’, and claimants have had </w:t>
      </w:r>
      <w:r w:rsidR="00911AC8">
        <w:rPr>
          <w:rFonts w:ascii="Times New Roman" w:hAnsi="Times New Roman" w:cs="Times New Roman"/>
          <w:lang w:val="en-US"/>
        </w:rPr>
        <w:t xml:space="preserve">judicial </w:t>
      </w:r>
      <w:r>
        <w:rPr>
          <w:rFonts w:ascii="Times New Roman" w:hAnsi="Times New Roman" w:cs="Times New Roman"/>
          <w:lang w:val="en-US"/>
        </w:rPr>
        <w:t xml:space="preserve">doors slammed in their faces. </w:t>
      </w:r>
      <w:r w:rsidR="000E28DF">
        <w:rPr>
          <w:rFonts w:ascii="Times New Roman" w:hAnsi="Times New Roman" w:cs="Times New Roman"/>
        </w:rPr>
        <w:t>I</w:t>
      </w:r>
      <w:r w:rsidRPr="00B82F5E">
        <w:rPr>
          <w:rFonts w:ascii="Times New Roman" w:hAnsi="Times New Roman" w:cs="Times New Roman"/>
        </w:rPr>
        <w:t xml:space="preserve">njecting some social security experience into the senior judiciary would help to reassert a </w:t>
      </w:r>
      <w:r w:rsidRPr="00922431">
        <w:rPr>
          <w:rFonts w:ascii="Times New Roman" w:hAnsi="Times New Roman" w:cs="Times New Roman"/>
          <w:i/>
          <w:iCs/>
        </w:rPr>
        <w:t>law-based</w:t>
      </w:r>
      <w:r w:rsidRPr="00B82F5E">
        <w:rPr>
          <w:rFonts w:ascii="Times New Roman" w:hAnsi="Times New Roman" w:cs="Times New Roman"/>
        </w:rPr>
        <w:t xml:space="preserve"> approach to social securit</w:t>
      </w:r>
      <w:r w:rsidR="00922431">
        <w:rPr>
          <w:rFonts w:ascii="Times New Roman" w:hAnsi="Times New Roman" w:cs="Times New Roman"/>
        </w:rPr>
        <w:t>y</w:t>
      </w:r>
      <w:r w:rsidR="00D37B25">
        <w:rPr>
          <w:rFonts w:ascii="Times New Roman" w:hAnsi="Times New Roman" w:cs="Times New Roman"/>
        </w:rPr>
        <w:t>, so we can reinstate</w:t>
      </w:r>
      <w:r w:rsidR="007C7DDF">
        <w:rPr>
          <w:rFonts w:ascii="Times New Roman" w:hAnsi="Times New Roman" w:cs="Times New Roman"/>
        </w:rPr>
        <w:t xml:space="preserve"> the idea of rights, </w:t>
      </w:r>
      <w:r w:rsidR="00780F65">
        <w:rPr>
          <w:rFonts w:ascii="Times New Roman" w:hAnsi="Times New Roman" w:cs="Times New Roman"/>
        </w:rPr>
        <w:t xml:space="preserve">as opposed to statutory beneficence or charity, </w:t>
      </w:r>
      <w:r w:rsidR="00D37B25">
        <w:rPr>
          <w:rFonts w:ascii="Times New Roman" w:hAnsi="Times New Roman" w:cs="Times New Roman"/>
        </w:rPr>
        <w:t>shifting</w:t>
      </w:r>
      <w:r w:rsidR="007C7DDF">
        <w:rPr>
          <w:rFonts w:ascii="Times New Roman" w:hAnsi="Times New Roman" w:cs="Times New Roman"/>
        </w:rPr>
        <w:t xml:space="preserve"> the </w:t>
      </w:r>
      <w:r w:rsidR="007C7DDF" w:rsidRPr="007C7DDF">
        <w:rPr>
          <w:rFonts w:ascii="Times New Roman" w:hAnsi="Times New Roman" w:cs="Times New Roman"/>
        </w:rPr>
        <w:t xml:space="preserve">debate from </w:t>
      </w:r>
      <w:r w:rsidR="00402E7F">
        <w:rPr>
          <w:rFonts w:ascii="Times New Roman" w:hAnsi="Times New Roman" w:cs="Times New Roman"/>
        </w:rPr>
        <w:t>ideas of “personal failures of the poor”</w:t>
      </w:r>
      <w:r>
        <w:rPr>
          <w:rStyle w:val="FootnoteReference"/>
          <w:rFonts w:ascii="Times New Roman" w:hAnsi="Times New Roman" w:cs="Times New Roman"/>
        </w:rPr>
        <w:footnoteReference w:id="125"/>
      </w:r>
      <w:r w:rsidR="00402E7F">
        <w:rPr>
          <w:rFonts w:ascii="Times New Roman" w:hAnsi="Times New Roman" w:cs="Times New Roman"/>
        </w:rPr>
        <w:t xml:space="preserve"> to structural, societal failures to address poverty.</w:t>
      </w:r>
      <w:r>
        <w:rPr>
          <w:rStyle w:val="FootnoteReference"/>
          <w:rFonts w:ascii="Times New Roman" w:hAnsi="Times New Roman" w:cs="Times New Roman"/>
        </w:rPr>
        <w:footnoteReference w:id="126"/>
      </w:r>
      <w:r w:rsidR="000E28DF" w:rsidRPr="000E28DF">
        <w:rPr>
          <w:rFonts w:ascii="Times New Roman" w:hAnsi="Times New Roman" w:cs="Times New Roman"/>
        </w:rPr>
        <w:t xml:space="preserve"> </w:t>
      </w:r>
      <w:r w:rsidR="000E28DF">
        <w:rPr>
          <w:rFonts w:ascii="Times New Roman" w:hAnsi="Times New Roman" w:cs="Times New Roman"/>
        </w:rPr>
        <w:t>N</w:t>
      </w:r>
      <w:r w:rsidR="00780F65">
        <w:rPr>
          <w:rFonts w:ascii="Times New Roman" w:hAnsi="Times New Roman" w:cs="Times New Roman"/>
        </w:rPr>
        <w:t>umerous studies have argued for greater incorporation of claimant voices into system design</w:t>
      </w:r>
      <w:r w:rsidR="005250BA">
        <w:rPr>
          <w:rFonts w:ascii="Times New Roman" w:hAnsi="Times New Roman" w:cs="Times New Roman"/>
        </w:rPr>
        <w:t>.</w:t>
      </w:r>
      <w:r w:rsidR="00780F65">
        <w:rPr>
          <w:rFonts w:ascii="Times New Roman" w:hAnsi="Times New Roman" w:cs="Times New Roman"/>
        </w:rPr>
        <w:t xml:space="preserve"> Patrick and Simpson </w:t>
      </w:r>
      <w:r w:rsidR="005250BA">
        <w:rPr>
          <w:rFonts w:ascii="Times New Roman" w:hAnsi="Times New Roman" w:cs="Times New Roman"/>
        </w:rPr>
        <w:t>note</w:t>
      </w:r>
      <w:r w:rsidR="001A302B">
        <w:rPr>
          <w:rFonts w:ascii="Times New Roman" w:hAnsi="Times New Roman" w:cs="Times New Roman"/>
        </w:rPr>
        <w:t xml:space="preserve"> the importance of</w:t>
      </w:r>
      <w:r w:rsidR="005250BA">
        <w:rPr>
          <w:rFonts w:ascii="Times New Roman" w:hAnsi="Times New Roman" w:cs="Times New Roman"/>
        </w:rPr>
        <w:t xml:space="preserve"> </w:t>
      </w:r>
      <w:r w:rsidR="001A302B">
        <w:rPr>
          <w:rFonts w:ascii="Times New Roman" w:hAnsi="Times New Roman" w:cs="Times New Roman"/>
        </w:rPr>
        <w:t>claima</w:t>
      </w:r>
      <w:r w:rsidR="00780F65" w:rsidRPr="00780F65">
        <w:rPr>
          <w:rFonts w:ascii="Times New Roman" w:hAnsi="Times New Roman" w:cs="Times New Roman"/>
        </w:rPr>
        <w:t>nt</w:t>
      </w:r>
      <w:r w:rsidR="001A302B">
        <w:rPr>
          <w:rFonts w:ascii="Times New Roman" w:hAnsi="Times New Roman" w:cs="Times New Roman"/>
        </w:rPr>
        <w:t xml:space="preserve"> experiences of </w:t>
      </w:r>
      <w:r w:rsidR="001A302B" w:rsidRPr="001A302B">
        <w:rPr>
          <w:rFonts w:ascii="Times New Roman" w:hAnsi="Times New Roman" w:cs="Times New Roman"/>
          <w:i/>
          <w:iCs/>
        </w:rPr>
        <w:t>indignity</w:t>
      </w:r>
      <w:r w:rsidR="001A302B">
        <w:rPr>
          <w:rFonts w:ascii="Times New Roman" w:hAnsi="Times New Roman" w:cs="Times New Roman"/>
        </w:rPr>
        <w:t xml:space="preserve"> before developing positive commitments to dignity.</w:t>
      </w:r>
      <w:r>
        <w:rPr>
          <w:rStyle w:val="FootnoteReference"/>
          <w:rFonts w:ascii="Times New Roman" w:hAnsi="Times New Roman" w:cs="Times New Roman"/>
        </w:rPr>
        <w:footnoteReference w:id="127"/>
      </w:r>
      <w:r w:rsidR="001A302B">
        <w:rPr>
          <w:rFonts w:ascii="Times New Roman" w:hAnsi="Times New Roman" w:cs="Times New Roman"/>
        </w:rPr>
        <w:t xml:space="preserve"> </w:t>
      </w:r>
      <w:r w:rsidR="009C5DA8">
        <w:rPr>
          <w:rFonts w:ascii="Times New Roman" w:hAnsi="Times New Roman" w:cs="Times New Roman"/>
        </w:rPr>
        <w:t>Just as claimant perspectives are important to system design, so are they important to challenges to and assessments of the system</w:t>
      </w:r>
      <w:r w:rsidR="00886BE5">
        <w:rPr>
          <w:rFonts w:ascii="Times New Roman" w:hAnsi="Times New Roman" w:cs="Times New Roman"/>
        </w:rPr>
        <w:t xml:space="preserve">. </w:t>
      </w:r>
    </w:p>
    <w:p w14:paraId="711923FF" w14:textId="77777777" w:rsidR="00B82F5E" w:rsidRPr="00B82F5E" w:rsidRDefault="00B82F5E" w:rsidP="00123C13">
      <w:pPr>
        <w:spacing w:after="120"/>
        <w:jc w:val="both"/>
        <w:rPr>
          <w:rFonts w:ascii="Times New Roman" w:hAnsi="Times New Roman" w:cs="Times New Roman"/>
        </w:rPr>
      </w:pPr>
    </w:p>
    <w:p w14:paraId="735B37D3" w14:textId="34B69E16" w:rsidR="00F637A1" w:rsidRPr="00123C13" w:rsidRDefault="00000000" w:rsidP="00123C13">
      <w:pPr>
        <w:spacing w:after="120"/>
        <w:jc w:val="both"/>
        <w:rPr>
          <w:rFonts w:ascii="Times New Roman" w:hAnsi="Times New Roman" w:cs="Times New Roman"/>
          <w:u w:val="single"/>
        </w:rPr>
      </w:pPr>
      <w:r w:rsidRPr="00886BE5">
        <w:rPr>
          <w:rFonts w:ascii="Times New Roman" w:hAnsi="Times New Roman" w:cs="Times New Roman"/>
          <w:u w:val="single"/>
        </w:rPr>
        <w:t>Conclusion</w:t>
      </w:r>
    </w:p>
    <w:p w14:paraId="20151E97" w14:textId="596F94E6" w:rsidR="005E2029" w:rsidRPr="00E84859" w:rsidRDefault="00000000" w:rsidP="00123C13">
      <w:pPr>
        <w:spacing w:after="120"/>
        <w:jc w:val="both"/>
        <w:rPr>
          <w:rFonts w:ascii="Times New Roman" w:hAnsi="Times New Roman" w:cs="Times New Roman"/>
        </w:rPr>
      </w:pPr>
      <w:r>
        <w:rPr>
          <w:rFonts w:ascii="Times New Roman" w:hAnsi="Times New Roman" w:cs="Times New Roman"/>
        </w:rPr>
        <w:t>The engraving of bright lines between the legal and the political is not a politically neutral act</w:t>
      </w:r>
      <w:r w:rsidR="00390E39">
        <w:rPr>
          <w:rFonts w:ascii="Times New Roman" w:hAnsi="Times New Roman" w:cs="Times New Roman"/>
        </w:rPr>
        <w:t>;</w:t>
      </w:r>
      <w:r>
        <w:rPr>
          <w:rFonts w:ascii="Times New Roman" w:hAnsi="Times New Roman" w:cs="Times New Roman"/>
        </w:rPr>
        <w:t xml:space="preserve"> it reflects a </w:t>
      </w:r>
      <w:r w:rsidR="00D13A75">
        <w:rPr>
          <w:rFonts w:ascii="Times New Roman" w:hAnsi="Times New Roman" w:cs="Times New Roman"/>
        </w:rPr>
        <w:t>particular perspective</w:t>
      </w:r>
      <w:r w:rsidR="001E413C">
        <w:rPr>
          <w:rFonts w:ascii="Times New Roman" w:hAnsi="Times New Roman" w:cs="Times New Roman"/>
        </w:rPr>
        <w:t>, and entrenches a privilege-facing approach to law</w:t>
      </w:r>
      <w:r w:rsidR="00D13A75">
        <w:rPr>
          <w:rFonts w:ascii="Times New Roman" w:hAnsi="Times New Roman" w:cs="Times New Roman"/>
        </w:rPr>
        <w:t xml:space="preserve">. </w:t>
      </w:r>
      <w:r w:rsidR="00390E39">
        <w:rPr>
          <w:rFonts w:ascii="Times New Roman" w:hAnsi="Times New Roman" w:cs="Times New Roman"/>
        </w:rPr>
        <w:t xml:space="preserve">It </w:t>
      </w:r>
      <w:r w:rsidR="001E413C">
        <w:rPr>
          <w:rFonts w:ascii="Times New Roman" w:hAnsi="Times New Roman" w:cs="Times New Roman"/>
        </w:rPr>
        <w:t xml:space="preserve">would be a fiction to claim that judges’ ideas about the law are unaffected by how they </w:t>
      </w:r>
      <w:r w:rsidR="003276E4">
        <w:rPr>
          <w:rFonts w:ascii="Times New Roman" w:hAnsi="Times New Roman" w:cs="Times New Roman"/>
        </w:rPr>
        <w:t>were</w:t>
      </w:r>
      <w:r w:rsidR="001E413C">
        <w:rPr>
          <w:rFonts w:ascii="Times New Roman" w:hAnsi="Times New Roman" w:cs="Times New Roman"/>
        </w:rPr>
        <w:t xml:space="preserve"> taught</w:t>
      </w:r>
      <w:r w:rsidR="003276E4">
        <w:rPr>
          <w:rFonts w:ascii="Times New Roman" w:hAnsi="Times New Roman" w:cs="Times New Roman"/>
        </w:rPr>
        <w:t xml:space="preserve"> law</w:t>
      </w:r>
      <w:r w:rsidR="001E413C">
        <w:rPr>
          <w:rFonts w:ascii="Times New Roman" w:hAnsi="Times New Roman" w:cs="Times New Roman"/>
        </w:rPr>
        <w:t>, how they have trained, and how they have practised within the law.</w:t>
      </w:r>
      <w:r w:rsidR="003276E4">
        <w:rPr>
          <w:rFonts w:ascii="Times New Roman" w:hAnsi="Times New Roman" w:cs="Times New Roman"/>
        </w:rPr>
        <w:t xml:space="preserve"> </w:t>
      </w:r>
      <w:r>
        <w:rPr>
          <w:rFonts w:ascii="Times New Roman" w:hAnsi="Times New Roman" w:cs="Times New Roman"/>
        </w:rPr>
        <w:t xml:space="preserve">How they have interacted with the law obviously shapes what they understand it to be. And their lack of interaction with social security law </w:t>
      </w:r>
      <w:r w:rsidR="0086583A">
        <w:rPr>
          <w:rFonts w:ascii="Times New Roman" w:hAnsi="Times New Roman" w:cs="Times New Roman"/>
        </w:rPr>
        <w:t xml:space="preserve">likely </w:t>
      </w:r>
      <w:r>
        <w:rPr>
          <w:rFonts w:ascii="Times New Roman" w:hAnsi="Times New Roman" w:cs="Times New Roman"/>
        </w:rPr>
        <w:t xml:space="preserve">informs the position that it is not really law at all. </w:t>
      </w:r>
    </w:p>
    <w:p w14:paraId="1C08A486" w14:textId="6BE9AF0F" w:rsidR="00BE182B" w:rsidRPr="00123C13" w:rsidRDefault="00000000" w:rsidP="00123C13">
      <w:pPr>
        <w:spacing w:after="120"/>
        <w:jc w:val="both"/>
        <w:rPr>
          <w:rFonts w:ascii="Times New Roman" w:hAnsi="Times New Roman" w:cs="Times New Roman"/>
          <w:i/>
          <w:iCs/>
        </w:rPr>
      </w:pPr>
      <w:r>
        <w:rPr>
          <w:rFonts w:ascii="Times New Roman" w:hAnsi="Times New Roman" w:cs="Times New Roman"/>
        </w:rPr>
        <w:t xml:space="preserve">Faced with arguments invoking discrimination law in a social security law context, the </w:t>
      </w:r>
      <w:r w:rsidR="0009519E">
        <w:rPr>
          <w:rFonts w:ascii="Times New Roman" w:hAnsi="Times New Roman" w:cs="Times New Roman"/>
        </w:rPr>
        <w:t>court</w:t>
      </w:r>
      <w:r>
        <w:rPr>
          <w:rFonts w:ascii="Times New Roman" w:hAnsi="Times New Roman" w:cs="Times New Roman"/>
        </w:rPr>
        <w:t xml:space="preserve"> had to perform some logical contortions in order to define the whole issue as a matter of politics, for </w:t>
      </w:r>
      <w:r w:rsidR="00F71A9F">
        <w:rPr>
          <w:rFonts w:ascii="Times New Roman" w:hAnsi="Times New Roman" w:cs="Times New Roman"/>
        </w:rPr>
        <w:t>P</w:t>
      </w:r>
      <w:r>
        <w:rPr>
          <w:rFonts w:ascii="Times New Roman" w:hAnsi="Times New Roman" w:cs="Times New Roman"/>
        </w:rPr>
        <w:t xml:space="preserve">arliament. </w:t>
      </w:r>
      <w:r w:rsidR="00F054E6">
        <w:rPr>
          <w:rFonts w:ascii="Times New Roman" w:hAnsi="Times New Roman" w:cs="Times New Roman"/>
        </w:rPr>
        <w:t xml:space="preserve">This included recasting robust evidence of disproportionate impact as an “explanation” of “inevitable” discrimination. </w:t>
      </w:r>
      <w:r w:rsidR="00CD099A">
        <w:rPr>
          <w:rFonts w:ascii="Times New Roman" w:hAnsi="Times New Roman" w:cs="Times New Roman"/>
        </w:rPr>
        <w:t xml:space="preserve">The particular risks posed to women and children when </w:t>
      </w:r>
      <w:r w:rsidR="00647368">
        <w:rPr>
          <w:rFonts w:ascii="Times New Roman" w:hAnsi="Times New Roman" w:cs="Times New Roman"/>
        </w:rPr>
        <w:t xml:space="preserve">scything off sections of the welfare state should give cause for legal concern, not be a justification in itself for hacking away. </w:t>
      </w:r>
      <w:r w:rsidR="001E361F">
        <w:rPr>
          <w:rFonts w:ascii="Times New Roman" w:hAnsi="Times New Roman" w:cs="Times New Roman"/>
        </w:rPr>
        <w:t xml:space="preserve">When it came to justifying discrimination against children in families with more than two children, </w:t>
      </w:r>
      <w:r w:rsidR="001D6344">
        <w:rPr>
          <w:rFonts w:ascii="Times New Roman" w:hAnsi="Times New Roman" w:cs="Times New Roman"/>
        </w:rPr>
        <w:t xml:space="preserve">the court adopted and reiterated the Secretary of State’s claimed ‘legitimate aims’ without going behind the assumption of welfare </w:t>
      </w:r>
      <w:r w:rsidR="001D6344">
        <w:rPr>
          <w:rFonts w:ascii="Times New Roman" w:hAnsi="Times New Roman" w:cs="Times New Roman"/>
        </w:rPr>
        <w:lastRenderedPageBreak/>
        <w:t>decadence that underlies the government’s claims</w:t>
      </w:r>
      <w:r w:rsidR="00D82259">
        <w:rPr>
          <w:rFonts w:ascii="Times New Roman" w:hAnsi="Times New Roman" w:cs="Times New Roman"/>
        </w:rPr>
        <w:t xml:space="preserve"> about making people on social security benefits ‘face the same choices’ as those too wealthy to be eligible for benefits. </w:t>
      </w:r>
      <w:r w:rsidR="00CC2A56">
        <w:rPr>
          <w:rFonts w:ascii="Times New Roman" w:hAnsi="Times New Roman" w:cs="Times New Roman"/>
        </w:rPr>
        <w:t>By</w:t>
      </w:r>
      <w:r w:rsidR="00D82259">
        <w:rPr>
          <w:rFonts w:ascii="Times New Roman" w:hAnsi="Times New Roman" w:cs="Times New Roman"/>
        </w:rPr>
        <w:t xml:space="preserve"> us</w:t>
      </w:r>
      <w:r w:rsidR="00CC2A56">
        <w:rPr>
          <w:rFonts w:ascii="Times New Roman" w:hAnsi="Times New Roman" w:cs="Times New Roman"/>
        </w:rPr>
        <w:t>ing</w:t>
      </w:r>
      <w:r w:rsidR="00D82259">
        <w:rPr>
          <w:rFonts w:ascii="Times New Roman" w:hAnsi="Times New Roman" w:cs="Times New Roman"/>
        </w:rPr>
        <w:t xml:space="preserve"> the</w:t>
      </w:r>
      <w:r w:rsidR="00CC2A56">
        <w:rPr>
          <w:rFonts w:ascii="Times New Roman" w:hAnsi="Times New Roman" w:cs="Times New Roman"/>
        </w:rPr>
        <w:t xml:space="preserve"> </w:t>
      </w:r>
      <w:r w:rsidR="00D82259">
        <w:rPr>
          <w:rFonts w:ascii="Times New Roman" w:hAnsi="Times New Roman" w:cs="Times New Roman"/>
        </w:rPr>
        <w:t xml:space="preserve">phrase </w:t>
      </w:r>
      <w:r w:rsidR="00D82259" w:rsidRPr="00D82259">
        <w:rPr>
          <w:rFonts w:ascii="Times New Roman" w:hAnsi="Times New Roman" w:cs="Times New Roman"/>
        </w:rPr>
        <w:t>“without limit” four times when referring to social security recipients having children</w:t>
      </w:r>
      <w:r w:rsidR="00CC2A56">
        <w:rPr>
          <w:rFonts w:ascii="Times New Roman" w:hAnsi="Times New Roman" w:cs="Times New Roman"/>
        </w:rPr>
        <w:t xml:space="preserve">, the </w:t>
      </w:r>
      <w:r w:rsidR="0009519E">
        <w:rPr>
          <w:rFonts w:ascii="Times New Roman" w:hAnsi="Times New Roman" w:cs="Times New Roman"/>
        </w:rPr>
        <w:t>court</w:t>
      </w:r>
      <w:r w:rsidR="00CC2A56">
        <w:rPr>
          <w:rFonts w:ascii="Times New Roman" w:hAnsi="Times New Roman" w:cs="Times New Roman"/>
        </w:rPr>
        <w:t xml:space="preserve"> othered those families. </w:t>
      </w:r>
      <w:r w:rsidR="00756D46">
        <w:rPr>
          <w:rFonts w:ascii="Times New Roman" w:hAnsi="Times New Roman" w:cs="Times New Roman"/>
        </w:rPr>
        <w:t>I</w:t>
      </w:r>
      <w:r w:rsidR="00CC2A56">
        <w:rPr>
          <w:rFonts w:ascii="Times New Roman" w:hAnsi="Times New Roman" w:cs="Times New Roman"/>
        </w:rPr>
        <w:t xml:space="preserve">n delegating </w:t>
      </w:r>
      <w:r w:rsidR="00BA019B">
        <w:rPr>
          <w:rFonts w:ascii="Times New Roman" w:hAnsi="Times New Roman" w:cs="Times New Roman"/>
        </w:rPr>
        <w:t xml:space="preserve">the proportionality aspect </w:t>
      </w:r>
      <w:r w:rsidR="00BA019B" w:rsidRPr="00CC2A56">
        <w:rPr>
          <w:rFonts w:ascii="Times New Roman" w:hAnsi="Times New Roman" w:cs="Times New Roman"/>
        </w:rPr>
        <w:t>of judicial review</w:t>
      </w:r>
      <w:r w:rsidR="001D6344" w:rsidRPr="00CC2A56">
        <w:rPr>
          <w:rFonts w:ascii="Times New Roman" w:hAnsi="Times New Roman" w:cs="Times New Roman"/>
        </w:rPr>
        <w:t xml:space="preserve"> </w:t>
      </w:r>
      <w:r w:rsidR="00BA019B">
        <w:rPr>
          <w:rFonts w:ascii="Times New Roman" w:hAnsi="Times New Roman" w:cs="Times New Roman"/>
        </w:rPr>
        <w:t xml:space="preserve">to Parliament, </w:t>
      </w:r>
      <w:r w:rsidR="00CC2A56">
        <w:rPr>
          <w:rFonts w:ascii="Times New Roman" w:hAnsi="Times New Roman" w:cs="Times New Roman"/>
        </w:rPr>
        <w:t>it treated</w:t>
      </w:r>
      <w:r w:rsidR="00BA019B">
        <w:rPr>
          <w:rFonts w:ascii="Times New Roman" w:hAnsi="Times New Roman" w:cs="Times New Roman"/>
        </w:rPr>
        <w:t xml:space="preserve"> </w:t>
      </w:r>
      <w:r w:rsidR="002709BA">
        <w:rPr>
          <w:rFonts w:ascii="Times New Roman" w:hAnsi="Times New Roman" w:cs="Times New Roman"/>
        </w:rPr>
        <w:t>social security as a matter for the parliamentary rabble, and not an issue on which claimants are entitled to the “t</w:t>
      </w:r>
      <w:r w:rsidR="002709BA" w:rsidRPr="002709BA">
        <w:rPr>
          <w:rFonts w:ascii="Times New Roman" w:hAnsi="Times New Roman" w:cs="Times New Roman"/>
        </w:rPr>
        <w:t>ransparent and rational analysis</w:t>
      </w:r>
      <w:r w:rsidR="002709BA">
        <w:rPr>
          <w:rFonts w:ascii="Times New Roman" w:hAnsi="Times New Roman" w:cs="Times New Roman"/>
        </w:rPr>
        <w:t>” that other claimants can expect of the courts on truly legal matters</w:t>
      </w:r>
      <w:r w:rsidR="00756D46">
        <w:rPr>
          <w:rFonts w:ascii="Times New Roman" w:hAnsi="Times New Roman" w:cs="Times New Roman"/>
        </w:rPr>
        <w:t xml:space="preserve">. And in emphasising the importance of deferring to the democratic imperative it </w:t>
      </w:r>
      <w:r w:rsidR="00906B52">
        <w:rPr>
          <w:rFonts w:ascii="Times New Roman" w:hAnsi="Times New Roman" w:cs="Times New Roman"/>
        </w:rPr>
        <w:t xml:space="preserve">ignored the fact that </w:t>
      </w:r>
      <w:r w:rsidR="005D79D9">
        <w:rPr>
          <w:rFonts w:ascii="Times New Roman" w:hAnsi="Times New Roman" w:cs="Times New Roman"/>
        </w:rPr>
        <w:t xml:space="preserve">those most harmed have no democratic voice. </w:t>
      </w:r>
      <w:r w:rsidR="00906B52">
        <w:rPr>
          <w:rFonts w:ascii="Times New Roman" w:hAnsi="Times New Roman" w:cs="Times New Roman"/>
        </w:rPr>
        <w:t xml:space="preserve">In contrast, there was no consideration of judicial deference in </w:t>
      </w:r>
      <w:r w:rsidR="00906B52">
        <w:rPr>
          <w:rFonts w:ascii="Times New Roman" w:hAnsi="Times New Roman" w:cs="Times New Roman"/>
          <w:i/>
          <w:iCs/>
        </w:rPr>
        <w:t>UNISON</w:t>
      </w:r>
      <w:r w:rsidR="00906B52">
        <w:rPr>
          <w:rFonts w:ascii="Times New Roman" w:hAnsi="Times New Roman" w:cs="Times New Roman"/>
        </w:rPr>
        <w:t>, where</w:t>
      </w:r>
      <w:r w:rsidR="00E24C8C">
        <w:rPr>
          <w:rFonts w:ascii="Times New Roman" w:hAnsi="Times New Roman" w:cs="Times New Roman"/>
        </w:rPr>
        <w:t xml:space="preserve"> the ability to realise </w:t>
      </w:r>
      <w:r w:rsidR="00FE5BED">
        <w:rPr>
          <w:rFonts w:ascii="Times New Roman" w:hAnsi="Times New Roman" w:cs="Times New Roman"/>
        </w:rPr>
        <w:t>‘true’</w:t>
      </w:r>
      <w:r w:rsidR="00E24C8C">
        <w:rPr>
          <w:rFonts w:ascii="Times New Roman" w:hAnsi="Times New Roman" w:cs="Times New Roman"/>
        </w:rPr>
        <w:t xml:space="preserve"> legal rights was found essential for a functioning democracy</w:t>
      </w:r>
      <w:r w:rsidR="00F90382">
        <w:rPr>
          <w:rFonts w:ascii="Times New Roman" w:hAnsi="Times New Roman" w:cs="Times New Roman"/>
          <w:i/>
          <w:iCs/>
        </w:rPr>
        <w:t>.</w:t>
      </w:r>
      <w:r w:rsidR="007134FF">
        <w:rPr>
          <w:rFonts w:ascii="Times New Roman" w:hAnsi="Times New Roman" w:cs="Times New Roman"/>
          <w:i/>
          <w:iCs/>
        </w:rPr>
        <w:t xml:space="preserve"> UNISON </w:t>
      </w:r>
      <w:r w:rsidR="007134FF">
        <w:rPr>
          <w:rFonts w:ascii="Times New Roman" w:hAnsi="Times New Roman" w:cs="Times New Roman"/>
        </w:rPr>
        <w:t>spoke to the judicial preference for</w:t>
      </w:r>
      <w:r w:rsidR="00A36277">
        <w:rPr>
          <w:rFonts w:ascii="Times New Roman" w:hAnsi="Times New Roman" w:cs="Times New Roman"/>
        </w:rPr>
        <w:t xml:space="preserve"> treating poverty as an important point of context when it came to access to justice, but not a focal point for rights in itself. </w:t>
      </w:r>
      <w:r w:rsidR="009F2569">
        <w:rPr>
          <w:rFonts w:ascii="Times New Roman" w:hAnsi="Times New Roman" w:cs="Times New Roman"/>
        </w:rPr>
        <w:t xml:space="preserve">The case </w:t>
      </w:r>
      <w:r w:rsidR="00FE5BED">
        <w:rPr>
          <w:rFonts w:ascii="Times New Roman" w:hAnsi="Times New Roman" w:cs="Times New Roman"/>
        </w:rPr>
        <w:t>treat</w:t>
      </w:r>
      <w:r w:rsidR="009F2569">
        <w:rPr>
          <w:rFonts w:ascii="Times New Roman" w:hAnsi="Times New Roman" w:cs="Times New Roman"/>
        </w:rPr>
        <w:t xml:space="preserve">ed access to </w:t>
      </w:r>
      <w:r w:rsidR="00B92E66">
        <w:rPr>
          <w:rFonts w:ascii="Times New Roman" w:hAnsi="Times New Roman" w:cs="Times New Roman"/>
        </w:rPr>
        <w:t xml:space="preserve">employment </w:t>
      </w:r>
      <w:r w:rsidR="009F2569">
        <w:rPr>
          <w:rFonts w:ascii="Times New Roman" w:hAnsi="Times New Roman" w:cs="Times New Roman"/>
        </w:rPr>
        <w:t xml:space="preserve">tribunals as a more </w:t>
      </w:r>
      <w:r w:rsidR="00FE5BED" w:rsidRPr="00FE5BED">
        <w:rPr>
          <w:rFonts w:ascii="Times New Roman" w:hAnsi="Times New Roman" w:cs="Times New Roman"/>
          <w:i/>
          <w:iCs/>
        </w:rPr>
        <w:t>lega</w:t>
      </w:r>
      <w:r w:rsidR="009F2569" w:rsidRPr="00FE5BED">
        <w:rPr>
          <w:rFonts w:ascii="Times New Roman" w:hAnsi="Times New Roman" w:cs="Times New Roman"/>
          <w:i/>
          <w:iCs/>
        </w:rPr>
        <w:t>l</w:t>
      </w:r>
      <w:r w:rsidR="009F2569">
        <w:rPr>
          <w:rFonts w:ascii="Times New Roman" w:hAnsi="Times New Roman" w:cs="Times New Roman"/>
        </w:rPr>
        <w:t xml:space="preserve"> right </w:t>
      </w:r>
      <w:r w:rsidR="00F04769">
        <w:rPr>
          <w:rFonts w:ascii="Times New Roman" w:hAnsi="Times New Roman" w:cs="Times New Roman"/>
        </w:rPr>
        <w:t xml:space="preserve">than access to resources, </w:t>
      </w:r>
      <w:r w:rsidR="00B92E66">
        <w:rPr>
          <w:rFonts w:ascii="Times New Roman" w:hAnsi="Times New Roman" w:cs="Times New Roman"/>
        </w:rPr>
        <w:t>or</w:t>
      </w:r>
      <w:r w:rsidR="00F04769">
        <w:rPr>
          <w:rFonts w:ascii="Times New Roman" w:hAnsi="Times New Roman" w:cs="Times New Roman"/>
        </w:rPr>
        <w:t xml:space="preserve"> ‘mere’ public services</w:t>
      </w:r>
      <w:r w:rsidR="00B92E66">
        <w:rPr>
          <w:rFonts w:ascii="Times New Roman" w:hAnsi="Times New Roman" w:cs="Times New Roman"/>
        </w:rPr>
        <w:t>.</w:t>
      </w:r>
    </w:p>
    <w:p w14:paraId="4117D811" w14:textId="7A996F11" w:rsidR="00FB5F5F" w:rsidRDefault="00000000" w:rsidP="00123C13">
      <w:pPr>
        <w:spacing w:after="120"/>
        <w:jc w:val="both"/>
        <w:rPr>
          <w:rFonts w:ascii="Times New Roman" w:hAnsi="Times New Roman" w:cs="Times New Roman"/>
        </w:rPr>
      </w:pPr>
      <w:r>
        <w:rPr>
          <w:rFonts w:ascii="Times New Roman" w:hAnsi="Times New Roman" w:cs="Times New Roman"/>
        </w:rPr>
        <w:t>The professional practi</w:t>
      </w:r>
      <w:r w:rsidR="00976DE7">
        <w:rPr>
          <w:rFonts w:ascii="Times New Roman" w:hAnsi="Times New Roman" w:cs="Times New Roman"/>
        </w:rPr>
        <w:t>c</w:t>
      </w:r>
      <w:r>
        <w:rPr>
          <w:rFonts w:ascii="Times New Roman" w:hAnsi="Times New Roman" w:cs="Times New Roman"/>
        </w:rPr>
        <w:t xml:space="preserve">e backgrounds of the Supreme Court judges, when examined through the reported cases in which they </w:t>
      </w:r>
      <w:r w:rsidR="00631990">
        <w:rPr>
          <w:rFonts w:ascii="Times New Roman" w:hAnsi="Times New Roman" w:cs="Times New Roman"/>
        </w:rPr>
        <w:t xml:space="preserve">appear to have </w:t>
      </w:r>
      <w:r>
        <w:rPr>
          <w:rFonts w:ascii="Times New Roman" w:hAnsi="Times New Roman" w:cs="Times New Roman"/>
        </w:rPr>
        <w:t xml:space="preserve">acted as representatives, reveal a yawning gap when it comes to social security law. </w:t>
      </w:r>
      <w:r w:rsidR="00631B21">
        <w:rPr>
          <w:rFonts w:ascii="Times New Roman" w:hAnsi="Times New Roman" w:cs="Times New Roman"/>
        </w:rPr>
        <w:t xml:space="preserve">None have ever acted in a reported social security case for a claimant against the government, and only one </w:t>
      </w:r>
      <w:r w:rsidR="008A50DD">
        <w:rPr>
          <w:rFonts w:ascii="Times New Roman" w:hAnsi="Times New Roman" w:cs="Times New Roman"/>
        </w:rPr>
        <w:t xml:space="preserve">– Philip Sales – has </w:t>
      </w:r>
      <w:r w:rsidR="00631B21">
        <w:rPr>
          <w:rFonts w:ascii="Times New Roman" w:hAnsi="Times New Roman" w:cs="Times New Roman"/>
        </w:rPr>
        <w:t xml:space="preserve">acted at all in reported cases on </w:t>
      </w:r>
      <w:r w:rsidR="00B92E66">
        <w:rPr>
          <w:rFonts w:ascii="Times New Roman" w:hAnsi="Times New Roman" w:cs="Times New Roman"/>
        </w:rPr>
        <w:t xml:space="preserve">state </w:t>
      </w:r>
      <w:r w:rsidR="00631B21">
        <w:rPr>
          <w:rFonts w:ascii="Times New Roman" w:hAnsi="Times New Roman" w:cs="Times New Roman"/>
        </w:rPr>
        <w:t>social security cases</w:t>
      </w:r>
      <w:r w:rsidR="00B92E66">
        <w:rPr>
          <w:rFonts w:ascii="Times New Roman" w:hAnsi="Times New Roman" w:cs="Times New Roman"/>
        </w:rPr>
        <w:t xml:space="preserve"> </w:t>
      </w:r>
      <w:r w:rsidR="008A50DD">
        <w:rPr>
          <w:rFonts w:ascii="Times New Roman" w:hAnsi="Times New Roman" w:cs="Times New Roman"/>
        </w:rPr>
        <w:t xml:space="preserve">– each time for the government. </w:t>
      </w:r>
      <w:r w:rsidR="0064462A">
        <w:rPr>
          <w:rFonts w:ascii="Times New Roman" w:hAnsi="Times New Roman" w:cs="Times New Roman"/>
        </w:rPr>
        <w:t>And the</w:t>
      </w:r>
      <w:r w:rsidR="008A50DD">
        <w:rPr>
          <w:rFonts w:ascii="Times New Roman" w:hAnsi="Times New Roman" w:cs="Times New Roman"/>
        </w:rPr>
        <w:t xml:space="preserve"> interests </w:t>
      </w:r>
      <w:r w:rsidR="0064462A">
        <w:rPr>
          <w:rFonts w:ascii="Times New Roman" w:hAnsi="Times New Roman" w:cs="Times New Roman"/>
        </w:rPr>
        <w:t>they</w:t>
      </w:r>
      <w:r w:rsidR="008A50DD">
        <w:rPr>
          <w:rFonts w:ascii="Times New Roman" w:hAnsi="Times New Roman" w:cs="Times New Roman"/>
        </w:rPr>
        <w:t xml:space="preserve"> have represented</w:t>
      </w:r>
      <w:r w:rsidR="00B92E66">
        <w:rPr>
          <w:rFonts w:ascii="Times New Roman" w:hAnsi="Times New Roman" w:cs="Times New Roman"/>
        </w:rPr>
        <w:t xml:space="preserve"> </w:t>
      </w:r>
      <w:r w:rsidR="008A50DD">
        <w:rPr>
          <w:rFonts w:ascii="Times New Roman" w:hAnsi="Times New Roman" w:cs="Times New Roman"/>
        </w:rPr>
        <w:t>will often be explicitly stacked up against</w:t>
      </w:r>
      <w:r w:rsidR="0064462A">
        <w:rPr>
          <w:rFonts w:ascii="Times New Roman" w:hAnsi="Times New Roman" w:cs="Times New Roman"/>
        </w:rPr>
        <w:t>, or more subtly at odds with,</w:t>
      </w:r>
      <w:r w:rsidR="008A50DD">
        <w:rPr>
          <w:rFonts w:ascii="Times New Roman" w:hAnsi="Times New Roman" w:cs="Times New Roman"/>
        </w:rPr>
        <w:t xml:space="preserve"> social security claimants</w:t>
      </w:r>
      <w:r w:rsidR="00A91736">
        <w:rPr>
          <w:rFonts w:ascii="Times New Roman" w:hAnsi="Times New Roman" w:cs="Times New Roman"/>
        </w:rPr>
        <w:t xml:space="preserve">, because of occupying a different </w:t>
      </w:r>
      <w:r w:rsidR="00123C13">
        <w:rPr>
          <w:rFonts w:ascii="Times New Roman" w:hAnsi="Times New Roman" w:cs="Times New Roman"/>
        </w:rPr>
        <w:t>professional</w:t>
      </w:r>
      <w:r w:rsidR="00A91736">
        <w:rPr>
          <w:rFonts w:ascii="Times New Roman" w:hAnsi="Times New Roman" w:cs="Times New Roman"/>
        </w:rPr>
        <w:t xml:space="preserve"> world. </w:t>
      </w:r>
    </w:p>
    <w:p w14:paraId="17954A25" w14:textId="4EE37A51" w:rsidR="00FB5F5F" w:rsidRPr="00255138" w:rsidRDefault="00000000" w:rsidP="00123C13">
      <w:pPr>
        <w:spacing w:after="120"/>
        <w:jc w:val="both"/>
        <w:rPr>
          <w:rFonts w:ascii="Times New Roman" w:hAnsi="Times New Roman" w:cs="Times New Roman"/>
        </w:rPr>
      </w:pPr>
      <w:r>
        <w:rPr>
          <w:rFonts w:ascii="Times New Roman" w:hAnsi="Times New Roman" w:cs="Times New Roman"/>
        </w:rPr>
        <w:t xml:space="preserve">We need more professional diversity in our senior judiciary; if we stop assigning prestige to careers on the basis of the monetary value of cases, then we might stop assigning importance to cases on the basis of the monetary value of claimants. </w:t>
      </w:r>
      <w:r w:rsidR="00423375">
        <w:rPr>
          <w:rFonts w:ascii="Times New Roman" w:hAnsi="Times New Roman" w:cs="Times New Roman"/>
        </w:rPr>
        <w:t xml:space="preserve">The clever generalist argument falls down if what we </w:t>
      </w:r>
      <w:r w:rsidR="0064462A">
        <w:rPr>
          <w:rFonts w:ascii="Times New Roman" w:hAnsi="Times New Roman" w:cs="Times New Roman"/>
        </w:rPr>
        <w:t xml:space="preserve">actually </w:t>
      </w:r>
      <w:r w:rsidR="00423375">
        <w:rPr>
          <w:rFonts w:ascii="Times New Roman" w:hAnsi="Times New Roman" w:cs="Times New Roman"/>
        </w:rPr>
        <w:t xml:space="preserve">have is </w:t>
      </w:r>
      <w:r w:rsidR="00B92E66">
        <w:rPr>
          <w:rFonts w:ascii="Times New Roman" w:hAnsi="Times New Roman" w:cs="Times New Roman"/>
        </w:rPr>
        <w:t xml:space="preserve">similar </w:t>
      </w:r>
      <w:r w:rsidR="00423375">
        <w:rPr>
          <w:rFonts w:ascii="Times New Roman" w:hAnsi="Times New Roman" w:cs="Times New Roman"/>
        </w:rPr>
        <w:t>specialis</w:t>
      </w:r>
      <w:r w:rsidR="00B92E66">
        <w:rPr>
          <w:rFonts w:ascii="Times New Roman" w:hAnsi="Times New Roman" w:cs="Times New Roman"/>
        </w:rPr>
        <w:t>t</w:t>
      </w:r>
      <w:r w:rsidR="00423375">
        <w:rPr>
          <w:rFonts w:ascii="Times New Roman" w:hAnsi="Times New Roman" w:cs="Times New Roman"/>
        </w:rPr>
        <w:t>s</w:t>
      </w:r>
      <w:r w:rsidR="00D91FD6">
        <w:rPr>
          <w:rFonts w:ascii="Times New Roman" w:hAnsi="Times New Roman" w:cs="Times New Roman"/>
        </w:rPr>
        <w:t xml:space="preserve"> with </w:t>
      </w:r>
      <w:r w:rsidR="00861D45">
        <w:rPr>
          <w:rFonts w:ascii="Times New Roman" w:hAnsi="Times New Roman" w:cs="Times New Roman"/>
        </w:rPr>
        <w:t xml:space="preserve">a universal blind spot. </w:t>
      </w:r>
      <w:r w:rsidR="00BA0748">
        <w:rPr>
          <w:rFonts w:ascii="Times New Roman" w:hAnsi="Times New Roman" w:cs="Times New Roman"/>
        </w:rPr>
        <w:t xml:space="preserve">The lack of social security law expertise </w:t>
      </w:r>
      <w:r w:rsidR="007336B7">
        <w:rPr>
          <w:rFonts w:ascii="Times New Roman" w:hAnsi="Times New Roman" w:cs="Times New Roman"/>
        </w:rPr>
        <w:t>likely informs the Supreme Court’s</w:t>
      </w:r>
      <w:r w:rsidR="00BA0748">
        <w:rPr>
          <w:rFonts w:ascii="Times New Roman" w:hAnsi="Times New Roman" w:cs="Times New Roman"/>
        </w:rPr>
        <w:t xml:space="preserve"> </w:t>
      </w:r>
      <w:r w:rsidR="00D91FD6">
        <w:rPr>
          <w:rFonts w:ascii="Times New Roman" w:hAnsi="Times New Roman" w:cs="Times New Roman"/>
        </w:rPr>
        <w:t xml:space="preserve">construction of the </w:t>
      </w:r>
      <w:r w:rsidR="00BA0748">
        <w:rPr>
          <w:rFonts w:ascii="Times New Roman" w:hAnsi="Times New Roman" w:cs="Times New Roman"/>
        </w:rPr>
        <w:t xml:space="preserve">subject as </w:t>
      </w:r>
      <w:proofErr w:type="spellStart"/>
      <w:r w:rsidR="00BA0748">
        <w:rPr>
          <w:rFonts w:ascii="Times New Roman" w:hAnsi="Times New Roman" w:cs="Times New Roman"/>
        </w:rPr>
        <w:t>alegal</w:t>
      </w:r>
      <w:proofErr w:type="spellEnd"/>
      <w:r w:rsidR="001F20B0">
        <w:rPr>
          <w:rFonts w:ascii="Times New Roman" w:hAnsi="Times New Roman" w:cs="Times New Roman"/>
        </w:rPr>
        <w:t xml:space="preserve">. </w:t>
      </w:r>
      <w:r w:rsidR="00D91FD6">
        <w:rPr>
          <w:rFonts w:ascii="Times New Roman" w:hAnsi="Times New Roman" w:cs="Times New Roman"/>
        </w:rPr>
        <w:t>One</w:t>
      </w:r>
      <w:r w:rsidR="00755DC8">
        <w:rPr>
          <w:rFonts w:ascii="Times New Roman" w:hAnsi="Times New Roman" w:cs="Times New Roman"/>
        </w:rPr>
        <w:t xml:space="preserve"> </w:t>
      </w:r>
      <w:r w:rsidR="00801937">
        <w:rPr>
          <w:rFonts w:ascii="Times New Roman" w:hAnsi="Times New Roman" w:cs="Times New Roman"/>
        </w:rPr>
        <w:t xml:space="preserve">possible </w:t>
      </w:r>
      <w:r w:rsidR="00755DC8">
        <w:rPr>
          <w:rFonts w:ascii="Times New Roman" w:hAnsi="Times New Roman" w:cs="Times New Roman"/>
        </w:rPr>
        <w:t>long</w:t>
      </w:r>
      <w:r w:rsidR="00801937">
        <w:rPr>
          <w:rFonts w:ascii="Times New Roman" w:hAnsi="Times New Roman" w:cs="Times New Roman"/>
        </w:rPr>
        <w:t>-</w:t>
      </w:r>
      <w:r w:rsidR="00755DC8">
        <w:rPr>
          <w:rFonts w:ascii="Times New Roman" w:hAnsi="Times New Roman" w:cs="Times New Roman"/>
        </w:rPr>
        <w:t xml:space="preserve">term </w:t>
      </w:r>
      <w:r w:rsidR="00D91FD6">
        <w:rPr>
          <w:rFonts w:ascii="Times New Roman" w:hAnsi="Times New Roman" w:cs="Times New Roman"/>
        </w:rPr>
        <w:t>mitigation</w:t>
      </w:r>
      <w:r w:rsidR="00755DC8">
        <w:rPr>
          <w:rFonts w:ascii="Times New Roman" w:hAnsi="Times New Roman" w:cs="Times New Roman"/>
        </w:rPr>
        <w:t xml:space="preserve"> </w:t>
      </w:r>
      <w:r w:rsidR="00801937">
        <w:rPr>
          <w:rFonts w:ascii="Times New Roman" w:hAnsi="Times New Roman" w:cs="Times New Roman"/>
        </w:rPr>
        <w:t>i</w:t>
      </w:r>
      <w:r w:rsidR="00755DC8">
        <w:rPr>
          <w:rFonts w:ascii="Times New Roman" w:hAnsi="Times New Roman" w:cs="Times New Roman"/>
        </w:rPr>
        <w:t>s introducing social security law into standard legal teaching and training</w:t>
      </w:r>
      <w:r w:rsidR="00801937">
        <w:rPr>
          <w:rFonts w:ascii="Times New Roman" w:hAnsi="Times New Roman" w:cs="Times New Roman"/>
        </w:rPr>
        <w:t xml:space="preserve">, but we cannot, and do not need to, wait </w:t>
      </w:r>
      <w:r w:rsidR="00D91FD6">
        <w:rPr>
          <w:rFonts w:ascii="Times New Roman" w:hAnsi="Times New Roman" w:cs="Times New Roman"/>
        </w:rPr>
        <w:t xml:space="preserve">the </w:t>
      </w:r>
      <w:r w:rsidR="00801937">
        <w:rPr>
          <w:rFonts w:ascii="Times New Roman" w:hAnsi="Times New Roman" w:cs="Times New Roman"/>
        </w:rPr>
        <w:t xml:space="preserve">decades that </w:t>
      </w:r>
      <w:r w:rsidR="00D91FD6">
        <w:rPr>
          <w:rFonts w:ascii="Times New Roman" w:hAnsi="Times New Roman" w:cs="Times New Roman"/>
        </w:rPr>
        <w:t xml:space="preserve">would take </w:t>
      </w:r>
      <w:r w:rsidR="00801937">
        <w:rPr>
          <w:rFonts w:ascii="Times New Roman" w:hAnsi="Times New Roman" w:cs="Times New Roman"/>
        </w:rPr>
        <w:t>to yield fruit</w:t>
      </w:r>
      <w:r w:rsidR="00D91FD6">
        <w:rPr>
          <w:rFonts w:ascii="Times New Roman" w:hAnsi="Times New Roman" w:cs="Times New Roman"/>
        </w:rPr>
        <w:t xml:space="preserve"> before making changes</w:t>
      </w:r>
      <w:r w:rsidR="00801937">
        <w:rPr>
          <w:rFonts w:ascii="Times New Roman" w:hAnsi="Times New Roman" w:cs="Times New Roman"/>
        </w:rPr>
        <w:t>.</w:t>
      </w:r>
      <w:r w:rsidR="00734A86">
        <w:rPr>
          <w:rFonts w:ascii="Times New Roman" w:hAnsi="Times New Roman" w:cs="Times New Roman"/>
        </w:rPr>
        <w:t xml:space="preserve"> </w:t>
      </w:r>
      <w:r w:rsidR="00801937" w:rsidRPr="00801937">
        <w:rPr>
          <w:rFonts w:ascii="Times New Roman" w:hAnsi="Times New Roman" w:cs="Times New Roman"/>
        </w:rPr>
        <w:t>Injecting some relevant experience</w:t>
      </w:r>
      <w:r w:rsidR="00801937">
        <w:rPr>
          <w:rFonts w:ascii="Times New Roman" w:hAnsi="Times New Roman" w:cs="Times New Roman"/>
        </w:rPr>
        <w:t xml:space="preserve"> into the bench</w:t>
      </w:r>
      <w:r w:rsidR="00801937" w:rsidRPr="00801937">
        <w:rPr>
          <w:rFonts w:ascii="Times New Roman" w:hAnsi="Times New Roman" w:cs="Times New Roman"/>
        </w:rPr>
        <w:t xml:space="preserve"> could help to reassert social security, human rights and discrimination, as matters of law meriting judicial review</w:t>
      </w:r>
      <w:r w:rsidR="00FC0157">
        <w:rPr>
          <w:rFonts w:ascii="Times New Roman" w:hAnsi="Times New Roman" w:cs="Times New Roman"/>
        </w:rPr>
        <w:t xml:space="preserve">, not </w:t>
      </w:r>
      <w:r w:rsidR="0064462A">
        <w:rPr>
          <w:rFonts w:ascii="Times New Roman" w:hAnsi="Times New Roman" w:cs="Times New Roman"/>
        </w:rPr>
        <w:t xml:space="preserve">grounds for </w:t>
      </w:r>
      <w:r w:rsidR="00801937" w:rsidRPr="00801937">
        <w:rPr>
          <w:rFonts w:ascii="Times New Roman" w:hAnsi="Times New Roman" w:cs="Times New Roman"/>
        </w:rPr>
        <w:t>parliamentary impunity</w:t>
      </w:r>
      <w:r w:rsidR="00FC0157">
        <w:rPr>
          <w:rFonts w:ascii="Times New Roman" w:hAnsi="Times New Roman" w:cs="Times New Roman"/>
        </w:rPr>
        <w:t xml:space="preserve">. </w:t>
      </w:r>
      <w:r w:rsidR="004F0C1B">
        <w:rPr>
          <w:rFonts w:ascii="Times New Roman" w:hAnsi="Times New Roman" w:cs="Times New Roman"/>
        </w:rPr>
        <w:t xml:space="preserve"> </w:t>
      </w:r>
    </w:p>
    <w:sectPr w:rsidR="00FB5F5F" w:rsidRPr="00255138" w:rsidSect="007A3345">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39B4C" w14:textId="77777777" w:rsidR="00745190" w:rsidRDefault="00745190">
      <w:r>
        <w:separator/>
      </w:r>
    </w:p>
  </w:endnote>
  <w:endnote w:type="continuationSeparator" w:id="0">
    <w:p w14:paraId="00BDAD64" w14:textId="77777777" w:rsidR="00745190" w:rsidRDefault="0074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73524602"/>
      <w:docPartObj>
        <w:docPartGallery w:val="Page Numbers (Bottom of Page)"/>
        <w:docPartUnique/>
      </w:docPartObj>
    </w:sdtPr>
    <w:sdtContent>
      <w:p w14:paraId="3486926C" w14:textId="45B5BBFE" w:rsidR="00EE4CAE" w:rsidRDefault="00000000" w:rsidP="003F62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AEA2B28" w14:textId="77777777" w:rsidR="00EE4CAE" w:rsidRDefault="00EE4CAE" w:rsidP="00EE4C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75440440"/>
      <w:docPartObj>
        <w:docPartGallery w:val="Page Numbers (Bottom of Page)"/>
        <w:docPartUnique/>
      </w:docPartObj>
    </w:sdtPr>
    <w:sdtContent>
      <w:p w14:paraId="1E4B03B9" w14:textId="4DDD07A0" w:rsidR="00EE4CAE" w:rsidRDefault="00000000" w:rsidP="003F62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3340D5" w14:textId="77777777" w:rsidR="00EE4CAE" w:rsidRDefault="00EE4CAE" w:rsidP="00EE4C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28C26" w14:textId="77777777" w:rsidR="00745190" w:rsidRDefault="00745190" w:rsidP="00C354C1">
      <w:r>
        <w:separator/>
      </w:r>
    </w:p>
  </w:footnote>
  <w:footnote w:type="continuationSeparator" w:id="0">
    <w:p w14:paraId="6E10FFEC" w14:textId="77777777" w:rsidR="00745190" w:rsidRDefault="00745190" w:rsidP="00C354C1">
      <w:r>
        <w:continuationSeparator/>
      </w:r>
    </w:p>
  </w:footnote>
  <w:footnote w:id="1">
    <w:p w14:paraId="4018082E" w14:textId="30A4C2CE" w:rsidR="00E94952" w:rsidRPr="00E94952" w:rsidRDefault="00E94952">
      <w:pPr>
        <w:pStyle w:val="FootnoteText"/>
        <w:rPr>
          <w:rFonts w:ascii="Times New Roman" w:hAnsi="Times New Roman" w:cs="Times New Roman"/>
        </w:rPr>
      </w:pPr>
      <w:r w:rsidRPr="00E94952">
        <w:rPr>
          <w:rStyle w:val="FootnoteReference"/>
          <w:rFonts w:ascii="Times New Roman" w:hAnsi="Times New Roman" w:cs="Times New Roman"/>
        </w:rPr>
        <w:footnoteRef/>
      </w:r>
      <w:r w:rsidRPr="00E94952">
        <w:rPr>
          <w:rFonts w:ascii="Times New Roman" w:hAnsi="Times New Roman" w:cs="Times New Roman"/>
        </w:rPr>
        <w:t xml:space="preserve"> Enormous thanks to the anonymous peer reviewers and </w:t>
      </w:r>
      <w:r>
        <w:rPr>
          <w:rFonts w:ascii="Times New Roman" w:hAnsi="Times New Roman" w:cs="Times New Roman"/>
        </w:rPr>
        <w:t xml:space="preserve">the </w:t>
      </w:r>
      <w:r w:rsidRPr="00E94952">
        <w:rPr>
          <w:rFonts w:ascii="Times New Roman" w:hAnsi="Times New Roman" w:cs="Times New Roman"/>
        </w:rPr>
        <w:t>editors</w:t>
      </w:r>
      <w:r>
        <w:rPr>
          <w:rFonts w:ascii="Times New Roman" w:hAnsi="Times New Roman" w:cs="Times New Roman"/>
        </w:rPr>
        <w:t>,</w:t>
      </w:r>
      <w:r w:rsidRPr="00E94952">
        <w:rPr>
          <w:rFonts w:ascii="Times New Roman" w:hAnsi="Times New Roman" w:cs="Times New Roman"/>
        </w:rPr>
        <w:t xml:space="preserve"> who have helped me immeasurably with previous drafts. Remaining errors are all mine.  </w:t>
      </w:r>
    </w:p>
  </w:footnote>
  <w:footnote w:id="2">
    <w:p w14:paraId="4953DE62" w14:textId="09032DF2" w:rsidR="006D064D" w:rsidRPr="00E94952" w:rsidRDefault="00000000">
      <w:pPr>
        <w:pStyle w:val="FootnoteText"/>
        <w:rPr>
          <w:rFonts w:ascii="Times New Roman" w:hAnsi="Times New Roman" w:cs="Times New Roman"/>
        </w:rPr>
      </w:pPr>
      <w:r w:rsidRPr="00E94952">
        <w:rPr>
          <w:rStyle w:val="FootnoteReference"/>
          <w:rFonts w:ascii="Times New Roman" w:hAnsi="Times New Roman" w:cs="Times New Roman"/>
        </w:rPr>
        <w:footnoteRef/>
      </w:r>
      <w:r w:rsidRPr="00E94952">
        <w:rPr>
          <w:rFonts w:ascii="Times New Roman" w:hAnsi="Times New Roman" w:cs="Times New Roman"/>
        </w:rPr>
        <w:t xml:space="preserve"> E. Rackley, </w:t>
      </w:r>
      <w:r w:rsidRPr="00E94952">
        <w:rPr>
          <w:rFonts w:ascii="Times New Roman" w:hAnsi="Times New Roman" w:cs="Times New Roman"/>
          <w:i/>
          <w:iCs/>
        </w:rPr>
        <w:t xml:space="preserve">Women, Judging and the Judiciary: From Difference to Diversity </w:t>
      </w:r>
      <w:r w:rsidRPr="00E94952">
        <w:rPr>
          <w:rFonts w:ascii="Times New Roman" w:hAnsi="Times New Roman" w:cs="Times New Roman"/>
        </w:rPr>
        <w:t>(Abingdon: Routledge, 2013).</w:t>
      </w:r>
    </w:p>
  </w:footnote>
  <w:footnote w:id="3">
    <w:p w14:paraId="70CF36CD" w14:textId="1C949A19" w:rsidR="009D2600" w:rsidRPr="00E94952" w:rsidRDefault="00000000">
      <w:pPr>
        <w:pStyle w:val="FootnoteText"/>
        <w:rPr>
          <w:rFonts w:ascii="Times New Roman" w:hAnsi="Times New Roman" w:cs="Times New Roman"/>
        </w:rPr>
      </w:pPr>
      <w:r w:rsidRPr="00E94952">
        <w:rPr>
          <w:rStyle w:val="FootnoteReference"/>
          <w:rFonts w:ascii="Times New Roman" w:hAnsi="Times New Roman" w:cs="Times New Roman"/>
        </w:rPr>
        <w:footnoteRef/>
      </w:r>
      <w:r w:rsidRPr="00E94952">
        <w:rPr>
          <w:rFonts w:ascii="Times New Roman" w:hAnsi="Times New Roman" w:cs="Times New Roman"/>
        </w:rPr>
        <w:t xml:space="preserve"> </w:t>
      </w:r>
      <w:r w:rsidR="00D247FC" w:rsidRPr="00E94952">
        <w:rPr>
          <w:rFonts w:ascii="Times New Roman" w:hAnsi="Times New Roman" w:cs="Times New Roman"/>
        </w:rPr>
        <w:t>E.g. s</w:t>
      </w:r>
      <w:r w:rsidRPr="00E94952">
        <w:rPr>
          <w:rFonts w:ascii="Times New Roman" w:hAnsi="Times New Roman" w:cs="Times New Roman"/>
        </w:rPr>
        <w:t xml:space="preserve">ee the contributions to U. Schultz &amp; G. Shaw, </w:t>
      </w:r>
      <w:r w:rsidRPr="00E94952">
        <w:rPr>
          <w:rFonts w:ascii="Times New Roman" w:hAnsi="Times New Roman" w:cs="Times New Roman"/>
          <w:i/>
          <w:iCs/>
        </w:rPr>
        <w:t>Gender and Judging</w:t>
      </w:r>
      <w:r w:rsidRPr="00E94952">
        <w:rPr>
          <w:rFonts w:ascii="Times New Roman" w:hAnsi="Times New Roman" w:cs="Times New Roman"/>
        </w:rPr>
        <w:t xml:space="preserve"> (</w:t>
      </w:r>
      <w:r w:rsidR="007B09AB" w:rsidRPr="00E94952">
        <w:rPr>
          <w:rFonts w:ascii="Times New Roman" w:hAnsi="Times New Roman" w:cs="Times New Roman"/>
        </w:rPr>
        <w:t xml:space="preserve">Oxford: </w:t>
      </w:r>
      <w:r w:rsidRPr="00E94952">
        <w:rPr>
          <w:rFonts w:ascii="Times New Roman" w:hAnsi="Times New Roman" w:cs="Times New Roman"/>
        </w:rPr>
        <w:t>Hart, 2013)</w:t>
      </w:r>
      <w:r w:rsidR="007B09AB" w:rsidRPr="00E94952">
        <w:rPr>
          <w:rFonts w:ascii="Times New Roman" w:hAnsi="Times New Roman" w:cs="Times New Roman"/>
        </w:rPr>
        <w:t xml:space="preserve">; </w:t>
      </w:r>
      <w:r w:rsidR="00D247FC" w:rsidRPr="00E94952">
        <w:rPr>
          <w:rFonts w:ascii="Times New Roman" w:hAnsi="Times New Roman" w:cs="Times New Roman"/>
        </w:rPr>
        <w:t xml:space="preserve">also </w:t>
      </w:r>
      <w:r w:rsidR="007B09AB" w:rsidRPr="00E94952">
        <w:rPr>
          <w:rFonts w:ascii="Times New Roman" w:hAnsi="Times New Roman" w:cs="Times New Roman"/>
        </w:rPr>
        <w:t xml:space="preserve">S. Kenney, </w:t>
      </w:r>
      <w:r w:rsidR="007B09AB" w:rsidRPr="00E94952">
        <w:rPr>
          <w:rStyle w:val="Emphasis"/>
          <w:rFonts w:ascii="Times New Roman" w:hAnsi="Times New Roman" w:cs="Times New Roman"/>
          <w:color w:val="2A2A2A"/>
          <w:bdr w:val="none" w:sz="0" w:space="0" w:color="auto" w:frame="1"/>
        </w:rPr>
        <w:t>Gender and Justice: Why Women in the Judiciary Really Matter</w:t>
      </w:r>
      <w:r w:rsidR="007B09AB" w:rsidRPr="00E94952">
        <w:rPr>
          <w:rStyle w:val="Emphasis"/>
          <w:rFonts w:ascii="Times New Roman" w:hAnsi="Times New Roman" w:cs="Times New Roman"/>
          <w:i w:val="0"/>
          <w:iCs w:val="0"/>
          <w:color w:val="2A2A2A"/>
          <w:bdr w:val="none" w:sz="0" w:space="0" w:color="auto" w:frame="1"/>
        </w:rPr>
        <w:t>, (Abingdon: Routledge, 2013)</w:t>
      </w:r>
      <w:r w:rsidR="00D247FC" w:rsidRPr="00E94952">
        <w:rPr>
          <w:rStyle w:val="Emphasis"/>
          <w:rFonts w:ascii="Times New Roman" w:hAnsi="Times New Roman" w:cs="Times New Roman"/>
          <w:i w:val="0"/>
          <w:iCs w:val="0"/>
          <w:color w:val="2A2A2A"/>
          <w:bdr w:val="none" w:sz="0" w:space="0" w:color="auto" w:frame="1"/>
        </w:rPr>
        <w:t xml:space="preserve">; H. </w:t>
      </w:r>
      <w:proofErr w:type="spellStart"/>
      <w:r w:rsidR="00D247FC" w:rsidRPr="00E94952">
        <w:rPr>
          <w:rStyle w:val="Emphasis"/>
          <w:rFonts w:ascii="Times New Roman" w:hAnsi="Times New Roman" w:cs="Times New Roman"/>
          <w:i w:val="0"/>
          <w:iCs w:val="0"/>
          <w:color w:val="2A2A2A"/>
          <w:bdr w:val="none" w:sz="0" w:space="0" w:color="auto" w:frame="1"/>
        </w:rPr>
        <w:t>Sommerlad</w:t>
      </w:r>
      <w:proofErr w:type="spellEnd"/>
      <w:r w:rsidR="00D247FC" w:rsidRPr="00E94952">
        <w:rPr>
          <w:rStyle w:val="Emphasis"/>
          <w:rFonts w:ascii="Times New Roman" w:hAnsi="Times New Roman" w:cs="Times New Roman"/>
          <w:i w:val="0"/>
          <w:iCs w:val="0"/>
          <w:color w:val="2A2A2A"/>
          <w:bdr w:val="none" w:sz="0" w:space="0" w:color="auto" w:frame="1"/>
        </w:rPr>
        <w:t xml:space="preserve">, “The “Social Magic” of Merit: Diversity, Equity, and Inclusion in the English and Welsh Legal Profession” (2015) 83(5) </w:t>
      </w:r>
      <w:r w:rsidR="00D247FC" w:rsidRPr="00E94952">
        <w:rPr>
          <w:rStyle w:val="Emphasis"/>
          <w:rFonts w:ascii="Times New Roman" w:hAnsi="Times New Roman" w:cs="Times New Roman"/>
          <w:color w:val="2A2A2A"/>
          <w:bdr w:val="none" w:sz="0" w:space="0" w:color="auto" w:frame="1"/>
        </w:rPr>
        <w:t>Fordham Law Review</w:t>
      </w:r>
      <w:r w:rsidR="00D247FC" w:rsidRPr="00E94952">
        <w:rPr>
          <w:rStyle w:val="Emphasis"/>
          <w:rFonts w:ascii="Times New Roman" w:hAnsi="Times New Roman" w:cs="Times New Roman"/>
          <w:i w:val="0"/>
          <w:iCs w:val="0"/>
          <w:color w:val="2A2A2A"/>
          <w:bdr w:val="none" w:sz="0" w:space="0" w:color="auto" w:frame="1"/>
        </w:rPr>
        <w:t xml:space="preserve">, 2325. </w:t>
      </w:r>
    </w:p>
  </w:footnote>
  <w:footnote w:id="4">
    <w:p w14:paraId="738195DF" w14:textId="4EE6D098" w:rsidR="004C462A" w:rsidRPr="007E023E" w:rsidRDefault="00000000">
      <w:pPr>
        <w:pStyle w:val="FootnoteText"/>
        <w:rPr>
          <w:rFonts w:ascii="Times New Roman" w:hAnsi="Times New Roman" w:cs="Times New Roman"/>
        </w:rPr>
      </w:pPr>
      <w:r w:rsidRPr="00E94952">
        <w:rPr>
          <w:rStyle w:val="FootnoteReference"/>
          <w:rFonts w:ascii="Times New Roman" w:hAnsi="Times New Roman" w:cs="Times New Roman"/>
        </w:rPr>
        <w:footnoteRef/>
      </w:r>
      <w:r w:rsidRPr="00E94952">
        <w:rPr>
          <w:rFonts w:ascii="Times New Roman" w:hAnsi="Times New Roman" w:cs="Times New Roman"/>
        </w:rPr>
        <w:t xml:space="preserve"> </w:t>
      </w:r>
      <w:r w:rsidRPr="00E94952">
        <w:rPr>
          <w:rStyle w:val="Emphasis"/>
          <w:rFonts w:ascii="Times New Roman" w:hAnsi="Times New Roman" w:cs="Times New Roman"/>
          <w:i w:val="0"/>
          <w:iCs w:val="0"/>
          <w:color w:val="2A2A2A"/>
          <w:bdr w:val="none" w:sz="0" w:space="0" w:color="auto" w:frame="1"/>
        </w:rPr>
        <w:t xml:space="preserve">B. Hale, “Law Maker or Law Reformer: what is a Law Lady For?” (2005) 40 </w:t>
      </w:r>
      <w:r w:rsidRPr="00E94952">
        <w:rPr>
          <w:rStyle w:val="Emphasis"/>
          <w:rFonts w:ascii="Times New Roman" w:hAnsi="Times New Roman" w:cs="Times New Roman"/>
          <w:color w:val="2A2A2A"/>
          <w:bdr w:val="none" w:sz="0" w:space="0" w:color="auto" w:frame="1"/>
        </w:rPr>
        <w:t>Irish Jurist</w:t>
      </w:r>
      <w:r w:rsidRPr="00E94952">
        <w:rPr>
          <w:rStyle w:val="Emphasis"/>
          <w:rFonts w:ascii="Times New Roman" w:hAnsi="Times New Roman" w:cs="Times New Roman"/>
          <w:i w:val="0"/>
          <w:iCs w:val="0"/>
          <w:color w:val="2A2A2A"/>
          <w:bdr w:val="none" w:sz="0" w:space="0" w:color="auto" w:frame="1"/>
        </w:rPr>
        <w:t>, 1; Baroness Hale quoting Rt Hon</w:t>
      </w:r>
      <w:r w:rsidRPr="007E023E">
        <w:rPr>
          <w:rStyle w:val="Emphasis"/>
          <w:rFonts w:ascii="Times New Roman" w:hAnsi="Times New Roman" w:cs="Times New Roman"/>
          <w:i w:val="0"/>
          <w:iCs w:val="0"/>
          <w:color w:val="2A2A2A"/>
          <w:bdr w:val="none" w:sz="0" w:space="0" w:color="auto" w:frame="1"/>
        </w:rPr>
        <w:t xml:space="preserve"> Beverley McLachlin PC, Chief Justice of Canada.</w:t>
      </w:r>
    </w:p>
  </w:footnote>
  <w:footnote w:id="5">
    <w:p w14:paraId="23FD83F2" w14:textId="52301960" w:rsidR="00B8477E"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E. Boldt; C. Boyd; R. Carlos; M. Baker, “The Effects of Judge Race and Sex on Pretrial Detention Decisions.” (2021) 42(3/4) </w:t>
      </w:r>
      <w:r w:rsidRPr="007E023E">
        <w:rPr>
          <w:rFonts w:ascii="Times New Roman" w:hAnsi="Times New Roman" w:cs="Times New Roman"/>
          <w:i/>
          <w:iCs/>
        </w:rPr>
        <w:t>The Justice System Journal</w:t>
      </w:r>
      <w:r w:rsidRPr="007E023E">
        <w:rPr>
          <w:rFonts w:ascii="Times New Roman" w:hAnsi="Times New Roman" w:cs="Times New Roman"/>
        </w:rPr>
        <w:t xml:space="preserve">, 341; H. Edwards, “Race and the Judiciary”, (2002) 20(2) </w:t>
      </w:r>
      <w:r w:rsidRPr="007E023E">
        <w:rPr>
          <w:rFonts w:ascii="Times New Roman" w:hAnsi="Times New Roman" w:cs="Times New Roman"/>
          <w:i/>
          <w:iCs/>
        </w:rPr>
        <w:t>Yale Law &amp; Policy Review</w:t>
      </w:r>
      <w:r w:rsidRPr="007E023E">
        <w:rPr>
          <w:rFonts w:ascii="Times New Roman" w:hAnsi="Times New Roman" w:cs="Times New Roman"/>
        </w:rPr>
        <w:t>, 325</w:t>
      </w:r>
      <w:r w:rsidR="00D11662" w:rsidRPr="007E023E">
        <w:rPr>
          <w:rFonts w:ascii="Times New Roman" w:hAnsi="Times New Roman" w:cs="Times New Roman"/>
        </w:rPr>
        <w:t xml:space="preserve">; H. </w:t>
      </w:r>
      <w:proofErr w:type="spellStart"/>
      <w:r w:rsidR="00D11662" w:rsidRPr="007E023E">
        <w:rPr>
          <w:rFonts w:ascii="Times New Roman" w:hAnsi="Times New Roman" w:cs="Times New Roman"/>
        </w:rPr>
        <w:t>Sommerlad</w:t>
      </w:r>
      <w:proofErr w:type="spellEnd"/>
      <w:r w:rsidR="00D11662" w:rsidRPr="007E023E">
        <w:rPr>
          <w:rFonts w:ascii="Times New Roman" w:hAnsi="Times New Roman" w:cs="Times New Roman"/>
        </w:rPr>
        <w:t xml:space="preserve">, “Judicial Diversity: Complexity, continuity and change” in G. Gee &amp; E. Rackley, </w:t>
      </w:r>
      <w:r w:rsidR="00D11662" w:rsidRPr="007E023E">
        <w:rPr>
          <w:rFonts w:ascii="Times New Roman" w:hAnsi="Times New Roman" w:cs="Times New Roman"/>
          <w:i/>
          <w:iCs/>
        </w:rPr>
        <w:t>Debating Judicial Appointments in an Age of Diversity</w:t>
      </w:r>
      <w:r w:rsidR="00D11662" w:rsidRPr="007E023E">
        <w:rPr>
          <w:rFonts w:ascii="Times New Roman" w:hAnsi="Times New Roman" w:cs="Times New Roman"/>
        </w:rPr>
        <w:t xml:space="preserve">, (London: Routledge, 2017).  </w:t>
      </w:r>
    </w:p>
  </w:footnote>
  <w:footnote w:id="6">
    <w:p w14:paraId="0B9336D9" w14:textId="323FE776" w:rsidR="001B7E67" w:rsidRPr="007E023E" w:rsidRDefault="001B7E67">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E. Rackley, “A Short History of Judicial Diversity” (2023) 76(1) </w:t>
      </w:r>
      <w:r w:rsidRPr="007E023E">
        <w:rPr>
          <w:rFonts w:ascii="Times New Roman" w:hAnsi="Times New Roman" w:cs="Times New Roman"/>
          <w:i/>
          <w:iCs/>
        </w:rPr>
        <w:t>Current Legal Problems</w:t>
      </w:r>
      <w:r w:rsidRPr="007E023E">
        <w:rPr>
          <w:rFonts w:ascii="Times New Roman" w:hAnsi="Times New Roman" w:cs="Times New Roman"/>
        </w:rPr>
        <w:t>, 265; The Law Society Judicial diversity: Report shows little progress for women and ethnic minority candidates 13 Jul 2023: “New statistics from the Ministry of Justice reveal that progress on improving judicial diversity needs speeding up”.</w:t>
      </w:r>
    </w:p>
  </w:footnote>
  <w:footnote w:id="7">
    <w:p w14:paraId="115EFAFC" w14:textId="7D3CD016" w:rsidR="00D11662"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Leslie J Moran, ‘Sexual Diversity in the Judiciary in England and Wales: Research on Barriers to Judicial Careers’ (2013) 2(4) Laws 512.</w:t>
      </w:r>
    </w:p>
  </w:footnote>
  <w:footnote w:id="8">
    <w:p w14:paraId="36BB80CE" w14:textId="3DE7D25F" w:rsidR="00D11662"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D. Foster &amp; N. Hirst “Doing diversity in the legal profession in England and Wales: why do disabled people continue to be </w:t>
      </w:r>
      <w:r w:rsidRPr="007E023E">
        <w:rPr>
          <w:rFonts w:ascii="Times New Roman" w:hAnsi="Times New Roman" w:cs="Times New Roman"/>
          <w:i/>
          <w:iCs/>
        </w:rPr>
        <w:t>unexpected</w:t>
      </w:r>
      <w:r w:rsidRPr="007E023E">
        <w:rPr>
          <w:rFonts w:ascii="Times New Roman" w:hAnsi="Times New Roman" w:cs="Times New Roman"/>
        </w:rPr>
        <w:t xml:space="preserve">?” (2022) 49(3) </w:t>
      </w:r>
      <w:r w:rsidRPr="007E023E">
        <w:rPr>
          <w:rFonts w:ascii="Times New Roman" w:hAnsi="Times New Roman" w:cs="Times New Roman"/>
          <w:i/>
          <w:iCs/>
        </w:rPr>
        <w:t>Journal of Law and Society</w:t>
      </w:r>
      <w:r w:rsidRPr="007E023E">
        <w:rPr>
          <w:rFonts w:ascii="Times New Roman" w:hAnsi="Times New Roman" w:cs="Times New Roman"/>
        </w:rPr>
        <w:t xml:space="preserve">, 447. </w:t>
      </w:r>
    </w:p>
  </w:footnote>
  <w:footnote w:id="9">
    <w:p w14:paraId="23178982" w14:textId="586A2E4A" w:rsidR="009B27FD"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T.T. Arvind &amp; L. Stirton “Legal ideology, legal doctrine and the UK’s top judges” (2016) </w:t>
      </w:r>
      <w:r w:rsidRPr="007E023E">
        <w:rPr>
          <w:rFonts w:ascii="Times New Roman" w:hAnsi="Times New Roman" w:cs="Times New Roman"/>
          <w:i/>
          <w:iCs/>
        </w:rPr>
        <w:t>Public Law</w:t>
      </w:r>
      <w:r w:rsidRPr="007E023E">
        <w:rPr>
          <w:rFonts w:ascii="Times New Roman" w:hAnsi="Times New Roman" w:cs="Times New Roman"/>
        </w:rPr>
        <w:t xml:space="preserve"> 418. </w:t>
      </w:r>
    </w:p>
  </w:footnote>
  <w:footnote w:id="10">
    <w:p w14:paraId="26408352" w14:textId="42C65218" w:rsidR="004018B6"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K. </w:t>
      </w:r>
      <w:proofErr w:type="spellStart"/>
      <w:r w:rsidRPr="007E023E">
        <w:rPr>
          <w:rFonts w:ascii="Times New Roman" w:hAnsi="Times New Roman" w:cs="Times New Roman"/>
        </w:rPr>
        <w:t>Malleson</w:t>
      </w:r>
      <w:proofErr w:type="spellEnd"/>
      <w:r w:rsidRPr="007E023E">
        <w:rPr>
          <w:rFonts w:ascii="Times New Roman" w:hAnsi="Times New Roman" w:cs="Times New Roman"/>
        </w:rPr>
        <w:t xml:space="preserve">, “Values diversity in the United Kingdom Supreme Court: abandoning the ‘don't-ask-don't-tell’ policy”, (2022) 49(1) </w:t>
      </w:r>
      <w:r w:rsidRPr="007E023E">
        <w:rPr>
          <w:rFonts w:ascii="Times New Roman" w:hAnsi="Times New Roman" w:cs="Times New Roman"/>
          <w:i/>
          <w:iCs/>
        </w:rPr>
        <w:t xml:space="preserve">Journal of Law and Society, </w:t>
      </w:r>
      <w:r w:rsidRPr="007E023E">
        <w:rPr>
          <w:rFonts w:ascii="Times New Roman" w:hAnsi="Times New Roman" w:cs="Times New Roman"/>
        </w:rPr>
        <w:t xml:space="preserve">3. </w:t>
      </w:r>
    </w:p>
  </w:footnote>
  <w:footnote w:id="11">
    <w:p w14:paraId="2404A51D" w14:textId="6211829B" w:rsidR="00834872"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Ibid, 22.</w:t>
      </w:r>
    </w:p>
  </w:footnote>
  <w:footnote w:id="12">
    <w:p w14:paraId="7175F1D1" w14:textId="61C00BB4" w:rsidR="00D732FB"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C. Hanretty,</w:t>
      </w:r>
      <w:r w:rsidRPr="007E023E">
        <w:rPr>
          <w:rFonts w:ascii="Times New Roman" w:hAnsi="Times New Roman" w:cs="Times New Roman"/>
          <w:i/>
          <w:iCs/>
        </w:rPr>
        <w:t xml:space="preserve"> A Court of Specialists: Judicial </w:t>
      </w:r>
      <w:proofErr w:type="spellStart"/>
      <w:r w:rsidRPr="007E023E">
        <w:rPr>
          <w:rFonts w:ascii="Times New Roman" w:hAnsi="Times New Roman" w:cs="Times New Roman"/>
          <w:i/>
          <w:iCs/>
        </w:rPr>
        <w:t>Behavior</w:t>
      </w:r>
      <w:proofErr w:type="spellEnd"/>
      <w:r w:rsidRPr="007E023E">
        <w:rPr>
          <w:rFonts w:ascii="Times New Roman" w:hAnsi="Times New Roman" w:cs="Times New Roman"/>
          <w:i/>
          <w:iCs/>
        </w:rPr>
        <w:t xml:space="preserve"> on the UK Supreme Court</w:t>
      </w:r>
      <w:r w:rsidRPr="007E023E">
        <w:rPr>
          <w:rFonts w:ascii="Times New Roman" w:hAnsi="Times New Roman" w:cs="Times New Roman"/>
        </w:rPr>
        <w:t>, (New York: OUP, 2020).</w:t>
      </w:r>
    </w:p>
  </w:footnote>
  <w:footnote w:id="13">
    <w:p w14:paraId="7B0CC499" w14:textId="0884B8D1" w:rsidR="00890177"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See Erica Rackley on diversity “improving the judicial product”, above, </w:t>
      </w:r>
      <w:r w:rsidR="00193261" w:rsidRPr="007E023E">
        <w:rPr>
          <w:rFonts w:ascii="Times New Roman" w:hAnsi="Times New Roman" w:cs="Times New Roman"/>
        </w:rPr>
        <w:t xml:space="preserve">note </w:t>
      </w:r>
      <w:r w:rsidRPr="007E023E">
        <w:rPr>
          <w:rFonts w:ascii="Times New Roman" w:hAnsi="Times New Roman" w:cs="Times New Roman"/>
        </w:rPr>
        <w:fldChar w:fldCharType="begin"/>
      </w:r>
      <w:r w:rsidRPr="007E023E">
        <w:rPr>
          <w:rFonts w:ascii="Times New Roman" w:hAnsi="Times New Roman" w:cs="Times New Roman"/>
        </w:rPr>
        <w:instrText xml:space="preserve"> NOTEREF _Ref185583247 \h </w:instrText>
      </w:r>
      <w:r w:rsidR="009158B8" w:rsidRPr="007E023E">
        <w:rPr>
          <w:rFonts w:ascii="Times New Roman" w:hAnsi="Times New Roman" w:cs="Times New Roman"/>
        </w:rPr>
        <w:instrText xml:space="preserve"> \* MERGEFORMAT </w:instrText>
      </w:r>
      <w:r w:rsidRPr="007E023E">
        <w:rPr>
          <w:rFonts w:ascii="Times New Roman" w:hAnsi="Times New Roman" w:cs="Times New Roman"/>
        </w:rPr>
      </w:r>
      <w:r w:rsidRPr="007E023E">
        <w:rPr>
          <w:rFonts w:ascii="Times New Roman" w:hAnsi="Times New Roman" w:cs="Times New Roman"/>
        </w:rPr>
        <w:fldChar w:fldCharType="separate"/>
      </w:r>
      <w:r w:rsidR="00E94952">
        <w:rPr>
          <w:rFonts w:ascii="Times New Roman" w:hAnsi="Times New Roman" w:cs="Times New Roman"/>
        </w:rPr>
        <w:t>2</w:t>
      </w:r>
      <w:r w:rsidRPr="007E023E">
        <w:rPr>
          <w:rFonts w:ascii="Times New Roman" w:hAnsi="Times New Roman" w:cs="Times New Roman"/>
        </w:rPr>
        <w:fldChar w:fldCharType="end"/>
      </w:r>
      <w:r w:rsidRPr="007E023E">
        <w:rPr>
          <w:rFonts w:ascii="Times New Roman" w:hAnsi="Times New Roman" w:cs="Times New Roman"/>
        </w:rPr>
        <w:t xml:space="preserve">, 169-177.  </w:t>
      </w:r>
    </w:p>
  </w:footnote>
  <w:footnote w:id="14">
    <w:p w14:paraId="1B8061A0" w14:textId="2AFD09FA" w:rsidR="008A660E"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K. </w:t>
      </w:r>
      <w:proofErr w:type="spellStart"/>
      <w:r w:rsidRPr="007E023E">
        <w:rPr>
          <w:rFonts w:ascii="Times New Roman" w:hAnsi="Times New Roman" w:cs="Times New Roman"/>
        </w:rPr>
        <w:t>Dzehtsiarou</w:t>
      </w:r>
      <w:proofErr w:type="spellEnd"/>
      <w:r w:rsidRPr="007E023E">
        <w:rPr>
          <w:rFonts w:ascii="Times New Roman" w:hAnsi="Times New Roman" w:cs="Times New Roman"/>
        </w:rPr>
        <w:t xml:space="preserve"> &amp; A. Schwartz “Electing Team Strasbourg: Professional Diversity on the European Court of Human Rights and Why it Matters” (2020) 21(4) </w:t>
      </w:r>
      <w:r w:rsidRPr="007E023E">
        <w:rPr>
          <w:rFonts w:ascii="Times New Roman" w:hAnsi="Times New Roman" w:cs="Times New Roman"/>
          <w:i/>
          <w:iCs/>
        </w:rPr>
        <w:t>German Law Journal</w:t>
      </w:r>
      <w:r w:rsidRPr="007E023E">
        <w:rPr>
          <w:rFonts w:ascii="Times New Roman" w:hAnsi="Times New Roman" w:cs="Times New Roman"/>
        </w:rPr>
        <w:t xml:space="preserve">, 621, 638. </w:t>
      </w:r>
    </w:p>
  </w:footnote>
  <w:footnote w:id="15">
    <w:p w14:paraId="3754C07C" w14:textId="77777777" w:rsidR="00045E87" w:rsidRPr="007E023E" w:rsidRDefault="00000000" w:rsidP="00045E87">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The Supreme Court ‘Biographies of the Justices’ https://www.supremecourt.uk/about/biographies-of-the-justices.html.</w:t>
      </w:r>
    </w:p>
  </w:footnote>
  <w:footnote w:id="16">
    <w:p w14:paraId="49693508" w14:textId="77777777" w:rsidR="00045E87" w:rsidRPr="007E023E" w:rsidRDefault="00000000" w:rsidP="00045E87">
      <w:pPr>
        <w:pStyle w:val="FootnoteText"/>
        <w:snapToGrid w:val="0"/>
        <w:rPr>
          <w:rFonts w:ascii="Times New Roman" w:hAnsi="Times New Roman" w:cs="Times New Roman"/>
          <w:lang w:val="en-US"/>
        </w:rPr>
      </w:pPr>
      <w:r w:rsidRPr="007E023E">
        <w:rPr>
          <w:rStyle w:val="FootnoteReference"/>
          <w:rFonts w:ascii="Times New Roman" w:hAnsi="Times New Roman" w:cs="Times New Roman"/>
        </w:rPr>
        <w:footnoteRef/>
      </w:r>
      <w:r w:rsidRPr="007E023E">
        <w:rPr>
          <w:rFonts w:ascii="Times New Roman" w:hAnsi="Times New Roman" w:cs="Times New Roman"/>
        </w:rPr>
        <w:t xml:space="preserve"> Ministry of Justice </w:t>
      </w:r>
      <w:r w:rsidRPr="007E023E">
        <w:rPr>
          <w:rFonts w:ascii="Times New Roman" w:hAnsi="Times New Roman" w:cs="Times New Roman"/>
          <w:i/>
          <w:iCs/>
        </w:rPr>
        <w:t>Tribunal statistics quarterly</w:t>
      </w:r>
      <w:r w:rsidRPr="007E023E">
        <w:rPr>
          <w:rFonts w:ascii="Times New Roman" w:hAnsi="Times New Roman" w:cs="Times New Roman"/>
        </w:rPr>
        <w:t>, July – September 2023, published 14 December 2023:  https://www.gov.uk/government/statistics/tribunals-statistics-quarterly-july-to-september-2023/tribunal-statistics-quarterly-july-to-september-2023.</w:t>
      </w:r>
    </w:p>
  </w:footnote>
  <w:footnote w:id="17">
    <w:p w14:paraId="4FDD0C1D" w14:textId="1DAE8900" w:rsidR="001B7E67" w:rsidRPr="007E023E" w:rsidRDefault="001B7E67">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6918F2" w:rsidRPr="007E023E">
        <w:rPr>
          <w:rFonts w:ascii="Times New Roman" w:hAnsi="Times New Roman" w:cs="Times New Roman"/>
          <w:i/>
          <w:iCs/>
        </w:rPr>
        <w:t>SC, CB and 8 children, R. (on the application of) v Secretary of State for Work and Pensions &amp; Ors</w:t>
      </w:r>
      <w:r w:rsidR="006918F2" w:rsidRPr="007E023E">
        <w:rPr>
          <w:rFonts w:ascii="Times New Roman" w:hAnsi="Times New Roman" w:cs="Times New Roman"/>
        </w:rPr>
        <w:t xml:space="preserve"> [2021] UKSC 26.</w:t>
      </w:r>
    </w:p>
  </w:footnote>
  <w:footnote w:id="18">
    <w:p w14:paraId="0F46E1B3" w14:textId="5CD8CA01" w:rsidR="00C354C1" w:rsidRPr="007E023E" w:rsidRDefault="00000000" w:rsidP="002C50A3">
      <w:pPr>
        <w:pStyle w:val="FootnoteText"/>
        <w:snapToGrid w:val="0"/>
        <w:rPr>
          <w:rFonts w:ascii="Times New Roman" w:hAnsi="Times New Roman" w:cs="Times New Roman"/>
          <w:lang w:val="en-US"/>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F71FF5" w:rsidRPr="007E023E">
        <w:rPr>
          <w:rFonts w:ascii="Times New Roman" w:hAnsi="Times New Roman" w:cs="Times New Roman"/>
          <w:lang w:val="en-US"/>
        </w:rPr>
        <w:t>Former UK Supreme Court justice, Jonathan Sumption wrote: “The essential feature of the Supreme Court’s recent decisions on public law has been a renewed emphasis on the centrality of Parliament in our constitution”</w:t>
      </w:r>
      <w:r w:rsidR="00867491" w:rsidRPr="007E023E">
        <w:rPr>
          <w:rFonts w:ascii="Times New Roman" w:hAnsi="Times New Roman" w:cs="Times New Roman"/>
          <w:lang w:val="en-US"/>
        </w:rPr>
        <w:t xml:space="preserve">, and the </w:t>
      </w:r>
      <w:r w:rsidR="00867491" w:rsidRPr="007E023E">
        <w:rPr>
          <w:rFonts w:ascii="Times New Roman" w:hAnsi="Times New Roman" w:cs="Times New Roman"/>
          <w:i/>
          <w:iCs/>
          <w:lang w:val="en-US"/>
        </w:rPr>
        <w:t xml:space="preserve">SC </w:t>
      </w:r>
      <w:r w:rsidR="00867491" w:rsidRPr="007E023E">
        <w:rPr>
          <w:rFonts w:ascii="Times New Roman" w:hAnsi="Times New Roman" w:cs="Times New Roman"/>
          <w:lang w:val="en-US"/>
        </w:rPr>
        <w:t xml:space="preserve">challenge failed “essentially because the allocation of resources is a matter for Parliament and for ministers answerable to Parliament”. ‘Letters’, 44(3) </w:t>
      </w:r>
      <w:r w:rsidR="00867491" w:rsidRPr="007E023E">
        <w:rPr>
          <w:rFonts w:ascii="Times New Roman" w:hAnsi="Times New Roman" w:cs="Times New Roman"/>
          <w:i/>
          <w:iCs/>
          <w:lang w:val="en-US"/>
        </w:rPr>
        <w:t>London Review of Books,</w:t>
      </w:r>
      <w:r w:rsidR="00867491" w:rsidRPr="007E023E">
        <w:rPr>
          <w:rFonts w:ascii="Times New Roman" w:hAnsi="Times New Roman" w:cs="Times New Roman"/>
          <w:lang w:val="en-US"/>
        </w:rPr>
        <w:t xml:space="preserve"> 10 February 2022.</w:t>
      </w:r>
    </w:p>
  </w:footnote>
  <w:footnote w:id="19">
    <w:p w14:paraId="567FD7F5" w14:textId="07F8A30B" w:rsidR="00415FEB"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i/>
          <w:iCs/>
        </w:rPr>
        <w:t>UNISON, R (on the application of) v Lord Chancellor</w:t>
      </w:r>
      <w:r w:rsidRPr="007E023E">
        <w:rPr>
          <w:rFonts w:ascii="Times New Roman" w:hAnsi="Times New Roman" w:cs="Times New Roman"/>
        </w:rPr>
        <w:t xml:space="preserve"> [2017] UKSC 51 (26 July 2017).</w:t>
      </w:r>
    </w:p>
  </w:footnote>
  <w:footnote w:id="20">
    <w:p w14:paraId="244F73B6" w14:textId="77777777" w:rsidR="004F18BF" w:rsidRPr="007E023E" w:rsidRDefault="00000000" w:rsidP="004F18BF">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The professional requirements </w:t>
      </w:r>
      <w:proofErr w:type="gramStart"/>
      <w:r w:rsidRPr="007E023E">
        <w:rPr>
          <w:rFonts w:ascii="Times New Roman" w:hAnsi="Times New Roman" w:cs="Times New Roman"/>
        </w:rPr>
        <w:t>with regard to</w:t>
      </w:r>
      <w:proofErr w:type="gramEnd"/>
      <w:r w:rsidRPr="007E023E">
        <w:rPr>
          <w:rFonts w:ascii="Times New Roman" w:hAnsi="Times New Roman" w:cs="Times New Roman"/>
        </w:rPr>
        <w:t xml:space="preserve"> course content are very general and flexible: Solicitors Regulation Authority &amp; Bar Standards Board </w:t>
      </w:r>
      <w:r w:rsidRPr="007E023E">
        <w:rPr>
          <w:rFonts w:ascii="Times New Roman" w:hAnsi="Times New Roman" w:cs="Times New Roman"/>
          <w:i/>
          <w:iCs/>
        </w:rPr>
        <w:t>Joint statement on the academic stage of training</w:t>
      </w:r>
      <w:r w:rsidRPr="007E023E">
        <w:rPr>
          <w:rFonts w:ascii="Times New Roman" w:hAnsi="Times New Roman" w:cs="Times New Roman"/>
        </w:rPr>
        <w:t>, September 2021, https://www.sra.org.uk/become-solicitor/legal-practice-course-route/qualifying-law-degree-common-professional-examination/academic-stage-joint-statement-bsb-law-society/</w:t>
      </w:r>
    </w:p>
  </w:footnote>
  <w:footnote w:id="21">
    <w:p w14:paraId="1716DBF2" w14:textId="79E6E76D" w:rsidR="004F18BF" w:rsidRPr="007E023E" w:rsidRDefault="00000000" w:rsidP="004F18BF">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The Supreme Court, above, note </w:t>
      </w:r>
      <w:r w:rsidRPr="007E023E">
        <w:rPr>
          <w:rFonts w:ascii="Times New Roman" w:hAnsi="Times New Roman" w:cs="Times New Roman"/>
        </w:rPr>
        <w:fldChar w:fldCharType="begin"/>
      </w:r>
      <w:r w:rsidRPr="007E023E">
        <w:rPr>
          <w:rFonts w:ascii="Times New Roman" w:hAnsi="Times New Roman" w:cs="Times New Roman"/>
        </w:rPr>
        <w:instrText xml:space="preserve"> NOTEREF _Ref162350923 \h  \* MERGEFORMAT </w:instrText>
      </w:r>
      <w:r w:rsidRPr="007E023E">
        <w:rPr>
          <w:rFonts w:ascii="Times New Roman" w:hAnsi="Times New Roman" w:cs="Times New Roman"/>
        </w:rPr>
      </w:r>
      <w:r w:rsidRPr="007E023E">
        <w:rPr>
          <w:rFonts w:ascii="Times New Roman" w:hAnsi="Times New Roman" w:cs="Times New Roman"/>
        </w:rPr>
        <w:fldChar w:fldCharType="separate"/>
      </w:r>
      <w:r w:rsidR="00E94952">
        <w:rPr>
          <w:rFonts w:ascii="Times New Roman" w:hAnsi="Times New Roman" w:cs="Times New Roman"/>
        </w:rPr>
        <w:t>15</w:t>
      </w:r>
      <w:r w:rsidRPr="007E023E">
        <w:rPr>
          <w:rFonts w:ascii="Times New Roman" w:hAnsi="Times New Roman" w:cs="Times New Roman"/>
        </w:rPr>
        <w:fldChar w:fldCharType="end"/>
      </w:r>
      <w:r w:rsidRPr="007E023E">
        <w:rPr>
          <w:rFonts w:ascii="Times New Roman" w:hAnsi="Times New Roman" w:cs="Times New Roman"/>
        </w:rPr>
        <w:t>.</w:t>
      </w:r>
    </w:p>
  </w:footnote>
  <w:footnote w:id="22">
    <w:p w14:paraId="267395D7" w14:textId="2412147C" w:rsidR="007468DB" w:rsidRPr="007E023E" w:rsidRDefault="007468DB">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2D1E59" w:rsidRPr="007E023E">
        <w:rPr>
          <w:rFonts w:ascii="Times New Roman" w:hAnsi="Times New Roman" w:cs="Times New Roman"/>
        </w:rPr>
        <w:t xml:space="preserve">Lord Philip Sales; Lord Robert Reed; </w:t>
      </w:r>
      <w:r w:rsidR="001349FB" w:rsidRPr="007E023E">
        <w:rPr>
          <w:rFonts w:ascii="Times New Roman" w:hAnsi="Times New Roman" w:cs="Times New Roman"/>
        </w:rPr>
        <w:t xml:space="preserve">Lord Patrick Hodge; </w:t>
      </w:r>
      <w:r w:rsidR="002D1E59" w:rsidRPr="007E023E">
        <w:rPr>
          <w:rFonts w:ascii="Times New Roman" w:hAnsi="Times New Roman" w:cs="Times New Roman"/>
        </w:rPr>
        <w:t xml:space="preserve">Lord David Lloyd Jones; Lord Michael Briggs; Lord Nicholas Hamblen; Lord George Leggatt; Lord Andrew Burrows; Lord Ben Stephens; </w:t>
      </w:r>
      <w:r w:rsidR="001835D7" w:rsidRPr="007E023E">
        <w:rPr>
          <w:rFonts w:ascii="Times New Roman" w:hAnsi="Times New Roman" w:cs="Times New Roman"/>
        </w:rPr>
        <w:t xml:space="preserve">Lady Vivien Rose; Lord David Richards; Lady Ingrid </w:t>
      </w:r>
      <w:proofErr w:type="spellStart"/>
      <w:r w:rsidR="001835D7" w:rsidRPr="007E023E">
        <w:rPr>
          <w:rFonts w:ascii="Times New Roman" w:hAnsi="Times New Roman" w:cs="Times New Roman"/>
        </w:rPr>
        <w:t>Simler</w:t>
      </w:r>
      <w:proofErr w:type="spellEnd"/>
      <w:r w:rsidR="001835D7" w:rsidRPr="007E023E">
        <w:rPr>
          <w:rFonts w:ascii="Times New Roman" w:hAnsi="Times New Roman" w:cs="Times New Roman"/>
        </w:rPr>
        <w:t>.</w:t>
      </w:r>
      <w:r w:rsidR="001349FB" w:rsidRPr="007E023E">
        <w:rPr>
          <w:rFonts w:ascii="Times New Roman" w:hAnsi="Times New Roman" w:cs="Times New Roman"/>
        </w:rPr>
        <w:t xml:space="preserve"> In the text below they are referred to without judicial titles (as it pertains to their pre-judicial careers); nor is ‘QC’ used as </w:t>
      </w:r>
      <w:r w:rsidR="00176B69" w:rsidRPr="007E023E">
        <w:rPr>
          <w:rFonts w:ascii="Times New Roman" w:hAnsi="Times New Roman" w:cs="Times New Roman"/>
        </w:rPr>
        <w:t xml:space="preserve">the study includes pre-silk practice. </w:t>
      </w:r>
    </w:p>
  </w:footnote>
  <w:footnote w:id="23">
    <w:p w14:paraId="630089AF" w14:textId="77777777" w:rsidR="004F18BF" w:rsidRPr="007E023E" w:rsidRDefault="00000000" w:rsidP="004F18BF">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Searching for them as ‘counsel’ omitted some cases so expanded the search to where they were listed as ‘any’ form of legal representative. </w:t>
      </w:r>
    </w:p>
  </w:footnote>
  <w:footnote w:id="24">
    <w:p w14:paraId="26AEF650" w14:textId="77777777" w:rsidR="004F18BF" w:rsidRPr="007E023E" w:rsidRDefault="00000000" w:rsidP="004F18BF">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The exception to this approach was for David Richards, whose surname and dates returned 1000 entries, so I then searched using his first name and surname, initial and first name, and first name plus middle initials and surname. This means any entries where he was listed by surname alone would not be returned, but as his practice was not based in Scotland, this risk should be low. </w:t>
      </w:r>
    </w:p>
  </w:footnote>
  <w:footnote w:id="25">
    <w:p w14:paraId="212C1895" w14:textId="77777777" w:rsidR="004F18BF" w:rsidRPr="007E023E" w:rsidRDefault="00000000" w:rsidP="004F18BF">
      <w:pPr>
        <w:pStyle w:val="Heading1"/>
        <w:snapToGrid w:val="0"/>
        <w:spacing w:before="0" w:beforeAutospacing="0" w:after="0" w:afterAutospacing="0"/>
        <w:textAlignment w:val="baseline"/>
        <w:rPr>
          <w:b w:val="0"/>
          <w:bCs w:val="0"/>
          <w:sz w:val="20"/>
          <w:szCs w:val="20"/>
        </w:rPr>
      </w:pPr>
      <w:r w:rsidRPr="007E023E">
        <w:rPr>
          <w:rStyle w:val="FootnoteReference"/>
          <w:b w:val="0"/>
          <w:bCs w:val="0"/>
          <w:sz w:val="20"/>
          <w:szCs w:val="20"/>
        </w:rPr>
        <w:footnoteRef/>
      </w:r>
      <w:r w:rsidRPr="007E023E">
        <w:rPr>
          <w:b w:val="0"/>
          <w:bCs w:val="0"/>
          <w:sz w:val="20"/>
          <w:szCs w:val="20"/>
        </w:rPr>
        <w:t xml:space="preserve"> E.g. </w:t>
      </w:r>
      <w:r w:rsidRPr="007E023E">
        <w:rPr>
          <w:b w:val="0"/>
          <w:bCs w:val="0"/>
          <w:i/>
          <w:iCs/>
          <w:sz w:val="20"/>
          <w:szCs w:val="20"/>
        </w:rPr>
        <w:t>Test Claimants in the FII Group Litigation v Revenue and Customs Commissioners</w:t>
      </w:r>
      <w:r w:rsidRPr="007E023E">
        <w:rPr>
          <w:b w:val="0"/>
          <w:bCs w:val="0"/>
          <w:sz w:val="20"/>
          <w:szCs w:val="20"/>
        </w:rPr>
        <w:t xml:space="preserve"> </w:t>
      </w:r>
      <w:r w:rsidRPr="007E023E">
        <w:rPr>
          <w:b w:val="0"/>
          <w:bCs w:val="0"/>
          <w:sz w:val="20"/>
          <w:szCs w:val="20"/>
          <w:shd w:val="clear" w:color="auto" w:fill="FFFFFF"/>
        </w:rPr>
        <w:t>[2014] EWHC 4302 (Ch) is a tax case, not a social security case.</w:t>
      </w:r>
    </w:p>
    <w:p w14:paraId="33B7C47A" w14:textId="77777777" w:rsidR="004F18BF" w:rsidRPr="007E023E" w:rsidRDefault="004F18BF" w:rsidP="004F18BF">
      <w:pPr>
        <w:pStyle w:val="FootnoteText"/>
        <w:snapToGrid w:val="0"/>
        <w:rPr>
          <w:rFonts w:ascii="Times New Roman" w:hAnsi="Times New Roman" w:cs="Times New Roman"/>
        </w:rPr>
      </w:pPr>
    </w:p>
  </w:footnote>
  <w:footnote w:id="26">
    <w:p w14:paraId="2BF94693" w14:textId="77777777" w:rsidR="004F18BF" w:rsidRPr="007E023E" w:rsidRDefault="00000000" w:rsidP="004F18BF">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i/>
          <w:iCs/>
        </w:rPr>
        <w:t>Abdirahman v Secretary of State for Work and Pensions</w:t>
      </w:r>
      <w:r w:rsidRPr="007E023E">
        <w:rPr>
          <w:rFonts w:ascii="Times New Roman" w:hAnsi="Times New Roman" w:cs="Times New Roman"/>
        </w:rPr>
        <w:t xml:space="preserve"> [2007] EWCA </w:t>
      </w:r>
      <w:proofErr w:type="spellStart"/>
      <w:r w:rsidRPr="007E023E">
        <w:rPr>
          <w:rFonts w:ascii="Times New Roman" w:hAnsi="Times New Roman" w:cs="Times New Roman"/>
        </w:rPr>
        <w:t>Civ</w:t>
      </w:r>
      <w:proofErr w:type="spellEnd"/>
      <w:r w:rsidRPr="007E023E">
        <w:rPr>
          <w:rFonts w:ascii="Times New Roman" w:hAnsi="Times New Roman" w:cs="Times New Roman"/>
        </w:rPr>
        <w:t xml:space="preserve"> 657; </w:t>
      </w:r>
      <w:r w:rsidRPr="007E023E">
        <w:rPr>
          <w:rFonts w:ascii="Times New Roman" w:hAnsi="Times New Roman" w:cs="Times New Roman"/>
          <w:i/>
          <w:iCs/>
        </w:rPr>
        <w:t>Campbell v Secretary of State for Work and Pensions</w:t>
      </w:r>
      <w:r w:rsidRPr="007E023E">
        <w:rPr>
          <w:rFonts w:ascii="Times New Roman" w:hAnsi="Times New Roman" w:cs="Times New Roman"/>
        </w:rPr>
        <w:t xml:space="preserve"> [2005] EWCA </w:t>
      </w:r>
      <w:proofErr w:type="spellStart"/>
      <w:r w:rsidRPr="007E023E">
        <w:rPr>
          <w:rFonts w:ascii="Times New Roman" w:hAnsi="Times New Roman" w:cs="Times New Roman"/>
        </w:rPr>
        <w:t>Civ</w:t>
      </w:r>
      <w:proofErr w:type="spellEnd"/>
      <w:r w:rsidRPr="007E023E">
        <w:rPr>
          <w:rFonts w:ascii="Times New Roman" w:hAnsi="Times New Roman" w:cs="Times New Roman"/>
        </w:rPr>
        <w:t xml:space="preserve"> 989; </w:t>
      </w:r>
      <w:r w:rsidRPr="007E023E">
        <w:rPr>
          <w:rFonts w:ascii="Times New Roman" w:hAnsi="Times New Roman" w:cs="Times New Roman"/>
          <w:i/>
          <w:iCs/>
        </w:rPr>
        <w:t>M v Secretary of State for Work and Pensions</w:t>
      </w:r>
      <w:r w:rsidRPr="007E023E">
        <w:rPr>
          <w:rFonts w:ascii="Times New Roman" w:hAnsi="Times New Roman" w:cs="Times New Roman"/>
        </w:rPr>
        <w:t xml:space="preserve"> [2004] EWCA </w:t>
      </w:r>
      <w:proofErr w:type="spellStart"/>
      <w:r w:rsidRPr="007E023E">
        <w:rPr>
          <w:rFonts w:ascii="Times New Roman" w:hAnsi="Times New Roman" w:cs="Times New Roman"/>
        </w:rPr>
        <w:t>Civ</w:t>
      </w:r>
      <w:proofErr w:type="spellEnd"/>
      <w:r w:rsidRPr="007E023E">
        <w:rPr>
          <w:rFonts w:ascii="Times New Roman" w:hAnsi="Times New Roman" w:cs="Times New Roman"/>
        </w:rPr>
        <w:t xml:space="preserve"> 1343; </w:t>
      </w:r>
      <w:r w:rsidRPr="007E023E">
        <w:rPr>
          <w:rFonts w:ascii="Times New Roman" w:hAnsi="Times New Roman" w:cs="Times New Roman"/>
          <w:i/>
          <w:iCs/>
        </w:rPr>
        <w:t>Campbell v South Northamptonshire DC</w:t>
      </w:r>
      <w:r w:rsidRPr="007E023E">
        <w:rPr>
          <w:rFonts w:ascii="Times New Roman" w:hAnsi="Times New Roman" w:cs="Times New Roman"/>
        </w:rPr>
        <w:t xml:space="preserve"> [2004] EWCA </w:t>
      </w:r>
      <w:proofErr w:type="spellStart"/>
      <w:r w:rsidRPr="007E023E">
        <w:rPr>
          <w:rFonts w:ascii="Times New Roman" w:hAnsi="Times New Roman" w:cs="Times New Roman"/>
        </w:rPr>
        <w:t>Civ</w:t>
      </w:r>
      <w:proofErr w:type="spellEnd"/>
      <w:r w:rsidRPr="007E023E">
        <w:rPr>
          <w:rFonts w:ascii="Times New Roman" w:hAnsi="Times New Roman" w:cs="Times New Roman"/>
        </w:rPr>
        <w:t xml:space="preserve"> 409 (Sales acted for the second respondent – the Secretary of State for Work and Pensions); </w:t>
      </w:r>
      <w:proofErr w:type="spellStart"/>
      <w:r w:rsidRPr="007E023E">
        <w:rPr>
          <w:rFonts w:ascii="Times New Roman" w:hAnsi="Times New Roman" w:cs="Times New Roman"/>
          <w:i/>
          <w:iCs/>
        </w:rPr>
        <w:t>Howker</w:t>
      </w:r>
      <w:proofErr w:type="spellEnd"/>
      <w:r w:rsidRPr="007E023E">
        <w:rPr>
          <w:rFonts w:ascii="Times New Roman" w:hAnsi="Times New Roman" w:cs="Times New Roman"/>
          <w:i/>
          <w:iCs/>
        </w:rPr>
        <w:t xml:space="preserve"> v Secretary of State for Work and Pensions</w:t>
      </w:r>
      <w:r w:rsidRPr="007E023E">
        <w:rPr>
          <w:rFonts w:ascii="Times New Roman" w:hAnsi="Times New Roman" w:cs="Times New Roman"/>
        </w:rPr>
        <w:t xml:space="preserve"> [2002] EWCA </w:t>
      </w:r>
      <w:proofErr w:type="spellStart"/>
      <w:r w:rsidRPr="007E023E">
        <w:rPr>
          <w:rFonts w:ascii="Times New Roman" w:hAnsi="Times New Roman" w:cs="Times New Roman"/>
        </w:rPr>
        <w:t>Civ</w:t>
      </w:r>
      <w:proofErr w:type="spellEnd"/>
      <w:r w:rsidRPr="007E023E">
        <w:rPr>
          <w:rFonts w:ascii="Times New Roman" w:hAnsi="Times New Roman" w:cs="Times New Roman"/>
        </w:rPr>
        <w:t xml:space="preserve"> 1623; </w:t>
      </w:r>
      <w:proofErr w:type="spellStart"/>
      <w:r w:rsidRPr="007E023E">
        <w:rPr>
          <w:rFonts w:ascii="Times New Roman" w:hAnsi="Times New Roman" w:cs="Times New Roman"/>
          <w:i/>
          <w:iCs/>
        </w:rPr>
        <w:t>Anufrijeva</w:t>
      </w:r>
      <w:proofErr w:type="spellEnd"/>
      <w:r w:rsidRPr="007E023E">
        <w:rPr>
          <w:rFonts w:ascii="Times New Roman" w:hAnsi="Times New Roman" w:cs="Times New Roman"/>
          <w:i/>
          <w:iCs/>
        </w:rPr>
        <w:t xml:space="preserve"> v Southwark LBC</w:t>
      </w:r>
      <w:r w:rsidRPr="007E023E">
        <w:rPr>
          <w:rFonts w:ascii="Times New Roman" w:hAnsi="Times New Roman" w:cs="Times New Roman"/>
        </w:rPr>
        <w:t xml:space="preserve"> [2003] EWCA </w:t>
      </w:r>
      <w:proofErr w:type="spellStart"/>
      <w:r w:rsidRPr="007E023E">
        <w:rPr>
          <w:rFonts w:ascii="Times New Roman" w:hAnsi="Times New Roman" w:cs="Times New Roman"/>
        </w:rPr>
        <w:t>Civ</w:t>
      </w:r>
      <w:proofErr w:type="spellEnd"/>
      <w:r w:rsidRPr="007E023E">
        <w:rPr>
          <w:rFonts w:ascii="Times New Roman" w:hAnsi="Times New Roman" w:cs="Times New Roman"/>
        </w:rPr>
        <w:t xml:space="preserve"> 1406; </w:t>
      </w:r>
      <w:r w:rsidRPr="007E023E">
        <w:rPr>
          <w:rFonts w:ascii="Times New Roman" w:hAnsi="Times New Roman" w:cs="Times New Roman"/>
          <w:i/>
          <w:iCs/>
        </w:rPr>
        <w:t>Esfandiari v Secretary of State for Work and Pensions</w:t>
      </w:r>
      <w:r w:rsidRPr="007E023E">
        <w:rPr>
          <w:rFonts w:ascii="Times New Roman" w:hAnsi="Times New Roman" w:cs="Times New Roman"/>
        </w:rPr>
        <w:t xml:space="preserve"> [2006] EWCA </w:t>
      </w:r>
      <w:proofErr w:type="spellStart"/>
      <w:r w:rsidRPr="007E023E">
        <w:rPr>
          <w:rFonts w:ascii="Times New Roman" w:hAnsi="Times New Roman" w:cs="Times New Roman"/>
        </w:rPr>
        <w:t>Civ</w:t>
      </w:r>
      <w:proofErr w:type="spellEnd"/>
      <w:r w:rsidRPr="007E023E">
        <w:rPr>
          <w:rFonts w:ascii="Times New Roman" w:hAnsi="Times New Roman" w:cs="Times New Roman"/>
        </w:rPr>
        <w:t xml:space="preserve"> 282; </w:t>
      </w:r>
      <w:r w:rsidRPr="007E023E">
        <w:rPr>
          <w:rFonts w:ascii="Times New Roman" w:hAnsi="Times New Roman" w:cs="Times New Roman"/>
          <w:i/>
          <w:iCs/>
        </w:rPr>
        <w:t>Secretary of State for Work and Pensions v M</w:t>
      </w:r>
      <w:r w:rsidRPr="007E023E">
        <w:rPr>
          <w:rFonts w:ascii="Times New Roman" w:hAnsi="Times New Roman" w:cs="Times New Roman"/>
        </w:rPr>
        <w:t xml:space="preserve"> [2006] UKHL 11; </w:t>
      </w:r>
      <w:r w:rsidRPr="007E023E">
        <w:rPr>
          <w:rFonts w:ascii="Times New Roman" w:hAnsi="Times New Roman" w:cs="Times New Roman"/>
          <w:i/>
          <w:iCs/>
        </w:rPr>
        <w:t>R. (on the application of Hooper) v Secretary of State for Work and Pensions</w:t>
      </w:r>
      <w:r w:rsidRPr="007E023E">
        <w:rPr>
          <w:rFonts w:ascii="Times New Roman" w:hAnsi="Times New Roman" w:cs="Times New Roman"/>
        </w:rPr>
        <w:t xml:space="preserve"> [2003] EWCA </w:t>
      </w:r>
      <w:proofErr w:type="spellStart"/>
      <w:r w:rsidRPr="007E023E">
        <w:rPr>
          <w:rFonts w:ascii="Times New Roman" w:hAnsi="Times New Roman" w:cs="Times New Roman"/>
        </w:rPr>
        <w:t>Civ</w:t>
      </w:r>
      <w:proofErr w:type="spellEnd"/>
      <w:r w:rsidRPr="007E023E">
        <w:rPr>
          <w:rFonts w:ascii="Times New Roman" w:hAnsi="Times New Roman" w:cs="Times New Roman"/>
        </w:rPr>
        <w:t xml:space="preserve"> 813; and its earlier hearing in the High Court, </w:t>
      </w:r>
      <w:r w:rsidRPr="007E023E">
        <w:rPr>
          <w:rFonts w:ascii="Times New Roman" w:hAnsi="Times New Roman" w:cs="Times New Roman"/>
          <w:i/>
          <w:iCs/>
        </w:rPr>
        <w:t>R. (on the application of Hooper) v Secretary of State for Work and Pensions</w:t>
      </w:r>
      <w:r w:rsidRPr="007E023E">
        <w:rPr>
          <w:rFonts w:ascii="Times New Roman" w:hAnsi="Times New Roman" w:cs="Times New Roman"/>
        </w:rPr>
        <w:t xml:space="preserve"> [2002] EWHC 191 (Admin); C-184/99 </w:t>
      </w:r>
      <w:proofErr w:type="spellStart"/>
      <w:r w:rsidRPr="007E023E">
        <w:rPr>
          <w:rFonts w:ascii="Times New Roman" w:hAnsi="Times New Roman" w:cs="Times New Roman"/>
          <w:i/>
          <w:iCs/>
        </w:rPr>
        <w:t>Grzelczyk</w:t>
      </w:r>
      <w:proofErr w:type="spellEnd"/>
      <w:r w:rsidRPr="007E023E">
        <w:rPr>
          <w:rFonts w:ascii="Times New Roman" w:hAnsi="Times New Roman" w:cs="Times New Roman"/>
          <w:i/>
          <w:iCs/>
        </w:rPr>
        <w:t xml:space="preserve"> v Centre Public </w:t>
      </w:r>
      <w:proofErr w:type="spellStart"/>
      <w:r w:rsidRPr="007E023E">
        <w:rPr>
          <w:rFonts w:ascii="Times New Roman" w:hAnsi="Times New Roman" w:cs="Times New Roman"/>
          <w:i/>
          <w:iCs/>
        </w:rPr>
        <w:t>d'Aide</w:t>
      </w:r>
      <w:proofErr w:type="spellEnd"/>
      <w:r w:rsidRPr="007E023E">
        <w:rPr>
          <w:rFonts w:ascii="Times New Roman" w:hAnsi="Times New Roman" w:cs="Times New Roman"/>
          <w:i/>
          <w:iCs/>
        </w:rPr>
        <w:t xml:space="preserve"> </w:t>
      </w:r>
      <w:proofErr w:type="spellStart"/>
      <w:r w:rsidRPr="007E023E">
        <w:rPr>
          <w:rFonts w:ascii="Times New Roman" w:hAnsi="Times New Roman" w:cs="Times New Roman"/>
          <w:i/>
          <w:iCs/>
        </w:rPr>
        <w:t>Sociale</w:t>
      </w:r>
      <w:proofErr w:type="spellEnd"/>
      <w:r w:rsidRPr="007E023E">
        <w:rPr>
          <w:rFonts w:ascii="Times New Roman" w:hAnsi="Times New Roman" w:cs="Times New Roman"/>
          <w:i/>
          <w:iCs/>
        </w:rPr>
        <w:t xml:space="preserve"> </w:t>
      </w:r>
      <w:proofErr w:type="spellStart"/>
      <w:r w:rsidRPr="007E023E">
        <w:rPr>
          <w:rFonts w:ascii="Times New Roman" w:hAnsi="Times New Roman" w:cs="Times New Roman"/>
          <w:i/>
          <w:iCs/>
        </w:rPr>
        <w:t>d'Ottignies</w:t>
      </w:r>
      <w:proofErr w:type="spellEnd"/>
      <w:r w:rsidRPr="007E023E">
        <w:rPr>
          <w:rFonts w:ascii="Times New Roman" w:hAnsi="Times New Roman" w:cs="Times New Roman"/>
          <w:i/>
          <w:iCs/>
        </w:rPr>
        <w:t xml:space="preserve"> Louvain la Neuve</w:t>
      </w:r>
      <w:r w:rsidRPr="007E023E">
        <w:rPr>
          <w:rFonts w:ascii="Times New Roman" w:hAnsi="Times New Roman" w:cs="Times New Roman"/>
        </w:rPr>
        <w:t xml:space="preserve"> </w:t>
      </w:r>
    </w:p>
    <w:p w14:paraId="15154F78" w14:textId="77777777" w:rsidR="004F18BF" w:rsidRPr="007E023E" w:rsidRDefault="00000000" w:rsidP="004F18BF">
      <w:pPr>
        <w:pStyle w:val="FootnoteText"/>
        <w:snapToGrid w:val="0"/>
        <w:rPr>
          <w:rFonts w:ascii="Times New Roman" w:hAnsi="Times New Roman" w:cs="Times New Roman"/>
        </w:rPr>
      </w:pPr>
      <w:r w:rsidRPr="007E023E">
        <w:rPr>
          <w:rFonts w:ascii="Times New Roman" w:hAnsi="Times New Roman" w:cs="Times New Roman"/>
        </w:rPr>
        <w:t>EU:</w:t>
      </w:r>
      <w:proofErr w:type="gramStart"/>
      <w:r w:rsidRPr="007E023E">
        <w:rPr>
          <w:rFonts w:ascii="Times New Roman" w:hAnsi="Times New Roman" w:cs="Times New Roman"/>
        </w:rPr>
        <w:t>C:2001:45</w:t>
      </w:r>
      <w:proofErr w:type="gramEnd"/>
    </w:p>
  </w:footnote>
  <w:footnote w:id="27">
    <w:p w14:paraId="6D966ECE" w14:textId="586CFD07" w:rsidR="004F18BF" w:rsidRPr="007E023E" w:rsidRDefault="00000000" w:rsidP="004F18BF">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Supreme Court, above, note </w:t>
      </w:r>
      <w:r w:rsidRPr="007E023E">
        <w:rPr>
          <w:rFonts w:ascii="Times New Roman" w:hAnsi="Times New Roman" w:cs="Times New Roman"/>
        </w:rPr>
        <w:fldChar w:fldCharType="begin"/>
      </w:r>
      <w:r w:rsidRPr="007E023E">
        <w:rPr>
          <w:rFonts w:ascii="Times New Roman" w:hAnsi="Times New Roman" w:cs="Times New Roman"/>
        </w:rPr>
        <w:instrText xml:space="preserve"> NOTEREF _Ref162350923 \h  \* MERGEFORMAT </w:instrText>
      </w:r>
      <w:r w:rsidRPr="007E023E">
        <w:rPr>
          <w:rFonts w:ascii="Times New Roman" w:hAnsi="Times New Roman" w:cs="Times New Roman"/>
        </w:rPr>
      </w:r>
      <w:r w:rsidRPr="007E023E">
        <w:rPr>
          <w:rFonts w:ascii="Times New Roman" w:hAnsi="Times New Roman" w:cs="Times New Roman"/>
        </w:rPr>
        <w:fldChar w:fldCharType="separate"/>
      </w:r>
      <w:r w:rsidR="00E94952">
        <w:rPr>
          <w:rFonts w:ascii="Times New Roman" w:hAnsi="Times New Roman" w:cs="Times New Roman"/>
        </w:rPr>
        <w:t>15</w:t>
      </w:r>
      <w:r w:rsidRPr="007E023E">
        <w:rPr>
          <w:rFonts w:ascii="Times New Roman" w:hAnsi="Times New Roman" w:cs="Times New Roman"/>
        </w:rPr>
        <w:fldChar w:fldCharType="end"/>
      </w:r>
      <w:r w:rsidRPr="007E023E">
        <w:rPr>
          <w:rFonts w:ascii="Times New Roman" w:hAnsi="Times New Roman" w:cs="Times New Roman"/>
        </w:rPr>
        <w:t>.</w:t>
      </w:r>
    </w:p>
  </w:footnote>
  <w:footnote w:id="28">
    <w:p w14:paraId="3F25C83A" w14:textId="77777777" w:rsidR="004F18BF" w:rsidRPr="007E023E" w:rsidRDefault="00000000" w:rsidP="004F18BF">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Ibid. </w:t>
      </w:r>
    </w:p>
  </w:footnote>
  <w:footnote w:id="29">
    <w:p w14:paraId="277F286C" w14:textId="77777777" w:rsidR="004F18BF" w:rsidRPr="007E023E" w:rsidRDefault="00000000" w:rsidP="004F18BF">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i/>
          <w:iCs/>
        </w:rPr>
        <w:t>Prudential Assurance Co Ltd v Revenue and Customs Commissioners</w:t>
      </w:r>
      <w:r w:rsidRPr="007E023E">
        <w:rPr>
          <w:rFonts w:ascii="Times New Roman" w:hAnsi="Times New Roman" w:cs="Times New Roman"/>
        </w:rPr>
        <w:t xml:space="preserve"> [2013] EWHC 3249 (Ch).</w:t>
      </w:r>
    </w:p>
  </w:footnote>
  <w:footnote w:id="30">
    <w:p w14:paraId="543E786C" w14:textId="77777777" w:rsidR="004F18BF" w:rsidRPr="007E023E" w:rsidRDefault="00000000" w:rsidP="004F18BF">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i/>
          <w:iCs/>
        </w:rPr>
        <w:t>Revenue and Customs Commissioners v Thorn Baker Ltd</w:t>
      </w:r>
      <w:r w:rsidRPr="007E023E">
        <w:rPr>
          <w:rFonts w:ascii="Times New Roman" w:hAnsi="Times New Roman" w:cs="Times New Roman"/>
        </w:rPr>
        <w:t xml:space="preserve"> [2007] EWCA </w:t>
      </w:r>
      <w:proofErr w:type="spellStart"/>
      <w:r w:rsidRPr="007E023E">
        <w:rPr>
          <w:rFonts w:ascii="Times New Roman" w:hAnsi="Times New Roman" w:cs="Times New Roman"/>
        </w:rPr>
        <w:t>Civ</w:t>
      </w:r>
      <w:proofErr w:type="spellEnd"/>
      <w:r w:rsidRPr="007E023E">
        <w:rPr>
          <w:rFonts w:ascii="Times New Roman" w:hAnsi="Times New Roman" w:cs="Times New Roman"/>
        </w:rPr>
        <w:t xml:space="preserve"> 626.</w:t>
      </w:r>
    </w:p>
  </w:footnote>
  <w:footnote w:id="31">
    <w:p w14:paraId="370DE097" w14:textId="555665BB" w:rsidR="0009178D"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B. </w:t>
      </w:r>
      <w:proofErr w:type="spellStart"/>
      <w:r w:rsidRPr="007E023E">
        <w:rPr>
          <w:rFonts w:ascii="Times New Roman" w:hAnsi="Times New Roman" w:cs="Times New Roman"/>
        </w:rPr>
        <w:t>Opeskin</w:t>
      </w:r>
      <w:proofErr w:type="spellEnd"/>
      <w:r w:rsidRPr="007E023E">
        <w:rPr>
          <w:rFonts w:ascii="Times New Roman" w:hAnsi="Times New Roman" w:cs="Times New Roman"/>
        </w:rPr>
        <w:t xml:space="preserve">, “The Relentless Rise of Judicial Specialisation and its Implications for Judicial Systems”, (2022) 75(1) </w:t>
      </w:r>
      <w:r w:rsidRPr="007E023E">
        <w:rPr>
          <w:rFonts w:ascii="Times New Roman" w:hAnsi="Times New Roman" w:cs="Times New Roman"/>
          <w:i/>
          <w:iCs/>
        </w:rPr>
        <w:t>Current Legal Problems</w:t>
      </w:r>
      <w:r w:rsidRPr="007E023E">
        <w:rPr>
          <w:rFonts w:ascii="Times New Roman" w:hAnsi="Times New Roman" w:cs="Times New Roman"/>
        </w:rPr>
        <w:t>, 137.</w:t>
      </w:r>
    </w:p>
  </w:footnote>
  <w:footnote w:id="32">
    <w:p w14:paraId="64D6A6FA" w14:textId="77777777" w:rsidR="004F18BF" w:rsidRPr="007E023E" w:rsidRDefault="00000000" w:rsidP="004F18BF">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i/>
          <w:iCs/>
        </w:rPr>
        <w:t xml:space="preserve">Enka </w:t>
      </w:r>
      <w:proofErr w:type="spellStart"/>
      <w:r w:rsidRPr="007E023E">
        <w:rPr>
          <w:rFonts w:ascii="Times New Roman" w:hAnsi="Times New Roman" w:cs="Times New Roman"/>
          <w:i/>
          <w:iCs/>
        </w:rPr>
        <w:t>Insaat</w:t>
      </w:r>
      <w:proofErr w:type="spellEnd"/>
      <w:r w:rsidRPr="007E023E">
        <w:rPr>
          <w:rFonts w:ascii="Times New Roman" w:hAnsi="Times New Roman" w:cs="Times New Roman"/>
          <w:i/>
          <w:iCs/>
        </w:rPr>
        <w:t xml:space="preserve"> Ve Sanayi AS v OOO Insurance Company Chubb</w:t>
      </w:r>
      <w:r w:rsidRPr="007E023E">
        <w:rPr>
          <w:rFonts w:ascii="Times New Roman" w:hAnsi="Times New Roman" w:cs="Times New Roman"/>
        </w:rPr>
        <w:t xml:space="preserve"> [2020] UKSC 38, 24. </w:t>
      </w:r>
    </w:p>
  </w:footnote>
  <w:footnote w:id="33">
    <w:p w14:paraId="19D09FDC" w14:textId="77777777" w:rsidR="004F18BF" w:rsidRPr="007E023E" w:rsidRDefault="00000000" w:rsidP="004F18BF">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EWCA judgment handed down 16 April 2019; UKSC judgment 9 July 2021.</w:t>
      </w:r>
    </w:p>
  </w:footnote>
  <w:footnote w:id="34">
    <w:p w14:paraId="739188FF" w14:textId="046A7ED5" w:rsidR="004F18BF" w:rsidRPr="007E023E" w:rsidRDefault="00000000" w:rsidP="004F18BF">
      <w:pPr>
        <w:pStyle w:val="Heading1"/>
        <w:spacing w:before="0" w:beforeAutospacing="0" w:after="0" w:afterAutospacing="0"/>
        <w:rPr>
          <w:sz w:val="20"/>
          <w:szCs w:val="20"/>
        </w:rPr>
      </w:pPr>
      <w:r w:rsidRPr="007E023E">
        <w:rPr>
          <w:rStyle w:val="FootnoteReference"/>
          <w:sz w:val="20"/>
          <w:szCs w:val="20"/>
        </w:rPr>
        <w:footnoteRef/>
      </w:r>
      <w:r w:rsidRPr="007E023E">
        <w:rPr>
          <w:sz w:val="20"/>
          <w:szCs w:val="20"/>
        </w:rPr>
        <w:t xml:space="preserve"> </w:t>
      </w:r>
      <w:r w:rsidRPr="007E023E">
        <w:rPr>
          <w:b w:val="0"/>
          <w:bCs w:val="0"/>
          <w:sz w:val="20"/>
          <w:szCs w:val="20"/>
        </w:rPr>
        <w:t xml:space="preserve">Department for Work and Pensions &amp; HMRC: </w:t>
      </w:r>
      <w:r w:rsidRPr="007E023E">
        <w:rPr>
          <w:b w:val="0"/>
          <w:bCs w:val="0"/>
          <w:i/>
          <w:iCs/>
          <w:sz w:val="20"/>
          <w:szCs w:val="20"/>
        </w:rPr>
        <w:t>Official Statistics</w:t>
      </w:r>
      <w:r w:rsidRPr="007E023E">
        <w:rPr>
          <w:b w:val="0"/>
          <w:bCs w:val="0"/>
          <w:sz w:val="20"/>
          <w:szCs w:val="20"/>
        </w:rPr>
        <w:t xml:space="preserve"> “Universal Credit and Child Tax Credit claimants: statistics related to the policy to provide support for a maximum of two children, April 202</w:t>
      </w:r>
      <w:r w:rsidR="00FE594E" w:rsidRPr="007E023E">
        <w:rPr>
          <w:b w:val="0"/>
          <w:bCs w:val="0"/>
          <w:sz w:val="20"/>
          <w:szCs w:val="20"/>
        </w:rPr>
        <w:t>4</w:t>
      </w:r>
      <w:r w:rsidRPr="007E023E">
        <w:rPr>
          <w:b w:val="0"/>
          <w:bCs w:val="0"/>
          <w:sz w:val="20"/>
          <w:szCs w:val="20"/>
        </w:rPr>
        <w:t>”, 1</w:t>
      </w:r>
      <w:r w:rsidR="00FE594E" w:rsidRPr="007E023E">
        <w:rPr>
          <w:b w:val="0"/>
          <w:bCs w:val="0"/>
          <w:sz w:val="20"/>
          <w:szCs w:val="20"/>
        </w:rPr>
        <w:t>1</w:t>
      </w:r>
      <w:r w:rsidRPr="007E023E">
        <w:rPr>
          <w:b w:val="0"/>
          <w:bCs w:val="0"/>
          <w:sz w:val="20"/>
          <w:szCs w:val="20"/>
        </w:rPr>
        <w:t xml:space="preserve"> July 202</w:t>
      </w:r>
      <w:r w:rsidR="00FE594E" w:rsidRPr="007E023E">
        <w:rPr>
          <w:b w:val="0"/>
          <w:bCs w:val="0"/>
          <w:sz w:val="20"/>
          <w:szCs w:val="20"/>
        </w:rPr>
        <w:t>4</w:t>
      </w:r>
      <w:r w:rsidRPr="007E023E">
        <w:rPr>
          <w:b w:val="0"/>
          <w:bCs w:val="0"/>
          <w:sz w:val="20"/>
          <w:szCs w:val="20"/>
        </w:rPr>
        <w:t xml:space="preserve"> </w:t>
      </w:r>
      <w:r w:rsidR="00FE594E" w:rsidRPr="007E023E">
        <w:rPr>
          <w:b w:val="0"/>
          <w:bCs w:val="0"/>
          <w:sz w:val="20"/>
          <w:szCs w:val="20"/>
        </w:rPr>
        <w:t>&lt;https://www.gov.uk/government/statistics/universal-credit-and-child-tax-credit-claimants-statistics-related-to-the-policy-to-provide-support-for-a-maximum-of-2-children-april-2024/universal-credit-and-child-tax-credit-claimants-statistics-related-to-the-policy-to-provide-support-for-a-maximum-of-two-children-april-2024&gt;</w:t>
      </w:r>
      <w:r w:rsidRPr="007E023E">
        <w:rPr>
          <w:b w:val="0"/>
          <w:bCs w:val="0"/>
          <w:sz w:val="20"/>
          <w:szCs w:val="20"/>
        </w:rPr>
        <w:t>.</w:t>
      </w:r>
    </w:p>
  </w:footnote>
  <w:footnote w:id="35">
    <w:p w14:paraId="04FC3578" w14:textId="77777777" w:rsidR="003324E2" w:rsidRPr="007E023E" w:rsidRDefault="003324E2" w:rsidP="003324E2">
      <w:pPr>
        <w:pStyle w:val="NormalWeb"/>
        <w:snapToGrid w:val="0"/>
        <w:spacing w:before="0" w:beforeAutospacing="0" w:after="0" w:afterAutospacing="0"/>
        <w:rPr>
          <w:sz w:val="20"/>
          <w:szCs w:val="20"/>
        </w:rPr>
      </w:pPr>
      <w:r w:rsidRPr="007E023E">
        <w:rPr>
          <w:rStyle w:val="FootnoteReference"/>
          <w:sz w:val="20"/>
          <w:szCs w:val="20"/>
        </w:rPr>
        <w:footnoteRef/>
      </w:r>
      <w:r w:rsidRPr="007E023E">
        <w:rPr>
          <w:sz w:val="20"/>
          <w:szCs w:val="20"/>
        </w:rPr>
        <w:t xml:space="preserve"> ‘The Future for Dispute Resolution: Horizon Scanning’ </w:t>
      </w:r>
      <w:r w:rsidRPr="007E023E">
        <w:rPr>
          <w:i/>
          <w:iCs/>
          <w:sz w:val="20"/>
          <w:szCs w:val="20"/>
        </w:rPr>
        <w:t>The Society of Computers and Law</w:t>
      </w:r>
      <w:r w:rsidRPr="007E023E">
        <w:rPr>
          <w:sz w:val="20"/>
          <w:szCs w:val="20"/>
        </w:rPr>
        <w:t xml:space="preserve">; Sir Brian Neill Lecture 2022, 17 March 2022. </w:t>
      </w:r>
    </w:p>
  </w:footnote>
  <w:footnote w:id="36">
    <w:p w14:paraId="39446039" w14:textId="6DB9B2D3" w:rsidR="004F18BF" w:rsidRPr="007E023E" w:rsidRDefault="00000000" w:rsidP="004F18BF">
      <w:pPr>
        <w:snapToGrid w:val="0"/>
        <w:rPr>
          <w:rFonts w:ascii="Times New Roman" w:hAnsi="Times New Roman" w:cs="Times New Roman"/>
          <w:sz w:val="20"/>
          <w:szCs w:val="20"/>
        </w:rPr>
      </w:pPr>
      <w:r w:rsidRPr="007E023E">
        <w:rPr>
          <w:rStyle w:val="FootnoteReference"/>
          <w:rFonts w:ascii="Times New Roman" w:hAnsi="Times New Roman" w:cs="Times New Roman"/>
          <w:sz w:val="20"/>
          <w:szCs w:val="20"/>
        </w:rPr>
        <w:footnoteRef/>
      </w:r>
      <w:r w:rsidRPr="007E023E">
        <w:rPr>
          <w:rFonts w:ascii="Times New Roman" w:hAnsi="Times New Roman" w:cs="Times New Roman"/>
          <w:sz w:val="20"/>
          <w:szCs w:val="20"/>
        </w:rPr>
        <w:t xml:space="preserve"> </w:t>
      </w:r>
      <w:r w:rsidRPr="007E023E">
        <w:rPr>
          <w:rFonts w:ascii="Times New Roman" w:eastAsia="Times New Roman" w:hAnsi="Times New Roman" w:cs="Times New Roman"/>
          <w:kern w:val="36"/>
          <w:sz w:val="20"/>
          <w:szCs w:val="20"/>
          <w:lang w:eastAsia="en-GB"/>
        </w:rPr>
        <w:t>British and Irish Commercial Bar Association, Keynote address, 31 March, 2022</w:t>
      </w:r>
      <w:r w:rsidR="00CA4CF2" w:rsidRPr="007E023E">
        <w:rPr>
          <w:rFonts w:ascii="Times New Roman" w:eastAsia="Times New Roman" w:hAnsi="Times New Roman" w:cs="Times New Roman"/>
          <w:kern w:val="36"/>
          <w:sz w:val="20"/>
          <w:szCs w:val="20"/>
          <w:lang w:eastAsia="en-GB"/>
        </w:rPr>
        <w:t xml:space="preserve">, </w:t>
      </w:r>
      <w:r w:rsidR="006257CF" w:rsidRPr="007E023E">
        <w:rPr>
          <w:rFonts w:ascii="Times New Roman" w:eastAsia="Times New Roman" w:hAnsi="Times New Roman" w:cs="Times New Roman"/>
          <w:kern w:val="36"/>
          <w:sz w:val="20"/>
          <w:szCs w:val="20"/>
          <w:lang w:eastAsia="en-GB"/>
        </w:rPr>
        <w:t xml:space="preserve">para </w:t>
      </w:r>
      <w:r w:rsidR="00CA4CF2" w:rsidRPr="007E023E">
        <w:rPr>
          <w:rFonts w:ascii="Times New Roman" w:eastAsia="Times New Roman" w:hAnsi="Times New Roman" w:cs="Times New Roman"/>
          <w:kern w:val="36"/>
          <w:sz w:val="20"/>
          <w:szCs w:val="20"/>
          <w:lang w:eastAsia="en-GB"/>
        </w:rPr>
        <w:t xml:space="preserve">28. </w:t>
      </w:r>
    </w:p>
  </w:footnote>
  <w:footnote w:id="37">
    <w:p w14:paraId="04F348A6" w14:textId="782C6630" w:rsidR="00A60CB0"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R. Hunter </w:t>
      </w:r>
      <w:r w:rsidR="00194A68" w:rsidRPr="007E023E">
        <w:rPr>
          <w:rFonts w:ascii="Times New Roman" w:hAnsi="Times New Roman" w:cs="Times New Roman"/>
        </w:rPr>
        <w:t>&amp;</w:t>
      </w:r>
      <w:r w:rsidRPr="007E023E">
        <w:rPr>
          <w:rFonts w:ascii="Times New Roman" w:hAnsi="Times New Roman" w:cs="Times New Roman"/>
        </w:rPr>
        <w:t xml:space="preserve"> E. Rackley, “Judicial leadership on the UK Supreme Court”, (2018), 38(2) </w:t>
      </w:r>
      <w:r w:rsidRPr="007E023E">
        <w:rPr>
          <w:rFonts w:ascii="Times New Roman" w:hAnsi="Times New Roman" w:cs="Times New Roman"/>
          <w:i/>
          <w:iCs/>
        </w:rPr>
        <w:t>Legal Studies</w:t>
      </w:r>
      <w:r w:rsidRPr="007E023E">
        <w:rPr>
          <w:rFonts w:ascii="Times New Roman" w:hAnsi="Times New Roman" w:cs="Times New Roman"/>
        </w:rPr>
        <w:t>, 191.</w:t>
      </w:r>
    </w:p>
  </w:footnote>
  <w:footnote w:id="38">
    <w:p w14:paraId="4C1361E3" w14:textId="0B1EFFC6" w:rsidR="00A60CB0"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color w:val="2A2A2A"/>
          <w:shd w:val="clear" w:color="auto" w:fill="FFFFFF"/>
        </w:rPr>
        <w:t>R. Hunter, “More than Just a Different Face? Judicial Diversity and Decision-making”, (2015), 68(1)</w:t>
      </w:r>
      <w:r w:rsidRPr="007E023E">
        <w:rPr>
          <w:rStyle w:val="apple-converted-space"/>
          <w:rFonts w:ascii="Times New Roman" w:hAnsi="Times New Roman" w:cs="Times New Roman"/>
          <w:color w:val="2A2A2A"/>
          <w:shd w:val="clear" w:color="auto" w:fill="FFFFFF"/>
        </w:rPr>
        <w:t> </w:t>
      </w:r>
      <w:r w:rsidRPr="007E023E">
        <w:rPr>
          <w:rStyle w:val="Emphasis"/>
          <w:rFonts w:ascii="Times New Roman" w:hAnsi="Times New Roman" w:cs="Times New Roman"/>
          <w:color w:val="2A2A2A"/>
          <w:bdr w:val="none" w:sz="0" w:space="0" w:color="auto" w:frame="1"/>
        </w:rPr>
        <w:t>Current Legal Problems</w:t>
      </w:r>
      <w:r w:rsidRPr="007E023E">
        <w:rPr>
          <w:rFonts w:ascii="Times New Roman" w:hAnsi="Times New Roman" w:cs="Times New Roman"/>
          <w:color w:val="2A2A2A"/>
          <w:shd w:val="clear" w:color="auto" w:fill="FFFFFF"/>
        </w:rPr>
        <w:t>, 119</w:t>
      </w:r>
      <w:r w:rsidR="00987C68" w:rsidRPr="007E023E">
        <w:rPr>
          <w:rFonts w:ascii="Times New Roman" w:hAnsi="Times New Roman" w:cs="Times New Roman"/>
          <w:color w:val="2A2A2A"/>
          <w:shd w:val="clear" w:color="auto" w:fill="FFFFFF"/>
        </w:rPr>
        <w:t>, 127.</w:t>
      </w:r>
    </w:p>
  </w:footnote>
  <w:footnote w:id="39">
    <w:p w14:paraId="1150C1A0" w14:textId="5B1ED799" w:rsidR="00536B0F"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George Osborne, House of Commons Hansard, 8 July 2015, Vol. 598, col. 335.</w:t>
      </w:r>
    </w:p>
  </w:footnote>
  <w:footnote w:id="40">
    <w:p w14:paraId="7FCEC764" w14:textId="1274001C" w:rsidR="003324E2" w:rsidRPr="007E023E" w:rsidRDefault="003324E2">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2E7A63" w:rsidRPr="007E023E">
        <w:rPr>
          <w:rFonts w:ascii="Times New Roman" w:hAnsi="Times New Roman" w:cs="Times New Roman"/>
        </w:rPr>
        <w:t>C.7.</w:t>
      </w:r>
    </w:p>
  </w:footnote>
  <w:footnote w:id="41">
    <w:p w14:paraId="258E29F8" w14:textId="2EB5E9FC" w:rsidR="003324E2" w:rsidRPr="007E023E" w:rsidRDefault="003324E2">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2E7A63" w:rsidRPr="007E023E">
        <w:rPr>
          <w:rFonts w:ascii="Times New Roman" w:hAnsi="Times New Roman" w:cs="Times New Roman"/>
        </w:rPr>
        <w:t>S.I. 2017 No. 376.</w:t>
      </w:r>
    </w:p>
  </w:footnote>
  <w:footnote w:id="42">
    <w:p w14:paraId="6C168D3D" w14:textId="37E8B24D" w:rsidR="003324E2" w:rsidRPr="007E023E" w:rsidRDefault="003324E2">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2E7A63" w:rsidRPr="007E023E">
        <w:rPr>
          <w:rFonts w:ascii="Times New Roman" w:hAnsi="Times New Roman" w:cs="Times New Roman"/>
        </w:rPr>
        <w:t>S.I. 2017 No. 387.</w:t>
      </w:r>
    </w:p>
  </w:footnote>
  <w:footnote w:id="43">
    <w:p w14:paraId="485D4192" w14:textId="1A6ADD21" w:rsidR="000C7DE3"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BD6D86" w:rsidRPr="007E023E">
        <w:rPr>
          <w:rFonts w:ascii="Times New Roman" w:hAnsi="Times New Roman" w:cs="Times New Roman"/>
        </w:rPr>
        <w:t xml:space="preserve">Josephine Tucker, Senior Policy and Research Officer at Child Poverty Action Group, giving oral evidence to the House of Commons Work and Pensions Select Committee, 12 December 2018. </w:t>
      </w:r>
    </w:p>
  </w:footnote>
  <w:footnote w:id="44">
    <w:p w14:paraId="6C45867F" w14:textId="67B7A557" w:rsidR="00B0522F"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3F0D90" w:rsidRPr="007E023E">
        <w:rPr>
          <w:rFonts w:ascii="Times New Roman" w:hAnsi="Times New Roman" w:cs="Times New Roman"/>
        </w:rPr>
        <w:t xml:space="preserve">Resolution Foundation (2018), The Living Standards Outlook 2018. Report. Retrieved 29 August 2018: </w:t>
      </w:r>
      <w:hyperlink r:id="rId1" w:history="1">
        <w:r w:rsidR="003F0D90" w:rsidRPr="007E023E">
          <w:rPr>
            <w:rStyle w:val="Hyperlink"/>
            <w:rFonts w:ascii="Times New Roman" w:hAnsi="Times New Roman" w:cs="Times New Roman"/>
            <w:color w:val="auto"/>
          </w:rPr>
          <w:t>https://www.resolutionfoundation.org/app/uploads/2018/02/Outlook -2018.pdf</w:t>
        </w:r>
      </w:hyperlink>
      <w:r w:rsidR="003F0D90" w:rsidRPr="007E023E">
        <w:rPr>
          <w:rFonts w:ascii="Times New Roman" w:hAnsi="Times New Roman" w:cs="Times New Roman"/>
        </w:rPr>
        <w:t xml:space="preserve">; End Child Poverty, CPAG &amp; The Church of England (2018). </w:t>
      </w:r>
      <w:r w:rsidR="003F0D90" w:rsidRPr="007E023E">
        <w:rPr>
          <w:rFonts w:ascii="Times New Roman" w:hAnsi="Times New Roman" w:cs="Times New Roman"/>
          <w:i/>
          <w:iCs/>
        </w:rPr>
        <w:t>Unhappy birthday! The two- child limit at one year old</w:t>
      </w:r>
      <w:r w:rsidR="003F0D90" w:rsidRPr="007E023E">
        <w:rPr>
          <w:rFonts w:ascii="Times New Roman" w:hAnsi="Times New Roman" w:cs="Times New Roman"/>
        </w:rPr>
        <w:t xml:space="preserve"> (London: End Child Poverty, 2018). Retrieved 18 July 2018: http://www.cpag.org.uk/sites/default/files/uploads/Unhappy-birthday-report-on- two-child-limit-final.pdf.</w:t>
      </w:r>
    </w:p>
  </w:footnote>
  <w:footnote w:id="45">
    <w:p w14:paraId="22CA190F" w14:textId="0DEFB233" w:rsidR="006542E7"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D3265B" w:rsidRPr="007E023E">
        <w:rPr>
          <w:rFonts w:ascii="Times New Roman" w:hAnsi="Times New Roman" w:cs="Times New Roman"/>
        </w:rPr>
        <w:t>The Resolution Foundation estimates that half of families with three or more children were living in poverty by 2021/2, up from a third in 2012/3</w:t>
      </w:r>
      <w:r w:rsidRPr="007E023E">
        <w:rPr>
          <w:rFonts w:ascii="Times New Roman" w:hAnsi="Times New Roman" w:cs="Times New Roman"/>
        </w:rPr>
        <w:t>: The Living Standards Outlook 2022, 8 March 2022, https://www.resolutionfoundation.org/publications/the-living-standards-outlook-2022/</w:t>
      </w:r>
    </w:p>
    <w:p w14:paraId="6C0B2C71" w14:textId="3E300C59" w:rsidR="00B0522F" w:rsidRPr="007E023E" w:rsidRDefault="00000000" w:rsidP="002C50A3">
      <w:pPr>
        <w:pStyle w:val="FootnoteText"/>
        <w:snapToGrid w:val="0"/>
        <w:rPr>
          <w:rFonts w:ascii="Times New Roman" w:hAnsi="Times New Roman" w:cs="Times New Roman"/>
        </w:rPr>
      </w:pPr>
      <w:r w:rsidRPr="007E023E">
        <w:rPr>
          <w:rFonts w:ascii="Times New Roman" w:hAnsi="Times New Roman" w:cs="Times New Roman"/>
        </w:rPr>
        <w:t>The Child Poverty Action Group reported in 2023 that the two-child limit was “pushing 1.1 million children deeper into poverty”</w:t>
      </w:r>
      <w:r w:rsidR="006542E7" w:rsidRPr="007E023E">
        <w:rPr>
          <w:rFonts w:ascii="Times New Roman" w:hAnsi="Times New Roman" w:cs="Times New Roman"/>
        </w:rPr>
        <w:t xml:space="preserve">, Briefing </w:t>
      </w:r>
      <w:r w:rsidR="006542E7" w:rsidRPr="007E023E">
        <w:rPr>
          <w:rFonts w:ascii="Times New Roman" w:hAnsi="Times New Roman" w:cs="Times New Roman"/>
          <w:i/>
          <w:iCs/>
        </w:rPr>
        <w:t xml:space="preserve">Six years in: The </w:t>
      </w:r>
      <w:proofErr w:type="gramStart"/>
      <w:r w:rsidR="006542E7" w:rsidRPr="007E023E">
        <w:rPr>
          <w:rFonts w:ascii="Times New Roman" w:hAnsi="Times New Roman" w:cs="Times New Roman"/>
          <w:i/>
          <w:iCs/>
        </w:rPr>
        <w:t>two child</w:t>
      </w:r>
      <w:proofErr w:type="gramEnd"/>
      <w:r w:rsidR="006542E7" w:rsidRPr="007E023E">
        <w:rPr>
          <w:rFonts w:ascii="Times New Roman" w:hAnsi="Times New Roman" w:cs="Times New Roman"/>
          <w:i/>
          <w:iCs/>
        </w:rPr>
        <w:t xml:space="preserve"> rule</w:t>
      </w:r>
      <w:r w:rsidR="006542E7" w:rsidRPr="007E023E">
        <w:rPr>
          <w:rFonts w:ascii="Times New Roman" w:hAnsi="Times New Roman" w:cs="Times New Roman"/>
        </w:rPr>
        <w:t>, April 2023, https://cpag.org.uk/news/six-years-two-child-limit.</w:t>
      </w:r>
    </w:p>
  </w:footnote>
  <w:footnote w:id="46">
    <w:p w14:paraId="7FBE032C" w14:textId="2CBB70BF" w:rsidR="009D18A4"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B41299" w:rsidRPr="007E023E">
        <w:rPr>
          <w:rFonts w:ascii="Times New Roman" w:hAnsi="Times New Roman" w:cs="Times New Roman"/>
        </w:rPr>
        <w:t xml:space="preserve">R. Patrick, K. Andersen, M. Reader, A. Reeves, K. Stewart, </w:t>
      </w:r>
      <w:r w:rsidR="00154466" w:rsidRPr="007E023E">
        <w:rPr>
          <w:rFonts w:ascii="Times New Roman" w:hAnsi="Times New Roman" w:cs="Times New Roman"/>
        </w:rPr>
        <w:t>“</w:t>
      </w:r>
      <w:r w:rsidR="00B41299" w:rsidRPr="007E023E">
        <w:rPr>
          <w:rFonts w:ascii="Times New Roman" w:hAnsi="Times New Roman" w:cs="Times New Roman"/>
        </w:rPr>
        <w:t>Needs and entitlements welfare reform and larger families</w:t>
      </w:r>
      <w:r w:rsidR="00154466" w:rsidRPr="007E023E">
        <w:rPr>
          <w:rFonts w:ascii="Times New Roman" w:hAnsi="Times New Roman" w:cs="Times New Roman"/>
        </w:rPr>
        <w:t xml:space="preserve">” </w:t>
      </w:r>
      <w:r w:rsidR="00154466" w:rsidRPr="007E023E">
        <w:rPr>
          <w:rFonts w:ascii="Times New Roman" w:hAnsi="Times New Roman" w:cs="Times New Roman"/>
          <w:i/>
          <w:iCs/>
        </w:rPr>
        <w:t xml:space="preserve">Benefit Changes and Larger Families Project, </w:t>
      </w:r>
      <w:r w:rsidR="00154466" w:rsidRPr="007E023E">
        <w:rPr>
          <w:rFonts w:ascii="Times New Roman" w:hAnsi="Times New Roman" w:cs="Times New Roman"/>
        </w:rPr>
        <w:t>Final Report 2023, https://www.nuffieldfoundation.org/wp-content/uploads/2020/02/Needs-And-Entitlements-Welfare-Reforms-And-Larger-Families.pdf.</w:t>
      </w:r>
    </w:p>
  </w:footnote>
  <w:footnote w:id="47">
    <w:p w14:paraId="46ACAB42" w14:textId="6E691AD8" w:rsidR="00154466"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Ibid. </w:t>
      </w:r>
      <w:r w:rsidR="009361FE" w:rsidRPr="007E023E">
        <w:rPr>
          <w:rFonts w:ascii="Times New Roman" w:hAnsi="Times New Roman" w:cs="Times New Roman"/>
        </w:rPr>
        <w:t xml:space="preserve">Also, see the Changing Realities “Living archive”: </w:t>
      </w:r>
      <w:hyperlink r:id="rId2" w:history="1">
        <w:r w:rsidR="00C21C4A" w:rsidRPr="007E023E">
          <w:rPr>
            <w:rStyle w:val="Hyperlink"/>
            <w:rFonts w:ascii="Times New Roman" w:hAnsi="Times New Roman" w:cs="Times New Roman"/>
            <w:color w:val="auto"/>
          </w:rPr>
          <w:t>https://changingrealities.org/archive</w:t>
        </w:r>
      </w:hyperlink>
      <w:r w:rsidR="00C21C4A" w:rsidRPr="007E023E">
        <w:rPr>
          <w:rFonts w:ascii="Times New Roman" w:hAnsi="Times New Roman" w:cs="Times New Roman"/>
        </w:rPr>
        <w:t>. It is a “participatory online project working with over 100 parents and carers living on a low income across the U</w:t>
      </w:r>
      <w:r w:rsidR="004E0AB0" w:rsidRPr="007E023E">
        <w:rPr>
          <w:rFonts w:ascii="Times New Roman" w:hAnsi="Times New Roman" w:cs="Times New Roman"/>
        </w:rPr>
        <w:t>K”</w:t>
      </w:r>
      <w:r w:rsidR="00C21C4A" w:rsidRPr="007E023E">
        <w:rPr>
          <w:rFonts w:ascii="Times New Roman" w:hAnsi="Times New Roman" w:cs="Times New Roman"/>
        </w:rPr>
        <w:t xml:space="preserve">. </w:t>
      </w:r>
    </w:p>
  </w:footnote>
  <w:footnote w:id="48">
    <w:p w14:paraId="3967F436" w14:textId="77777777" w:rsidR="0078307E" w:rsidRPr="007E023E" w:rsidRDefault="00000000" w:rsidP="0078307E">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Y. Cohen-Rimer (2023) ‘What’s Choice Got to Do </w:t>
      </w:r>
      <w:proofErr w:type="gramStart"/>
      <w:r w:rsidRPr="007E023E">
        <w:rPr>
          <w:rFonts w:ascii="Times New Roman" w:hAnsi="Times New Roman" w:cs="Times New Roman"/>
        </w:rPr>
        <w:t>With</w:t>
      </w:r>
      <w:proofErr w:type="gramEnd"/>
      <w:r w:rsidRPr="007E023E">
        <w:rPr>
          <w:rFonts w:ascii="Times New Roman" w:hAnsi="Times New Roman" w:cs="Times New Roman"/>
        </w:rPr>
        <w:t xml:space="preserve"> It? Addressing the Pitfalls of Using Choice-Architecture Discourse Within Poverty Law’ 86(4) </w:t>
      </w:r>
      <w:r w:rsidRPr="007E023E">
        <w:rPr>
          <w:rFonts w:ascii="Times New Roman" w:hAnsi="Times New Roman" w:cs="Times New Roman"/>
          <w:i/>
          <w:iCs/>
        </w:rPr>
        <w:t>Modern Law Review</w:t>
      </w:r>
      <w:r w:rsidRPr="007E023E">
        <w:rPr>
          <w:rFonts w:ascii="Times New Roman" w:hAnsi="Times New Roman" w:cs="Times New Roman"/>
        </w:rPr>
        <w:t xml:space="preserve"> 951, 952. </w:t>
      </w:r>
    </w:p>
  </w:footnote>
  <w:footnote w:id="49">
    <w:p w14:paraId="641096A7" w14:textId="77777777" w:rsidR="0078307E" w:rsidRPr="007E023E" w:rsidRDefault="00000000" w:rsidP="0078307E">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Ibid, 975.</w:t>
      </w:r>
    </w:p>
  </w:footnote>
  <w:footnote w:id="50">
    <w:p w14:paraId="6B70791B" w14:textId="77777777" w:rsidR="0078307E" w:rsidRPr="007E023E" w:rsidRDefault="00000000" w:rsidP="0078307E">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Ibid.</w:t>
      </w:r>
    </w:p>
  </w:footnote>
  <w:footnote w:id="51">
    <w:p w14:paraId="1F779235" w14:textId="77777777" w:rsidR="0078307E" w:rsidRPr="007E023E" w:rsidRDefault="00000000" w:rsidP="0078307E">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i/>
          <w:iCs/>
        </w:rPr>
        <w:t>SC</w:t>
      </w:r>
      <w:r w:rsidRPr="007E023E">
        <w:rPr>
          <w:rFonts w:ascii="Times New Roman" w:hAnsi="Times New Roman" w:cs="Times New Roman"/>
        </w:rPr>
        <w:t>, 206.</w:t>
      </w:r>
    </w:p>
  </w:footnote>
  <w:footnote w:id="52">
    <w:p w14:paraId="732D4D59" w14:textId="082F7966" w:rsidR="000F4D61" w:rsidRPr="007E023E" w:rsidRDefault="00000000" w:rsidP="000F4D61">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Fran Bennett highlights the importance of lived experience to create a “a richer form of knowledge and better-informed practice” in the context of poverty. F. Bennett &amp; M. Roberts “The merging of knowledge? Lived experience of poverty and its place in public debate” (2024) 32(3) </w:t>
      </w:r>
      <w:r w:rsidRPr="007E023E">
        <w:rPr>
          <w:rStyle w:val="Emphasis"/>
          <w:rFonts w:ascii="Times New Roman" w:hAnsi="Times New Roman" w:cs="Times New Roman"/>
          <w:color w:val="313131"/>
        </w:rPr>
        <w:t>Journal of Poverty and Social Justice</w:t>
      </w:r>
      <w:r w:rsidRPr="007E023E">
        <w:rPr>
          <w:rFonts w:ascii="Times New Roman" w:hAnsi="Times New Roman" w:cs="Times New Roman"/>
          <w:color w:val="313131"/>
          <w:shd w:val="clear" w:color="auto" w:fill="FFFFFF"/>
        </w:rPr>
        <w:t>, 480. While an exploration of socio-economic backgrounds on the bench is beyond this paper</w:t>
      </w:r>
      <w:r w:rsidR="0073622A" w:rsidRPr="007E023E">
        <w:rPr>
          <w:rFonts w:ascii="Times New Roman" w:hAnsi="Times New Roman" w:cs="Times New Roman"/>
          <w:color w:val="313131"/>
          <w:shd w:val="clear" w:color="auto" w:fill="FFFFFF"/>
        </w:rPr>
        <w:t xml:space="preserve">, it is suggested that at least having some judges who have worked with people with such experiences would be a start. </w:t>
      </w:r>
      <w:r w:rsidRPr="007E023E">
        <w:rPr>
          <w:rFonts w:ascii="Times New Roman" w:hAnsi="Times New Roman" w:cs="Times New Roman"/>
          <w:color w:val="313131"/>
          <w:shd w:val="clear" w:color="auto" w:fill="FFFFFF"/>
        </w:rPr>
        <w:t xml:space="preserve"> </w:t>
      </w:r>
    </w:p>
  </w:footnote>
  <w:footnote w:id="53">
    <w:p w14:paraId="6F330D4C" w14:textId="435B365C" w:rsidR="00E3549E"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6438E4" w:rsidRPr="007E023E">
        <w:rPr>
          <w:rFonts w:ascii="Times New Roman" w:hAnsi="Times New Roman" w:cs="Times New Roman"/>
          <w:i/>
          <w:iCs/>
        </w:rPr>
        <w:t>SC</w:t>
      </w:r>
      <w:r w:rsidR="006438E4" w:rsidRPr="007E023E">
        <w:rPr>
          <w:rFonts w:ascii="Times New Roman" w:hAnsi="Times New Roman" w:cs="Times New Roman"/>
        </w:rPr>
        <w:t xml:space="preserve">, </w:t>
      </w:r>
      <w:r w:rsidRPr="007E023E">
        <w:rPr>
          <w:rFonts w:ascii="Times New Roman" w:hAnsi="Times New Roman" w:cs="Times New Roman"/>
        </w:rPr>
        <w:t xml:space="preserve">197. </w:t>
      </w:r>
    </w:p>
  </w:footnote>
  <w:footnote w:id="54">
    <w:p w14:paraId="1AF4BDC2" w14:textId="0686C7DB" w:rsidR="00132695"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6438E4" w:rsidRPr="007E023E">
        <w:rPr>
          <w:rFonts w:ascii="Times New Roman" w:hAnsi="Times New Roman" w:cs="Times New Roman"/>
        </w:rPr>
        <w:t>Meghan Campbell (2021) ‘Might makes right: the ‘two-child limit’ and justifiable discrimination against women and children’, 43(4</w:t>
      </w:r>
      <w:r w:rsidR="006438E4" w:rsidRPr="007E023E">
        <w:rPr>
          <w:rFonts w:ascii="Times New Roman" w:hAnsi="Times New Roman" w:cs="Times New Roman"/>
          <w:i/>
          <w:iCs/>
        </w:rPr>
        <w:t>) Journal of Social Welfare and Family Law</w:t>
      </w:r>
      <w:r w:rsidR="006438E4" w:rsidRPr="007E023E">
        <w:rPr>
          <w:rFonts w:ascii="Times New Roman" w:hAnsi="Times New Roman" w:cs="Times New Roman"/>
        </w:rPr>
        <w:t xml:space="preserve">, on the gendered nature of poverty. </w:t>
      </w:r>
    </w:p>
  </w:footnote>
  <w:footnote w:id="55">
    <w:p w14:paraId="6199B084" w14:textId="3D7AE567" w:rsidR="001C0B42" w:rsidRPr="007E023E" w:rsidRDefault="00000000" w:rsidP="001C0B42">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P. Craig </w:t>
      </w:r>
      <w:r w:rsidRPr="007E023E">
        <w:rPr>
          <w:rFonts w:ascii="Times New Roman" w:hAnsi="Times New Roman" w:cs="Times New Roman"/>
          <w:i/>
          <w:iCs/>
        </w:rPr>
        <w:t xml:space="preserve">EU Administrative Law </w:t>
      </w:r>
      <w:r w:rsidRPr="007E023E">
        <w:rPr>
          <w:rFonts w:ascii="Times New Roman" w:hAnsi="Times New Roman" w:cs="Times New Roman"/>
        </w:rPr>
        <w:t>(2</w:t>
      </w:r>
      <w:r w:rsidRPr="007E023E">
        <w:rPr>
          <w:rFonts w:ascii="Times New Roman" w:hAnsi="Times New Roman" w:cs="Times New Roman"/>
          <w:vertAlign w:val="superscript"/>
        </w:rPr>
        <w:t>nd</w:t>
      </w:r>
      <w:r w:rsidRPr="007E023E">
        <w:rPr>
          <w:rFonts w:ascii="Times New Roman" w:hAnsi="Times New Roman" w:cs="Times New Roman"/>
        </w:rPr>
        <w:t xml:space="preserve"> ed, Oxford: OUP, 2012), Ch 17, s. 4.  </w:t>
      </w:r>
    </w:p>
  </w:footnote>
  <w:footnote w:id="56">
    <w:p w14:paraId="6015AE90" w14:textId="77777777" w:rsidR="001C0B42" w:rsidRPr="007E023E" w:rsidRDefault="00000000" w:rsidP="001C0B42">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proofErr w:type="spellStart"/>
      <w:r w:rsidRPr="007E023E">
        <w:rPr>
          <w:rFonts w:ascii="Times New Roman" w:hAnsi="Times New Roman" w:cs="Times New Roman"/>
          <w:i/>
          <w:iCs/>
        </w:rPr>
        <w:t>Thlimmenos</w:t>
      </w:r>
      <w:proofErr w:type="spellEnd"/>
      <w:r w:rsidRPr="007E023E">
        <w:rPr>
          <w:rFonts w:ascii="Times New Roman" w:hAnsi="Times New Roman" w:cs="Times New Roman"/>
          <w:i/>
          <w:iCs/>
        </w:rPr>
        <w:t xml:space="preserve"> v Greece</w:t>
      </w:r>
      <w:r w:rsidRPr="007E023E">
        <w:rPr>
          <w:rFonts w:ascii="Times New Roman" w:hAnsi="Times New Roman" w:cs="Times New Roman"/>
        </w:rPr>
        <w:t xml:space="preserve"> (2001) 31 EHRR 15; </w:t>
      </w:r>
      <w:r w:rsidRPr="007E023E">
        <w:rPr>
          <w:rFonts w:ascii="Times New Roman" w:hAnsi="Times New Roman" w:cs="Times New Roman"/>
          <w:i/>
          <w:iCs/>
        </w:rPr>
        <w:t>J.D. and A v. The United Kingdom</w:t>
      </w:r>
      <w:r w:rsidRPr="007E023E">
        <w:rPr>
          <w:rFonts w:ascii="Times New Roman" w:hAnsi="Times New Roman" w:cs="Times New Roman"/>
        </w:rPr>
        <w:t xml:space="preserve"> [2020] HLR 5; </w:t>
      </w:r>
      <w:proofErr w:type="spellStart"/>
      <w:r w:rsidRPr="007E023E">
        <w:rPr>
          <w:rFonts w:ascii="Times New Roman" w:hAnsi="Times New Roman" w:cs="Times New Roman"/>
          <w:i/>
          <w:iCs/>
        </w:rPr>
        <w:t>Taddeucci</w:t>
      </w:r>
      <w:proofErr w:type="spellEnd"/>
      <w:r w:rsidRPr="007E023E">
        <w:rPr>
          <w:rFonts w:ascii="Times New Roman" w:hAnsi="Times New Roman" w:cs="Times New Roman"/>
          <w:i/>
          <w:iCs/>
        </w:rPr>
        <w:t xml:space="preserve"> and McCall v Italy</w:t>
      </w:r>
      <w:r w:rsidRPr="007E023E">
        <w:rPr>
          <w:rFonts w:ascii="Times New Roman" w:hAnsi="Times New Roman" w:cs="Times New Roman"/>
        </w:rPr>
        <w:t xml:space="preserve"> [2016] ECHR 51362/09. </w:t>
      </w:r>
    </w:p>
  </w:footnote>
  <w:footnote w:id="57">
    <w:p w14:paraId="3AD6B8C2" w14:textId="77777777" w:rsidR="001C0B42" w:rsidRPr="007E023E" w:rsidRDefault="00000000" w:rsidP="001C0B42">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Case C‑237/94 </w:t>
      </w:r>
      <w:r w:rsidRPr="007E023E">
        <w:rPr>
          <w:rFonts w:ascii="Times New Roman" w:hAnsi="Times New Roman" w:cs="Times New Roman"/>
          <w:i/>
          <w:iCs/>
        </w:rPr>
        <w:t>O’Flynn</w:t>
      </w:r>
      <w:r w:rsidRPr="007E023E">
        <w:rPr>
          <w:rFonts w:ascii="Times New Roman" w:hAnsi="Times New Roman" w:cs="Times New Roman"/>
        </w:rPr>
        <w:t xml:space="preserve"> EU:</w:t>
      </w:r>
      <w:proofErr w:type="gramStart"/>
      <w:r w:rsidRPr="007E023E">
        <w:rPr>
          <w:rFonts w:ascii="Times New Roman" w:hAnsi="Times New Roman" w:cs="Times New Roman"/>
        </w:rPr>
        <w:t>C:1996:206</w:t>
      </w:r>
      <w:proofErr w:type="gramEnd"/>
      <w:r w:rsidRPr="007E023E">
        <w:rPr>
          <w:rFonts w:ascii="Times New Roman" w:hAnsi="Times New Roman" w:cs="Times New Roman"/>
        </w:rPr>
        <w:t xml:space="preserve">; Case C-73/08 </w:t>
      </w:r>
      <w:proofErr w:type="spellStart"/>
      <w:r w:rsidRPr="007E023E">
        <w:rPr>
          <w:rFonts w:ascii="Times New Roman" w:hAnsi="Times New Roman" w:cs="Times New Roman"/>
          <w:i/>
          <w:iCs/>
        </w:rPr>
        <w:t>Bressol</w:t>
      </w:r>
      <w:proofErr w:type="spellEnd"/>
      <w:r w:rsidRPr="007E023E">
        <w:rPr>
          <w:rFonts w:ascii="Times New Roman" w:hAnsi="Times New Roman" w:cs="Times New Roman"/>
        </w:rPr>
        <w:t xml:space="preserve">, EU:C:2010:181; Case C‑27/23 </w:t>
      </w:r>
      <w:r w:rsidRPr="007E023E">
        <w:rPr>
          <w:rFonts w:ascii="Times New Roman" w:hAnsi="Times New Roman" w:cs="Times New Roman"/>
          <w:i/>
          <w:iCs/>
        </w:rPr>
        <w:t xml:space="preserve">FV v Caisse pour </w:t>
      </w:r>
      <w:proofErr w:type="spellStart"/>
      <w:r w:rsidRPr="007E023E">
        <w:rPr>
          <w:rFonts w:ascii="Times New Roman" w:hAnsi="Times New Roman" w:cs="Times New Roman"/>
          <w:i/>
          <w:iCs/>
        </w:rPr>
        <w:t>l’avenir</w:t>
      </w:r>
      <w:proofErr w:type="spellEnd"/>
      <w:r w:rsidRPr="007E023E">
        <w:rPr>
          <w:rFonts w:ascii="Times New Roman" w:hAnsi="Times New Roman" w:cs="Times New Roman"/>
          <w:i/>
          <w:iCs/>
        </w:rPr>
        <w:t xml:space="preserve"> des enfants</w:t>
      </w:r>
      <w:r w:rsidRPr="007E023E">
        <w:rPr>
          <w:rFonts w:ascii="Times New Roman" w:hAnsi="Times New Roman" w:cs="Times New Roman"/>
        </w:rPr>
        <w:t>, EU:C:2024:87, Opinion of AG Szpunar 25 January 2024.</w:t>
      </w:r>
    </w:p>
  </w:footnote>
  <w:footnote w:id="58">
    <w:p w14:paraId="5A7ABA46" w14:textId="77777777" w:rsidR="001C0B42" w:rsidRPr="007E023E" w:rsidRDefault="00000000" w:rsidP="001C0B42">
      <w:pPr>
        <w:pStyle w:val="FootnoteText"/>
        <w:snapToGrid w:val="0"/>
        <w:rPr>
          <w:rFonts w:ascii="Times New Roman" w:hAnsi="Times New Roman" w:cs="Times New Roman"/>
          <w:i/>
          <w:iCs/>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i/>
          <w:iCs/>
        </w:rPr>
        <w:t>Rex (</w:t>
      </w:r>
      <w:proofErr w:type="spellStart"/>
      <w:r w:rsidRPr="007E023E">
        <w:rPr>
          <w:rFonts w:ascii="Times New Roman" w:hAnsi="Times New Roman" w:cs="Times New Roman"/>
          <w:i/>
          <w:iCs/>
        </w:rPr>
        <w:t>Jwanczuk</w:t>
      </w:r>
      <w:proofErr w:type="spellEnd"/>
      <w:r w:rsidRPr="007E023E">
        <w:rPr>
          <w:rFonts w:ascii="Times New Roman" w:hAnsi="Times New Roman" w:cs="Times New Roman"/>
          <w:i/>
          <w:iCs/>
        </w:rPr>
        <w:t xml:space="preserve">) v Secretary of State for Work and Pensions </w:t>
      </w:r>
      <w:r w:rsidRPr="007E023E">
        <w:rPr>
          <w:rFonts w:ascii="Times New Roman" w:hAnsi="Times New Roman" w:cs="Times New Roman"/>
        </w:rPr>
        <w:t xml:space="preserve">[2023] EWCA </w:t>
      </w:r>
      <w:proofErr w:type="spellStart"/>
      <w:r w:rsidRPr="007E023E">
        <w:rPr>
          <w:rFonts w:ascii="Times New Roman" w:hAnsi="Times New Roman" w:cs="Times New Roman"/>
        </w:rPr>
        <w:t>Civ</w:t>
      </w:r>
      <w:proofErr w:type="spellEnd"/>
      <w:r w:rsidRPr="007E023E">
        <w:rPr>
          <w:rFonts w:ascii="Times New Roman" w:hAnsi="Times New Roman" w:cs="Times New Roman"/>
        </w:rPr>
        <w:t xml:space="preserve"> 1156; </w:t>
      </w:r>
      <w:r w:rsidRPr="007E023E">
        <w:rPr>
          <w:rFonts w:ascii="Times New Roman" w:hAnsi="Times New Roman" w:cs="Times New Roman"/>
          <w:i/>
          <w:iCs/>
        </w:rPr>
        <w:t>Essop and others v Home Office</w:t>
      </w:r>
      <w:r w:rsidRPr="007E023E">
        <w:rPr>
          <w:rFonts w:ascii="Times New Roman" w:hAnsi="Times New Roman" w:cs="Times New Roman"/>
        </w:rPr>
        <w:t xml:space="preserve"> [2017] UKSC 27; </w:t>
      </w:r>
      <w:r w:rsidRPr="007E023E">
        <w:rPr>
          <w:rFonts w:ascii="Times New Roman" w:hAnsi="Times New Roman" w:cs="Times New Roman"/>
          <w:i/>
          <w:iCs/>
        </w:rPr>
        <w:t>GM v Secretary of State for Work and Pensions</w:t>
      </w:r>
      <w:r w:rsidRPr="007E023E">
        <w:rPr>
          <w:rFonts w:ascii="Times New Roman" w:hAnsi="Times New Roman" w:cs="Times New Roman"/>
        </w:rPr>
        <w:t xml:space="preserve"> [2022] UKUT 85 (AAC).</w:t>
      </w:r>
    </w:p>
  </w:footnote>
  <w:footnote w:id="59">
    <w:p w14:paraId="717499EF" w14:textId="77777777" w:rsidR="001C0B42" w:rsidRPr="007E023E" w:rsidRDefault="00000000" w:rsidP="001C0B42">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i/>
          <w:iCs/>
        </w:rPr>
        <w:t>SC</w:t>
      </w:r>
      <w:r w:rsidRPr="007E023E">
        <w:rPr>
          <w:rFonts w:ascii="Times New Roman" w:hAnsi="Times New Roman" w:cs="Times New Roman"/>
        </w:rPr>
        <w:t>, 195</w:t>
      </w:r>
    </w:p>
  </w:footnote>
  <w:footnote w:id="60">
    <w:p w14:paraId="47FA2C1E" w14:textId="77777777" w:rsidR="009C18B7" w:rsidRPr="007E023E" w:rsidRDefault="00000000" w:rsidP="009C18B7">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On TINA theories see R. Queiroz (2018) ‘Neoliberal TINA: an ideological and political subversion of liberalism’, 12(2) </w:t>
      </w:r>
      <w:r w:rsidRPr="007E023E">
        <w:rPr>
          <w:rFonts w:ascii="Times New Roman" w:hAnsi="Times New Roman" w:cs="Times New Roman"/>
          <w:i/>
          <w:iCs/>
        </w:rPr>
        <w:t>Critical Policy Studies</w:t>
      </w:r>
      <w:r w:rsidRPr="007E023E">
        <w:rPr>
          <w:rFonts w:ascii="Times New Roman" w:hAnsi="Times New Roman" w:cs="Times New Roman"/>
        </w:rPr>
        <w:t>, 227.</w:t>
      </w:r>
    </w:p>
  </w:footnote>
  <w:footnote w:id="61">
    <w:p w14:paraId="0200C033" w14:textId="77777777" w:rsidR="00766511" w:rsidRPr="007E023E" w:rsidRDefault="00000000" w:rsidP="00766511">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i/>
          <w:iCs/>
        </w:rPr>
        <w:t>SC</w:t>
      </w:r>
      <w:r w:rsidRPr="007E023E">
        <w:rPr>
          <w:rFonts w:ascii="Times New Roman" w:hAnsi="Times New Roman" w:cs="Times New Roman"/>
        </w:rPr>
        <w:t xml:space="preserve">, 61. </w:t>
      </w:r>
    </w:p>
  </w:footnote>
  <w:footnote w:id="62">
    <w:p w14:paraId="11E06A2F" w14:textId="27E1062E" w:rsidR="00F75A49"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D06930" w:rsidRPr="007E023E">
        <w:rPr>
          <w:rFonts w:ascii="Times New Roman" w:hAnsi="Times New Roman" w:cs="Times New Roman"/>
        </w:rPr>
        <w:t xml:space="preserve">Campbell (2021), above, note </w:t>
      </w:r>
      <w:r w:rsidR="005B372C" w:rsidRPr="007E023E">
        <w:rPr>
          <w:rFonts w:ascii="Times New Roman" w:hAnsi="Times New Roman" w:cs="Times New Roman"/>
        </w:rPr>
        <w:fldChar w:fldCharType="begin"/>
      </w:r>
      <w:r w:rsidR="005B372C" w:rsidRPr="007E023E">
        <w:rPr>
          <w:rFonts w:ascii="Times New Roman" w:hAnsi="Times New Roman" w:cs="Times New Roman"/>
        </w:rPr>
        <w:instrText xml:space="preserve"> NOTEREF _Ref162275169 \h </w:instrText>
      </w:r>
      <w:r w:rsidR="00053D04" w:rsidRPr="007E023E">
        <w:rPr>
          <w:rFonts w:ascii="Times New Roman" w:hAnsi="Times New Roman" w:cs="Times New Roman"/>
        </w:rPr>
        <w:instrText xml:space="preserve"> \* MERGEFORMAT </w:instrText>
      </w:r>
      <w:r w:rsidR="005B372C" w:rsidRPr="007E023E">
        <w:rPr>
          <w:rFonts w:ascii="Times New Roman" w:hAnsi="Times New Roman" w:cs="Times New Roman"/>
        </w:rPr>
      </w:r>
      <w:r w:rsidR="005B372C" w:rsidRPr="007E023E">
        <w:rPr>
          <w:rFonts w:ascii="Times New Roman" w:hAnsi="Times New Roman" w:cs="Times New Roman"/>
        </w:rPr>
        <w:fldChar w:fldCharType="separate"/>
      </w:r>
      <w:r w:rsidR="00E94952">
        <w:rPr>
          <w:rFonts w:ascii="Times New Roman" w:hAnsi="Times New Roman" w:cs="Times New Roman"/>
        </w:rPr>
        <w:t>54</w:t>
      </w:r>
      <w:r w:rsidR="005B372C" w:rsidRPr="007E023E">
        <w:rPr>
          <w:rFonts w:ascii="Times New Roman" w:hAnsi="Times New Roman" w:cs="Times New Roman"/>
        </w:rPr>
        <w:fldChar w:fldCharType="end"/>
      </w:r>
      <w:r w:rsidR="005B372C" w:rsidRPr="007E023E">
        <w:rPr>
          <w:rFonts w:ascii="Times New Roman" w:hAnsi="Times New Roman" w:cs="Times New Roman"/>
        </w:rPr>
        <w:t xml:space="preserve">, 469. </w:t>
      </w:r>
    </w:p>
  </w:footnote>
  <w:footnote w:id="63">
    <w:p w14:paraId="1D3CDBD6" w14:textId="013E9F1A" w:rsidR="004B14F3"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486A2F" w:rsidRPr="007E023E">
        <w:rPr>
          <w:rFonts w:ascii="Times New Roman" w:hAnsi="Times New Roman" w:cs="Times New Roman"/>
          <w:i/>
          <w:iCs/>
        </w:rPr>
        <w:t>SC</w:t>
      </w:r>
      <w:r w:rsidR="00486A2F" w:rsidRPr="007E023E">
        <w:rPr>
          <w:rFonts w:ascii="Times New Roman" w:hAnsi="Times New Roman" w:cs="Times New Roman"/>
        </w:rPr>
        <w:t xml:space="preserve">, </w:t>
      </w:r>
      <w:r w:rsidR="00474CFC" w:rsidRPr="007E023E">
        <w:rPr>
          <w:rFonts w:ascii="Times New Roman" w:hAnsi="Times New Roman" w:cs="Times New Roman"/>
        </w:rPr>
        <w:t xml:space="preserve">162. </w:t>
      </w:r>
    </w:p>
  </w:footnote>
  <w:footnote w:id="64">
    <w:p w14:paraId="426BB8C4" w14:textId="75BF1F0B" w:rsidR="009D6E1E"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i/>
          <w:iCs/>
        </w:rPr>
        <w:t>SC</w:t>
      </w:r>
      <w:r w:rsidRPr="007E023E">
        <w:rPr>
          <w:rFonts w:ascii="Times New Roman" w:hAnsi="Times New Roman" w:cs="Times New Roman"/>
        </w:rPr>
        <w:t>, 12.</w:t>
      </w:r>
    </w:p>
  </w:footnote>
  <w:footnote w:id="65">
    <w:p w14:paraId="44C78AB0" w14:textId="78E18979" w:rsidR="005406DD"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Thanks to the peer reviewer who made this point. </w:t>
      </w:r>
    </w:p>
  </w:footnote>
  <w:footnote w:id="66">
    <w:p w14:paraId="047A72A5" w14:textId="037F6098" w:rsidR="008F5685" w:rsidRPr="007E023E" w:rsidRDefault="008F5685">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On the creation of the ‘Other’, see E. Said (1978) </w:t>
      </w:r>
      <w:r w:rsidRPr="007E023E">
        <w:rPr>
          <w:rFonts w:ascii="Times New Roman" w:hAnsi="Times New Roman" w:cs="Times New Roman"/>
          <w:i/>
          <w:iCs/>
        </w:rPr>
        <w:t>Orientalism</w:t>
      </w:r>
      <w:r w:rsidRPr="007E023E">
        <w:rPr>
          <w:rFonts w:ascii="Times New Roman" w:hAnsi="Times New Roman" w:cs="Times New Roman"/>
        </w:rPr>
        <w:t xml:space="preserve"> (New York: Random House). </w:t>
      </w:r>
      <w:r w:rsidR="00C32B62" w:rsidRPr="007E023E">
        <w:rPr>
          <w:rFonts w:ascii="Times New Roman" w:hAnsi="Times New Roman" w:cs="Times New Roman"/>
        </w:rPr>
        <w:t xml:space="preserve">On Othering and demonisation in the context of social security claiming, see </w:t>
      </w:r>
      <w:r w:rsidR="002E491D" w:rsidRPr="007E023E">
        <w:rPr>
          <w:rFonts w:ascii="Times New Roman" w:hAnsi="Times New Roman" w:cs="Times New Roman"/>
        </w:rPr>
        <w:t xml:space="preserve">e.g. S. Wright (2016) “Conceptualising the active welfare subject: welfare reform in discourse, policy and lived experience” 44(2) </w:t>
      </w:r>
      <w:r w:rsidR="002E491D" w:rsidRPr="007E023E">
        <w:rPr>
          <w:rFonts w:ascii="Times New Roman" w:hAnsi="Times New Roman" w:cs="Times New Roman"/>
          <w:i/>
          <w:iCs/>
        </w:rPr>
        <w:t xml:space="preserve">Policy &amp; Politics </w:t>
      </w:r>
      <w:r w:rsidR="002E491D" w:rsidRPr="007E023E">
        <w:rPr>
          <w:rFonts w:ascii="Times New Roman" w:hAnsi="Times New Roman" w:cs="Times New Roman"/>
        </w:rPr>
        <w:t>235</w:t>
      </w:r>
      <w:r w:rsidR="00493A60" w:rsidRPr="007E023E">
        <w:rPr>
          <w:rFonts w:ascii="Times New Roman" w:hAnsi="Times New Roman" w:cs="Times New Roman"/>
        </w:rPr>
        <w:t xml:space="preserve">: </w:t>
      </w:r>
      <w:r w:rsidR="002E491D" w:rsidRPr="007E023E">
        <w:rPr>
          <w:rFonts w:ascii="Times New Roman" w:hAnsi="Times New Roman" w:cs="Times New Roman"/>
        </w:rPr>
        <w:t>“A core aspect of ‘Othering’ is the dehumanising effects of large- scale stigmatisation that equates the shameful experience of poverty while claiming benefits with unapproved behaviours, which then may be absorbed into self-image”</w:t>
      </w:r>
      <w:r w:rsidR="00493A60" w:rsidRPr="007E023E">
        <w:rPr>
          <w:rFonts w:ascii="Times New Roman" w:hAnsi="Times New Roman" w:cs="Times New Roman"/>
        </w:rPr>
        <w:t>, 239</w:t>
      </w:r>
      <w:r w:rsidR="00A34264" w:rsidRPr="007E023E">
        <w:rPr>
          <w:rFonts w:ascii="Times New Roman" w:hAnsi="Times New Roman" w:cs="Times New Roman"/>
        </w:rPr>
        <w:t xml:space="preserve">, and R. Patrick (2016) “Living with and responding to the ‘scrounger’ narrative in the UK: exploring everyday strategies of acceptance, resistance and deflection” 24(3) </w:t>
      </w:r>
      <w:r w:rsidR="00A34264" w:rsidRPr="007E023E">
        <w:rPr>
          <w:rFonts w:ascii="Times New Roman" w:hAnsi="Times New Roman" w:cs="Times New Roman"/>
          <w:i/>
          <w:iCs/>
        </w:rPr>
        <w:t>Journal of Poverty and Social Justice</w:t>
      </w:r>
      <w:r w:rsidR="00A34264" w:rsidRPr="007E023E">
        <w:rPr>
          <w:rFonts w:ascii="Times New Roman" w:hAnsi="Times New Roman" w:cs="Times New Roman"/>
        </w:rPr>
        <w:t xml:space="preserve"> 245.</w:t>
      </w:r>
    </w:p>
  </w:footnote>
  <w:footnote w:id="67">
    <w:p w14:paraId="514D12FE" w14:textId="36A89C8F" w:rsidR="00422D43"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Lord Burnett </w:t>
      </w:r>
      <w:r w:rsidR="0058713F" w:rsidRPr="007E023E">
        <w:rPr>
          <w:rFonts w:ascii="Times New Roman" w:hAnsi="Times New Roman" w:cs="Times New Roman"/>
        </w:rPr>
        <w:t xml:space="preserve">of Maldon, Lord Chief Justice gave a speech on ‘Institutional Independence and Accountability of the Judiciary’, the </w:t>
      </w:r>
      <w:r w:rsidR="0058713F" w:rsidRPr="007E023E">
        <w:rPr>
          <w:rFonts w:ascii="Times New Roman" w:hAnsi="Times New Roman" w:cs="Times New Roman"/>
          <w:i/>
          <w:iCs/>
        </w:rPr>
        <w:t>Lionel Cohen Lecture</w:t>
      </w:r>
      <w:r w:rsidR="0058713F" w:rsidRPr="007E023E">
        <w:rPr>
          <w:rFonts w:ascii="Times New Roman" w:hAnsi="Times New Roman" w:cs="Times New Roman"/>
        </w:rPr>
        <w:t xml:space="preserve">, 30 May 2022, and said </w:t>
      </w:r>
      <w:r w:rsidRPr="007E023E">
        <w:rPr>
          <w:rFonts w:ascii="Times New Roman" w:hAnsi="Times New Roman" w:cs="Times New Roman"/>
        </w:rPr>
        <w:t>“Judges should be allergic to politics.”</w:t>
      </w:r>
    </w:p>
  </w:footnote>
  <w:footnote w:id="68">
    <w:p w14:paraId="451D9109" w14:textId="77777777" w:rsidR="00194A68" w:rsidRPr="007E023E" w:rsidRDefault="00000000" w:rsidP="00194A68">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i/>
          <w:iCs/>
        </w:rPr>
        <w:t>SC</w:t>
      </w:r>
      <w:r w:rsidRPr="007E023E">
        <w:rPr>
          <w:rFonts w:ascii="Times New Roman" w:hAnsi="Times New Roman" w:cs="Times New Roman"/>
        </w:rPr>
        <w:t xml:space="preserve">, 162. </w:t>
      </w:r>
    </w:p>
  </w:footnote>
  <w:footnote w:id="69">
    <w:p w14:paraId="1A06E402" w14:textId="6487B53D" w:rsidR="00194A68"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Ibid.</w:t>
      </w:r>
    </w:p>
  </w:footnote>
  <w:footnote w:id="70">
    <w:p w14:paraId="10527C9D" w14:textId="4B27A8EB" w:rsidR="00194A68"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Ibid.</w:t>
      </w:r>
    </w:p>
  </w:footnote>
  <w:footnote w:id="71">
    <w:p w14:paraId="79731E51" w14:textId="5A855B73" w:rsidR="00194A68"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Ibid.</w:t>
      </w:r>
    </w:p>
  </w:footnote>
  <w:footnote w:id="72">
    <w:p w14:paraId="5317570D" w14:textId="4678FE9E" w:rsidR="000A0450" w:rsidRPr="007E023E" w:rsidRDefault="00000000" w:rsidP="000A0450">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Ministry of Justice (2023), above, note </w:t>
      </w:r>
      <w:r w:rsidRPr="007E023E">
        <w:rPr>
          <w:rFonts w:ascii="Times New Roman" w:hAnsi="Times New Roman" w:cs="Times New Roman"/>
        </w:rPr>
        <w:fldChar w:fldCharType="begin"/>
      </w:r>
      <w:r w:rsidRPr="007E023E">
        <w:rPr>
          <w:rFonts w:ascii="Times New Roman" w:hAnsi="Times New Roman" w:cs="Times New Roman"/>
        </w:rPr>
        <w:instrText xml:space="preserve"> NOTEREF _Ref162291753 \h  \* MERGEFORMAT </w:instrText>
      </w:r>
      <w:r w:rsidRPr="007E023E">
        <w:rPr>
          <w:rFonts w:ascii="Times New Roman" w:hAnsi="Times New Roman" w:cs="Times New Roman"/>
        </w:rPr>
      </w:r>
      <w:r w:rsidRPr="007E023E">
        <w:rPr>
          <w:rFonts w:ascii="Times New Roman" w:hAnsi="Times New Roman" w:cs="Times New Roman"/>
        </w:rPr>
        <w:fldChar w:fldCharType="separate"/>
      </w:r>
      <w:r w:rsidR="00E94952">
        <w:rPr>
          <w:rFonts w:ascii="Times New Roman" w:hAnsi="Times New Roman" w:cs="Times New Roman"/>
        </w:rPr>
        <w:t>16</w:t>
      </w:r>
      <w:r w:rsidRPr="007E023E">
        <w:rPr>
          <w:rFonts w:ascii="Times New Roman" w:hAnsi="Times New Roman" w:cs="Times New Roman"/>
        </w:rPr>
        <w:fldChar w:fldCharType="end"/>
      </w:r>
      <w:r w:rsidRPr="007E023E">
        <w:rPr>
          <w:rFonts w:ascii="Times New Roman" w:hAnsi="Times New Roman" w:cs="Times New Roman"/>
        </w:rPr>
        <w:t>.</w:t>
      </w:r>
    </w:p>
  </w:footnote>
  <w:footnote w:id="73">
    <w:p w14:paraId="08E5C1A1" w14:textId="73CDBD12" w:rsidR="00CD34C0" w:rsidRPr="007E023E" w:rsidRDefault="00CD34C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FD22B1" w:rsidRPr="007E023E">
        <w:rPr>
          <w:rFonts w:ascii="Times New Roman" w:hAnsi="Times New Roman" w:cs="Times New Roman"/>
        </w:rPr>
        <w:t xml:space="preserve">Worth noting that only 15% of those civil cases were defended, with a ‘minority’ requiring a hearing. </w:t>
      </w:r>
      <w:r w:rsidR="0076492E" w:rsidRPr="007E023E">
        <w:rPr>
          <w:rFonts w:ascii="Times New Roman" w:hAnsi="Times New Roman" w:cs="Times New Roman"/>
        </w:rPr>
        <w:t>G. Sturge “Court statistics for England and Wales”, House of Commons Library, 13 September 2024</w:t>
      </w:r>
      <w:r w:rsidR="00FB20CF" w:rsidRPr="007E023E">
        <w:rPr>
          <w:rFonts w:ascii="Times New Roman" w:hAnsi="Times New Roman" w:cs="Times New Roman"/>
        </w:rPr>
        <w:t xml:space="preserve">, </w:t>
      </w:r>
      <w:hyperlink r:id="rId3" w:history="1">
        <w:r w:rsidR="00FB20CF" w:rsidRPr="007E023E">
          <w:rPr>
            <w:rStyle w:val="Hyperlink"/>
            <w:rFonts w:ascii="Times New Roman" w:hAnsi="Times New Roman" w:cs="Times New Roman"/>
          </w:rPr>
          <w:t>https://researchbriefings.files.parliament.uk/documents/CBP-8372/CBP-8372.pdf</w:t>
        </w:r>
      </w:hyperlink>
      <w:r w:rsidR="00FB20CF" w:rsidRPr="007E023E">
        <w:rPr>
          <w:rFonts w:ascii="Times New Roman" w:hAnsi="Times New Roman" w:cs="Times New Roman"/>
        </w:rPr>
        <w:t>, 9.</w:t>
      </w:r>
    </w:p>
  </w:footnote>
  <w:footnote w:id="74">
    <w:p w14:paraId="145E77BD" w14:textId="77777777" w:rsidR="001C0B42" w:rsidRPr="007E023E" w:rsidRDefault="00000000" w:rsidP="001C0B42">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i/>
          <w:iCs/>
        </w:rPr>
        <w:t>SC</w:t>
      </w:r>
      <w:r w:rsidRPr="007E023E">
        <w:rPr>
          <w:rFonts w:ascii="Times New Roman" w:hAnsi="Times New Roman" w:cs="Times New Roman"/>
        </w:rPr>
        <w:t>, 208.</w:t>
      </w:r>
    </w:p>
  </w:footnote>
  <w:footnote w:id="75">
    <w:p w14:paraId="15DDD924" w14:textId="77777777" w:rsidR="001C0B42" w:rsidRPr="007E023E" w:rsidRDefault="00000000" w:rsidP="001C0B42">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i/>
          <w:iCs/>
        </w:rPr>
        <w:t xml:space="preserve">SC, </w:t>
      </w:r>
      <w:r w:rsidRPr="007E023E">
        <w:rPr>
          <w:rFonts w:ascii="Times New Roman" w:hAnsi="Times New Roman" w:cs="Times New Roman"/>
        </w:rPr>
        <w:t xml:space="preserve">204, emphasis added. </w:t>
      </w:r>
    </w:p>
  </w:footnote>
  <w:footnote w:id="76">
    <w:p w14:paraId="7ADFFD23" w14:textId="77777777" w:rsidR="001C0B42" w:rsidRPr="007E023E" w:rsidRDefault="00000000" w:rsidP="001C0B42">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C. O’Brien (2018) ‘“Done Because We Are Too </w:t>
      </w:r>
      <w:proofErr w:type="spellStart"/>
      <w:r w:rsidRPr="007E023E">
        <w:rPr>
          <w:rFonts w:ascii="Times New Roman" w:hAnsi="Times New Roman" w:cs="Times New Roman"/>
        </w:rPr>
        <w:t>Menny</w:t>
      </w:r>
      <w:proofErr w:type="spellEnd"/>
      <w:r w:rsidRPr="007E023E">
        <w:rPr>
          <w:rFonts w:ascii="Times New Roman" w:hAnsi="Times New Roman" w:cs="Times New Roman"/>
        </w:rPr>
        <w:t xml:space="preserve">” The Two-Child Rule Promotes Poverty, Invokes a Narrative of Welfare Decadence, and Abandons Children’s Rights’ 26(4) </w:t>
      </w:r>
      <w:r w:rsidRPr="007E023E">
        <w:rPr>
          <w:rFonts w:ascii="Times New Roman" w:hAnsi="Times New Roman" w:cs="Times New Roman"/>
          <w:i/>
          <w:iCs/>
        </w:rPr>
        <w:t xml:space="preserve">International Journal of Children’s Rights </w:t>
      </w:r>
      <w:r w:rsidRPr="007E023E">
        <w:rPr>
          <w:rFonts w:ascii="Times New Roman" w:hAnsi="Times New Roman" w:cs="Times New Roman"/>
        </w:rPr>
        <w:t>700, 726.</w:t>
      </w:r>
    </w:p>
  </w:footnote>
  <w:footnote w:id="77">
    <w:p w14:paraId="3E2FF0A0" w14:textId="77777777" w:rsidR="001C0B42" w:rsidRPr="007E023E" w:rsidRDefault="00000000" w:rsidP="001C0B42">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i/>
          <w:iCs/>
        </w:rPr>
        <w:t>SC</w:t>
      </w:r>
      <w:r w:rsidRPr="007E023E">
        <w:rPr>
          <w:rFonts w:ascii="Times New Roman" w:hAnsi="Times New Roman" w:cs="Times New Roman"/>
        </w:rPr>
        <w:t xml:space="preserve">, 191; 198; 201; 205. </w:t>
      </w:r>
    </w:p>
  </w:footnote>
  <w:footnote w:id="78">
    <w:p w14:paraId="502EF9A0" w14:textId="77777777" w:rsidR="001C0B42" w:rsidRPr="007E023E" w:rsidRDefault="00000000" w:rsidP="001C0B42">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On the stigmatising language associated with birth limits, see Bouie, J. (2014), “The most discriminatory law in the land”, Slate, 17 June 2014. Retrieved 18 July 2018: http://www.slate.com/articles/news_and_politics/politics/2014/06/ the_maximum_family_grant_and_family_caps_a_racist_law_that_punishes_the .</w:t>
      </w:r>
      <w:proofErr w:type="spellStart"/>
      <w:r w:rsidRPr="007E023E">
        <w:rPr>
          <w:rFonts w:ascii="Times New Roman" w:hAnsi="Times New Roman" w:cs="Times New Roman"/>
        </w:rPr>
        <w:t>html?via</w:t>
      </w:r>
      <w:proofErr w:type="spellEnd"/>
      <w:r w:rsidRPr="007E023E">
        <w:rPr>
          <w:rFonts w:ascii="Times New Roman" w:hAnsi="Times New Roman" w:cs="Times New Roman"/>
        </w:rPr>
        <w:t>=</w:t>
      </w:r>
      <w:proofErr w:type="spellStart"/>
      <w:r w:rsidRPr="007E023E">
        <w:rPr>
          <w:rFonts w:ascii="Times New Roman" w:hAnsi="Times New Roman" w:cs="Times New Roman"/>
        </w:rPr>
        <w:t>gdpr</w:t>
      </w:r>
      <w:proofErr w:type="spellEnd"/>
      <w:r w:rsidRPr="007E023E">
        <w:rPr>
          <w:rFonts w:ascii="Times New Roman" w:hAnsi="Times New Roman" w:cs="Times New Roman"/>
        </w:rPr>
        <w:t xml:space="preserve">-consent; N.T. Masters; T.P. Lindhorst; M.K. Meyers (2014) ‘Jezebel at the welfare office: How racialized stereotypes of poor women's reproductive decisions and relationships shape policy implementation’ 18(2) </w:t>
      </w:r>
      <w:r w:rsidRPr="007E023E">
        <w:rPr>
          <w:rFonts w:ascii="Times New Roman" w:hAnsi="Times New Roman" w:cs="Times New Roman"/>
          <w:i/>
          <w:iCs/>
        </w:rPr>
        <w:t>Journal of Poverty</w:t>
      </w:r>
      <w:r w:rsidRPr="007E023E">
        <w:rPr>
          <w:rFonts w:ascii="Times New Roman" w:hAnsi="Times New Roman" w:cs="Times New Roman"/>
        </w:rPr>
        <w:t xml:space="preserve"> 109. </w:t>
      </w:r>
    </w:p>
  </w:footnote>
  <w:footnote w:id="79">
    <w:p w14:paraId="352B3E40" w14:textId="77777777" w:rsidR="001C0B42" w:rsidRPr="007E023E" w:rsidRDefault="00000000" w:rsidP="001C0B42">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i/>
          <w:iCs/>
        </w:rPr>
        <w:t>SC</w:t>
      </w:r>
      <w:r w:rsidRPr="007E023E">
        <w:rPr>
          <w:rFonts w:ascii="Times New Roman" w:hAnsi="Times New Roman" w:cs="Times New Roman"/>
        </w:rPr>
        <w:t xml:space="preserve">, 12. </w:t>
      </w:r>
    </w:p>
  </w:footnote>
  <w:footnote w:id="80">
    <w:p w14:paraId="56FFEFE5" w14:textId="1966ADAC" w:rsidR="001C0B42" w:rsidRPr="007E023E" w:rsidRDefault="00000000" w:rsidP="001C0B42">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See, e.g. L. Try ‘Catastrophic caps: An analysis of the impact of the two-child limit and the benefit cap’, </w:t>
      </w:r>
      <w:r w:rsidRPr="007E023E">
        <w:rPr>
          <w:rFonts w:ascii="Times New Roman" w:hAnsi="Times New Roman" w:cs="Times New Roman"/>
          <w:i/>
          <w:iCs/>
        </w:rPr>
        <w:t>Resolution Foundation</w:t>
      </w:r>
      <w:r w:rsidRPr="007E023E">
        <w:rPr>
          <w:rFonts w:ascii="Times New Roman" w:hAnsi="Times New Roman" w:cs="Times New Roman"/>
        </w:rPr>
        <w:t xml:space="preserve">, 31 January 2024. See also “Letter from the Children’s Commissioners to the Secretary of State for Work and Pensions” 21 May 2021, Sally Holland, </w:t>
      </w:r>
      <w:proofErr w:type="spellStart"/>
      <w:r w:rsidRPr="007E023E">
        <w:rPr>
          <w:rFonts w:ascii="Times New Roman" w:hAnsi="Times New Roman" w:cs="Times New Roman"/>
        </w:rPr>
        <w:t>Comisiynydd</w:t>
      </w:r>
      <w:proofErr w:type="spellEnd"/>
      <w:r w:rsidRPr="007E023E">
        <w:rPr>
          <w:rFonts w:ascii="Times New Roman" w:hAnsi="Times New Roman" w:cs="Times New Roman"/>
        </w:rPr>
        <w:t xml:space="preserve"> Plant Cymru Children’s Commissioner for Wales; Bruce Adamson, Children &amp; Young People’s Commissioner Scotland; </w:t>
      </w:r>
      <w:proofErr w:type="spellStart"/>
      <w:r w:rsidRPr="007E023E">
        <w:rPr>
          <w:rFonts w:ascii="Times New Roman" w:hAnsi="Times New Roman" w:cs="Times New Roman"/>
        </w:rPr>
        <w:t>Koulla</w:t>
      </w:r>
      <w:proofErr w:type="spellEnd"/>
      <w:r w:rsidRPr="007E023E">
        <w:rPr>
          <w:rFonts w:ascii="Times New Roman" w:hAnsi="Times New Roman" w:cs="Times New Roman"/>
        </w:rPr>
        <w:t xml:space="preserve"> </w:t>
      </w:r>
      <w:proofErr w:type="spellStart"/>
      <w:r w:rsidRPr="007E023E">
        <w:rPr>
          <w:rFonts w:ascii="Times New Roman" w:hAnsi="Times New Roman" w:cs="Times New Roman"/>
        </w:rPr>
        <w:t>Yiasouma</w:t>
      </w:r>
      <w:proofErr w:type="spellEnd"/>
      <w:r w:rsidRPr="007E023E">
        <w:rPr>
          <w:rFonts w:ascii="Times New Roman" w:hAnsi="Times New Roman" w:cs="Times New Roman"/>
        </w:rPr>
        <w:t xml:space="preserve">, NI Commissioner for Children and Young People; at Children’s and Young People’s Commissioner Scotland, </w:t>
      </w:r>
      <w:hyperlink r:id="rId4" w:history="1">
        <w:r w:rsidR="001C0B42" w:rsidRPr="007E023E">
          <w:rPr>
            <w:rStyle w:val="Hyperlink"/>
            <w:rFonts w:ascii="Times New Roman" w:hAnsi="Times New Roman" w:cs="Times New Roman"/>
            <w:color w:val="auto"/>
          </w:rPr>
          <w:t>https://www.cypcs.org.uk/resources/childrens-commissioners-for-scotland-northern-ireland-and-wales-letter-to-secretary-of-state-for-work-and-pensions/</w:t>
        </w:r>
      </w:hyperlink>
      <w:r w:rsidRPr="007E023E">
        <w:rPr>
          <w:rFonts w:ascii="Times New Roman" w:hAnsi="Times New Roman" w:cs="Times New Roman"/>
        </w:rPr>
        <w:t xml:space="preserve">. </w:t>
      </w:r>
    </w:p>
  </w:footnote>
  <w:footnote w:id="81">
    <w:p w14:paraId="1209239B" w14:textId="4130CC32" w:rsidR="008921F0"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4900B2" w:rsidRPr="007E023E">
        <w:rPr>
          <w:rFonts w:ascii="Times New Roman" w:hAnsi="Times New Roman" w:cs="Times New Roman"/>
          <w:i/>
          <w:iCs/>
        </w:rPr>
        <w:t>SC</w:t>
      </w:r>
      <w:r w:rsidR="004900B2" w:rsidRPr="007E023E">
        <w:rPr>
          <w:rFonts w:ascii="Times New Roman" w:hAnsi="Times New Roman" w:cs="Times New Roman"/>
        </w:rPr>
        <w:t xml:space="preserve">, 208. </w:t>
      </w:r>
    </w:p>
  </w:footnote>
  <w:footnote w:id="82">
    <w:p w14:paraId="2BAF1FEC" w14:textId="6A3A6AF4" w:rsidR="00251225"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Article 13 ECHR.</w:t>
      </w:r>
    </w:p>
  </w:footnote>
  <w:footnote w:id="83">
    <w:p w14:paraId="145061C2" w14:textId="4974D09A" w:rsidR="009B735D"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1E149D" w:rsidRPr="007E023E">
        <w:rPr>
          <w:rFonts w:ascii="Times New Roman" w:hAnsi="Times New Roman" w:cs="Times New Roman"/>
          <w:i/>
          <w:iCs/>
        </w:rPr>
        <w:t>R (Carmichael and others) v. Secretary of State for Work and Pensions</w:t>
      </w:r>
      <w:r w:rsidR="001E149D" w:rsidRPr="007E023E">
        <w:rPr>
          <w:rFonts w:ascii="Times New Roman" w:hAnsi="Times New Roman" w:cs="Times New Roman"/>
        </w:rPr>
        <w:t xml:space="preserve"> [2016] UKSC 58; </w:t>
      </w:r>
      <w:proofErr w:type="spellStart"/>
      <w:r w:rsidR="001E149D" w:rsidRPr="007E023E">
        <w:rPr>
          <w:rFonts w:ascii="Times New Roman" w:hAnsi="Times New Roman" w:cs="Times New Roman"/>
          <w:i/>
          <w:iCs/>
        </w:rPr>
        <w:t>Okpisz</w:t>
      </w:r>
      <w:proofErr w:type="spellEnd"/>
      <w:r w:rsidR="001E149D" w:rsidRPr="007E023E">
        <w:rPr>
          <w:rFonts w:ascii="Times New Roman" w:hAnsi="Times New Roman" w:cs="Times New Roman"/>
          <w:i/>
          <w:iCs/>
        </w:rPr>
        <w:t xml:space="preserve"> v. Germany</w:t>
      </w:r>
      <w:r w:rsidR="001E149D" w:rsidRPr="007E023E">
        <w:rPr>
          <w:rFonts w:ascii="Times New Roman" w:hAnsi="Times New Roman" w:cs="Times New Roman"/>
        </w:rPr>
        <w:t xml:space="preserve"> (2006) 42 EHRR 32.</w:t>
      </w:r>
    </w:p>
  </w:footnote>
  <w:footnote w:id="84">
    <w:p w14:paraId="71DA6EC9" w14:textId="1582BBC1" w:rsidR="009B735D"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AF4BC7" w:rsidRPr="007E023E">
        <w:rPr>
          <w:rFonts w:ascii="Times New Roman" w:hAnsi="Times New Roman" w:cs="Times New Roman"/>
          <w:i/>
          <w:iCs/>
        </w:rPr>
        <w:t xml:space="preserve">Stec and Others v. the United Kingdom </w:t>
      </w:r>
      <w:r w:rsidR="00B54AA2" w:rsidRPr="007E023E">
        <w:rPr>
          <w:rFonts w:ascii="Times New Roman" w:hAnsi="Times New Roman" w:cs="Times New Roman"/>
        </w:rPr>
        <w:t>(2005) 41 EHRR SE18</w:t>
      </w:r>
      <w:r w:rsidR="00AF4BC7" w:rsidRPr="007E023E">
        <w:rPr>
          <w:rFonts w:ascii="Times New Roman" w:hAnsi="Times New Roman" w:cs="Times New Roman"/>
        </w:rPr>
        <w:t xml:space="preserve">. </w:t>
      </w:r>
    </w:p>
  </w:footnote>
  <w:footnote w:id="85">
    <w:p w14:paraId="61451436" w14:textId="64DC957D" w:rsidR="00C77DAF"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C66EA3" w:rsidRPr="007E023E">
        <w:rPr>
          <w:rFonts w:ascii="Times New Roman" w:hAnsi="Times New Roman" w:cs="Times New Roman"/>
        </w:rPr>
        <w:t>Ibid, 98.</w:t>
      </w:r>
    </w:p>
  </w:footnote>
  <w:footnote w:id="86">
    <w:p w14:paraId="1353553C" w14:textId="582CEB9C" w:rsidR="008369DD"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925473" w:rsidRPr="007E023E">
        <w:rPr>
          <w:rFonts w:ascii="Times New Roman" w:hAnsi="Times New Roman" w:cs="Times New Roman"/>
        </w:rPr>
        <w:t xml:space="preserve">As it was not in a case also involving </w:t>
      </w:r>
      <w:r w:rsidR="004E2BEE" w:rsidRPr="007E023E">
        <w:rPr>
          <w:rFonts w:ascii="Times New Roman" w:hAnsi="Times New Roman" w:cs="Times New Roman"/>
        </w:rPr>
        <w:t xml:space="preserve">the </w:t>
      </w:r>
      <w:r w:rsidR="00925473" w:rsidRPr="007E023E">
        <w:rPr>
          <w:rFonts w:ascii="Times New Roman" w:hAnsi="Times New Roman" w:cs="Times New Roman"/>
        </w:rPr>
        <w:t>sensitive national prerogative</w:t>
      </w:r>
      <w:r w:rsidR="004E2BEE" w:rsidRPr="007E023E">
        <w:rPr>
          <w:rFonts w:ascii="Times New Roman" w:hAnsi="Times New Roman" w:cs="Times New Roman"/>
        </w:rPr>
        <w:t xml:space="preserve"> of determining the franchise: </w:t>
      </w:r>
      <w:r w:rsidRPr="007E023E">
        <w:rPr>
          <w:rFonts w:ascii="Times New Roman" w:hAnsi="Times New Roman" w:cs="Times New Roman"/>
          <w:i/>
          <w:iCs/>
        </w:rPr>
        <w:t>Hirst</w:t>
      </w:r>
      <w:r w:rsidR="005F1107" w:rsidRPr="007E023E">
        <w:rPr>
          <w:rFonts w:ascii="Times New Roman" w:hAnsi="Times New Roman" w:cs="Times New Roman"/>
          <w:i/>
          <w:iCs/>
        </w:rPr>
        <w:t xml:space="preserve"> v United Kingdom</w:t>
      </w:r>
      <w:r w:rsidRPr="007E023E">
        <w:rPr>
          <w:rFonts w:ascii="Times New Roman" w:hAnsi="Times New Roman" w:cs="Times New Roman"/>
          <w:i/>
          <w:iCs/>
        </w:rPr>
        <w:t xml:space="preserve"> (no 2</w:t>
      </w:r>
      <w:r w:rsidRPr="007E023E">
        <w:rPr>
          <w:rFonts w:ascii="Times New Roman" w:hAnsi="Times New Roman" w:cs="Times New Roman"/>
        </w:rPr>
        <w:t>)</w:t>
      </w:r>
      <w:r w:rsidR="005F1107" w:rsidRPr="007E023E">
        <w:rPr>
          <w:rFonts w:ascii="Times New Roman" w:hAnsi="Times New Roman" w:cs="Times New Roman"/>
        </w:rPr>
        <w:t xml:space="preserve"> </w:t>
      </w:r>
      <w:r w:rsidR="00A85E4B" w:rsidRPr="007E023E">
        <w:rPr>
          <w:rFonts w:ascii="Times New Roman" w:hAnsi="Times New Roman" w:cs="Times New Roman"/>
        </w:rPr>
        <w:t xml:space="preserve">(2006) 42 EHRR 41, </w:t>
      </w:r>
      <w:r w:rsidRPr="007E023E">
        <w:rPr>
          <w:rFonts w:ascii="Times New Roman" w:hAnsi="Times New Roman" w:cs="Times New Roman"/>
        </w:rPr>
        <w:t xml:space="preserve">82. </w:t>
      </w:r>
    </w:p>
  </w:footnote>
  <w:footnote w:id="87">
    <w:p w14:paraId="1A774A33" w14:textId="77777777" w:rsidR="00A13A99" w:rsidRPr="007E023E" w:rsidRDefault="00000000" w:rsidP="00A13A99">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i/>
          <w:iCs/>
        </w:rPr>
        <w:t>SC</w:t>
      </w:r>
      <w:r w:rsidRPr="007E023E">
        <w:rPr>
          <w:rFonts w:ascii="Times New Roman" w:hAnsi="Times New Roman" w:cs="Times New Roman"/>
        </w:rPr>
        <w:t xml:space="preserve">, 169. </w:t>
      </w:r>
    </w:p>
  </w:footnote>
  <w:footnote w:id="88">
    <w:p w14:paraId="4BB2CD2F" w14:textId="66C1A60E" w:rsidR="00AA0768"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0C506C" w:rsidRPr="007E023E">
        <w:rPr>
          <w:rFonts w:ascii="Times New Roman" w:hAnsi="Times New Roman" w:cs="Times New Roman"/>
          <w:i/>
          <w:iCs/>
        </w:rPr>
        <w:t>SC</w:t>
      </w:r>
      <w:r w:rsidR="000C506C" w:rsidRPr="007E023E">
        <w:rPr>
          <w:rFonts w:ascii="Times New Roman" w:hAnsi="Times New Roman" w:cs="Times New Roman"/>
        </w:rPr>
        <w:t>,</w:t>
      </w:r>
      <w:r w:rsidR="000C506C" w:rsidRPr="007E023E">
        <w:rPr>
          <w:rFonts w:ascii="Times New Roman" w:hAnsi="Times New Roman" w:cs="Times New Roman"/>
          <w:i/>
          <w:iCs/>
        </w:rPr>
        <w:t xml:space="preserve"> </w:t>
      </w:r>
      <w:r w:rsidRPr="007E023E">
        <w:rPr>
          <w:rFonts w:ascii="Times New Roman" w:hAnsi="Times New Roman" w:cs="Times New Roman"/>
        </w:rPr>
        <w:t>171.</w:t>
      </w:r>
    </w:p>
  </w:footnote>
  <w:footnote w:id="89">
    <w:p w14:paraId="463E532E" w14:textId="77777777" w:rsidR="00312B77" w:rsidRPr="007E023E" w:rsidRDefault="00000000" w:rsidP="00312B77">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i/>
          <w:iCs/>
        </w:rPr>
        <w:t>SC</w:t>
      </w:r>
      <w:r w:rsidRPr="007E023E">
        <w:rPr>
          <w:rFonts w:ascii="Times New Roman" w:hAnsi="Times New Roman" w:cs="Times New Roman"/>
        </w:rPr>
        <w:t>, 208.</w:t>
      </w:r>
    </w:p>
  </w:footnote>
  <w:footnote w:id="90">
    <w:p w14:paraId="39625F86" w14:textId="0075992C" w:rsidR="00CC5201"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“promoting and protecting minorities is an obligation inherent in universal human rights and this is in the interest of society as a whole” - </w:t>
      </w:r>
      <w:r w:rsidR="009B3356" w:rsidRPr="007E023E">
        <w:rPr>
          <w:rFonts w:ascii="Times New Roman" w:hAnsi="Times New Roman" w:cs="Times New Roman"/>
        </w:rPr>
        <w:t xml:space="preserve">Volker Türk, UN High Commissioner for Human Rights, speech on the 30th anniversary of the UN Declaration on Minority Rights: “We must do more to protect minorities”, 16 December 2022, UN Office of the High Commissioner for Human Rights, </w:t>
      </w:r>
      <w:hyperlink r:id="rId5" w:history="1">
        <w:r w:rsidR="00FD1EA5" w:rsidRPr="007E023E">
          <w:rPr>
            <w:rStyle w:val="Hyperlink"/>
            <w:rFonts w:ascii="Times New Roman" w:hAnsi="Times New Roman" w:cs="Times New Roman"/>
            <w:color w:val="auto"/>
          </w:rPr>
          <w:t>https://www.ohchr.org/en/stories/2022/12/we-must-do-more-protect-minorities</w:t>
        </w:r>
      </w:hyperlink>
      <w:r w:rsidR="00FD1EA5" w:rsidRPr="007E023E">
        <w:rPr>
          <w:rFonts w:ascii="Times New Roman" w:hAnsi="Times New Roman" w:cs="Times New Roman"/>
        </w:rPr>
        <w:t xml:space="preserve">. On the tension see: </w:t>
      </w:r>
      <w:r w:rsidR="00EE1C1D" w:rsidRPr="007E023E">
        <w:rPr>
          <w:rFonts w:ascii="Times New Roman" w:hAnsi="Times New Roman" w:cs="Times New Roman"/>
        </w:rPr>
        <w:t xml:space="preserve">R. </w:t>
      </w:r>
      <w:r w:rsidR="00FD1EA5" w:rsidRPr="007E023E">
        <w:rPr>
          <w:rFonts w:ascii="Times New Roman" w:hAnsi="Times New Roman" w:cs="Times New Roman"/>
        </w:rPr>
        <w:t xml:space="preserve">Ahnen, (2003). </w:t>
      </w:r>
      <w:r w:rsidR="00EE1C1D" w:rsidRPr="007E023E">
        <w:rPr>
          <w:rFonts w:ascii="Times New Roman" w:hAnsi="Times New Roman" w:cs="Times New Roman"/>
        </w:rPr>
        <w:t>‘</w:t>
      </w:r>
      <w:r w:rsidR="00FD1EA5" w:rsidRPr="007E023E">
        <w:rPr>
          <w:rFonts w:ascii="Times New Roman" w:hAnsi="Times New Roman" w:cs="Times New Roman"/>
        </w:rPr>
        <w:t>Between Tyranny of the Majority and Liberty: The Persistence of Human Rights Violations under Democracy in Brazil</w:t>
      </w:r>
      <w:r w:rsidR="00EE1C1D" w:rsidRPr="007E023E">
        <w:rPr>
          <w:rFonts w:ascii="Times New Roman" w:hAnsi="Times New Roman" w:cs="Times New Roman"/>
        </w:rPr>
        <w:t>’ 22(3)</w:t>
      </w:r>
      <w:r w:rsidR="00FD1EA5" w:rsidRPr="007E023E">
        <w:rPr>
          <w:rFonts w:ascii="Times New Roman" w:hAnsi="Times New Roman" w:cs="Times New Roman"/>
        </w:rPr>
        <w:t xml:space="preserve"> </w:t>
      </w:r>
      <w:r w:rsidR="00FD1EA5" w:rsidRPr="007E023E">
        <w:rPr>
          <w:rFonts w:ascii="Times New Roman" w:hAnsi="Times New Roman" w:cs="Times New Roman"/>
          <w:i/>
          <w:iCs/>
        </w:rPr>
        <w:t>Bulletin of Latin American Research</w:t>
      </w:r>
      <w:r w:rsidR="00FD1EA5" w:rsidRPr="007E023E">
        <w:rPr>
          <w:rFonts w:ascii="Times New Roman" w:hAnsi="Times New Roman" w:cs="Times New Roman"/>
        </w:rPr>
        <w:t xml:space="preserve"> 319, drawing the phrase ‘tyranny of the majority’ from Alexis De Tocqueville, </w:t>
      </w:r>
      <w:r w:rsidR="00FD1EA5" w:rsidRPr="007E023E">
        <w:rPr>
          <w:rFonts w:ascii="Times New Roman" w:hAnsi="Times New Roman" w:cs="Times New Roman"/>
          <w:i/>
          <w:iCs/>
        </w:rPr>
        <w:t>Democracy in America</w:t>
      </w:r>
      <w:r w:rsidR="008E4EF8" w:rsidRPr="007E023E">
        <w:rPr>
          <w:rFonts w:ascii="Times New Roman" w:hAnsi="Times New Roman" w:cs="Times New Roman"/>
          <w:i/>
          <w:iCs/>
        </w:rPr>
        <w:t xml:space="preserve"> </w:t>
      </w:r>
      <w:r w:rsidR="008E4EF8" w:rsidRPr="007E023E">
        <w:rPr>
          <w:rFonts w:ascii="Times New Roman" w:hAnsi="Times New Roman" w:cs="Times New Roman"/>
        </w:rPr>
        <w:t>(New York: Adlard &amp; Saunders, 1838), 252</w:t>
      </w:r>
      <w:r w:rsidR="00FD1EA5" w:rsidRPr="007E023E">
        <w:rPr>
          <w:rFonts w:ascii="Times New Roman" w:hAnsi="Times New Roman" w:cs="Times New Roman"/>
        </w:rPr>
        <w:t>.</w:t>
      </w:r>
    </w:p>
  </w:footnote>
  <w:footnote w:id="91">
    <w:p w14:paraId="26BEFAFF" w14:textId="394C9533" w:rsidR="009032D0"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2A0CEE" w:rsidRPr="007E023E">
        <w:rPr>
          <w:rFonts w:ascii="Times New Roman" w:hAnsi="Times New Roman" w:cs="Times New Roman"/>
        </w:rPr>
        <w:t xml:space="preserve">See, in the context of non-nationals: </w:t>
      </w:r>
      <w:r w:rsidR="008E4EF8" w:rsidRPr="007E023E">
        <w:rPr>
          <w:rFonts w:ascii="Times New Roman" w:hAnsi="Times New Roman" w:cs="Times New Roman"/>
        </w:rPr>
        <w:t xml:space="preserve">M. </w:t>
      </w:r>
      <w:r w:rsidRPr="007E023E">
        <w:rPr>
          <w:rFonts w:ascii="Times New Roman" w:hAnsi="Times New Roman" w:cs="Times New Roman"/>
        </w:rPr>
        <w:t xml:space="preserve">Benton </w:t>
      </w:r>
      <w:r w:rsidR="00B0059E" w:rsidRPr="007E023E">
        <w:rPr>
          <w:rFonts w:ascii="Times New Roman" w:hAnsi="Times New Roman" w:cs="Times New Roman"/>
        </w:rPr>
        <w:t>(2010) ‘</w:t>
      </w:r>
      <w:r w:rsidRPr="007E023E">
        <w:rPr>
          <w:rFonts w:ascii="Times New Roman" w:hAnsi="Times New Roman" w:cs="Times New Roman"/>
        </w:rPr>
        <w:t>The Tyranny of the Enfranchised Majority? The Accountability of States to their Non-Citizen Population</w:t>
      </w:r>
      <w:r w:rsidR="00B0059E" w:rsidRPr="007E023E">
        <w:rPr>
          <w:rFonts w:ascii="Times New Roman" w:hAnsi="Times New Roman" w:cs="Times New Roman"/>
        </w:rPr>
        <w:t>’ 16</w:t>
      </w:r>
      <w:r w:rsidRPr="007E023E">
        <w:rPr>
          <w:rFonts w:ascii="Times New Roman" w:hAnsi="Times New Roman" w:cs="Times New Roman"/>
        </w:rPr>
        <w:t xml:space="preserve"> </w:t>
      </w:r>
      <w:r w:rsidRPr="007E023E">
        <w:rPr>
          <w:rFonts w:ascii="Times New Roman" w:hAnsi="Times New Roman" w:cs="Times New Roman"/>
          <w:i/>
          <w:iCs/>
        </w:rPr>
        <w:t>Res Publica</w:t>
      </w:r>
      <w:r w:rsidRPr="007E023E">
        <w:rPr>
          <w:rFonts w:ascii="Times New Roman" w:hAnsi="Times New Roman" w:cs="Times New Roman"/>
        </w:rPr>
        <w:t xml:space="preserve"> 397.</w:t>
      </w:r>
    </w:p>
  </w:footnote>
  <w:footnote w:id="92">
    <w:p w14:paraId="020E9FCA" w14:textId="77777777" w:rsidR="007F6FBE" w:rsidRPr="007E023E" w:rsidRDefault="00000000" w:rsidP="007F6FBE">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UN Committee on the Rights of the Child General Comment No. 5 (2003), </w:t>
      </w:r>
      <w:r w:rsidRPr="007E023E">
        <w:rPr>
          <w:rFonts w:ascii="Times New Roman" w:hAnsi="Times New Roman" w:cs="Times New Roman"/>
          <w:i/>
          <w:iCs/>
        </w:rPr>
        <w:t>General measures of implementation of the Convention on the Rights of the Child</w:t>
      </w:r>
      <w:r w:rsidRPr="007E023E">
        <w:rPr>
          <w:rFonts w:ascii="Times New Roman" w:hAnsi="Times New Roman" w:cs="Times New Roman"/>
        </w:rPr>
        <w:t xml:space="preserve"> (arts. 4, 42 and 44, para. 6) CRC/GC/2003/5 27 November 2003, 24-5.</w:t>
      </w:r>
    </w:p>
  </w:footnote>
  <w:footnote w:id="93">
    <w:p w14:paraId="0510A8EC" w14:textId="28AA191E" w:rsidR="00D64FCB"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151378" w:rsidRPr="007E023E">
        <w:rPr>
          <w:rFonts w:ascii="Times New Roman" w:hAnsi="Times New Roman" w:cs="Times New Roman"/>
        </w:rPr>
        <w:t xml:space="preserve">UN Committee on the Rights of the Child </w:t>
      </w:r>
      <w:r w:rsidR="00540C8D" w:rsidRPr="007E023E">
        <w:rPr>
          <w:rFonts w:ascii="Times New Roman" w:hAnsi="Times New Roman" w:cs="Times New Roman"/>
        </w:rPr>
        <w:t xml:space="preserve">General Comment </w:t>
      </w:r>
      <w:r w:rsidR="00151378" w:rsidRPr="007E023E">
        <w:rPr>
          <w:rFonts w:ascii="Times New Roman" w:hAnsi="Times New Roman" w:cs="Times New Roman"/>
        </w:rPr>
        <w:t>No. 5 (2003)</w:t>
      </w:r>
      <w:r w:rsidR="00540C8D" w:rsidRPr="007E023E">
        <w:rPr>
          <w:rFonts w:ascii="Times New Roman" w:hAnsi="Times New Roman" w:cs="Times New Roman"/>
        </w:rPr>
        <w:t xml:space="preserve">, </w:t>
      </w:r>
      <w:r w:rsidR="00151378" w:rsidRPr="007E023E">
        <w:rPr>
          <w:rFonts w:ascii="Times New Roman" w:hAnsi="Times New Roman" w:cs="Times New Roman"/>
          <w:i/>
          <w:iCs/>
        </w:rPr>
        <w:t>General measures of implementation of the Convention on the Rights of the Child</w:t>
      </w:r>
      <w:r w:rsidR="00151378" w:rsidRPr="007E023E">
        <w:rPr>
          <w:rFonts w:ascii="Times New Roman" w:hAnsi="Times New Roman" w:cs="Times New Roman"/>
        </w:rPr>
        <w:t xml:space="preserve"> (arts. 4, 42 and 44, para. 6) CRC/GC/2003/5 27 November 2003, 24-5.</w:t>
      </w:r>
    </w:p>
  </w:footnote>
  <w:footnote w:id="94">
    <w:p w14:paraId="342A0FDF" w14:textId="3E2F6694" w:rsidR="002D3FB6"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4D4E02" w:rsidRPr="007E023E">
        <w:rPr>
          <w:rFonts w:ascii="Times New Roman" w:hAnsi="Times New Roman" w:cs="Times New Roman"/>
        </w:rPr>
        <w:t>Ibid</w:t>
      </w:r>
      <w:r w:rsidR="00771680" w:rsidRPr="007E023E">
        <w:rPr>
          <w:rFonts w:ascii="Times New Roman" w:hAnsi="Times New Roman" w:cs="Times New Roman"/>
        </w:rPr>
        <w:t>, 4.</w:t>
      </w:r>
    </w:p>
  </w:footnote>
  <w:footnote w:id="95">
    <w:p w14:paraId="56AAB44C" w14:textId="28393F76" w:rsidR="000A47F1"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Article 3.</w:t>
      </w:r>
    </w:p>
  </w:footnote>
  <w:footnote w:id="96">
    <w:p w14:paraId="73FA7DB2" w14:textId="129A088D" w:rsidR="000A47F1"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Article 25.</w:t>
      </w:r>
    </w:p>
  </w:footnote>
  <w:footnote w:id="97">
    <w:p w14:paraId="6DD25C48" w14:textId="77777777" w:rsidR="000A47F1" w:rsidRPr="007E023E" w:rsidRDefault="00000000" w:rsidP="000A47F1">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General Comment 19 (UN Committee on the Rights of the Child, 2016: §31) on public budgeting for the realisation of children’s rights.</w:t>
      </w:r>
    </w:p>
  </w:footnote>
  <w:footnote w:id="98">
    <w:p w14:paraId="7861953A" w14:textId="594C259C" w:rsidR="00F04E94"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2338EA" w:rsidRPr="007E023E">
        <w:rPr>
          <w:rFonts w:ascii="Times New Roman" w:hAnsi="Times New Roman" w:cs="Times New Roman"/>
          <w:i/>
          <w:iCs/>
        </w:rPr>
        <w:t>R (on the application of SG and others (previously JS and others)) (Appellants) v Secretary of State for Work and Pensions (Respondent)</w:t>
      </w:r>
      <w:r w:rsidR="002338EA" w:rsidRPr="007E023E">
        <w:rPr>
          <w:rFonts w:ascii="Times New Roman" w:hAnsi="Times New Roman" w:cs="Times New Roman"/>
        </w:rPr>
        <w:t xml:space="preserve"> [2015] UKSC 16</w:t>
      </w:r>
      <w:r w:rsidR="00ED3844" w:rsidRPr="007E023E">
        <w:rPr>
          <w:rFonts w:ascii="Times New Roman" w:hAnsi="Times New Roman" w:cs="Times New Roman"/>
        </w:rPr>
        <w:t xml:space="preserve">; </w:t>
      </w:r>
      <w:r w:rsidR="00ED3844" w:rsidRPr="007E023E">
        <w:rPr>
          <w:rFonts w:ascii="Times New Roman" w:hAnsi="Times New Roman" w:cs="Times New Roman"/>
          <w:i/>
          <w:iCs/>
        </w:rPr>
        <w:t xml:space="preserve">V </w:t>
      </w:r>
      <w:proofErr w:type="spellStart"/>
      <w:r w:rsidR="00ED3844" w:rsidRPr="007E023E">
        <w:rPr>
          <w:rFonts w:ascii="Times New Roman" w:hAnsi="Times New Roman" w:cs="Times New Roman"/>
          <w:i/>
          <w:iCs/>
        </w:rPr>
        <w:t>v</w:t>
      </w:r>
      <w:proofErr w:type="spellEnd"/>
      <w:r w:rsidR="00ED3844" w:rsidRPr="007E023E">
        <w:rPr>
          <w:rFonts w:ascii="Times New Roman" w:hAnsi="Times New Roman" w:cs="Times New Roman"/>
          <w:i/>
          <w:iCs/>
        </w:rPr>
        <w:t xml:space="preserve"> United Kingdom</w:t>
      </w:r>
      <w:r w:rsidR="00ED3844" w:rsidRPr="007E023E">
        <w:rPr>
          <w:rFonts w:ascii="Times New Roman" w:hAnsi="Times New Roman" w:cs="Times New Roman"/>
        </w:rPr>
        <w:t xml:space="preserve"> (2000) 30 EHRR 121</w:t>
      </w:r>
      <w:r w:rsidR="00F04DF8" w:rsidRPr="007E023E">
        <w:rPr>
          <w:rFonts w:ascii="Times New Roman" w:hAnsi="Times New Roman" w:cs="Times New Roman"/>
        </w:rPr>
        <w:t>.</w:t>
      </w:r>
    </w:p>
  </w:footnote>
  <w:footnote w:id="99">
    <w:p w14:paraId="2C0ED802" w14:textId="77777777" w:rsidR="00FF5544" w:rsidRPr="007E023E" w:rsidRDefault="00000000" w:rsidP="00FF5544">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i/>
          <w:iCs/>
        </w:rPr>
        <w:t>SC</w:t>
      </w:r>
      <w:r w:rsidRPr="007E023E">
        <w:rPr>
          <w:rFonts w:ascii="Times New Roman" w:hAnsi="Times New Roman" w:cs="Times New Roman"/>
        </w:rPr>
        <w:t xml:space="preserve">, 80. </w:t>
      </w:r>
    </w:p>
  </w:footnote>
  <w:footnote w:id="100">
    <w:p w14:paraId="22CA5DE6" w14:textId="6A577E34" w:rsidR="00F04E94"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F04DF8" w:rsidRPr="007E023E">
        <w:rPr>
          <w:rFonts w:ascii="Times New Roman" w:hAnsi="Times New Roman" w:cs="Times New Roman"/>
          <w:i/>
          <w:iCs/>
        </w:rPr>
        <w:t>SC</w:t>
      </w:r>
      <w:r w:rsidR="00F04DF8" w:rsidRPr="007E023E">
        <w:rPr>
          <w:rFonts w:ascii="Times New Roman" w:hAnsi="Times New Roman" w:cs="Times New Roman"/>
        </w:rPr>
        <w:t xml:space="preserve">, 79. </w:t>
      </w:r>
    </w:p>
  </w:footnote>
  <w:footnote w:id="101">
    <w:p w14:paraId="2354FA48" w14:textId="77777777" w:rsidR="00E53C5F" w:rsidRPr="007E023E" w:rsidRDefault="00000000" w:rsidP="00E53C5F">
      <w:pPr>
        <w:pStyle w:val="FootnoteText"/>
        <w:snapToGrid w:val="0"/>
        <w:rPr>
          <w:rFonts w:ascii="Times New Roman" w:hAnsi="Times New Roman" w:cs="Times New Roman"/>
          <w:i/>
          <w:iCs/>
        </w:rPr>
      </w:pPr>
      <w:r w:rsidRPr="007E023E">
        <w:rPr>
          <w:rStyle w:val="FootnoteReference"/>
          <w:rFonts w:ascii="Times New Roman" w:hAnsi="Times New Roman" w:cs="Times New Roman"/>
        </w:rPr>
        <w:footnoteRef/>
      </w:r>
      <w:r w:rsidRPr="007E023E">
        <w:rPr>
          <w:rFonts w:ascii="Times New Roman" w:hAnsi="Times New Roman" w:cs="Times New Roman"/>
        </w:rPr>
        <w:t xml:space="preserve"> L. Graham (2024) ‘Has the UK Supreme Court Become More Restrained in Public Law Cases?’ </w:t>
      </w:r>
      <w:r w:rsidRPr="007E023E">
        <w:rPr>
          <w:rFonts w:ascii="Times New Roman" w:hAnsi="Times New Roman" w:cs="Times New Roman"/>
          <w:i/>
          <w:iCs/>
        </w:rPr>
        <w:t xml:space="preserve">Modern Law </w:t>
      </w:r>
      <w:proofErr w:type="gramStart"/>
      <w:r w:rsidRPr="007E023E">
        <w:rPr>
          <w:rFonts w:ascii="Times New Roman" w:hAnsi="Times New Roman" w:cs="Times New Roman"/>
          <w:i/>
          <w:iCs/>
        </w:rPr>
        <w:t>Review</w:t>
      </w:r>
      <w:r w:rsidRPr="007E023E">
        <w:rPr>
          <w:rFonts w:ascii="Times New Roman" w:hAnsi="Times New Roman" w:cs="Times New Roman"/>
        </w:rPr>
        <w:t>;</w:t>
      </w:r>
      <w:proofErr w:type="gramEnd"/>
      <w:r w:rsidRPr="007E023E">
        <w:rPr>
          <w:rFonts w:ascii="Times New Roman" w:hAnsi="Times New Roman" w:cs="Times New Roman"/>
        </w:rPr>
        <w:t xml:space="preserve"> Graham analysed the Supreme Court’s case law and found a ‘more restrained approach to public law’ on some key areas, including in See also C. Gearty, (2022) ‘In the shallow end’ London Review of Books 27 January 2022, https://www.lrb. co.uk/the-paper/v44/n02/</w:t>
      </w:r>
      <w:proofErr w:type="spellStart"/>
      <w:r w:rsidRPr="007E023E">
        <w:rPr>
          <w:rFonts w:ascii="Times New Roman" w:hAnsi="Times New Roman" w:cs="Times New Roman"/>
        </w:rPr>
        <w:t>conor-gearty</w:t>
      </w:r>
      <w:proofErr w:type="spellEnd"/>
      <w:r w:rsidRPr="007E023E">
        <w:rPr>
          <w:rFonts w:ascii="Times New Roman" w:hAnsi="Times New Roman" w:cs="Times New Roman"/>
        </w:rPr>
        <w:t>/in-the-shallow-</w:t>
      </w:r>
      <w:proofErr w:type="gramStart"/>
      <w:r w:rsidRPr="007E023E">
        <w:rPr>
          <w:rFonts w:ascii="Times New Roman" w:hAnsi="Times New Roman" w:cs="Times New Roman"/>
        </w:rPr>
        <w:t>end;</w:t>
      </w:r>
      <w:proofErr w:type="gramEnd"/>
      <w:r w:rsidRPr="007E023E">
        <w:rPr>
          <w:rFonts w:ascii="Times New Roman" w:hAnsi="Times New Roman" w:cs="Times New Roman"/>
        </w:rPr>
        <w:t xml:space="preserve"> </w:t>
      </w:r>
    </w:p>
  </w:footnote>
  <w:footnote w:id="102">
    <w:p w14:paraId="55DA24F7" w14:textId="77777777" w:rsidR="00BF6F49" w:rsidRPr="007E023E" w:rsidRDefault="00000000" w:rsidP="00BF6F49">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i/>
          <w:iCs/>
          <w:color w:val="000000"/>
        </w:rPr>
        <w:t>SG &amp; Ors, R (on the application of) v Secretary of State for Work and Pensions (SSWP)</w:t>
      </w:r>
      <w:r w:rsidRPr="007E023E">
        <w:rPr>
          <w:rFonts w:ascii="Times New Roman" w:hAnsi="Times New Roman" w:cs="Times New Roman"/>
          <w:color w:val="000000"/>
        </w:rPr>
        <w:t xml:space="preserve"> [2015] UKSC 16. </w:t>
      </w:r>
    </w:p>
  </w:footnote>
  <w:footnote w:id="103">
    <w:p w14:paraId="72908CA8" w14:textId="70115493" w:rsidR="00BF6F49"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DA577C" w:rsidRPr="007E023E">
        <w:rPr>
          <w:rFonts w:ascii="Times New Roman" w:hAnsi="Times New Roman" w:cs="Times New Roman"/>
          <w:i/>
          <w:iCs/>
        </w:rPr>
        <w:t>SG</w:t>
      </w:r>
      <w:r w:rsidR="00DA577C" w:rsidRPr="007E023E">
        <w:rPr>
          <w:rFonts w:ascii="Times New Roman" w:hAnsi="Times New Roman" w:cs="Times New Roman"/>
        </w:rPr>
        <w:t xml:space="preserve">, </w:t>
      </w:r>
      <w:r w:rsidRPr="007E023E">
        <w:rPr>
          <w:rFonts w:ascii="Times New Roman" w:hAnsi="Times New Roman" w:cs="Times New Roman"/>
        </w:rPr>
        <w:t>77.</w:t>
      </w:r>
    </w:p>
  </w:footnote>
  <w:footnote w:id="104">
    <w:p w14:paraId="55568811" w14:textId="3722F0FE" w:rsidR="00DA577C"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i/>
          <w:iCs/>
        </w:rPr>
        <w:t>SG</w:t>
      </w:r>
      <w:r w:rsidRPr="007E023E">
        <w:rPr>
          <w:rFonts w:ascii="Times New Roman" w:hAnsi="Times New Roman" w:cs="Times New Roman"/>
        </w:rPr>
        <w:t>, 180.</w:t>
      </w:r>
    </w:p>
  </w:footnote>
  <w:footnote w:id="105">
    <w:p w14:paraId="5C36EA85" w14:textId="0AB8AAD5" w:rsidR="00DA577C"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i/>
          <w:iCs/>
        </w:rPr>
        <w:t>SG</w:t>
      </w:r>
      <w:r w:rsidRPr="007E023E">
        <w:rPr>
          <w:rFonts w:ascii="Times New Roman" w:hAnsi="Times New Roman" w:cs="Times New Roman"/>
        </w:rPr>
        <w:t>,</w:t>
      </w:r>
      <w:r w:rsidRPr="007E023E">
        <w:rPr>
          <w:rFonts w:ascii="Times New Roman" w:hAnsi="Times New Roman" w:cs="Times New Roman"/>
          <w:i/>
          <w:iCs/>
        </w:rPr>
        <w:t xml:space="preserve"> </w:t>
      </w:r>
      <w:r w:rsidRPr="007E023E">
        <w:rPr>
          <w:rFonts w:ascii="Times New Roman" w:hAnsi="Times New Roman" w:cs="Times New Roman"/>
        </w:rPr>
        <w:t>181-2.</w:t>
      </w:r>
    </w:p>
  </w:footnote>
  <w:footnote w:id="106">
    <w:p w14:paraId="51197E5F" w14:textId="3E516343" w:rsidR="00246A20" w:rsidRPr="007E023E" w:rsidRDefault="00000000">
      <w:pPr>
        <w:pStyle w:val="FootnoteText"/>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i/>
          <w:iCs/>
        </w:rPr>
        <w:t>SG</w:t>
      </w:r>
      <w:r w:rsidRPr="007E023E">
        <w:rPr>
          <w:rFonts w:ascii="Times New Roman" w:hAnsi="Times New Roman" w:cs="Times New Roman"/>
        </w:rPr>
        <w:t xml:space="preserve">, 229. </w:t>
      </w:r>
    </w:p>
  </w:footnote>
  <w:footnote w:id="107">
    <w:p w14:paraId="1FA98D1E" w14:textId="241292F1" w:rsidR="00873334"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Pr="007E023E">
        <w:rPr>
          <w:rFonts w:ascii="Times New Roman" w:hAnsi="Times New Roman" w:cs="Times New Roman"/>
          <w:i/>
          <w:iCs/>
        </w:rPr>
        <w:t>UNISON, R (on the application of) v Lord Chancellor</w:t>
      </w:r>
      <w:r w:rsidRPr="007E023E">
        <w:rPr>
          <w:rFonts w:ascii="Times New Roman" w:hAnsi="Times New Roman" w:cs="Times New Roman"/>
        </w:rPr>
        <w:t xml:space="preserve"> [2017] UKSC 51</w:t>
      </w:r>
      <w:r w:rsidR="00F04DF8" w:rsidRPr="007E023E">
        <w:rPr>
          <w:rFonts w:ascii="Times New Roman" w:hAnsi="Times New Roman" w:cs="Times New Roman"/>
        </w:rPr>
        <w:t>.</w:t>
      </w:r>
    </w:p>
  </w:footnote>
  <w:footnote w:id="108">
    <w:p w14:paraId="1C5BC418" w14:textId="0957F15B" w:rsidR="00584B66"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SI 2013/1893.</w:t>
      </w:r>
    </w:p>
  </w:footnote>
  <w:footnote w:id="109">
    <w:p w14:paraId="70A224B6" w14:textId="067CB03F" w:rsidR="00ED7AA3"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Not under on the HRA, as the appellant not a ‘victim’ within the meaning of that Act; under common law and EU law rights of access to justice (both of which brought Article 6 ECHR into play).</w:t>
      </w:r>
    </w:p>
  </w:footnote>
  <w:footnote w:id="110">
    <w:p w14:paraId="330575D1" w14:textId="0FBBB939" w:rsidR="00064775"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Tribunals, Courts and Enforcement Act 2007, s. 42 (1).</w:t>
      </w:r>
    </w:p>
  </w:footnote>
  <w:footnote w:id="111">
    <w:p w14:paraId="2B4D92A3" w14:textId="77777777" w:rsidR="00584B66"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On 25 April 2013.</w:t>
      </w:r>
    </w:p>
  </w:footnote>
  <w:footnote w:id="112">
    <w:p w14:paraId="2D7E64B8" w14:textId="096A21EF" w:rsidR="00187301"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B35F3A" w:rsidRPr="007E023E">
        <w:rPr>
          <w:rFonts w:ascii="Times New Roman" w:hAnsi="Times New Roman" w:cs="Times New Roman"/>
        </w:rPr>
        <w:t>HC Deb 12 June 2013</w:t>
      </w:r>
      <w:r w:rsidR="00C66EA3" w:rsidRPr="007E023E">
        <w:rPr>
          <w:rFonts w:ascii="Times New Roman" w:hAnsi="Times New Roman" w:cs="Times New Roman"/>
        </w:rPr>
        <w:t xml:space="preserve">; </w:t>
      </w:r>
      <w:r w:rsidR="00B35F3A" w:rsidRPr="007E023E">
        <w:rPr>
          <w:rFonts w:ascii="Times New Roman" w:hAnsi="Times New Roman" w:cs="Times New Roman"/>
        </w:rPr>
        <w:t xml:space="preserve">Volume </w:t>
      </w:r>
      <w:r w:rsidR="00B2064F" w:rsidRPr="007E023E">
        <w:rPr>
          <w:rFonts w:ascii="Times New Roman" w:hAnsi="Times New Roman" w:cs="Times New Roman"/>
        </w:rPr>
        <w:t xml:space="preserve">564, c465; </w:t>
      </w:r>
      <w:r w:rsidR="00B35F3A" w:rsidRPr="007E023E">
        <w:rPr>
          <w:rFonts w:ascii="Times New Roman" w:hAnsi="Times New Roman" w:cs="Times New Roman"/>
        </w:rPr>
        <w:t>HL Deb 8 July 2013, Volume 747, c88.</w:t>
      </w:r>
    </w:p>
  </w:footnote>
  <w:footnote w:id="113">
    <w:p w14:paraId="27B5175A" w14:textId="77777777" w:rsidR="0028512D"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HM Courts &amp; Tribunals Service &amp; Department for Business Innovation &amp; Skills, (2011) </w:t>
      </w:r>
      <w:r w:rsidRPr="007E023E">
        <w:rPr>
          <w:rFonts w:ascii="Times New Roman" w:hAnsi="Times New Roman" w:cs="Times New Roman"/>
          <w:i/>
          <w:iCs/>
        </w:rPr>
        <w:t xml:space="preserve">Resolving Workplace Disputes:  Government response to the consultation, </w:t>
      </w:r>
      <w:r w:rsidRPr="007E023E">
        <w:rPr>
          <w:rFonts w:ascii="Times New Roman" w:hAnsi="Times New Roman" w:cs="Times New Roman"/>
        </w:rPr>
        <w:t>November 2011, https://assets.publishing.service.gov.uk/media/5a7ca68940f0b65b3de0a48c/11-1365-resolving-workplace-disputes-government-response.pdf.</w:t>
      </w:r>
    </w:p>
  </w:footnote>
  <w:footnote w:id="114">
    <w:p w14:paraId="10CA3720" w14:textId="2419BA35" w:rsidR="00584B66"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Ministry of Justice, Consultation paper CP22/2011, 14 December 2011: </w:t>
      </w:r>
      <w:hyperlink r:id="rId6" w:history="1">
        <w:r w:rsidR="00584B66" w:rsidRPr="007E023E">
          <w:rPr>
            <w:rStyle w:val="Hyperlink"/>
            <w:rFonts w:ascii="Times New Roman" w:hAnsi="Times New Roman" w:cs="Times New Roman"/>
            <w:color w:val="auto"/>
          </w:rPr>
          <w:t>https://consult.justice.gov.uk/digital-communications/et-fee-charging-regime-cp22-2011/supporting_documents/chargingfeesinetandeat1.pdf</w:t>
        </w:r>
      </w:hyperlink>
      <w:r w:rsidRPr="007E023E">
        <w:rPr>
          <w:rFonts w:ascii="Times New Roman" w:hAnsi="Times New Roman" w:cs="Times New Roman"/>
        </w:rPr>
        <w:t>, page 5.</w:t>
      </w:r>
    </w:p>
  </w:footnote>
  <w:footnote w:id="115">
    <w:p w14:paraId="3AE840AA" w14:textId="1E4ACF5F" w:rsidR="00584B66"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B51604" w:rsidRPr="007E023E">
        <w:rPr>
          <w:rFonts w:ascii="Times New Roman" w:hAnsi="Times New Roman" w:cs="Times New Roman"/>
        </w:rPr>
        <w:t>House of Commons</w:t>
      </w:r>
      <w:r w:rsidR="001A31A0" w:rsidRPr="007E023E">
        <w:rPr>
          <w:rFonts w:ascii="Times New Roman" w:hAnsi="Times New Roman" w:cs="Times New Roman"/>
        </w:rPr>
        <w:t xml:space="preserve"> Hansard</w:t>
      </w:r>
      <w:r w:rsidR="00B51604" w:rsidRPr="007E023E">
        <w:rPr>
          <w:rFonts w:ascii="Times New Roman" w:hAnsi="Times New Roman" w:cs="Times New Roman"/>
        </w:rPr>
        <w:t xml:space="preserve"> </w:t>
      </w:r>
      <w:r w:rsidR="001A31A0" w:rsidRPr="007E023E">
        <w:rPr>
          <w:rFonts w:ascii="Times New Roman" w:hAnsi="Times New Roman" w:cs="Times New Roman"/>
        </w:rPr>
        <w:t>“</w:t>
      </w:r>
      <w:r w:rsidR="00B51604" w:rsidRPr="007E023E">
        <w:rPr>
          <w:rFonts w:ascii="Times New Roman" w:hAnsi="Times New Roman" w:cs="Times New Roman"/>
        </w:rPr>
        <w:t>Employment Tribunal Fee</w:t>
      </w:r>
      <w:r w:rsidR="001A31A0" w:rsidRPr="007E023E">
        <w:rPr>
          <w:rFonts w:ascii="Times New Roman" w:hAnsi="Times New Roman" w:cs="Times New Roman"/>
        </w:rPr>
        <w:t xml:space="preserve">”: </w:t>
      </w:r>
      <w:r w:rsidR="00B51604" w:rsidRPr="007E023E">
        <w:rPr>
          <w:rFonts w:ascii="Times New Roman" w:hAnsi="Times New Roman" w:cs="Times New Roman"/>
        </w:rPr>
        <w:t>Volume 599: debated on Tuesday 8 September 2015</w:t>
      </w:r>
      <w:r w:rsidR="001A31A0" w:rsidRPr="007E023E">
        <w:rPr>
          <w:rFonts w:ascii="Times New Roman" w:hAnsi="Times New Roman" w:cs="Times New Roman"/>
        </w:rPr>
        <w:t>; Volume 603: debated on Tuesday 1 December 2015; Volume 608: debated on Thursday 14 April 2016; Volume 611: debated on Tuesday 14 June 2016; Volume 618: debated on Thursday 8 December 2016.</w:t>
      </w:r>
    </w:p>
  </w:footnote>
  <w:footnote w:id="116">
    <w:p w14:paraId="004F0086" w14:textId="546CDBDC" w:rsidR="00257712"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015312" w:rsidRPr="007E023E">
        <w:rPr>
          <w:rFonts w:ascii="Times New Roman" w:hAnsi="Times New Roman" w:cs="Times New Roman"/>
          <w:i/>
          <w:iCs/>
        </w:rPr>
        <w:t>SC</w:t>
      </w:r>
      <w:r w:rsidR="00015312" w:rsidRPr="007E023E">
        <w:rPr>
          <w:rFonts w:ascii="Times New Roman" w:hAnsi="Times New Roman" w:cs="Times New Roman"/>
        </w:rPr>
        <w:t>, 51-2.</w:t>
      </w:r>
    </w:p>
  </w:footnote>
  <w:footnote w:id="117">
    <w:p w14:paraId="0223BA34" w14:textId="2452E280" w:rsidR="00727DB6"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015312" w:rsidRPr="007E023E">
        <w:rPr>
          <w:rFonts w:ascii="Times New Roman" w:hAnsi="Times New Roman" w:cs="Times New Roman"/>
          <w:i/>
          <w:iCs/>
        </w:rPr>
        <w:t>SC</w:t>
      </w:r>
      <w:r w:rsidR="00015312" w:rsidRPr="007E023E">
        <w:rPr>
          <w:rFonts w:ascii="Times New Roman" w:hAnsi="Times New Roman" w:cs="Times New Roman"/>
        </w:rPr>
        <w:t>,</w:t>
      </w:r>
      <w:r w:rsidR="00015312" w:rsidRPr="007E023E">
        <w:rPr>
          <w:rFonts w:ascii="Times New Roman" w:hAnsi="Times New Roman" w:cs="Times New Roman"/>
          <w:i/>
          <w:iCs/>
        </w:rPr>
        <w:t xml:space="preserve"> </w:t>
      </w:r>
      <w:r w:rsidR="000543B6" w:rsidRPr="007E023E">
        <w:rPr>
          <w:rFonts w:ascii="Times New Roman" w:hAnsi="Times New Roman" w:cs="Times New Roman"/>
        </w:rPr>
        <w:t>53</w:t>
      </w:r>
      <w:r w:rsidR="00015312" w:rsidRPr="007E023E">
        <w:rPr>
          <w:rFonts w:ascii="Times New Roman" w:hAnsi="Times New Roman" w:cs="Times New Roman"/>
        </w:rPr>
        <w:t>.</w:t>
      </w:r>
    </w:p>
  </w:footnote>
  <w:footnote w:id="118">
    <w:p w14:paraId="11E5CE7D" w14:textId="7964DCAD" w:rsidR="00015312"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BD1168" w:rsidRPr="007E023E">
        <w:rPr>
          <w:rFonts w:ascii="Times New Roman" w:hAnsi="Times New Roman" w:cs="Times New Roman"/>
          <w:i/>
          <w:iCs/>
        </w:rPr>
        <w:t>SC</w:t>
      </w:r>
      <w:r w:rsidR="00BD1168" w:rsidRPr="007E023E">
        <w:rPr>
          <w:rFonts w:ascii="Times New Roman" w:hAnsi="Times New Roman" w:cs="Times New Roman"/>
        </w:rPr>
        <w:t>, 55.</w:t>
      </w:r>
    </w:p>
  </w:footnote>
  <w:footnote w:id="119">
    <w:p w14:paraId="5A102753" w14:textId="3C008CE4" w:rsidR="006E464A"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108.</w:t>
      </w:r>
    </w:p>
  </w:footnote>
  <w:footnote w:id="120">
    <w:p w14:paraId="19589EAD" w14:textId="2106E964" w:rsidR="00DA0669"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A. Cortina </w:t>
      </w:r>
      <w:proofErr w:type="spellStart"/>
      <w:r w:rsidRPr="007E023E">
        <w:rPr>
          <w:rFonts w:ascii="Times New Roman" w:hAnsi="Times New Roman" w:cs="Times New Roman"/>
          <w:i/>
          <w:iCs/>
        </w:rPr>
        <w:t>Aporaphobia</w:t>
      </w:r>
      <w:proofErr w:type="spellEnd"/>
      <w:r w:rsidRPr="007E023E">
        <w:rPr>
          <w:rFonts w:ascii="Times New Roman" w:hAnsi="Times New Roman" w:cs="Times New Roman"/>
          <w:i/>
          <w:iCs/>
        </w:rPr>
        <w:t xml:space="preserve">: why we reject the poor instead of helping them </w:t>
      </w:r>
      <w:r w:rsidR="00653F61" w:rsidRPr="007E023E">
        <w:rPr>
          <w:rFonts w:ascii="Times New Roman" w:hAnsi="Times New Roman" w:cs="Times New Roman"/>
        </w:rPr>
        <w:t>(Princeton University Press, English translation, 2022).</w:t>
      </w:r>
    </w:p>
  </w:footnote>
  <w:footnote w:id="121">
    <w:p w14:paraId="7D02B406" w14:textId="66E7C2D0" w:rsidR="0061109C"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Ibid, 27. </w:t>
      </w:r>
    </w:p>
  </w:footnote>
  <w:footnote w:id="122">
    <w:p w14:paraId="0FC216E2" w14:textId="7FB0319A" w:rsidR="00E34FA2"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AB669A" w:rsidRPr="007E023E">
        <w:rPr>
          <w:rFonts w:ascii="Times New Roman" w:hAnsi="Times New Roman" w:cs="Times New Roman"/>
        </w:rPr>
        <w:t xml:space="preserve">E.g. Lowe and Rowlands note that societal responses tend not to look at reducing structural inequality or supporting care of the children in response to struggling parents, but more at long acting contraception: </w:t>
      </w:r>
      <w:r w:rsidR="00053D04" w:rsidRPr="007E023E">
        <w:rPr>
          <w:rFonts w:ascii="Times New Roman" w:hAnsi="Times New Roman" w:cs="Times New Roman"/>
        </w:rPr>
        <w:t>P.</w:t>
      </w:r>
      <w:r w:rsidRPr="007E023E">
        <w:rPr>
          <w:rFonts w:ascii="Times New Roman" w:hAnsi="Times New Roman" w:cs="Times New Roman"/>
        </w:rPr>
        <w:t xml:space="preserve"> Lowe &amp; S</w:t>
      </w:r>
      <w:r w:rsidR="00053D04" w:rsidRPr="007E023E">
        <w:rPr>
          <w:rFonts w:ascii="Times New Roman" w:hAnsi="Times New Roman" w:cs="Times New Roman"/>
        </w:rPr>
        <w:t xml:space="preserve">. </w:t>
      </w:r>
      <w:r w:rsidRPr="007E023E">
        <w:rPr>
          <w:rFonts w:ascii="Times New Roman" w:hAnsi="Times New Roman" w:cs="Times New Roman"/>
        </w:rPr>
        <w:t xml:space="preserve">Rowlands (2022) </w:t>
      </w:r>
      <w:r w:rsidR="00053D04" w:rsidRPr="007E023E">
        <w:rPr>
          <w:rFonts w:ascii="Times New Roman" w:hAnsi="Times New Roman" w:cs="Times New Roman"/>
        </w:rPr>
        <w:t>‘</w:t>
      </w:r>
      <w:r w:rsidRPr="007E023E">
        <w:rPr>
          <w:rFonts w:ascii="Times New Roman" w:hAnsi="Times New Roman" w:cs="Times New Roman"/>
        </w:rPr>
        <w:t>Long-acting reversible contraception: Targeting those judged to be unfit for parenthood in the United States and the United Kingdom</w:t>
      </w:r>
      <w:r w:rsidR="00053D04" w:rsidRPr="007E023E">
        <w:rPr>
          <w:rFonts w:ascii="Times New Roman" w:hAnsi="Times New Roman" w:cs="Times New Roman"/>
        </w:rPr>
        <w:t>’</w:t>
      </w:r>
      <w:r w:rsidRPr="007E023E">
        <w:rPr>
          <w:rFonts w:ascii="Times New Roman" w:hAnsi="Times New Roman" w:cs="Times New Roman"/>
        </w:rPr>
        <w:t xml:space="preserve"> </w:t>
      </w:r>
      <w:r w:rsidR="006A2C39" w:rsidRPr="007E023E">
        <w:rPr>
          <w:rFonts w:ascii="Times New Roman" w:hAnsi="Times New Roman" w:cs="Times New Roman"/>
        </w:rPr>
        <w:t xml:space="preserve">17(12) </w:t>
      </w:r>
      <w:r w:rsidRPr="007E023E">
        <w:rPr>
          <w:rFonts w:ascii="Times New Roman" w:hAnsi="Times New Roman" w:cs="Times New Roman"/>
          <w:i/>
          <w:iCs/>
        </w:rPr>
        <w:t>Global Public Health</w:t>
      </w:r>
      <w:r w:rsidR="006A2C39" w:rsidRPr="007E023E">
        <w:rPr>
          <w:rFonts w:ascii="Times New Roman" w:hAnsi="Times New Roman" w:cs="Times New Roman"/>
        </w:rPr>
        <w:t xml:space="preserve"> 3773</w:t>
      </w:r>
      <w:r w:rsidR="0061109C" w:rsidRPr="007E023E">
        <w:rPr>
          <w:rFonts w:ascii="Times New Roman" w:hAnsi="Times New Roman" w:cs="Times New Roman"/>
        </w:rPr>
        <w:t>, 3780.</w:t>
      </w:r>
    </w:p>
  </w:footnote>
  <w:footnote w:id="123">
    <w:p w14:paraId="77A556D2" w14:textId="77777777" w:rsidR="007E3C87" w:rsidRPr="007E023E" w:rsidRDefault="00000000" w:rsidP="007E3C87">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Schedule 1, Part 1. </w:t>
      </w:r>
    </w:p>
  </w:footnote>
  <w:footnote w:id="124">
    <w:p w14:paraId="1D00BE10" w14:textId="11DD4CD2" w:rsidR="007E3C87" w:rsidRPr="007E023E" w:rsidRDefault="00000000" w:rsidP="007E3C87">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J. Wilding ‘‘Serious decline’ in legal aid provision reveals extent of post-LASPO crisis’ </w:t>
      </w:r>
      <w:r w:rsidRPr="007E023E">
        <w:rPr>
          <w:rFonts w:ascii="Times New Roman" w:hAnsi="Times New Roman" w:cs="Times New Roman"/>
          <w:i/>
          <w:iCs/>
        </w:rPr>
        <w:t>The Justice Gap</w:t>
      </w:r>
      <w:r w:rsidRPr="007E023E">
        <w:rPr>
          <w:rFonts w:ascii="Times New Roman" w:hAnsi="Times New Roman" w:cs="Times New Roman"/>
        </w:rPr>
        <w:t>, 28 June 2023 – the MoJ reported 119 matter starts in the year 1 September 2021 to 31 August 2022</w:t>
      </w:r>
      <w:r w:rsidR="00512D94" w:rsidRPr="007E023E">
        <w:rPr>
          <w:rFonts w:ascii="Times New Roman" w:hAnsi="Times New Roman" w:cs="Times New Roman"/>
        </w:rPr>
        <w:t xml:space="preserve"> </w:t>
      </w:r>
      <w:r w:rsidR="00332206" w:rsidRPr="007E023E">
        <w:rPr>
          <w:rFonts w:ascii="Times New Roman" w:hAnsi="Times New Roman" w:cs="Times New Roman"/>
        </w:rPr>
        <w:t xml:space="preserve">– this is </w:t>
      </w:r>
      <w:r w:rsidR="00332206" w:rsidRPr="007E023E">
        <w:rPr>
          <w:rFonts w:ascii="Times New Roman" w:hAnsi="Times New Roman" w:cs="Times New Roman"/>
          <w:i/>
          <w:iCs/>
        </w:rPr>
        <w:t>three orders of magnitude</w:t>
      </w:r>
      <w:r w:rsidR="00332206" w:rsidRPr="007E023E">
        <w:rPr>
          <w:rFonts w:ascii="Times New Roman" w:hAnsi="Times New Roman" w:cs="Times New Roman"/>
        </w:rPr>
        <w:t xml:space="preserve"> smaller than in 2011-12 (pre-LASPO) for which the figure was 102, 900: J. Organ &amp; J. </w:t>
      </w:r>
      <w:proofErr w:type="spellStart"/>
      <w:r w:rsidR="00332206" w:rsidRPr="007E023E">
        <w:rPr>
          <w:rFonts w:ascii="Times New Roman" w:hAnsi="Times New Roman" w:cs="Times New Roman"/>
        </w:rPr>
        <w:t>Sigafoos</w:t>
      </w:r>
      <w:proofErr w:type="spellEnd"/>
      <w:r w:rsidR="00332206" w:rsidRPr="007E023E">
        <w:rPr>
          <w:rFonts w:ascii="Times New Roman" w:hAnsi="Times New Roman" w:cs="Times New Roman"/>
        </w:rPr>
        <w:t xml:space="preserve"> (2018) “The impact of LASPO on routes to justice” Equality &amp; Human Rights Commission</w:t>
      </w:r>
      <w:r w:rsidR="00936702" w:rsidRPr="007E023E">
        <w:rPr>
          <w:rFonts w:ascii="Times New Roman" w:hAnsi="Times New Roman" w:cs="Times New Roman"/>
        </w:rPr>
        <w:t>:</w:t>
      </w:r>
      <w:r w:rsidR="00332206" w:rsidRPr="007E023E">
        <w:rPr>
          <w:rFonts w:ascii="Times New Roman" w:hAnsi="Times New Roman" w:cs="Times New Roman"/>
        </w:rPr>
        <w:t xml:space="preserve"> Research Report</w:t>
      </w:r>
      <w:r w:rsidR="00936702" w:rsidRPr="007E023E">
        <w:rPr>
          <w:rFonts w:ascii="Times New Roman" w:hAnsi="Times New Roman" w:cs="Times New Roman"/>
        </w:rPr>
        <w:t xml:space="preserve"> 118, 12.</w:t>
      </w:r>
    </w:p>
  </w:footnote>
  <w:footnote w:id="125">
    <w:p w14:paraId="52B495E9" w14:textId="72B3B0B9" w:rsidR="00402E7F"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11340C" w:rsidRPr="007E023E">
        <w:rPr>
          <w:rFonts w:ascii="Times New Roman" w:hAnsi="Times New Roman" w:cs="Times New Roman"/>
        </w:rPr>
        <w:t xml:space="preserve">P. </w:t>
      </w:r>
      <w:r w:rsidRPr="007E023E">
        <w:rPr>
          <w:rFonts w:ascii="Times New Roman" w:hAnsi="Times New Roman" w:cs="Times New Roman"/>
        </w:rPr>
        <w:t>Townsend</w:t>
      </w:r>
      <w:r w:rsidR="0011340C" w:rsidRPr="007E023E">
        <w:rPr>
          <w:rFonts w:ascii="Times New Roman" w:hAnsi="Times New Roman" w:cs="Times New Roman"/>
        </w:rPr>
        <w:t xml:space="preserve"> </w:t>
      </w:r>
      <w:r w:rsidRPr="007E023E">
        <w:rPr>
          <w:rFonts w:ascii="Times New Roman" w:hAnsi="Times New Roman" w:cs="Times New Roman"/>
          <w:i/>
          <w:iCs/>
        </w:rPr>
        <w:t>Building Decent Societies. Rethinking the Role of Social Security in Development</w:t>
      </w:r>
      <w:r w:rsidRPr="007E023E">
        <w:rPr>
          <w:rFonts w:ascii="Times New Roman" w:hAnsi="Times New Roman" w:cs="Times New Roman"/>
        </w:rPr>
        <w:t xml:space="preserve"> (Geneva</w:t>
      </w:r>
      <w:r w:rsidR="0011340C" w:rsidRPr="007E023E">
        <w:rPr>
          <w:rFonts w:ascii="Times New Roman" w:hAnsi="Times New Roman" w:cs="Times New Roman"/>
        </w:rPr>
        <w:t>:</w:t>
      </w:r>
      <w:r w:rsidRPr="007E023E">
        <w:rPr>
          <w:rFonts w:ascii="Times New Roman" w:hAnsi="Times New Roman" w:cs="Times New Roman"/>
        </w:rPr>
        <w:t xml:space="preserve"> Palgrave Macmillan, 2009).</w:t>
      </w:r>
    </w:p>
  </w:footnote>
  <w:footnote w:id="126">
    <w:p w14:paraId="06D86DE7" w14:textId="008305B2" w:rsidR="0011340C"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233E67" w:rsidRPr="007E023E">
        <w:rPr>
          <w:rFonts w:ascii="Times New Roman" w:hAnsi="Times New Roman" w:cs="Times New Roman"/>
        </w:rPr>
        <w:t xml:space="preserve">R. Machin (2020) ‘Regressive and precarious: Analysing the UK social security system in the light of the findings of the UN Special Rapporteur on poverty and human rights’ 21(3) </w:t>
      </w:r>
      <w:r w:rsidR="00233E67" w:rsidRPr="007E023E">
        <w:rPr>
          <w:rFonts w:ascii="Times New Roman" w:hAnsi="Times New Roman" w:cs="Times New Roman"/>
          <w:i/>
          <w:iCs/>
        </w:rPr>
        <w:t>Social Work &amp; Social Sciences Review</w:t>
      </w:r>
      <w:r w:rsidR="00233E67" w:rsidRPr="007E023E">
        <w:rPr>
          <w:rFonts w:ascii="Times New Roman" w:hAnsi="Times New Roman" w:cs="Times New Roman"/>
        </w:rPr>
        <w:t xml:space="preserve"> 70, 82.</w:t>
      </w:r>
    </w:p>
  </w:footnote>
  <w:footnote w:id="127">
    <w:p w14:paraId="4C66BFFA" w14:textId="51EC4534" w:rsidR="001A302B" w:rsidRPr="007E023E" w:rsidRDefault="00000000" w:rsidP="002C50A3">
      <w:pPr>
        <w:pStyle w:val="FootnoteText"/>
        <w:snapToGrid w:val="0"/>
        <w:rPr>
          <w:rFonts w:ascii="Times New Roman" w:hAnsi="Times New Roman" w:cs="Times New Roman"/>
        </w:rPr>
      </w:pPr>
      <w:r w:rsidRPr="007E023E">
        <w:rPr>
          <w:rStyle w:val="FootnoteReference"/>
          <w:rFonts w:ascii="Times New Roman" w:hAnsi="Times New Roman" w:cs="Times New Roman"/>
        </w:rPr>
        <w:footnoteRef/>
      </w:r>
      <w:r w:rsidRPr="007E023E">
        <w:rPr>
          <w:rFonts w:ascii="Times New Roman" w:hAnsi="Times New Roman" w:cs="Times New Roman"/>
        </w:rPr>
        <w:t xml:space="preserve"> </w:t>
      </w:r>
      <w:r w:rsidR="0061109C" w:rsidRPr="007E023E">
        <w:rPr>
          <w:rFonts w:ascii="Times New Roman" w:hAnsi="Times New Roman" w:cs="Times New Roman"/>
        </w:rPr>
        <w:t>R. Patrick &amp; M. Simpson (2020) ‘</w:t>
      </w:r>
      <w:r w:rsidRPr="007E023E">
        <w:rPr>
          <w:rFonts w:ascii="Times New Roman" w:hAnsi="Times New Roman" w:cs="Times New Roman"/>
        </w:rPr>
        <w:t>Conceptualising dignity in the context of social security: Bottom-up and top-down perspectives</w:t>
      </w:r>
      <w:r w:rsidR="0061109C" w:rsidRPr="007E023E">
        <w:rPr>
          <w:rFonts w:ascii="Times New Roman" w:hAnsi="Times New Roman" w:cs="Times New Roman"/>
        </w:rPr>
        <w:t xml:space="preserve">’ </w:t>
      </w:r>
      <w:r w:rsidRPr="007E023E">
        <w:rPr>
          <w:rFonts w:ascii="Times New Roman" w:hAnsi="Times New Roman" w:cs="Times New Roman"/>
        </w:rPr>
        <w:t>54</w:t>
      </w:r>
      <w:r w:rsidR="0061109C" w:rsidRPr="007E023E">
        <w:rPr>
          <w:rFonts w:ascii="Times New Roman" w:hAnsi="Times New Roman" w:cs="Times New Roman"/>
        </w:rPr>
        <w:t>(</w:t>
      </w:r>
      <w:r w:rsidRPr="007E023E">
        <w:rPr>
          <w:rFonts w:ascii="Times New Roman" w:hAnsi="Times New Roman" w:cs="Times New Roman"/>
        </w:rPr>
        <w:t>3</w:t>
      </w:r>
      <w:r w:rsidR="0061109C" w:rsidRPr="007E023E">
        <w:rPr>
          <w:rFonts w:ascii="Times New Roman" w:hAnsi="Times New Roman" w:cs="Times New Roman"/>
        </w:rPr>
        <w:t>)</w:t>
      </w:r>
      <w:r w:rsidR="0011340C" w:rsidRPr="007E023E">
        <w:rPr>
          <w:rFonts w:ascii="Times New Roman" w:hAnsi="Times New Roman" w:cs="Times New Roman"/>
        </w:rPr>
        <w:t xml:space="preserve"> </w:t>
      </w:r>
      <w:r w:rsidR="0011340C" w:rsidRPr="007E023E">
        <w:rPr>
          <w:rFonts w:ascii="Times New Roman" w:hAnsi="Times New Roman" w:cs="Times New Roman"/>
          <w:i/>
          <w:iCs/>
        </w:rPr>
        <w:t>Social Policy &amp; Administration</w:t>
      </w:r>
      <w:r w:rsidRPr="007E023E">
        <w:rPr>
          <w:rFonts w:ascii="Times New Roman" w:hAnsi="Times New Roman" w:cs="Times New Roman"/>
        </w:rPr>
        <w:t xml:space="preserve"> 475</w:t>
      </w:r>
      <w:r w:rsidR="0061109C" w:rsidRPr="007E023E">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550AA"/>
    <w:multiLevelType w:val="hybridMultilevel"/>
    <w:tmpl w:val="26365A3C"/>
    <w:lvl w:ilvl="0" w:tplc="74068442">
      <w:start w:val="1"/>
      <w:numFmt w:val="lowerRoman"/>
      <w:lvlText w:val="(%1)"/>
      <w:lvlJc w:val="left"/>
      <w:pPr>
        <w:ind w:left="1080" w:hanging="720"/>
      </w:pPr>
      <w:rPr>
        <w:rFonts w:hint="default"/>
      </w:rPr>
    </w:lvl>
    <w:lvl w:ilvl="1" w:tplc="714A899A" w:tentative="1">
      <w:start w:val="1"/>
      <w:numFmt w:val="lowerLetter"/>
      <w:lvlText w:val="%2."/>
      <w:lvlJc w:val="left"/>
      <w:pPr>
        <w:ind w:left="1440" w:hanging="360"/>
      </w:pPr>
    </w:lvl>
    <w:lvl w:ilvl="2" w:tplc="78B087CA" w:tentative="1">
      <w:start w:val="1"/>
      <w:numFmt w:val="lowerRoman"/>
      <w:lvlText w:val="%3."/>
      <w:lvlJc w:val="right"/>
      <w:pPr>
        <w:ind w:left="2160" w:hanging="180"/>
      </w:pPr>
    </w:lvl>
    <w:lvl w:ilvl="3" w:tplc="BB0C3076" w:tentative="1">
      <w:start w:val="1"/>
      <w:numFmt w:val="decimal"/>
      <w:lvlText w:val="%4."/>
      <w:lvlJc w:val="left"/>
      <w:pPr>
        <w:ind w:left="2880" w:hanging="360"/>
      </w:pPr>
    </w:lvl>
    <w:lvl w:ilvl="4" w:tplc="776CDCAC" w:tentative="1">
      <w:start w:val="1"/>
      <w:numFmt w:val="lowerLetter"/>
      <w:lvlText w:val="%5."/>
      <w:lvlJc w:val="left"/>
      <w:pPr>
        <w:ind w:left="3600" w:hanging="360"/>
      </w:pPr>
    </w:lvl>
    <w:lvl w:ilvl="5" w:tplc="3E361C96" w:tentative="1">
      <w:start w:val="1"/>
      <w:numFmt w:val="lowerRoman"/>
      <w:lvlText w:val="%6."/>
      <w:lvlJc w:val="right"/>
      <w:pPr>
        <w:ind w:left="4320" w:hanging="180"/>
      </w:pPr>
    </w:lvl>
    <w:lvl w:ilvl="6" w:tplc="F4C6F612" w:tentative="1">
      <w:start w:val="1"/>
      <w:numFmt w:val="decimal"/>
      <w:lvlText w:val="%7."/>
      <w:lvlJc w:val="left"/>
      <w:pPr>
        <w:ind w:left="5040" w:hanging="360"/>
      </w:pPr>
    </w:lvl>
    <w:lvl w:ilvl="7" w:tplc="BAA00F56" w:tentative="1">
      <w:start w:val="1"/>
      <w:numFmt w:val="lowerLetter"/>
      <w:lvlText w:val="%8."/>
      <w:lvlJc w:val="left"/>
      <w:pPr>
        <w:ind w:left="5760" w:hanging="360"/>
      </w:pPr>
    </w:lvl>
    <w:lvl w:ilvl="8" w:tplc="C608B63C" w:tentative="1">
      <w:start w:val="1"/>
      <w:numFmt w:val="lowerRoman"/>
      <w:lvlText w:val="%9."/>
      <w:lvlJc w:val="right"/>
      <w:pPr>
        <w:ind w:left="6480" w:hanging="180"/>
      </w:pPr>
    </w:lvl>
  </w:abstractNum>
  <w:abstractNum w:abstractNumId="1" w15:restartNumberingAfterBreak="0">
    <w:nsid w:val="102B72F8"/>
    <w:multiLevelType w:val="hybridMultilevel"/>
    <w:tmpl w:val="E402DB86"/>
    <w:lvl w:ilvl="0" w:tplc="0E900534">
      <w:start w:val="3"/>
      <w:numFmt w:val="decimal"/>
      <w:lvlText w:val="%1."/>
      <w:lvlJc w:val="left"/>
      <w:pPr>
        <w:ind w:left="720" w:hanging="360"/>
      </w:pPr>
      <w:rPr>
        <w:rFonts w:hint="default"/>
      </w:rPr>
    </w:lvl>
    <w:lvl w:ilvl="1" w:tplc="19EE319A" w:tentative="1">
      <w:start w:val="1"/>
      <w:numFmt w:val="lowerLetter"/>
      <w:lvlText w:val="%2."/>
      <w:lvlJc w:val="left"/>
      <w:pPr>
        <w:ind w:left="1440" w:hanging="360"/>
      </w:pPr>
    </w:lvl>
    <w:lvl w:ilvl="2" w:tplc="37728F60" w:tentative="1">
      <w:start w:val="1"/>
      <w:numFmt w:val="lowerRoman"/>
      <w:lvlText w:val="%3."/>
      <w:lvlJc w:val="right"/>
      <w:pPr>
        <w:ind w:left="2160" w:hanging="180"/>
      </w:pPr>
    </w:lvl>
    <w:lvl w:ilvl="3" w:tplc="F8489382" w:tentative="1">
      <w:start w:val="1"/>
      <w:numFmt w:val="decimal"/>
      <w:lvlText w:val="%4."/>
      <w:lvlJc w:val="left"/>
      <w:pPr>
        <w:ind w:left="2880" w:hanging="360"/>
      </w:pPr>
    </w:lvl>
    <w:lvl w:ilvl="4" w:tplc="560C7DA0" w:tentative="1">
      <w:start w:val="1"/>
      <w:numFmt w:val="lowerLetter"/>
      <w:lvlText w:val="%5."/>
      <w:lvlJc w:val="left"/>
      <w:pPr>
        <w:ind w:left="3600" w:hanging="360"/>
      </w:pPr>
    </w:lvl>
    <w:lvl w:ilvl="5" w:tplc="DC4498CC" w:tentative="1">
      <w:start w:val="1"/>
      <w:numFmt w:val="lowerRoman"/>
      <w:lvlText w:val="%6."/>
      <w:lvlJc w:val="right"/>
      <w:pPr>
        <w:ind w:left="4320" w:hanging="180"/>
      </w:pPr>
    </w:lvl>
    <w:lvl w:ilvl="6" w:tplc="4EA6BB84" w:tentative="1">
      <w:start w:val="1"/>
      <w:numFmt w:val="decimal"/>
      <w:lvlText w:val="%7."/>
      <w:lvlJc w:val="left"/>
      <w:pPr>
        <w:ind w:left="5040" w:hanging="360"/>
      </w:pPr>
    </w:lvl>
    <w:lvl w:ilvl="7" w:tplc="53DEEE30" w:tentative="1">
      <w:start w:val="1"/>
      <w:numFmt w:val="lowerLetter"/>
      <w:lvlText w:val="%8."/>
      <w:lvlJc w:val="left"/>
      <w:pPr>
        <w:ind w:left="5760" w:hanging="360"/>
      </w:pPr>
    </w:lvl>
    <w:lvl w:ilvl="8" w:tplc="2DB4B266" w:tentative="1">
      <w:start w:val="1"/>
      <w:numFmt w:val="lowerRoman"/>
      <w:lvlText w:val="%9."/>
      <w:lvlJc w:val="right"/>
      <w:pPr>
        <w:ind w:left="6480" w:hanging="180"/>
      </w:pPr>
    </w:lvl>
  </w:abstractNum>
  <w:abstractNum w:abstractNumId="2" w15:restartNumberingAfterBreak="0">
    <w:nsid w:val="13AD7CA7"/>
    <w:multiLevelType w:val="hybridMultilevel"/>
    <w:tmpl w:val="88B2BE3E"/>
    <w:lvl w:ilvl="0" w:tplc="E86063B2">
      <w:start w:val="1"/>
      <w:numFmt w:val="decimal"/>
      <w:lvlText w:val="%1."/>
      <w:lvlJc w:val="left"/>
      <w:pPr>
        <w:ind w:left="720" w:hanging="360"/>
      </w:pPr>
      <w:rPr>
        <w:rFonts w:hint="default"/>
      </w:rPr>
    </w:lvl>
    <w:lvl w:ilvl="1" w:tplc="2B12B246" w:tentative="1">
      <w:start w:val="1"/>
      <w:numFmt w:val="lowerLetter"/>
      <w:lvlText w:val="%2."/>
      <w:lvlJc w:val="left"/>
      <w:pPr>
        <w:ind w:left="1440" w:hanging="360"/>
      </w:pPr>
    </w:lvl>
    <w:lvl w:ilvl="2" w:tplc="BB288D22" w:tentative="1">
      <w:start w:val="1"/>
      <w:numFmt w:val="lowerRoman"/>
      <w:lvlText w:val="%3."/>
      <w:lvlJc w:val="right"/>
      <w:pPr>
        <w:ind w:left="2160" w:hanging="180"/>
      </w:pPr>
    </w:lvl>
    <w:lvl w:ilvl="3" w:tplc="BA362CD6" w:tentative="1">
      <w:start w:val="1"/>
      <w:numFmt w:val="decimal"/>
      <w:lvlText w:val="%4."/>
      <w:lvlJc w:val="left"/>
      <w:pPr>
        <w:ind w:left="2880" w:hanging="360"/>
      </w:pPr>
    </w:lvl>
    <w:lvl w:ilvl="4" w:tplc="70D41886" w:tentative="1">
      <w:start w:val="1"/>
      <w:numFmt w:val="lowerLetter"/>
      <w:lvlText w:val="%5."/>
      <w:lvlJc w:val="left"/>
      <w:pPr>
        <w:ind w:left="3600" w:hanging="360"/>
      </w:pPr>
    </w:lvl>
    <w:lvl w:ilvl="5" w:tplc="0C0A3394" w:tentative="1">
      <w:start w:val="1"/>
      <w:numFmt w:val="lowerRoman"/>
      <w:lvlText w:val="%6."/>
      <w:lvlJc w:val="right"/>
      <w:pPr>
        <w:ind w:left="4320" w:hanging="180"/>
      </w:pPr>
    </w:lvl>
    <w:lvl w:ilvl="6" w:tplc="14D6A17A" w:tentative="1">
      <w:start w:val="1"/>
      <w:numFmt w:val="decimal"/>
      <w:lvlText w:val="%7."/>
      <w:lvlJc w:val="left"/>
      <w:pPr>
        <w:ind w:left="5040" w:hanging="360"/>
      </w:pPr>
    </w:lvl>
    <w:lvl w:ilvl="7" w:tplc="3B0C8698" w:tentative="1">
      <w:start w:val="1"/>
      <w:numFmt w:val="lowerLetter"/>
      <w:lvlText w:val="%8."/>
      <w:lvlJc w:val="left"/>
      <w:pPr>
        <w:ind w:left="5760" w:hanging="360"/>
      </w:pPr>
    </w:lvl>
    <w:lvl w:ilvl="8" w:tplc="022005F8" w:tentative="1">
      <w:start w:val="1"/>
      <w:numFmt w:val="lowerRoman"/>
      <w:lvlText w:val="%9."/>
      <w:lvlJc w:val="right"/>
      <w:pPr>
        <w:ind w:left="6480" w:hanging="180"/>
      </w:pPr>
    </w:lvl>
  </w:abstractNum>
  <w:abstractNum w:abstractNumId="3" w15:restartNumberingAfterBreak="0">
    <w:nsid w:val="1D0A4BF5"/>
    <w:multiLevelType w:val="multilevel"/>
    <w:tmpl w:val="FA16E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1B02BC"/>
    <w:multiLevelType w:val="multilevel"/>
    <w:tmpl w:val="36D4C37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9F706D"/>
    <w:multiLevelType w:val="multilevel"/>
    <w:tmpl w:val="C5BA1F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33FC7C11"/>
    <w:multiLevelType w:val="multilevel"/>
    <w:tmpl w:val="FA16E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FB7724"/>
    <w:multiLevelType w:val="hybridMultilevel"/>
    <w:tmpl w:val="E45C2F70"/>
    <w:lvl w:ilvl="0" w:tplc="F5848330">
      <w:start w:val="21"/>
      <w:numFmt w:val="decimal"/>
      <w:lvlText w:val="%1."/>
      <w:lvlJc w:val="left"/>
      <w:pPr>
        <w:ind w:left="720" w:hanging="360"/>
      </w:pPr>
      <w:rPr>
        <w:rFonts w:hint="default"/>
      </w:rPr>
    </w:lvl>
    <w:lvl w:ilvl="1" w:tplc="3760ACF8" w:tentative="1">
      <w:start w:val="1"/>
      <w:numFmt w:val="lowerLetter"/>
      <w:lvlText w:val="%2."/>
      <w:lvlJc w:val="left"/>
      <w:pPr>
        <w:ind w:left="1440" w:hanging="360"/>
      </w:pPr>
    </w:lvl>
    <w:lvl w:ilvl="2" w:tplc="10B8D9F0" w:tentative="1">
      <w:start w:val="1"/>
      <w:numFmt w:val="lowerRoman"/>
      <w:lvlText w:val="%3."/>
      <w:lvlJc w:val="right"/>
      <w:pPr>
        <w:ind w:left="2160" w:hanging="180"/>
      </w:pPr>
    </w:lvl>
    <w:lvl w:ilvl="3" w:tplc="64D0D972" w:tentative="1">
      <w:start w:val="1"/>
      <w:numFmt w:val="decimal"/>
      <w:lvlText w:val="%4."/>
      <w:lvlJc w:val="left"/>
      <w:pPr>
        <w:ind w:left="2880" w:hanging="360"/>
      </w:pPr>
    </w:lvl>
    <w:lvl w:ilvl="4" w:tplc="6FA0D1D4" w:tentative="1">
      <w:start w:val="1"/>
      <w:numFmt w:val="lowerLetter"/>
      <w:lvlText w:val="%5."/>
      <w:lvlJc w:val="left"/>
      <w:pPr>
        <w:ind w:left="3600" w:hanging="360"/>
      </w:pPr>
    </w:lvl>
    <w:lvl w:ilvl="5" w:tplc="4B28CB8C" w:tentative="1">
      <w:start w:val="1"/>
      <w:numFmt w:val="lowerRoman"/>
      <w:lvlText w:val="%6."/>
      <w:lvlJc w:val="right"/>
      <w:pPr>
        <w:ind w:left="4320" w:hanging="180"/>
      </w:pPr>
    </w:lvl>
    <w:lvl w:ilvl="6" w:tplc="2EAE1860" w:tentative="1">
      <w:start w:val="1"/>
      <w:numFmt w:val="decimal"/>
      <w:lvlText w:val="%7."/>
      <w:lvlJc w:val="left"/>
      <w:pPr>
        <w:ind w:left="5040" w:hanging="360"/>
      </w:pPr>
    </w:lvl>
    <w:lvl w:ilvl="7" w:tplc="5B3A3A64" w:tentative="1">
      <w:start w:val="1"/>
      <w:numFmt w:val="lowerLetter"/>
      <w:lvlText w:val="%8."/>
      <w:lvlJc w:val="left"/>
      <w:pPr>
        <w:ind w:left="5760" w:hanging="360"/>
      </w:pPr>
    </w:lvl>
    <w:lvl w:ilvl="8" w:tplc="79ECEA22" w:tentative="1">
      <w:start w:val="1"/>
      <w:numFmt w:val="lowerRoman"/>
      <w:lvlText w:val="%9."/>
      <w:lvlJc w:val="right"/>
      <w:pPr>
        <w:ind w:left="6480" w:hanging="180"/>
      </w:pPr>
    </w:lvl>
  </w:abstractNum>
  <w:num w:numId="1" w16cid:durableId="1458403209">
    <w:abstractNumId w:val="0"/>
  </w:num>
  <w:num w:numId="2" w16cid:durableId="1762141758">
    <w:abstractNumId w:val="2"/>
  </w:num>
  <w:num w:numId="3" w16cid:durableId="1876969124">
    <w:abstractNumId w:val="5"/>
  </w:num>
  <w:num w:numId="4" w16cid:durableId="1784767635">
    <w:abstractNumId w:val="4"/>
  </w:num>
  <w:num w:numId="5" w16cid:durableId="429395674">
    <w:abstractNumId w:val="7"/>
  </w:num>
  <w:num w:numId="6" w16cid:durableId="1588611503">
    <w:abstractNumId w:val="1"/>
  </w:num>
  <w:num w:numId="7" w16cid:durableId="192884987">
    <w:abstractNumId w:val="6"/>
    <w:lvlOverride w:ilvl="0">
      <w:startOverride w:val="229"/>
    </w:lvlOverride>
  </w:num>
  <w:num w:numId="8" w16cid:durableId="813523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14"/>
    <w:rsid w:val="00011445"/>
    <w:rsid w:val="00011BD2"/>
    <w:rsid w:val="000136A0"/>
    <w:rsid w:val="00015312"/>
    <w:rsid w:val="00016693"/>
    <w:rsid w:val="00023B9D"/>
    <w:rsid w:val="00024A87"/>
    <w:rsid w:val="000254B5"/>
    <w:rsid w:val="0003205C"/>
    <w:rsid w:val="00032F3E"/>
    <w:rsid w:val="00034C3F"/>
    <w:rsid w:val="00042E2E"/>
    <w:rsid w:val="000440BA"/>
    <w:rsid w:val="0004436F"/>
    <w:rsid w:val="00045E87"/>
    <w:rsid w:val="00047960"/>
    <w:rsid w:val="00053CCE"/>
    <w:rsid w:val="00053D04"/>
    <w:rsid w:val="000541DF"/>
    <w:rsid w:val="000543B6"/>
    <w:rsid w:val="00054C88"/>
    <w:rsid w:val="000624C7"/>
    <w:rsid w:val="00064775"/>
    <w:rsid w:val="00070EFE"/>
    <w:rsid w:val="0007148F"/>
    <w:rsid w:val="000731DB"/>
    <w:rsid w:val="00075245"/>
    <w:rsid w:val="0007643A"/>
    <w:rsid w:val="00077CE0"/>
    <w:rsid w:val="00086703"/>
    <w:rsid w:val="0009178D"/>
    <w:rsid w:val="000923B0"/>
    <w:rsid w:val="0009519E"/>
    <w:rsid w:val="00095E7B"/>
    <w:rsid w:val="00097FAD"/>
    <w:rsid w:val="000A0450"/>
    <w:rsid w:val="000A47F1"/>
    <w:rsid w:val="000A49DD"/>
    <w:rsid w:val="000A56AF"/>
    <w:rsid w:val="000B2F25"/>
    <w:rsid w:val="000B480A"/>
    <w:rsid w:val="000B65DB"/>
    <w:rsid w:val="000B7F74"/>
    <w:rsid w:val="000C04E8"/>
    <w:rsid w:val="000C0BFA"/>
    <w:rsid w:val="000C3F41"/>
    <w:rsid w:val="000C4ED0"/>
    <w:rsid w:val="000C506C"/>
    <w:rsid w:val="000C7DE3"/>
    <w:rsid w:val="000D0EFA"/>
    <w:rsid w:val="000D387A"/>
    <w:rsid w:val="000D40FE"/>
    <w:rsid w:val="000E099E"/>
    <w:rsid w:val="000E1149"/>
    <w:rsid w:val="000E28DF"/>
    <w:rsid w:val="000E297F"/>
    <w:rsid w:val="000E51EF"/>
    <w:rsid w:val="000E587A"/>
    <w:rsid w:val="000E76F2"/>
    <w:rsid w:val="000F463D"/>
    <w:rsid w:val="000F4D61"/>
    <w:rsid w:val="000F53B3"/>
    <w:rsid w:val="000F6F4E"/>
    <w:rsid w:val="000F780F"/>
    <w:rsid w:val="000F7D8B"/>
    <w:rsid w:val="00104A69"/>
    <w:rsid w:val="00110BFB"/>
    <w:rsid w:val="001132FB"/>
    <w:rsid w:val="0011340C"/>
    <w:rsid w:val="00122876"/>
    <w:rsid w:val="00123910"/>
    <w:rsid w:val="00123C13"/>
    <w:rsid w:val="00126B2D"/>
    <w:rsid w:val="00127D3A"/>
    <w:rsid w:val="001314C0"/>
    <w:rsid w:val="00132695"/>
    <w:rsid w:val="001349FB"/>
    <w:rsid w:val="0013758E"/>
    <w:rsid w:val="00151378"/>
    <w:rsid w:val="001528B9"/>
    <w:rsid w:val="00153251"/>
    <w:rsid w:val="0015352B"/>
    <w:rsid w:val="00154466"/>
    <w:rsid w:val="00156D5B"/>
    <w:rsid w:val="001572EB"/>
    <w:rsid w:val="00160603"/>
    <w:rsid w:val="00166A60"/>
    <w:rsid w:val="0016794C"/>
    <w:rsid w:val="00176B69"/>
    <w:rsid w:val="001835D7"/>
    <w:rsid w:val="00186301"/>
    <w:rsid w:val="00186769"/>
    <w:rsid w:val="00187301"/>
    <w:rsid w:val="00190A88"/>
    <w:rsid w:val="00192F2C"/>
    <w:rsid w:val="00193261"/>
    <w:rsid w:val="00193C9C"/>
    <w:rsid w:val="00194A68"/>
    <w:rsid w:val="00195126"/>
    <w:rsid w:val="00195E57"/>
    <w:rsid w:val="00195F0E"/>
    <w:rsid w:val="001972E0"/>
    <w:rsid w:val="00197336"/>
    <w:rsid w:val="0019765D"/>
    <w:rsid w:val="001A302B"/>
    <w:rsid w:val="001A31A0"/>
    <w:rsid w:val="001A50CD"/>
    <w:rsid w:val="001A7734"/>
    <w:rsid w:val="001B021E"/>
    <w:rsid w:val="001B1DA4"/>
    <w:rsid w:val="001B25A8"/>
    <w:rsid w:val="001B5139"/>
    <w:rsid w:val="001B582A"/>
    <w:rsid w:val="001B754D"/>
    <w:rsid w:val="001B7BD1"/>
    <w:rsid w:val="001B7E67"/>
    <w:rsid w:val="001C0B42"/>
    <w:rsid w:val="001C60C8"/>
    <w:rsid w:val="001C6840"/>
    <w:rsid w:val="001C6AC0"/>
    <w:rsid w:val="001D44FE"/>
    <w:rsid w:val="001D6344"/>
    <w:rsid w:val="001E104F"/>
    <w:rsid w:val="001E149D"/>
    <w:rsid w:val="001E361F"/>
    <w:rsid w:val="001E413C"/>
    <w:rsid w:val="001E7D57"/>
    <w:rsid w:val="001F20B0"/>
    <w:rsid w:val="00205A68"/>
    <w:rsid w:val="00205C56"/>
    <w:rsid w:val="0021188B"/>
    <w:rsid w:val="00217504"/>
    <w:rsid w:val="00222199"/>
    <w:rsid w:val="0022326E"/>
    <w:rsid w:val="002234D7"/>
    <w:rsid w:val="002338EA"/>
    <w:rsid w:val="00233E67"/>
    <w:rsid w:val="002412AA"/>
    <w:rsid w:val="00241506"/>
    <w:rsid w:val="00241EA2"/>
    <w:rsid w:val="00242639"/>
    <w:rsid w:val="00242747"/>
    <w:rsid w:val="00246A20"/>
    <w:rsid w:val="00251128"/>
    <w:rsid w:val="00251225"/>
    <w:rsid w:val="002530DE"/>
    <w:rsid w:val="00255138"/>
    <w:rsid w:val="00257712"/>
    <w:rsid w:val="00262871"/>
    <w:rsid w:val="00265E80"/>
    <w:rsid w:val="002667DF"/>
    <w:rsid w:val="002709BA"/>
    <w:rsid w:val="00273B5E"/>
    <w:rsid w:val="002743E9"/>
    <w:rsid w:val="00275E9E"/>
    <w:rsid w:val="00280965"/>
    <w:rsid w:val="00280B3E"/>
    <w:rsid w:val="00282816"/>
    <w:rsid w:val="0028512D"/>
    <w:rsid w:val="00294B71"/>
    <w:rsid w:val="00295F3C"/>
    <w:rsid w:val="002963E9"/>
    <w:rsid w:val="002A0422"/>
    <w:rsid w:val="002A0CEE"/>
    <w:rsid w:val="002A3F17"/>
    <w:rsid w:val="002A404D"/>
    <w:rsid w:val="002B74FE"/>
    <w:rsid w:val="002C3CE9"/>
    <w:rsid w:val="002C50A3"/>
    <w:rsid w:val="002D1E59"/>
    <w:rsid w:val="002D3759"/>
    <w:rsid w:val="002D3FB6"/>
    <w:rsid w:val="002E4557"/>
    <w:rsid w:val="002E458C"/>
    <w:rsid w:val="002E491D"/>
    <w:rsid w:val="002E551F"/>
    <w:rsid w:val="002E7A63"/>
    <w:rsid w:val="002F0C16"/>
    <w:rsid w:val="002F0E27"/>
    <w:rsid w:val="002F7C96"/>
    <w:rsid w:val="00301034"/>
    <w:rsid w:val="00306D68"/>
    <w:rsid w:val="00307E25"/>
    <w:rsid w:val="00312B77"/>
    <w:rsid w:val="003145CA"/>
    <w:rsid w:val="00315E9B"/>
    <w:rsid w:val="003167A9"/>
    <w:rsid w:val="0031771F"/>
    <w:rsid w:val="00320401"/>
    <w:rsid w:val="003222D6"/>
    <w:rsid w:val="00325C30"/>
    <w:rsid w:val="00325E41"/>
    <w:rsid w:val="00326514"/>
    <w:rsid w:val="003265D6"/>
    <w:rsid w:val="00326A50"/>
    <w:rsid w:val="003276E4"/>
    <w:rsid w:val="00331B2D"/>
    <w:rsid w:val="00331FEE"/>
    <w:rsid w:val="00332206"/>
    <w:rsid w:val="003324E2"/>
    <w:rsid w:val="0033284C"/>
    <w:rsid w:val="00336600"/>
    <w:rsid w:val="003404A2"/>
    <w:rsid w:val="003405CC"/>
    <w:rsid w:val="00342F6C"/>
    <w:rsid w:val="003454E7"/>
    <w:rsid w:val="00352D97"/>
    <w:rsid w:val="00357674"/>
    <w:rsid w:val="00357E82"/>
    <w:rsid w:val="00360D4E"/>
    <w:rsid w:val="00362691"/>
    <w:rsid w:val="00364009"/>
    <w:rsid w:val="00370071"/>
    <w:rsid w:val="00371374"/>
    <w:rsid w:val="00371D63"/>
    <w:rsid w:val="00372525"/>
    <w:rsid w:val="00373CB6"/>
    <w:rsid w:val="00377E60"/>
    <w:rsid w:val="00381758"/>
    <w:rsid w:val="00384B46"/>
    <w:rsid w:val="00385A61"/>
    <w:rsid w:val="00385FCD"/>
    <w:rsid w:val="00390E39"/>
    <w:rsid w:val="00393BDE"/>
    <w:rsid w:val="00394D42"/>
    <w:rsid w:val="003A0764"/>
    <w:rsid w:val="003A2805"/>
    <w:rsid w:val="003A742E"/>
    <w:rsid w:val="003B6F19"/>
    <w:rsid w:val="003C0889"/>
    <w:rsid w:val="003C2E91"/>
    <w:rsid w:val="003C69A2"/>
    <w:rsid w:val="003C7299"/>
    <w:rsid w:val="003C7A51"/>
    <w:rsid w:val="003D0441"/>
    <w:rsid w:val="003D1FE7"/>
    <w:rsid w:val="003D4585"/>
    <w:rsid w:val="003D4AF7"/>
    <w:rsid w:val="003E2B24"/>
    <w:rsid w:val="003E4F36"/>
    <w:rsid w:val="003F0D90"/>
    <w:rsid w:val="003F142D"/>
    <w:rsid w:val="003F202A"/>
    <w:rsid w:val="003F2514"/>
    <w:rsid w:val="003F62EB"/>
    <w:rsid w:val="00400EFF"/>
    <w:rsid w:val="004014B0"/>
    <w:rsid w:val="004018B6"/>
    <w:rsid w:val="00402E7F"/>
    <w:rsid w:val="00403FB6"/>
    <w:rsid w:val="00406F79"/>
    <w:rsid w:val="004113C4"/>
    <w:rsid w:val="00412342"/>
    <w:rsid w:val="00413ACA"/>
    <w:rsid w:val="00415ACB"/>
    <w:rsid w:val="00415FEB"/>
    <w:rsid w:val="0042247F"/>
    <w:rsid w:val="00422D43"/>
    <w:rsid w:val="00423375"/>
    <w:rsid w:val="00425EB2"/>
    <w:rsid w:val="00426DFC"/>
    <w:rsid w:val="00426EC8"/>
    <w:rsid w:val="00426EFD"/>
    <w:rsid w:val="00427910"/>
    <w:rsid w:val="004355A9"/>
    <w:rsid w:val="004431C9"/>
    <w:rsid w:val="0044692D"/>
    <w:rsid w:val="00451758"/>
    <w:rsid w:val="00455A5A"/>
    <w:rsid w:val="00467F12"/>
    <w:rsid w:val="004706F9"/>
    <w:rsid w:val="004732C3"/>
    <w:rsid w:val="0047379B"/>
    <w:rsid w:val="00474CFC"/>
    <w:rsid w:val="004823DF"/>
    <w:rsid w:val="00482F00"/>
    <w:rsid w:val="004841D5"/>
    <w:rsid w:val="00484398"/>
    <w:rsid w:val="00486639"/>
    <w:rsid w:val="00486A2F"/>
    <w:rsid w:val="00487528"/>
    <w:rsid w:val="00487CA0"/>
    <w:rsid w:val="004900B2"/>
    <w:rsid w:val="004906E1"/>
    <w:rsid w:val="00493A60"/>
    <w:rsid w:val="004A43AC"/>
    <w:rsid w:val="004A4428"/>
    <w:rsid w:val="004A4486"/>
    <w:rsid w:val="004A49E6"/>
    <w:rsid w:val="004B14F3"/>
    <w:rsid w:val="004B6724"/>
    <w:rsid w:val="004B7B8C"/>
    <w:rsid w:val="004B7BB4"/>
    <w:rsid w:val="004C16E3"/>
    <w:rsid w:val="004C462A"/>
    <w:rsid w:val="004C7E0C"/>
    <w:rsid w:val="004D0A36"/>
    <w:rsid w:val="004D2D84"/>
    <w:rsid w:val="004D3A6C"/>
    <w:rsid w:val="004D4BCB"/>
    <w:rsid w:val="004D4E02"/>
    <w:rsid w:val="004D6419"/>
    <w:rsid w:val="004D68AF"/>
    <w:rsid w:val="004E0AB0"/>
    <w:rsid w:val="004E247F"/>
    <w:rsid w:val="004E2BEE"/>
    <w:rsid w:val="004E57EA"/>
    <w:rsid w:val="004F07E2"/>
    <w:rsid w:val="004F0C1B"/>
    <w:rsid w:val="004F0EC5"/>
    <w:rsid w:val="004F18BF"/>
    <w:rsid w:val="004F3788"/>
    <w:rsid w:val="004F5180"/>
    <w:rsid w:val="004F6DFC"/>
    <w:rsid w:val="004F74DD"/>
    <w:rsid w:val="004F7B15"/>
    <w:rsid w:val="00500454"/>
    <w:rsid w:val="00500778"/>
    <w:rsid w:val="00506A0E"/>
    <w:rsid w:val="00512D94"/>
    <w:rsid w:val="00514C0B"/>
    <w:rsid w:val="00514EB0"/>
    <w:rsid w:val="00517B30"/>
    <w:rsid w:val="00520531"/>
    <w:rsid w:val="005250BA"/>
    <w:rsid w:val="005250E6"/>
    <w:rsid w:val="00526407"/>
    <w:rsid w:val="00527A14"/>
    <w:rsid w:val="0053221C"/>
    <w:rsid w:val="00536B0F"/>
    <w:rsid w:val="00540597"/>
    <w:rsid w:val="005406DD"/>
    <w:rsid w:val="00540C8D"/>
    <w:rsid w:val="00542D45"/>
    <w:rsid w:val="00542F59"/>
    <w:rsid w:val="005434F3"/>
    <w:rsid w:val="005439A2"/>
    <w:rsid w:val="0054761A"/>
    <w:rsid w:val="00551A7E"/>
    <w:rsid w:val="00560909"/>
    <w:rsid w:val="00561E16"/>
    <w:rsid w:val="00562045"/>
    <w:rsid w:val="00563D81"/>
    <w:rsid w:val="00567C3E"/>
    <w:rsid w:val="005718BD"/>
    <w:rsid w:val="005719BE"/>
    <w:rsid w:val="00572C4E"/>
    <w:rsid w:val="00582CBA"/>
    <w:rsid w:val="005845B9"/>
    <w:rsid w:val="00584B66"/>
    <w:rsid w:val="0058713F"/>
    <w:rsid w:val="005876C1"/>
    <w:rsid w:val="00587DC4"/>
    <w:rsid w:val="00587F54"/>
    <w:rsid w:val="0059017B"/>
    <w:rsid w:val="00591561"/>
    <w:rsid w:val="00595EC6"/>
    <w:rsid w:val="0059632E"/>
    <w:rsid w:val="005A3F94"/>
    <w:rsid w:val="005A6E16"/>
    <w:rsid w:val="005A780F"/>
    <w:rsid w:val="005B21BB"/>
    <w:rsid w:val="005B3075"/>
    <w:rsid w:val="005B372C"/>
    <w:rsid w:val="005B3D3B"/>
    <w:rsid w:val="005B4928"/>
    <w:rsid w:val="005C26FF"/>
    <w:rsid w:val="005C2738"/>
    <w:rsid w:val="005C6A3C"/>
    <w:rsid w:val="005D1B9F"/>
    <w:rsid w:val="005D32C9"/>
    <w:rsid w:val="005D498E"/>
    <w:rsid w:val="005D79D9"/>
    <w:rsid w:val="005D7E45"/>
    <w:rsid w:val="005E1B95"/>
    <w:rsid w:val="005E1DF2"/>
    <w:rsid w:val="005E2029"/>
    <w:rsid w:val="005E2B8A"/>
    <w:rsid w:val="005E3704"/>
    <w:rsid w:val="005E4E22"/>
    <w:rsid w:val="005E6240"/>
    <w:rsid w:val="005F1107"/>
    <w:rsid w:val="005F1437"/>
    <w:rsid w:val="005F1AA3"/>
    <w:rsid w:val="005F24B3"/>
    <w:rsid w:val="005F4570"/>
    <w:rsid w:val="005F6A2A"/>
    <w:rsid w:val="0060065C"/>
    <w:rsid w:val="00601483"/>
    <w:rsid w:val="006042D8"/>
    <w:rsid w:val="006049D5"/>
    <w:rsid w:val="00606EB7"/>
    <w:rsid w:val="00607864"/>
    <w:rsid w:val="0061109C"/>
    <w:rsid w:val="006112D3"/>
    <w:rsid w:val="006123A3"/>
    <w:rsid w:val="00625682"/>
    <w:rsid w:val="006257CF"/>
    <w:rsid w:val="00625C2B"/>
    <w:rsid w:val="0062680A"/>
    <w:rsid w:val="006277BC"/>
    <w:rsid w:val="00631990"/>
    <w:rsid w:val="00631B21"/>
    <w:rsid w:val="00631BF7"/>
    <w:rsid w:val="0063243D"/>
    <w:rsid w:val="006327EE"/>
    <w:rsid w:val="0063340F"/>
    <w:rsid w:val="006354B2"/>
    <w:rsid w:val="00636995"/>
    <w:rsid w:val="00637260"/>
    <w:rsid w:val="006409E6"/>
    <w:rsid w:val="006438E4"/>
    <w:rsid w:val="0064462A"/>
    <w:rsid w:val="0064525D"/>
    <w:rsid w:val="00645F74"/>
    <w:rsid w:val="00647368"/>
    <w:rsid w:val="0065057B"/>
    <w:rsid w:val="00653F61"/>
    <w:rsid w:val="006542E7"/>
    <w:rsid w:val="00655F9E"/>
    <w:rsid w:val="006563D1"/>
    <w:rsid w:val="00660AAE"/>
    <w:rsid w:val="00661E96"/>
    <w:rsid w:val="0066394A"/>
    <w:rsid w:val="00663E52"/>
    <w:rsid w:val="006650A4"/>
    <w:rsid w:val="00675497"/>
    <w:rsid w:val="006775AE"/>
    <w:rsid w:val="006844EF"/>
    <w:rsid w:val="006873D9"/>
    <w:rsid w:val="006918F2"/>
    <w:rsid w:val="006939E4"/>
    <w:rsid w:val="00694A71"/>
    <w:rsid w:val="006951DB"/>
    <w:rsid w:val="00696487"/>
    <w:rsid w:val="006A0779"/>
    <w:rsid w:val="006A0F02"/>
    <w:rsid w:val="006A2218"/>
    <w:rsid w:val="006A2C39"/>
    <w:rsid w:val="006A3145"/>
    <w:rsid w:val="006A4D13"/>
    <w:rsid w:val="006A7685"/>
    <w:rsid w:val="006B17D8"/>
    <w:rsid w:val="006B5F41"/>
    <w:rsid w:val="006C08EA"/>
    <w:rsid w:val="006C38F8"/>
    <w:rsid w:val="006C56F9"/>
    <w:rsid w:val="006C586E"/>
    <w:rsid w:val="006C77E1"/>
    <w:rsid w:val="006D064D"/>
    <w:rsid w:val="006D1A71"/>
    <w:rsid w:val="006E303C"/>
    <w:rsid w:val="006E4488"/>
    <w:rsid w:val="006E450C"/>
    <w:rsid w:val="006E464A"/>
    <w:rsid w:val="006F285B"/>
    <w:rsid w:val="006F52B9"/>
    <w:rsid w:val="006F57AF"/>
    <w:rsid w:val="006F63DD"/>
    <w:rsid w:val="007011A2"/>
    <w:rsid w:val="00705701"/>
    <w:rsid w:val="00706E7A"/>
    <w:rsid w:val="00712EF0"/>
    <w:rsid w:val="007134FF"/>
    <w:rsid w:val="00713AFC"/>
    <w:rsid w:val="00727DB6"/>
    <w:rsid w:val="0073038C"/>
    <w:rsid w:val="00732B26"/>
    <w:rsid w:val="007336B7"/>
    <w:rsid w:val="00734A86"/>
    <w:rsid w:val="0073613D"/>
    <w:rsid w:val="0073622A"/>
    <w:rsid w:val="00745190"/>
    <w:rsid w:val="007457C8"/>
    <w:rsid w:val="007468DB"/>
    <w:rsid w:val="007503C0"/>
    <w:rsid w:val="007533AA"/>
    <w:rsid w:val="007538B0"/>
    <w:rsid w:val="007555E7"/>
    <w:rsid w:val="00755DC8"/>
    <w:rsid w:val="00756D46"/>
    <w:rsid w:val="00761271"/>
    <w:rsid w:val="00763802"/>
    <w:rsid w:val="0076492E"/>
    <w:rsid w:val="00766511"/>
    <w:rsid w:val="00770D15"/>
    <w:rsid w:val="00771680"/>
    <w:rsid w:val="00777FB0"/>
    <w:rsid w:val="00780A09"/>
    <w:rsid w:val="00780F65"/>
    <w:rsid w:val="00782586"/>
    <w:rsid w:val="0078266F"/>
    <w:rsid w:val="007828C2"/>
    <w:rsid w:val="0078307E"/>
    <w:rsid w:val="00783A40"/>
    <w:rsid w:val="00783AD7"/>
    <w:rsid w:val="00784380"/>
    <w:rsid w:val="007879DB"/>
    <w:rsid w:val="00795EF8"/>
    <w:rsid w:val="00796405"/>
    <w:rsid w:val="00796EFD"/>
    <w:rsid w:val="007A3345"/>
    <w:rsid w:val="007A71F9"/>
    <w:rsid w:val="007A7AB7"/>
    <w:rsid w:val="007B09AB"/>
    <w:rsid w:val="007B43E6"/>
    <w:rsid w:val="007B4422"/>
    <w:rsid w:val="007B467E"/>
    <w:rsid w:val="007B6153"/>
    <w:rsid w:val="007C0D4F"/>
    <w:rsid w:val="007C4ADB"/>
    <w:rsid w:val="007C5CB2"/>
    <w:rsid w:val="007C7DDF"/>
    <w:rsid w:val="007D0175"/>
    <w:rsid w:val="007D14D1"/>
    <w:rsid w:val="007D226B"/>
    <w:rsid w:val="007D272A"/>
    <w:rsid w:val="007D699E"/>
    <w:rsid w:val="007E023E"/>
    <w:rsid w:val="007E3C36"/>
    <w:rsid w:val="007E3C87"/>
    <w:rsid w:val="007E40EA"/>
    <w:rsid w:val="007E5F5F"/>
    <w:rsid w:val="007E6DFC"/>
    <w:rsid w:val="007F6FBE"/>
    <w:rsid w:val="00801937"/>
    <w:rsid w:val="008034F0"/>
    <w:rsid w:val="008038BE"/>
    <w:rsid w:val="008038CB"/>
    <w:rsid w:val="00807576"/>
    <w:rsid w:val="00815476"/>
    <w:rsid w:val="0081549A"/>
    <w:rsid w:val="008166E1"/>
    <w:rsid w:val="00816D3F"/>
    <w:rsid w:val="008204FB"/>
    <w:rsid w:val="00820FC2"/>
    <w:rsid w:val="008311D0"/>
    <w:rsid w:val="00834872"/>
    <w:rsid w:val="008354F1"/>
    <w:rsid w:val="008369DD"/>
    <w:rsid w:val="008372E7"/>
    <w:rsid w:val="00844D2F"/>
    <w:rsid w:val="00850572"/>
    <w:rsid w:val="008536F8"/>
    <w:rsid w:val="00860299"/>
    <w:rsid w:val="00861D45"/>
    <w:rsid w:val="0086583A"/>
    <w:rsid w:val="0086688A"/>
    <w:rsid w:val="00866BE3"/>
    <w:rsid w:val="00867491"/>
    <w:rsid w:val="00867E47"/>
    <w:rsid w:val="00873334"/>
    <w:rsid w:val="00873E10"/>
    <w:rsid w:val="0087639D"/>
    <w:rsid w:val="00882424"/>
    <w:rsid w:val="00883BDB"/>
    <w:rsid w:val="00886BE5"/>
    <w:rsid w:val="00890150"/>
    <w:rsid w:val="00890177"/>
    <w:rsid w:val="00891E02"/>
    <w:rsid w:val="008921F0"/>
    <w:rsid w:val="008960E8"/>
    <w:rsid w:val="00896EA0"/>
    <w:rsid w:val="00897601"/>
    <w:rsid w:val="008A246B"/>
    <w:rsid w:val="008A293D"/>
    <w:rsid w:val="008A3DD4"/>
    <w:rsid w:val="008A48A2"/>
    <w:rsid w:val="008A50DD"/>
    <w:rsid w:val="008A57D4"/>
    <w:rsid w:val="008A660E"/>
    <w:rsid w:val="008A7A5E"/>
    <w:rsid w:val="008A7D13"/>
    <w:rsid w:val="008B0A94"/>
    <w:rsid w:val="008B0F3F"/>
    <w:rsid w:val="008B2B27"/>
    <w:rsid w:val="008B2F35"/>
    <w:rsid w:val="008C3AE8"/>
    <w:rsid w:val="008C4EB1"/>
    <w:rsid w:val="008C5AAA"/>
    <w:rsid w:val="008D0C5B"/>
    <w:rsid w:val="008D0E98"/>
    <w:rsid w:val="008D393D"/>
    <w:rsid w:val="008E1404"/>
    <w:rsid w:val="008E2D32"/>
    <w:rsid w:val="008E4EF8"/>
    <w:rsid w:val="008E4F14"/>
    <w:rsid w:val="008E5413"/>
    <w:rsid w:val="008F4346"/>
    <w:rsid w:val="008F5685"/>
    <w:rsid w:val="008F772B"/>
    <w:rsid w:val="00901592"/>
    <w:rsid w:val="00901FCE"/>
    <w:rsid w:val="009032D0"/>
    <w:rsid w:val="00906557"/>
    <w:rsid w:val="009068EE"/>
    <w:rsid w:val="009069FD"/>
    <w:rsid w:val="00906B52"/>
    <w:rsid w:val="009110A2"/>
    <w:rsid w:val="00911AC8"/>
    <w:rsid w:val="0091459E"/>
    <w:rsid w:val="009158B8"/>
    <w:rsid w:val="0092063E"/>
    <w:rsid w:val="00922431"/>
    <w:rsid w:val="00922B50"/>
    <w:rsid w:val="00922EC5"/>
    <w:rsid w:val="00925473"/>
    <w:rsid w:val="00930A21"/>
    <w:rsid w:val="009361FE"/>
    <w:rsid w:val="00936702"/>
    <w:rsid w:val="009371C9"/>
    <w:rsid w:val="00940362"/>
    <w:rsid w:val="0094083F"/>
    <w:rsid w:val="0094085E"/>
    <w:rsid w:val="00941022"/>
    <w:rsid w:val="009430D8"/>
    <w:rsid w:val="00944F3F"/>
    <w:rsid w:val="009451A4"/>
    <w:rsid w:val="00947A63"/>
    <w:rsid w:val="009530DA"/>
    <w:rsid w:val="0095763D"/>
    <w:rsid w:val="00963F9A"/>
    <w:rsid w:val="00970392"/>
    <w:rsid w:val="00976DE7"/>
    <w:rsid w:val="009801F2"/>
    <w:rsid w:val="009808A2"/>
    <w:rsid w:val="009846F0"/>
    <w:rsid w:val="00987C68"/>
    <w:rsid w:val="009908C9"/>
    <w:rsid w:val="009911BA"/>
    <w:rsid w:val="0099186B"/>
    <w:rsid w:val="00992146"/>
    <w:rsid w:val="009958DA"/>
    <w:rsid w:val="009A199F"/>
    <w:rsid w:val="009B0F76"/>
    <w:rsid w:val="009B1DE9"/>
    <w:rsid w:val="009B27FD"/>
    <w:rsid w:val="009B3356"/>
    <w:rsid w:val="009B3865"/>
    <w:rsid w:val="009B3BE7"/>
    <w:rsid w:val="009B55D1"/>
    <w:rsid w:val="009B735D"/>
    <w:rsid w:val="009C0FA6"/>
    <w:rsid w:val="009C18B7"/>
    <w:rsid w:val="009C1B9E"/>
    <w:rsid w:val="009C3DD0"/>
    <w:rsid w:val="009C5DA8"/>
    <w:rsid w:val="009C61ED"/>
    <w:rsid w:val="009C73AD"/>
    <w:rsid w:val="009D18A4"/>
    <w:rsid w:val="009D1DE5"/>
    <w:rsid w:val="009D2600"/>
    <w:rsid w:val="009D39EF"/>
    <w:rsid w:val="009D5FA0"/>
    <w:rsid w:val="009D6E1E"/>
    <w:rsid w:val="009D6F43"/>
    <w:rsid w:val="009D7AFC"/>
    <w:rsid w:val="009E37D9"/>
    <w:rsid w:val="009E4F3D"/>
    <w:rsid w:val="009E7614"/>
    <w:rsid w:val="009F2569"/>
    <w:rsid w:val="009F52D6"/>
    <w:rsid w:val="009F5A3F"/>
    <w:rsid w:val="009F5B20"/>
    <w:rsid w:val="00A01A61"/>
    <w:rsid w:val="00A07C2B"/>
    <w:rsid w:val="00A1249D"/>
    <w:rsid w:val="00A13A99"/>
    <w:rsid w:val="00A1424D"/>
    <w:rsid w:val="00A1553B"/>
    <w:rsid w:val="00A16F18"/>
    <w:rsid w:val="00A1724E"/>
    <w:rsid w:val="00A2010A"/>
    <w:rsid w:val="00A226FD"/>
    <w:rsid w:val="00A26158"/>
    <w:rsid w:val="00A34264"/>
    <w:rsid w:val="00A3508D"/>
    <w:rsid w:val="00A36277"/>
    <w:rsid w:val="00A37D20"/>
    <w:rsid w:val="00A37FF7"/>
    <w:rsid w:val="00A40B0B"/>
    <w:rsid w:val="00A41191"/>
    <w:rsid w:val="00A43812"/>
    <w:rsid w:val="00A46644"/>
    <w:rsid w:val="00A5144A"/>
    <w:rsid w:val="00A539B6"/>
    <w:rsid w:val="00A53BED"/>
    <w:rsid w:val="00A56798"/>
    <w:rsid w:val="00A57589"/>
    <w:rsid w:val="00A60647"/>
    <w:rsid w:val="00A60CB0"/>
    <w:rsid w:val="00A60D55"/>
    <w:rsid w:val="00A61EFE"/>
    <w:rsid w:val="00A62CC5"/>
    <w:rsid w:val="00A70233"/>
    <w:rsid w:val="00A711CA"/>
    <w:rsid w:val="00A717F6"/>
    <w:rsid w:val="00A72F97"/>
    <w:rsid w:val="00A7342C"/>
    <w:rsid w:val="00A80662"/>
    <w:rsid w:val="00A8364C"/>
    <w:rsid w:val="00A84BF9"/>
    <w:rsid w:val="00A85A60"/>
    <w:rsid w:val="00A85C4E"/>
    <w:rsid w:val="00A85E4B"/>
    <w:rsid w:val="00A8792E"/>
    <w:rsid w:val="00A900DF"/>
    <w:rsid w:val="00A90658"/>
    <w:rsid w:val="00A91736"/>
    <w:rsid w:val="00A9264C"/>
    <w:rsid w:val="00A94021"/>
    <w:rsid w:val="00AA0703"/>
    <w:rsid w:val="00AA0768"/>
    <w:rsid w:val="00AA09E6"/>
    <w:rsid w:val="00AA3A93"/>
    <w:rsid w:val="00AB0249"/>
    <w:rsid w:val="00AB158A"/>
    <w:rsid w:val="00AB15C7"/>
    <w:rsid w:val="00AB1672"/>
    <w:rsid w:val="00AB4B1D"/>
    <w:rsid w:val="00AB669A"/>
    <w:rsid w:val="00AC27F4"/>
    <w:rsid w:val="00AC312B"/>
    <w:rsid w:val="00AC342E"/>
    <w:rsid w:val="00AC61AB"/>
    <w:rsid w:val="00AC78FF"/>
    <w:rsid w:val="00AD2F92"/>
    <w:rsid w:val="00AE5AFD"/>
    <w:rsid w:val="00AF4367"/>
    <w:rsid w:val="00AF4BC7"/>
    <w:rsid w:val="00AF6BFA"/>
    <w:rsid w:val="00B004CF"/>
    <w:rsid w:val="00B0059E"/>
    <w:rsid w:val="00B01342"/>
    <w:rsid w:val="00B01AAC"/>
    <w:rsid w:val="00B026DF"/>
    <w:rsid w:val="00B03434"/>
    <w:rsid w:val="00B04A5E"/>
    <w:rsid w:val="00B04B11"/>
    <w:rsid w:val="00B0522F"/>
    <w:rsid w:val="00B140D8"/>
    <w:rsid w:val="00B15E1C"/>
    <w:rsid w:val="00B16E44"/>
    <w:rsid w:val="00B2064F"/>
    <w:rsid w:val="00B21198"/>
    <w:rsid w:val="00B23693"/>
    <w:rsid w:val="00B30548"/>
    <w:rsid w:val="00B34425"/>
    <w:rsid w:val="00B34E5E"/>
    <w:rsid w:val="00B35C4F"/>
    <w:rsid w:val="00B35F3A"/>
    <w:rsid w:val="00B37234"/>
    <w:rsid w:val="00B41299"/>
    <w:rsid w:val="00B44C75"/>
    <w:rsid w:val="00B51604"/>
    <w:rsid w:val="00B53FA5"/>
    <w:rsid w:val="00B540F1"/>
    <w:rsid w:val="00B5417D"/>
    <w:rsid w:val="00B54AA2"/>
    <w:rsid w:val="00B62246"/>
    <w:rsid w:val="00B62E31"/>
    <w:rsid w:val="00B71883"/>
    <w:rsid w:val="00B72C14"/>
    <w:rsid w:val="00B76F09"/>
    <w:rsid w:val="00B82F5E"/>
    <w:rsid w:val="00B83F2B"/>
    <w:rsid w:val="00B8477E"/>
    <w:rsid w:val="00B926B6"/>
    <w:rsid w:val="00B92E66"/>
    <w:rsid w:val="00BA019B"/>
    <w:rsid w:val="00BA0748"/>
    <w:rsid w:val="00BA406F"/>
    <w:rsid w:val="00BB2FD2"/>
    <w:rsid w:val="00BB3D31"/>
    <w:rsid w:val="00BB6CDA"/>
    <w:rsid w:val="00BC1A9C"/>
    <w:rsid w:val="00BC2482"/>
    <w:rsid w:val="00BC7132"/>
    <w:rsid w:val="00BC7B69"/>
    <w:rsid w:val="00BD1168"/>
    <w:rsid w:val="00BD1395"/>
    <w:rsid w:val="00BD2E5F"/>
    <w:rsid w:val="00BD5336"/>
    <w:rsid w:val="00BD6D86"/>
    <w:rsid w:val="00BD7EA0"/>
    <w:rsid w:val="00BE0FC9"/>
    <w:rsid w:val="00BE1367"/>
    <w:rsid w:val="00BE182B"/>
    <w:rsid w:val="00BE5629"/>
    <w:rsid w:val="00BE6A2E"/>
    <w:rsid w:val="00BE6B38"/>
    <w:rsid w:val="00BF34F8"/>
    <w:rsid w:val="00BF39B3"/>
    <w:rsid w:val="00BF3EBE"/>
    <w:rsid w:val="00BF42CB"/>
    <w:rsid w:val="00BF5941"/>
    <w:rsid w:val="00BF6F49"/>
    <w:rsid w:val="00C0380B"/>
    <w:rsid w:val="00C04A48"/>
    <w:rsid w:val="00C0680D"/>
    <w:rsid w:val="00C1166C"/>
    <w:rsid w:val="00C12E7F"/>
    <w:rsid w:val="00C13B02"/>
    <w:rsid w:val="00C14511"/>
    <w:rsid w:val="00C21C4A"/>
    <w:rsid w:val="00C25CB4"/>
    <w:rsid w:val="00C329BC"/>
    <w:rsid w:val="00C32B62"/>
    <w:rsid w:val="00C354C1"/>
    <w:rsid w:val="00C40614"/>
    <w:rsid w:val="00C43AEE"/>
    <w:rsid w:val="00C43DAE"/>
    <w:rsid w:val="00C47DBD"/>
    <w:rsid w:val="00C50C9B"/>
    <w:rsid w:val="00C53629"/>
    <w:rsid w:val="00C55D80"/>
    <w:rsid w:val="00C56AD4"/>
    <w:rsid w:val="00C56D2A"/>
    <w:rsid w:val="00C5765E"/>
    <w:rsid w:val="00C6019B"/>
    <w:rsid w:val="00C6022C"/>
    <w:rsid w:val="00C61105"/>
    <w:rsid w:val="00C62A17"/>
    <w:rsid w:val="00C65A4B"/>
    <w:rsid w:val="00C66EA3"/>
    <w:rsid w:val="00C771E8"/>
    <w:rsid w:val="00C77DAF"/>
    <w:rsid w:val="00C77DE8"/>
    <w:rsid w:val="00C813BC"/>
    <w:rsid w:val="00C83CBD"/>
    <w:rsid w:val="00C86025"/>
    <w:rsid w:val="00C929F6"/>
    <w:rsid w:val="00C93703"/>
    <w:rsid w:val="00C94969"/>
    <w:rsid w:val="00C97ACF"/>
    <w:rsid w:val="00CA0935"/>
    <w:rsid w:val="00CA4CF2"/>
    <w:rsid w:val="00CA5F2D"/>
    <w:rsid w:val="00CB02D2"/>
    <w:rsid w:val="00CB15E3"/>
    <w:rsid w:val="00CB483B"/>
    <w:rsid w:val="00CB536C"/>
    <w:rsid w:val="00CC0343"/>
    <w:rsid w:val="00CC2A56"/>
    <w:rsid w:val="00CC5201"/>
    <w:rsid w:val="00CC6E16"/>
    <w:rsid w:val="00CD006E"/>
    <w:rsid w:val="00CD07A7"/>
    <w:rsid w:val="00CD099A"/>
    <w:rsid w:val="00CD1EB2"/>
    <w:rsid w:val="00CD2689"/>
    <w:rsid w:val="00CD34C0"/>
    <w:rsid w:val="00CD654F"/>
    <w:rsid w:val="00CD69A7"/>
    <w:rsid w:val="00CE1A41"/>
    <w:rsid w:val="00CF655A"/>
    <w:rsid w:val="00CF7D5C"/>
    <w:rsid w:val="00D02D5F"/>
    <w:rsid w:val="00D05C5E"/>
    <w:rsid w:val="00D060DD"/>
    <w:rsid w:val="00D06930"/>
    <w:rsid w:val="00D0697E"/>
    <w:rsid w:val="00D11662"/>
    <w:rsid w:val="00D11EF0"/>
    <w:rsid w:val="00D13A75"/>
    <w:rsid w:val="00D2045F"/>
    <w:rsid w:val="00D212B4"/>
    <w:rsid w:val="00D247FC"/>
    <w:rsid w:val="00D255B9"/>
    <w:rsid w:val="00D25EC5"/>
    <w:rsid w:val="00D3115F"/>
    <w:rsid w:val="00D32335"/>
    <w:rsid w:val="00D3265B"/>
    <w:rsid w:val="00D33474"/>
    <w:rsid w:val="00D358B9"/>
    <w:rsid w:val="00D37B25"/>
    <w:rsid w:val="00D41E9C"/>
    <w:rsid w:val="00D41F3F"/>
    <w:rsid w:val="00D529BF"/>
    <w:rsid w:val="00D53F68"/>
    <w:rsid w:val="00D541F2"/>
    <w:rsid w:val="00D577B4"/>
    <w:rsid w:val="00D64FCB"/>
    <w:rsid w:val="00D676D8"/>
    <w:rsid w:val="00D71AE3"/>
    <w:rsid w:val="00D7230B"/>
    <w:rsid w:val="00D732FB"/>
    <w:rsid w:val="00D80BD6"/>
    <w:rsid w:val="00D81335"/>
    <w:rsid w:val="00D82259"/>
    <w:rsid w:val="00D835EA"/>
    <w:rsid w:val="00D91FD6"/>
    <w:rsid w:val="00D95463"/>
    <w:rsid w:val="00D9757D"/>
    <w:rsid w:val="00DA0669"/>
    <w:rsid w:val="00DA0F1B"/>
    <w:rsid w:val="00DA12AB"/>
    <w:rsid w:val="00DA3E8F"/>
    <w:rsid w:val="00DA4955"/>
    <w:rsid w:val="00DA49B7"/>
    <w:rsid w:val="00DA577C"/>
    <w:rsid w:val="00DA5FEE"/>
    <w:rsid w:val="00DA758D"/>
    <w:rsid w:val="00DB2A7D"/>
    <w:rsid w:val="00DB3B38"/>
    <w:rsid w:val="00DC0474"/>
    <w:rsid w:val="00DC465E"/>
    <w:rsid w:val="00DC5DF5"/>
    <w:rsid w:val="00DC6A56"/>
    <w:rsid w:val="00DD1B60"/>
    <w:rsid w:val="00DD6251"/>
    <w:rsid w:val="00DE1549"/>
    <w:rsid w:val="00DE4085"/>
    <w:rsid w:val="00DE6080"/>
    <w:rsid w:val="00DF30B5"/>
    <w:rsid w:val="00DF6884"/>
    <w:rsid w:val="00E0339D"/>
    <w:rsid w:val="00E0754C"/>
    <w:rsid w:val="00E1746F"/>
    <w:rsid w:val="00E2093E"/>
    <w:rsid w:val="00E24875"/>
    <w:rsid w:val="00E24C8C"/>
    <w:rsid w:val="00E27C0F"/>
    <w:rsid w:val="00E31700"/>
    <w:rsid w:val="00E334F4"/>
    <w:rsid w:val="00E34FA2"/>
    <w:rsid w:val="00E3549E"/>
    <w:rsid w:val="00E358B6"/>
    <w:rsid w:val="00E36BE0"/>
    <w:rsid w:val="00E40949"/>
    <w:rsid w:val="00E43F4B"/>
    <w:rsid w:val="00E468BB"/>
    <w:rsid w:val="00E47C9B"/>
    <w:rsid w:val="00E5040C"/>
    <w:rsid w:val="00E53C5F"/>
    <w:rsid w:val="00E55AD1"/>
    <w:rsid w:val="00E56574"/>
    <w:rsid w:val="00E60061"/>
    <w:rsid w:val="00E62752"/>
    <w:rsid w:val="00E66225"/>
    <w:rsid w:val="00E66D3C"/>
    <w:rsid w:val="00E745B6"/>
    <w:rsid w:val="00E804B0"/>
    <w:rsid w:val="00E80EEB"/>
    <w:rsid w:val="00E82BC5"/>
    <w:rsid w:val="00E84859"/>
    <w:rsid w:val="00E84901"/>
    <w:rsid w:val="00E85620"/>
    <w:rsid w:val="00E86513"/>
    <w:rsid w:val="00E94952"/>
    <w:rsid w:val="00E972A8"/>
    <w:rsid w:val="00E97447"/>
    <w:rsid w:val="00EA09CF"/>
    <w:rsid w:val="00EA418A"/>
    <w:rsid w:val="00EA476B"/>
    <w:rsid w:val="00EA7873"/>
    <w:rsid w:val="00EB3B5A"/>
    <w:rsid w:val="00EB3F5C"/>
    <w:rsid w:val="00EB5419"/>
    <w:rsid w:val="00EC399C"/>
    <w:rsid w:val="00EC7639"/>
    <w:rsid w:val="00EC7A6D"/>
    <w:rsid w:val="00EC7F41"/>
    <w:rsid w:val="00ED3844"/>
    <w:rsid w:val="00ED5569"/>
    <w:rsid w:val="00ED6A91"/>
    <w:rsid w:val="00ED6BA0"/>
    <w:rsid w:val="00ED7498"/>
    <w:rsid w:val="00ED7AA3"/>
    <w:rsid w:val="00EE1C1D"/>
    <w:rsid w:val="00EE2774"/>
    <w:rsid w:val="00EE4664"/>
    <w:rsid w:val="00EE4CAE"/>
    <w:rsid w:val="00EE6DE6"/>
    <w:rsid w:val="00EF012D"/>
    <w:rsid w:val="00EF303E"/>
    <w:rsid w:val="00EF326B"/>
    <w:rsid w:val="00EF7C2B"/>
    <w:rsid w:val="00F00555"/>
    <w:rsid w:val="00F046A0"/>
    <w:rsid w:val="00F04769"/>
    <w:rsid w:val="00F04DF8"/>
    <w:rsid w:val="00F04E94"/>
    <w:rsid w:val="00F05106"/>
    <w:rsid w:val="00F054E6"/>
    <w:rsid w:val="00F0775B"/>
    <w:rsid w:val="00F1035A"/>
    <w:rsid w:val="00F10B02"/>
    <w:rsid w:val="00F11A9D"/>
    <w:rsid w:val="00F11F84"/>
    <w:rsid w:val="00F163E5"/>
    <w:rsid w:val="00F16915"/>
    <w:rsid w:val="00F1713D"/>
    <w:rsid w:val="00F25583"/>
    <w:rsid w:val="00F277F3"/>
    <w:rsid w:val="00F278ED"/>
    <w:rsid w:val="00F31821"/>
    <w:rsid w:val="00F31DAC"/>
    <w:rsid w:val="00F33A0D"/>
    <w:rsid w:val="00F363F9"/>
    <w:rsid w:val="00F37914"/>
    <w:rsid w:val="00F421E0"/>
    <w:rsid w:val="00F45280"/>
    <w:rsid w:val="00F4776D"/>
    <w:rsid w:val="00F47BD2"/>
    <w:rsid w:val="00F51623"/>
    <w:rsid w:val="00F52F6E"/>
    <w:rsid w:val="00F60F86"/>
    <w:rsid w:val="00F637A1"/>
    <w:rsid w:val="00F66AC7"/>
    <w:rsid w:val="00F7081D"/>
    <w:rsid w:val="00F71A9F"/>
    <w:rsid w:val="00F71FF5"/>
    <w:rsid w:val="00F7296C"/>
    <w:rsid w:val="00F753EE"/>
    <w:rsid w:val="00F75A49"/>
    <w:rsid w:val="00F813A1"/>
    <w:rsid w:val="00F81FFD"/>
    <w:rsid w:val="00F82BFF"/>
    <w:rsid w:val="00F90382"/>
    <w:rsid w:val="00F92E01"/>
    <w:rsid w:val="00F941E9"/>
    <w:rsid w:val="00F94D38"/>
    <w:rsid w:val="00F958F3"/>
    <w:rsid w:val="00F967A1"/>
    <w:rsid w:val="00F97F3B"/>
    <w:rsid w:val="00FA12AC"/>
    <w:rsid w:val="00FA21F6"/>
    <w:rsid w:val="00FA49D2"/>
    <w:rsid w:val="00FA5649"/>
    <w:rsid w:val="00FA6E2D"/>
    <w:rsid w:val="00FB194C"/>
    <w:rsid w:val="00FB20CF"/>
    <w:rsid w:val="00FB2AA3"/>
    <w:rsid w:val="00FB5F5F"/>
    <w:rsid w:val="00FB7AC4"/>
    <w:rsid w:val="00FC0157"/>
    <w:rsid w:val="00FC08C4"/>
    <w:rsid w:val="00FC0F82"/>
    <w:rsid w:val="00FC40A2"/>
    <w:rsid w:val="00FC7AFE"/>
    <w:rsid w:val="00FD16F7"/>
    <w:rsid w:val="00FD1EA5"/>
    <w:rsid w:val="00FD20E4"/>
    <w:rsid w:val="00FD21CC"/>
    <w:rsid w:val="00FD22B1"/>
    <w:rsid w:val="00FD24F4"/>
    <w:rsid w:val="00FD346C"/>
    <w:rsid w:val="00FD5CD5"/>
    <w:rsid w:val="00FD7FA8"/>
    <w:rsid w:val="00FE282C"/>
    <w:rsid w:val="00FE3228"/>
    <w:rsid w:val="00FE3762"/>
    <w:rsid w:val="00FE43E0"/>
    <w:rsid w:val="00FE552F"/>
    <w:rsid w:val="00FE587E"/>
    <w:rsid w:val="00FE594E"/>
    <w:rsid w:val="00FE5BED"/>
    <w:rsid w:val="00FF1C2F"/>
    <w:rsid w:val="00FF3147"/>
    <w:rsid w:val="00FF37E2"/>
    <w:rsid w:val="00FF5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01C84"/>
  <w15:docId w15:val="{E9A43FA2-793D-C54D-8EAA-3CEE4DED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D0175"/>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7457C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354C1"/>
    <w:rPr>
      <w:sz w:val="20"/>
      <w:szCs w:val="20"/>
    </w:rPr>
  </w:style>
  <w:style w:type="character" w:customStyle="1" w:styleId="FootnoteTextChar">
    <w:name w:val="Footnote Text Char"/>
    <w:basedOn w:val="DefaultParagraphFont"/>
    <w:link w:val="FootnoteText"/>
    <w:uiPriority w:val="99"/>
    <w:rsid w:val="00C354C1"/>
    <w:rPr>
      <w:sz w:val="20"/>
      <w:szCs w:val="20"/>
    </w:rPr>
  </w:style>
  <w:style w:type="character" w:styleId="FootnoteReference">
    <w:name w:val="footnote reference"/>
    <w:basedOn w:val="DefaultParagraphFont"/>
    <w:uiPriority w:val="99"/>
    <w:semiHidden/>
    <w:unhideWhenUsed/>
    <w:rsid w:val="00C354C1"/>
    <w:rPr>
      <w:vertAlign w:val="superscript"/>
    </w:rPr>
  </w:style>
  <w:style w:type="paragraph" w:styleId="ListParagraph">
    <w:name w:val="List Paragraph"/>
    <w:basedOn w:val="Normal"/>
    <w:uiPriority w:val="34"/>
    <w:qFormat/>
    <w:rsid w:val="00352D97"/>
    <w:pPr>
      <w:ind w:left="720"/>
      <w:contextualSpacing/>
    </w:pPr>
  </w:style>
  <w:style w:type="character" w:styleId="Hyperlink">
    <w:name w:val="Hyperlink"/>
    <w:basedOn w:val="DefaultParagraphFont"/>
    <w:uiPriority w:val="99"/>
    <w:unhideWhenUsed/>
    <w:rsid w:val="00306D68"/>
    <w:rPr>
      <w:color w:val="0563C1" w:themeColor="hyperlink"/>
      <w:u w:val="single"/>
    </w:rPr>
  </w:style>
  <w:style w:type="character" w:customStyle="1" w:styleId="UnresolvedMention1">
    <w:name w:val="Unresolved Mention1"/>
    <w:basedOn w:val="DefaultParagraphFont"/>
    <w:uiPriority w:val="99"/>
    <w:semiHidden/>
    <w:unhideWhenUsed/>
    <w:rsid w:val="001572EB"/>
    <w:rPr>
      <w:color w:val="605E5C"/>
      <w:shd w:val="clear" w:color="auto" w:fill="E1DFDD"/>
    </w:rPr>
  </w:style>
  <w:style w:type="paragraph" w:styleId="NormalWeb">
    <w:name w:val="Normal (Web)"/>
    <w:basedOn w:val="Normal"/>
    <w:uiPriority w:val="99"/>
    <w:unhideWhenUsed/>
    <w:rsid w:val="00F33A0D"/>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7D0175"/>
  </w:style>
  <w:style w:type="character" w:customStyle="1" w:styleId="Heading1Char">
    <w:name w:val="Heading 1 Char"/>
    <w:basedOn w:val="DefaultParagraphFont"/>
    <w:link w:val="Heading1"/>
    <w:uiPriority w:val="9"/>
    <w:rsid w:val="007D0175"/>
    <w:rPr>
      <w:rFonts w:ascii="Times New Roman" w:eastAsia="Times New Roman" w:hAnsi="Times New Roman" w:cs="Times New Roman"/>
      <w:b/>
      <w:bCs/>
      <w:kern w:val="36"/>
      <w:sz w:val="48"/>
      <w:szCs w:val="48"/>
      <w:lang w:eastAsia="en-GB"/>
    </w:rPr>
  </w:style>
  <w:style w:type="paragraph" w:customStyle="1" w:styleId="paralevel1">
    <w:name w:val="paralevel1"/>
    <w:basedOn w:val="Normal"/>
    <w:rsid w:val="00E3549E"/>
    <w:pPr>
      <w:spacing w:before="100" w:beforeAutospacing="1" w:after="100" w:afterAutospacing="1"/>
    </w:pPr>
    <w:rPr>
      <w:rFonts w:ascii="Times New Roman" w:eastAsia="Times New Roman" w:hAnsi="Times New Roman" w:cs="Times New Roman"/>
      <w:lang w:eastAsia="en-GB"/>
    </w:rPr>
  </w:style>
  <w:style w:type="paragraph" w:styleId="Footer">
    <w:name w:val="footer"/>
    <w:basedOn w:val="Normal"/>
    <w:link w:val="FooterChar"/>
    <w:uiPriority w:val="99"/>
    <w:unhideWhenUsed/>
    <w:rsid w:val="00EE4CAE"/>
    <w:pPr>
      <w:tabs>
        <w:tab w:val="center" w:pos="4680"/>
        <w:tab w:val="right" w:pos="9360"/>
      </w:tabs>
    </w:pPr>
  </w:style>
  <w:style w:type="character" w:customStyle="1" w:styleId="FooterChar">
    <w:name w:val="Footer Char"/>
    <w:basedOn w:val="DefaultParagraphFont"/>
    <w:link w:val="Footer"/>
    <w:uiPriority w:val="99"/>
    <w:rsid w:val="00EE4CAE"/>
  </w:style>
  <w:style w:type="character" w:styleId="PageNumber">
    <w:name w:val="page number"/>
    <w:basedOn w:val="DefaultParagraphFont"/>
    <w:uiPriority w:val="99"/>
    <w:semiHidden/>
    <w:unhideWhenUsed/>
    <w:rsid w:val="00EE4CAE"/>
  </w:style>
  <w:style w:type="character" w:customStyle="1" w:styleId="Heading3Char">
    <w:name w:val="Heading 3 Char"/>
    <w:basedOn w:val="DefaultParagraphFont"/>
    <w:link w:val="Heading3"/>
    <w:uiPriority w:val="9"/>
    <w:semiHidden/>
    <w:rsid w:val="007457C8"/>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7B09AB"/>
    <w:rPr>
      <w:i/>
      <w:iCs/>
    </w:rPr>
  </w:style>
  <w:style w:type="character" w:styleId="CommentReference">
    <w:name w:val="annotation reference"/>
    <w:basedOn w:val="DefaultParagraphFont"/>
    <w:uiPriority w:val="99"/>
    <w:semiHidden/>
    <w:unhideWhenUsed/>
    <w:rsid w:val="005B3075"/>
    <w:rPr>
      <w:sz w:val="16"/>
      <w:szCs w:val="16"/>
    </w:rPr>
  </w:style>
  <w:style w:type="paragraph" w:styleId="CommentText">
    <w:name w:val="annotation text"/>
    <w:basedOn w:val="Normal"/>
    <w:link w:val="CommentTextChar"/>
    <w:uiPriority w:val="99"/>
    <w:semiHidden/>
    <w:unhideWhenUsed/>
    <w:rsid w:val="005B3075"/>
    <w:rPr>
      <w:sz w:val="20"/>
      <w:szCs w:val="20"/>
    </w:rPr>
  </w:style>
  <w:style w:type="character" w:customStyle="1" w:styleId="CommentTextChar">
    <w:name w:val="Comment Text Char"/>
    <w:basedOn w:val="DefaultParagraphFont"/>
    <w:link w:val="CommentText"/>
    <w:uiPriority w:val="99"/>
    <w:semiHidden/>
    <w:rsid w:val="005B3075"/>
    <w:rPr>
      <w:sz w:val="20"/>
      <w:szCs w:val="20"/>
    </w:rPr>
  </w:style>
  <w:style w:type="paragraph" w:styleId="CommentSubject">
    <w:name w:val="annotation subject"/>
    <w:basedOn w:val="CommentText"/>
    <w:next w:val="CommentText"/>
    <w:link w:val="CommentSubjectChar"/>
    <w:uiPriority w:val="99"/>
    <w:semiHidden/>
    <w:unhideWhenUsed/>
    <w:rsid w:val="005B3075"/>
    <w:rPr>
      <w:b/>
      <w:bCs/>
    </w:rPr>
  </w:style>
  <w:style w:type="character" w:customStyle="1" w:styleId="CommentSubjectChar">
    <w:name w:val="Comment Subject Char"/>
    <w:basedOn w:val="CommentTextChar"/>
    <w:link w:val="CommentSubject"/>
    <w:uiPriority w:val="99"/>
    <w:semiHidden/>
    <w:rsid w:val="005B3075"/>
    <w:rPr>
      <w:b/>
      <w:bCs/>
      <w:sz w:val="20"/>
      <w:szCs w:val="20"/>
    </w:rPr>
  </w:style>
  <w:style w:type="paragraph" w:styleId="Revision">
    <w:name w:val="Revision"/>
    <w:hidden/>
    <w:uiPriority w:val="99"/>
    <w:semiHidden/>
    <w:rsid w:val="005B3075"/>
  </w:style>
  <w:style w:type="character" w:styleId="UnresolvedMention">
    <w:name w:val="Unresolved Mention"/>
    <w:basedOn w:val="DefaultParagraphFont"/>
    <w:uiPriority w:val="99"/>
    <w:rsid w:val="00FB2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researchbriefings.files.parliament.uk/documents/CBP-8372/CBP-8372.pdf" TargetMode="External"/><Relationship Id="rId2" Type="http://schemas.openxmlformats.org/officeDocument/2006/relationships/hyperlink" Target="https://protect.checkpoint.com/v2/r02/___https://changingrealities.org/archive___.YzJlOnVsc3RlcnVuaXZlcnNpdHk6YzpvOjJlNTE2ZDAxZWMxY2RlN2NhM2FmMmQ0MmYxZDk3NTU2Ojc6MDAwZTo1MWU3M2VkYTZhNjZjMGMxZTk3YjM0Yjk3ZTY3MTIxMDE3NmM1ZmFkODAzYzIzMTY3NTQyNzNmMTY2MWEzODNmOnA6VDpO" TargetMode="External"/><Relationship Id="rId1" Type="http://schemas.openxmlformats.org/officeDocument/2006/relationships/hyperlink" Target="https://protect.checkpoint.com/v2/r02/___https://www.resolutionfoundation.org/app/uploads/2018/02/Outlook%20-2018.pdf___.YzJlOnVsc3RlcnVuaXZlcnNpdHk6YzpvOjJlNTE2ZDAxZWMxY2RlN2NhM2FmMmQ0MmYxZDk3NTU2Ojc6NTA2Yzo0ZWM0N2VjZDE4NWNlZjc1ZmQ3NzViYzY4Yjc1YjBmNWEwY2ZlNjYyMGQ5NTI5YjA0Zjg0ZTNiNGM1OTEzOWRmOnA6VDpO" TargetMode="External"/><Relationship Id="rId6" Type="http://schemas.openxmlformats.org/officeDocument/2006/relationships/hyperlink" Target="https://protect.checkpoint.com/v2/r02/___https://consult.justice.gov.uk/digital-communications/et-fee-charging-regime-cp22-2011/supporting_documents/chargingfeesinetandeat1.pdf___.YzJlOnVsc3RlcnVuaXZlcnNpdHk6YzpvOjJlNTE2ZDAxZWMxY2RlN2NhM2FmMmQ0MmYxZDk3NTU2Ojc6NmUzODozNWM5NzJmNWFkMGM4Zjc4MWJkODQzYzI0ODBjM2ZlYmE5ZDUwZGFkNGQ4NWI3MjAwMzA0YmVjNmEyYTJkYWZlOnA6VDpO" TargetMode="External"/><Relationship Id="rId5" Type="http://schemas.openxmlformats.org/officeDocument/2006/relationships/hyperlink" Target="https://protect.checkpoint.com/v2/r02/___https://www.ohchr.org/en/stories/2022/12/we-must-do-more-protect-minorities___.YzJlOnVsc3RlcnVuaXZlcnNpdHk6YzpvOjJlNTE2ZDAxZWMxY2RlN2NhM2FmMmQ0MmYxZDk3NTU2Ojc6YTBkMDo5YWE3ZGJiMDUyM2ExOWUwMTE2Y2UzOTlhNDdjNjY1NDE4ZjA1ZDhiZGMzYmFhYjIxZWU2N2E5ODU0MjUyMjIwOnA6VDpO" TargetMode="External"/><Relationship Id="rId4" Type="http://schemas.openxmlformats.org/officeDocument/2006/relationships/hyperlink" Target="https://protect.checkpoint.com/v2/r02/___https://www.cypcs.org.uk/resources/childrens-commissioners-for-scotland-northern-ireland-and-wales-letter-to-secretary-of-state-for-work-and-pensions/___.YzJlOnVsc3RlcnVuaXZlcnNpdHk6YzpvOjJlNTE2ZDAxZWMxY2RlN2NhM2FmMmQ0MmYxZDk3NTU2Ojc6ZmM1ZTpiY2FkMjBmODJhYTI2YTBjODcyZWFkNjg2NzYwMThiZTM1N2ZkNzMzNzhmNjIzYjIzNjk2NWE3NzNhZTUxOGZhOnA6VDpO"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charlotteobrien/Downloads/attachments-6/Judges%20as%20representative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charlotteobrien/Downloads/attachments-6/Judges%20as%20representativ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5.5002396439575489E-2"/>
          <c:y val="1.5209125475285171E-2"/>
          <c:w val="0.92285347483738445"/>
          <c:h val="0.64461393371455944"/>
        </c:manualLayout>
      </c:layout>
      <c:barChart>
        <c:barDir val="col"/>
        <c:grouping val="stacked"/>
        <c:varyColors val="0"/>
        <c:ser>
          <c:idx val="0"/>
          <c:order val="0"/>
          <c:tx>
            <c:strRef>
              <c:f>Sheet1!$A$2</c:f>
              <c:strCache>
                <c:ptCount val="1"/>
                <c:pt idx="0">
                  <c:v>Robert Reed/Robert Reed QC</c:v>
                </c:pt>
              </c:strCache>
            </c:strRef>
          </c:tx>
          <c:spPr>
            <a:solidFill>
              <a:schemeClr val="dk1">
                <a:tint val="88500"/>
              </a:schemeClr>
            </a:solidFill>
            <a:ln>
              <a:noFill/>
            </a:ln>
            <a:effectLst/>
          </c:spPr>
          <c:invertIfNegative val="0"/>
          <c:cat>
            <c:strRef>
              <c:f>Sheet1!$B$1:$AE$1</c:f>
              <c:strCache>
                <c:ptCount val="30"/>
                <c:pt idx="0">
                  <c:v>number of cases</c:v>
                </c:pt>
                <c:pt idx="1">
                  <c:v>commercial</c:v>
                </c:pt>
                <c:pt idx="2">
                  <c:v>companies and partnerships</c:v>
                </c:pt>
                <c:pt idx="3">
                  <c:v>contract</c:v>
                </c:pt>
                <c:pt idx="4">
                  <c:v>crime</c:v>
                </c:pt>
                <c:pt idx="5">
                  <c:v>data and communications</c:v>
                </c:pt>
                <c:pt idx="6">
                  <c:v>employment and work</c:v>
                </c:pt>
                <c:pt idx="7">
                  <c:v>environment</c:v>
                </c:pt>
                <c:pt idx="8">
                  <c:v>equality and human rights</c:v>
                </c:pt>
                <c:pt idx="9">
                  <c:v>family</c:v>
                </c:pt>
                <c:pt idx="10">
                  <c:v>finance</c:v>
                </c:pt>
                <c:pt idx="11">
                  <c:v>health and social welfare</c:v>
                </c:pt>
                <c:pt idx="12">
                  <c:v>social security administration</c:v>
                </c:pt>
                <c:pt idx="13">
                  <c:v>social security benefits</c:v>
                </c:pt>
                <c:pt idx="14">
                  <c:v>insolvency</c:v>
                </c:pt>
                <c:pt idx="15">
                  <c:v>intellectual property</c:v>
                </c:pt>
                <c:pt idx="16">
                  <c:v>international</c:v>
                </c:pt>
                <c:pt idx="17">
                  <c:v>land</c:v>
                </c:pt>
                <c:pt idx="18">
                  <c:v>legal system</c:v>
                </c:pt>
                <c:pt idx="19">
                  <c:v>litigation and dispute resolution </c:v>
                </c:pt>
                <c:pt idx="20">
                  <c:v>local government</c:v>
                </c:pt>
                <c:pt idx="21">
                  <c:v>personal injury</c:v>
                </c:pt>
                <c:pt idx="22">
                  <c:v>planning and construction</c:v>
                </c:pt>
                <c:pt idx="23">
                  <c:v>public and constitutional</c:v>
                </c:pt>
                <c:pt idx="24">
                  <c:v>social regulation</c:v>
                </c:pt>
                <c:pt idx="25">
                  <c:v>tax</c:v>
                </c:pt>
                <c:pt idx="26">
                  <c:v>torts</c:v>
                </c:pt>
                <c:pt idx="27">
                  <c:v>trusts and personal property</c:v>
                </c:pt>
                <c:pt idx="28">
                  <c:v>transport and shipping</c:v>
                </c:pt>
                <c:pt idx="29">
                  <c:v>unclassified</c:v>
                </c:pt>
              </c:strCache>
            </c:strRef>
          </c:cat>
          <c:val>
            <c:numRef>
              <c:f>Sheet1!$B$2:$AE$2</c:f>
              <c:numCache>
                <c:formatCode>General</c:formatCode>
                <c:ptCount val="30"/>
                <c:pt idx="0">
                  <c:v>131</c:v>
                </c:pt>
              </c:numCache>
            </c:numRef>
          </c:val>
          <c:extLst>
            <c:ext xmlns:c16="http://schemas.microsoft.com/office/drawing/2014/chart" uri="{C3380CC4-5D6E-409C-BE32-E72D297353CC}">
              <c16:uniqueId val="{00000000-0BBC-B64E-8697-044892DCFB08}"/>
            </c:ext>
          </c:extLst>
        </c:ser>
        <c:ser>
          <c:idx val="1"/>
          <c:order val="1"/>
          <c:tx>
            <c:strRef>
              <c:f>Sheet1!$A$3</c:f>
              <c:strCache>
                <c:ptCount val="1"/>
                <c:pt idx="0">
                  <c:v>Patrick Hodge/PH QC</c:v>
                </c:pt>
              </c:strCache>
            </c:strRef>
          </c:tx>
          <c:spPr>
            <a:solidFill>
              <a:schemeClr val="dk1">
                <a:tint val="55000"/>
              </a:schemeClr>
            </a:solidFill>
            <a:ln>
              <a:noFill/>
            </a:ln>
            <a:effectLst/>
          </c:spPr>
          <c:invertIfNegative val="0"/>
          <c:cat>
            <c:strRef>
              <c:f>Sheet1!$B$1:$AE$1</c:f>
              <c:strCache>
                <c:ptCount val="30"/>
                <c:pt idx="0">
                  <c:v>number of cases</c:v>
                </c:pt>
                <c:pt idx="1">
                  <c:v>commercial</c:v>
                </c:pt>
                <c:pt idx="2">
                  <c:v>companies and partnerships</c:v>
                </c:pt>
                <c:pt idx="3">
                  <c:v>contract</c:v>
                </c:pt>
                <c:pt idx="4">
                  <c:v>crime</c:v>
                </c:pt>
                <c:pt idx="5">
                  <c:v>data and communications</c:v>
                </c:pt>
                <c:pt idx="6">
                  <c:v>employment and work</c:v>
                </c:pt>
                <c:pt idx="7">
                  <c:v>environment</c:v>
                </c:pt>
                <c:pt idx="8">
                  <c:v>equality and human rights</c:v>
                </c:pt>
                <c:pt idx="9">
                  <c:v>family</c:v>
                </c:pt>
                <c:pt idx="10">
                  <c:v>finance</c:v>
                </c:pt>
                <c:pt idx="11">
                  <c:v>health and social welfare</c:v>
                </c:pt>
                <c:pt idx="12">
                  <c:v>social security administration</c:v>
                </c:pt>
                <c:pt idx="13">
                  <c:v>social security benefits</c:v>
                </c:pt>
                <c:pt idx="14">
                  <c:v>insolvency</c:v>
                </c:pt>
                <c:pt idx="15">
                  <c:v>intellectual property</c:v>
                </c:pt>
                <c:pt idx="16">
                  <c:v>international</c:v>
                </c:pt>
                <c:pt idx="17">
                  <c:v>land</c:v>
                </c:pt>
                <c:pt idx="18">
                  <c:v>legal system</c:v>
                </c:pt>
                <c:pt idx="19">
                  <c:v>litigation and dispute resolution </c:v>
                </c:pt>
                <c:pt idx="20">
                  <c:v>local government</c:v>
                </c:pt>
                <c:pt idx="21">
                  <c:v>personal injury</c:v>
                </c:pt>
                <c:pt idx="22">
                  <c:v>planning and construction</c:v>
                </c:pt>
                <c:pt idx="23">
                  <c:v>public and constitutional</c:v>
                </c:pt>
                <c:pt idx="24">
                  <c:v>social regulation</c:v>
                </c:pt>
                <c:pt idx="25">
                  <c:v>tax</c:v>
                </c:pt>
                <c:pt idx="26">
                  <c:v>torts</c:v>
                </c:pt>
                <c:pt idx="27">
                  <c:v>trusts and personal property</c:v>
                </c:pt>
                <c:pt idx="28">
                  <c:v>transport and shipping</c:v>
                </c:pt>
                <c:pt idx="29">
                  <c:v>unclassified</c:v>
                </c:pt>
              </c:strCache>
            </c:strRef>
          </c:cat>
          <c:val>
            <c:numRef>
              <c:f>Sheet1!$B$3:$AE$3</c:f>
              <c:numCache>
                <c:formatCode>General</c:formatCode>
                <c:ptCount val="30"/>
                <c:pt idx="0">
                  <c:v>101</c:v>
                </c:pt>
                <c:pt idx="1">
                  <c:v>2</c:v>
                </c:pt>
                <c:pt idx="2">
                  <c:v>2</c:v>
                </c:pt>
                <c:pt idx="3">
                  <c:v>0</c:v>
                </c:pt>
                <c:pt idx="4">
                  <c:v>0</c:v>
                </c:pt>
                <c:pt idx="5">
                  <c:v>0</c:v>
                </c:pt>
                <c:pt idx="6">
                  <c:v>1</c:v>
                </c:pt>
                <c:pt idx="7">
                  <c:v>0</c:v>
                </c:pt>
                <c:pt idx="8">
                  <c:v>2</c:v>
                </c:pt>
                <c:pt idx="9">
                  <c:v>1</c:v>
                </c:pt>
                <c:pt idx="10">
                  <c:v>4</c:v>
                </c:pt>
                <c:pt idx="11">
                  <c:v>0</c:v>
                </c:pt>
                <c:pt idx="12">
                  <c:v>0</c:v>
                </c:pt>
                <c:pt idx="13">
                  <c:v>0</c:v>
                </c:pt>
                <c:pt idx="14">
                  <c:v>6</c:v>
                </c:pt>
                <c:pt idx="15">
                  <c:v>0</c:v>
                </c:pt>
                <c:pt idx="16">
                  <c:v>2</c:v>
                </c:pt>
                <c:pt idx="17">
                  <c:v>4</c:v>
                </c:pt>
                <c:pt idx="18">
                  <c:v>6</c:v>
                </c:pt>
                <c:pt idx="19">
                  <c:v>5</c:v>
                </c:pt>
                <c:pt idx="20">
                  <c:v>2</c:v>
                </c:pt>
                <c:pt idx="21">
                  <c:v>0</c:v>
                </c:pt>
                <c:pt idx="22">
                  <c:v>2</c:v>
                </c:pt>
                <c:pt idx="23">
                  <c:v>2</c:v>
                </c:pt>
                <c:pt idx="24">
                  <c:v>1</c:v>
                </c:pt>
                <c:pt idx="25">
                  <c:v>5</c:v>
                </c:pt>
                <c:pt idx="26">
                  <c:v>0</c:v>
                </c:pt>
                <c:pt idx="27">
                  <c:v>2</c:v>
                </c:pt>
                <c:pt idx="28">
                  <c:v>0</c:v>
                </c:pt>
                <c:pt idx="29">
                  <c:v>0</c:v>
                </c:pt>
              </c:numCache>
            </c:numRef>
          </c:val>
          <c:extLst>
            <c:ext xmlns:c16="http://schemas.microsoft.com/office/drawing/2014/chart" uri="{C3380CC4-5D6E-409C-BE32-E72D297353CC}">
              <c16:uniqueId val="{00000001-0BBC-B64E-8697-044892DCFB08}"/>
            </c:ext>
          </c:extLst>
        </c:ser>
        <c:ser>
          <c:idx val="2"/>
          <c:order val="2"/>
          <c:tx>
            <c:strRef>
              <c:f>Sheet1!$A$4</c:f>
              <c:strCache>
                <c:ptCount val="1"/>
                <c:pt idx="0">
                  <c:v>David Lloyd Jones/DLJ QC</c:v>
                </c:pt>
              </c:strCache>
            </c:strRef>
          </c:tx>
          <c:spPr>
            <a:solidFill>
              <a:schemeClr val="dk1">
                <a:tint val="75000"/>
              </a:schemeClr>
            </a:solidFill>
            <a:ln>
              <a:noFill/>
            </a:ln>
            <a:effectLst/>
          </c:spPr>
          <c:invertIfNegative val="0"/>
          <c:cat>
            <c:strRef>
              <c:f>Sheet1!$B$1:$AE$1</c:f>
              <c:strCache>
                <c:ptCount val="30"/>
                <c:pt idx="0">
                  <c:v>number of cases</c:v>
                </c:pt>
                <c:pt idx="1">
                  <c:v>commercial</c:v>
                </c:pt>
                <c:pt idx="2">
                  <c:v>companies and partnerships</c:v>
                </c:pt>
                <c:pt idx="3">
                  <c:v>contract</c:v>
                </c:pt>
                <c:pt idx="4">
                  <c:v>crime</c:v>
                </c:pt>
                <c:pt idx="5">
                  <c:v>data and communications</c:v>
                </c:pt>
                <c:pt idx="6">
                  <c:v>employment and work</c:v>
                </c:pt>
                <c:pt idx="7">
                  <c:v>environment</c:v>
                </c:pt>
                <c:pt idx="8">
                  <c:v>equality and human rights</c:v>
                </c:pt>
                <c:pt idx="9">
                  <c:v>family</c:v>
                </c:pt>
                <c:pt idx="10">
                  <c:v>finance</c:v>
                </c:pt>
                <c:pt idx="11">
                  <c:v>health and social welfare</c:v>
                </c:pt>
                <c:pt idx="12">
                  <c:v>social security administration</c:v>
                </c:pt>
                <c:pt idx="13">
                  <c:v>social security benefits</c:v>
                </c:pt>
                <c:pt idx="14">
                  <c:v>insolvency</c:v>
                </c:pt>
                <c:pt idx="15">
                  <c:v>intellectual property</c:v>
                </c:pt>
                <c:pt idx="16">
                  <c:v>international</c:v>
                </c:pt>
                <c:pt idx="17">
                  <c:v>land</c:v>
                </c:pt>
                <c:pt idx="18">
                  <c:v>legal system</c:v>
                </c:pt>
                <c:pt idx="19">
                  <c:v>litigation and dispute resolution </c:v>
                </c:pt>
                <c:pt idx="20">
                  <c:v>local government</c:v>
                </c:pt>
                <c:pt idx="21">
                  <c:v>personal injury</c:v>
                </c:pt>
                <c:pt idx="22">
                  <c:v>planning and construction</c:v>
                </c:pt>
                <c:pt idx="23">
                  <c:v>public and constitutional</c:v>
                </c:pt>
                <c:pt idx="24">
                  <c:v>social regulation</c:v>
                </c:pt>
                <c:pt idx="25">
                  <c:v>tax</c:v>
                </c:pt>
                <c:pt idx="26">
                  <c:v>torts</c:v>
                </c:pt>
                <c:pt idx="27">
                  <c:v>trusts and personal property</c:v>
                </c:pt>
                <c:pt idx="28">
                  <c:v>transport and shipping</c:v>
                </c:pt>
                <c:pt idx="29">
                  <c:v>unclassified</c:v>
                </c:pt>
              </c:strCache>
            </c:strRef>
          </c:cat>
          <c:val>
            <c:numRef>
              <c:f>Sheet1!$B$4:$AE$4</c:f>
              <c:numCache>
                <c:formatCode>General</c:formatCode>
                <c:ptCount val="30"/>
                <c:pt idx="0">
                  <c:v>88</c:v>
                </c:pt>
                <c:pt idx="1">
                  <c:v>8</c:v>
                </c:pt>
                <c:pt idx="2">
                  <c:v>1</c:v>
                </c:pt>
                <c:pt idx="3">
                  <c:v>3</c:v>
                </c:pt>
                <c:pt idx="4">
                  <c:v>5</c:v>
                </c:pt>
                <c:pt idx="5">
                  <c:v>0</c:v>
                </c:pt>
                <c:pt idx="6">
                  <c:v>2</c:v>
                </c:pt>
                <c:pt idx="7">
                  <c:v>4</c:v>
                </c:pt>
                <c:pt idx="8">
                  <c:v>9</c:v>
                </c:pt>
                <c:pt idx="9">
                  <c:v>2</c:v>
                </c:pt>
                <c:pt idx="10">
                  <c:v>3</c:v>
                </c:pt>
                <c:pt idx="11">
                  <c:v>6</c:v>
                </c:pt>
                <c:pt idx="12">
                  <c:v>0</c:v>
                </c:pt>
                <c:pt idx="13">
                  <c:v>0</c:v>
                </c:pt>
                <c:pt idx="14">
                  <c:v>0</c:v>
                </c:pt>
                <c:pt idx="15">
                  <c:v>6</c:v>
                </c:pt>
                <c:pt idx="16">
                  <c:v>34</c:v>
                </c:pt>
                <c:pt idx="17">
                  <c:v>10</c:v>
                </c:pt>
                <c:pt idx="18">
                  <c:v>8</c:v>
                </c:pt>
                <c:pt idx="19">
                  <c:v>19</c:v>
                </c:pt>
                <c:pt idx="20">
                  <c:v>2</c:v>
                </c:pt>
                <c:pt idx="21">
                  <c:v>0</c:v>
                </c:pt>
                <c:pt idx="22">
                  <c:v>2</c:v>
                </c:pt>
                <c:pt idx="23">
                  <c:v>12</c:v>
                </c:pt>
                <c:pt idx="24">
                  <c:v>6</c:v>
                </c:pt>
                <c:pt idx="25">
                  <c:v>0</c:v>
                </c:pt>
                <c:pt idx="26">
                  <c:v>5</c:v>
                </c:pt>
                <c:pt idx="27">
                  <c:v>2</c:v>
                </c:pt>
                <c:pt idx="28">
                  <c:v>3</c:v>
                </c:pt>
                <c:pt idx="29">
                  <c:v>0</c:v>
                </c:pt>
              </c:numCache>
            </c:numRef>
          </c:val>
          <c:extLst>
            <c:ext xmlns:c16="http://schemas.microsoft.com/office/drawing/2014/chart" uri="{C3380CC4-5D6E-409C-BE32-E72D297353CC}">
              <c16:uniqueId val="{00000002-0BBC-B64E-8697-044892DCFB08}"/>
            </c:ext>
          </c:extLst>
        </c:ser>
        <c:ser>
          <c:idx val="3"/>
          <c:order val="3"/>
          <c:tx>
            <c:strRef>
              <c:f>Sheet1!$A$5</c:f>
              <c:strCache>
                <c:ptCount val="1"/>
                <c:pt idx="0">
                  <c:v>Michael Briggs/MB QC</c:v>
                </c:pt>
              </c:strCache>
            </c:strRef>
          </c:tx>
          <c:spPr>
            <a:solidFill>
              <a:schemeClr val="dk1">
                <a:tint val="98500"/>
              </a:schemeClr>
            </a:solidFill>
            <a:ln>
              <a:noFill/>
            </a:ln>
            <a:effectLst/>
          </c:spPr>
          <c:invertIfNegative val="0"/>
          <c:cat>
            <c:strRef>
              <c:f>Sheet1!$B$1:$AE$1</c:f>
              <c:strCache>
                <c:ptCount val="30"/>
                <c:pt idx="0">
                  <c:v>number of cases</c:v>
                </c:pt>
                <c:pt idx="1">
                  <c:v>commercial</c:v>
                </c:pt>
                <c:pt idx="2">
                  <c:v>companies and partnerships</c:v>
                </c:pt>
                <c:pt idx="3">
                  <c:v>contract</c:v>
                </c:pt>
                <c:pt idx="4">
                  <c:v>crime</c:v>
                </c:pt>
                <c:pt idx="5">
                  <c:v>data and communications</c:v>
                </c:pt>
                <c:pt idx="6">
                  <c:v>employment and work</c:v>
                </c:pt>
                <c:pt idx="7">
                  <c:v>environment</c:v>
                </c:pt>
                <c:pt idx="8">
                  <c:v>equality and human rights</c:v>
                </c:pt>
                <c:pt idx="9">
                  <c:v>family</c:v>
                </c:pt>
                <c:pt idx="10">
                  <c:v>finance</c:v>
                </c:pt>
                <c:pt idx="11">
                  <c:v>health and social welfare</c:v>
                </c:pt>
                <c:pt idx="12">
                  <c:v>social security administration</c:v>
                </c:pt>
                <c:pt idx="13">
                  <c:v>social security benefits</c:v>
                </c:pt>
                <c:pt idx="14">
                  <c:v>insolvency</c:v>
                </c:pt>
                <c:pt idx="15">
                  <c:v>intellectual property</c:v>
                </c:pt>
                <c:pt idx="16">
                  <c:v>international</c:v>
                </c:pt>
                <c:pt idx="17">
                  <c:v>land</c:v>
                </c:pt>
                <c:pt idx="18">
                  <c:v>legal system</c:v>
                </c:pt>
                <c:pt idx="19">
                  <c:v>litigation and dispute resolution </c:v>
                </c:pt>
                <c:pt idx="20">
                  <c:v>local government</c:v>
                </c:pt>
                <c:pt idx="21">
                  <c:v>personal injury</c:v>
                </c:pt>
                <c:pt idx="22">
                  <c:v>planning and construction</c:v>
                </c:pt>
                <c:pt idx="23">
                  <c:v>public and constitutional</c:v>
                </c:pt>
                <c:pt idx="24">
                  <c:v>social regulation</c:v>
                </c:pt>
                <c:pt idx="25">
                  <c:v>tax</c:v>
                </c:pt>
                <c:pt idx="26">
                  <c:v>torts</c:v>
                </c:pt>
                <c:pt idx="27">
                  <c:v>trusts and personal property</c:v>
                </c:pt>
                <c:pt idx="28">
                  <c:v>transport and shipping</c:v>
                </c:pt>
                <c:pt idx="29">
                  <c:v>unclassified</c:v>
                </c:pt>
              </c:strCache>
            </c:strRef>
          </c:cat>
          <c:val>
            <c:numRef>
              <c:f>Sheet1!$B$5:$AE$5</c:f>
              <c:numCache>
                <c:formatCode>General</c:formatCode>
                <c:ptCount val="30"/>
                <c:pt idx="0">
                  <c:v>160</c:v>
                </c:pt>
                <c:pt idx="1">
                  <c:v>14</c:v>
                </c:pt>
                <c:pt idx="2">
                  <c:v>28</c:v>
                </c:pt>
                <c:pt idx="3">
                  <c:v>17</c:v>
                </c:pt>
                <c:pt idx="4">
                  <c:v>6</c:v>
                </c:pt>
                <c:pt idx="5">
                  <c:v>5</c:v>
                </c:pt>
                <c:pt idx="6">
                  <c:v>6</c:v>
                </c:pt>
                <c:pt idx="7">
                  <c:v>2</c:v>
                </c:pt>
                <c:pt idx="8">
                  <c:v>0</c:v>
                </c:pt>
                <c:pt idx="9">
                  <c:v>2</c:v>
                </c:pt>
                <c:pt idx="10">
                  <c:v>23</c:v>
                </c:pt>
                <c:pt idx="11">
                  <c:v>2</c:v>
                </c:pt>
                <c:pt idx="12">
                  <c:v>0</c:v>
                </c:pt>
                <c:pt idx="13">
                  <c:v>0</c:v>
                </c:pt>
                <c:pt idx="14">
                  <c:v>19</c:v>
                </c:pt>
                <c:pt idx="15">
                  <c:v>8</c:v>
                </c:pt>
                <c:pt idx="16">
                  <c:v>11</c:v>
                </c:pt>
                <c:pt idx="17">
                  <c:v>17</c:v>
                </c:pt>
                <c:pt idx="18">
                  <c:v>14</c:v>
                </c:pt>
                <c:pt idx="19">
                  <c:v>60</c:v>
                </c:pt>
                <c:pt idx="20">
                  <c:v>0</c:v>
                </c:pt>
                <c:pt idx="21">
                  <c:v>0</c:v>
                </c:pt>
                <c:pt idx="22">
                  <c:v>1</c:v>
                </c:pt>
                <c:pt idx="23">
                  <c:v>2</c:v>
                </c:pt>
                <c:pt idx="24">
                  <c:v>1</c:v>
                </c:pt>
                <c:pt idx="25">
                  <c:v>4</c:v>
                </c:pt>
                <c:pt idx="26">
                  <c:v>16</c:v>
                </c:pt>
                <c:pt idx="27">
                  <c:v>15</c:v>
                </c:pt>
                <c:pt idx="28">
                  <c:v>1</c:v>
                </c:pt>
                <c:pt idx="29">
                  <c:v>4</c:v>
                </c:pt>
              </c:numCache>
            </c:numRef>
          </c:val>
          <c:extLst>
            <c:ext xmlns:c16="http://schemas.microsoft.com/office/drawing/2014/chart" uri="{C3380CC4-5D6E-409C-BE32-E72D297353CC}">
              <c16:uniqueId val="{00000003-0BBC-B64E-8697-044892DCFB08}"/>
            </c:ext>
          </c:extLst>
        </c:ser>
        <c:ser>
          <c:idx val="4"/>
          <c:order val="4"/>
          <c:tx>
            <c:strRef>
              <c:f>Sheet1!$A$6</c:f>
              <c:strCache>
                <c:ptCount val="1"/>
                <c:pt idx="0">
                  <c:v>Philip Sales/PS QC</c:v>
                </c:pt>
              </c:strCache>
            </c:strRef>
          </c:tx>
          <c:spPr>
            <a:solidFill>
              <a:schemeClr val="dk1">
                <a:tint val="30000"/>
              </a:schemeClr>
            </a:solidFill>
            <a:ln>
              <a:noFill/>
            </a:ln>
            <a:effectLst/>
          </c:spPr>
          <c:invertIfNegative val="0"/>
          <c:cat>
            <c:strRef>
              <c:f>Sheet1!$B$1:$AE$1</c:f>
              <c:strCache>
                <c:ptCount val="30"/>
                <c:pt idx="0">
                  <c:v>number of cases</c:v>
                </c:pt>
                <c:pt idx="1">
                  <c:v>commercial</c:v>
                </c:pt>
                <c:pt idx="2">
                  <c:v>companies and partnerships</c:v>
                </c:pt>
                <c:pt idx="3">
                  <c:v>contract</c:v>
                </c:pt>
                <c:pt idx="4">
                  <c:v>crime</c:v>
                </c:pt>
                <c:pt idx="5">
                  <c:v>data and communications</c:v>
                </c:pt>
                <c:pt idx="6">
                  <c:v>employment and work</c:v>
                </c:pt>
                <c:pt idx="7">
                  <c:v>environment</c:v>
                </c:pt>
                <c:pt idx="8">
                  <c:v>equality and human rights</c:v>
                </c:pt>
                <c:pt idx="9">
                  <c:v>family</c:v>
                </c:pt>
                <c:pt idx="10">
                  <c:v>finance</c:v>
                </c:pt>
                <c:pt idx="11">
                  <c:v>health and social welfare</c:v>
                </c:pt>
                <c:pt idx="12">
                  <c:v>social security administration</c:v>
                </c:pt>
                <c:pt idx="13">
                  <c:v>social security benefits</c:v>
                </c:pt>
                <c:pt idx="14">
                  <c:v>insolvency</c:v>
                </c:pt>
                <c:pt idx="15">
                  <c:v>intellectual property</c:v>
                </c:pt>
                <c:pt idx="16">
                  <c:v>international</c:v>
                </c:pt>
                <c:pt idx="17">
                  <c:v>land</c:v>
                </c:pt>
                <c:pt idx="18">
                  <c:v>legal system</c:v>
                </c:pt>
                <c:pt idx="19">
                  <c:v>litigation and dispute resolution </c:v>
                </c:pt>
                <c:pt idx="20">
                  <c:v>local government</c:v>
                </c:pt>
                <c:pt idx="21">
                  <c:v>personal injury</c:v>
                </c:pt>
                <c:pt idx="22">
                  <c:v>planning and construction</c:v>
                </c:pt>
                <c:pt idx="23">
                  <c:v>public and constitutional</c:v>
                </c:pt>
                <c:pt idx="24">
                  <c:v>social regulation</c:v>
                </c:pt>
                <c:pt idx="25">
                  <c:v>tax</c:v>
                </c:pt>
                <c:pt idx="26">
                  <c:v>torts</c:v>
                </c:pt>
                <c:pt idx="27">
                  <c:v>trusts and personal property</c:v>
                </c:pt>
                <c:pt idx="28">
                  <c:v>transport and shipping</c:v>
                </c:pt>
                <c:pt idx="29">
                  <c:v>unclassified</c:v>
                </c:pt>
              </c:strCache>
            </c:strRef>
          </c:cat>
          <c:val>
            <c:numRef>
              <c:f>Sheet1!$B$6:$AE$6</c:f>
              <c:numCache>
                <c:formatCode>General</c:formatCode>
                <c:ptCount val="30"/>
                <c:pt idx="0">
                  <c:v>304</c:v>
                </c:pt>
                <c:pt idx="1">
                  <c:v>10</c:v>
                </c:pt>
                <c:pt idx="2">
                  <c:v>6</c:v>
                </c:pt>
                <c:pt idx="3">
                  <c:v>7</c:v>
                </c:pt>
                <c:pt idx="4">
                  <c:v>80</c:v>
                </c:pt>
                <c:pt idx="5">
                  <c:v>8</c:v>
                </c:pt>
                <c:pt idx="6">
                  <c:v>20</c:v>
                </c:pt>
                <c:pt idx="7">
                  <c:v>15</c:v>
                </c:pt>
                <c:pt idx="8">
                  <c:v>125</c:v>
                </c:pt>
                <c:pt idx="9">
                  <c:v>9</c:v>
                </c:pt>
                <c:pt idx="10">
                  <c:v>11</c:v>
                </c:pt>
                <c:pt idx="11">
                  <c:v>31</c:v>
                </c:pt>
                <c:pt idx="12">
                  <c:v>4</c:v>
                </c:pt>
                <c:pt idx="13">
                  <c:v>5</c:v>
                </c:pt>
                <c:pt idx="14">
                  <c:v>8</c:v>
                </c:pt>
                <c:pt idx="15">
                  <c:v>1</c:v>
                </c:pt>
                <c:pt idx="16">
                  <c:v>45</c:v>
                </c:pt>
                <c:pt idx="17">
                  <c:v>22</c:v>
                </c:pt>
                <c:pt idx="18">
                  <c:v>43</c:v>
                </c:pt>
                <c:pt idx="19">
                  <c:v>50</c:v>
                </c:pt>
                <c:pt idx="20">
                  <c:v>14</c:v>
                </c:pt>
                <c:pt idx="21">
                  <c:v>7</c:v>
                </c:pt>
                <c:pt idx="22">
                  <c:v>26</c:v>
                </c:pt>
                <c:pt idx="23">
                  <c:v>100</c:v>
                </c:pt>
                <c:pt idx="24">
                  <c:v>17</c:v>
                </c:pt>
                <c:pt idx="25">
                  <c:v>6</c:v>
                </c:pt>
                <c:pt idx="26">
                  <c:v>17</c:v>
                </c:pt>
                <c:pt idx="27">
                  <c:v>6</c:v>
                </c:pt>
                <c:pt idx="28">
                  <c:v>11</c:v>
                </c:pt>
                <c:pt idx="29">
                  <c:v>2</c:v>
                </c:pt>
              </c:numCache>
            </c:numRef>
          </c:val>
          <c:extLst>
            <c:ext xmlns:c16="http://schemas.microsoft.com/office/drawing/2014/chart" uri="{C3380CC4-5D6E-409C-BE32-E72D297353CC}">
              <c16:uniqueId val="{00000004-0BBC-B64E-8697-044892DCFB08}"/>
            </c:ext>
          </c:extLst>
        </c:ser>
        <c:ser>
          <c:idx val="5"/>
          <c:order val="5"/>
          <c:tx>
            <c:strRef>
              <c:f>Sheet1!$A$7</c:f>
              <c:strCache>
                <c:ptCount val="1"/>
                <c:pt idx="0">
                  <c:v>Nicholas Hamblen/NH QC</c:v>
                </c:pt>
              </c:strCache>
            </c:strRef>
          </c:tx>
          <c:spPr>
            <a:solidFill>
              <a:schemeClr val="dk1">
                <a:tint val="60000"/>
              </a:schemeClr>
            </a:solidFill>
            <a:ln>
              <a:noFill/>
            </a:ln>
            <a:effectLst/>
          </c:spPr>
          <c:invertIfNegative val="0"/>
          <c:cat>
            <c:strRef>
              <c:f>Sheet1!$B$1:$AE$1</c:f>
              <c:strCache>
                <c:ptCount val="30"/>
                <c:pt idx="0">
                  <c:v>number of cases</c:v>
                </c:pt>
                <c:pt idx="1">
                  <c:v>commercial</c:v>
                </c:pt>
                <c:pt idx="2">
                  <c:v>companies and partnerships</c:v>
                </c:pt>
                <c:pt idx="3">
                  <c:v>contract</c:v>
                </c:pt>
                <c:pt idx="4">
                  <c:v>crime</c:v>
                </c:pt>
                <c:pt idx="5">
                  <c:v>data and communications</c:v>
                </c:pt>
                <c:pt idx="6">
                  <c:v>employment and work</c:v>
                </c:pt>
                <c:pt idx="7">
                  <c:v>environment</c:v>
                </c:pt>
                <c:pt idx="8">
                  <c:v>equality and human rights</c:v>
                </c:pt>
                <c:pt idx="9">
                  <c:v>family</c:v>
                </c:pt>
                <c:pt idx="10">
                  <c:v>finance</c:v>
                </c:pt>
                <c:pt idx="11">
                  <c:v>health and social welfare</c:v>
                </c:pt>
                <c:pt idx="12">
                  <c:v>social security administration</c:v>
                </c:pt>
                <c:pt idx="13">
                  <c:v>social security benefits</c:v>
                </c:pt>
                <c:pt idx="14">
                  <c:v>insolvency</c:v>
                </c:pt>
                <c:pt idx="15">
                  <c:v>intellectual property</c:v>
                </c:pt>
                <c:pt idx="16">
                  <c:v>international</c:v>
                </c:pt>
                <c:pt idx="17">
                  <c:v>land</c:v>
                </c:pt>
                <c:pt idx="18">
                  <c:v>legal system</c:v>
                </c:pt>
                <c:pt idx="19">
                  <c:v>litigation and dispute resolution </c:v>
                </c:pt>
                <c:pt idx="20">
                  <c:v>local government</c:v>
                </c:pt>
                <c:pt idx="21">
                  <c:v>personal injury</c:v>
                </c:pt>
                <c:pt idx="22">
                  <c:v>planning and construction</c:v>
                </c:pt>
                <c:pt idx="23">
                  <c:v>public and constitutional</c:v>
                </c:pt>
                <c:pt idx="24">
                  <c:v>social regulation</c:v>
                </c:pt>
                <c:pt idx="25">
                  <c:v>tax</c:v>
                </c:pt>
                <c:pt idx="26">
                  <c:v>torts</c:v>
                </c:pt>
                <c:pt idx="27">
                  <c:v>trusts and personal property</c:v>
                </c:pt>
                <c:pt idx="28">
                  <c:v>transport and shipping</c:v>
                </c:pt>
                <c:pt idx="29">
                  <c:v>unclassified</c:v>
                </c:pt>
              </c:strCache>
            </c:strRef>
          </c:cat>
          <c:val>
            <c:numRef>
              <c:f>Sheet1!$B$7:$AE$7</c:f>
              <c:numCache>
                <c:formatCode>General</c:formatCode>
                <c:ptCount val="30"/>
                <c:pt idx="0">
                  <c:v>100</c:v>
                </c:pt>
                <c:pt idx="1">
                  <c:v>6</c:v>
                </c:pt>
                <c:pt idx="2">
                  <c:v>0</c:v>
                </c:pt>
                <c:pt idx="3">
                  <c:v>28</c:v>
                </c:pt>
                <c:pt idx="4">
                  <c:v>5</c:v>
                </c:pt>
                <c:pt idx="5">
                  <c:v>1</c:v>
                </c:pt>
                <c:pt idx="6">
                  <c:v>0</c:v>
                </c:pt>
                <c:pt idx="7">
                  <c:v>5</c:v>
                </c:pt>
                <c:pt idx="8">
                  <c:v>0</c:v>
                </c:pt>
                <c:pt idx="9">
                  <c:v>0</c:v>
                </c:pt>
                <c:pt idx="10">
                  <c:v>18</c:v>
                </c:pt>
                <c:pt idx="11">
                  <c:v>0</c:v>
                </c:pt>
                <c:pt idx="12">
                  <c:v>0</c:v>
                </c:pt>
                <c:pt idx="13">
                  <c:v>0</c:v>
                </c:pt>
                <c:pt idx="14">
                  <c:v>2</c:v>
                </c:pt>
                <c:pt idx="15">
                  <c:v>0</c:v>
                </c:pt>
                <c:pt idx="16">
                  <c:v>15</c:v>
                </c:pt>
                <c:pt idx="17">
                  <c:v>0</c:v>
                </c:pt>
                <c:pt idx="18">
                  <c:v>1</c:v>
                </c:pt>
                <c:pt idx="19">
                  <c:v>34</c:v>
                </c:pt>
                <c:pt idx="20">
                  <c:v>0</c:v>
                </c:pt>
                <c:pt idx="21">
                  <c:v>0</c:v>
                </c:pt>
                <c:pt idx="22">
                  <c:v>0</c:v>
                </c:pt>
                <c:pt idx="23">
                  <c:v>0</c:v>
                </c:pt>
                <c:pt idx="24">
                  <c:v>0</c:v>
                </c:pt>
                <c:pt idx="25">
                  <c:v>0</c:v>
                </c:pt>
                <c:pt idx="26">
                  <c:v>9</c:v>
                </c:pt>
                <c:pt idx="27">
                  <c:v>4</c:v>
                </c:pt>
                <c:pt idx="28">
                  <c:v>49</c:v>
                </c:pt>
                <c:pt idx="29">
                  <c:v>1</c:v>
                </c:pt>
              </c:numCache>
            </c:numRef>
          </c:val>
          <c:extLst>
            <c:ext xmlns:c16="http://schemas.microsoft.com/office/drawing/2014/chart" uri="{C3380CC4-5D6E-409C-BE32-E72D297353CC}">
              <c16:uniqueId val="{00000005-0BBC-B64E-8697-044892DCFB08}"/>
            </c:ext>
          </c:extLst>
        </c:ser>
        <c:ser>
          <c:idx val="6"/>
          <c:order val="6"/>
          <c:tx>
            <c:strRef>
              <c:f>Sheet1!$A$8</c:f>
              <c:strCache>
                <c:ptCount val="1"/>
                <c:pt idx="0">
                  <c:v>George Leggatt</c:v>
                </c:pt>
              </c:strCache>
            </c:strRef>
          </c:tx>
          <c:spPr>
            <a:solidFill>
              <a:schemeClr val="dk1">
                <a:tint val="80000"/>
              </a:schemeClr>
            </a:solidFill>
            <a:ln>
              <a:noFill/>
            </a:ln>
            <a:effectLst/>
          </c:spPr>
          <c:invertIfNegative val="0"/>
          <c:cat>
            <c:strRef>
              <c:f>Sheet1!$B$1:$AE$1</c:f>
              <c:strCache>
                <c:ptCount val="30"/>
                <c:pt idx="0">
                  <c:v>number of cases</c:v>
                </c:pt>
                <c:pt idx="1">
                  <c:v>commercial</c:v>
                </c:pt>
                <c:pt idx="2">
                  <c:v>companies and partnerships</c:v>
                </c:pt>
                <c:pt idx="3">
                  <c:v>contract</c:v>
                </c:pt>
                <c:pt idx="4">
                  <c:v>crime</c:v>
                </c:pt>
                <c:pt idx="5">
                  <c:v>data and communications</c:v>
                </c:pt>
                <c:pt idx="6">
                  <c:v>employment and work</c:v>
                </c:pt>
                <c:pt idx="7">
                  <c:v>environment</c:v>
                </c:pt>
                <c:pt idx="8">
                  <c:v>equality and human rights</c:v>
                </c:pt>
                <c:pt idx="9">
                  <c:v>family</c:v>
                </c:pt>
                <c:pt idx="10">
                  <c:v>finance</c:v>
                </c:pt>
                <c:pt idx="11">
                  <c:v>health and social welfare</c:v>
                </c:pt>
                <c:pt idx="12">
                  <c:v>social security administration</c:v>
                </c:pt>
                <c:pt idx="13">
                  <c:v>social security benefits</c:v>
                </c:pt>
                <c:pt idx="14">
                  <c:v>insolvency</c:v>
                </c:pt>
                <c:pt idx="15">
                  <c:v>intellectual property</c:v>
                </c:pt>
                <c:pt idx="16">
                  <c:v>international</c:v>
                </c:pt>
                <c:pt idx="17">
                  <c:v>land</c:v>
                </c:pt>
                <c:pt idx="18">
                  <c:v>legal system</c:v>
                </c:pt>
                <c:pt idx="19">
                  <c:v>litigation and dispute resolution </c:v>
                </c:pt>
                <c:pt idx="20">
                  <c:v>local government</c:v>
                </c:pt>
                <c:pt idx="21">
                  <c:v>personal injury</c:v>
                </c:pt>
                <c:pt idx="22">
                  <c:v>planning and construction</c:v>
                </c:pt>
                <c:pt idx="23">
                  <c:v>public and constitutional</c:v>
                </c:pt>
                <c:pt idx="24">
                  <c:v>social regulation</c:v>
                </c:pt>
                <c:pt idx="25">
                  <c:v>tax</c:v>
                </c:pt>
                <c:pt idx="26">
                  <c:v>torts</c:v>
                </c:pt>
                <c:pt idx="27">
                  <c:v>trusts and personal property</c:v>
                </c:pt>
                <c:pt idx="28">
                  <c:v>transport and shipping</c:v>
                </c:pt>
                <c:pt idx="29">
                  <c:v>unclassified</c:v>
                </c:pt>
              </c:strCache>
            </c:strRef>
          </c:cat>
          <c:val>
            <c:numRef>
              <c:f>Sheet1!$B$8:$AE$8</c:f>
              <c:numCache>
                <c:formatCode>General</c:formatCode>
                <c:ptCount val="30"/>
                <c:pt idx="0">
                  <c:v>104</c:v>
                </c:pt>
                <c:pt idx="1">
                  <c:v>14</c:v>
                </c:pt>
                <c:pt idx="2">
                  <c:v>12</c:v>
                </c:pt>
                <c:pt idx="3">
                  <c:v>23</c:v>
                </c:pt>
                <c:pt idx="4">
                  <c:v>1</c:v>
                </c:pt>
                <c:pt idx="5">
                  <c:v>0</c:v>
                </c:pt>
                <c:pt idx="6">
                  <c:v>0</c:v>
                </c:pt>
                <c:pt idx="7">
                  <c:v>4</c:v>
                </c:pt>
                <c:pt idx="8">
                  <c:v>0</c:v>
                </c:pt>
                <c:pt idx="9">
                  <c:v>3</c:v>
                </c:pt>
                <c:pt idx="10">
                  <c:v>34</c:v>
                </c:pt>
                <c:pt idx="11">
                  <c:v>2</c:v>
                </c:pt>
                <c:pt idx="12">
                  <c:v>0</c:v>
                </c:pt>
                <c:pt idx="13">
                  <c:v>0</c:v>
                </c:pt>
                <c:pt idx="14">
                  <c:v>1</c:v>
                </c:pt>
                <c:pt idx="15">
                  <c:v>5</c:v>
                </c:pt>
                <c:pt idx="16">
                  <c:v>9</c:v>
                </c:pt>
                <c:pt idx="17">
                  <c:v>1</c:v>
                </c:pt>
                <c:pt idx="18">
                  <c:v>9</c:v>
                </c:pt>
                <c:pt idx="19">
                  <c:v>37</c:v>
                </c:pt>
                <c:pt idx="20">
                  <c:v>4</c:v>
                </c:pt>
                <c:pt idx="21">
                  <c:v>3</c:v>
                </c:pt>
                <c:pt idx="22">
                  <c:v>0</c:v>
                </c:pt>
                <c:pt idx="23">
                  <c:v>6</c:v>
                </c:pt>
                <c:pt idx="24">
                  <c:v>5</c:v>
                </c:pt>
                <c:pt idx="25">
                  <c:v>2</c:v>
                </c:pt>
                <c:pt idx="26">
                  <c:v>21</c:v>
                </c:pt>
                <c:pt idx="27">
                  <c:v>16</c:v>
                </c:pt>
                <c:pt idx="28">
                  <c:v>11</c:v>
                </c:pt>
                <c:pt idx="29">
                  <c:v>3</c:v>
                </c:pt>
              </c:numCache>
            </c:numRef>
          </c:val>
          <c:extLst>
            <c:ext xmlns:c16="http://schemas.microsoft.com/office/drawing/2014/chart" uri="{C3380CC4-5D6E-409C-BE32-E72D297353CC}">
              <c16:uniqueId val="{00000006-0BBC-B64E-8697-044892DCFB08}"/>
            </c:ext>
          </c:extLst>
        </c:ser>
        <c:ser>
          <c:idx val="7"/>
          <c:order val="7"/>
          <c:tx>
            <c:strRef>
              <c:f>Sheet1!$A$9</c:f>
              <c:strCache>
                <c:ptCount val="1"/>
                <c:pt idx="0">
                  <c:v>Andrew Burrows</c:v>
                </c:pt>
              </c:strCache>
            </c:strRef>
          </c:tx>
          <c:spPr>
            <a:solidFill>
              <a:schemeClr val="dk1">
                <a:tint val="88500"/>
              </a:schemeClr>
            </a:solidFill>
            <a:ln>
              <a:noFill/>
            </a:ln>
            <a:effectLst/>
          </c:spPr>
          <c:invertIfNegative val="0"/>
          <c:cat>
            <c:strRef>
              <c:f>Sheet1!$B$1:$AE$1</c:f>
              <c:strCache>
                <c:ptCount val="30"/>
                <c:pt idx="0">
                  <c:v>number of cases</c:v>
                </c:pt>
                <c:pt idx="1">
                  <c:v>commercial</c:v>
                </c:pt>
                <c:pt idx="2">
                  <c:v>companies and partnerships</c:v>
                </c:pt>
                <c:pt idx="3">
                  <c:v>contract</c:v>
                </c:pt>
                <c:pt idx="4">
                  <c:v>crime</c:v>
                </c:pt>
                <c:pt idx="5">
                  <c:v>data and communications</c:v>
                </c:pt>
                <c:pt idx="6">
                  <c:v>employment and work</c:v>
                </c:pt>
                <c:pt idx="7">
                  <c:v>environment</c:v>
                </c:pt>
                <c:pt idx="8">
                  <c:v>equality and human rights</c:v>
                </c:pt>
                <c:pt idx="9">
                  <c:v>family</c:v>
                </c:pt>
                <c:pt idx="10">
                  <c:v>finance</c:v>
                </c:pt>
                <c:pt idx="11">
                  <c:v>health and social welfare</c:v>
                </c:pt>
                <c:pt idx="12">
                  <c:v>social security administration</c:v>
                </c:pt>
                <c:pt idx="13">
                  <c:v>social security benefits</c:v>
                </c:pt>
                <c:pt idx="14">
                  <c:v>insolvency</c:v>
                </c:pt>
                <c:pt idx="15">
                  <c:v>intellectual property</c:v>
                </c:pt>
                <c:pt idx="16">
                  <c:v>international</c:v>
                </c:pt>
                <c:pt idx="17">
                  <c:v>land</c:v>
                </c:pt>
                <c:pt idx="18">
                  <c:v>legal system</c:v>
                </c:pt>
                <c:pt idx="19">
                  <c:v>litigation and dispute resolution </c:v>
                </c:pt>
                <c:pt idx="20">
                  <c:v>local government</c:v>
                </c:pt>
                <c:pt idx="21">
                  <c:v>personal injury</c:v>
                </c:pt>
                <c:pt idx="22">
                  <c:v>planning and construction</c:v>
                </c:pt>
                <c:pt idx="23">
                  <c:v>public and constitutional</c:v>
                </c:pt>
                <c:pt idx="24">
                  <c:v>social regulation</c:v>
                </c:pt>
                <c:pt idx="25">
                  <c:v>tax</c:v>
                </c:pt>
                <c:pt idx="26">
                  <c:v>torts</c:v>
                </c:pt>
                <c:pt idx="27">
                  <c:v>trusts and personal property</c:v>
                </c:pt>
                <c:pt idx="28">
                  <c:v>transport and shipping</c:v>
                </c:pt>
                <c:pt idx="29">
                  <c:v>unclassified</c:v>
                </c:pt>
              </c:strCache>
            </c:strRef>
          </c:cat>
          <c:val>
            <c:numRef>
              <c:f>Sheet1!$B$9:$AE$9</c:f>
              <c:numCache>
                <c:formatCode>General</c:formatCode>
                <c:ptCount val="30"/>
                <c:pt idx="0">
                  <c:v>13</c:v>
                </c:pt>
                <c:pt idx="1">
                  <c:v>3</c:v>
                </c:pt>
                <c:pt idx="2">
                  <c:v>6</c:v>
                </c:pt>
                <c:pt idx="3">
                  <c:v>2</c:v>
                </c:pt>
                <c:pt idx="4">
                  <c:v>1</c:v>
                </c:pt>
                <c:pt idx="5">
                  <c:v>1</c:v>
                </c:pt>
                <c:pt idx="6">
                  <c:v>0</c:v>
                </c:pt>
                <c:pt idx="7">
                  <c:v>0</c:v>
                </c:pt>
                <c:pt idx="8">
                  <c:v>0</c:v>
                </c:pt>
                <c:pt idx="9">
                  <c:v>0</c:v>
                </c:pt>
                <c:pt idx="10">
                  <c:v>3</c:v>
                </c:pt>
                <c:pt idx="11">
                  <c:v>0</c:v>
                </c:pt>
                <c:pt idx="12">
                  <c:v>0</c:v>
                </c:pt>
                <c:pt idx="13">
                  <c:v>0</c:v>
                </c:pt>
                <c:pt idx="14">
                  <c:v>0</c:v>
                </c:pt>
                <c:pt idx="15">
                  <c:v>0</c:v>
                </c:pt>
                <c:pt idx="16">
                  <c:v>9</c:v>
                </c:pt>
                <c:pt idx="17">
                  <c:v>0</c:v>
                </c:pt>
                <c:pt idx="18">
                  <c:v>0</c:v>
                </c:pt>
                <c:pt idx="19">
                  <c:v>9</c:v>
                </c:pt>
                <c:pt idx="20">
                  <c:v>1</c:v>
                </c:pt>
                <c:pt idx="21">
                  <c:v>0</c:v>
                </c:pt>
                <c:pt idx="22">
                  <c:v>0</c:v>
                </c:pt>
                <c:pt idx="23">
                  <c:v>1</c:v>
                </c:pt>
                <c:pt idx="24">
                  <c:v>0</c:v>
                </c:pt>
                <c:pt idx="25">
                  <c:v>7</c:v>
                </c:pt>
                <c:pt idx="26">
                  <c:v>2</c:v>
                </c:pt>
                <c:pt idx="27">
                  <c:v>9</c:v>
                </c:pt>
                <c:pt idx="28">
                  <c:v>1</c:v>
                </c:pt>
                <c:pt idx="29">
                  <c:v>0</c:v>
                </c:pt>
              </c:numCache>
            </c:numRef>
          </c:val>
          <c:extLst>
            <c:ext xmlns:c16="http://schemas.microsoft.com/office/drawing/2014/chart" uri="{C3380CC4-5D6E-409C-BE32-E72D297353CC}">
              <c16:uniqueId val="{00000007-0BBC-B64E-8697-044892DCFB08}"/>
            </c:ext>
          </c:extLst>
        </c:ser>
        <c:ser>
          <c:idx val="8"/>
          <c:order val="8"/>
          <c:tx>
            <c:strRef>
              <c:f>Sheet1!$A$10</c:f>
              <c:strCache>
                <c:ptCount val="1"/>
                <c:pt idx="0">
                  <c:v>Ben Stephens/B Stephens/W.B. Stephens</c:v>
                </c:pt>
              </c:strCache>
            </c:strRef>
          </c:tx>
          <c:spPr>
            <a:solidFill>
              <a:schemeClr val="dk1">
                <a:tint val="55000"/>
              </a:schemeClr>
            </a:solidFill>
            <a:ln>
              <a:noFill/>
            </a:ln>
            <a:effectLst/>
          </c:spPr>
          <c:invertIfNegative val="0"/>
          <c:cat>
            <c:strRef>
              <c:f>Sheet1!$B$1:$AE$1</c:f>
              <c:strCache>
                <c:ptCount val="30"/>
                <c:pt idx="0">
                  <c:v>number of cases</c:v>
                </c:pt>
                <c:pt idx="1">
                  <c:v>commercial</c:v>
                </c:pt>
                <c:pt idx="2">
                  <c:v>companies and partnerships</c:v>
                </c:pt>
                <c:pt idx="3">
                  <c:v>contract</c:v>
                </c:pt>
                <c:pt idx="4">
                  <c:v>crime</c:v>
                </c:pt>
                <c:pt idx="5">
                  <c:v>data and communications</c:v>
                </c:pt>
                <c:pt idx="6">
                  <c:v>employment and work</c:v>
                </c:pt>
                <c:pt idx="7">
                  <c:v>environment</c:v>
                </c:pt>
                <c:pt idx="8">
                  <c:v>equality and human rights</c:v>
                </c:pt>
                <c:pt idx="9">
                  <c:v>family</c:v>
                </c:pt>
                <c:pt idx="10">
                  <c:v>finance</c:v>
                </c:pt>
                <c:pt idx="11">
                  <c:v>health and social welfare</c:v>
                </c:pt>
                <c:pt idx="12">
                  <c:v>social security administration</c:v>
                </c:pt>
                <c:pt idx="13">
                  <c:v>social security benefits</c:v>
                </c:pt>
                <c:pt idx="14">
                  <c:v>insolvency</c:v>
                </c:pt>
                <c:pt idx="15">
                  <c:v>intellectual property</c:v>
                </c:pt>
                <c:pt idx="16">
                  <c:v>international</c:v>
                </c:pt>
                <c:pt idx="17">
                  <c:v>land</c:v>
                </c:pt>
                <c:pt idx="18">
                  <c:v>legal system</c:v>
                </c:pt>
                <c:pt idx="19">
                  <c:v>litigation and dispute resolution </c:v>
                </c:pt>
                <c:pt idx="20">
                  <c:v>local government</c:v>
                </c:pt>
                <c:pt idx="21">
                  <c:v>personal injury</c:v>
                </c:pt>
                <c:pt idx="22">
                  <c:v>planning and construction</c:v>
                </c:pt>
                <c:pt idx="23">
                  <c:v>public and constitutional</c:v>
                </c:pt>
                <c:pt idx="24">
                  <c:v>social regulation</c:v>
                </c:pt>
                <c:pt idx="25">
                  <c:v>tax</c:v>
                </c:pt>
                <c:pt idx="26">
                  <c:v>torts</c:v>
                </c:pt>
                <c:pt idx="27">
                  <c:v>trusts and personal property</c:v>
                </c:pt>
                <c:pt idx="28">
                  <c:v>transport and shipping</c:v>
                </c:pt>
                <c:pt idx="29">
                  <c:v>unclassified</c:v>
                </c:pt>
              </c:strCache>
            </c:strRef>
          </c:cat>
          <c:val>
            <c:numRef>
              <c:f>Sheet1!$B$10:$AE$10</c:f>
              <c:numCache>
                <c:formatCode>General</c:formatCode>
                <c:ptCount val="30"/>
                <c:pt idx="0">
                  <c:v>10</c:v>
                </c:pt>
                <c:pt idx="1">
                  <c:v>0</c:v>
                </c:pt>
                <c:pt idx="2">
                  <c:v>2</c:v>
                </c:pt>
                <c:pt idx="3">
                  <c:v>0</c:v>
                </c:pt>
                <c:pt idx="4">
                  <c:v>1</c:v>
                </c:pt>
                <c:pt idx="5">
                  <c:v>1</c:v>
                </c:pt>
                <c:pt idx="6">
                  <c:v>0</c:v>
                </c:pt>
                <c:pt idx="7">
                  <c:v>0</c:v>
                </c:pt>
                <c:pt idx="8">
                  <c:v>0</c:v>
                </c:pt>
                <c:pt idx="9">
                  <c:v>0</c:v>
                </c:pt>
                <c:pt idx="10">
                  <c:v>0</c:v>
                </c:pt>
                <c:pt idx="11">
                  <c:v>0</c:v>
                </c:pt>
                <c:pt idx="12">
                  <c:v>0</c:v>
                </c:pt>
                <c:pt idx="13">
                  <c:v>0</c:v>
                </c:pt>
                <c:pt idx="14">
                  <c:v>0</c:v>
                </c:pt>
                <c:pt idx="15">
                  <c:v>0</c:v>
                </c:pt>
                <c:pt idx="16">
                  <c:v>1</c:v>
                </c:pt>
                <c:pt idx="17">
                  <c:v>2</c:v>
                </c:pt>
                <c:pt idx="18">
                  <c:v>1</c:v>
                </c:pt>
                <c:pt idx="19">
                  <c:v>5</c:v>
                </c:pt>
                <c:pt idx="20">
                  <c:v>0</c:v>
                </c:pt>
                <c:pt idx="21">
                  <c:v>0</c:v>
                </c:pt>
                <c:pt idx="22">
                  <c:v>1</c:v>
                </c:pt>
                <c:pt idx="23">
                  <c:v>0</c:v>
                </c:pt>
                <c:pt idx="24">
                  <c:v>0</c:v>
                </c:pt>
                <c:pt idx="25">
                  <c:v>0</c:v>
                </c:pt>
                <c:pt idx="26">
                  <c:v>2</c:v>
                </c:pt>
                <c:pt idx="27">
                  <c:v>0</c:v>
                </c:pt>
                <c:pt idx="28">
                  <c:v>0</c:v>
                </c:pt>
                <c:pt idx="29">
                  <c:v>0</c:v>
                </c:pt>
              </c:numCache>
            </c:numRef>
          </c:val>
          <c:extLst>
            <c:ext xmlns:c16="http://schemas.microsoft.com/office/drawing/2014/chart" uri="{C3380CC4-5D6E-409C-BE32-E72D297353CC}">
              <c16:uniqueId val="{00000008-0BBC-B64E-8697-044892DCFB08}"/>
            </c:ext>
          </c:extLst>
        </c:ser>
        <c:ser>
          <c:idx val="9"/>
          <c:order val="9"/>
          <c:tx>
            <c:strRef>
              <c:f>Sheet1!$A$11</c:f>
              <c:strCache>
                <c:ptCount val="1"/>
                <c:pt idx="0">
                  <c:v>Vivien Rose</c:v>
                </c:pt>
              </c:strCache>
            </c:strRef>
          </c:tx>
          <c:spPr>
            <a:solidFill>
              <a:schemeClr val="dk1">
                <a:tint val="75000"/>
              </a:schemeClr>
            </a:solidFill>
            <a:ln>
              <a:noFill/>
            </a:ln>
            <a:effectLst/>
          </c:spPr>
          <c:invertIfNegative val="0"/>
          <c:cat>
            <c:strRef>
              <c:f>Sheet1!$B$1:$AE$1</c:f>
              <c:strCache>
                <c:ptCount val="30"/>
                <c:pt idx="0">
                  <c:v>number of cases</c:v>
                </c:pt>
                <c:pt idx="1">
                  <c:v>commercial</c:v>
                </c:pt>
                <c:pt idx="2">
                  <c:v>companies and partnerships</c:v>
                </c:pt>
                <c:pt idx="3">
                  <c:v>contract</c:v>
                </c:pt>
                <c:pt idx="4">
                  <c:v>crime</c:v>
                </c:pt>
                <c:pt idx="5">
                  <c:v>data and communications</c:v>
                </c:pt>
                <c:pt idx="6">
                  <c:v>employment and work</c:v>
                </c:pt>
                <c:pt idx="7">
                  <c:v>environment</c:v>
                </c:pt>
                <c:pt idx="8">
                  <c:v>equality and human rights</c:v>
                </c:pt>
                <c:pt idx="9">
                  <c:v>family</c:v>
                </c:pt>
                <c:pt idx="10">
                  <c:v>finance</c:v>
                </c:pt>
                <c:pt idx="11">
                  <c:v>health and social welfare</c:v>
                </c:pt>
                <c:pt idx="12">
                  <c:v>social security administration</c:v>
                </c:pt>
                <c:pt idx="13">
                  <c:v>social security benefits</c:v>
                </c:pt>
                <c:pt idx="14">
                  <c:v>insolvency</c:v>
                </c:pt>
                <c:pt idx="15">
                  <c:v>intellectual property</c:v>
                </c:pt>
                <c:pt idx="16">
                  <c:v>international</c:v>
                </c:pt>
                <c:pt idx="17">
                  <c:v>land</c:v>
                </c:pt>
                <c:pt idx="18">
                  <c:v>legal system</c:v>
                </c:pt>
                <c:pt idx="19">
                  <c:v>litigation and dispute resolution </c:v>
                </c:pt>
                <c:pt idx="20">
                  <c:v>local government</c:v>
                </c:pt>
                <c:pt idx="21">
                  <c:v>personal injury</c:v>
                </c:pt>
                <c:pt idx="22">
                  <c:v>planning and construction</c:v>
                </c:pt>
                <c:pt idx="23">
                  <c:v>public and constitutional</c:v>
                </c:pt>
                <c:pt idx="24">
                  <c:v>social regulation</c:v>
                </c:pt>
                <c:pt idx="25">
                  <c:v>tax</c:v>
                </c:pt>
                <c:pt idx="26">
                  <c:v>torts</c:v>
                </c:pt>
                <c:pt idx="27">
                  <c:v>trusts and personal property</c:v>
                </c:pt>
                <c:pt idx="28">
                  <c:v>transport and shipping</c:v>
                </c:pt>
                <c:pt idx="29">
                  <c:v>unclassified</c:v>
                </c:pt>
              </c:strCache>
            </c:strRef>
          </c:cat>
          <c:val>
            <c:numRef>
              <c:f>Sheet1!$B$11:$AE$11</c:f>
              <c:numCache>
                <c:formatCode>General</c:formatCode>
                <c:ptCount val="30"/>
                <c:pt idx="0">
                  <c:v>17</c:v>
                </c:pt>
                <c:pt idx="1">
                  <c:v>8</c:v>
                </c:pt>
                <c:pt idx="2">
                  <c:v>1</c:v>
                </c:pt>
                <c:pt idx="3">
                  <c:v>1</c:v>
                </c:pt>
                <c:pt idx="4">
                  <c:v>0</c:v>
                </c:pt>
                <c:pt idx="5">
                  <c:v>1</c:v>
                </c:pt>
                <c:pt idx="6">
                  <c:v>0</c:v>
                </c:pt>
                <c:pt idx="7">
                  <c:v>0</c:v>
                </c:pt>
                <c:pt idx="8">
                  <c:v>0</c:v>
                </c:pt>
                <c:pt idx="9">
                  <c:v>0</c:v>
                </c:pt>
                <c:pt idx="10">
                  <c:v>0</c:v>
                </c:pt>
                <c:pt idx="11">
                  <c:v>1</c:v>
                </c:pt>
                <c:pt idx="12">
                  <c:v>0</c:v>
                </c:pt>
                <c:pt idx="13">
                  <c:v>0</c:v>
                </c:pt>
                <c:pt idx="14">
                  <c:v>0</c:v>
                </c:pt>
                <c:pt idx="15">
                  <c:v>5</c:v>
                </c:pt>
                <c:pt idx="16">
                  <c:v>6</c:v>
                </c:pt>
                <c:pt idx="17">
                  <c:v>1</c:v>
                </c:pt>
                <c:pt idx="18">
                  <c:v>0</c:v>
                </c:pt>
                <c:pt idx="19">
                  <c:v>2</c:v>
                </c:pt>
                <c:pt idx="20">
                  <c:v>0</c:v>
                </c:pt>
                <c:pt idx="21">
                  <c:v>0</c:v>
                </c:pt>
                <c:pt idx="22">
                  <c:v>0</c:v>
                </c:pt>
                <c:pt idx="23">
                  <c:v>0</c:v>
                </c:pt>
                <c:pt idx="24">
                  <c:v>2</c:v>
                </c:pt>
                <c:pt idx="25">
                  <c:v>1</c:v>
                </c:pt>
                <c:pt idx="26">
                  <c:v>1</c:v>
                </c:pt>
                <c:pt idx="27">
                  <c:v>0</c:v>
                </c:pt>
                <c:pt idx="28">
                  <c:v>1</c:v>
                </c:pt>
                <c:pt idx="29">
                  <c:v>0</c:v>
                </c:pt>
              </c:numCache>
            </c:numRef>
          </c:val>
          <c:extLst>
            <c:ext xmlns:c16="http://schemas.microsoft.com/office/drawing/2014/chart" uri="{C3380CC4-5D6E-409C-BE32-E72D297353CC}">
              <c16:uniqueId val="{00000009-0BBC-B64E-8697-044892DCFB08}"/>
            </c:ext>
          </c:extLst>
        </c:ser>
        <c:ser>
          <c:idx val="10"/>
          <c:order val="10"/>
          <c:tx>
            <c:strRef>
              <c:f>Sheet1!$A$12</c:f>
              <c:strCache>
                <c:ptCount val="1"/>
                <c:pt idx="0">
                  <c:v>David Richards</c:v>
                </c:pt>
              </c:strCache>
            </c:strRef>
          </c:tx>
          <c:spPr>
            <a:solidFill>
              <a:schemeClr val="dk1">
                <a:tint val="98500"/>
              </a:schemeClr>
            </a:solidFill>
            <a:ln>
              <a:noFill/>
            </a:ln>
            <a:effectLst/>
          </c:spPr>
          <c:invertIfNegative val="0"/>
          <c:cat>
            <c:strRef>
              <c:f>Sheet1!$B$1:$AE$1</c:f>
              <c:strCache>
                <c:ptCount val="30"/>
                <c:pt idx="0">
                  <c:v>number of cases</c:v>
                </c:pt>
                <c:pt idx="1">
                  <c:v>commercial</c:v>
                </c:pt>
                <c:pt idx="2">
                  <c:v>companies and partnerships</c:v>
                </c:pt>
                <c:pt idx="3">
                  <c:v>contract</c:v>
                </c:pt>
                <c:pt idx="4">
                  <c:v>crime</c:v>
                </c:pt>
                <c:pt idx="5">
                  <c:v>data and communications</c:v>
                </c:pt>
                <c:pt idx="6">
                  <c:v>employment and work</c:v>
                </c:pt>
                <c:pt idx="7">
                  <c:v>environment</c:v>
                </c:pt>
                <c:pt idx="8">
                  <c:v>equality and human rights</c:v>
                </c:pt>
                <c:pt idx="9">
                  <c:v>family</c:v>
                </c:pt>
                <c:pt idx="10">
                  <c:v>finance</c:v>
                </c:pt>
                <c:pt idx="11">
                  <c:v>health and social welfare</c:v>
                </c:pt>
                <c:pt idx="12">
                  <c:v>social security administration</c:v>
                </c:pt>
                <c:pt idx="13">
                  <c:v>social security benefits</c:v>
                </c:pt>
                <c:pt idx="14">
                  <c:v>insolvency</c:v>
                </c:pt>
                <c:pt idx="15">
                  <c:v>intellectual property</c:v>
                </c:pt>
                <c:pt idx="16">
                  <c:v>international</c:v>
                </c:pt>
                <c:pt idx="17">
                  <c:v>land</c:v>
                </c:pt>
                <c:pt idx="18">
                  <c:v>legal system</c:v>
                </c:pt>
                <c:pt idx="19">
                  <c:v>litigation and dispute resolution </c:v>
                </c:pt>
                <c:pt idx="20">
                  <c:v>local government</c:v>
                </c:pt>
                <c:pt idx="21">
                  <c:v>personal injury</c:v>
                </c:pt>
                <c:pt idx="22">
                  <c:v>planning and construction</c:v>
                </c:pt>
                <c:pt idx="23">
                  <c:v>public and constitutional</c:v>
                </c:pt>
                <c:pt idx="24">
                  <c:v>social regulation</c:v>
                </c:pt>
                <c:pt idx="25">
                  <c:v>tax</c:v>
                </c:pt>
                <c:pt idx="26">
                  <c:v>torts</c:v>
                </c:pt>
                <c:pt idx="27">
                  <c:v>trusts and personal property</c:v>
                </c:pt>
                <c:pt idx="28">
                  <c:v>transport and shipping</c:v>
                </c:pt>
                <c:pt idx="29">
                  <c:v>unclassified</c:v>
                </c:pt>
              </c:strCache>
            </c:strRef>
          </c:cat>
          <c:val>
            <c:numRef>
              <c:f>Sheet1!$B$12:$AE$12</c:f>
              <c:numCache>
                <c:formatCode>General</c:formatCode>
                <c:ptCount val="30"/>
                <c:pt idx="0">
                  <c:v>72</c:v>
                </c:pt>
                <c:pt idx="1">
                  <c:v>0</c:v>
                </c:pt>
                <c:pt idx="2">
                  <c:v>34</c:v>
                </c:pt>
                <c:pt idx="3">
                  <c:v>1</c:v>
                </c:pt>
                <c:pt idx="4">
                  <c:v>1</c:v>
                </c:pt>
                <c:pt idx="5">
                  <c:v>1</c:v>
                </c:pt>
                <c:pt idx="6">
                  <c:v>1</c:v>
                </c:pt>
                <c:pt idx="7">
                  <c:v>0</c:v>
                </c:pt>
                <c:pt idx="8">
                  <c:v>0</c:v>
                </c:pt>
                <c:pt idx="9">
                  <c:v>0</c:v>
                </c:pt>
                <c:pt idx="10">
                  <c:v>12</c:v>
                </c:pt>
                <c:pt idx="11">
                  <c:v>1</c:v>
                </c:pt>
                <c:pt idx="12">
                  <c:v>0</c:v>
                </c:pt>
                <c:pt idx="13">
                  <c:v>0</c:v>
                </c:pt>
                <c:pt idx="14">
                  <c:v>16</c:v>
                </c:pt>
                <c:pt idx="15">
                  <c:v>0</c:v>
                </c:pt>
                <c:pt idx="16">
                  <c:v>5</c:v>
                </c:pt>
                <c:pt idx="17">
                  <c:v>4</c:v>
                </c:pt>
                <c:pt idx="18">
                  <c:v>8</c:v>
                </c:pt>
                <c:pt idx="19">
                  <c:v>13</c:v>
                </c:pt>
                <c:pt idx="20">
                  <c:v>0</c:v>
                </c:pt>
                <c:pt idx="21">
                  <c:v>0</c:v>
                </c:pt>
                <c:pt idx="22">
                  <c:v>0</c:v>
                </c:pt>
                <c:pt idx="23">
                  <c:v>1</c:v>
                </c:pt>
                <c:pt idx="24">
                  <c:v>0</c:v>
                </c:pt>
                <c:pt idx="25">
                  <c:v>0</c:v>
                </c:pt>
                <c:pt idx="26">
                  <c:v>1</c:v>
                </c:pt>
                <c:pt idx="27">
                  <c:v>3</c:v>
                </c:pt>
                <c:pt idx="28">
                  <c:v>0</c:v>
                </c:pt>
                <c:pt idx="29">
                  <c:v>2</c:v>
                </c:pt>
              </c:numCache>
            </c:numRef>
          </c:val>
          <c:extLst>
            <c:ext xmlns:c16="http://schemas.microsoft.com/office/drawing/2014/chart" uri="{C3380CC4-5D6E-409C-BE32-E72D297353CC}">
              <c16:uniqueId val="{0000000A-0BBC-B64E-8697-044892DCFB08}"/>
            </c:ext>
          </c:extLst>
        </c:ser>
        <c:ser>
          <c:idx val="11"/>
          <c:order val="11"/>
          <c:tx>
            <c:strRef>
              <c:f>Sheet1!$A$13</c:f>
              <c:strCache>
                <c:ptCount val="1"/>
                <c:pt idx="0">
                  <c:v>Ingrid Simler</c:v>
                </c:pt>
              </c:strCache>
            </c:strRef>
          </c:tx>
          <c:spPr>
            <a:solidFill>
              <a:schemeClr val="dk1">
                <a:tint val="30000"/>
              </a:schemeClr>
            </a:solidFill>
            <a:ln>
              <a:noFill/>
            </a:ln>
            <a:effectLst/>
          </c:spPr>
          <c:invertIfNegative val="0"/>
          <c:cat>
            <c:strRef>
              <c:f>Sheet1!$B$1:$AE$1</c:f>
              <c:strCache>
                <c:ptCount val="30"/>
                <c:pt idx="0">
                  <c:v>number of cases</c:v>
                </c:pt>
                <c:pt idx="1">
                  <c:v>commercial</c:v>
                </c:pt>
                <c:pt idx="2">
                  <c:v>companies and partnerships</c:v>
                </c:pt>
                <c:pt idx="3">
                  <c:v>contract</c:v>
                </c:pt>
                <c:pt idx="4">
                  <c:v>crime</c:v>
                </c:pt>
                <c:pt idx="5">
                  <c:v>data and communications</c:v>
                </c:pt>
                <c:pt idx="6">
                  <c:v>employment and work</c:v>
                </c:pt>
                <c:pt idx="7">
                  <c:v>environment</c:v>
                </c:pt>
                <c:pt idx="8">
                  <c:v>equality and human rights</c:v>
                </c:pt>
                <c:pt idx="9">
                  <c:v>family</c:v>
                </c:pt>
                <c:pt idx="10">
                  <c:v>finance</c:v>
                </c:pt>
                <c:pt idx="11">
                  <c:v>health and social welfare</c:v>
                </c:pt>
                <c:pt idx="12">
                  <c:v>social security administration</c:v>
                </c:pt>
                <c:pt idx="13">
                  <c:v>social security benefits</c:v>
                </c:pt>
                <c:pt idx="14">
                  <c:v>insolvency</c:v>
                </c:pt>
                <c:pt idx="15">
                  <c:v>intellectual property</c:v>
                </c:pt>
                <c:pt idx="16">
                  <c:v>international</c:v>
                </c:pt>
                <c:pt idx="17">
                  <c:v>land</c:v>
                </c:pt>
                <c:pt idx="18">
                  <c:v>legal system</c:v>
                </c:pt>
                <c:pt idx="19">
                  <c:v>litigation and dispute resolution </c:v>
                </c:pt>
                <c:pt idx="20">
                  <c:v>local government</c:v>
                </c:pt>
                <c:pt idx="21">
                  <c:v>personal injury</c:v>
                </c:pt>
                <c:pt idx="22">
                  <c:v>planning and construction</c:v>
                </c:pt>
                <c:pt idx="23">
                  <c:v>public and constitutional</c:v>
                </c:pt>
                <c:pt idx="24">
                  <c:v>social regulation</c:v>
                </c:pt>
                <c:pt idx="25">
                  <c:v>tax</c:v>
                </c:pt>
                <c:pt idx="26">
                  <c:v>torts</c:v>
                </c:pt>
                <c:pt idx="27">
                  <c:v>trusts and personal property</c:v>
                </c:pt>
                <c:pt idx="28">
                  <c:v>transport and shipping</c:v>
                </c:pt>
                <c:pt idx="29">
                  <c:v>unclassified</c:v>
                </c:pt>
              </c:strCache>
            </c:strRef>
          </c:cat>
          <c:val>
            <c:numRef>
              <c:f>Sheet1!$B$13:$AE$13</c:f>
              <c:numCache>
                <c:formatCode>General</c:formatCode>
                <c:ptCount val="30"/>
                <c:pt idx="0">
                  <c:v>114</c:v>
                </c:pt>
                <c:pt idx="1">
                  <c:v>0</c:v>
                </c:pt>
                <c:pt idx="2">
                  <c:v>8</c:v>
                </c:pt>
                <c:pt idx="3">
                  <c:v>3</c:v>
                </c:pt>
                <c:pt idx="4">
                  <c:v>3</c:v>
                </c:pt>
                <c:pt idx="5">
                  <c:v>6</c:v>
                </c:pt>
                <c:pt idx="6">
                  <c:v>53</c:v>
                </c:pt>
                <c:pt idx="7">
                  <c:v>0</c:v>
                </c:pt>
                <c:pt idx="8">
                  <c:v>24</c:v>
                </c:pt>
                <c:pt idx="9">
                  <c:v>0</c:v>
                </c:pt>
                <c:pt idx="10">
                  <c:v>7</c:v>
                </c:pt>
                <c:pt idx="11">
                  <c:v>5</c:v>
                </c:pt>
                <c:pt idx="12">
                  <c:v>0</c:v>
                </c:pt>
                <c:pt idx="13">
                  <c:v>1</c:v>
                </c:pt>
                <c:pt idx="14">
                  <c:v>2</c:v>
                </c:pt>
                <c:pt idx="15">
                  <c:v>2</c:v>
                </c:pt>
                <c:pt idx="16">
                  <c:v>1</c:v>
                </c:pt>
                <c:pt idx="17">
                  <c:v>0</c:v>
                </c:pt>
                <c:pt idx="18">
                  <c:v>17</c:v>
                </c:pt>
                <c:pt idx="19">
                  <c:v>19</c:v>
                </c:pt>
                <c:pt idx="20">
                  <c:v>3</c:v>
                </c:pt>
                <c:pt idx="21">
                  <c:v>1</c:v>
                </c:pt>
                <c:pt idx="22">
                  <c:v>0</c:v>
                </c:pt>
                <c:pt idx="23">
                  <c:v>19</c:v>
                </c:pt>
                <c:pt idx="24">
                  <c:v>3</c:v>
                </c:pt>
                <c:pt idx="25">
                  <c:v>72</c:v>
                </c:pt>
                <c:pt idx="26">
                  <c:v>4</c:v>
                </c:pt>
                <c:pt idx="27">
                  <c:v>4</c:v>
                </c:pt>
                <c:pt idx="28">
                  <c:v>1</c:v>
                </c:pt>
                <c:pt idx="29">
                  <c:v>2</c:v>
                </c:pt>
              </c:numCache>
            </c:numRef>
          </c:val>
          <c:extLst>
            <c:ext xmlns:c16="http://schemas.microsoft.com/office/drawing/2014/chart" uri="{C3380CC4-5D6E-409C-BE32-E72D297353CC}">
              <c16:uniqueId val="{0000000B-0BBC-B64E-8697-044892DCFB08}"/>
            </c:ext>
          </c:extLst>
        </c:ser>
        <c:dLbls>
          <c:showLegendKey val="0"/>
          <c:showVal val="0"/>
          <c:showCatName val="0"/>
          <c:showSerName val="0"/>
          <c:showPercent val="0"/>
          <c:showBubbleSize val="0"/>
        </c:dLbls>
        <c:gapWidth val="150"/>
        <c:overlap val="100"/>
        <c:axId val="842106576"/>
        <c:axId val="895405088"/>
      </c:barChart>
      <c:catAx>
        <c:axId val="842106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405088"/>
        <c:crosses val="autoZero"/>
        <c:auto val="1"/>
        <c:lblAlgn val="ctr"/>
        <c:lblOffset val="100"/>
        <c:noMultiLvlLbl val="0"/>
      </c:catAx>
      <c:valAx>
        <c:axId val="895405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2106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Number of SC judges who have represented in each area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Sheet1!$A$18</c:f>
              <c:strCache>
                <c:ptCount val="1"/>
                <c:pt idx="0">
                  <c:v>Number of SC judges who have represented in this area</c:v>
                </c:pt>
              </c:strCache>
            </c:strRef>
          </c:tx>
          <c:spPr>
            <a:solidFill>
              <a:schemeClr val="dk1">
                <a:tint val="88500"/>
              </a:schemeClr>
            </a:solidFill>
            <a:ln>
              <a:noFill/>
            </a:ln>
            <a:effectLst/>
          </c:spPr>
          <c:invertIfNegative val="0"/>
          <c:cat>
            <c:strRef>
              <c:f>Sheet1!$B$17:$AD$17</c:f>
              <c:strCache>
                <c:ptCount val="29"/>
                <c:pt idx="0">
                  <c:v>commercial</c:v>
                </c:pt>
                <c:pt idx="1">
                  <c:v>companies and partnerships</c:v>
                </c:pt>
                <c:pt idx="2">
                  <c:v>contract</c:v>
                </c:pt>
                <c:pt idx="3">
                  <c:v>crime</c:v>
                </c:pt>
                <c:pt idx="4">
                  <c:v>data and communications</c:v>
                </c:pt>
                <c:pt idx="5">
                  <c:v>employment and work</c:v>
                </c:pt>
                <c:pt idx="6">
                  <c:v>environment</c:v>
                </c:pt>
                <c:pt idx="7">
                  <c:v>equality and human rights</c:v>
                </c:pt>
                <c:pt idx="8">
                  <c:v>family</c:v>
                </c:pt>
                <c:pt idx="9">
                  <c:v>finance</c:v>
                </c:pt>
                <c:pt idx="10">
                  <c:v>health and social welfare</c:v>
                </c:pt>
                <c:pt idx="11">
                  <c:v>social security administration</c:v>
                </c:pt>
                <c:pt idx="12">
                  <c:v>social security benefits</c:v>
                </c:pt>
                <c:pt idx="13">
                  <c:v>insolvency</c:v>
                </c:pt>
                <c:pt idx="14">
                  <c:v>intellectual property</c:v>
                </c:pt>
                <c:pt idx="15">
                  <c:v>international</c:v>
                </c:pt>
                <c:pt idx="16">
                  <c:v>land</c:v>
                </c:pt>
                <c:pt idx="17">
                  <c:v>legal system</c:v>
                </c:pt>
                <c:pt idx="18">
                  <c:v>litigation and dispute resolution </c:v>
                </c:pt>
                <c:pt idx="19">
                  <c:v>local government</c:v>
                </c:pt>
                <c:pt idx="20">
                  <c:v>personal injury</c:v>
                </c:pt>
                <c:pt idx="21">
                  <c:v>planning and construction</c:v>
                </c:pt>
                <c:pt idx="22">
                  <c:v>public and constitutional</c:v>
                </c:pt>
                <c:pt idx="23">
                  <c:v>social regulation</c:v>
                </c:pt>
                <c:pt idx="24">
                  <c:v>tax</c:v>
                </c:pt>
                <c:pt idx="25">
                  <c:v>torts</c:v>
                </c:pt>
                <c:pt idx="26">
                  <c:v>trusts and personal property</c:v>
                </c:pt>
                <c:pt idx="27">
                  <c:v>transport and shipping</c:v>
                </c:pt>
                <c:pt idx="28">
                  <c:v>unclassified</c:v>
                </c:pt>
              </c:strCache>
            </c:strRef>
          </c:cat>
          <c:val>
            <c:numRef>
              <c:f>Sheet1!$B$18:$AD$18</c:f>
              <c:numCache>
                <c:formatCode>General</c:formatCode>
                <c:ptCount val="29"/>
                <c:pt idx="0">
                  <c:v>9</c:v>
                </c:pt>
                <c:pt idx="1">
                  <c:v>10</c:v>
                </c:pt>
                <c:pt idx="2">
                  <c:v>9</c:v>
                </c:pt>
                <c:pt idx="3">
                  <c:v>10</c:v>
                </c:pt>
                <c:pt idx="4">
                  <c:v>8</c:v>
                </c:pt>
                <c:pt idx="5">
                  <c:v>6</c:v>
                </c:pt>
                <c:pt idx="6">
                  <c:v>5</c:v>
                </c:pt>
                <c:pt idx="7">
                  <c:v>4</c:v>
                </c:pt>
                <c:pt idx="8">
                  <c:v>5</c:v>
                </c:pt>
                <c:pt idx="9">
                  <c:v>9</c:v>
                </c:pt>
                <c:pt idx="10">
                  <c:v>7</c:v>
                </c:pt>
                <c:pt idx="11">
                  <c:v>1</c:v>
                </c:pt>
                <c:pt idx="12">
                  <c:v>2</c:v>
                </c:pt>
                <c:pt idx="13">
                  <c:v>7</c:v>
                </c:pt>
                <c:pt idx="14">
                  <c:v>6</c:v>
                </c:pt>
                <c:pt idx="15">
                  <c:v>11</c:v>
                </c:pt>
                <c:pt idx="16">
                  <c:v>9</c:v>
                </c:pt>
                <c:pt idx="17">
                  <c:v>10</c:v>
                </c:pt>
                <c:pt idx="18">
                  <c:v>12</c:v>
                </c:pt>
                <c:pt idx="19">
                  <c:v>6</c:v>
                </c:pt>
                <c:pt idx="20">
                  <c:v>4</c:v>
                </c:pt>
                <c:pt idx="21">
                  <c:v>5</c:v>
                </c:pt>
                <c:pt idx="22">
                  <c:v>9</c:v>
                </c:pt>
                <c:pt idx="23">
                  <c:v>8</c:v>
                </c:pt>
                <c:pt idx="24">
                  <c:v>7</c:v>
                </c:pt>
                <c:pt idx="25">
                  <c:v>11</c:v>
                </c:pt>
                <c:pt idx="26">
                  <c:v>10</c:v>
                </c:pt>
                <c:pt idx="27">
                  <c:v>8</c:v>
                </c:pt>
                <c:pt idx="28">
                  <c:v>6</c:v>
                </c:pt>
              </c:numCache>
            </c:numRef>
          </c:val>
          <c:extLst>
            <c:ext xmlns:c16="http://schemas.microsoft.com/office/drawing/2014/chart" uri="{C3380CC4-5D6E-409C-BE32-E72D297353CC}">
              <c16:uniqueId val="{00000000-779B-CD4B-9231-0A1C9762F82B}"/>
            </c:ext>
          </c:extLst>
        </c:ser>
        <c:dLbls>
          <c:showLegendKey val="0"/>
          <c:showVal val="0"/>
          <c:showCatName val="0"/>
          <c:showSerName val="0"/>
          <c:showPercent val="0"/>
          <c:showBubbleSize val="0"/>
        </c:dLbls>
        <c:gapWidth val="219"/>
        <c:overlap val="-27"/>
        <c:axId val="907486672"/>
        <c:axId val="895295952"/>
      </c:barChart>
      <c:catAx>
        <c:axId val="90748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295952"/>
        <c:crosses val="autoZero"/>
        <c:auto val="1"/>
        <c:lblAlgn val="ctr"/>
        <c:lblOffset val="100"/>
        <c:noMultiLvlLbl val="0"/>
      </c:catAx>
      <c:valAx>
        <c:axId val="895295952"/>
        <c:scaling>
          <c:orientation val="minMax"/>
          <c:max val="1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74866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0.2058</cdr:x>
      <cdr:y>0.02179</cdr:y>
    </cdr:from>
    <cdr:to>
      <cdr:x>0.9145</cdr:x>
      <cdr:y>0.09103</cdr:y>
    </cdr:to>
    <cdr:sp macro="" textlink="">
      <cdr:nvSpPr>
        <cdr:cNvPr id="2" name="TextBox 1">
          <a:extLst xmlns:a="http://schemas.openxmlformats.org/drawingml/2006/main">
            <a:ext uri="{FF2B5EF4-FFF2-40B4-BE49-F238E27FC236}">
              <a16:creationId xmlns:a16="http://schemas.microsoft.com/office/drawing/2014/main" id="{FD576FE2-FBAA-2813-DD1E-AAAFBCE6894E}"/>
            </a:ext>
          </a:extLst>
        </cdr:cNvPr>
        <cdr:cNvSpPr txBox="1"/>
      </cdr:nvSpPr>
      <cdr:spPr>
        <a:xfrm xmlns:a="http://schemas.openxmlformats.org/drawingml/2006/main">
          <a:off x="1324211" y="163632"/>
          <a:ext cx="4560122" cy="519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600">
              <a:latin typeface="Times New Roman" panose="02020603050405020304" pitchFamily="18" charset="0"/>
              <a:cs typeface="Times New Roman" panose="02020603050405020304" pitchFamily="18" charset="0"/>
            </a:rPr>
            <a:t>Fig 1: Judges as representatives: areas of practice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21</Pages>
  <Words>8612</Words>
  <Characters>49092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O'Brien</dc:creator>
  <cp:lastModifiedBy>Charlotte O'Brien</cp:lastModifiedBy>
  <cp:revision>15</cp:revision>
  <cp:lastPrinted>2024-03-24T19:47:00Z</cp:lastPrinted>
  <dcterms:created xsi:type="dcterms:W3CDTF">2025-01-16T12:50:00Z</dcterms:created>
  <dcterms:modified xsi:type="dcterms:W3CDTF">2025-01-16T16:47:00Z</dcterms:modified>
</cp:coreProperties>
</file>