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F7BD" w14:textId="77777777" w:rsidR="002F171D" w:rsidRDefault="002F171D" w:rsidP="002F171D">
      <w:pPr>
        <w:spacing w:line="276" w:lineRule="auto"/>
        <w:jc w:val="center"/>
        <w:rPr>
          <w:rFonts w:ascii="Calisto MT" w:hAnsi="Calisto MT" w:cs="Times New Roman"/>
          <w:sz w:val="44"/>
          <w:szCs w:val="44"/>
        </w:rPr>
      </w:pPr>
    </w:p>
    <w:p w14:paraId="2039F403" w14:textId="12DB26D2" w:rsidR="00063158" w:rsidRPr="002F171D" w:rsidRDefault="00063158" w:rsidP="002F171D">
      <w:pPr>
        <w:spacing w:line="276" w:lineRule="auto"/>
        <w:jc w:val="center"/>
        <w:rPr>
          <w:rFonts w:ascii="Calisto MT" w:hAnsi="Calisto MT" w:cs="Times New Roman"/>
          <w:sz w:val="44"/>
          <w:szCs w:val="44"/>
        </w:rPr>
      </w:pPr>
      <w:r w:rsidRPr="002F171D">
        <w:rPr>
          <w:rFonts w:ascii="Calisto MT" w:hAnsi="Calisto MT" w:cs="Times New Roman"/>
          <w:sz w:val="44"/>
          <w:szCs w:val="44"/>
        </w:rPr>
        <w:t>The Laws of Public Data Gaps</w:t>
      </w:r>
    </w:p>
    <w:p w14:paraId="0297762A" w14:textId="1BC9961D" w:rsidR="07C4BA2C" w:rsidRPr="002F171D" w:rsidRDefault="07C4BA2C" w:rsidP="002F171D">
      <w:pPr>
        <w:spacing w:line="276" w:lineRule="auto"/>
        <w:jc w:val="center"/>
        <w:rPr>
          <w:rFonts w:ascii="Calisto MT" w:hAnsi="Calisto MT" w:cs="Times New Roman"/>
          <w:sz w:val="11"/>
          <w:szCs w:val="11"/>
        </w:rPr>
      </w:pPr>
    </w:p>
    <w:p w14:paraId="27813507" w14:textId="77777777" w:rsidR="002F171D" w:rsidRPr="002F171D" w:rsidRDefault="002F171D" w:rsidP="002F171D">
      <w:pPr>
        <w:spacing w:line="276" w:lineRule="auto"/>
        <w:jc w:val="center"/>
        <w:rPr>
          <w:rFonts w:ascii="Calisto MT" w:hAnsi="Calisto MT" w:cs="Times New Roman"/>
        </w:rPr>
      </w:pPr>
    </w:p>
    <w:p w14:paraId="6A52DC9F" w14:textId="77777777" w:rsidR="00063158" w:rsidRPr="002F171D" w:rsidRDefault="00063158" w:rsidP="002F171D">
      <w:pPr>
        <w:spacing w:line="276" w:lineRule="auto"/>
        <w:jc w:val="center"/>
        <w:rPr>
          <w:rFonts w:ascii="Calisto MT" w:hAnsi="Calisto MT" w:cs="Times New Roman"/>
          <w:sz w:val="32"/>
          <w:szCs w:val="32"/>
        </w:rPr>
      </w:pPr>
      <w:r w:rsidRPr="002F171D">
        <w:rPr>
          <w:rFonts w:ascii="Calisto MT" w:hAnsi="Calisto MT" w:cs="Times New Roman"/>
          <w:sz w:val="32"/>
          <w:szCs w:val="32"/>
        </w:rPr>
        <w:t>Joe Tomlinson,</w:t>
      </w:r>
      <w:r w:rsidRPr="002F171D">
        <w:rPr>
          <w:rFonts w:ascii="Calisto MT" w:hAnsi="Calisto MT" w:cs="Times New Roman"/>
          <w:sz w:val="32"/>
          <w:szCs w:val="32"/>
          <w:vertAlign w:val="superscript"/>
        </w:rPr>
        <w:footnoteReference w:id="1"/>
      </w:r>
      <w:r w:rsidRPr="002F171D">
        <w:rPr>
          <w:rFonts w:ascii="Calisto MT" w:hAnsi="Calisto MT" w:cs="Times New Roman"/>
          <w:sz w:val="32"/>
          <w:szCs w:val="32"/>
        </w:rPr>
        <w:t xml:space="preserve"> Naoise Coakley,</w:t>
      </w:r>
      <w:r w:rsidRPr="002F171D">
        <w:rPr>
          <w:rFonts w:ascii="Calisto MT" w:hAnsi="Calisto MT" w:cs="Times New Roman"/>
          <w:sz w:val="32"/>
          <w:szCs w:val="32"/>
          <w:vertAlign w:val="superscript"/>
        </w:rPr>
        <w:footnoteReference w:id="2"/>
      </w:r>
      <w:r w:rsidRPr="002F171D">
        <w:rPr>
          <w:rFonts w:ascii="Calisto MT" w:hAnsi="Calisto MT" w:cs="Times New Roman"/>
          <w:sz w:val="32"/>
          <w:szCs w:val="32"/>
        </w:rPr>
        <w:t xml:space="preserve"> Oliver Butler,</w:t>
      </w:r>
      <w:r w:rsidRPr="002F171D">
        <w:rPr>
          <w:rFonts w:ascii="Calisto MT" w:hAnsi="Calisto MT" w:cs="Times New Roman"/>
          <w:sz w:val="32"/>
          <w:szCs w:val="32"/>
          <w:vertAlign w:val="superscript"/>
        </w:rPr>
        <w:footnoteReference w:id="3"/>
      </w:r>
      <w:r w:rsidRPr="002F171D">
        <w:rPr>
          <w:rFonts w:ascii="Calisto MT" w:hAnsi="Calisto MT" w:cs="Times New Roman"/>
          <w:sz w:val="32"/>
          <w:szCs w:val="32"/>
        </w:rPr>
        <w:t xml:space="preserve"> </w:t>
      </w:r>
      <w:proofErr w:type="spellStart"/>
      <w:r w:rsidRPr="002F171D">
        <w:rPr>
          <w:rFonts w:ascii="Calisto MT" w:hAnsi="Calisto MT" w:cs="Times New Roman"/>
          <w:sz w:val="32"/>
          <w:szCs w:val="32"/>
        </w:rPr>
        <w:t>Stergios</w:t>
      </w:r>
      <w:proofErr w:type="spellEnd"/>
      <w:r w:rsidRPr="002F171D">
        <w:rPr>
          <w:rFonts w:ascii="Calisto MT" w:hAnsi="Calisto MT" w:cs="Times New Roman"/>
          <w:sz w:val="32"/>
          <w:szCs w:val="32"/>
        </w:rPr>
        <w:t xml:space="preserve"> </w:t>
      </w:r>
      <w:proofErr w:type="spellStart"/>
      <w:r w:rsidRPr="002F171D">
        <w:rPr>
          <w:rFonts w:ascii="Calisto MT" w:hAnsi="Calisto MT" w:cs="Times New Roman"/>
          <w:sz w:val="32"/>
          <w:szCs w:val="32"/>
        </w:rPr>
        <w:t>Aidinlis</w:t>
      </w:r>
      <w:proofErr w:type="spellEnd"/>
      <w:r w:rsidRPr="002F171D">
        <w:rPr>
          <w:rFonts w:ascii="Calisto MT" w:hAnsi="Calisto MT" w:cs="Times New Roman"/>
          <w:sz w:val="32"/>
          <w:szCs w:val="32"/>
        </w:rPr>
        <w:t>,</w:t>
      </w:r>
      <w:r w:rsidRPr="002F171D">
        <w:rPr>
          <w:rFonts w:ascii="Calisto MT" w:hAnsi="Calisto MT" w:cs="Times New Roman"/>
          <w:sz w:val="32"/>
          <w:szCs w:val="32"/>
          <w:vertAlign w:val="superscript"/>
        </w:rPr>
        <w:footnoteReference w:id="4"/>
      </w:r>
      <w:r w:rsidRPr="002F171D">
        <w:rPr>
          <w:rFonts w:ascii="Calisto MT" w:hAnsi="Calisto MT" w:cs="Times New Roman"/>
          <w:sz w:val="32"/>
          <w:szCs w:val="32"/>
        </w:rPr>
        <w:t xml:space="preserve"> Cassandra Somers-</w:t>
      </w:r>
      <w:proofErr w:type="spellStart"/>
      <w:r w:rsidRPr="002F171D">
        <w:rPr>
          <w:rFonts w:ascii="Calisto MT" w:hAnsi="Calisto MT" w:cs="Times New Roman"/>
          <w:sz w:val="32"/>
          <w:szCs w:val="32"/>
        </w:rPr>
        <w:t>Joce</w:t>
      </w:r>
      <w:proofErr w:type="spellEnd"/>
      <w:r w:rsidRPr="002F171D">
        <w:rPr>
          <w:rFonts w:ascii="Calisto MT" w:hAnsi="Calisto MT" w:cs="Times New Roman"/>
          <w:sz w:val="32"/>
          <w:szCs w:val="32"/>
        </w:rPr>
        <w:t>,</w:t>
      </w:r>
      <w:r w:rsidRPr="002F171D">
        <w:rPr>
          <w:rFonts w:ascii="Calisto MT" w:hAnsi="Calisto MT" w:cs="Times New Roman"/>
          <w:sz w:val="32"/>
          <w:szCs w:val="32"/>
          <w:vertAlign w:val="superscript"/>
        </w:rPr>
        <w:footnoteReference w:id="5"/>
      </w:r>
      <w:r w:rsidRPr="002F171D">
        <w:rPr>
          <w:rFonts w:ascii="Calisto MT" w:hAnsi="Calisto MT" w:cs="Times New Roman"/>
          <w:sz w:val="32"/>
          <w:szCs w:val="32"/>
        </w:rPr>
        <w:t xml:space="preserve"> Jed </w:t>
      </w:r>
      <w:proofErr w:type="spellStart"/>
      <w:r w:rsidRPr="002F171D">
        <w:rPr>
          <w:rFonts w:ascii="Calisto MT" w:hAnsi="Calisto MT" w:cs="Times New Roman"/>
          <w:sz w:val="32"/>
          <w:szCs w:val="32"/>
        </w:rPr>
        <w:t>Meers</w:t>
      </w:r>
      <w:proofErr w:type="spellEnd"/>
      <w:r w:rsidRPr="002F171D">
        <w:rPr>
          <w:rFonts w:ascii="Calisto MT" w:hAnsi="Calisto MT" w:cs="Times New Roman"/>
          <w:sz w:val="32"/>
          <w:szCs w:val="32"/>
        </w:rPr>
        <w:t>,</w:t>
      </w:r>
      <w:r w:rsidRPr="002F171D">
        <w:rPr>
          <w:rFonts w:ascii="Calisto MT" w:hAnsi="Calisto MT" w:cs="Times New Roman"/>
          <w:sz w:val="32"/>
          <w:szCs w:val="32"/>
          <w:vertAlign w:val="superscript"/>
        </w:rPr>
        <w:footnoteReference w:id="6"/>
      </w:r>
      <w:r w:rsidRPr="002F171D">
        <w:rPr>
          <w:rFonts w:ascii="Calisto MT" w:hAnsi="Calisto MT" w:cs="Times New Roman"/>
          <w:sz w:val="32"/>
          <w:szCs w:val="32"/>
        </w:rPr>
        <w:t xml:space="preserve"> and Elizabeth O’Loughlin</w:t>
      </w:r>
      <w:r w:rsidRPr="002F171D">
        <w:rPr>
          <w:rFonts w:ascii="Calisto MT" w:hAnsi="Calisto MT" w:cs="Times New Roman"/>
          <w:sz w:val="32"/>
          <w:szCs w:val="32"/>
          <w:vertAlign w:val="superscript"/>
        </w:rPr>
        <w:footnoteReference w:id="7"/>
      </w:r>
    </w:p>
    <w:p w14:paraId="6F05B8A1" w14:textId="77777777" w:rsidR="002F171D" w:rsidRPr="002F171D" w:rsidRDefault="002F171D" w:rsidP="002F171D">
      <w:pPr>
        <w:spacing w:line="276" w:lineRule="auto"/>
        <w:rPr>
          <w:rFonts w:ascii="Calisto MT" w:hAnsi="Calisto MT" w:cs="Times New Roman"/>
          <w:b/>
          <w:bCs/>
        </w:rPr>
      </w:pPr>
    </w:p>
    <w:p w14:paraId="51BF19DD" w14:textId="6A2B48FA" w:rsidR="002F171D" w:rsidRPr="002F171D" w:rsidRDefault="00063158" w:rsidP="002F171D">
      <w:pPr>
        <w:spacing w:line="276" w:lineRule="auto"/>
        <w:jc w:val="center"/>
        <w:rPr>
          <w:rFonts w:ascii="Calisto MT" w:hAnsi="Calisto MT" w:cs="Times New Roman"/>
          <w:sz w:val="22"/>
          <w:szCs w:val="22"/>
        </w:rPr>
      </w:pPr>
      <w:r w:rsidRPr="002F171D">
        <w:rPr>
          <w:rFonts w:ascii="Calisto MT" w:hAnsi="Calisto MT" w:cs="Times New Roman"/>
          <w:b/>
          <w:bCs/>
          <w:sz w:val="22"/>
          <w:szCs w:val="22"/>
        </w:rPr>
        <w:t>Abstract.</w:t>
      </w:r>
    </w:p>
    <w:p w14:paraId="38427FBD" w14:textId="77777777" w:rsidR="002F171D" w:rsidRPr="002F171D" w:rsidRDefault="002F171D" w:rsidP="002F171D">
      <w:pPr>
        <w:spacing w:line="276" w:lineRule="auto"/>
        <w:rPr>
          <w:rFonts w:ascii="Calisto MT" w:hAnsi="Calisto MT" w:cs="Times New Roman"/>
          <w:sz w:val="22"/>
          <w:szCs w:val="22"/>
        </w:rPr>
      </w:pPr>
    </w:p>
    <w:p w14:paraId="4096F5B2" w14:textId="2B5007A8" w:rsidR="00063158" w:rsidRPr="002F171D" w:rsidRDefault="00063158" w:rsidP="002F171D">
      <w:pPr>
        <w:spacing w:line="360" w:lineRule="auto"/>
        <w:jc w:val="both"/>
        <w:rPr>
          <w:rFonts w:ascii="Calisto MT" w:hAnsi="Calisto MT" w:cs="Times New Roman"/>
          <w:sz w:val="22"/>
          <w:szCs w:val="22"/>
        </w:rPr>
      </w:pPr>
      <w:r w:rsidRPr="002F171D">
        <w:rPr>
          <w:rFonts w:ascii="Calisto MT" w:hAnsi="Calisto MT" w:cs="Times New Roman"/>
          <w:sz w:val="22"/>
          <w:szCs w:val="22"/>
        </w:rPr>
        <w:t xml:space="preserve">One of the most significant developments in the digitalisation and automation of government infrastructure is that the capacity of officials to collect, with minimal costs, valuable data on the performance, users, and impacts of public services is increasing exponentially. Public law thought tends to view this growing capacity through a concern about over-collection and misuse of the public’s data, with privacy </w:t>
      </w:r>
      <w:r w:rsidR="37C11C4E" w:rsidRPr="002F171D">
        <w:rPr>
          <w:rFonts w:ascii="Calisto MT" w:hAnsi="Calisto MT" w:cs="Times New Roman"/>
          <w:sz w:val="22"/>
          <w:szCs w:val="22"/>
        </w:rPr>
        <w:t xml:space="preserve">and the protection of data </w:t>
      </w:r>
      <w:r w:rsidRPr="002F171D">
        <w:rPr>
          <w:rFonts w:ascii="Calisto MT" w:hAnsi="Calisto MT" w:cs="Times New Roman"/>
          <w:sz w:val="22"/>
          <w:szCs w:val="22"/>
        </w:rPr>
        <w:t>being a particular anxiety. But there is also an opposite problem that has generally been neglected by public lawyers: it is still the case that public sector organisations routinely do not collect, in many areas, even the most basic data on the operation and impact of public services. This chapter, which grounds its discussion in the UK context, argues that these ‘public data gaps’ are not only a significant and growing problem of modern digital governance, but they are also a problem with distinctly legal dimensions. The chapter provides a new conceptualisation of the nature, causes, and harms of public data gaps before demonstrating how the problem raises questions for a range of important ideas in public law, including rationality and equality, access to justice, data protection and privacy, and duties of record-keeping and disclosure. Ultimately, alongside and as part of the increasingly sophisticated legal analysis of the problems of government collecting too much data, we suggest the field ought to develop much more nuanced thinking around the laws of public data gaps.</w:t>
      </w:r>
    </w:p>
    <w:p w14:paraId="0F68CC15" w14:textId="77777777" w:rsidR="006F247F" w:rsidRPr="006F247F" w:rsidRDefault="006F247F" w:rsidP="002F171D">
      <w:pPr>
        <w:spacing w:line="276" w:lineRule="auto"/>
        <w:jc w:val="center"/>
        <w:rPr>
          <w:rFonts w:ascii="Times New Roman" w:hAnsi="Times New Roman" w:cs="Times New Roman"/>
        </w:rPr>
      </w:pPr>
    </w:p>
    <w:p w14:paraId="17153B05" w14:textId="77777777" w:rsidR="002F171D" w:rsidRDefault="002F171D" w:rsidP="07C4BA2C">
      <w:pPr>
        <w:rPr>
          <w:rFonts w:ascii="Times New Roman" w:hAnsi="Times New Roman" w:cs="Times New Roman"/>
          <w:b/>
          <w:bCs/>
          <w:sz w:val="28"/>
          <w:szCs w:val="28"/>
        </w:rPr>
        <w:sectPr w:rsidR="002F171D">
          <w:footerReference w:type="even" r:id="rId6"/>
          <w:footerReference w:type="default" r:id="rId7"/>
          <w:footnotePr>
            <w:numFmt w:val="chicago"/>
            <w:numRestart w:val="eachSect"/>
          </w:footnotePr>
          <w:pgSz w:w="11906" w:h="16838"/>
          <w:pgMar w:top="1440" w:right="1440" w:bottom="1440" w:left="1440" w:header="708" w:footer="708" w:gutter="0"/>
          <w:cols w:space="708"/>
          <w:docGrid w:linePitch="360"/>
        </w:sectPr>
      </w:pPr>
    </w:p>
    <w:p w14:paraId="5D523E2D" w14:textId="3668ABFE" w:rsidR="005D705C" w:rsidRPr="00A16FD3" w:rsidRDefault="002F171D" w:rsidP="002F171D">
      <w:pPr>
        <w:spacing w:line="276" w:lineRule="auto"/>
        <w:jc w:val="both"/>
        <w:rPr>
          <w:rFonts w:ascii="Optima" w:hAnsi="Optima" w:cs="Times New Roman"/>
          <w:b/>
          <w:bCs/>
          <w:sz w:val="36"/>
          <w:szCs w:val="36"/>
        </w:rPr>
      </w:pPr>
      <w:r w:rsidRPr="005D705C">
        <w:rPr>
          <w:rFonts w:ascii="Optima" w:hAnsi="Optima" w:cs="Times New Roman"/>
          <w:b/>
          <w:bCs/>
          <w:sz w:val="36"/>
          <w:szCs w:val="36"/>
        </w:rPr>
        <w:lastRenderedPageBreak/>
        <w:t>1</w:t>
      </w:r>
      <w:r w:rsidR="00063158" w:rsidRPr="005D705C">
        <w:rPr>
          <w:rFonts w:ascii="Optima" w:hAnsi="Optima" w:cs="Times New Roman"/>
          <w:b/>
          <w:bCs/>
          <w:sz w:val="36"/>
          <w:szCs w:val="36"/>
        </w:rPr>
        <w:t xml:space="preserve"> </w:t>
      </w:r>
      <w:r w:rsidRPr="005D705C">
        <w:rPr>
          <w:rFonts w:ascii="Optima" w:hAnsi="Optima" w:cs="Times New Roman"/>
          <w:b/>
          <w:bCs/>
          <w:sz w:val="36"/>
          <w:szCs w:val="36"/>
        </w:rPr>
        <w:tab/>
      </w:r>
      <w:r w:rsidR="00063158" w:rsidRPr="005D705C">
        <w:rPr>
          <w:rFonts w:ascii="Optima" w:hAnsi="Optima" w:cs="Times New Roman"/>
          <w:b/>
          <w:bCs/>
          <w:sz w:val="36"/>
          <w:szCs w:val="36"/>
        </w:rPr>
        <w:t>Introduction</w:t>
      </w:r>
    </w:p>
    <w:p w14:paraId="53ACC239" w14:textId="50300590" w:rsidR="002F171D" w:rsidRPr="002F171D" w:rsidRDefault="00063158" w:rsidP="005D705C">
      <w:pPr>
        <w:spacing w:line="360" w:lineRule="auto"/>
        <w:jc w:val="both"/>
        <w:rPr>
          <w:rFonts w:ascii="Calisto MT" w:hAnsi="Calisto MT" w:cs="Times New Roman"/>
        </w:rPr>
      </w:pPr>
      <w:r w:rsidRPr="002F171D">
        <w:rPr>
          <w:rFonts w:ascii="Calisto MT" w:hAnsi="Calisto MT" w:cs="Times New Roman"/>
        </w:rPr>
        <w:t xml:space="preserve">Most of the public’s engagements with government services now begin with online interfaces, public decisions are increasingly made or supported through digitalised and automated systems, and people often have online profiles through which they interact with various services on an ongoing basis. As a result of this digitalisation of public administrative infrastructure, the capacity of officials to collect valuable data—at low cost—on the operation, users, and impacts of government services is increasing exponentially. </w:t>
      </w:r>
    </w:p>
    <w:p w14:paraId="5B45AE89" w14:textId="37282E86"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Private sector organisations with similar digital ‘platform’ infrastructures have often been so effective at exploiting their capacity to assimilate and utilise data that the focus of legal thought in that domain is, understandably, on privacy and data protection,</w:t>
      </w:r>
      <w:r w:rsidRPr="002F171D">
        <w:rPr>
          <w:rFonts w:ascii="Calisto MT" w:hAnsi="Calisto MT" w:cs="Times New Roman"/>
          <w:vertAlign w:val="superscript"/>
        </w:rPr>
        <w:footnoteReference w:id="8"/>
      </w:r>
      <w:r w:rsidRPr="002F171D">
        <w:rPr>
          <w:rFonts w:ascii="Calisto MT" w:hAnsi="Calisto MT" w:cs="Times New Roman"/>
        </w:rPr>
        <w:t xml:space="preserve"> and it has also forced fundamental reconsideration in others areas such as competition law.</w:t>
      </w:r>
      <w:r w:rsidRPr="002F171D">
        <w:rPr>
          <w:rFonts w:ascii="Calisto MT" w:hAnsi="Calisto MT" w:cs="Times New Roman"/>
          <w:vertAlign w:val="superscript"/>
        </w:rPr>
        <w:footnoteReference w:id="9"/>
      </w:r>
      <w:r w:rsidRPr="002F171D">
        <w:rPr>
          <w:rFonts w:ascii="Calisto MT" w:hAnsi="Calisto MT" w:cs="Times New Roman"/>
        </w:rPr>
        <w:t xml:space="preserve"> Equally, the capacity of the state to collect data at scale has been a significant concern in some areas, such as the national security context, and has caused some public lawyers to revisit whether existing legal protections are still fit for purpose.</w:t>
      </w:r>
      <w:r w:rsidRPr="002F171D">
        <w:rPr>
          <w:rFonts w:ascii="Calisto MT" w:hAnsi="Calisto MT" w:cs="Times New Roman"/>
          <w:vertAlign w:val="superscript"/>
        </w:rPr>
        <w:footnoteReference w:id="10"/>
      </w:r>
      <w:r w:rsidRPr="002F171D">
        <w:rPr>
          <w:rFonts w:ascii="Calisto MT" w:hAnsi="Calisto MT" w:cs="Times New Roman"/>
        </w:rPr>
        <w:t xml:space="preserve"> These are all (important) debates that are largely about what happens when organisations, public or private, arguably go too far in </w:t>
      </w:r>
      <w:r w:rsidR="43FB581D" w:rsidRPr="002F171D">
        <w:rPr>
          <w:rFonts w:ascii="Calisto MT" w:hAnsi="Calisto MT" w:cs="Times New Roman"/>
        </w:rPr>
        <w:t xml:space="preserve">using </w:t>
      </w:r>
      <w:r w:rsidRPr="002F171D">
        <w:rPr>
          <w:rFonts w:ascii="Calisto MT" w:hAnsi="Calisto MT" w:cs="Times New Roman"/>
        </w:rPr>
        <w:t>these growing data-collection capabilities.</w:t>
      </w:r>
    </w:p>
    <w:p w14:paraId="578590F7" w14:textId="1B8D8CEB"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In stark contrast, an opposite problem exists in how UK public sector organisations routinely do not collect even the most basic data on the operation of public services in many areas.</w:t>
      </w:r>
      <w:r w:rsidRPr="002F171D">
        <w:rPr>
          <w:rFonts w:ascii="Calisto MT" w:hAnsi="Calisto MT" w:cs="Times New Roman"/>
          <w:vertAlign w:val="superscript"/>
        </w:rPr>
        <w:footnoteReference w:id="11"/>
      </w:r>
      <w:r w:rsidRPr="002F171D">
        <w:rPr>
          <w:rFonts w:ascii="Calisto MT" w:hAnsi="Calisto MT" w:cs="Times New Roman"/>
        </w:rPr>
        <w:t xml:space="preserve"> Collecting such data may not have, for instance, the same profit motive or security incentive, but it can be of enormous value in facilitating the understanding, evaluation, and improvement of the everyday operation of government. This predicament—which we label the problem of ‘public data gaps’—is widely recognised in policy and practice as a problem of modern digital governance. There is hardly an official review or legislative report that is published which does not include comment on the need for more and better data on how public sector systems are operating. Yet, this problem has </w:t>
      </w:r>
      <w:r w:rsidRPr="002F171D">
        <w:rPr>
          <w:rFonts w:ascii="Calisto MT" w:hAnsi="Calisto MT" w:cs="Times New Roman"/>
        </w:rPr>
        <w:lastRenderedPageBreak/>
        <w:t xml:space="preserve">been neglected in legal thought, even though, on closer inspection, it reveals a range of significant and often complex legal dimensions. </w:t>
      </w:r>
    </w:p>
    <w:p w14:paraId="3A172D6C" w14:textId="77777777"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This chapter seeks to lay the foundations for a more sophisticated public law analysis of this issue. It provides a novel conceptualisation of the nature, causes, and harms of public data gaps before demonstrating how the problem raises questions for a range of important ideas and principles in public law, including rationality and equality, access to justice, data protection and privacy, and duties of disclosure. Our main contention, therefore, is that public data gaps are not only a problem of modern digital and automated governance but also a problem with a distinctly legal dimension and are thus worthy of detailed study by public law researchers.</w:t>
      </w:r>
    </w:p>
    <w:p w14:paraId="26364BF9" w14:textId="77777777" w:rsidR="00063158" w:rsidRPr="002F171D" w:rsidRDefault="00063158" w:rsidP="002F171D">
      <w:pPr>
        <w:spacing w:line="276" w:lineRule="auto"/>
        <w:jc w:val="both"/>
        <w:rPr>
          <w:rFonts w:ascii="Calisto MT" w:hAnsi="Calisto MT" w:cs="Times New Roman"/>
        </w:rPr>
      </w:pPr>
    </w:p>
    <w:p w14:paraId="64CAB7D7" w14:textId="4FFB994F" w:rsidR="005D705C" w:rsidRPr="005D705C" w:rsidRDefault="005D705C" w:rsidP="002F171D">
      <w:pPr>
        <w:spacing w:line="276" w:lineRule="auto"/>
        <w:jc w:val="both"/>
        <w:rPr>
          <w:rFonts w:ascii="Optima" w:hAnsi="Optima" w:cs="Times New Roman"/>
          <w:b/>
          <w:bCs/>
          <w:sz w:val="36"/>
          <w:szCs w:val="36"/>
        </w:rPr>
      </w:pPr>
      <w:r>
        <w:rPr>
          <w:rFonts w:ascii="Optima" w:hAnsi="Optima" w:cs="Times New Roman"/>
          <w:b/>
          <w:bCs/>
          <w:sz w:val="36"/>
          <w:szCs w:val="36"/>
        </w:rPr>
        <w:t>2</w:t>
      </w:r>
      <w:r>
        <w:rPr>
          <w:rFonts w:ascii="Optima" w:hAnsi="Optima" w:cs="Times New Roman"/>
          <w:b/>
          <w:bCs/>
          <w:sz w:val="36"/>
          <w:szCs w:val="36"/>
        </w:rPr>
        <w:tab/>
      </w:r>
      <w:r w:rsidR="00063158" w:rsidRPr="005D705C">
        <w:rPr>
          <w:rFonts w:ascii="Optima" w:hAnsi="Optima" w:cs="Times New Roman"/>
          <w:b/>
          <w:bCs/>
          <w:sz w:val="36"/>
          <w:szCs w:val="36"/>
        </w:rPr>
        <w:t>What is the problem with public data gaps?</w:t>
      </w:r>
    </w:p>
    <w:p w14:paraId="4F5520D7" w14:textId="77777777" w:rsidR="005D705C" w:rsidRDefault="005D705C" w:rsidP="005D705C">
      <w:pPr>
        <w:spacing w:line="360" w:lineRule="auto"/>
        <w:jc w:val="both"/>
        <w:rPr>
          <w:rFonts w:ascii="Calisto MT" w:hAnsi="Calisto MT" w:cs="Times New Roman"/>
        </w:rPr>
      </w:pPr>
    </w:p>
    <w:p w14:paraId="7E949227" w14:textId="02353C40"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We start</w:t>
      </w:r>
      <w:r w:rsidR="1178CFF0" w:rsidRPr="002F171D">
        <w:rPr>
          <w:rFonts w:ascii="Calisto MT" w:hAnsi="Calisto MT" w:cs="Times New Roman"/>
        </w:rPr>
        <w:t xml:space="preserve"> here</w:t>
      </w:r>
      <w:r w:rsidRPr="002F171D">
        <w:rPr>
          <w:rFonts w:ascii="Calisto MT" w:hAnsi="Calisto MT" w:cs="Times New Roman"/>
        </w:rPr>
        <w:t xml:space="preserve"> by exploring public data gaps as a problem of modern digital governance and, specifically, by seeking to provide a clearer statement of the issue than has thus far been articulated. It is important to start here as, while they are widely recognised as a problem in practice and policy, public data gaps have been insufficiently conceptualised, and there is no particularly clear account of them to be found in the literature. Thus, some groundwork is required.</w:t>
      </w:r>
    </w:p>
    <w:p w14:paraId="24B7D76F" w14:textId="77777777" w:rsidR="00063158" w:rsidRPr="002F171D" w:rsidRDefault="00063158" w:rsidP="002F171D">
      <w:pPr>
        <w:spacing w:line="276" w:lineRule="auto"/>
        <w:jc w:val="both"/>
        <w:rPr>
          <w:rFonts w:ascii="Calisto MT" w:hAnsi="Calisto MT" w:cs="Times New Roman"/>
        </w:rPr>
      </w:pPr>
    </w:p>
    <w:p w14:paraId="1AB00DD2" w14:textId="6F0EFB8B" w:rsidR="005D705C"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(a) </w:t>
      </w:r>
      <w:r w:rsidR="005D705C">
        <w:rPr>
          <w:rFonts w:ascii="Optima" w:hAnsi="Optima" w:cs="Times New Roman"/>
          <w:i/>
          <w:iCs/>
        </w:rPr>
        <w:tab/>
      </w:r>
      <w:r w:rsidRPr="005D705C">
        <w:rPr>
          <w:rFonts w:ascii="Optima" w:hAnsi="Optima" w:cs="Times New Roman"/>
          <w:i/>
          <w:iCs/>
        </w:rPr>
        <w:t>What is a public data gap?</w:t>
      </w:r>
    </w:p>
    <w:p w14:paraId="3579D396" w14:textId="027341CD"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It is important to clarify at the outset what a ‘public data gap’ is. Both academic literature and reports from the policy consistently identify public data gaps as a problem, yet the idea is often talked about loosely. In recent years, there have been two notable attempts to articulate clearer definitions.</w:t>
      </w:r>
    </w:p>
    <w:p w14:paraId="072BC17F" w14:textId="54ABE578"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The most sophisticated attempt to give some conceptual shape to this topic can be found in the work of Giest and Samuels.</w:t>
      </w:r>
      <w:r w:rsidRPr="002F171D">
        <w:rPr>
          <w:rFonts w:ascii="Calisto MT" w:hAnsi="Calisto MT" w:cs="Times New Roman"/>
          <w:vertAlign w:val="superscript"/>
        </w:rPr>
        <w:footnoteReference w:id="12"/>
      </w:r>
      <w:r w:rsidRPr="002F171D">
        <w:rPr>
          <w:rFonts w:ascii="Calisto MT" w:hAnsi="Calisto MT" w:cs="Times New Roman"/>
        </w:rPr>
        <w:t xml:space="preserve"> They define data gaps as ‘[d]</w:t>
      </w:r>
      <w:proofErr w:type="spellStart"/>
      <w:r w:rsidRPr="002F171D">
        <w:rPr>
          <w:rFonts w:ascii="Calisto MT" w:hAnsi="Calisto MT" w:cs="Times New Roman"/>
        </w:rPr>
        <w:t>ata</w:t>
      </w:r>
      <w:proofErr w:type="spellEnd"/>
      <w:r w:rsidRPr="002F171D">
        <w:rPr>
          <w:rFonts w:ascii="Calisto MT" w:hAnsi="Calisto MT" w:cs="Times New Roman"/>
        </w:rPr>
        <w:t xml:space="preserve"> for particular elements or social groups that are knowingly or unknowingly missing when policy is made on the basis of large datasets.’</w:t>
      </w:r>
      <w:r w:rsidRPr="002F171D">
        <w:rPr>
          <w:rFonts w:ascii="Calisto MT" w:hAnsi="Calisto MT" w:cs="Times New Roman"/>
          <w:vertAlign w:val="superscript"/>
        </w:rPr>
        <w:footnoteReference w:id="13"/>
      </w:r>
      <w:r w:rsidRPr="002F171D">
        <w:rPr>
          <w:rFonts w:ascii="Calisto MT" w:hAnsi="Calisto MT" w:cs="Times New Roman"/>
        </w:rPr>
        <w:t xml:space="preserve"> They propose a typology which splits data gaps into three categories: primary; secondary; and hidden (see Table 1). A ‘primary gap’ occurs when government has an awareness of missing data but has limited opportunities to use </w:t>
      </w:r>
      <w:r w:rsidRPr="002F171D">
        <w:rPr>
          <w:rFonts w:ascii="Calisto MT" w:hAnsi="Calisto MT" w:cs="Times New Roman"/>
        </w:rPr>
        <w:lastRenderedPageBreak/>
        <w:t xml:space="preserve">‘appropriate’ means to fill the gaps. A ‘secondary gap’ is where there is government awareness of the existence of a data gap, but the data available may be of poor quality and not a good ‘fit’. ‘Hidden gaps’ refer to data sets that are routinely used for policymaking but contain misrepresentation, bias, or missing data, without the government being aware that it is missing. </w:t>
      </w:r>
      <w:r w:rsidR="60710625" w:rsidRPr="002F171D">
        <w:rPr>
          <w:rFonts w:ascii="Calisto MT" w:hAnsi="Calisto MT" w:cs="Times New Roman"/>
        </w:rPr>
        <w:t>This typology has gained some traction in the short time since its publication in 2020,</w:t>
      </w:r>
      <w:r w:rsidRPr="002F171D">
        <w:rPr>
          <w:rFonts w:ascii="Calisto MT" w:hAnsi="Calisto MT" w:cs="Times New Roman"/>
          <w:vertAlign w:val="superscript"/>
        </w:rPr>
        <w:footnoteReference w:id="14"/>
      </w:r>
      <w:r w:rsidR="60710625" w:rsidRPr="002F171D">
        <w:rPr>
          <w:rFonts w:ascii="Calisto MT" w:hAnsi="Calisto MT" w:cs="Times New Roman"/>
        </w:rPr>
        <w:t xml:space="preserve"> and it is helpful as a starting point, but it is also limited in some respects. For instance, the categories presented cover very broad circumstances. The ‘secondary data gap’ category, for instance, cloaks several potential issues. This broad label lumps all data quality issues together, but poor-quality data can be the result of very different problems.</w:t>
      </w:r>
    </w:p>
    <w:p w14:paraId="2E853195" w14:textId="6E49598F" w:rsidR="00063158" w:rsidRPr="002F171D" w:rsidRDefault="00063158" w:rsidP="07C4BA2C">
      <w:pPr>
        <w:ind w:firstLine="720"/>
        <w:rPr>
          <w:rFonts w:ascii="Calisto MT" w:hAnsi="Calisto MT" w:cs="Times New Roman"/>
        </w:rPr>
      </w:pPr>
    </w:p>
    <w:p w14:paraId="46CBE89C" w14:textId="77777777" w:rsidR="00063158" w:rsidRPr="002F171D" w:rsidRDefault="00063158" w:rsidP="00063158">
      <w:pPr>
        <w:rPr>
          <w:rFonts w:ascii="Calisto MT" w:hAnsi="Calisto MT" w:cs="Times New Roman"/>
        </w:rPr>
      </w:pPr>
      <w:r w:rsidRPr="002F171D">
        <w:rPr>
          <w:rFonts w:ascii="Calisto MT" w:hAnsi="Calisto MT" w:cs="Times New Roman"/>
          <w:b/>
        </w:rPr>
        <w:t>Table 1:</w:t>
      </w:r>
      <w:r w:rsidRPr="002F171D">
        <w:rPr>
          <w:rFonts w:ascii="Calisto MT" w:hAnsi="Calisto MT" w:cs="Times New Roman"/>
        </w:rPr>
        <w:t xml:space="preserve"> Giest and Samuels Typology</w:t>
      </w:r>
    </w:p>
    <w:tbl>
      <w:tblPr>
        <w:tblpPr w:leftFromText="180" w:rightFromText="180" w:vertAnchor="text" w:tblpY="83"/>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00"/>
        <w:gridCol w:w="2977"/>
        <w:gridCol w:w="3638"/>
      </w:tblGrid>
      <w:tr w:rsidR="00063158" w:rsidRPr="002F171D" w14:paraId="41E7DDC3" w14:textId="77777777" w:rsidTr="00A65E94">
        <w:tc>
          <w:tcPr>
            <w:tcW w:w="2400" w:type="dxa"/>
            <w:shd w:val="clear" w:color="auto" w:fill="auto"/>
            <w:tcMar>
              <w:top w:w="100" w:type="dxa"/>
              <w:left w:w="100" w:type="dxa"/>
              <w:bottom w:w="100" w:type="dxa"/>
              <w:right w:w="100" w:type="dxa"/>
            </w:tcMar>
          </w:tcPr>
          <w:p w14:paraId="17A78D74" w14:textId="77777777" w:rsidR="00063158" w:rsidRPr="002F171D" w:rsidRDefault="00063158" w:rsidP="00063158">
            <w:pPr>
              <w:rPr>
                <w:rFonts w:ascii="Calisto MT" w:hAnsi="Calisto MT" w:cs="Times New Roman"/>
                <w:b/>
              </w:rPr>
            </w:pPr>
          </w:p>
        </w:tc>
        <w:tc>
          <w:tcPr>
            <w:tcW w:w="2977" w:type="dxa"/>
            <w:shd w:val="clear" w:color="auto" w:fill="auto"/>
            <w:tcMar>
              <w:top w:w="100" w:type="dxa"/>
              <w:left w:w="100" w:type="dxa"/>
              <w:bottom w:w="100" w:type="dxa"/>
              <w:right w:w="100" w:type="dxa"/>
            </w:tcMar>
          </w:tcPr>
          <w:p w14:paraId="11EA5A62" w14:textId="77777777" w:rsidR="00063158" w:rsidRPr="002F171D" w:rsidRDefault="00063158" w:rsidP="00063158">
            <w:pPr>
              <w:rPr>
                <w:rFonts w:ascii="Calisto MT" w:hAnsi="Calisto MT" w:cs="Times New Roman"/>
                <w:b/>
              </w:rPr>
            </w:pPr>
            <w:r w:rsidRPr="002F171D">
              <w:rPr>
                <w:rFonts w:ascii="Calisto MT" w:hAnsi="Calisto MT" w:cs="Times New Roman"/>
                <w:b/>
              </w:rPr>
              <w:t>Data unavailable</w:t>
            </w:r>
          </w:p>
        </w:tc>
        <w:tc>
          <w:tcPr>
            <w:tcW w:w="3638" w:type="dxa"/>
            <w:shd w:val="clear" w:color="auto" w:fill="auto"/>
            <w:tcMar>
              <w:top w:w="100" w:type="dxa"/>
              <w:left w:w="100" w:type="dxa"/>
              <w:bottom w:w="100" w:type="dxa"/>
              <w:right w:w="100" w:type="dxa"/>
            </w:tcMar>
          </w:tcPr>
          <w:p w14:paraId="669A20C4" w14:textId="77777777" w:rsidR="00063158" w:rsidRPr="002F171D" w:rsidRDefault="00063158" w:rsidP="00063158">
            <w:pPr>
              <w:rPr>
                <w:rFonts w:ascii="Calisto MT" w:hAnsi="Calisto MT" w:cs="Times New Roman"/>
                <w:b/>
              </w:rPr>
            </w:pPr>
            <w:r w:rsidRPr="002F171D">
              <w:rPr>
                <w:rFonts w:ascii="Calisto MT" w:hAnsi="Calisto MT" w:cs="Times New Roman"/>
                <w:b/>
              </w:rPr>
              <w:t>Data available</w:t>
            </w:r>
          </w:p>
        </w:tc>
      </w:tr>
      <w:tr w:rsidR="00063158" w:rsidRPr="002F171D" w14:paraId="0764EDEE" w14:textId="77777777" w:rsidTr="00A65E94">
        <w:trPr>
          <w:trHeight w:val="140"/>
        </w:trPr>
        <w:tc>
          <w:tcPr>
            <w:tcW w:w="2400" w:type="dxa"/>
            <w:shd w:val="clear" w:color="auto" w:fill="auto"/>
            <w:tcMar>
              <w:top w:w="100" w:type="dxa"/>
              <w:left w:w="100" w:type="dxa"/>
              <w:bottom w:w="100" w:type="dxa"/>
              <w:right w:w="100" w:type="dxa"/>
            </w:tcMar>
          </w:tcPr>
          <w:p w14:paraId="77336484" w14:textId="77777777" w:rsidR="00063158" w:rsidRPr="002F171D" w:rsidRDefault="00063158" w:rsidP="00063158">
            <w:pPr>
              <w:rPr>
                <w:rFonts w:ascii="Calisto MT" w:hAnsi="Calisto MT" w:cs="Times New Roman"/>
                <w:b/>
              </w:rPr>
            </w:pPr>
            <w:r w:rsidRPr="002F171D">
              <w:rPr>
                <w:rFonts w:ascii="Calisto MT" w:hAnsi="Calisto MT" w:cs="Times New Roman"/>
                <w:b/>
              </w:rPr>
              <w:t>Data gap known</w:t>
            </w:r>
          </w:p>
        </w:tc>
        <w:tc>
          <w:tcPr>
            <w:tcW w:w="2977" w:type="dxa"/>
            <w:shd w:val="clear" w:color="auto" w:fill="auto"/>
            <w:tcMar>
              <w:top w:w="100" w:type="dxa"/>
              <w:left w:w="100" w:type="dxa"/>
              <w:bottom w:w="100" w:type="dxa"/>
              <w:right w:w="100" w:type="dxa"/>
            </w:tcMar>
          </w:tcPr>
          <w:p w14:paraId="09A424A0" w14:textId="77777777" w:rsidR="00063158" w:rsidRPr="002F171D" w:rsidRDefault="00063158" w:rsidP="00063158">
            <w:pPr>
              <w:rPr>
                <w:rFonts w:ascii="Calisto MT" w:hAnsi="Calisto MT" w:cs="Times New Roman"/>
              </w:rPr>
            </w:pPr>
            <w:r w:rsidRPr="002F171D">
              <w:rPr>
                <w:rFonts w:ascii="Calisto MT" w:hAnsi="Calisto MT" w:cs="Times New Roman"/>
              </w:rPr>
              <w:t>Primary data gap</w:t>
            </w:r>
          </w:p>
        </w:tc>
        <w:tc>
          <w:tcPr>
            <w:tcW w:w="3638" w:type="dxa"/>
            <w:shd w:val="clear" w:color="auto" w:fill="auto"/>
            <w:tcMar>
              <w:top w:w="100" w:type="dxa"/>
              <w:left w:w="100" w:type="dxa"/>
              <w:bottom w:w="100" w:type="dxa"/>
              <w:right w:w="100" w:type="dxa"/>
            </w:tcMar>
          </w:tcPr>
          <w:p w14:paraId="791DCD96" w14:textId="77777777" w:rsidR="00063158" w:rsidRPr="002F171D" w:rsidRDefault="00063158" w:rsidP="00063158">
            <w:pPr>
              <w:rPr>
                <w:rFonts w:ascii="Calisto MT" w:hAnsi="Calisto MT" w:cs="Times New Roman"/>
              </w:rPr>
            </w:pPr>
            <w:r w:rsidRPr="002F171D">
              <w:rPr>
                <w:rFonts w:ascii="Calisto MT" w:hAnsi="Calisto MT" w:cs="Times New Roman"/>
              </w:rPr>
              <w:t>Secondary data gap</w:t>
            </w:r>
          </w:p>
        </w:tc>
      </w:tr>
      <w:tr w:rsidR="00063158" w:rsidRPr="002F171D" w14:paraId="0F4AEE78" w14:textId="77777777" w:rsidTr="00A65E94">
        <w:trPr>
          <w:trHeight w:val="246"/>
        </w:trPr>
        <w:tc>
          <w:tcPr>
            <w:tcW w:w="2400" w:type="dxa"/>
            <w:shd w:val="clear" w:color="auto" w:fill="auto"/>
            <w:tcMar>
              <w:top w:w="100" w:type="dxa"/>
              <w:left w:w="100" w:type="dxa"/>
              <w:bottom w:w="100" w:type="dxa"/>
              <w:right w:w="100" w:type="dxa"/>
            </w:tcMar>
          </w:tcPr>
          <w:p w14:paraId="46086F4B" w14:textId="77777777" w:rsidR="00063158" w:rsidRPr="002F171D" w:rsidRDefault="00063158" w:rsidP="00063158">
            <w:pPr>
              <w:rPr>
                <w:rFonts w:ascii="Calisto MT" w:hAnsi="Calisto MT" w:cs="Times New Roman"/>
                <w:b/>
              </w:rPr>
            </w:pPr>
            <w:r w:rsidRPr="002F171D">
              <w:rPr>
                <w:rFonts w:ascii="Calisto MT" w:hAnsi="Calisto MT" w:cs="Times New Roman"/>
                <w:b/>
              </w:rPr>
              <w:t>Data gap unknown</w:t>
            </w:r>
          </w:p>
        </w:tc>
        <w:tc>
          <w:tcPr>
            <w:tcW w:w="6615" w:type="dxa"/>
            <w:gridSpan w:val="2"/>
            <w:shd w:val="clear" w:color="auto" w:fill="auto"/>
            <w:tcMar>
              <w:top w:w="100" w:type="dxa"/>
              <w:left w:w="100" w:type="dxa"/>
              <w:bottom w:w="100" w:type="dxa"/>
              <w:right w:w="100" w:type="dxa"/>
            </w:tcMar>
          </w:tcPr>
          <w:p w14:paraId="4CA2740D" w14:textId="77777777" w:rsidR="00063158" w:rsidRPr="002F171D" w:rsidRDefault="00063158" w:rsidP="00063158">
            <w:pPr>
              <w:rPr>
                <w:rFonts w:ascii="Calisto MT" w:hAnsi="Calisto MT" w:cs="Times New Roman"/>
              </w:rPr>
            </w:pPr>
            <w:r w:rsidRPr="002F171D">
              <w:rPr>
                <w:rFonts w:ascii="Calisto MT" w:hAnsi="Calisto MT" w:cs="Times New Roman"/>
              </w:rPr>
              <w:t xml:space="preserve">                                       Hidden data gaps</w:t>
            </w:r>
          </w:p>
        </w:tc>
      </w:tr>
    </w:tbl>
    <w:p w14:paraId="58EBA8BC" w14:textId="0776C36E" w:rsidR="00063158" w:rsidRPr="002F171D" w:rsidRDefault="00063158" w:rsidP="07C4BA2C">
      <w:pPr>
        <w:rPr>
          <w:rFonts w:ascii="Calisto MT" w:hAnsi="Calisto MT" w:cs="Times New Roman"/>
        </w:rPr>
      </w:pPr>
    </w:p>
    <w:p w14:paraId="5D9B6F5F" w14:textId="2EFBE7BC"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Another definition has recently been put forward by the Centre for Public Data, in </w:t>
      </w:r>
      <w:r w:rsidR="05F12A59" w:rsidRPr="002F171D">
        <w:rPr>
          <w:rFonts w:ascii="Calisto MT" w:hAnsi="Calisto MT" w:cs="Times New Roman"/>
        </w:rPr>
        <w:t xml:space="preserve">its </w:t>
      </w:r>
      <w:r w:rsidRPr="002F171D">
        <w:rPr>
          <w:rFonts w:ascii="Calisto MT" w:hAnsi="Calisto MT" w:cs="Times New Roman"/>
        </w:rPr>
        <w:t>report into data gaps in the Courts and Justice System in England and Wales.</w:t>
      </w:r>
      <w:r w:rsidRPr="002F171D">
        <w:rPr>
          <w:rFonts w:ascii="Calisto MT" w:hAnsi="Calisto MT" w:cs="Times New Roman"/>
          <w:vertAlign w:val="superscript"/>
        </w:rPr>
        <w:footnoteReference w:id="15"/>
      </w:r>
      <w:r w:rsidRPr="002F171D">
        <w:rPr>
          <w:rFonts w:ascii="Calisto MT" w:hAnsi="Calisto MT" w:cs="Times New Roman"/>
        </w:rPr>
        <w:t xml:space="preserve"> The Centre’s report defines data gaps as ‘[a]</w:t>
      </w:r>
      <w:proofErr w:type="spellStart"/>
      <w:r w:rsidRPr="002F171D">
        <w:rPr>
          <w:rFonts w:ascii="Calisto MT" w:hAnsi="Calisto MT" w:cs="Times New Roman"/>
        </w:rPr>
        <w:t>reas</w:t>
      </w:r>
      <w:proofErr w:type="spellEnd"/>
      <w:r w:rsidRPr="002F171D">
        <w:rPr>
          <w:rFonts w:ascii="Calisto MT" w:hAnsi="Calisto MT" w:cs="Times New Roman"/>
        </w:rPr>
        <w:t xml:space="preserve"> where a lack of official data means that questions of significant public interest cannot be answered.’</w:t>
      </w:r>
      <w:r w:rsidRPr="002F171D">
        <w:rPr>
          <w:rFonts w:ascii="Calisto MT" w:hAnsi="Calisto MT" w:cs="Times New Roman"/>
          <w:vertAlign w:val="superscript"/>
        </w:rPr>
        <w:footnoteReference w:id="16"/>
      </w:r>
      <w:r w:rsidRPr="002F171D">
        <w:rPr>
          <w:rFonts w:ascii="Calisto MT" w:hAnsi="Calisto MT" w:cs="Times New Roman"/>
        </w:rPr>
        <w:t xml:space="preserve"> While this definition is helpfully operationalised for the purpose of their research, it arguably does not hold as a generally helpful conceptualisation. This definition implies that gaps exist where there is a lack of data and does not extend to where data quality causes gaps. The definition also focuses on gaps that prevent questions from being answered, specifically questions of ‘significant public interest’. But not every important gap may be of significant public interest, and it may even be the case in some contexts that significant public interest has </w:t>
      </w:r>
      <w:r w:rsidRPr="002F171D">
        <w:rPr>
          <w:rFonts w:ascii="Calisto MT" w:hAnsi="Calisto MT" w:cs="Times New Roman"/>
        </w:rPr>
        <w:lastRenderedPageBreak/>
        <w:t xml:space="preserve">not arisen because there is a data gap—data itself is often the basis for increases in public awareness about </w:t>
      </w:r>
      <w:proofErr w:type="gramStart"/>
      <w:r w:rsidRPr="002F171D">
        <w:rPr>
          <w:rFonts w:ascii="Calisto MT" w:hAnsi="Calisto MT" w:cs="Times New Roman"/>
        </w:rPr>
        <w:t>particular issues</w:t>
      </w:r>
      <w:proofErr w:type="gramEnd"/>
      <w:r w:rsidRPr="002F171D">
        <w:rPr>
          <w:rFonts w:ascii="Calisto MT" w:hAnsi="Calisto MT" w:cs="Times New Roman"/>
        </w:rPr>
        <w:t>.</w:t>
      </w:r>
    </w:p>
    <w:p w14:paraId="2F0C6CA6" w14:textId="77777777"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Given the limitations we identified within the existing typologies and definitions, our view is that a more comprehensive typology is required to adequately define the problem of public data gaps. Our proposed typology, </w:t>
      </w:r>
      <w:sdt>
        <w:sdtPr>
          <w:rPr>
            <w:rFonts w:ascii="Calisto MT" w:hAnsi="Calisto MT" w:cs="Times New Roman"/>
          </w:rPr>
          <w:tag w:val="goog_rdk_0"/>
          <w:id w:val="-140886015"/>
        </w:sdtPr>
        <w:sdtContent/>
      </w:sdt>
      <w:r w:rsidRPr="002F171D">
        <w:rPr>
          <w:rFonts w:ascii="Calisto MT" w:hAnsi="Calisto MT" w:cs="Times New Roman"/>
        </w:rPr>
        <w:t>which is based on a scoping review of social science literature to identify forms of data gaps, has five main categories (see Table 2).</w:t>
      </w:r>
      <w:r w:rsidRPr="002F171D">
        <w:rPr>
          <w:rFonts w:ascii="Calisto MT" w:hAnsi="Calisto MT" w:cs="Times New Roman"/>
          <w:vertAlign w:val="superscript"/>
        </w:rPr>
        <w:footnoteReference w:id="17"/>
      </w:r>
    </w:p>
    <w:p w14:paraId="0AB0EDAE" w14:textId="77777777" w:rsidR="00063158" w:rsidRPr="002F171D" w:rsidRDefault="00063158" w:rsidP="00063158">
      <w:pPr>
        <w:rPr>
          <w:rFonts w:ascii="Calisto MT" w:hAnsi="Calisto MT" w:cs="Times New Roman"/>
          <w:b/>
        </w:rPr>
      </w:pPr>
    </w:p>
    <w:p w14:paraId="12056348" w14:textId="755DC9F4" w:rsidR="00063158" w:rsidRPr="002F171D" w:rsidRDefault="00063158" w:rsidP="07C4BA2C">
      <w:pPr>
        <w:rPr>
          <w:rFonts w:ascii="Calisto MT" w:hAnsi="Calisto MT" w:cs="Times New Roman"/>
          <w:b/>
          <w:bCs/>
        </w:rPr>
      </w:pPr>
      <w:r w:rsidRPr="002F171D">
        <w:rPr>
          <w:rFonts w:ascii="Calisto MT" w:hAnsi="Calisto MT" w:cs="Times New Roman"/>
          <w:b/>
          <w:bCs/>
        </w:rPr>
        <w:t xml:space="preserve">Table 2: </w:t>
      </w:r>
      <w:r w:rsidRPr="002F171D">
        <w:rPr>
          <w:rFonts w:ascii="Calisto MT" w:hAnsi="Calisto MT" w:cs="Times New Roman"/>
        </w:rPr>
        <w:t>Proposed typology of public data gaps</w:t>
      </w: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063158" w:rsidRPr="002F171D" w14:paraId="74F578D4" w14:textId="77777777" w:rsidTr="00A65E94">
        <w:trPr>
          <w:trHeight w:val="492"/>
        </w:trPr>
        <w:tc>
          <w:tcPr>
            <w:tcW w:w="3114" w:type="dxa"/>
          </w:tcPr>
          <w:p w14:paraId="73BE8B68" w14:textId="77777777" w:rsidR="00063158" w:rsidRPr="002F171D" w:rsidRDefault="00063158" w:rsidP="00063158">
            <w:pPr>
              <w:rPr>
                <w:rFonts w:ascii="Calisto MT" w:hAnsi="Calisto MT" w:cs="Times New Roman"/>
                <w:b/>
              </w:rPr>
            </w:pPr>
            <w:r w:rsidRPr="002F171D">
              <w:rPr>
                <w:rFonts w:ascii="Calisto MT" w:hAnsi="Calisto MT" w:cs="Times New Roman"/>
                <w:b/>
              </w:rPr>
              <w:t>Type</w:t>
            </w:r>
          </w:p>
        </w:tc>
        <w:tc>
          <w:tcPr>
            <w:tcW w:w="5902" w:type="dxa"/>
          </w:tcPr>
          <w:p w14:paraId="6FF71535" w14:textId="77777777" w:rsidR="00063158" w:rsidRPr="002F171D" w:rsidRDefault="00063158" w:rsidP="00063158">
            <w:pPr>
              <w:rPr>
                <w:rFonts w:ascii="Calisto MT" w:hAnsi="Calisto MT" w:cs="Times New Roman"/>
                <w:b/>
              </w:rPr>
            </w:pPr>
            <w:r w:rsidRPr="002F171D">
              <w:rPr>
                <w:rFonts w:ascii="Calisto MT" w:hAnsi="Calisto MT" w:cs="Times New Roman"/>
                <w:b/>
              </w:rPr>
              <w:t>Definition</w:t>
            </w:r>
          </w:p>
        </w:tc>
      </w:tr>
      <w:tr w:rsidR="00063158" w:rsidRPr="002F171D" w14:paraId="3229A44D" w14:textId="77777777" w:rsidTr="00A65E94">
        <w:tc>
          <w:tcPr>
            <w:tcW w:w="3114" w:type="dxa"/>
          </w:tcPr>
          <w:p w14:paraId="0829507C" w14:textId="77777777" w:rsidR="00063158" w:rsidRPr="002F171D" w:rsidRDefault="00063158" w:rsidP="00063158">
            <w:pPr>
              <w:rPr>
                <w:rFonts w:ascii="Calisto MT" w:hAnsi="Calisto MT" w:cs="Times New Roman"/>
                <w:b/>
              </w:rPr>
            </w:pPr>
            <w:r w:rsidRPr="002F171D">
              <w:rPr>
                <w:rFonts w:ascii="Calisto MT" w:hAnsi="Calisto MT" w:cs="Times New Roman"/>
                <w:b/>
              </w:rPr>
              <w:t>Collection gap</w:t>
            </w:r>
          </w:p>
        </w:tc>
        <w:tc>
          <w:tcPr>
            <w:tcW w:w="5902" w:type="dxa"/>
          </w:tcPr>
          <w:p w14:paraId="34015514" w14:textId="77777777" w:rsidR="00063158" w:rsidRPr="002F171D" w:rsidRDefault="00063158" w:rsidP="00063158">
            <w:pPr>
              <w:rPr>
                <w:rFonts w:ascii="Calisto MT" w:hAnsi="Calisto MT" w:cs="Times New Roman"/>
              </w:rPr>
            </w:pPr>
            <w:r w:rsidRPr="002F171D">
              <w:rPr>
                <w:rFonts w:ascii="Calisto MT" w:hAnsi="Calisto MT" w:cs="Times New Roman"/>
              </w:rPr>
              <w:t>Total failure to collect data by official sources</w:t>
            </w:r>
          </w:p>
        </w:tc>
      </w:tr>
      <w:tr w:rsidR="00063158" w:rsidRPr="002F171D" w14:paraId="52E4CB20" w14:textId="77777777" w:rsidTr="00A65E94">
        <w:tc>
          <w:tcPr>
            <w:tcW w:w="3114" w:type="dxa"/>
          </w:tcPr>
          <w:p w14:paraId="0290F51E" w14:textId="77777777" w:rsidR="00063158" w:rsidRPr="002F171D" w:rsidRDefault="00063158" w:rsidP="00063158">
            <w:pPr>
              <w:rPr>
                <w:rFonts w:ascii="Calisto MT" w:hAnsi="Calisto MT" w:cs="Times New Roman"/>
                <w:b/>
              </w:rPr>
            </w:pPr>
            <w:r w:rsidRPr="002F171D">
              <w:rPr>
                <w:rFonts w:ascii="Calisto MT" w:hAnsi="Calisto MT" w:cs="Times New Roman"/>
                <w:b/>
              </w:rPr>
              <w:t>Participation gap</w:t>
            </w:r>
          </w:p>
        </w:tc>
        <w:tc>
          <w:tcPr>
            <w:tcW w:w="5902" w:type="dxa"/>
          </w:tcPr>
          <w:p w14:paraId="0E183CE5" w14:textId="77777777" w:rsidR="00063158" w:rsidRPr="002F171D" w:rsidRDefault="00063158" w:rsidP="00063158">
            <w:pPr>
              <w:rPr>
                <w:rFonts w:ascii="Calisto MT" w:hAnsi="Calisto MT" w:cs="Times New Roman"/>
              </w:rPr>
            </w:pPr>
            <w:r w:rsidRPr="002F171D">
              <w:rPr>
                <w:rFonts w:ascii="Calisto MT" w:hAnsi="Calisto MT" w:cs="Times New Roman"/>
              </w:rPr>
              <w:t>Data is collected with limited or no participation from a section of the population</w:t>
            </w:r>
          </w:p>
        </w:tc>
      </w:tr>
      <w:tr w:rsidR="00063158" w:rsidRPr="002F171D" w14:paraId="02FDB45F" w14:textId="77777777" w:rsidTr="00A65E94">
        <w:tc>
          <w:tcPr>
            <w:tcW w:w="3114" w:type="dxa"/>
          </w:tcPr>
          <w:p w14:paraId="2E51625E" w14:textId="77777777" w:rsidR="00063158" w:rsidRPr="002F171D" w:rsidRDefault="00063158" w:rsidP="00063158">
            <w:pPr>
              <w:rPr>
                <w:rFonts w:ascii="Calisto MT" w:hAnsi="Calisto MT" w:cs="Times New Roman"/>
                <w:b/>
              </w:rPr>
            </w:pPr>
            <w:r w:rsidRPr="002F171D">
              <w:rPr>
                <w:rFonts w:ascii="Calisto MT" w:hAnsi="Calisto MT" w:cs="Times New Roman"/>
                <w:b/>
              </w:rPr>
              <w:t>Reporting gap</w:t>
            </w:r>
          </w:p>
        </w:tc>
        <w:tc>
          <w:tcPr>
            <w:tcW w:w="5902" w:type="dxa"/>
          </w:tcPr>
          <w:p w14:paraId="03377E87" w14:textId="77777777" w:rsidR="00063158" w:rsidRPr="002F171D" w:rsidRDefault="00063158" w:rsidP="00063158">
            <w:pPr>
              <w:rPr>
                <w:rFonts w:ascii="Calisto MT" w:hAnsi="Calisto MT" w:cs="Times New Roman"/>
              </w:rPr>
            </w:pPr>
            <w:r w:rsidRPr="002F171D">
              <w:rPr>
                <w:rFonts w:ascii="Calisto MT" w:hAnsi="Calisto MT" w:cs="Times New Roman"/>
              </w:rPr>
              <w:t>Gaps occur due to the method, means, or decisions made concerning reporting</w:t>
            </w:r>
          </w:p>
        </w:tc>
      </w:tr>
      <w:tr w:rsidR="00063158" w:rsidRPr="002F171D" w14:paraId="1CA25416" w14:textId="77777777" w:rsidTr="00A65E94">
        <w:tc>
          <w:tcPr>
            <w:tcW w:w="3114" w:type="dxa"/>
          </w:tcPr>
          <w:p w14:paraId="59FD643F" w14:textId="77777777" w:rsidR="00063158" w:rsidRPr="002F171D" w:rsidRDefault="00063158" w:rsidP="00063158">
            <w:pPr>
              <w:rPr>
                <w:rFonts w:ascii="Calisto MT" w:hAnsi="Calisto MT" w:cs="Times New Roman"/>
                <w:b/>
              </w:rPr>
            </w:pPr>
            <w:r w:rsidRPr="002F171D">
              <w:rPr>
                <w:rFonts w:ascii="Calisto MT" w:hAnsi="Calisto MT" w:cs="Times New Roman"/>
                <w:b/>
              </w:rPr>
              <w:t>Harmonisation gap</w:t>
            </w:r>
          </w:p>
        </w:tc>
        <w:tc>
          <w:tcPr>
            <w:tcW w:w="5902" w:type="dxa"/>
          </w:tcPr>
          <w:p w14:paraId="68FBBD84" w14:textId="77777777" w:rsidR="00063158" w:rsidRPr="002F171D" w:rsidRDefault="00063158" w:rsidP="00063158">
            <w:pPr>
              <w:rPr>
                <w:rFonts w:ascii="Calisto MT" w:hAnsi="Calisto MT" w:cs="Times New Roman"/>
              </w:rPr>
            </w:pPr>
            <w:r w:rsidRPr="002F171D">
              <w:rPr>
                <w:rFonts w:ascii="Calisto MT" w:hAnsi="Calisto MT" w:cs="Times New Roman"/>
              </w:rPr>
              <w:t>Data cannot be harmonised with other data sets, preventing effective use</w:t>
            </w:r>
          </w:p>
        </w:tc>
      </w:tr>
      <w:tr w:rsidR="00063158" w:rsidRPr="002F171D" w14:paraId="720F22B5" w14:textId="77777777" w:rsidTr="00A65E94">
        <w:tc>
          <w:tcPr>
            <w:tcW w:w="3114" w:type="dxa"/>
          </w:tcPr>
          <w:p w14:paraId="1A808F62" w14:textId="77777777" w:rsidR="00063158" w:rsidRPr="002F171D" w:rsidRDefault="00063158" w:rsidP="00063158">
            <w:pPr>
              <w:rPr>
                <w:rFonts w:ascii="Calisto MT" w:hAnsi="Calisto MT" w:cs="Times New Roman"/>
                <w:b/>
              </w:rPr>
            </w:pPr>
            <w:r w:rsidRPr="002F171D">
              <w:rPr>
                <w:rFonts w:ascii="Calisto MT" w:hAnsi="Calisto MT" w:cs="Times New Roman"/>
                <w:b/>
              </w:rPr>
              <w:t>Delay gap</w:t>
            </w:r>
          </w:p>
        </w:tc>
        <w:tc>
          <w:tcPr>
            <w:tcW w:w="5902" w:type="dxa"/>
          </w:tcPr>
          <w:p w14:paraId="51096FB4" w14:textId="77777777" w:rsidR="00063158" w:rsidRPr="002F171D" w:rsidRDefault="00063158" w:rsidP="00063158">
            <w:pPr>
              <w:rPr>
                <w:rFonts w:ascii="Calisto MT" w:hAnsi="Calisto MT" w:cs="Times New Roman"/>
              </w:rPr>
            </w:pPr>
            <w:r w:rsidRPr="002F171D">
              <w:rPr>
                <w:rFonts w:ascii="Calisto MT" w:hAnsi="Calisto MT" w:cs="Times New Roman"/>
              </w:rPr>
              <w:t>There is a significant delay in ability to access collected data</w:t>
            </w:r>
          </w:p>
        </w:tc>
      </w:tr>
    </w:tbl>
    <w:p w14:paraId="49B35D2F" w14:textId="77777777" w:rsidR="00063158" w:rsidRPr="002F171D" w:rsidRDefault="00063158" w:rsidP="00063158">
      <w:pPr>
        <w:rPr>
          <w:rFonts w:ascii="Calisto MT" w:hAnsi="Calisto MT" w:cs="Times New Roman"/>
        </w:rPr>
      </w:pPr>
    </w:p>
    <w:p w14:paraId="11F83919" w14:textId="39ABC2E6"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ab/>
        <w:t>The first gap identified is a ‘collection gap.’ A collection gap occurs when there is a total failure to collect relevant data and information by public authorities. A clear, recent example of a collection gap is the lack of data about vehicle stops by police in England and Wales, despite the presence of concerns such stops might be biased, particularly against ethnic minorities and involve ‘fishing expeditions’ to establish criminal offences.</w:t>
      </w:r>
      <w:r w:rsidRPr="002F171D">
        <w:rPr>
          <w:rFonts w:ascii="Calisto MT" w:hAnsi="Calisto MT" w:cs="Times New Roman"/>
          <w:vertAlign w:val="superscript"/>
        </w:rPr>
        <w:footnoteReference w:id="18"/>
      </w:r>
    </w:p>
    <w:p w14:paraId="4515C0BA" w14:textId="0D60B824"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The second type of gap identified is a ‘participation gap’—where data is collected with limited or non-participation from a section of the</w:t>
      </w:r>
      <w:r w:rsidR="02BA1CE5" w:rsidRPr="002F171D">
        <w:rPr>
          <w:rFonts w:ascii="Calisto MT" w:hAnsi="Calisto MT" w:cs="Times New Roman"/>
        </w:rPr>
        <w:t xml:space="preserve"> relevant</w:t>
      </w:r>
      <w:r w:rsidRPr="002F171D">
        <w:rPr>
          <w:rFonts w:ascii="Calisto MT" w:hAnsi="Calisto MT" w:cs="Times New Roman"/>
        </w:rPr>
        <w:t xml:space="preserve"> population. Where there is limited participation, for whatever reason, any collected data may contain significant holes.</w:t>
      </w:r>
      <w:r w:rsidRPr="002F171D">
        <w:rPr>
          <w:rFonts w:ascii="Calisto MT" w:hAnsi="Calisto MT" w:cs="Times New Roman"/>
          <w:vertAlign w:val="superscript"/>
        </w:rPr>
        <w:footnoteReference w:id="19"/>
      </w:r>
      <w:r w:rsidRPr="002F171D">
        <w:rPr>
          <w:rFonts w:ascii="Calisto MT" w:hAnsi="Calisto MT" w:cs="Times New Roman"/>
        </w:rPr>
        <w:t xml:space="preserve"> A classic example of a participation gap is how it is estimated that members of the Gypsy, Roma, and Traveller communities do not complete the census due to lack of trust about how data might be used</w:t>
      </w:r>
      <w:r w:rsidRPr="002F171D">
        <w:rPr>
          <w:rFonts w:ascii="Calisto MT" w:hAnsi="Calisto MT" w:cs="Times New Roman"/>
          <w:vertAlign w:val="superscript"/>
        </w:rPr>
        <w:footnoteReference w:id="20"/>
      </w:r>
      <w:r w:rsidRPr="002F171D">
        <w:rPr>
          <w:rFonts w:ascii="Calisto MT" w:hAnsi="Calisto MT" w:cs="Times New Roman"/>
        </w:rPr>
        <w:t>.</w:t>
      </w:r>
    </w:p>
    <w:p w14:paraId="1239F6EC" w14:textId="5284F499"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lastRenderedPageBreak/>
        <w:t xml:space="preserve">A third form of public data is a reporting gap. Reporting gaps occur due to the method, means, or decisions made concerning the reporting of the data that is collected. The </w:t>
      </w:r>
      <w:proofErr w:type="gramStart"/>
      <w:r w:rsidRPr="002F171D">
        <w:rPr>
          <w:rFonts w:ascii="Calisto MT" w:hAnsi="Calisto MT" w:cs="Times New Roman"/>
        </w:rPr>
        <w:t>manner in which</w:t>
      </w:r>
      <w:proofErr w:type="gramEnd"/>
      <w:r w:rsidRPr="002F171D">
        <w:rPr>
          <w:rFonts w:ascii="Calisto MT" w:hAnsi="Calisto MT" w:cs="Times New Roman"/>
        </w:rPr>
        <w:t xml:space="preserve"> data is reported is highly significant for the effective use and translation of data for public decision-making. When data is inaccurately or unclearly reported, it can become inaccessible for decision-makers and the public to use, understand, and apply to decision-making.</w:t>
      </w:r>
      <w:r w:rsidRPr="002F171D">
        <w:rPr>
          <w:rFonts w:ascii="Calisto MT" w:hAnsi="Calisto MT" w:cs="Times New Roman"/>
          <w:vertAlign w:val="superscript"/>
        </w:rPr>
        <w:footnoteReference w:id="21"/>
      </w:r>
      <w:r w:rsidRPr="002F171D">
        <w:rPr>
          <w:rFonts w:ascii="Calisto MT" w:hAnsi="Calisto MT" w:cs="Times New Roman"/>
        </w:rPr>
        <w:t xml:space="preserve"> Reporting gaps can also arise when data has been collected but is not reported or made available, or when data is reported in such a way that it fails to create a clear picture of the data results. This can be, for instance, through a lack of disaggregation or granularity in the reported results</w:t>
      </w:r>
      <w:r w:rsidRPr="002F171D">
        <w:rPr>
          <w:rFonts w:ascii="Calisto MT" w:hAnsi="Calisto MT" w:cs="Times New Roman"/>
          <w:vertAlign w:val="superscript"/>
        </w:rPr>
        <w:footnoteReference w:id="22"/>
      </w:r>
      <w:r w:rsidRPr="002F171D">
        <w:rPr>
          <w:rFonts w:ascii="Calisto MT" w:hAnsi="Calisto MT" w:cs="Times New Roman"/>
        </w:rPr>
        <w:t xml:space="preserve"> or lack of clarity in the data findings when published.</w:t>
      </w:r>
      <w:r w:rsidRPr="002F171D">
        <w:rPr>
          <w:rFonts w:ascii="Calisto MT" w:hAnsi="Calisto MT" w:cs="Times New Roman"/>
          <w:vertAlign w:val="superscript"/>
        </w:rPr>
        <w:footnoteReference w:id="23"/>
      </w:r>
      <w:r w:rsidRPr="002F171D">
        <w:rPr>
          <w:rFonts w:ascii="Calisto MT" w:hAnsi="Calisto MT" w:cs="Times New Roman"/>
        </w:rPr>
        <w:t xml:space="preserve"> </w:t>
      </w:r>
      <w:sdt>
        <w:sdtPr>
          <w:rPr>
            <w:rFonts w:ascii="Calisto MT" w:hAnsi="Calisto MT" w:cs="Times New Roman"/>
          </w:rPr>
          <w:tag w:val="goog_rdk_1"/>
          <w:id w:val="-975834154"/>
        </w:sdtPr>
        <w:sdtContent/>
      </w:sdt>
      <w:r w:rsidRPr="002F171D">
        <w:rPr>
          <w:rFonts w:ascii="Calisto MT" w:hAnsi="Calisto MT" w:cs="Times New Roman"/>
        </w:rPr>
        <w:t> For example, the UK measure of violent crime does not include Sexual Assault or Domestic Violence within its measure, as data for these crimes are often gathered in a way that is viewed as ‘less reliable.’</w:t>
      </w:r>
      <w:r w:rsidRPr="002F171D">
        <w:rPr>
          <w:rFonts w:ascii="Calisto MT" w:hAnsi="Calisto MT" w:cs="Times New Roman"/>
          <w:vertAlign w:val="superscript"/>
        </w:rPr>
        <w:footnoteReference w:id="24"/>
      </w:r>
      <w:r w:rsidRPr="002F171D">
        <w:rPr>
          <w:rFonts w:ascii="Calisto MT" w:hAnsi="Calisto MT" w:cs="Times New Roman"/>
        </w:rPr>
        <w:t xml:space="preserve"> Critics have suggested this exclusion worrying, as it could skew perceptions of violent crime by focussing on crimes men are more likely to experience, such as common assault and serious wounding.</w:t>
      </w:r>
      <w:r w:rsidRPr="002F171D">
        <w:rPr>
          <w:rFonts w:ascii="Calisto MT" w:hAnsi="Calisto MT" w:cs="Times New Roman"/>
          <w:vertAlign w:val="superscript"/>
        </w:rPr>
        <w:footnoteReference w:id="25"/>
      </w:r>
      <w:r w:rsidRPr="002F171D">
        <w:rPr>
          <w:rFonts w:ascii="Calisto MT" w:hAnsi="Calisto MT" w:cs="Times New Roman"/>
        </w:rPr>
        <w:t xml:space="preserve"> This results in indications that men are more likely to be victims of violent crime, when the opposite is true when violent crime is analysed with sexual violence included. </w:t>
      </w:r>
    </w:p>
    <w:p w14:paraId="42CC754E" w14:textId="51A88246"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‘Harmonisation gaps’ occur when collected data cannot be effectively </w:t>
      </w:r>
      <w:proofErr w:type="gramStart"/>
      <w:r w:rsidRPr="002F171D">
        <w:rPr>
          <w:rFonts w:ascii="Calisto MT" w:hAnsi="Calisto MT" w:cs="Times New Roman"/>
        </w:rPr>
        <w:t>joined-up</w:t>
      </w:r>
      <w:proofErr w:type="gramEnd"/>
      <w:r w:rsidRPr="002F171D">
        <w:rPr>
          <w:rFonts w:ascii="Calisto MT" w:hAnsi="Calisto MT" w:cs="Times New Roman"/>
        </w:rPr>
        <w:t xml:space="preserve"> together with other data sets and this undermines its utility. In some contexts, when datasets are relied upon for decision-making, it is important that all the available information on that </w:t>
      </w:r>
      <w:proofErr w:type="gramStart"/>
      <w:r w:rsidRPr="002F171D">
        <w:rPr>
          <w:rFonts w:ascii="Calisto MT" w:hAnsi="Calisto MT" w:cs="Times New Roman"/>
        </w:rPr>
        <w:t>particular issue</w:t>
      </w:r>
      <w:proofErr w:type="gramEnd"/>
      <w:r w:rsidRPr="002F171D">
        <w:rPr>
          <w:rFonts w:ascii="Calisto MT" w:hAnsi="Calisto MT" w:cs="Times New Roman"/>
        </w:rPr>
        <w:t xml:space="preserve"> is able to be brought together to create a clear picture for decision-makers.</w:t>
      </w:r>
      <w:r w:rsidRPr="002F171D">
        <w:rPr>
          <w:rFonts w:ascii="Calisto MT" w:hAnsi="Calisto MT" w:cs="Times New Roman"/>
          <w:vertAlign w:val="superscript"/>
        </w:rPr>
        <w:footnoteReference w:id="26"/>
      </w:r>
      <w:r w:rsidRPr="002F171D">
        <w:rPr>
          <w:rFonts w:ascii="Calisto MT" w:hAnsi="Calisto MT" w:cs="Times New Roman"/>
        </w:rPr>
        <w:t xml:space="preserve"> When data exists but cannot be brought together, the true picture</w:t>
      </w:r>
      <w:r w:rsidRPr="002F171D">
        <w:rPr>
          <w:rFonts w:ascii="Calisto MT" w:hAnsi="Calisto MT" w:cs="Times New Roman"/>
          <w:b/>
          <w:bCs/>
        </w:rPr>
        <w:t xml:space="preserve"> </w:t>
      </w:r>
      <w:r w:rsidRPr="002F171D">
        <w:rPr>
          <w:rFonts w:ascii="Calisto MT" w:hAnsi="Calisto MT" w:cs="Times New Roman"/>
        </w:rPr>
        <w:t xml:space="preserve">can remain fragmented or hidden. Harmonisation gaps are widely observed in research to particularly affect international and other comparisons, which are important in enabling researchers and public bodies to understand international trends across sectors such as </w:t>
      </w:r>
      <w:r w:rsidRPr="002F171D">
        <w:rPr>
          <w:rFonts w:ascii="Calisto MT" w:hAnsi="Calisto MT" w:cs="Times New Roman"/>
        </w:rPr>
        <w:lastRenderedPageBreak/>
        <w:t>health.</w:t>
      </w:r>
      <w:r w:rsidRPr="002F171D">
        <w:rPr>
          <w:rFonts w:ascii="Calisto MT" w:hAnsi="Calisto MT" w:cs="Times New Roman"/>
          <w:vertAlign w:val="superscript"/>
        </w:rPr>
        <w:footnoteReference w:id="27"/>
      </w:r>
      <w:r w:rsidRPr="002F171D">
        <w:rPr>
          <w:rFonts w:ascii="Calisto MT" w:hAnsi="Calisto MT" w:cs="Times New Roman"/>
        </w:rPr>
        <w:t xml:space="preserve"> Data on homelessness across the UK suffers from harmonisation gaps. One example is that Scottish measures of homelessness contain a far broader range of households when compared to households included in English statistics, making UK-wide comparisons difficult, if not impossible.</w:t>
      </w:r>
      <w:r w:rsidRPr="002F171D">
        <w:rPr>
          <w:rFonts w:ascii="Calisto MT" w:hAnsi="Calisto MT" w:cs="Times New Roman"/>
          <w:vertAlign w:val="superscript"/>
        </w:rPr>
        <w:footnoteReference w:id="28"/>
      </w:r>
      <w:r w:rsidRPr="002F171D">
        <w:rPr>
          <w:rFonts w:ascii="Calisto MT" w:hAnsi="Calisto MT" w:cs="Times New Roman"/>
        </w:rPr>
        <w:t xml:space="preserve"> </w:t>
      </w:r>
    </w:p>
    <w:p w14:paraId="38BD125E" w14:textId="77777777"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The final type of gap identified is a ‘delay gap’. A delay gap occurs when there is a significant delay in government departments’ or researchers' ability to access collected data. The lack of timeliness in access to information can undermine the purpose of the data collection and prevent the effective use of data. For example, the early efforts of the UK Scientific Advisory Group for Emergencies (more widely known as ‘SAGE’) to accurately assess the state and trajectory of the Covid-19 outbreak were hampered by lack of access to data.</w:t>
      </w:r>
      <w:r w:rsidRPr="002F171D">
        <w:rPr>
          <w:rFonts w:ascii="Calisto MT" w:hAnsi="Calisto MT" w:cs="Times New Roman"/>
          <w:vertAlign w:val="superscript"/>
        </w:rPr>
        <w:footnoteReference w:id="29"/>
      </w:r>
      <w:r w:rsidRPr="002F171D">
        <w:rPr>
          <w:rFonts w:ascii="Calisto MT" w:hAnsi="Calisto MT" w:cs="Times New Roman"/>
        </w:rPr>
        <w:t xml:space="preserve"> In particular, it took until mid-February 2020 for relevant data-sharing agreements to be signed by data modelling groups, slowing down the access to relevant data and modelling.</w:t>
      </w:r>
      <w:r w:rsidRPr="002F171D">
        <w:rPr>
          <w:rFonts w:ascii="Calisto MT" w:hAnsi="Calisto MT" w:cs="Times New Roman"/>
          <w:vertAlign w:val="superscript"/>
        </w:rPr>
        <w:footnoteReference w:id="30"/>
      </w:r>
      <w:r w:rsidRPr="002F171D">
        <w:rPr>
          <w:rFonts w:ascii="Calisto MT" w:hAnsi="Calisto MT" w:cs="Times New Roman"/>
        </w:rPr>
        <w:t>  </w:t>
      </w:r>
    </w:p>
    <w:p w14:paraId="4876829B" w14:textId="77777777" w:rsidR="00063158" w:rsidRPr="002F171D" w:rsidRDefault="00063158" w:rsidP="005D705C">
      <w:pPr>
        <w:spacing w:line="276" w:lineRule="auto"/>
        <w:jc w:val="both"/>
        <w:rPr>
          <w:rFonts w:ascii="Calisto MT" w:hAnsi="Calisto MT" w:cs="Times New Roman"/>
          <w:i/>
          <w:iCs/>
        </w:rPr>
      </w:pPr>
    </w:p>
    <w:p w14:paraId="314EAEF2" w14:textId="0A53428F" w:rsidR="00063158"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(b) </w:t>
      </w:r>
      <w:r w:rsidR="005D705C">
        <w:rPr>
          <w:rFonts w:ascii="Optima" w:hAnsi="Optima" w:cs="Times New Roman"/>
          <w:i/>
          <w:iCs/>
        </w:rPr>
        <w:tab/>
      </w:r>
      <w:r w:rsidRPr="005D705C">
        <w:rPr>
          <w:rFonts w:ascii="Optima" w:hAnsi="Optima" w:cs="Times New Roman"/>
          <w:i/>
          <w:iCs/>
        </w:rPr>
        <w:t>How can public data gaps be harmful?</w:t>
      </w:r>
    </w:p>
    <w:p w14:paraId="4945D3B7" w14:textId="2CD4F490"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 xml:space="preserve">All five types of ‘public data </w:t>
      </w:r>
      <w:proofErr w:type="gramStart"/>
      <w:r w:rsidRPr="002F171D">
        <w:rPr>
          <w:rFonts w:ascii="Calisto MT" w:hAnsi="Calisto MT" w:cs="Times New Roman"/>
        </w:rPr>
        <w:t>gaps’</w:t>
      </w:r>
      <w:proofErr w:type="gramEnd"/>
      <w:r w:rsidRPr="002F171D">
        <w:rPr>
          <w:rFonts w:ascii="Calisto MT" w:hAnsi="Calisto MT" w:cs="Times New Roman"/>
        </w:rPr>
        <w:t xml:space="preserve"> can lead to harms—sometimes wide-ranging harms—at both the individual and systemic levels. To illustrate this potential for harm, it is helpful to look at a specific example: the Department for Work &amp; Pensions’ decision not to report </w:t>
      </w:r>
      <w:r w:rsidR="3D746F59" w:rsidRPr="002F171D">
        <w:rPr>
          <w:rFonts w:ascii="Calisto MT" w:hAnsi="Calisto MT" w:cs="Times New Roman"/>
        </w:rPr>
        <w:t>‘non mandatory self-declared diversity fields’</w:t>
      </w:r>
      <w:r w:rsidRPr="002F171D">
        <w:rPr>
          <w:rFonts w:ascii="Calisto MT" w:hAnsi="Calisto MT" w:cs="Times New Roman"/>
          <w:vertAlign w:val="superscript"/>
        </w:rPr>
        <w:footnoteReference w:id="31"/>
      </w:r>
      <w:r w:rsidR="3D746F59" w:rsidRPr="002F171D">
        <w:rPr>
          <w:rFonts w:ascii="Calisto MT" w:hAnsi="Calisto MT" w:cs="Times New Roman"/>
        </w:rPr>
        <w:t xml:space="preserve"> - data that covers ethnicity and </w:t>
      </w:r>
      <w:r w:rsidRPr="002F171D">
        <w:rPr>
          <w:rFonts w:ascii="Calisto MT" w:hAnsi="Calisto MT" w:cs="Times New Roman"/>
        </w:rPr>
        <w:t>other protected characteristics, aside from age and gender</w:t>
      </w:r>
      <w:r w:rsidR="40DF6999" w:rsidRPr="002F171D">
        <w:rPr>
          <w:rFonts w:ascii="Calisto MT" w:hAnsi="Calisto MT" w:cs="Times New Roman"/>
        </w:rPr>
        <w:t>,</w:t>
      </w:r>
      <w:r w:rsidRPr="002F171D">
        <w:rPr>
          <w:rFonts w:ascii="Calisto MT" w:hAnsi="Calisto MT" w:cs="Times New Roman"/>
        </w:rPr>
        <w:t xml:space="preserve"> for claimants of Universal Credit, the most widely claimed means-tested benefit in the UK.</w:t>
      </w:r>
      <w:r w:rsidR="2B76A4DE" w:rsidRPr="002F171D">
        <w:rPr>
          <w:rFonts w:ascii="Calisto MT" w:hAnsi="Calisto MT" w:cs="Times New Roman"/>
        </w:rPr>
        <w:t xml:space="preserve"> </w:t>
      </w:r>
      <w:r w:rsidRPr="002F171D">
        <w:rPr>
          <w:rFonts w:ascii="Calisto MT" w:hAnsi="Calisto MT" w:cs="Times New Roman"/>
        </w:rPr>
        <w:t xml:space="preserve">The data is collected at the point an individual applies for Universal </w:t>
      </w:r>
      <w:proofErr w:type="gramStart"/>
      <w:r w:rsidRPr="002F171D">
        <w:rPr>
          <w:rFonts w:ascii="Calisto MT" w:hAnsi="Calisto MT" w:cs="Times New Roman"/>
        </w:rPr>
        <w:t>Credit, but</w:t>
      </w:r>
      <w:proofErr w:type="gramEnd"/>
      <w:r w:rsidRPr="002F171D">
        <w:rPr>
          <w:rFonts w:ascii="Calisto MT" w:hAnsi="Calisto MT" w:cs="Times New Roman"/>
        </w:rPr>
        <w:t xml:space="preserve"> is not required to progress an application</w:t>
      </w:r>
      <w:r w:rsidR="3D2FA462" w:rsidRPr="002F171D">
        <w:rPr>
          <w:rFonts w:ascii="Calisto MT" w:hAnsi="Calisto MT" w:cs="Times New Roman"/>
        </w:rPr>
        <w:t>.</w:t>
      </w:r>
      <w:r w:rsidRPr="002F171D">
        <w:rPr>
          <w:rFonts w:ascii="Calisto MT" w:hAnsi="Calisto MT" w:cs="Times New Roman"/>
        </w:rPr>
        <w:t xml:space="preserve"> Although this data has been published routinely for the benefit’s predecessor (Jobseeker’s Allowance), the Department does not (at the time of writing) publish ‘diversity fields’ until they have at least a 70% completion rate for Universal Credit claimants.</w:t>
      </w:r>
      <w:r w:rsidRPr="002F171D">
        <w:rPr>
          <w:rFonts w:ascii="Calisto MT" w:hAnsi="Calisto MT" w:cs="Times New Roman"/>
          <w:vertAlign w:val="superscript"/>
        </w:rPr>
        <w:footnoteReference w:id="32"/>
      </w:r>
      <w:r w:rsidRPr="002F171D">
        <w:rPr>
          <w:rFonts w:ascii="Calisto MT" w:hAnsi="Calisto MT" w:cs="Times New Roman"/>
        </w:rPr>
        <w:t xml:space="preserve"> </w:t>
      </w:r>
      <w:r w:rsidR="7DBD0EC7" w:rsidRPr="002F171D">
        <w:rPr>
          <w:rFonts w:ascii="Calisto MT" w:hAnsi="Calisto MT" w:cs="Times New Roman"/>
        </w:rPr>
        <w:t xml:space="preserve">This approach </w:t>
      </w:r>
      <w:r w:rsidR="7DBD0EC7" w:rsidRPr="002F171D">
        <w:rPr>
          <w:rFonts w:ascii="Calisto MT" w:hAnsi="Calisto MT" w:cs="Times New Roman"/>
        </w:rPr>
        <w:lastRenderedPageBreak/>
        <w:t>is intended to reduce the risks of non-response bias (i.e. those not completing the fields at the point of data collection)</w:t>
      </w:r>
      <w:r w:rsidR="51BD0C1E" w:rsidRPr="002F171D">
        <w:rPr>
          <w:rFonts w:ascii="Calisto MT" w:hAnsi="Calisto MT" w:cs="Times New Roman"/>
        </w:rPr>
        <w:t>.</w:t>
      </w:r>
      <w:r w:rsidRPr="002F171D">
        <w:rPr>
          <w:rStyle w:val="FootnoteReference"/>
          <w:rFonts w:ascii="Calisto MT" w:hAnsi="Calisto MT" w:cs="Times New Roman"/>
        </w:rPr>
        <w:footnoteReference w:id="33"/>
      </w:r>
      <w:r w:rsidR="51BD0C1E" w:rsidRPr="002F171D">
        <w:rPr>
          <w:rFonts w:ascii="Calisto MT" w:hAnsi="Calisto MT" w:cs="Times New Roman"/>
        </w:rPr>
        <w:t xml:space="preserve"> </w:t>
      </w:r>
      <w:r w:rsidR="390659C2" w:rsidRPr="002F171D">
        <w:rPr>
          <w:rFonts w:ascii="Calisto MT" w:hAnsi="Calisto MT" w:cs="Times New Roman"/>
        </w:rPr>
        <w:t xml:space="preserve">This is an archetype ‘reporting gap’ under our typology - it means that some (currently, limited) diversity data is available for some </w:t>
      </w:r>
      <w:r w:rsidR="0651078C" w:rsidRPr="002F171D">
        <w:rPr>
          <w:rFonts w:ascii="Calisto MT" w:hAnsi="Calisto MT" w:cs="Times New Roman"/>
        </w:rPr>
        <w:t>aspects</w:t>
      </w:r>
      <w:r w:rsidR="390659C2" w:rsidRPr="002F171D">
        <w:rPr>
          <w:rFonts w:ascii="Calisto MT" w:hAnsi="Calisto MT" w:cs="Times New Roman"/>
        </w:rPr>
        <w:t xml:space="preserve"> of the caseload, but not others. </w:t>
      </w:r>
      <w:r w:rsidRPr="002F171D">
        <w:rPr>
          <w:rFonts w:ascii="Calisto MT" w:hAnsi="Calisto MT" w:cs="Times New Roman"/>
        </w:rPr>
        <w:t>This reporting gap illustrates the sorts of systemic harms that can flow from all types of public data gaps.</w:t>
      </w:r>
    </w:p>
    <w:p w14:paraId="176EDF13" w14:textId="00B715E7" w:rsidR="00063158" w:rsidRPr="002F171D" w:rsidRDefault="2114D83B" w:rsidP="005D705C">
      <w:pPr>
        <w:spacing w:line="360" w:lineRule="auto"/>
        <w:ind w:firstLine="720"/>
        <w:jc w:val="both"/>
        <w:rPr>
          <w:rFonts w:ascii="Calisto MT" w:hAnsi="Calisto MT" w:cs="Times New Roman"/>
        </w:rPr>
      </w:pPr>
      <w:r w:rsidRPr="002F171D">
        <w:rPr>
          <w:rFonts w:ascii="Calisto MT" w:hAnsi="Calisto MT" w:cs="Times New Roman"/>
        </w:rPr>
        <w:t>Data gaps can</w:t>
      </w:r>
      <w:r w:rsidR="19B862D8" w:rsidRPr="002F171D">
        <w:rPr>
          <w:rFonts w:ascii="Calisto MT" w:hAnsi="Calisto MT" w:cs="Times New Roman"/>
        </w:rPr>
        <w:t xml:space="preserve"> </w:t>
      </w:r>
      <w:r w:rsidR="00063158" w:rsidRPr="002F171D">
        <w:rPr>
          <w:rFonts w:ascii="Calisto MT" w:hAnsi="Calisto MT" w:cs="Times New Roman"/>
        </w:rPr>
        <w:t>limit the</w:t>
      </w:r>
      <w:r w:rsidR="229B00E9" w:rsidRPr="002F171D">
        <w:rPr>
          <w:rFonts w:ascii="Calisto MT" w:hAnsi="Calisto MT" w:cs="Times New Roman"/>
        </w:rPr>
        <w:t xml:space="preserve"> effective</w:t>
      </w:r>
      <w:r w:rsidR="00063158" w:rsidRPr="002F171D">
        <w:rPr>
          <w:rFonts w:ascii="Calisto MT" w:hAnsi="Calisto MT" w:cs="Times New Roman"/>
        </w:rPr>
        <w:t xml:space="preserve"> scrutiny and accountability of current law, policy, and administration. </w:t>
      </w:r>
      <w:r w:rsidR="2C04AA87" w:rsidRPr="002F171D">
        <w:rPr>
          <w:rFonts w:ascii="Calisto MT" w:hAnsi="Calisto MT" w:cs="Times New Roman"/>
        </w:rPr>
        <w:t>For instance, the potential ethnicity impacts of two of the Government’s flagship we</w:t>
      </w:r>
      <w:r w:rsidR="20B3C1AF" w:rsidRPr="002F171D">
        <w:rPr>
          <w:rFonts w:ascii="Calisto MT" w:hAnsi="Calisto MT" w:cs="Times New Roman"/>
        </w:rPr>
        <w:t xml:space="preserve">lfare reform policies – the Benefit Cap (limiting the total amount of certain </w:t>
      </w:r>
      <w:r w:rsidR="0C448736" w:rsidRPr="002F171D">
        <w:rPr>
          <w:rFonts w:ascii="Calisto MT" w:hAnsi="Calisto MT" w:cs="Times New Roman"/>
        </w:rPr>
        <w:t xml:space="preserve">working-age </w:t>
      </w:r>
      <w:r w:rsidR="20B3C1AF" w:rsidRPr="002F171D">
        <w:rPr>
          <w:rFonts w:ascii="Calisto MT" w:hAnsi="Calisto MT" w:cs="Times New Roman"/>
        </w:rPr>
        <w:t xml:space="preserve">benefits received by a household) and the ‘two child </w:t>
      </w:r>
      <w:proofErr w:type="gramStart"/>
      <w:r w:rsidR="20B3C1AF" w:rsidRPr="002F171D">
        <w:rPr>
          <w:rFonts w:ascii="Calisto MT" w:hAnsi="Calisto MT" w:cs="Times New Roman"/>
        </w:rPr>
        <w:t>limit</w:t>
      </w:r>
      <w:proofErr w:type="gramEnd"/>
      <w:r w:rsidR="20B3C1AF" w:rsidRPr="002F171D">
        <w:rPr>
          <w:rFonts w:ascii="Calisto MT" w:hAnsi="Calisto MT" w:cs="Times New Roman"/>
        </w:rPr>
        <w:t xml:space="preserve"> (limiting Child Tax Credit payments to a maximum of two children) have both been crit</w:t>
      </w:r>
      <w:r w:rsidR="00316960" w:rsidRPr="002F171D">
        <w:rPr>
          <w:rFonts w:ascii="Calisto MT" w:hAnsi="Calisto MT" w:cs="Times New Roman"/>
        </w:rPr>
        <w:t>icised for their potentially disproportionate impact on black and minority eth</w:t>
      </w:r>
      <w:r w:rsidR="7BE48D76" w:rsidRPr="002F171D">
        <w:rPr>
          <w:rFonts w:ascii="Calisto MT" w:hAnsi="Calisto MT" w:cs="Times New Roman"/>
        </w:rPr>
        <w:t>n</w:t>
      </w:r>
      <w:r w:rsidR="00316960" w:rsidRPr="002F171D">
        <w:rPr>
          <w:rFonts w:ascii="Calisto MT" w:hAnsi="Calisto MT" w:cs="Times New Roman"/>
        </w:rPr>
        <w:t xml:space="preserve">ic households. </w:t>
      </w:r>
      <w:r w:rsidR="50A0E539" w:rsidRPr="002F171D">
        <w:rPr>
          <w:rFonts w:ascii="Calisto MT" w:hAnsi="Calisto MT" w:cs="Times New Roman"/>
        </w:rPr>
        <w:t>On the former, t</w:t>
      </w:r>
      <w:r w:rsidR="610C5D47" w:rsidRPr="002F171D">
        <w:rPr>
          <w:rFonts w:ascii="Calisto MT" w:hAnsi="Calisto MT" w:cs="Times New Roman"/>
        </w:rPr>
        <w:t>h</w:t>
      </w:r>
      <w:r w:rsidR="2C04AA87" w:rsidRPr="002F171D">
        <w:rPr>
          <w:rFonts w:ascii="Calisto MT" w:hAnsi="Calisto MT" w:cs="Times New Roman"/>
        </w:rPr>
        <w:t>e Equality Impact Assessment for the Benefit Cap policy</w:t>
      </w:r>
      <w:r w:rsidR="1EF85A3D" w:rsidRPr="002F171D">
        <w:rPr>
          <w:rFonts w:ascii="Calisto MT" w:hAnsi="Calisto MT" w:cs="Times New Roman"/>
        </w:rPr>
        <w:t xml:space="preserve"> </w:t>
      </w:r>
      <w:r w:rsidR="2C04AA87" w:rsidRPr="002F171D">
        <w:rPr>
          <w:rFonts w:ascii="Calisto MT" w:hAnsi="Calisto MT" w:cs="Times New Roman"/>
        </w:rPr>
        <w:t>estimated that approximately 30% of households affected would ‘contain somebody who is from an ethnic minority.’</w:t>
      </w:r>
      <w:r w:rsidR="00063158" w:rsidRPr="002F171D">
        <w:rPr>
          <w:rFonts w:ascii="Calisto MT" w:hAnsi="Calisto MT" w:cs="Times New Roman"/>
          <w:vertAlign w:val="superscript"/>
        </w:rPr>
        <w:footnoteReference w:id="34"/>
      </w:r>
      <w:r w:rsidR="56F449F4" w:rsidRPr="002F171D">
        <w:rPr>
          <w:rFonts w:ascii="Calisto MT" w:hAnsi="Calisto MT" w:cs="Times New Roman"/>
        </w:rPr>
        <w:t xml:space="preserve"> </w:t>
      </w:r>
      <w:r w:rsidR="008670D5" w:rsidRPr="002F171D">
        <w:rPr>
          <w:rFonts w:ascii="Calisto MT" w:hAnsi="Calisto MT" w:cs="Times New Roman"/>
        </w:rPr>
        <w:t>On the latter, t</w:t>
      </w:r>
      <w:r w:rsidR="56F449F4" w:rsidRPr="002F171D">
        <w:rPr>
          <w:rFonts w:ascii="Calisto MT" w:hAnsi="Calisto MT" w:cs="Times New Roman"/>
        </w:rPr>
        <w:t xml:space="preserve">he Institute for Fiscal Studies estimates that </w:t>
      </w:r>
      <w:r w:rsidR="067C0F1D" w:rsidRPr="002F171D">
        <w:rPr>
          <w:rFonts w:ascii="Calisto MT" w:hAnsi="Calisto MT" w:cs="Times New Roman"/>
        </w:rPr>
        <w:t>as many as 43% of children in households with one adult of Bangladeshi or Pakistani origin would be affected by the two-child limit when compared with 17% of children in other households.</w:t>
      </w:r>
      <w:r w:rsidR="00063158" w:rsidRPr="002F171D">
        <w:rPr>
          <w:rStyle w:val="FootnoteReference"/>
          <w:rFonts w:ascii="Calisto MT" w:hAnsi="Calisto MT" w:cs="Times New Roman"/>
        </w:rPr>
        <w:footnoteReference w:id="35"/>
      </w:r>
      <w:r w:rsidR="5A514CC0" w:rsidRPr="002F171D">
        <w:rPr>
          <w:rFonts w:ascii="Calisto MT" w:hAnsi="Calisto MT" w:cs="Times New Roman"/>
        </w:rPr>
        <w:t xml:space="preserve"> </w:t>
      </w:r>
      <w:r w:rsidR="2C04AA87" w:rsidRPr="002F171D">
        <w:rPr>
          <w:rFonts w:ascii="Calisto MT" w:hAnsi="Calisto MT" w:cs="Times New Roman"/>
        </w:rPr>
        <w:t xml:space="preserve">The reporting gap means </w:t>
      </w:r>
      <w:r w:rsidR="7D3B661F" w:rsidRPr="002F171D">
        <w:rPr>
          <w:rFonts w:ascii="Calisto MT" w:hAnsi="Calisto MT" w:cs="Times New Roman"/>
        </w:rPr>
        <w:t>that</w:t>
      </w:r>
      <w:r w:rsidR="2C04AA87" w:rsidRPr="002F171D">
        <w:rPr>
          <w:rFonts w:ascii="Calisto MT" w:hAnsi="Calisto MT" w:cs="Times New Roman"/>
        </w:rPr>
        <w:t xml:space="preserve"> aspects of </w:t>
      </w:r>
      <w:r w:rsidR="6E934895" w:rsidRPr="002F171D">
        <w:rPr>
          <w:rFonts w:ascii="Calisto MT" w:hAnsi="Calisto MT" w:cs="Times New Roman"/>
        </w:rPr>
        <w:t xml:space="preserve">these </w:t>
      </w:r>
      <w:r w:rsidR="2C04AA87" w:rsidRPr="002F171D">
        <w:rPr>
          <w:rFonts w:ascii="Calisto MT" w:hAnsi="Calisto MT" w:cs="Times New Roman"/>
        </w:rPr>
        <w:t>public-facing Universal Credit statistics</w:t>
      </w:r>
      <w:r w:rsidR="74593677" w:rsidRPr="002F171D">
        <w:rPr>
          <w:rFonts w:ascii="Calisto MT" w:hAnsi="Calisto MT" w:cs="Times New Roman"/>
        </w:rPr>
        <w:t xml:space="preserve"> </w:t>
      </w:r>
      <w:r w:rsidR="2C04AA87" w:rsidRPr="002F171D">
        <w:rPr>
          <w:rFonts w:ascii="Calisto MT" w:hAnsi="Calisto MT" w:cs="Times New Roman"/>
        </w:rPr>
        <w:t>cannot</w:t>
      </w:r>
      <w:r w:rsidR="7947923D" w:rsidRPr="002F171D">
        <w:rPr>
          <w:rFonts w:ascii="Calisto MT" w:hAnsi="Calisto MT" w:cs="Times New Roman"/>
        </w:rPr>
        <w:t xml:space="preserve"> currently</w:t>
      </w:r>
      <w:r w:rsidR="2C04AA87" w:rsidRPr="002F171D">
        <w:rPr>
          <w:rFonts w:ascii="Calisto MT" w:hAnsi="Calisto MT" w:cs="Times New Roman"/>
        </w:rPr>
        <w:t xml:space="preserve"> be scrutinised in relation to race or any other protected characteristics outside of age and gender. The data gap is arguably preventing effective scrutiny of the design and implementation of the </w:t>
      </w:r>
      <w:r w:rsidR="4636990E" w:rsidRPr="002F171D">
        <w:rPr>
          <w:rFonts w:ascii="Calisto MT" w:hAnsi="Calisto MT" w:cs="Times New Roman"/>
        </w:rPr>
        <w:t>two-child limit and benefit cap policy.</w:t>
      </w:r>
    </w:p>
    <w:p w14:paraId="03B8FDF2" w14:textId="0ACFED61" w:rsidR="5036F6D4" w:rsidRPr="002F171D" w:rsidRDefault="2C04AA87" w:rsidP="005D705C">
      <w:pPr>
        <w:spacing w:line="360" w:lineRule="auto"/>
        <w:ind w:firstLine="720"/>
        <w:jc w:val="both"/>
        <w:rPr>
          <w:rFonts w:ascii="Calisto MT" w:hAnsi="Calisto MT" w:cs="Times New Roman"/>
        </w:rPr>
      </w:pPr>
      <w:r w:rsidRPr="002F171D">
        <w:rPr>
          <w:rFonts w:ascii="Calisto MT" w:hAnsi="Calisto MT" w:cs="Times New Roman"/>
        </w:rPr>
        <w:t xml:space="preserve">Where data has been made available, </w:t>
      </w:r>
      <w:r w:rsidR="2B8F372A" w:rsidRPr="002F171D">
        <w:rPr>
          <w:rFonts w:ascii="Calisto MT" w:hAnsi="Calisto MT" w:cs="Times New Roman"/>
        </w:rPr>
        <w:t xml:space="preserve">more detailed scrutiny of the current law and policy has been possible. For instance, </w:t>
      </w:r>
      <w:r w:rsidR="62DB4359" w:rsidRPr="002F171D">
        <w:rPr>
          <w:rFonts w:ascii="Calisto MT" w:hAnsi="Calisto MT" w:cs="Times New Roman"/>
        </w:rPr>
        <w:t xml:space="preserve">following </w:t>
      </w:r>
      <w:r w:rsidR="2B8F372A" w:rsidRPr="002F171D">
        <w:rPr>
          <w:rFonts w:ascii="Calisto MT" w:hAnsi="Calisto MT" w:cs="Times New Roman"/>
        </w:rPr>
        <w:t>the 70% threshold</w:t>
      </w:r>
      <w:r w:rsidR="283D04F6" w:rsidRPr="002F171D">
        <w:rPr>
          <w:rFonts w:ascii="Calisto MT" w:hAnsi="Calisto MT" w:cs="Times New Roman"/>
        </w:rPr>
        <w:t xml:space="preserve"> </w:t>
      </w:r>
      <w:r w:rsidR="2146968D" w:rsidRPr="002F171D">
        <w:rPr>
          <w:rFonts w:ascii="Calisto MT" w:hAnsi="Calisto MT" w:cs="Times New Roman"/>
        </w:rPr>
        <w:t>b</w:t>
      </w:r>
      <w:r w:rsidR="2B8F372A" w:rsidRPr="002F171D">
        <w:rPr>
          <w:rFonts w:ascii="Calisto MT" w:hAnsi="Calisto MT" w:cs="Times New Roman"/>
        </w:rPr>
        <w:t>eing passed for Universal Credit claimants subject to adverse sanctions statistics,</w:t>
      </w:r>
      <w:r w:rsidR="71DCCE62" w:rsidRPr="002F171D">
        <w:rPr>
          <w:rFonts w:ascii="Calisto MT" w:hAnsi="Calisto MT" w:cs="Times New Roman"/>
        </w:rPr>
        <w:t xml:space="preserve"> the Department for Work &amp; Pensions has released these data publicly.</w:t>
      </w:r>
      <w:r w:rsidR="00063158" w:rsidRPr="002F171D">
        <w:rPr>
          <w:rStyle w:val="FootnoteReference"/>
          <w:rFonts w:ascii="Calisto MT" w:hAnsi="Calisto MT" w:cs="Times New Roman"/>
        </w:rPr>
        <w:footnoteReference w:id="36"/>
      </w:r>
      <w:r w:rsidR="404F3E13" w:rsidRPr="002F171D">
        <w:rPr>
          <w:rFonts w:ascii="Calisto MT" w:hAnsi="Calisto MT" w:cs="Times New Roman"/>
        </w:rPr>
        <w:t xml:space="preserve"> This data gap had previously been criticised as a </w:t>
      </w:r>
      <w:r w:rsidR="06614155" w:rsidRPr="002F171D">
        <w:rPr>
          <w:rFonts w:ascii="Calisto MT" w:hAnsi="Calisto MT" w:cs="Times New Roman"/>
        </w:rPr>
        <w:t xml:space="preserve">’effectively concealing’ the possibility of ’racial injustice’ in the policy, especially given its prior Equality Impact Assessment that accompanied the expansion of </w:t>
      </w:r>
      <w:r w:rsidR="06614155" w:rsidRPr="002F171D">
        <w:rPr>
          <w:rFonts w:ascii="Calisto MT" w:hAnsi="Calisto MT" w:cs="Times New Roman"/>
        </w:rPr>
        <w:lastRenderedPageBreak/>
        <w:t>the Universal Credit sanctions policy raised concerns about the implications of this broader-ranging conditionality regime in relation to race.</w:t>
      </w:r>
      <w:r w:rsidR="00063158" w:rsidRPr="002F171D">
        <w:rPr>
          <w:rFonts w:ascii="Calisto MT" w:hAnsi="Calisto MT" w:cs="Times New Roman"/>
          <w:vertAlign w:val="superscript"/>
        </w:rPr>
        <w:footnoteReference w:id="37"/>
      </w:r>
      <w:r w:rsidR="10AE19CF" w:rsidRPr="002F171D">
        <w:rPr>
          <w:rFonts w:ascii="Calisto MT" w:hAnsi="Calisto MT" w:cs="Times New Roman"/>
        </w:rPr>
        <w:t xml:space="preserve"> The filling of the data-gap has supported a</w:t>
      </w:r>
      <w:r w:rsidR="587AC24F" w:rsidRPr="002F171D">
        <w:rPr>
          <w:rFonts w:ascii="Calisto MT" w:hAnsi="Calisto MT" w:cs="Times New Roman"/>
        </w:rPr>
        <w:t xml:space="preserve">n ongoing debate on the disproportionate impact of the sanctions policy rooted in </w:t>
      </w:r>
      <w:r w:rsidR="794B4945" w:rsidRPr="002F171D">
        <w:rPr>
          <w:rFonts w:ascii="Calisto MT" w:hAnsi="Calisto MT" w:cs="Times New Roman"/>
        </w:rPr>
        <w:t xml:space="preserve">a time series from the real caseload, as opposed to projections or inferences from other data. For instance, </w:t>
      </w:r>
      <w:r w:rsidR="08CD08DF" w:rsidRPr="002F171D">
        <w:rPr>
          <w:rFonts w:ascii="Calisto MT" w:hAnsi="Calisto MT" w:cs="Times New Roman"/>
        </w:rPr>
        <w:t>recent releases suggest that there may be significant disparities in the levels of sanctions between ethnic groups, leading to calls</w:t>
      </w:r>
      <w:r w:rsidR="6A640C8A" w:rsidRPr="002F171D">
        <w:rPr>
          <w:rFonts w:ascii="Calisto MT" w:hAnsi="Calisto MT" w:cs="Times New Roman"/>
        </w:rPr>
        <w:t xml:space="preserve"> from the Public Law Project and others</w:t>
      </w:r>
      <w:r w:rsidR="08CD08DF" w:rsidRPr="002F171D">
        <w:rPr>
          <w:rFonts w:ascii="Calisto MT" w:hAnsi="Calisto MT" w:cs="Times New Roman"/>
        </w:rPr>
        <w:t xml:space="preserve"> for the Department for Work &amp; Pensions to do more to address </w:t>
      </w:r>
      <w:r w:rsidR="14A9AC66" w:rsidRPr="002F171D">
        <w:rPr>
          <w:rFonts w:ascii="Calisto MT" w:hAnsi="Calisto MT" w:cs="Times New Roman"/>
        </w:rPr>
        <w:t>the potential for discrimination in the sanctions policy.</w:t>
      </w:r>
      <w:r w:rsidR="00063158" w:rsidRPr="002F171D">
        <w:rPr>
          <w:rStyle w:val="FootnoteReference"/>
          <w:rFonts w:ascii="Calisto MT" w:hAnsi="Calisto MT" w:cs="Times New Roman"/>
        </w:rPr>
        <w:footnoteReference w:id="38"/>
      </w:r>
    </w:p>
    <w:p w14:paraId="704F7662" w14:textId="65D24707" w:rsidR="00063158" w:rsidRPr="002F171D" w:rsidRDefault="6379723B" w:rsidP="005D705C">
      <w:pPr>
        <w:spacing w:line="360" w:lineRule="auto"/>
        <w:ind w:firstLine="720"/>
        <w:jc w:val="both"/>
        <w:rPr>
          <w:rFonts w:ascii="Calisto MT" w:hAnsi="Calisto MT" w:cs="Times New Roman"/>
        </w:rPr>
      </w:pPr>
      <w:r w:rsidRPr="002F171D">
        <w:rPr>
          <w:rFonts w:ascii="Calisto MT" w:hAnsi="Calisto MT" w:cs="Times New Roman"/>
        </w:rPr>
        <w:t>D</w:t>
      </w:r>
      <w:r w:rsidR="00063158" w:rsidRPr="002F171D">
        <w:rPr>
          <w:rFonts w:ascii="Calisto MT" w:hAnsi="Calisto MT" w:cs="Times New Roman"/>
        </w:rPr>
        <w:t>ata gaps</w:t>
      </w:r>
      <w:r w:rsidR="5636CFD2" w:rsidRPr="002F171D">
        <w:rPr>
          <w:rFonts w:ascii="Calisto MT" w:hAnsi="Calisto MT" w:cs="Times New Roman"/>
        </w:rPr>
        <w:t xml:space="preserve"> can</w:t>
      </w:r>
      <w:r w:rsidR="00063158" w:rsidRPr="002F171D">
        <w:rPr>
          <w:rFonts w:ascii="Calisto MT" w:hAnsi="Calisto MT" w:cs="Times New Roman"/>
        </w:rPr>
        <w:t xml:space="preserve"> harm not only the capacity to interrogate existing policy, but also the development of future law and policymaking. Conditionality and the ‘claimant commitment’ is a fast-moving policy area within the Department. However, this same ‘self-declared diversity field’ data gap in the Universal Credit statistics leads to blind spots in the policy-making process. Citizens Advice and The Institute for Public Policy Research have both independently warned that ‘fuller sanctions statistics’ are needed before ‘pressing ahead with policy changes’ elsewhere in Universal Credit.</w:t>
      </w:r>
      <w:r w:rsidR="00063158" w:rsidRPr="002F171D">
        <w:rPr>
          <w:rFonts w:ascii="Calisto MT" w:hAnsi="Calisto MT" w:cs="Times New Roman"/>
          <w:vertAlign w:val="superscript"/>
        </w:rPr>
        <w:footnoteReference w:id="39"/>
      </w:r>
      <w:r w:rsidR="00063158" w:rsidRPr="002F171D">
        <w:rPr>
          <w:rFonts w:ascii="Calisto MT" w:hAnsi="Calisto MT" w:cs="Times New Roman"/>
        </w:rPr>
        <w:t xml:space="preserve"> As ‘a basic first step,’ they suggest more demographic data on sanctioned claimants and Universal Credit recipients more broadly—and particularly intersectional data across ethnicity, household type, caring responsibilities and disabilities– would help to ensure the future development of policy can be informed by the reality of claimants’ response to their claimant commitments.</w:t>
      </w:r>
      <w:r w:rsidR="00063158" w:rsidRPr="002F171D">
        <w:rPr>
          <w:rFonts w:ascii="Calisto MT" w:hAnsi="Calisto MT" w:cs="Times New Roman"/>
          <w:vertAlign w:val="superscript"/>
        </w:rPr>
        <w:footnoteReference w:id="40"/>
      </w:r>
      <w:r w:rsidR="00063158" w:rsidRPr="002F171D">
        <w:rPr>
          <w:rFonts w:ascii="Calisto MT" w:hAnsi="Calisto MT" w:cs="Times New Roman"/>
        </w:rPr>
        <w:t xml:space="preserve"> It would also help identify possible discrimination that could arise from changes to law and policy in this area</w:t>
      </w:r>
      <w:r w:rsidR="50B36064" w:rsidRPr="002F171D">
        <w:rPr>
          <w:rFonts w:ascii="Calisto MT" w:hAnsi="Calisto MT" w:cs="Times New Roman"/>
        </w:rPr>
        <w:t xml:space="preserve"> that cuts across all protected characteristics</w:t>
      </w:r>
      <w:r w:rsidR="00063158" w:rsidRPr="002F171D">
        <w:rPr>
          <w:rFonts w:ascii="Calisto MT" w:hAnsi="Calisto MT" w:cs="Times New Roman"/>
        </w:rPr>
        <w:t>. Current policy is otherwise being developed without an adequate understanding of its potential impacts.</w:t>
      </w:r>
    </w:p>
    <w:p w14:paraId="337D9346" w14:textId="148F09F5" w:rsidR="00063158" w:rsidRPr="002F171D" w:rsidRDefault="2B49BA04" w:rsidP="005D705C">
      <w:pPr>
        <w:spacing w:line="360" w:lineRule="auto"/>
        <w:ind w:firstLine="720"/>
        <w:jc w:val="both"/>
        <w:rPr>
          <w:rFonts w:ascii="Calisto MT" w:hAnsi="Calisto MT" w:cs="Times New Roman"/>
        </w:rPr>
      </w:pPr>
      <w:r w:rsidRPr="002F171D">
        <w:rPr>
          <w:rFonts w:ascii="Calisto MT" w:hAnsi="Calisto MT" w:cs="Times New Roman"/>
        </w:rPr>
        <w:t>D</w:t>
      </w:r>
      <w:r w:rsidR="00063158" w:rsidRPr="002F171D">
        <w:rPr>
          <w:rFonts w:ascii="Calisto MT" w:hAnsi="Calisto MT" w:cs="Times New Roman"/>
        </w:rPr>
        <w:t>ata gaps can</w:t>
      </w:r>
      <w:r w:rsidR="3D9FBD2D" w:rsidRPr="002F171D">
        <w:rPr>
          <w:rFonts w:ascii="Calisto MT" w:hAnsi="Calisto MT" w:cs="Times New Roman"/>
        </w:rPr>
        <w:t xml:space="preserve"> also</w:t>
      </w:r>
      <w:r w:rsidR="00063158" w:rsidRPr="002F171D">
        <w:rPr>
          <w:rFonts w:ascii="Calisto MT" w:hAnsi="Calisto MT" w:cs="Times New Roman"/>
        </w:rPr>
        <w:t xml:space="preserve"> harm research and public discourse on law and policy. Staying with the Universal Credit example, at the time of writing, the ‘two child limit’ policy (where, in most cases, households receive means-tested support for no more than two </w:t>
      </w:r>
      <w:r w:rsidR="00063158" w:rsidRPr="002F171D">
        <w:rPr>
          <w:rFonts w:ascii="Calisto MT" w:hAnsi="Calisto MT" w:cs="Times New Roman"/>
        </w:rPr>
        <w:lastRenderedPageBreak/>
        <w:t>children) is the focus of a wide public policy debate.</w:t>
      </w:r>
      <w:r w:rsidR="00063158" w:rsidRPr="002F171D">
        <w:rPr>
          <w:rFonts w:ascii="Calisto MT" w:hAnsi="Calisto MT" w:cs="Times New Roman"/>
          <w:vertAlign w:val="superscript"/>
        </w:rPr>
        <w:footnoteReference w:id="41"/>
      </w:r>
      <w:r w:rsidR="00063158" w:rsidRPr="002F171D">
        <w:rPr>
          <w:rFonts w:ascii="Calisto MT" w:hAnsi="Calisto MT" w:cs="Times New Roman"/>
        </w:rPr>
        <w:t xml:space="preserve"> However, as with sanctions above, it is not possible to break down affected groups by ethnicity or other protected characteristics. This limits the extent to which impacts can be explored in research–for instance, academic work in this area relies on the use of estimated projections, with the limitations of this analysis raised by both </w:t>
      </w:r>
      <w:r w:rsidR="136E924B" w:rsidRPr="002F171D">
        <w:rPr>
          <w:rFonts w:ascii="Calisto MT" w:hAnsi="Calisto MT" w:cs="Times New Roman"/>
        </w:rPr>
        <w:t xml:space="preserve">independent </w:t>
      </w:r>
      <w:r w:rsidR="00063158" w:rsidRPr="002F171D">
        <w:rPr>
          <w:rFonts w:ascii="Calisto MT" w:hAnsi="Calisto MT" w:cs="Times New Roman"/>
        </w:rPr>
        <w:t>researchers and the House of Commons Library.</w:t>
      </w:r>
      <w:r w:rsidR="00063158" w:rsidRPr="002F171D">
        <w:rPr>
          <w:rFonts w:ascii="Calisto MT" w:hAnsi="Calisto MT" w:cs="Times New Roman"/>
          <w:vertAlign w:val="superscript"/>
        </w:rPr>
        <w:footnoteReference w:id="42"/>
      </w:r>
      <w:r w:rsidR="00063158" w:rsidRPr="002F171D">
        <w:rPr>
          <w:rFonts w:ascii="Calisto MT" w:hAnsi="Calisto MT" w:cs="Times New Roman"/>
        </w:rPr>
        <w:t xml:space="preserve"> This lack of data not only hinders academic inquiry but also has the potential to skew public understanding and discourse.</w:t>
      </w:r>
      <w:r w:rsidR="00063158" w:rsidRPr="002F171D">
        <w:rPr>
          <w:rFonts w:ascii="Calisto MT" w:hAnsi="Calisto MT" w:cs="Times New Roman"/>
          <w:vertAlign w:val="superscript"/>
        </w:rPr>
        <w:footnoteReference w:id="43"/>
      </w:r>
    </w:p>
    <w:p w14:paraId="7387C010" w14:textId="77777777" w:rsidR="00063158" w:rsidRPr="002F171D" w:rsidRDefault="00063158" w:rsidP="005D705C">
      <w:pPr>
        <w:spacing w:line="276" w:lineRule="auto"/>
        <w:jc w:val="both"/>
        <w:rPr>
          <w:rFonts w:ascii="Calisto MT" w:hAnsi="Calisto MT" w:cs="Times New Roman"/>
          <w:i/>
          <w:iCs/>
        </w:rPr>
      </w:pPr>
    </w:p>
    <w:p w14:paraId="67F6CF6C" w14:textId="4EFBC400" w:rsidR="00063158"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(c) </w:t>
      </w:r>
      <w:r w:rsidR="005D705C">
        <w:rPr>
          <w:rFonts w:ascii="Optima" w:hAnsi="Optima" w:cs="Times New Roman"/>
          <w:i/>
          <w:iCs/>
        </w:rPr>
        <w:tab/>
      </w:r>
      <w:r w:rsidRPr="005D705C">
        <w:rPr>
          <w:rFonts w:ascii="Optima" w:hAnsi="Optima" w:cs="Times New Roman"/>
          <w:i/>
          <w:iCs/>
        </w:rPr>
        <w:t>What causes public data gaps?</w:t>
      </w:r>
    </w:p>
    <w:p w14:paraId="02805FD1" w14:textId="6EFFF4EE"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If data gaps can have a range of harms</w:t>
      </w:r>
      <w:r w:rsidR="1A969929" w:rsidRPr="002F171D">
        <w:rPr>
          <w:rFonts w:ascii="Calisto MT" w:hAnsi="Calisto MT" w:cs="Times New Roman"/>
        </w:rPr>
        <w:t xml:space="preserve"> that are often noted</w:t>
      </w:r>
      <w:r w:rsidRPr="002F171D">
        <w:rPr>
          <w:rFonts w:ascii="Calisto MT" w:hAnsi="Calisto MT" w:cs="Times New Roman"/>
        </w:rPr>
        <w:t xml:space="preserve">, the obvious question to ask is: why do they occur? Existing research points to four particularly prevalent causes.  </w:t>
      </w:r>
    </w:p>
    <w:p w14:paraId="11E898E4" w14:textId="77777777" w:rsidR="00063158" w:rsidRPr="002F171D" w:rsidRDefault="00063158" w:rsidP="005D705C">
      <w:pPr>
        <w:spacing w:line="360" w:lineRule="auto"/>
        <w:jc w:val="both"/>
        <w:rPr>
          <w:rFonts w:ascii="Calisto MT" w:hAnsi="Calisto MT" w:cs="Times New Roman"/>
        </w:rPr>
      </w:pPr>
    </w:p>
    <w:p w14:paraId="1E77C7B2" w14:textId="2F276E02" w:rsidR="00063158" w:rsidRPr="002F171D" w:rsidRDefault="53EBE6E1" w:rsidP="005D705C">
      <w:pPr>
        <w:spacing w:line="360" w:lineRule="auto"/>
        <w:ind w:firstLine="720"/>
        <w:jc w:val="both"/>
        <w:rPr>
          <w:rFonts w:ascii="Calisto MT" w:hAnsi="Calisto MT" w:cs="Times New Roman"/>
        </w:rPr>
      </w:pPr>
      <w:r w:rsidRPr="002F171D">
        <w:rPr>
          <w:rFonts w:ascii="Calisto MT" w:hAnsi="Calisto MT" w:cs="Times New Roman"/>
        </w:rPr>
        <w:t>P</w:t>
      </w:r>
      <w:r w:rsidR="00063158" w:rsidRPr="002F171D">
        <w:rPr>
          <w:rFonts w:ascii="Calisto MT" w:hAnsi="Calisto MT" w:cs="Times New Roman"/>
        </w:rPr>
        <w:t>ublic authorities sometimes simply do not recognise the need to gather certain information, therefore omitting data points during data collection, and only recognise the value of the information after the fact.</w:t>
      </w:r>
      <w:r w:rsidR="00063158" w:rsidRPr="002F171D">
        <w:rPr>
          <w:rFonts w:ascii="Calisto MT" w:hAnsi="Calisto MT" w:cs="Times New Roman"/>
          <w:vertAlign w:val="superscript"/>
        </w:rPr>
        <w:footnoteReference w:id="44"/>
      </w:r>
      <w:r w:rsidR="00063158" w:rsidRPr="002F171D">
        <w:rPr>
          <w:rFonts w:ascii="Calisto MT" w:hAnsi="Calisto MT" w:cs="Times New Roman"/>
        </w:rPr>
        <w:t xml:space="preserve"> This can be a particular problem in large-scale bureaucracies where responsibilities are often fragmented, and data systems can be vast and complicated.</w:t>
      </w:r>
    </w:p>
    <w:p w14:paraId="27172D67" w14:textId="78E16695" w:rsidR="00063158" w:rsidRPr="002F171D" w:rsidRDefault="099FEFA6" w:rsidP="005D705C">
      <w:pPr>
        <w:spacing w:line="360" w:lineRule="auto"/>
        <w:ind w:firstLine="720"/>
        <w:jc w:val="both"/>
        <w:rPr>
          <w:rFonts w:ascii="Calisto MT" w:hAnsi="Calisto MT" w:cs="Times New Roman"/>
        </w:rPr>
      </w:pPr>
      <w:r w:rsidRPr="002F171D">
        <w:rPr>
          <w:rFonts w:ascii="Calisto MT" w:hAnsi="Calisto MT" w:cs="Times New Roman"/>
        </w:rPr>
        <w:t xml:space="preserve">A </w:t>
      </w:r>
      <w:r w:rsidR="00063158" w:rsidRPr="002F171D">
        <w:rPr>
          <w:rFonts w:ascii="Calisto MT" w:hAnsi="Calisto MT" w:cs="Times New Roman"/>
        </w:rPr>
        <w:t>broad-ranging literature on ‘strategic ignorance’ identifies how data gaps can</w:t>
      </w:r>
      <w:r w:rsidR="6218A143" w:rsidRPr="002F171D">
        <w:rPr>
          <w:rFonts w:ascii="Calisto MT" w:hAnsi="Calisto MT" w:cs="Times New Roman"/>
        </w:rPr>
        <w:t xml:space="preserve"> also</w:t>
      </w:r>
      <w:r w:rsidR="00063158" w:rsidRPr="002F171D">
        <w:rPr>
          <w:rFonts w:ascii="Calisto MT" w:hAnsi="Calisto MT" w:cs="Times New Roman"/>
        </w:rPr>
        <w:t xml:space="preserve"> serve strategic ends for a public authority. Here, ‘strategic ignorance’ is where public authorities and other organisations work to ‘deliberately maintain ignorance or, at least, the ability to claim ignorance.’</w:t>
      </w:r>
      <w:r w:rsidR="00063158" w:rsidRPr="002F171D">
        <w:rPr>
          <w:rFonts w:ascii="Calisto MT" w:hAnsi="Calisto MT" w:cs="Times New Roman"/>
          <w:vertAlign w:val="superscript"/>
        </w:rPr>
        <w:footnoteReference w:id="45"/>
      </w:r>
      <w:r w:rsidR="00063158" w:rsidRPr="002F171D">
        <w:rPr>
          <w:rFonts w:ascii="Calisto MT" w:hAnsi="Calisto MT" w:cs="Times New Roman"/>
        </w:rPr>
        <w:t xml:space="preserve"> Deciding against collecting, reporting, or harmonising data can reduce scrutiny and accountability (as discussed above) or help to present certain narratives over others. Some argue officials may therefore ‘decide tactically…what counts as data, which data to include, and which data to evade’ to serve such strategic ends.</w:t>
      </w:r>
      <w:r w:rsidR="00063158" w:rsidRPr="002F171D">
        <w:rPr>
          <w:rFonts w:ascii="Calisto MT" w:hAnsi="Calisto MT" w:cs="Times New Roman"/>
          <w:vertAlign w:val="superscript"/>
        </w:rPr>
        <w:footnoteReference w:id="46"/>
      </w:r>
      <w:r w:rsidR="00063158" w:rsidRPr="002F171D">
        <w:rPr>
          <w:rFonts w:ascii="Calisto MT" w:hAnsi="Calisto MT" w:cs="Times New Roman"/>
        </w:rPr>
        <w:t xml:space="preserve"> </w:t>
      </w:r>
    </w:p>
    <w:p w14:paraId="04967292" w14:textId="2E91EC6A" w:rsidR="00063158" w:rsidRPr="002F171D" w:rsidRDefault="58C48326" w:rsidP="005D705C">
      <w:pPr>
        <w:spacing w:line="360" w:lineRule="auto"/>
        <w:ind w:firstLine="720"/>
        <w:jc w:val="both"/>
        <w:rPr>
          <w:rFonts w:ascii="Calisto MT" w:hAnsi="Calisto MT" w:cs="Times New Roman"/>
        </w:rPr>
      </w:pPr>
      <w:r w:rsidRPr="002F171D">
        <w:rPr>
          <w:rFonts w:ascii="Calisto MT" w:hAnsi="Calisto MT" w:cs="Times New Roman"/>
        </w:rPr>
        <w:lastRenderedPageBreak/>
        <w:t>D</w:t>
      </w:r>
      <w:r w:rsidR="00063158" w:rsidRPr="002F171D">
        <w:rPr>
          <w:rFonts w:ascii="Calisto MT" w:hAnsi="Calisto MT" w:cs="Times New Roman"/>
        </w:rPr>
        <w:t>ata gaps can</w:t>
      </w:r>
      <w:r w:rsidR="30A72457" w:rsidRPr="002F171D">
        <w:rPr>
          <w:rFonts w:ascii="Calisto MT" w:hAnsi="Calisto MT" w:cs="Times New Roman"/>
        </w:rPr>
        <w:t xml:space="preserve"> also</w:t>
      </w:r>
      <w:r w:rsidR="00063158" w:rsidRPr="002F171D">
        <w:rPr>
          <w:rFonts w:ascii="Calisto MT" w:hAnsi="Calisto MT" w:cs="Times New Roman"/>
        </w:rPr>
        <w:t xml:space="preserve"> emerge from the institutional design and operation of public sector systems. As noted above, increasingly digitalised administrative infrastructure </w:t>
      </w:r>
      <w:r w:rsidR="005D705C" w:rsidRPr="002F171D">
        <w:rPr>
          <w:rFonts w:ascii="Calisto MT" w:hAnsi="Calisto MT" w:cs="Times New Roman"/>
        </w:rPr>
        <w:t>means</w:t>
      </w:r>
      <w:r w:rsidR="00063158" w:rsidRPr="002F171D">
        <w:rPr>
          <w:rFonts w:ascii="Calisto MT" w:hAnsi="Calisto MT" w:cs="Times New Roman"/>
        </w:rPr>
        <w:t xml:space="preserve"> routine data collection has never been easier. Large swathes of citizens’ interactions with the state are now mediated through interfaces and other digital architecture that make the collection and retention of data far easier than with paper, telephone or face-to-face channels.</w:t>
      </w:r>
      <w:r w:rsidR="00063158" w:rsidRPr="002F171D">
        <w:rPr>
          <w:rFonts w:ascii="Calisto MT" w:hAnsi="Calisto MT" w:cs="Times New Roman"/>
          <w:vertAlign w:val="superscript"/>
        </w:rPr>
        <w:footnoteReference w:id="47"/>
      </w:r>
      <w:r w:rsidR="00063158" w:rsidRPr="002F171D">
        <w:rPr>
          <w:rFonts w:ascii="Calisto MT" w:hAnsi="Calisto MT" w:cs="Times New Roman"/>
        </w:rPr>
        <w:t xml:space="preserve"> Yet, problems such as the reporting gap from the ‘non-mandatory self-declared diversity fields’ explored above still emerge.</w:t>
      </w:r>
      <w:r w:rsidR="00063158" w:rsidRPr="002F171D">
        <w:rPr>
          <w:rFonts w:ascii="Calisto MT" w:hAnsi="Calisto MT" w:cs="Times New Roman"/>
          <w:vertAlign w:val="superscript"/>
        </w:rPr>
        <w:footnoteReference w:id="48"/>
      </w:r>
      <w:r w:rsidR="00063158" w:rsidRPr="002F171D">
        <w:rPr>
          <w:rFonts w:ascii="Calisto MT" w:hAnsi="Calisto MT" w:cs="Times New Roman"/>
        </w:rPr>
        <w:t xml:space="preserve"> As we return to in more detail below, the failure to collect data may be in part driven by an unduly risk-adverse perception of law and legal risk, and in turn, those designing public sector systems. Indeed, operationalising principles like data minimisation is a widely reported challenge for system developers in both the private and public sectors—it has been described as ‘too complicated for developers,’ leading to a potentially risk-adverse approach, or an approach to systems that is divorced from the possible harms that can arise from data gaps discussed above.</w:t>
      </w:r>
      <w:r w:rsidR="00063158" w:rsidRPr="002F171D">
        <w:rPr>
          <w:rFonts w:ascii="Calisto MT" w:hAnsi="Calisto MT" w:cs="Times New Roman"/>
          <w:vertAlign w:val="superscript"/>
        </w:rPr>
        <w:footnoteReference w:id="49"/>
      </w:r>
    </w:p>
    <w:p w14:paraId="2BE0283A" w14:textId="7A2951D8"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A</w:t>
      </w:r>
      <w:r w:rsidR="301FD4B4" w:rsidRPr="002F171D">
        <w:rPr>
          <w:rFonts w:ascii="Calisto MT" w:hAnsi="Calisto MT" w:cs="Times New Roman"/>
        </w:rPr>
        <w:t xml:space="preserve"> </w:t>
      </w:r>
      <w:r w:rsidRPr="002F171D">
        <w:rPr>
          <w:rFonts w:ascii="Calisto MT" w:hAnsi="Calisto MT" w:cs="Times New Roman"/>
        </w:rPr>
        <w:t>related cause of data gaps can emerge from shortcomings in coordination between public authorities. This is particularly true of harmonisation gaps, but these problems can cut across all the five types outlined above. Sharing frameworks govern and support the distribution of data between public institutions, who gets access, for what purposes, and for how long.</w:t>
      </w:r>
      <w:r w:rsidRPr="002F171D">
        <w:rPr>
          <w:rFonts w:ascii="Calisto MT" w:hAnsi="Calisto MT" w:cs="Times New Roman"/>
          <w:vertAlign w:val="superscript"/>
        </w:rPr>
        <w:footnoteReference w:id="50"/>
      </w:r>
      <w:r w:rsidRPr="002F171D">
        <w:rPr>
          <w:rFonts w:ascii="Calisto MT" w:hAnsi="Calisto MT" w:cs="Times New Roman"/>
        </w:rPr>
        <w:t xml:space="preserve"> However, data-sharing frameworks have been criticised as unsuitable or incapable of sharing information across modern Government departments or other public agencies.</w:t>
      </w:r>
      <w:r w:rsidRPr="002F171D">
        <w:rPr>
          <w:rFonts w:ascii="Calisto MT" w:hAnsi="Calisto MT" w:cs="Times New Roman"/>
          <w:vertAlign w:val="superscript"/>
        </w:rPr>
        <w:footnoteReference w:id="51"/>
      </w:r>
      <w:r w:rsidRPr="002F171D">
        <w:rPr>
          <w:rFonts w:ascii="Calisto MT" w:hAnsi="Calisto MT" w:cs="Times New Roman"/>
        </w:rPr>
        <w:t xml:space="preserve"> There is a lack of standard general protocols and approaches across government, leading to inconsistencies and limitations in the sharing and transferring of information between Government departments.</w:t>
      </w:r>
      <w:r w:rsidRPr="002F171D">
        <w:rPr>
          <w:rFonts w:ascii="Calisto MT" w:hAnsi="Calisto MT" w:cs="Times New Roman"/>
          <w:vertAlign w:val="superscript"/>
        </w:rPr>
        <w:footnoteReference w:id="52"/>
      </w:r>
      <w:r w:rsidRPr="002F171D">
        <w:rPr>
          <w:rFonts w:ascii="Calisto MT" w:hAnsi="Calisto MT" w:cs="Times New Roman"/>
        </w:rPr>
        <w:t xml:space="preserve"> This is particularly challenging given the diversity and lack of interoperability of many of the digital systems that manage the collection and storage of data within other public bodies.</w:t>
      </w:r>
      <w:r w:rsidRPr="002F171D">
        <w:rPr>
          <w:rFonts w:ascii="Calisto MT" w:hAnsi="Calisto MT" w:cs="Times New Roman"/>
          <w:vertAlign w:val="superscript"/>
        </w:rPr>
        <w:footnoteReference w:id="53"/>
      </w:r>
      <w:r w:rsidRPr="002F171D">
        <w:rPr>
          <w:rFonts w:ascii="Calisto MT" w:hAnsi="Calisto MT" w:cs="Times New Roman"/>
        </w:rPr>
        <w:t xml:space="preserve"> These limitations mean that resolving data gaps can sometimes come with significant costs, </w:t>
      </w:r>
      <w:r w:rsidRPr="002F171D">
        <w:rPr>
          <w:rFonts w:ascii="Calisto MT" w:hAnsi="Calisto MT" w:cs="Times New Roman"/>
        </w:rPr>
        <w:lastRenderedPageBreak/>
        <w:t>particularly where tackling harmonisation gaps means working across differently designed data management systems.</w:t>
      </w:r>
      <w:r w:rsidRPr="002F171D">
        <w:rPr>
          <w:rFonts w:ascii="Calisto MT" w:hAnsi="Calisto MT" w:cs="Times New Roman"/>
          <w:vertAlign w:val="superscript"/>
        </w:rPr>
        <w:footnoteReference w:id="54"/>
      </w:r>
    </w:p>
    <w:p w14:paraId="270BC0DA" w14:textId="5BBCB163" w:rsidR="00063158" w:rsidRPr="002F171D" w:rsidRDefault="57B03D59" w:rsidP="005D705C">
      <w:pPr>
        <w:spacing w:line="360" w:lineRule="auto"/>
        <w:ind w:firstLine="720"/>
        <w:jc w:val="both"/>
        <w:rPr>
          <w:rFonts w:ascii="Calisto MT" w:eastAsia="Times New Roman" w:hAnsi="Calisto MT" w:cs="Times New Roman"/>
        </w:rPr>
      </w:pPr>
      <w:r w:rsidRPr="002F171D">
        <w:rPr>
          <w:rFonts w:ascii="Calisto MT" w:eastAsia="Times New Roman" w:hAnsi="Calisto MT" w:cs="Times New Roman"/>
        </w:rPr>
        <w:t xml:space="preserve">This discussion highlights significant causes of public data gaps that appear within the broader </w:t>
      </w:r>
      <w:r w:rsidR="25DADDA6" w:rsidRPr="002F171D">
        <w:rPr>
          <w:rFonts w:ascii="Calisto MT" w:eastAsia="Times New Roman" w:hAnsi="Calisto MT" w:cs="Times New Roman"/>
        </w:rPr>
        <w:t xml:space="preserve">literature </w:t>
      </w:r>
      <w:r w:rsidRPr="002F171D">
        <w:rPr>
          <w:rFonts w:ascii="Calisto MT" w:eastAsia="Times New Roman" w:hAnsi="Calisto MT" w:cs="Times New Roman"/>
        </w:rPr>
        <w:t>on ‘strategic ignorance’</w:t>
      </w:r>
      <w:r w:rsidR="5EBD77D3" w:rsidRPr="002F171D">
        <w:rPr>
          <w:rFonts w:ascii="Calisto MT" w:eastAsia="Times New Roman" w:hAnsi="Calisto MT" w:cs="Times New Roman"/>
        </w:rPr>
        <w:t xml:space="preserve">, public administration and </w:t>
      </w:r>
      <w:proofErr w:type="gramStart"/>
      <w:r w:rsidR="5EBD77D3" w:rsidRPr="002F171D">
        <w:rPr>
          <w:rFonts w:ascii="Calisto MT" w:eastAsia="Times New Roman" w:hAnsi="Calisto MT" w:cs="Times New Roman"/>
        </w:rPr>
        <w:t>policy-making</w:t>
      </w:r>
      <w:proofErr w:type="gramEnd"/>
      <w:r w:rsidRPr="002F171D">
        <w:rPr>
          <w:rFonts w:ascii="Calisto MT" w:eastAsia="Times New Roman" w:hAnsi="Calisto MT" w:cs="Times New Roman"/>
        </w:rPr>
        <w:t>, but it is important to note that this is not an exhaustive survey of all possible causes.</w:t>
      </w:r>
      <w:r w:rsidR="74FBD86C" w:rsidRPr="002F171D">
        <w:rPr>
          <w:rFonts w:ascii="Calisto MT" w:eastAsia="Times New Roman" w:hAnsi="Calisto MT" w:cs="Times New Roman"/>
        </w:rPr>
        <w:t xml:space="preserve"> An exploration what drives data gaps across Government - and how these causes could be amel</w:t>
      </w:r>
      <w:r w:rsidR="244ED975" w:rsidRPr="002F171D">
        <w:rPr>
          <w:rFonts w:ascii="Calisto MT" w:eastAsia="Times New Roman" w:hAnsi="Calisto MT" w:cs="Times New Roman"/>
        </w:rPr>
        <w:t xml:space="preserve">iorated </w:t>
      </w:r>
      <w:r w:rsidR="74FBD86C" w:rsidRPr="002F171D">
        <w:rPr>
          <w:rFonts w:ascii="Calisto MT" w:eastAsia="Times New Roman" w:hAnsi="Calisto MT" w:cs="Times New Roman"/>
        </w:rPr>
        <w:t xml:space="preserve">warrants further </w:t>
      </w:r>
      <w:r w:rsidR="3EAF0A3C" w:rsidRPr="002F171D">
        <w:rPr>
          <w:rFonts w:ascii="Calisto MT" w:eastAsia="Times New Roman" w:hAnsi="Calisto MT" w:cs="Times New Roman"/>
        </w:rPr>
        <w:t xml:space="preserve">empirical </w:t>
      </w:r>
      <w:proofErr w:type="gramStart"/>
      <w:r w:rsidR="74FBD86C" w:rsidRPr="002F171D">
        <w:rPr>
          <w:rFonts w:ascii="Calisto MT" w:eastAsia="Times New Roman" w:hAnsi="Calisto MT" w:cs="Times New Roman"/>
        </w:rPr>
        <w:t>research in its own right</w:t>
      </w:r>
      <w:proofErr w:type="gramEnd"/>
      <w:r w:rsidR="74FBD86C" w:rsidRPr="002F171D">
        <w:rPr>
          <w:rFonts w:ascii="Calisto MT" w:eastAsia="Times New Roman" w:hAnsi="Calisto MT" w:cs="Times New Roman"/>
        </w:rPr>
        <w:t>.</w:t>
      </w:r>
    </w:p>
    <w:p w14:paraId="742D135D" w14:textId="77777777" w:rsidR="00063158" w:rsidRPr="002F171D" w:rsidRDefault="00063158" w:rsidP="005D705C">
      <w:pPr>
        <w:spacing w:line="276" w:lineRule="auto"/>
        <w:jc w:val="both"/>
        <w:rPr>
          <w:rFonts w:ascii="Calisto MT" w:hAnsi="Calisto MT" w:cs="Times New Roman"/>
        </w:rPr>
      </w:pPr>
    </w:p>
    <w:p w14:paraId="004CD6FE" w14:textId="111C75B4" w:rsidR="00063158" w:rsidRPr="005D705C" w:rsidRDefault="005D705C" w:rsidP="005D705C">
      <w:pPr>
        <w:spacing w:line="276" w:lineRule="auto"/>
        <w:jc w:val="both"/>
        <w:rPr>
          <w:rFonts w:ascii="Optima" w:hAnsi="Optima" w:cs="Times New Roman"/>
          <w:b/>
          <w:bCs/>
          <w:sz w:val="36"/>
          <w:szCs w:val="36"/>
        </w:rPr>
      </w:pPr>
      <w:r>
        <w:rPr>
          <w:rFonts w:ascii="Optima" w:hAnsi="Optima" w:cs="Times New Roman"/>
          <w:b/>
          <w:bCs/>
          <w:sz w:val="36"/>
          <w:szCs w:val="36"/>
        </w:rPr>
        <w:t>3</w:t>
      </w:r>
      <w:r>
        <w:rPr>
          <w:rFonts w:ascii="Optima" w:hAnsi="Optima" w:cs="Times New Roman"/>
          <w:b/>
          <w:bCs/>
          <w:sz w:val="36"/>
          <w:szCs w:val="36"/>
        </w:rPr>
        <w:tab/>
      </w:r>
      <w:r w:rsidR="00063158" w:rsidRPr="005D705C">
        <w:rPr>
          <w:rFonts w:ascii="Optima" w:hAnsi="Optima" w:cs="Times New Roman"/>
          <w:b/>
          <w:bCs/>
          <w:sz w:val="36"/>
          <w:szCs w:val="36"/>
        </w:rPr>
        <w:t>Public law dimensions of public data gaps</w:t>
      </w:r>
    </w:p>
    <w:p w14:paraId="1EE079A9" w14:textId="77777777" w:rsidR="00063158" w:rsidRPr="002F171D" w:rsidRDefault="00063158" w:rsidP="005D705C">
      <w:pPr>
        <w:spacing w:line="360" w:lineRule="auto"/>
        <w:jc w:val="both"/>
        <w:rPr>
          <w:rFonts w:ascii="Calisto MT" w:hAnsi="Calisto MT" w:cs="Times New Roman"/>
        </w:rPr>
      </w:pPr>
    </w:p>
    <w:p w14:paraId="24A80264" w14:textId="7F4411D0"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 xml:space="preserve">Having established and conceptualised the nature of the public data gaps problem, the second part of this chapter will now explore the relationship between public law (broadly conceived) and the problem of public data gaps. Our aim here is not to be comprehensive nor make normative claims, but it is, rather, to show how different types of public data gaps have important and diverse implications for public law and public law thought. To this end, we show how public data gaps present questions for a range of </w:t>
      </w:r>
      <w:r w:rsidR="4444700A" w:rsidRPr="002F171D">
        <w:rPr>
          <w:rFonts w:ascii="Calisto MT" w:hAnsi="Calisto MT" w:cs="Times New Roman"/>
        </w:rPr>
        <w:t xml:space="preserve">important </w:t>
      </w:r>
      <w:r w:rsidRPr="002F171D">
        <w:rPr>
          <w:rFonts w:ascii="Calisto MT" w:hAnsi="Calisto MT" w:cs="Times New Roman"/>
        </w:rPr>
        <w:t>ideas</w:t>
      </w:r>
      <w:r w:rsidR="12D46D0A" w:rsidRPr="002F171D">
        <w:rPr>
          <w:rFonts w:ascii="Calisto MT" w:hAnsi="Calisto MT" w:cs="Times New Roman"/>
        </w:rPr>
        <w:t xml:space="preserve"> in public law</w:t>
      </w:r>
      <w:r w:rsidRPr="002F171D">
        <w:rPr>
          <w:rFonts w:ascii="Calisto MT" w:hAnsi="Calisto MT" w:cs="Times New Roman"/>
        </w:rPr>
        <w:t>, including rationality and equality, record-keeping and disclosure duties, access to justice, and data protection and privacy.</w:t>
      </w:r>
    </w:p>
    <w:p w14:paraId="5C708ED1" w14:textId="77777777" w:rsidR="00063158" w:rsidRPr="002F171D" w:rsidRDefault="00063158" w:rsidP="005D705C">
      <w:pPr>
        <w:spacing w:line="360" w:lineRule="auto"/>
        <w:jc w:val="both"/>
        <w:rPr>
          <w:rFonts w:ascii="Calisto MT" w:hAnsi="Calisto MT" w:cs="Times New Roman"/>
          <w:i/>
          <w:iCs/>
        </w:rPr>
      </w:pPr>
    </w:p>
    <w:p w14:paraId="2AC70B9B" w14:textId="16B411DB" w:rsidR="00063158"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(a) </w:t>
      </w:r>
      <w:r w:rsidR="005D705C">
        <w:rPr>
          <w:rFonts w:ascii="Optima" w:hAnsi="Optima" w:cs="Times New Roman"/>
          <w:i/>
          <w:iCs/>
        </w:rPr>
        <w:tab/>
      </w:r>
      <w:r w:rsidRPr="005D705C">
        <w:rPr>
          <w:rFonts w:ascii="Optima" w:hAnsi="Optima" w:cs="Times New Roman"/>
          <w:i/>
          <w:iCs/>
        </w:rPr>
        <w:t>Rationality and equality</w:t>
      </w:r>
    </w:p>
    <w:p w14:paraId="0DCC2A2A" w14:textId="151DAAD8"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One way in which public law has potential implications for public data gaps is through the principles of judicial review acting as a legal control on decisions by public bodies not to collect relevant data.</w:t>
      </w:r>
      <w:r w:rsidRPr="002F171D">
        <w:rPr>
          <w:rFonts w:ascii="Calisto MT" w:hAnsi="Calisto MT" w:cs="Times New Roman"/>
          <w:vertAlign w:val="superscript"/>
        </w:rPr>
        <w:footnoteReference w:id="55"/>
      </w:r>
    </w:p>
    <w:p w14:paraId="6C7A4C7F" w14:textId="77777777"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The now well-established (at least in English administrative law) duty of inquiry is the most relevant principle here. The duty requires decision-makers to acquaint themselves with the relevant information that they need to </w:t>
      </w:r>
      <w:proofErr w:type="gramStart"/>
      <w:r w:rsidRPr="002F171D">
        <w:rPr>
          <w:rFonts w:ascii="Calisto MT" w:hAnsi="Calisto MT" w:cs="Times New Roman"/>
        </w:rPr>
        <w:t>make a decision</w:t>
      </w:r>
      <w:proofErr w:type="gramEnd"/>
      <w:r w:rsidRPr="002F171D">
        <w:rPr>
          <w:rFonts w:ascii="Calisto MT" w:hAnsi="Calisto MT" w:cs="Times New Roman"/>
        </w:rPr>
        <w:t xml:space="preserve">. The starting point for the duty is the famous decision of the House of Lords in </w:t>
      </w:r>
      <w:r w:rsidRPr="002F171D">
        <w:rPr>
          <w:rFonts w:ascii="Calisto MT" w:hAnsi="Calisto MT" w:cs="Times New Roman"/>
          <w:i/>
          <w:iCs/>
        </w:rPr>
        <w:t>Secretary of State for Education and Science v Tameside Metropolitan Borough Council,</w:t>
      </w:r>
      <w:r w:rsidRPr="002F171D">
        <w:rPr>
          <w:rFonts w:ascii="Calisto MT" w:hAnsi="Calisto MT" w:cs="Times New Roman"/>
        </w:rPr>
        <w:t xml:space="preserve"> within which Lord Diplock articulated the duty which falls upon a decision-maker in the following terms: </w:t>
      </w:r>
    </w:p>
    <w:p w14:paraId="2AD589AB" w14:textId="77777777" w:rsidR="00063158" w:rsidRPr="002F171D" w:rsidRDefault="00063158" w:rsidP="005D705C">
      <w:pPr>
        <w:spacing w:line="360" w:lineRule="auto"/>
        <w:jc w:val="both"/>
        <w:rPr>
          <w:rFonts w:ascii="Calisto MT" w:hAnsi="Calisto MT" w:cs="Times New Roman"/>
        </w:rPr>
      </w:pPr>
    </w:p>
    <w:p w14:paraId="5D0F1D64" w14:textId="3C243371" w:rsidR="00063158" w:rsidRPr="002F171D" w:rsidRDefault="00063158" w:rsidP="005D705C">
      <w:pPr>
        <w:spacing w:line="360" w:lineRule="auto"/>
        <w:ind w:left="720"/>
        <w:jc w:val="both"/>
        <w:rPr>
          <w:rFonts w:ascii="Calisto MT" w:hAnsi="Calisto MT" w:cs="Times New Roman"/>
          <w:sz w:val="20"/>
          <w:szCs w:val="20"/>
        </w:rPr>
      </w:pPr>
      <w:r w:rsidRPr="002F171D">
        <w:rPr>
          <w:rFonts w:ascii="Calisto MT" w:hAnsi="Calisto MT" w:cs="Times New Roman"/>
          <w:sz w:val="20"/>
          <w:szCs w:val="20"/>
        </w:rPr>
        <w:lastRenderedPageBreak/>
        <w:t>The question for the court is, did the Secretary of State ask himself the right question and take reasonable steps to acquaint himself with the relevant information to enable him to answer it correctly</w:t>
      </w:r>
      <w:r w:rsidR="4C44866F" w:rsidRPr="002F171D">
        <w:rPr>
          <w:rFonts w:ascii="Calisto MT" w:hAnsi="Calisto MT" w:cs="Times New Roman"/>
          <w:sz w:val="20"/>
          <w:szCs w:val="20"/>
        </w:rPr>
        <w:t>?</w:t>
      </w:r>
      <w:r w:rsidRPr="002F171D">
        <w:rPr>
          <w:rFonts w:ascii="Calisto MT" w:hAnsi="Calisto MT" w:cs="Times New Roman"/>
          <w:sz w:val="20"/>
          <w:szCs w:val="20"/>
          <w:vertAlign w:val="superscript"/>
        </w:rPr>
        <w:footnoteReference w:id="56"/>
      </w:r>
    </w:p>
    <w:p w14:paraId="27E76EFB" w14:textId="77777777" w:rsidR="00063158" w:rsidRPr="002F171D" w:rsidRDefault="00063158" w:rsidP="005D705C">
      <w:pPr>
        <w:spacing w:line="360" w:lineRule="auto"/>
        <w:jc w:val="both"/>
        <w:rPr>
          <w:rFonts w:ascii="Calisto MT" w:hAnsi="Calisto MT" w:cs="Times New Roman"/>
        </w:rPr>
      </w:pPr>
    </w:p>
    <w:p w14:paraId="37DF4B91" w14:textId="5D5D4C51"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 xml:space="preserve">The decades following </w:t>
      </w:r>
      <w:r w:rsidRPr="002F171D">
        <w:rPr>
          <w:rFonts w:ascii="Calisto MT" w:hAnsi="Calisto MT" w:cs="Times New Roman"/>
          <w:i/>
          <w:iCs/>
        </w:rPr>
        <w:t>Tameside</w:t>
      </w:r>
      <w:r w:rsidRPr="002F171D">
        <w:rPr>
          <w:rFonts w:ascii="Calisto MT" w:hAnsi="Calisto MT" w:cs="Times New Roman"/>
        </w:rPr>
        <w:t xml:space="preserve"> have seen the courts articulating the relevant principles as to how the duty operates—which are now often referred to as the </w:t>
      </w:r>
      <w:r w:rsidRPr="002F171D">
        <w:rPr>
          <w:rFonts w:ascii="Calisto MT" w:hAnsi="Calisto MT" w:cs="Times New Roman"/>
          <w:i/>
          <w:iCs/>
        </w:rPr>
        <w:t xml:space="preserve">Plantagenet </w:t>
      </w:r>
      <w:r w:rsidRPr="002F171D">
        <w:rPr>
          <w:rFonts w:ascii="Calisto MT" w:hAnsi="Calisto MT" w:cs="Times New Roman"/>
        </w:rPr>
        <w:t>principles.</w:t>
      </w:r>
      <w:r w:rsidRPr="002F171D">
        <w:rPr>
          <w:rFonts w:ascii="Calisto MT" w:hAnsi="Calisto MT" w:cs="Times New Roman"/>
          <w:vertAlign w:val="superscript"/>
        </w:rPr>
        <w:footnoteReference w:id="57"/>
      </w:r>
      <w:r w:rsidRPr="002F171D">
        <w:rPr>
          <w:rFonts w:ascii="Calisto MT" w:hAnsi="Calisto MT" w:cs="Times New Roman"/>
        </w:rPr>
        <w:t xml:space="preserve">  Given the approach that the courts have taken, the duty of inquiry as articulated in </w:t>
      </w:r>
      <w:r w:rsidRPr="002F171D">
        <w:rPr>
          <w:rFonts w:ascii="Calisto MT" w:hAnsi="Calisto MT" w:cs="Times New Roman"/>
          <w:i/>
          <w:iCs/>
        </w:rPr>
        <w:t xml:space="preserve">Tameside </w:t>
      </w:r>
      <w:r w:rsidRPr="002F171D">
        <w:rPr>
          <w:rFonts w:ascii="Calisto MT" w:hAnsi="Calisto MT" w:cs="Times New Roman"/>
        </w:rPr>
        <w:t>can be seen—and usually is seen—as a manifestation rationality review.</w:t>
      </w:r>
      <w:r w:rsidRPr="002F171D">
        <w:rPr>
          <w:rFonts w:ascii="Calisto MT" w:hAnsi="Calisto MT" w:cs="Times New Roman"/>
          <w:vertAlign w:val="superscript"/>
        </w:rPr>
        <w:footnoteReference w:id="58"/>
      </w:r>
      <w:r w:rsidRPr="002F171D">
        <w:rPr>
          <w:rFonts w:ascii="Calisto MT" w:hAnsi="Calisto MT" w:cs="Times New Roman"/>
        </w:rPr>
        <w:t xml:space="preserve"> Despite the reputation of such claims (</w:t>
      </w:r>
      <w:r w:rsidRPr="002F171D">
        <w:rPr>
          <w:rFonts w:ascii="Calisto MT" w:hAnsi="Calisto MT" w:cs="Times New Roman"/>
          <w:i/>
          <w:iCs/>
        </w:rPr>
        <w:t>i.e.</w:t>
      </w:r>
      <w:r w:rsidRPr="002F171D">
        <w:rPr>
          <w:rFonts w:ascii="Calisto MT" w:hAnsi="Calisto MT" w:cs="Times New Roman"/>
        </w:rPr>
        <w:t xml:space="preserve"> that they are rarely successful), the common law duty of inquiry has proven to be a routinely used ground of challenge ever since </w:t>
      </w:r>
      <w:r w:rsidRPr="002F171D">
        <w:rPr>
          <w:rFonts w:ascii="Calisto MT" w:hAnsi="Calisto MT" w:cs="Times New Roman"/>
          <w:i/>
          <w:iCs/>
        </w:rPr>
        <w:t>Tameside</w:t>
      </w:r>
      <w:r w:rsidRPr="002F171D">
        <w:rPr>
          <w:rFonts w:ascii="Calisto MT" w:hAnsi="Calisto MT" w:cs="Times New Roman"/>
        </w:rPr>
        <w:t xml:space="preserve"> and it has been deployed with some success across a variety of contexts, including planning,</w:t>
      </w:r>
      <w:r w:rsidRPr="002F171D">
        <w:rPr>
          <w:rFonts w:ascii="Calisto MT" w:hAnsi="Calisto MT" w:cs="Times New Roman"/>
          <w:vertAlign w:val="superscript"/>
        </w:rPr>
        <w:footnoteReference w:id="59"/>
      </w:r>
      <w:r w:rsidRPr="002F171D">
        <w:rPr>
          <w:rFonts w:ascii="Calisto MT" w:hAnsi="Calisto MT" w:cs="Times New Roman"/>
        </w:rPr>
        <w:t xml:space="preserve">  homelessness,</w:t>
      </w:r>
      <w:r w:rsidRPr="002F171D">
        <w:rPr>
          <w:rFonts w:ascii="Calisto MT" w:hAnsi="Calisto MT" w:cs="Times New Roman"/>
          <w:vertAlign w:val="superscript"/>
        </w:rPr>
        <w:footnoteReference w:id="60"/>
      </w:r>
      <w:r w:rsidRPr="002F171D">
        <w:rPr>
          <w:rFonts w:ascii="Calisto MT" w:hAnsi="Calisto MT" w:cs="Times New Roman"/>
        </w:rPr>
        <w:t xml:space="preserve"> the housing of asylum seekers,</w:t>
      </w:r>
      <w:r w:rsidRPr="002F171D">
        <w:rPr>
          <w:rFonts w:ascii="Calisto MT" w:hAnsi="Calisto MT" w:cs="Times New Roman"/>
          <w:vertAlign w:val="superscript"/>
        </w:rPr>
        <w:footnoteReference w:id="61"/>
      </w:r>
      <w:r w:rsidRPr="002F171D">
        <w:rPr>
          <w:rFonts w:ascii="Calisto MT" w:hAnsi="Calisto MT" w:cs="Times New Roman"/>
        </w:rPr>
        <w:t xml:space="preserve"> and taxation.</w:t>
      </w:r>
      <w:r w:rsidRPr="002F171D">
        <w:rPr>
          <w:rFonts w:ascii="Calisto MT" w:hAnsi="Calisto MT" w:cs="Times New Roman"/>
          <w:vertAlign w:val="superscript"/>
        </w:rPr>
        <w:footnoteReference w:id="62"/>
      </w:r>
      <w:r w:rsidRPr="002F171D">
        <w:rPr>
          <w:rFonts w:ascii="Calisto MT" w:hAnsi="Calisto MT" w:cs="Times New Roman"/>
        </w:rPr>
        <w:t xml:space="preserve"> </w:t>
      </w:r>
    </w:p>
    <w:p w14:paraId="44F4D0A9" w14:textId="7183839F"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Alongside the development of the common law jurisprudence, the duty of inquiry has found a new, particularised expression in the Public Sector Equality Duty.</w:t>
      </w:r>
      <w:r w:rsidRPr="002F171D">
        <w:rPr>
          <w:rFonts w:ascii="Calisto MT" w:hAnsi="Calisto MT" w:cs="Times New Roman"/>
          <w:vertAlign w:val="superscript"/>
        </w:rPr>
        <w:footnoteReference w:id="63"/>
      </w:r>
      <w:r w:rsidRPr="002F171D">
        <w:rPr>
          <w:rFonts w:ascii="Calisto MT" w:hAnsi="Calisto MT" w:cs="Times New Roman"/>
        </w:rPr>
        <w:t xml:space="preserve"> The Public Sector Equality Duty places a duty on public authorities, and those who exercise public functions, to have due regard to the need to eliminate discrimination, advance equality of opportunity, and foster good relations between those who do and do not share a protected characteristic—the protected characteristics within the Act are age, disability, gender reassignment, marriage and civil partnership, pregnancy and maternity, race, religion or belief, sex, and sexual orientation.</w:t>
      </w:r>
      <w:r w:rsidRPr="002F171D">
        <w:rPr>
          <w:rFonts w:ascii="Calisto MT" w:hAnsi="Calisto MT" w:cs="Times New Roman"/>
          <w:vertAlign w:val="superscript"/>
        </w:rPr>
        <w:footnoteReference w:id="64"/>
      </w:r>
      <w:r w:rsidRPr="002F171D">
        <w:rPr>
          <w:rFonts w:ascii="Calisto MT" w:hAnsi="Calisto MT" w:cs="Times New Roman"/>
        </w:rPr>
        <w:t xml:space="preserve"> Through this legislative scheme, both the Public Sector Equality Duty and the common law duty of inquiry can effectively place a similar duty of inquiry on decision-makers, with the Public Sector Equality Duty described variously as a ‘sensible way of framing the </w:t>
      </w:r>
      <w:r w:rsidRPr="002F171D">
        <w:rPr>
          <w:rFonts w:ascii="Calisto MT" w:hAnsi="Calisto MT" w:cs="Times New Roman"/>
          <w:i/>
          <w:iCs/>
        </w:rPr>
        <w:t>Tameside</w:t>
      </w:r>
      <w:r w:rsidRPr="002F171D">
        <w:rPr>
          <w:rFonts w:ascii="Calisto MT" w:hAnsi="Calisto MT" w:cs="Times New Roman"/>
        </w:rPr>
        <w:t xml:space="preserve"> duty’</w:t>
      </w:r>
      <w:r w:rsidRPr="002F171D">
        <w:rPr>
          <w:rFonts w:ascii="Calisto MT" w:hAnsi="Calisto MT" w:cs="Times New Roman"/>
          <w:vertAlign w:val="superscript"/>
        </w:rPr>
        <w:footnoteReference w:id="65"/>
      </w:r>
      <w:r w:rsidR="45263D69" w:rsidRPr="002F171D">
        <w:rPr>
          <w:rFonts w:ascii="Calisto MT" w:hAnsi="Calisto MT" w:cs="Times New Roman"/>
        </w:rPr>
        <w:t xml:space="preserve"> </w:t>
      </w:r>
      <w:r w:rsidRPr="002F171D">
        <w:rPr>
          <w:rFonts w:ascii="Calisto MT" w:hAnsi="Calisto MT" w:cs="Times New Roman"/>
        </w:rPr>
        <w:t>and as ‘involving a duty of inquiry.’</w:t>
      </w:r>
      <w:r w:rsidRPr="002F171D">
        <w:rPr>
          <w:rFonts w:ascii="Calisto MT" w:hAnsi="Calisto MT" w:cs="Times New Roman"/>
          <w:vertAlign w:val="superscript"/>
        </w:rPr>
        <w:footnoteReference w:id="66"/>
      </w:r>
      <w:r w:rsidRPr="002F171D">
        <w:rPr>
          <w:rFonts w:ascii="Calisto MT" w:hAnsi="Calisto MT" w:cs="Times New Roman"/>
        </w:rPr>
        <w:t xml:space="preserve"> </w:t>
      </w:r>
    </w:p>
    <w:p w14:paraId="362FA409" w14:textId="5FA5AA4F"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lastRenderedPageBreak/>
        <w:t>The Courts have now developed extensive jurisprudence pertaining to the Public Sector Equality Duty.</w:t>
      </w:r>
      <w:r w:rsidRPr="002F171D">
        <w:rPr>
          <w:rFonts w:ascii="Calisto MT" w:hAnsi="Calisto MT" w:cs="Times New Roman"/>
          <w:vertAlign w:val="superscript"/>
        </w:rPr>
        <w:footnoteReference w:id="67"/>
      </w:r>
      <w:r w:rsidRPr="002F171D">
        <w:rPr>
          <w:rFonts w:ascii="Calisto MT" w:hAnsi="Calisto MT" w:cs="Times New Roman"/>
        </w:rPr>
        <w:t xml:space="preserve"> The Equality and Human Rights Commission also produces Technical Guidance on how to implement the Duty.</w:t>
      </w:r>
      <w:r w:rsidRPr="002F171D">
        <w:rPr>
          <w:rFonts w:ascii="Calisto MT" w:hAnsi="Calisto MT" w:cs="Times New Roman"/>
          <w:vertAlign w:val="superscript"/>
        </w:rPr>
        <w:footnoteReference w:id="68"/>
      </w:r>
      <w:r w:rsidRPr="002F171D">
        <w:rPr>
          <w:rFonts w:ascii="Calisto MT" w:hAnsi="Calisto MT" w:cs="Times New Roman"/>
        </w:rPr>
        <w:t xml:space="preserve"> Chapter 5 sets out the need to engage with ‘equality evidence’ when discharging the PSED.</w:t>
      </w:r>
      <w:r w:rsidRPr="002F171D">
        <w:rPr>
          <w:rFonts w:ascii="Calisto MT" w:hAnsi="Calisto MT" w:cs="Times New Roman"/>
          <w:vertAlign w:val="superscript"/>
        </w:rPr>
        <w:footnoteReference w:id="69"/>
      </w:r>
      <w:r w:rsidRPr="002F171D">
        <w:rPr>
          <w:rFonts w:ascii="Calisto MT" w:hAnsi="Calisto MT" w:cs="Times New Roman"/>
        </w:rPr>
        <w:t xml:space="preserve"> Elsewhere, the Technical Guidance sets out that decision-makers should ‘remain alert to new evidence suggesting that discrimination or other prohibited conduct is, or could be, occurring and take appropriate action to prevent this happening’.</w:t>
      </w:r>
      <w:r w:rsidRPr="002F171D">
        <w:rPr>
          <w:rFonts w:ascii="Calisto MT" w:hAnsi="Calisto MT" w:cs="Times New Roman"/>
          <w:vertAlign w:val="superscript"/>
        </w:rPr>
        <w:footnoteReference w:id="70"/>
      </w:r>
      <w:r w:rsidRPr="002F171D">
        <w:rPr>
          <w:rFonts w:ascii="Calisto MT" w:hAnsi="Calisto MT" w:cs="Times New Roman"/>
        </w:rPr>
        <w:t xml:space="preserve"> Furthermore, the Technical Guidance provides that, under the PSED, public bodies should consider whether they have ‘enough information about levels of participation in [its] activities of people with different protected characteristics to enable it to have due regard to encouraging participation’ and that ensuring this may involve the collection of data broken down by protected characteristic.</w:t>
      </w:r>
      <w:r w:rsidRPr="002F171D">
        <w:rPr>
          <w:rFonts w:ascii="Calisto MT" w:hAnsi="Calisto MT" w:cs="Times New Roman"/>
          <w:vertAlign w:val="superscript"/>
        </w:rPr>
        <w:footnoteReference w:id="71"/>
      </w:r>
      <w:r w:rsidRPr="002F171D">
        <w:rPr>
          <w:rFonts w:ascii="Calisto MT" w:hAnsi="Calisto MT" w:cs="Times New Roman"/>
        </w:rPr>
        <w:t xml:space="preserve"> </w:t>
      </w:r>
    </w:p>
    <w:p w14:paraId="5CB4C7B5" w14:textId="077DAADF"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The duty of inquiry is now a well-established component of the public law landscape. At common law, the </w:t>
      </w:r>
      <w:r w:rsidRPr="002F171D">
        <w:rPr>
          <w:rFonts w:ascii="Calisto MT" w:hAnsi="Calisto MT" w:cs="Times New Roman"/>
          <w:i/>
          <w:iCs/>
        </w:rPr>
        <w:t>Tameside</w:t>
      </w:r>
      <w:r w:rsidRPr="002F171D">
        <w:rPr>
          <w:rFonts w:ascii="Calisto MT" w:hAnsi="Calisto MT" w:cs="Times New Roman"/>
        </w:rPr>
        <w:t xml:space="preserve"> principles are clear. At the same time, it has found new expression in statute through the PSED. Importantly, for the purposes of the present discussion, there is also no reason the duty ought not to be applied to systemic decisions to collect—or refuse to collect—data. The courts have recognised this by hearing claims based on the duty of inquiry concerning systemic data collection issues. For instance, in the recent landmark Court of Appeal decision in </w:t>
      </w:r>
      <w:r w:rsidRPr="002F171D">
        <w:rPr>
          <w:rFonts w:ascii="Calisto MT" w:hAnsi="Calisto MT" w:cs="Times New Roman"/>
          <w:i/>
          <w:iCs/>
        </w:rPr>
        <w:t>R (Bridges) v South Wales Police</w:t>
      </w:r>
      <w:r w:rsidRPr="002F171D">
        <w:rPr>
          <w:rFonts w:ascii="Calisto MT" w:hAnsi="Calisto MT" w:cs="Times New Roman"/>
        </w:rPr>
        <w:t>,</w:t>
      </w:r>
      <w:r w:rsidRPr="002F171D">
        <w:rPr>
          <w:rFonts w:ascii="Calisto MT" w:hAnsi="Calisto MT" w:cs="Times New Roman"/>
          <w:vertAlign w:val="superscript"/>
        </w:rPr>
        <w:footnoteReference w:id="72"/>
      </w:r>
      <w:r w:rsidRPr="002F171D">
        <w:rPr>
          <w:rFonts w:ascii="Calisto MT" w:hAnsi="Calisto MT" w:cs="Times New Roman"/>
        </w:rPr>
        <w:t xml:space="preserve"> there was extensive discussion of how the Public Sector Equality Duty related to the controversial deployment of automated facial recognition by the South Wales police. The Court of Appeal held that public bodies must take positive steps to identify and address the risks of algorithmic discrimination:</w:t>
      </w:r>
    </w:p>
    <w:p w14:paraId="1E5E4DD0" w14:textId="77777777" w:rsidR="00063158" w:rsidRPr="002F171D" w:rsidRDefault="00063158" w:rsidP="005D705C">
      <w:pPr>
        <w:spacing w:line="360" w:lineRule="auto"/>
        <w:jc w:val="both"/>
        <w:rPr>
          <w:rFonts w:ascii="Calisto MT" w:hAnsi="Calisto MT" w:cs="Times New Roman"/>
        </w:rPr>
      </w:pPr>
    </w:p>
    <w:p w14:paraId="22DBDCFC" w14:textId="77777777" w:rsidR="00063158" w:rsidRPr="002F171D" w:rsidRDefault="00063158" w:rsidP="005D705C">
      <w:pPr>
        <w:spacing w:line="360" w:lineRule="auto"/>
        <w:ind w:left="720"/>
        <w:jc w:val="both"/>
        <w:rPr>
          <w:rFonts w:ascii="Calisto MT" w:hAnsi="Calisto MT" w:cs="Times New Roman"/>
          <w:sz w:val="20"/>
          <w:szCs w:val="20"/>
        </w:rPr>
      </w:pPr>
      <w:r w:rsidRPr="002F171D">
        <w:rPr>
          <w:rFonts w:ascii="Calisto MT" w:hAnsi="Calisto MT" w:cs="Times New Roman"/>
          <w:sz w:val="20"/>
          <w:szCs w:val="20"/>
        </w:rPr>
        <w:t xml:space="preserve">In all the circumstances, therefore, we have reached the conclusion that [South Wales Police] have not done all that they reasonably could to fulfil the [Public Sector Equality Duty]. We would hope that, as [automated facial recognition] is a novel and controversial technology, all police forces that intend to use it in the future would wish to satisfy themselves that everything reasonable which </w:t>
      </w:r>
      <w:r w:rsidRPr="002F171D">
        <w:rPr>
          <w:rFonts w:ascii="Calisto MT" w:hAnsi="Calisto MT" w:cs="Times New Roman"/>
          <w:sz w:val="20"/>
          <w:szCs w:val="20"/>
        </w:rPr>
        <w:lastRenderedPageBreak/>
        <w:t xml:space="preserve">could be done had been done </w:t>
      </w:r>
      <w:proofErr w:type="gramStart"/>
      <w:r w:rsidRPr="002F171D">
        <w:rPr>
          <w:rFonts w:ascii="Calisto MT" w:hAnsi="Calisto MT" w:cs="Times New Roman"/>
          <w:sz w:val="20"/>
          <w:szCs w:val="20"/>
        </w:rPr>
        <w:t>in order to</w:t>
      </w:r>
      <w:proofErr w:type="gramEnd"/>
      <w:r w:rsidRPr="002F171D">
        <w:rPr>
          <w:rFonts w:ascii="Calisto MT" w:hAnsi="Calisto MT" w:cs="Times New Roman"/>
          <w:sz w:val="20"/>
          <w:szCs w:val="20"/>
        </w:rPr>
        <w:t xml:space="preserve"> make sure that the software used does not have a racial or gender bias.</w:t>
      </w:r>
      <w:r w:rsidRPr="002F171D">
        <w:rPr>
          <w:rFonts w:ascii="Calisto MT" w:hAnsi="Calisto MT" w:cs="Times New Roman"/>
          <w:sz w:val="20"/>
          <w:szCs w:val="20"/>
          <w:vertAlign w:val="superscript"/>
        </w:rPr>
        <w:footnoteReference w:id="73"/>
      </w:r>
    </w:p>
    <w:p w14:paraId="67B980C4" w14:textId="77777777" w:rsidR="00063158" w:rsidRPr="002F171D" w:rsidRDefault="00063158" w:rsidP="005D705C">
      <w:pPr>
        <w:spacing w:line="360" w:lineRule="auto"/>
        <w:jc w:val="both"/>
        <w:rPr>
          <w:rFonts w:ascii="Calisto MT" w:hAnsi="Calisto MT" w:cs="Times New Roman"/>
        </w:rPr>
      </w:pPr>
    </w:p>
    <w:p w14:paraId="528DDB82" w14:textId="77777777"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A particularly clear example of how system-level application of the duty of inquiry is almost uncontroversial can be seen in a recent claim brought by the Joint Council for the Welfare of Immigrants.</w:t>
      </w:r>
      <w:r w:rsidRPr="002F171D">
        <w:rPr>
          <w:rFonts w:ascii="Calisto MT" w:hAnsi="Calisto MT" w:cs="Times New Roman"/>
          <w:vertAlign w:val="superscript"/>
        </w:rPr>
        <w:footnoteReference w:id="74"/>
      </w:r>
      <w:r w:rsidRPr="002F171D">
        <w:rPr>
          <w:rFonts w:ascii="Calisto MT" w:hAnsi="Calisto MT" w:cs="Times New Roman"/>
        </w:rPr>
        <w:t xml:space="preserve"> The claimant argued that the Secretary of State for the Home Department failed to collect sufficient systemic data relevant to the adoption and implementation of a cut-off date for a certain category of immigration applications. The claim was advanced in both Public Sector Equality Duty and </w:t>
      </w:r>
      <w:r w:rsidRPr="002F171D">
        <w:rPr>
          <w:rFonts w:ascii="Calisto MT" w:hAnsi="Calisto MT" w:cs="Times New Roman"/>
          <w:i/>
          <w:iCs/>
        </w:rPr>
        <w:t>Tameside</w:t>
      </w:r>
      <w:r w:rsidRPr="002F171D">
        <w:rPr>
          <w:rFonts w:ascii="Calisto MT" w:hAnsi="Calisto MT" w:cs="Times New Roman"/>
        </w:rPr>
        <w:t xml:space="preserve"> terms. On the particular facts of the case, the claim was refused permission, but the salient feature of the litigation for the present purposes is that both the Administrative Court and the Secretary of State accepted both that there was a duty of inquiry and that the applicable test was the rationality</w:t>
      </w:r>
      <w:r w:rsidRPr="002F171D">
        <w:rPr>
          <w:rFonts w:ascii="Calisto MT" w:hAnsi="Calisto MT" w:cs="Times New Roman"/>
          <w:i/>
          <w:iCs/>
        </w:rPr>
        <w:t xml:space="preserve"> </w:t>
      </w:r>
      <w:r w:rsidRPr="002F171D">
        <w:rPr>
          <w:rFonts w:ascii="Calisto MT" w:hAnsi="Calisto MT" w:cs="Times New Roman"/>
        </w:rPr>
        <w:t>standard.</w:t>
      </w:r>
      <w:r w:rsidRPr="002F171D">
        <w:rPr>
          <w:rFonts w:ascii="Calisto MT" w:hAnsi="Calisto MT" w:cs="Times New Roman"/>
          <w:vertAlign w:val="superscript"/>
        </w:rPr>
        <w:footnoteReference w:id="75"/>
      </w:r>
      <w:r w:rsidRPr="002F171D">
        <w:rPr>
          <w:rFonts w:ascii="Calisto MT" w:hAnsi="Calisto MT" w:cs="Times New Roman"/>
        </w:rPr>
        <w:t xml:space="preserve"> Lieven J. concluded:</w:t>
      </w:r>
    </w:p>
    <w:p w14:paraId="272AF12E" w14:textId="77777777" w:rsidR="00063158" w:rsidRPr="002F171D" w:rsidRDefault="00063158" w:rsidP="005D705C">
      <w:pPr>
        <w:spacing w:line="360" w:lineRule="auto"/>
        <w:jc w:val="both"/>
        <w:rPr>
          <w:rFonts w:ascii="Calisto MT" w:hAnsi="Calisto MT" w:cs="Times New Roman"/>
        </w:rPr>
      </w:pPr>
    </w:p>
    <w:p w14:paraId="35733B37" w14:textId="77777777" w:rsidR="00063158" w:rsidRPr="002F171D" w:rsidRDefault="00063158" w:rsidP="005D705C">
      <w:pPr>
        <w:spacing w:line="360" w:lineRule="auto"/>
        <w:ind w:left="720"/>
        <w:jc w:val="both"/>
        <w:rPr>
          <w:rFonts w:ascii="Calisto MT" w:hAnsi="Calisto MT" w:cs="Times New Roman"/>
          <w:sz w:val="20"/>
          <w:szCs w:val="20"/>
        </w:rPr>
      </w:pPr>
      <w:r w:rsidRPr="002F171D">
        <w:rPr>
          <w:rFonts w:ascii="Calisto MT" w:hAnsi="Calisto MT" w:cs="Times New Roman"/>
          <w:sz w:val="20"/>
          <w:szCs w:val="20"/>
        </w:rPr>
        <w:t xml:space="preserve">I accept that there is a duty of inquiry pursuant to </w:t>
      </w:r>
      <w:r w:rsidRPr="002F171D">
        <w:rPr>
          <w:rFonts w:ascii="Calisto MT" w:hAnsi="Calisto MT" w:cs="Times New Roman"/>
          <w:i/>
          <w:iCs/>
          <w:sz w:val="20"/>
          <w:szCs w:val="20"/>
        </w:rPr>
        <w:t>Tameside</w:t>
      </w:r>
      <w:r w:rsidRPr="002F171D">
        <w:rPr>
          <w:rFonts w:ascii="Calisto MT" w:hAnsi="Calisto MT" w:cs="Times New Roman"/>
          <w:sz w:val="20"/>
          <w:szCs w:val="20"/>
        </w:rPr>
        <w:t xml:space="preserve">. It seems to me that must be inherent within s.149. But the law is clear that a judicial review can only be brought in respect of an alleged failure to meet the duty of enquiry on Wednesbury rationality grounds. To some degree, I accept that </w:t>
      </w:r>
      <w:r w:rsidRPr="002F171D">
        <w:rPr>
          <w:rFonts w:ascii="Calisto MT" w:hAnsi="Calisto MT" w:cs="Times New Roman"/>
          <w:i/>
          <w:iCs/>
          <w:sz w:val="20"/>
          <w:szCs w:val="20"/>
        </w:rPr>
        <w:t>Wednesbury</w:t>
      </w:r>
      <w:r w:rsidRPr="002F171D">
        <w:rPr>
          <w:rFonts w:ascii="Calisto MT" w:hAnsi="Calisto MT" w:cs="Times New Roman"/>
          <w:sz w:val="20"/>
          <w:szCs w:val="20"/>
        </w:rPr>
        <w:t xml:space="preserve"> will be context specific, whilst remaining a necessarily high test for a claimant.</w:t>
      </w:r>
      <w:r w:rsidRPr="002F171D">
        <w:rPr>
          <w:rFonts w:ascii="Calisto MT" w:hAnsi="Calisto MT" w:cs="Times New Roman"/>
          <w:sz w:val="20"/>
          <w:szCs w:val="20"/>
          <w:vertAlign w:val="superscript"/>
        </w:rPr>
        <w:footnoteReference w:id="76"/>
      </w:r>
    </w:p>
    <w:p w14:paraId="20B38E17" w14:textId="77777777" w:rsidR="00063158" w:rsidRPr="002F171D" w:rsidRDefault="00063158" w:rsidP="005D705C">
      <w:pPr>
        <w:spacing w:line="360" w:lineRule="auto"/>
        <w:jc w:val="both"/>
        <w:rPr>
          <w:rFonts w:ascii="Calisto MT" w:hAnsi="Calisto MT" w:cs="Times New Roman"/>
        </w:rPr>
      </w:pPr>
    </w:p>
    <w:p w14:paraId="235ECB6B" w14:textId="0E7E9208" w:rsidR="00063158" w:rsidRPr="002F171D" w:rsidRDefault="00063158" w:rsidP="005D705C">
      <w:pPr>
        <w:spacing w:line="360" w:lineRule="auto"/>
        <w:ind w:firstLine="720"/>
        <w:jc w:val="both"/>
        <w:rPr>
          <w:rFonts w:ascii="Calisto MT" w:hAnsi="Calisto MT" w:cs="Times New Roman"/>
          <w:b/>
          <w:bCs/>
        </w:rPr>
      </w:pPr>
      <w:r w:rsidRPr="002F171D">
        <w:rPr>
          <w:rFonts w:ascii="Calisto MT" w:hAnsi="Calisto MT" w:cs="Times New Roman"/>
        </w:rPr>
        <w:t>The reason that decisions</w:t>
      </w:r>
      <w:r w:rsidR="4735BD56" w:rsidRPr="002F171D">
        <w:rPr>
          <w:rFonts w:ascii="Calisto MT" w:hAnsi="Calisto MT" w:cs="Times New Roman"/>
        </w:rPr>
        <w:t xml:space="preserve"> (or omissions)</w:t>
      </w:r>
      <w:r w:rsidRPr="002F171D">
        <w:rPr>
          <w:rFonts w:ascii="Calisto MT" w:hAnsi="Calisto MT" w:cs="Times New Roman"/>
        </w:rPr>
        <w:t xml:space="preserve"> that lead to public data gaps might be open to judicial review, and they have been treated as such, is straightforward: they are subject to the rationality standard in the same way that non-systemic, individualised administrative decisions are subject to that standard. If a decision not to collect systemic data (or an omission to even consider it to the same effect), when viewed in its context, is ‘a decision so unreasonable that no reasonable authority could have possibly made it,’ then it too will arguably be unlawful.</w:t>
      </w:r>
      <w:r w:rsidRPr="002F171D">
        <w:rPr>
          <w:rFonts w:ascii="Calisto MT" w:hAnsi="Calisto MT" w:cs="Times New Roman"/>
          <w:vertAlign w:val="superscript"/>
        </w:rPr>
        <w:footnoteReference w:id="77"/>
      </w:r>
      <w:r w:rsidR="00FC40BA" w:rsidRPr="002F171D">
        <w:rPr>
          <w:rFonts w:ascii="Calisto MT" w:hAnsi="Calisto MT" w:cs="Times New Roman"/>
        </w:rPr>
        <w:t xml:space="preserve"> </w:t>
      </w:r>
      <w:r w:rsidR="66CEBE6A" w:rsidRPr="002F171D">
        <w:rPr>
          <w:rFonts w:ascii="Calisto MT" w:hAnsi="Calisto MT" w:cs="Times New Roman"/>
        </w:rPr>
        <w:t xml:space="preserve">In the recent case of </w:t>
      </w:r>
      <w:r w:rsidR="66CEBE6A" w:rsidRPr="002F171D">
        <w:rPr>
          <w:rFonts w:ascii="Calisto MT" w:hAnsi="Calisto MT" w:cs="Times New Roman"/>
          <w:i/>
          <w:iCs/>
        </w:rPr>
        <w:t xml:space="preserve">R. (on the application of DXK) v Secretary of State for the Home Department, </w:t>
      </w:r>
      <w:r w:rsidR="00FC40BA" w:rsidRPr="002F171D">
        <w:rPr>
          <w:rFonts w:ascii="Calisto MT" w:hAnsi="Calisto MT" w:cs="Times New Roman"/>
        </w:rPr>
        <w:t>Paul Bowen KC, sitting as a Deputy High Court Judge</w:t>
      </w:r>
      <w:r w:rsidR="70211C7C" w:rsidRPr="002F171D">
        <w:rPr>
          <w:rFonts w:ascii="Calisto MT" w:hAnsi="Calisto MT" w:cs="Times New Roman"/>
        </w:rPr>
        <w:t xml:space="preserve">, held that </w:t>
      </w:r>
      <w:r w:rsidR="0BDD6837" w:rsidRPr="002F171D">
        <w:rPr>
          <w:rFonts w:ascii="Calisto MT" w:hAnsi="Calisto MT" w:cs="Times New Roman"/>
        </w:rPr>
        <w:t xml:space="preserve">the </w:t>
      </w:r>
      <w:r w:rsidR="70211C7C" w:rsidRPr="002F171D">
        <w:rPr>
          <w:rFonts w:ascii="Calisto MT" w:hAnsi="Calisto MT" w:cs="Times New Roman"/>
        </w:rPr>
        <w:t xml:space="preserve">Secretary of State was in breach of the public sector equality duty under the Equality Act 2010 s.149 because of his failure to conduct any statistical data monitoring on the provision of accommodation under the Immigration and Asylum Act </w:t>
      </w:r>
      <w:r w:rsidR="70211C7C" w:rsidRPr="002F171D">
        <w:rPr>
          <w:rFonts w:ascii="Calisto MT" w:hAnsi="Calisto MT" w:cs="Times New Roman"/>
        </w:rPr>
        <w:lastRenderedPageBreak/>
        <w:t>1999 to pregnant and new mother asylum seekers.</w:t>
      </w:r>
      <w:r w:rsidRPr="002F171D">
        <w:rPr>
          <w:rStyle w:val="FootnoteReference"/>
          <w:rFonts w:ascii="Calisto MT" w:hAnsi="Calisto MT" w:cs="Times New Roman"/>
        </w:rPr>
        <w:footnoteReference w:id="78"/>
      </w:r>
      <w:r w:rsidR="24248BD2" w:rsidRPr="002F171D">
        <w:rPr>
          <w:rFonts w:ascii="Calisto MT" w:hAnsi="Calisto MT" w:cs="Times New Roman"/>
        </w:rPr>
        <w:t xml:space="preserve"> </w:t>
      </w:r>
      <w:r w:rsidRPr="002F171D">
        <w:rPr>
          <w:rFonts w:ascii="Calisto MT" w:hAnsi="Calisto MT" w:cs="Times New Roman"/>
        </w:rPr>
        <w:t>In this way, public law may contain an underappreciated means of challenging collection gaps and other forms of public data gaps.</w:t>
      </w:r>
    </w:p>
    <w:p w14:paraId="06AE9128" w14:textId="77777777" w:rsidR="00063158" w:rsidRPr="002F171D" w:rsidRDefault="00063158" w:rsidP="005D705C">
      <w:pPr>
        <w:spacing w:line="360" w:lineRule="auto"/>
        <w:jc w:val="both"/>
        <w:rPr>
          <w:rFonts w:ascii="Calisto MT" w:hAnsi="Calisto MT" w:cs="Times New Roman"/>
        </w:rPr>
      </w:pPr>
    </w:p>
    <w:p w14:paraId="045578F1" w14:textId="5F45AC4C" w:rsidR="00063158"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(b) </w:t>
      </w:r>
      <w:r w:rsidR="005D705C">
        <w:rPr>
          <w:rFonts w:ascii="Optima" w:hAnsi="Optima" w:cs="Times New Roman"/>
          <w:i/>
          <w:iCs/>
        </w:rPr>
        <w:tab/>
      </w:r>
      <w:r w:rsidRPr="005D705C">
        <w:rPr>
          <w:rFonts w:ascii="Optima" w:hAnsi="Optima" w:cs="Times New Roman"/>
          <w:i/>
          <w:iCs/>
        </w:rPr>
        <w:t xml:space="preserve">Record-keeping and disclosure </w:t>
      </w:r>
    </w:p>
    <w:p w14:paraId="40DCA1BC" w14:textId="0EEFB688"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Going beyond duties of inquiry, further public law issues arise around data gaps when, in administrative settings, it is appreciated that data goes on a</w:t>
      </w:r>
      <w:r w:rsidR="03047E26" w:rsidRPr="002F171D">
        <w:rPr>
          <w:rFonts w:ascii="Calisto MT" w:hAnsi="Calisto MT" w:cs="Times New Roman"/>
        </w:rPr>
        <w:t xml:space="preserve"> type of</w:t>
      </w:r>
      <w:r w:rsidRPr="002F171D">
        <w:rPr>
          <w:rFonts w:ascii="Calisto MT" w:hAnsi="Calisto MT" w:cs="Times New Roman"/>
        </w:rPr>
        <w:t xml:space="preserve"> ‘public law journey.’ The ‘journey’ begins with the collection, or creation, of data—where, as discussed, principles such as rationality might apply. However, at the next step of the ‘journey,’ data is subject to retention and consideration duties. Applicable duties at this stage include (again) the Public Sector Equality Duty and the Public Records Act 1958.</w:t>
      </w:r>
      <w:r w:rsidRPr="002F171D">
        <w:rPr>
          <w:rFonts w:ascii="Calisto MT" w:hAnsi="Calisto MT" w:cs="Times New Roman"/>
          <w:vertAlign w:val="superscript"/>
        </w:rPr>
        <w:footnoteReference w:id="79"/>
      </w:r>
      <w:r w:rsidRPr="002F171D">
        <w:rPr>
          <w:rFonts w:ascii="Calisto MT" w:hAnsi="Calisto MT" w:cs="Times New Roman"/>
        </w:rPr>
        <w:t xml:space="preserve"> Finally, data may be subject to the final stage disclosure processes and duties. Disclosure may be the result of the application of the common law duty of candour in judicial review proceedings,</w:t>
      </w:r>
      <w:r w:rsidRPr="002F171D">
        <w:rPr>
          <w:rFonts w:ascii="Calisto MT" w:hAnsi="Calisto MT" w:cs="Times New Roman"/>
          <w:vertAlign w:val="superscript"/>
        </w:rPr>
        <w:footnoteReference w:id="80"/>
      </w:r>
      <w:r w:rsidRPr="002F171D">
        <w:rPr>
          <w:rFonts w:ascii="Calisto MT" w:hAnsi="Calisto MT" w:cs="Times New Roman"/>
        </w:rPr>
        <w:t xml:space="preserve"> or alternatively, compelled under the operation of inquiries law, or via statutory routes to information such as the Freedom of Information Act 2000.</w:t>
      </w:r>
    </w:p>
    <w:p w14:paraId="263A3637" w14:textId="5B09ED6E" w:rsidR="00063158" w:rsidRPr="002F171D" w:rsidRDefault="3489BB61" w:rsidP="005D705C">
      <w:pPr>
        <w:spacing w:line="360" w:lineRule="auto"/>
        <w:ind w:firstLine="720"/>
        <w:jc w:val="both"/>
        <w:rPr>
          <w:rFonts w:ascii="Calisto MT" w:hAnsi="Calisto MT" w:cs="Times New Roman"/>
        </w:rPr>
      </w:pPr>
      <w:r w:rsidRPr="002F171D">
        <w:rPr>
          <w:rFonts w:ascii="Calisto MT" w:hAnsi="Calisto MT" w:cs="Times New Roman"/>
        </w:rPr>
        <w:t xml:space="preserve">Thinking of data gaps within the ‘public law journey’ is useful insofar as it illustrates an important point: that data goes on a journey from collection to disclosure, and that the failure, or absence, of a robust framework at the initial stage arguably jeopardises the possibility of compliance with all later duties. Considering the duties sequentially thus underscores how interconnected these duties are. The “journey” demonstrates not only the </w:t>
      </w:r>
      <w:proofErr w:type="gramStart"/>
      <w:r w:rsidRPr="002F171D">
        <w:rPr>
          <w:rFonts w:ascii="Calisto MT" w:hAnsi="Calisto MT" w:cs="Times New Roman"/>
        </w:rPr>
        <w:t>myriad</w:t>
      </w:r>
      <w:proofErr w:type="gramEnd"/>
      <w:r w:rsidRPr="002F171D">
        <w:rPr>
          <w:rFonts w:ascii="Calisto MT" w:hAnsi="Calisto MT" w:cs="Times New Roman"/>
        </w:rPr>
        <w:t xml:space="preserve"> of ways in which administrative law is concerned with data, but the critical importance of quality data collection and record creation as the first step. If there is no data, duties to consider or disclose information cannot play an effective role in ensuring transparent and effective governance. If there is insufficient, partial, or low-quality data, duties of disclosure many nonetheless require the sharing of such data, and ordinary public law principles may bite to find decision-making processes unlawful as a result. </w:t>
      </w:r>
    </w:p>
    <w:p w14:paraId="55DB841F" w14:textId="26E67AF1" w:rsidR="00063158" w:rsidRPr="002F171D" w:rsidRDefault="7B01D891" w:rsidP="005D705C">
      <w:pPr>
        <w:spacing w:line="360" w:lineRule="auto"/>
        <w:ind w:firstLine="720"/>
        <w:jc w:val="both"/>
        <w:rPr>
          <w:rFonts w:ascii="Calisto MT" w:hAnsi="Calisto MT" w:cs="Times New Roman"/>
        </w:rPr>
      </w:pPr>
      <w:r w:rsidRPr="002F171D">
        <w:rPr>
          <w:rFonts w:ascii="Calisto MT" w:hAnsi="Calisto MT" w:cs="Times New Roman"/>
        </w:rPr>
        <w:t>Disclosure frameworks do not necessarily help address data gaps, but</w:t>
      </w:r>
      <w:r w:rsidR="5F8F3399" w:rsidRPr="002F171D">
        <w:rPr>
          <w:rFonts w:ascii="Calisto MT" w:hAnsi="Calisto MT" w:cs="Times New Roman"/>
        </w:rPr>
        <w:t xml:space="preserve"> do embed</w:t>
      </w:r>
      <w:r w:rsidRPr="002F171D">
        <w:rPr>
          <w:rFonts w:ascii="Calisto MT" w:hAnsi="Calisto MT" w:cs="Times New Roman"/>
        </w:rPr>
        <w:t xml:space="preserve"> tools for their identification, and</w:t>
      </w:r>
      <w:r w:rsidR="13D55AEF" w:rsidRPr="002F171D">
        <w:rPr>
          <w:rFonts w:ascii="Calisto MT" w:hAnsi="Calisto MT" w:cs="Times New Roman"/>
        </w:rPr>
        <w:t xml:space="preserve">, where relevant, potential unlawfulness. </w:t>
      </w:r>
      <w:r w:rsidR="070F1F17" w:rsidRPr="002F171D">
        <w:rPr>
          <w:rFonts w:ascii="Calisto MT" w:hAnsi="Calisto MT" w:cs="Times New Roman"/>
        </w:rPr>
        <w:t>S</w:t>
      </w:r>
      <w:r w:rsidR="00063158" w:rsidRPr="002F171D">
        <w:rPr>
          <w:rFonts w:ascii="Calisto MT" w:hAnsi="Calisto MT" w:cs="Times New Roman"/>
        </w:rPr>
        <w:t xml:space="preserve">tatutory routes </w:t>
      </w:r>
      <w:r w:rsidR="00063158" w:rsidRPr="002F171D">
        <w:rPr>
          <w:rFonts w:ascii="Calisto MT" w:hAnsi="Calisto MT" w:cs="Times New Roman"/>
        </w:rPr>
        <w:lastRenderedPageBreak/>
        <w:t>to information are not necessarily helpful in operating to secure data or prevent data gaps, as they often attach at the end of the ‘journey.’ The Freedom of Information Act—which gives any person the right to make a request for information to a public authority, and to receive a written response</w:t>
      </w:r>
      <w:r w:rsidR="00063158" w:rsidRPr="002F171D">
        <w:rPr>
          <w:rFonts w:ascii="Calisto MT" w:hAnsi="Calisto MT" w:cs="Times New Roman"/>
          <w:vertAlign w:val="superscript"/>
        </w:rPr>
        <w:footnoteReference w:id="81"/>
      </w:r>
      <w:r w:rsidR="00063158" w:rsidRPr="002F171D">
        <w:rPr>
          <w:rFonts w:ascii="Calisto MT" w:hAnsi="Calisto MT" w:cs="Times New Roman"/>
        </w:rPr>
        <w:t xml:space="preserve"> - will not help to address a collection gap, because if there is no information gathered to provide, the Freedom of Information Act will not help. Similarly, open access campaigners report that exemptions are invoked by public officials liberally to avoid responding to requests, using the “permitted extension” route to extend the statutory limit for responding to Freedom of Information requests beyond 20 days, contributing to delay gaps.</w:t>
      </w:r>
      <w:r w:rsidR="00063158" w:rsidRPr="002F171D">
        <w:rPr>
          <w:rFonts w:ascii="Calisto MT" w:hAnsi="Calisto MT" w:cs="Times New Roman"/>
          <w:vertAlign w:val="superscript"/>
        </w:rPr>
        <w:footnoteReference w:id="82"/>
      </w:r>
      <w:r w:rsidR="00063158" w:rsidRPr="002F171D">
        <w:rPr>
          <w:rFonts w:ascii="Calisto MT" w:hAnsi="Calisto MT" w:cs="Times New Roman"/>
        </w:rPr>
        <w:t xml:space="preserve">  That being said, the Act may still operate to secure confirmation of the existence of collection gaps, as the requester is entitled to be informed in writing whether the public authority in question holds the information requested: ‘the duty to confirm or deny.’</w:t>
      </w:r>
      <w:r w:rsidR="00063158" w:rsidRPr="002F171D">
        <w:rPr>
          <w:rFonts w:ascii="Calisto MT" w:hAnsi="Calisto MT" w:cs="Times New Roman"/>
          <w:vertAlign w:val="superscript"/>
        </w:rPr>
        <w:footnoteReference w:id="83"/>
      </w:r>
      <w:r w:rsidR="00063158" w:rsidRPr="002F171D">
        <w:rPr>
          <w:rFonts w:ascii="Calisto MT" w:hAnsi="Calisto MT" w:cs="Times New Roman"/>
        </w:rPr>
        <w:t xml:space="preserve"> </w:t>
      </w:r>
    </w:p>
    <w:p w14:paraId="01C65F15" w14:textId="73072B31"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Aside from information legislation, the operation of the duty of candour and cooperation in public law proceedings underlines the connection between unlawful decision-making and data gaps.  The duty of candour requires all parties in a judicial review to openly disclose all facts and information required for the court to fairly determine the issue under review.</w:t>
      </w:r>
      <w:r w:rsidRPr="002F171D">
        <w:rPr>
          <w:rFonts w:ascii="Calisto MT" w:hAnsi="Calisto MT" w:cs="Times New Roman"/>
          <w:vertAlign w:val="superscript"/>
        </w:rPr>
        <w:footnoteReference w:id="84"/>
      </w:r>
      <w:r w:rsidRPr="002F171D">
        <w:rPr>
          <w:rFonts w:ascii="Calisto MT" w:hAnsi="Calisto MT" w:cs="Times New Roman"/>
        </w:rPr>
        <w:t xml:space="preserve"> While this does not automatically give rise to disclosure of documents, the duty may require it where the contents are material to an issue in the case, and it is good practice to disclose documents rather than summarise them.</w:t>
      </w:r>
      <w:r w:rsidRPr="002F171D">
        <w:rPr>
          <w:rFonts w:ascii="Calisto MT" w:hAnsi="Calisto MT" w:cs="Times New Roman"/>
          <w:vertAlign w:val="superscript"/>
        </w:rPr>
        <w:footnoteReference w:id="85"/>
      </w:r>
      <w:r w:rsidRPr="002F171D">
        <w:rPr>
          <w:rFonts w:ascii="Calisto MT" w:hAnsi="Calisto MT" w:cs="Times New Roman"/>
        </w:rPr>
        <w:t xml:space="preserve"> The duty is a key mechanism in ensuring that all information relevant to the issue at hand is brought to a Court’s attention. However, several cases have highlighted that collection and participation gaps may contribute to a finding that a public policy operates unlawfully.</w:t>
      </w:r>
      <w:r w:rsidRPr="002F171D">
        <w:rPr>
          <w:rFonts w:ascii="Calisto MT" w:hAnsi="Calisto MT" w:cs="Times New Roman"/>
          <w:vertAlign w:val="superscript"/>
        </w:rPr>
        <w:footnoteReference w:id="86"/>
      </w:r>
      <w:r w:rsidRPr="002F171D">
        <w:rPr>
          <w:rFonts w:ascii="Calisto MT" w:hAnsi="Calisto MT" w:cs="Times New Roman"/>
        </w:rPr>
        <w:t xml:space="preserve"> Moreover, it has been held public authorities cannot decline to disclose relevant data merely because it is ‘rough and incomplete,’ or because they consider that it ‘is lacking in weight.’</w:t>
      </w:r>
      <w:r w:rsidRPr="002F171D">
        <w:rPr>
          <w:rFonts w:ascii="Calisto MT" w:hAnsi="Calisto MT" w:cs="Times New Roman"/>
          <w:vertAlign w:val="superscript"/>
        </w:rPr>
        <w:footnoteReference w:id="87"/>
      </w:r>
      <w:r w:rsidRPr="002F171D">
        <w:rPr>
          <w:rFonts w:ascii="Calisto MT" w:hAnsi="Calisto MT" w:cs="Times New Roman"/>
        </w:rPr>
        <w:t xml:space="preserve"> </w:t>
      </w:r>
    </w:p>
    <w:p w14:paraId="323A640C" w14:textId="77777777"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lastRenderedPageBreak/>
        <w:t>These dynamics illustrate how public data gaps have implications for public law principles and frameworks not only at the stage where a decision is taken about whether to collect data but in a much broader range of ways, including through information rights, record-keeping duties, and the duty of candour in judicial review.</w:t>
      </w:r>
    </w:p>
    <w:p w14:paraId="051CFBC7" w14:textId="77777777" w:rsidR="00063158" w:rsidRPr="002F171D" w:rsidRDefault="00063158" w:rsidP="005D705C">
      <w:pPr>
        <w:spacing w:line="360" w:lineRule="auto"/>
        <w:jc w:val="both"/>
        <w:rPr>
          <w:rFonts w:ascii="Calisto MT" w:hAnsi="Calisto MT" w:cs="Times New Roman"/>
        </w:rPr>
      </w:pPr>
    </w:p>
    <w:p w14:paraId="7892CDEA" w14:textId="014E88B9" w:rsidR="00063158"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(c) </w:t>
      </w:r>
      <w:r w:rsidR="005D705C">
        <w:rPr>
          <w:rFonts w:ascii="Optima" w:hAnsi="Optima" w:cs="Times New Roman"/>
          <w:i/>
          <w:iCs/>
        </w:rPr>
        <w:tab/>
      </w:r>
      <w:r w:rsidRPr="005D705C">
        <w:rPr>
          <w:rFonts w:ascii="Optima" w:hAnsi="Optima" w:cs="Times New Roman"/>
          <w:i/>
          <w:iCs/>
        </w:rPr>
        <w:t>Data protection and privacy</w:t>
      </w:r>
    </w:p>
    <w:p w14:paraId="1D3CF056" w14:textId="75B0F3DC"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 xml:space="preserve">As </w:t>
      </w:r>
      <w:r w:rsidR="2EC65FAB" w:rsidRPr="002F171D">
        <w:rPr>
          <w:rFonts w:ascii="Calisto MT" w:hAnsi="Calisto MT" w:cs="Times New Roman"/>
        </w:rPr>
        <w:t xml:space="preserve">digital </w:t>
      </w:r>
      <w:r w:rsidRPr="002F171D">
        <w:rPr>
          <w:rFonts w:ascii="Calisto MT" w:hAnsi="Calisto MT" w:cs="Times New Roman"/>
        </w:rPr>
        <w:t>governance proliferate</w:t>
      </w:r>
      <w:r w:rsidR="7B4E835A" w:rsidRPr="002F171D">
        <w:rPr>
          <w:rFonts w:ascii="Calisto MT" w:hAnsi="Calisto MT" w:cs="Times New Roman"/>
        </w:rPr>
        <w:t>s</w:t>
      </w:r>
      <w:r w:rsidRPr="002F171D">
        <w:rPr>
          <w:rFonts w:ascii="Calisto MT" w:hAnsi="Calisto MT" w:cs="Times New Roman"/>
        </w:rPr>
        <w:t xml:space="preserve">, data protection and privacy laws </w:t>
      </w:r>
      <w:r w:rsidR="5FE75F8C" w:rsidRPr="002F171D">
        <w:rPr>
          <w:rFonts w:ascii="Calisto MT" w:hAnsi="Calisto MT" w:cs="Times New Roman"/>
        </w:rPr>
        <w:t xml:space="preserve">have </w:t>
      </w:r>
      <w:proofErr w:type="gramStart"/>
      <w:r w:rsidR="5FE75F8C" w:rsidRPr="002F171D">
        <w:rPr>
          <w:rFonts w:ascii="Calisto MT" w:hAnsi="Calisto MT" w:cs="Times New Roman"/>
        </w:rPr>
        <w:t>play</w:t>
      </w:r>
      <w:proofErr w:type="gramEnd"/>
      <w:r w:rsidR="5FE75F8C" w:rsidRPr="002F171D">
        <w:rPr>
          <w:rFonts w:ascii="Calisto MT" w:hAnsi="Calisto MT" w:cs="Times New Roman"/>
        </w:rPr>
        <w:t xml:space="preserve"> a greater role</w:t>
      </w:r>
      <w:r w:rsidR="52FAA943" w:rsidRPr="002F171D">
        <w:rPr>
          <w:rFonts w:ascii="Calisto MT" w:hAnsi="Calisto MT" w:cs="Times New Roman"/>
        </w:rPr>
        <w:t xml:space="preserve"> in regulation</w:t>
      </w:r>
      <w:r w:rsidR="5FE75F8C" w:rsidRPr="002F171D">
        <w:rPr>
          <w:rFonts w:ascii="Calisto MT" w:hAnsi="Calisto MT" w:cs="Times New Roman"/>
        </w:rPr>
        <w:t>.</w:t>
      </w:r>
      <w:r w:rsidRPr="002F171D">
        <w:rPr>
          <w:rFonts w:ascii="Calisto MT" w:hAnsi="Calisto MT" w:cs="Times New Roman"/>
        </w:rPr>
        <w:t xml:space="preserve">  </w:t>
      </w:r>
      <w:r w:rsidR="2140003A" w:rsidRPr="002F171D">
        <w:rPr>
          <w:rFonts w:ascii="Calisto MT" w:hAnsi="Calisto MT" w:cs="Times New Roman"/>
        </w:rPr>
        <w:t>These bodies of law</w:t>
      </w:r>
      <w:r w:rsidRPr="002F171D">
        <w:rPr>
          <w:rFonts w:ascii="Calisto MT" w:hAnsi="Calisto MT" w:cs="Times New Roman"/>
        </w:rPr>
        <w:t xml:space="preserve"> </w:t>
      </w:r>
      <w:r w:rsidR="005D705C" w:rsidRPr="002F171D">
        <w:rPr>
          <w:rFonts w:ascii="Calisto MT" w:hAnsi="Calisto MT" w:cs="Times New Roman"/>
        </w:rPr>
        <w:t>raise important</w:t>
      </w:r>
      <w:r w:rsidRPr="002F171D">
        <w:rPr>
          <w:rFonts w:ascii="Calisto MT" w:hAnsi="Calisto MT" w:cs="Times New Roman"/>
        </w:rPr>
        <w:t xml:space="preserve"> implications </w:t>
      </w:r>
      <w:r w:rsidR="711A4C89" w:rsidRPr="002F171D">
        <w:rPr>
          <w:rFonts w:ascii="Calisto MT" w:hAnsi="Calisto MT" w:cs="Times New Roman"/>
        </w:rPr>
        <w:t>for public data gaps</w:t>
      </w:r>
      <w:r w:rsidRPr="002F171D">
        <w:rPr>
          <w:rFonts w:ascii="Calisto MT" w:hAnsi="Calisto MT" w:cs="Times New Roman"/>
        </w:rPr>
        <w:t>.</w:t>
      </w:r>
      <w:r w:rsidRPr="002F171D">
        <w:rPr>
          <w:rFonts w:ascii="Calisto MT" w:hAnsi="Calisto MT" w:cs="Times New Roman"/>
          <w:vertAlign w:val="superscript"/>
        </w:rPr>
        <w:footnoteReference w:id="88"/>
      </w:r>
    </w:p>
    <w:p w14:paraId="42C5E6BF" w14:textId="0211D615"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Data protection </w:t>
      </w:r>
      <w:r w:rsidR="005D705C" w:rsidRPr="002F171D">
        <w:rPr>
          <w:rFonts w:ascii="Calisto MT" w:hAnsi="Calisto MT" w:cs="Times New Roman"/>
        </w:rPr>
        <w:t>laws can</w:t>
      </w:r>
      <w:r w:rsidR="0AC52511" w:rsidRPr="002F171D">
        <w:rPr>
          <w:rFonts w:ascii="Calisto MT" w:hAnsi="Calisto MT" w:cs="Times New Roman"/>
        </w:rPr>
        <w:t xml:space="preserve"> contribute</w:t>
      </w:r>
      <w:r w:rsidRPr="002F171D">
        <w:rPr>
          <w:rFonts w:ascii="Calisto MT" w:hAnsi="Calisto MT" w:cs="Times New Roman"/>
        </w:rPr>
        <w:t xml:space="preserve"> to both collection and harmonisation gaps. Data protection applies to the processing of personal data.</w:t>
      </w:r>
      <w:r w:rsidRPr="002F171D">
        <w:rPr>
          <w:rFonts w:ascii="Calisto MT" w:hAnsi="Calisto MT" w:cs="Times New Roman"/>
          <w:vertAlign w:val="superscript"/>
        </w:rPr>
        <w:footnoteReference w:id="89"/>
      </w:r>
      <w:r w:rsidRPr="002F171D">
        <w:rPr>
          <w:rFonts w:ascii="Calisto MT" w:hAnsi="Calisto MT" w:cs="Times New Roman"/>
        </w:rPr>
        <w:t xml:space="preserve"> Although both ‘processing’ and ‘personal data’ are broad concepts,</w:t>
      </w:r>
      <w:r w:rsidRPr="002F171D">
        <w:rPr>
          <w:rFonts w:ascii="Calisto MT" w:hAnsi="Calisto MT" w:cs="Times New Roman"/>
          <w:vertAlign w:val="superscript"/>
        </w:rPr>
        <w:footnoteReference w:id="90"/>
      </w:r>
      <w:r w:rsidRPr="002F171D">
        <w:rPr>
          <w:rFonts w:ascii="Calisto MT" w:hAnsi="Calisto MT" w:cs="Times New Roman"/>
        </w:rPr>
        <w:t xml:space="preserve"> data protection does not itself impose positive obligations to process personal data in the first place. It is for a data controller to determine the purposes and means of processing personal data</w:t>
      </w:r>
      <w:r w:rsidR="0978F8F7" w:rsidRPr="002F171D">
        <w:rPr>
          <w:rFonts w:ascii="Calisto MT" w:hAnsi="Calisto MT" w:cs="Times New Roman"/>
        </w:rPr>
        <w:t>,</w:t>
      </w:r>
      <w:r w:rsidRPr="002F171D">
        <w:rPr>
          <w:rFonts w:ascii="Calisto MT" w:hAnsi="Calisto MT" w:cs="Times New Roman"/>
          <w:vertAlign w:val="superscript"/>
        </w:rPr>
        <w:footnoteReference w:id="91"/>
      </w:r>
      <w:r w:rsidRPr="002F171D">
        <w:rPr>
          <w:rFonts w:ascii="Calisto MT" w:hAnsi="Calisto MT" w:cs="Times New Roman"/>
        </w:rPr>
        <w:t xml:space="preserve"> </w:t>
      </w:r>
      <w:r w:rsidR="7580BDDA" w:rsidRPr="002F171D">
        <w:rPr>
          <w:rFonts w:ascii="Calisto MT" w:hAnsi="Calisto MT" w:cs="Times New Roman"/>
        </w:rPr>
        <w:t xml:space="preserve">after which </w:t>
      </w:r>
      <w:r w:rsidRPr="002F171D">
        <w:rPr>
          <w:rFonts w:ascii="Calisto MT" w:hAnsi="Calisto MT" w:cs="Times New Roman"/>
        </w:rPr>
        <w:t xml:space="preserve">they are responsible for and must demonstrate compliance with the data protection principles and </w:t>
      </w:r>
      <w:r w:rsidR="1E5BBFBF" w:rsidRPr="002F171D">
        <w:rPr>
          <w:rFonts w:ascii="Calisto MT" w:hAnsi="Calisto MT" w:cs="Times New Roman"/>
        </w:rPr>
        <w:t xml:space="preserve">their </w:t>
      </w:r>
      <w:r w:rsidRPr="002F171D">
        <w:rPr>
          <w:rFonts w:ascii="Calisto MT" w:hAnsi="Calisto MT" w:cs="Times New Roman"/>
        </w:rPr>
        <w:t xml:space="preserve">other </w:t>
      </w:r>
      <w:r w:rsidR="7E5B1DF4" w:rsidRPr="002F171D">
        <w:rPr>
          <w:rFonts w:ascii="Calisto MT" w:hAnsi="Calisto MT" w:cs="Times New Roman"/>
        </w:rPr>
        <w:t xml:space="preserve">data protection </w:t>
      </w:r>
      <w:proofErr w:type="gramStart"/>
      <w:r w:rsidRPr="002F171D">
        <w:rPr>
          <w:rFonts w:ascii="Calisto MT" w:hAnsi="Calisto MT" w:cs="Times New Roman"/>
        </w:rPr>
        <w:t>obligations .</w:t>
      </w:r>
      <w:proofErr w:type="gramEnd"/>
      <w:r w:rsidRPr="002F171D">
        <w:rPr>
          <w:rFonts w:ascii="Calisto MT" w:hAnsi="Calisto MT" w:cs="Times New Roman"/>
          <w:vertAlign w:val="superscript"/>
        </w:rPr>
        <w:footnoteReference w:id="92"/>
      </w:r>
      <w:r w:rsidRPr="002F171D">
        <w:rPr>
          <w:rFonts w:ascii="Calisto MT" w:hAnsi="Calisto MT" w:cs="Times New Roman"/>
        </w:rPr>
        <w:t xml:space="preserve"> These are potentially onerous </w:t>
      </w:r>
      <w:r w:rsidR="046A5295" w:rsidRPr="002F171D">
        <w:rPr>
          <w:rFonts w:ascii="Calisto MT" w:hAnsi="Calisto MT" w:cs="Times New Roman"/>
        </w:rPr>
        <w:t xml:space="preserve">and </w:t>
      </w:r>
      <w:r w:rsidRPr="002F171D">
        <w:rPr>
          <w:rFonts w:ascii="Calisto MT" w:hAnsi="Calisto MT" w:cs="Times New Roman"/>
        </w:rPr>
        <w:t>might discourage  some data</w:t>
      </w:r>
      <w:r w:rsidR="44654389" w:rsidRPr="002F171D">
        <w:rPr>
          <w:rFonts w:ascii="Calisto MT" w:hAnsi="Calisto MT" w:cs="Times New Roman"/>
        </w:rPr>
        <w:t xml:space="preserve"> processing</w:t>
      </w:r>
      <w:r w:rsidRPr="002F171D">
        <w:rPr>
          <w:rFonts w:ascii="Calisto MT" w:hAnsi="Calisto MT" w:cs="Times New Roman"/>
        </w:rPr>
        <w:t xml:space="preserve"> </w:t>
      </w:r>
      <w:r w:rsidR="005D705C" w:rsidRPr="002F171D">
        <w:rPr>
          <w:rFonts w:ascii="Calisto MT" w:hAnsi="Calisto MT" w:cs="Times New Roman"/>
        </w:rPr>
        <w:t>altogether</w:t>
      </w:r>
      <w:r w:rsidRPr="002F171D">
        <w:rPr>
          <w:rFonts w:ascii="Calisto MT" w:hAnsi="Calisto MT" w:cs="Times New Roman"/>
        </w:rPr>
        <w:t>. The</w:t>
      </w:r>
      <w:r w:rsidR="3C3F6B49" w:rsidRPr="002F171D">
        <w:rPr>
          <w:rFonts w:ascii="Calisto MT" w:hAnsi="Calisto MT" w:cs="Times New Roman"/>
        </w:rPr>
        <w:t>se obligations</w:t>
      </w:r>
      <w:r w:rsidRPr="002F171D">
        <w:rPr>
          <w:rFonts w:ascii="Calisto MT" w:hAnsi="Calisto MT" w:cs="Times New Roman"/>
        </w:rPr>
        <w:t xml:space="preserve"> include detailed transparency,</w:t>
      </w:r>
      <w:r w:rsidRPr="002F171D">
        <w:rPr>
          <w:rFonts w:ascii="Calisto MT" w:hAnsi="Calisto MT" w:cs="Times New Roman"/>
          <w:vertAlign w:val="superscript"/>
        </w:rPr>
        <w:footnoteReference w:id="93"/>
      </w:r>
      <w:r w:rsidRPr="002F171D">
        <w:rPr>
          <w:rFonts w:ascii="Calisto MT" w:hAnsi="Calisto MT" w:cs="Times New Roman"/>
        </w:rPr>
        <w:t xml:space="preserve"> accountability,</w:t>
      </w:r>
      <w:r w:rsidRPr="002F171D">
        <w:rPr>
          <w:rFonts w:ascii="Calisto MT" w:hAnsi="Calisto MT" w:cs="Times New Roman"/>
          <w:vertAlign w:val="superscript"/>
        </w:rPr>
        <w:footnoteReference w:id="94"/>
      </w:r>
      <w:r w:rsidRPr="002F171D">
        <w:rPr>
          <w:rFonts w:ascii="Calisto MT" w:hAnsi="Calisto MT" w:cs="Times New Roman"/>
        </w:rPr>
        <w:t xml:space="preserve"> </w:t>
      </w:r>
      <w:r w:rsidR="005D705C" w:rsidRPr="002F171D">
        <w:rPr>
          <w:rFonts w:ascii="Calisto MT" w:hAnsi="Calisto MT" w:cs="Times New Roman"/>
        </w:rPr>
        <w:t>and appropriate</w:t>
      </w:r>
      <w:r w:rsidRPr="002F171D">
        <w:rPr>
          <w:rFonts w:ascii="Calisto MT" w:hAnsi="Calisto MT" w:cs="Times New Roman"/>
        </w:rPr>
        <w:t xml:space="preserve"> organisational and technical </w:t>
      </w:r>
      <w:r w:rsidR="66CC61E4" w:rsidRPr="002F171D">
        <w:rPr>
          <w:rFonts w:ascii="Calisto MT" w:hAnsi="Calisto MT" w:cs="Times New Roman"/>
        </w:rPr>
        <w:t>implementation requirements</w:t>
      </w:r>
      <w:r w:rsidRPr="002F171D">
        <w:rPr>
          <w:rFonts w:ascii="Calisto MT" w:hAnsi="Calisto MT" w:cs="Times New Roman"/>
        </w:rPr>
        <w:t xml:space="preserve"> both to </w:t>
      </w:r>
      <w:r w:rsidR="20C34D6A" w:rsidRPr="002F171D">
        <w:rPr>
          <w:rFonts w:ascii="Calisto MT" w:hAnsi="Calisto MT" w:cs="Times New Roman"/>
        </w:rPr>
        <w:t>ensure compliance with</w:t>
      </w:r>
      <w:r w:rsidRPr="002F171D">
        <w:rPr>
          <w:rFonts w:ascii="Calisto MT" w:hAnsi="Calisto MT" w:cs="Times New Roman"/>
        </w:rPr>
        <w:t xml:space="preserve"> data protection principles</w:t>
      </w:r>
      <w:r w:rsidR="386242D4" w:rsidRPr="002F171D">
        <w:rPr>
          <w:rFonts w:ascii="Calisto MT" w:hAnsi="Calisto MT" w:cs="Times New Roman"/>
        </w:rPr>
        <w:t>,</w:t>
      </w:r>
      <w:r w:rsidRPr="002F171D">
        <w:rPr>
          <w:rFonts w:ascii="Calisto MT" w:hAnsi="Calisto MT" w:cs="Times New Roman"/>
        </w:rPr>
        <w:t xml:space="preserve"> </w:t>
      </w:r>
      <w:r w:rsidRPr="002F171D">
        <w:rPr>
          <w:rFonts w:ascii="Calisto MT" w:hAnsi="Calisto MT" w:cs="Times New Roman"/>
          <w:vertAlign w:val="superscript"/>
        </w:rPr>
        <w:footnoteReference w:id="95"/>
      </w:r>
      <w:r w:rsidRPr="002F171D">
        <w:rPr>
          <w:rFonts w:ascii="Calisto MT" w:hAnsi="Calisto MT" w:cs="Times New Roman"/>
        </w:rPr>
        <w:t xml:space="preserve"> </w:t>
      </w:r>
      <w:r w:rsidR="126E1750" w:rsidRPr="002F171D">
        <w:rPr>
          <w:rFonts w:ascii="Calisto MT" w:hAnsi="Calisto MT" w:cs="Times New Roman"/>
        </w:rPr>
        <w:t xml:space="preserve">including </w:t>
      </w:r>
      <w:r w:rsidRPr="002F171D">
        <w:rPr>
          <w:rFonts w:ascii="Calisto MT" w:hAnsi="Calisto MT" w:cs="Times New Roman"/>
        </w:rPr>
        <w:t>an appropriate level of security.</w:t>
      </w:r>
      <w:r w:rsidRPr="002F171D">
        <w:rPr>
          <w:rFonts w:ascii="Calisto MT" w:hAnsi="Calisto MT" w:cs="Times New Roman"/>
          <w:vertAlign w:val="superscript"/>
        </w:rPr>
        <w:footnoteReference w:id="96"/>
      </w:r>
      <w:r w:rsidRPr="002F171D">
        <w:rPr>
          <w:rFonts w:ascii="Calisto MT" w:hAnsi="Calisto MT" w:cs="Times New Roman"/>
        </w:rPr>
        <w:t xml:space="preserve"> Some forms of largescale processing, such as regular and systematic monitoring or processing special category personal data on a large scale, require the designation of a data protection officer for the controller.</w:t>
      </w:r>
      <w:r w:rsidRPr="002F171D">
        <w:rPr>
          <w:rFonts w:ascii="Calisto MT" w:hAnsi="Calisto MT" w:cs="Times New Roman"/>
          <w:vertAlign w:val="superscript"/>
        </w:rPr>
        <w:footnoteReference w:id="97"/>
      </w:r>
      <w:r w:rsidRPr="002F171D">
        <w:rPr>
          <w:rFonts w:ascii="Calisto MT" w:hAnsi="Calisto MT" w:cs="Times New Roman"/>
        </w:rPr>
        <w:t xml:space="preserve"> Special category personal </w:t>
      </w:r>
      <w:proofErr w:type="spellStart"/>
      <w:r w:rsidRPr="002F171D">
        <w:rPr>
          <w:rFonts w:ascii="Calisto MT" w:hAnsi="Calisto MT" w:cs="Times New Roman"/>
        </w:rPr>
        <w:t>dataare</w:t>
      </w:r>
      <w:proofErr w:type="spellEnd"/>
      <w:r w:rsidRPr="002F171D">
        <w:rPr>
          <w:rFonts w:ascii="Calisto MT" w:hAnsi="Calisto MT" w:cs="Times New Roman"/>
        </w:rPr>
        <w:t xml:space="preserve"> subject to an additional, and more restrictive, list of legal bases for processing, which may discourage its collection, especially where ‘explicit consent’ must be collected and demonstrable.</w:t>
      </w:r>
      <w:r w:rsidRPr="002F171D">
        <w:rPr>
          <w:rFonts w:ascii="Calisto MT" w:hAnsi="Calisto MT" w:cs="Times New Roman"/>
          <w:vertAlign w:val="superscript"/>
        </w:rPr>
        <w:footnoteReference w:id="98"/>
      </w:r>
      <w:r w:rsidRPr="002F171D">
        <w:rPr>
          <w:rFonts w:ascii="Calisto MT" w:hAnsi="Calisto MT" w:cs="Times New Roman"/>
        </w:rPr>
        <w:t xml:space="preserve"> </w:t>
      </w:r>
      <w:r w:rsidRPr="002F171D">
        <w:rPr>
          <w:rFonts w:ascii="Calisto MT" w:hAnsi="Calisto MT" w:cs="Times New Roman"/>
        </w:rPr>
        <w:lastRenderedPageBreak/>
        <w:t>Similar burdens arguably flow from privacy rights. For instance, human rights law requires the proportionality of all interferences with private information to be justified.</w:t>
      </w:r>
      <w:r w:rsidRPr="002F171D">
        <w:rPr>
          <w:rFonts w:ascii="Calisto MT" w:hAnsi="Calisto MT" w:cs="Times New Roman"/>
          <w:vertAlign w:val="superscript"/>
        </w:rPr>
        <w:footnoteReference w:id="99"/>
      </w:r>
    </w:p>
    <w:p w14:paraId="44855FA5" w14:textId="1C3A5F07"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The rights of data subjects </w:t>
      </w:r>
      <w:r w:rsidR="6A8D4A3B" w:rsidRPr="002F171D">
        <w:rPr>
          <w:rFonts w:ascii="Calisto MT" w:hAnsi="Calisto MT" w:cs="Times New Roman"/>
        </w:rPr>
        <w:t>are</w:t>
      </w:r>
      <w:r w:rsidRPr="002F171D">
        <w:rPr>
          <w:rFonts w:ascii="Calisto MT" w:hAnsi="Calisto MT" w:cs="Times New Roman"/>
        </w:rPr>
        <w:t xml:space="preserve"> another </w:t>
      </w:r>
      <w:r w:rsidR="24A29199" w:rsidRPr="002F171D">
        <w:rPr>
          <w:rFonts w:ascii="Calisto MT" w:hAnsi="Calisto MT" w:cs="Times New Roman"/>
        </w:rPr>
        <w:t xml:space="preserve">potential </w:t>
      </w:r>
      <w:r w:rsidRPr="002F171D">
        <w:rPr>
          <w:rFonts w:ascii="Calisto MT" w:hAnsi="Calisto MT" w:cs="Times New Roman"/>
        </w:rPr>
        <w:t xml:space="preserve">burden that may </w:t>
      </w:r>
      <w:r w:rsidR="509524C0" w:rsidRPr="002F171D">
        <w:rPr>
          <w:rFonts w:ascii="Calisto MT" w:hAnsi="Calisto MT" w:cs="Times New Roman"/>
        </w:rPr>
        <w:t>produce</w:t>
      </w:r>
      <w:r w:rsidRPr="002F171D">
        <w:rPr>
          <w:rFonts w:ascii="Calisto MT" w:hAnsi="Calisto MT" w:cs="Times New Roman"/>
        </w:rPr>
        <w:t xml:space="preserve"> data gaps. </w:t>
      </w:r>
      <w:r w:rsidR="5742FBE4" w:rsidRPr="002F171D">
        <w:rPr>
          <w:rFonts w:ascii="Calisto MT" w:hAnsi="Calisto MT" w:cs="Times New Roman"/>
        </w:rPr>
        <w:t xml:space="preserve">Identified or identifiable individuals to whom information relates </w:t>
      </w:r>
      <w:r w:rsidR="43A27C23" w:rsidRPr="002F171D">
        <w:rPr>
          <w:rFonts w:ascii="Calisto MT" w:hAnsi="Calisto MT" w:cs="Times New Roman"/>
        </w:rPr>
        <w:t>(</w:t>
      </w:r>
      <w:r w:rsidR="5742FBE4" w:rsidRPr="002F171D">
        <w:rPr>
          <w:rFonts w:ascii="Calisto MT" w:hAnsi="Calisto MT" w:cs="Times New Roman"/>
        </w:rPr>
        <w:t>‘data subjects’</w:t>
      </w:r>
      <w:r w:rsidR="37274A29" w:rsidRPr="002F171D">
        <w:rPr>
          <w:rFonts w:ascii="Calisto MT" w:hAnsi="Calisto MT" w:cs="Times New Roman"/>
        </w:rPr>
        <w:t>)</w:t>
      </w:r>
      <w:r w:rsidR="63DB98B4" w:rsidRPr="002F171D">
        <w:rPr>
          <w:rFonts w:ascii="Calisto MT" w:hAnsi="Calisto MT" w:cs="Times New Roman"/>
        </w:rPr>
        <w:t xml:space="preserve">, possess </w:t>
      </w:r>
      <w:proofErr w:type="gramStart"/>
      <w:r w:rsidR="63DB98B4" w:rsidRPr="002F171D">
        <w:rPr>
          <w:rFonts w:ascii="Calisto MT" w:hAnsi="Calisto MT" w:cs="Times New Roman"/>
        </w:rPr>
        <w:t>a number of</w:t>
      </w:r>
      <w:proofErr w:type="gramEnd"/>
      <w:r w:rsidR="63DB98B4" w:rsidRPr="002F171D">
        <w:rPr>
          <w:rFonts w:ascii="Calisto MT" w:hAnsi="Calisto MT" w:cs="Times New Roman"/>
        </w:rPr>
        <w:t xml:space="preserve"> rights under data protection law.</w:t>
      </w:r>
      <w:r w:rsidRPr="002F171D">
        <w:rPr>
          <w:rStyle w:val="FootnoteReference"/>
          <w:rFonts w:ascii="Calisto MT" w:hAnsi="Calisto MT" w:cs="Times New Roman"/>
        </w:rPr>
        <w:footnoteReference w:id="100"/>
      </w:r>
      <w:r w:rsidR="0AEC05C6" w:rsidRPr="002F171D">
        <w:rPr>
          <w:rFonts w:ascii="Calisto MT" w:hAnsi="Calisto MT" w:cs="Times New Roman"/>
        </w:rPr>
        <w:t xml:space="preserve"> </w:t>
      </w:r>
      <w:r w:rsidRPr="002F171D">
        <w:rPr>
          <w:rFonts w:ascii="Calisto MT" w:hAnsi="Calisto MT" w:cs="Times New Roman"/>
        </w:rPr>
        <w:t xml:space="preserve">Data controllers are responsible for compliance with </w:t>
      </w:r>
      <w:r w:rsidR="236879C9" w:rsidRPr="002F171D">
        <w:rPr>
          <w:rFonts w:ascii="Calisto MT" w:hAnsi="Calisto MT" w:cs="Times New Roman"/>
        </w:rPr>
        <w:t xml:space="preserve">those </w:t>
      </w:r>
      <w:r w:rsidRPr="002F171D">
        <w:rPr>
          <w:rFonts w:ascii="Calisto MT" w:hAnsi="Calisto MT" w:cs="Times New Roman"/>
        </w:rPr>
        <w:t xml:space="preserve">rights and </w:t>
      </w:r>
      <w:r w:rsidR="56AF94EF" w:rsidRPr="002F171D">
        <w:rPr>
          <w:rFonts w:ascii="Calisto MT" w:hAnsi="Calisto MT" w:cs="Times New Roman"/>
        </w:rPr>
        <w:t>must</w:t>
      </w:r>
      <w:r w:rsidRPr="002F171D">
        <w:rPr>
          <w:rFonts w:ascii="Calisto MT" w:hAnsi="Calisto MT" w:cs="Times New Roman"/>
        </w:rPr>
        <w:t xml:space="preserve"> facilitate the</w:t>
      </w:r>
      <w:r w:rsidR="6FA343B0" w:rsidRPr="002F171D">
        <w:rPr>
          <w:rFonts w:ascii="Calisto MT" w:hAnsi="Calisto MT" w:cs="Times New Roman"/>
        </w:rPr>
        <w:t>ir</w:t>
      </w:r>
      <w:r w:rsidRPr="002F171D">
        <w:rPr>
          <w:rFonts w:ascii="Calisto MT" w:hAnsi="Calisto MT" w:cs="Times New Roman"/>
        </w:rPr>
        <w:t xml:space="preserve"> exercise.</w:t>
      </w:r>
      <w:r w:rsidRPr="002F171D">
        <w:rPr>
          <w:rFonts w:ascii="Calisto MT" w:hAnsi="Calisto MT" w:cs="Times New Roman"/>
          <w:vertAlign w:val="superscript"/>
        </w:rPr>
        <w:footnoteReference w:id="101"/>
      </w:r>
      <w:r w:rsidRPr="002F171D">
        <w:rPr>
          <w:rFonts w:ascii="Calisto MT" w:hAnsi="Calisto MT" w:cs="Times New Roman"/>
        </w:rPr>
        <w:t xml:space="preserve"> The data controller is under obligations to provide information to data subjects concerning requests to exercise those rights within short timeframes. They must also provide such information, communication or actions free of charge to the data subject, provided that the request is not unfounded or manifestly excessive.</w:t>
      </w:r>
      <w:r w:rsidRPr="002F171D">
        <w:rPr>
          <w:rFonts w:ascii="Calisto MT" w:hAnsi="Calisto MT" w:cs="Times New Roman"/>
          <w:vertAlign w:val="superscript"/>
        </w:rPr>
        <w:footnoteReference w:id="102"/>
      </w:r>
      <w:r w:rsidRPr="002F171D">
        <w:rPr>
          <w:rFonts w:ascii="Calisto MT" w:hAnsi="Calisto MT" w:cs="Times New Roman"/>
        </w:rPr>
        <w:t xml:space="preserve"> Data subjects have a right to access their personal data: a right to obtain confirmation from a data controller that their personal data is being processed by that controller and, if so, a right to access the personal data and other information about its processing.</w:t>
      </w:r>
      <w:r w:rsidRPr="002F171D">
        <w:rPr>
          <w:rFonts w:ascii="Calisto MT" w:hAnsi="Calisto MT" w:cs="Times New Roman"/>
          <w:vertAlign w:val="superscript"/>
        </w:rPr>
        <w:footnoteReference w:id="103"/>
      </w:r>
      <w:r w:rsidRPr="002F171D">
        <w:rPr>
          <w:rFonts w:ascii="Calisto MT" w:hAnsi="Calisto MT" w:cs="Times New Roman"/>
        </w:rPr>
        <w:t xml:space="preserve"> Where automated processing is done on the basis of data subject consent or contract, controllers are subject to data portability rights</w:t>
      </w:r>
      <w:r w:rsidR="239183CC" w:rsidRPr="002F171D">
        <w:rPr>
          <w:rFonts w:ascii="Calisto MT" w:hAnsi="Calisto MT" w:cs="Times New Roman"/>
        </w:rPr>
        <w:t>:</w:t>
      </w:r>
      <w:r w:rsidRPr="002F171D">
        <w:rPr>
          <w:rFonts w:ascii="Calisto MT" w:hAnsi="Calisto MT" w:cs="Times New Roman"/>
        </w:rPr>
        <w:t xml:space="preserve"> a right to receive and transmit their data to another controller in a ‘structured, commonly used and machine-readable format’.</w:t>
      </w:r>
      <w:r w:rsidRPr="002F171D">
        <w:rPr>
          <w:rFonts w:ascii="Calisto MT" w:hAnsi="Calisto MT" w:cs="Times New Roman"/>
          <w:vertAlign w:val="superscript"/>
        </w:rPr>
        <w:footnoteReference w:id="104"/>
      </w:r>
      <w:r w:rsidRPr="002F171D">
        <w:rPr>
          <w:rFonts w:ascii="Calisto MT" w:hAnsi="Calisto MT" w:cs="Times New Roman"/>
        </w:rPr>
        <w:t xml:space="preserve"> Where a data subject exercises a right to object to processing, the controller must normally demonstrate compelling legitimate grounds for the processing that override the interests, rights and freedoms of the data subject or cease the processing.</w:t>
      </w:r>
      <w:r w:rsidRPr="002F171D">
        <w:rPr>
          <w:rFonts w:ascii="Calisto MT" w:hAnsi="Calisto MT" w:cs="Times New Roman"/>
          <w:vertAlign w:val="superscript"/>
        </w:rPr>
        <w:footnoteReference w:id="105"/>
      </w:r>
      <w:r w:rsidRPr="002F171D">
        <w:rPr>
          <w:rFonts w:ascii="Calisto MT" w:hAnsi="Calisto MT" w:cs="Times New Roman"/>
        </w:rPr>
        <w:t xml:space="preserve"> The data subject has a right to the rectification of inaccurate or incomplete personal data without undue delay.</w:t>
      </w:r>
      <w:r w:rsidRPr="002F171D">
        <w:rPr>
          <w:rFonts w:ascii="Calisto MT" w:hAnsi="Calisto MT" w:cs="Times New Roman"/>
          <w:vertAlign w:val="superscript"/>
        </w:rPr>
        <w:footnoteReference w:id="106"/>
      </w:r>
      <w:r w:rsidRPr="002F171D">
        <w:rPr>
          <w:rFonts w:ascii="Calisto MT" w:hAnsi="Calisto MT" w:cs="Times New Roman"/>
        </w:rPr>
        <w:t xml:space="preserve"> Data subjects have rights to restrict processing while an objection or the accuracy of personal data is contested, for a period of time to enable verification of either the compelling grounds or the accuracy.</w:t>
      </w:r>
      <w:r w:rsidRPr="002F171D">
        <w:rPr>
          <w:rFonts w:ascii="Calisto MT" w:hAnsi="Calisto MT" w:cs="Times New Roman"/>
          <w:vertAlign w:val="superscript"/>
        </w:rPr>
        <w:footnoteReference w:id="107"/>
      </w:r>
      <w:r w:rsidRPr="002F171D">
        <w:rPr>
          <w:rFonts w:ascii="Calisto MT" w:hAnsi="Calisto MT" w:cs="Times New Roman"/>
        </w:rPr>
        <w:t xml:space="preserve"> The data subject has a right to erasure of their personal data in several circumstances, including the withdrawal of consent to consent-based processing or on objection if the controller cannot demonstrate their compelling legitimate grounds to continue processing.</w:t>
      </w:r>
      <w:r w:rsidRPr="002F171D">
        <w:rPr>
          <w:rFonts w:ascii="Calisto MT" w:hAnsi="Calisto MT" w:cs="Times New Roman"/>
          <w:vertAlign w:val="superscript"/>
        </w:rPr>
        <w:footnoteReference w:id="108"/>
      </w:r>
      <w:r w:rsidRPr="002F171D">
        <w:rPr>
          <w:rFonts w:ascii="Calisto MT" w:hAnsi="Calisto MT" w:cs="Times New Roman"/>
        </w:rPr>
        <w:t xml:space="preserve"> In such circumstances, the controller must take reasonable steps to inform other controllers of the request to erase </w:t>
      </w:r>
      <w:r w:rsidRPr="002F171D">
        <w:rPr>
          <w:rFonts w:ascii="Calisto MT" w:hAnsi="Calisto MT" w:cs="Times New Roman"/>
        </w:rPr>
        <w:lastRenderedPageBreak/>
        <w:t>links to the data or copies of the data, if the controller made the personal data public,</w:t>
      </w:r>
      <w:r w:rsidRPr="002F171D">
        <w:rPr>
          <w:rFonts w:ascii="Calisto MT" w:hAnsi="Calisto MT" w:cs="Times New Roman"/>
          <w:vertAlign w:val="superscript"/>
        </w:rPr>
        <w:footnoteReference w:id="109"/>
      </w:r>
      <w:r w:rsidRPr="002F171D">
        <w:rPr>
          <w:rFonts w:ascii="Calisto MT" w:hAnsi="Calisto MT" w:cs="Times New Roman"/>
        </w:rPr>
        <w:t xml:space="preserve"> and must communicate rectification or erasure or restriction to recipients of the personal data, save where the effort would be disproportionate or the notification is impossible.</w:t>
      </w:r>
      <w:r w:rsidRPr="002F171D">
        <w:rPr>
          <w:rFonts w:ascii="Calisto MT" w:hAnsi="Calisto MT" w:cs="Times New Roman"/>
          <w:vertAlign w:val="superscript"/>
        </w:rPr>
        <w:footnoteReference w:id="110"/>
      </w:r>
      <w:r w:rsidRPr="002F171D">
        <w:rPr>
          <w:rFonts w:ascii="Calisto MT" w:hAnsi="Calisto MT" w:cs="Times New Roman"/>
        </w:rPr>
        <w:t xml:space="preserve"> Although data subject rights can be restricted in some circumstances by legislation, in general the decision of a controller to process personal data for defined purposes and by given means carries with it a burden of compliance with data protection principles and data subject rights. It is not unreasonable to expect, therefore, that controllers who intend to make a good faith effort at compliance will factor in the costs of compliance against the benefits of processing that data. There will therefore be circumstances, in practice, where the cost of compliant processing outweighs its utility to the controller, even where it is in the interests of the data subject for some additional processing to take place</w:t>
      </w:r>
      <w:r w:rsidR="005D705C">
        <w:rPr>
          <w:rFonts w:ascii="Calisto MT" w:hAnsi="Calisto MT" w:cs="Times New Roman"/>
        </w:rPr>
        <w:t>.</w:t>
      </w:r>
    </w:p>
    <w:p w14:paraId="3218D5D6" w14:textId="417F2EA5"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Some choices by data controllers themselves may contribute to the emergence of reporting or harmonisation gaps. The decision to rely on consent as a legal basis for </w:t>
      </w:r>
      <w:proofErr w:type="gramStart"/>
      <w:r w:rsidRPr="002F171D">
        <w:rPr>
          <w:rFonts w:ascii="Calisto MT" w:hAnsi="Calisto MT" w:cs="Times New Roman"/>
        </w:rPr>
        <w:t>processing ,</w:t>
      </w:r>
      <w:proofErr w:type="gramEnd"/>
      <w:r w:rsidRPr="002F171D">
        <w:rPr>
          <w:rFonts w:ascii="Calisto MT" w:hAnsi="Calisto MT" w:cs="Times New Roman"/>
        </w:rPr>
        <w:t xml:space="preserve"> could produce reporting gaps where consent is </w:t>
      </w:r>
      <w:r w:rsidR="3144049C" w:rsidRPr="002F171D">
        <w:rPr>
          <w:rFonts w:ascii="Calisto MT" w:hAnsi="Calisto MT" w:cs="Times New Roman"/>
        </w:rPr>
        <w:t xml:space="preserve">collected </w:t>
      </w:r>
      <w:r w:rsidRPr="002F171D">
        <w:rPr>
          <w:rFonts w:ascii="Calisto MT" w:hAnsi="Calisto MT" w:cs="Times New Roman"/>
        </w:rPr>
        <w:t>uneven</w:t>
      </w:r>
      <w:r w:rsidR="385E8843" w:rsidRPr="002F171D">
        <w:rPr>
          <w:rFonts w:ascii="Calisto MT" w:hAnsi="Calisto MT" w:cs="Times New Roman"/>
        </w:rPr>
        <w:t>ly</w:t>
      </w:r>
      <w:r w:rsidRPr="002F171D">
        <w:rPr>
          <w:rFonts w:ascii="Calisto MT" w:hAnsi="Calisto MT" w:cs="Times New Roman"/>
        </w:rPr>
        <w:t xml:space="preserve"> or the method chosen limits </w:t>
      </w:r>
      <w:r w:rsidR="3E00F446" w:rsidRPr="002F171D">
        <w:rPr>
          <w:rFonts w:ascii="Calisto MT" w:hAnsi="Calisto MT" w:cs="Times New Roman"/>
        </w:rPr>
        <w:t>access</w:t>
      </w:r>
      <w:r w:rsidRPr="002F171D">
        <w:rPr>
          <w:rFonts w:ascii="Calisto MT" w:hAnsi="Calisto MT" w:cs="Times New Roman"/>
        </w:rPr>
        <w:t xml:space="preserve">. </w:t>
      </w:r>
      <w:r w:rsidR="3EED5346" w:rsidRPr="002F171D">
        <w:rPr>
          <w:rFonts w:ascii="Calisto MT" w:hAnsi="Calisto MT" w:cs="Times New Roman"/>
        </w:rPr>
        <w:t>For example,</w:t>
      </w:r>
      <w:r w:rsidRPr="002F171D">
        <w:rPr>
          <w:rFonts w:ascii="Calisto MT" w:hAnsi="Calisto MT" w:cs="Times New Roman"/>
        </w:rPr>
        <w:t xml:space="preserve"> a choice to rely exclusively on online </w:t>
      </w:r>
      <w:r w:rsidR="67DC8E18" w:rsidRPr="002F171D">
        <w:rPr>
          <w:rFonts w:ascii="Calisto MT" w:hAnsi="Calisto MT" w:cs="Times New Roman"/>
        </w:rPr>
        <w:t xml:space="preserve">consent </w:t>
      </w:r>
      <w:r w:rsidRPr="002F171D">
        <w:rPr>
          <w:rFonts w:ascii="Calisto MT" w:hAnsi="Calisto MT" w:cs="Times New Roman"/>
        </w:rPr>
        <w:t xml:space="preserve">collection could produce a reporting gap for groups who suffer from digital exclusion. Consent can also be freely withdrawn in data protection law, </w:t>
      </w:r>
      <w:r w:rsidR="19E7096B" w:rsidRPr="002F171D">
        <w:rPr>
          <w:rFonts w:ascii="Calisto MT" w:hAnsi="Calisto MT" w:cs="Times New Roman"/>
        </w:rPr>
        <w:t xml:space="preserve">causing </w:t>
      </w:r>
      <w:r w:rsidRPr="002F171D">
        <w:rPr>
          <w:rFonts w:ascii="Calisto MT" w:hAnsi="Calisto MT" w:cs="Times New Roman"/>
        </w:rPr>
        <w:t xml:space="preserve">reporting gaps where </w:t>
      </w:r>
      <w:proofErr w:type="gramStart"/>
      <w:r w:rsidR="46E17A45" w:rsidRPr="002F171D">
        <w:rPr>
          <w:rFonts w:ascii="Calisto MT" w:hAnsi="Calisto MT" w:cs="Times New Roman"/>
        </w:rPr>
        <w:t xml:space="preserve">one </w:t>
      </w:r>
      <w:r w:rsidRPr="002F171D">
        <w:rPr>
          <w:rFonts w:ascii="Calisto MT" w:hAnsi="Calisto MT" w:cs="Times New Roman"/>
        </w:rPr>
        <w:t xml:space="preserve"> group</w:t>
      </w:r>
      <w:proofErr w:type="gramEnd"/>
      <w:r w:rsidR="3856A0B1" w:rsidRPr="002F171D">
        <w:rPr>
          <w:rFonts w:ascii="Calisto MT" w:hAnsi="Calisto MT" w:cs="Times New Roman"/>
        </w:rPr>
        <w:t xml:space="preserve"> does so</w:t>
      </w:r>
      <w:r w:rsidRPr="002F171D">
        <w:rPr>
          <w:rFonts w:ascii="Calisto MT" w:hAnsi="Calisto MT" w:cs="Times New Roman"/>
        </w:rPr>
        <w:t xml:space="preserve"> to a greater extent than others. Contract-based data processing could create data gaps </w:t>
      </w:r>
      <w:proofErr w:type="gramStart"/>
      <w:r w:rsidR="7AED13E7" w:rsidRPr="002F171D">
        <w:rPr>
          <w:rFonts w:ascii="Calisto MT" w:hAnsi="Calisto MT" w:cs="Times New Roman"/>
        </w:rPr>
        <w:t xml:space="preserve">if </w:t>
      </w:r>
      <w:r w:rsidRPr="002F171D">
        <w:rPr>
          <w:rFonts w:ascii="Calisto MT" w:hAnsi="Calisto MT" w:cs="Times New Roman"/>
        </w:rPr>
        <w:t xml:space="preserve"> groups</w:t>
      </w:r>
      <w:proofErr w:type="gramEnd"/>
      <w:r w:rsidRPr="002F171D">
        <w:rPr>
          <w:rFonts w:ascii="Calisto MT" w:hAnsi="Calisto MT" w:cs="Times New Roman"/>
        </w:rPr>
        <w:t xml:space="preserve"> refuse to enter into </w:t>
      </w:r>
      <w:r w:rsidR="255E4D8A" w:rsidRPr="002F171D">
        <w:rPr>
          <w:rFonts w:ascii="Calisto MT" w:hAnsi="Calisto MT" w:cs="Times New Roman"/>
        </w:rPr>
        <w:t>contract</w:t>
      </w:r>
      <w:r w:rsidRPr="002F171D">
        <w:rPr>
          <w:rFonts w:ascii="Calisto MT" w:hAnsi="Calisto MT" w:cs="Times New Roman"/>
        </w:rPr>
        <w:t xml:space="preserve"> with the controller</w:t>
      </w:r>
      <w:r w:rsidR="0BCD160B" w:rsidRPr="002F171D">
        <w:rPr>
          <w:rFonts w:ascii="Calisto MT" w:hAnsi="Calisto MT" w:cs="Times New Roman"/>
        </w:rPr>
        <w:t xml:space="preserve">, although </w:t>
      </w:r>
      <w:r w:rsidR="1746384B" w:rsidRPr="002F171D">
        <w:rPr>
          <w:rFonts w:ascii="Calisto MT" w:hAnsi="Calisto MT" w:cs="Times New Roman"/>
        </w:rPr>
        <w:t xml:space="preserve">such refusal </w:t>
      </w:r>
      <w:r w:rsidR="0BCD160B" w:rsidRPr="002F171D">
        <w:rPr>
          <w:rFonts w:ascii="Calisto MT" w:hAnsi="Calisto MT" w:cs="Times New Roman"/>
        </w:rPr>
        <w:t xml:space="preserve">might be rare </w:t>
      </w:r>
      <w:r w:rsidR="1CF06D3D" w:rsidRPr="002F171D">
        <w:rPr>
          <w:rFonts w:ascii="Calisto MT" w:hAnsi="Calisto MT" w:cs="Times New Roman"/>
        </w:rPr>
        <w:t>where there is an inequality of bargaining position</w:t>
      </w:r>
      <w:r w:rsidRPr="002F171D">
        <w:rPr>
          <w:rFonts w:ascii="Calisto MT" w:hAnsi="Calisto MT" w:cs="Times New Roman"/>
        </w:rPr>
        <w:t xml:space="preserve">. Such choices might be driven by the costs of, or an overcautious approach towards the implementation of, </w:t>
      </w:r>
      <w:proofErr w:type="gramStart"/>
      <w:r w:rsidRPr="002F171D">
        <w:rPr>
          <w:rFonts w:ascii="Calisto MT" w:hAnsi="Calisto MT" w:cs="Times New Roman"/>
        </w:rPr>
        <w:t>particular data</w:t>
      </w:r>
      <w:proofErr w:type="gramEnd"/>
      <w:r w:rsidRPr="002F171D">
        <w:rPr>
          <w:rFonts w:ascii="Calisto MT" w:hAnsi="Calisto MT" w:cs="Times New Roman"/>
        </w:rPr>
        <w:t xml:space="preserve"> protection principles, or simply by controllers failing to consider and plan for all processing purposes they might desire in the future.</w:t>
      </w:r>
    </w:p>
    <w:p w14:paraId="38F1BA81" w14:textId="065C4186"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However, once a controller has decided to process personal data for a particular purpose through given means, </w:t>
      </w:r>
      <w:r w:rsidR="16E303AF" w:rsidRPr="002F171D">
        <w:rPr>
          <w:rFonts w:ascii="Calisto MT" w:hAnsi="Calisto MT" w:cs="Times New Roman"/>
        </w:rPr>
        <w:t>some</w:t>
      </w:r>
      <w:r w:rsidRPr="002F171D">
        <w:rPr>
          <w:rFonts w:ascii="Calisto MT" w:hAnsi="Calisto MT" w:cs="Times New Roman"/>
        </w:rPr>
        <w:t xml:space="preserve"> data protection </w:t>
      </w:r>
      <w:proofErr w:type="spellStart"/>
      <w:r w:rsidR="026025D6" w:rsidRPr="002F171D">
        <w:rPr>
          <w:rFonts w:ascii="Calisto MT" w:hAnsi="Calisto MT" w:cs="Times New Roman"/>
        </w:rPr>
        <w:t>concpets</w:t>
      </w:r>
      <w:proofErr w:type="spellEnd"/>
      <w:r w:rsidRPr="002F171D">
        <w:rPr>
          <w:rFonts w:ascii="Calisto MT" w:hAnsi="Calisto MT" w:cs="Times New Roman"/>
        </w:rPr>
        <w:t xml:space="preserve"> have potential to address data gaps. Processing includes the ‘erasure or destruction’ of personal data,</w:t>
      </w:r>
      <w:r w:rsidRPr="002F171D">
        <w:rPr>
          <w:rFonts w:ascii="Calisto MT" w:hAnsi="Calisto MT" w:cs="Times New Roman"/>
          <w:vertAlign w:val="superscript"/>
        </w:rPr>
        <w:footnoteReference w:id="111"/>
      </w:r>
      <w:r w:rsidRPr="002F171D">
        <w:rPr>
          <w:rFonts w:ascii="Calisto MT" w:hAnsi="Calisto MT" w:cs="Times New Roman"/>
        </w:rPr>
        <w:t xml:space="preserve"> and therefore an important protection exists for personal data once processing has started, in that erasure or destruction must be done on a lawful basis.</w:t>
      </w:r>
      <w:r w:rsidRPr="002F171D">
        <w:rPr>
          <w:rFonts w:ascii="Calisto MT" w:hAnsi="Calisto MT" w:cs="Times New Roman"/>
          <w:vertAlign w:val="superscript"/>
        </w:rPr>
        <w:footnoteReference w:id="112"/>
      </w:r>
      <w:r w:rsidRPr="002F171D">
        <w:rPr>
          <w:rFonts w:ascii="Calisto MT" w:hAnsi="Calisto MT" w:cs="Times New Roman"/>
        </w:rPr>
        <w:t xml:space="preserve"> The data protection principle of accuracy includes a requirement that data be ‘kept up to date’, which would guard against data gaps arising through the deterioration of data quality over time.</w:t>
      </w:r>
      <w:r w:rsidRPr="002F171D">
        <w:rPr>
          <w:rFonts w:ascii="Calisto MT" w:hAnsi="Calisto MT" w:cs="Times New Roman"/>
          <w:vertAlign w:val="superscript"/>
        </w:rPr>
        <w:footnoteReference w:id="113"/>
      </w:r>
      <w:r w:rsidRPr="002F171D">
        <w:rPr>
          <w:rFonts w:ascii="Calisto MT" w:hAnsi="Calisto MT" w:cs="Times New Roman"/>
        </w:rPr>
        <w:t xml:space="preserve"> The data </w:t>
      </w:r>
      <w:r w:rsidRPr="002F171D">
        <w:rPr>
          <w:rFonts w:ascii="Calisto MT" w:hAnsi="Calisto MT" w:cs="Times New Roman"/>
        </w:rPr>
        <w:lastRenderedPageBreak/>
        <w:t>protection principle of integrity includes a requirement to protect data against ‘unauthorized or unlawful processing’, which could include erasure and destruction, as well as ‘accidental loss, destruction or damage’, through ‘appropriate technical and organisational measures.’</w:t>
      </w:r>
      <w:r w:rsidRPr="002F171D">
        <w:rPr>
          <w:rFonts w:ascii="Calisto MT" w:hAnsi="Calisto MT" w:cs="Times New Roman"/>
          <w:vertAlign w:val="superscript"/>
        </w:rPr>
        <w:footnoteReference w:id="114"/>
      </w:r>
      <w:r w:rsidRPr="002F171D">
        <w:rPr>
          <w:rFonts w:ascii="Calisto MT" w:hAnsi="Calisto MT" w:cs="Times New Roman"/>
        </w:rPr>
        <w:t xml:space="preserve"> This goes some way to protect against </w:t>
      </w:r>
      <w:sdt>
        <w:sdtPr>
          <w:rPr>
            <w:rFonts w:ascii="Calisto MT" w:hAnsi="Calisto MT" w:cs="Times New Roman"/>
          </w:rPr>
          <w:tag w:val="goog_rdk_3"/>
          <w:id w:val="2028292850"/>
        </w:sdtPr>
        <w:sdtContent/>
      </w:sdt>
      <w:sdt>
        <w:sdtPr>
          <w:rPr>
            <w:rFonts w:ascii="Calisto MT" w:hAnsi="Calisto MT" w:cs="Times New Roman"/>
          </w:rPr>
          <w:tag w:val="goog_rdk_4"/>
          <w:id w:val="-1952840901"/>
        </w:sdtPr>
        <w:sdtContent/>
      </w:sdt>
      <w:r w:rsidRPr="002F171D">
        <w:rPr>
          <w:rFonts w:ascii="Calisto MT" w:hAnsi="Calisto MT" w:cs="Times New Roman"/>
        </w:rPr>
        <w:t>data gaps through the destruction of data during processing.</w:t>
      </w:r>
    </w:p>
    <w:p w14:paraId="2BF52BA7" w14:textId="1C4A6B14"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Individual data subject rights </w:t>
      </w:r>
      <w:r w:rsidR="26A94331" w:rsidRPr="002F171D">
        <w:rPr>
          <w:rFonts w:ascii="Calisto MT" w:hAnsi="Calisto MT" w:cs="Times New Roman"/>
        </w:rPr>
        <w:t xml:space="preserve">might also </w:t>
      </w:r>
      <w:r w:rsidRPr="002F171D">
        <w:rPr>
          <w:rFonts w:ascii="Calisto MT" w:hAnsi="Calisto MT" w:cs="Times New Roman"/>
        </w:rPr>
        <w:t xml:space="preserve">close individual data gaps, although organising their use at scale would be challenging. The right to rectification includes </w:t>
      </w:r>
      <w:r w:rsidR="554988BC" w:rsidRPr="002F171D">
        <w:rPr>
          <w:rFonts w:ascii="Calisto MT" w:hAnsi="Calisto MT" w:cs="Times New Roman"/>
        </w:rPr>
        <w:t>both</w:t>
      </w:r>
      <w:r w:rsidRPr="002F171D">
        <w:rPr>
          <w:rFonts w:ascii="Calisto MT" w:hAnsi="Calisto MT" w:cs="Times New Roman"/>
        </w:rPr>
        <w:t xml:space="preserve"> the right to correct inaccuracies </w:t>
      </w:r>
      <w:r w:rsidR="6C4E6B78" w:rsidRPr="002F171D">
        <w:rPr>
          <w:rFonts w:ascii="Calisto MT" w:hAnsi="Calisto MT" w:cs="Times New Roman"/>
        </w:rPr>
        <w:t>and</w:t>
      </w:r>
      <w:r w:rsidRPr="002F171D">
        <w:rPr>
          <w:rFonts w:ascii="Calisto MT" w:hAnsi="Calisto MT" w:cs="Times New Roman"/>
        </w:rPr>
        <w:t xml:space="preserve"> the ‘right to have incomplete personal data completed’, which can include a ‘supplementary statement’.</w:t>
      </w:r>
      <w:r w:rsidRPr="002F171D">
        <w:rPr>
          <w:rFonts w:ascii="Calisto MT" w:hAnsi="Calisto MT" w:cs="Times New Roman"/>
          <w:vertAlign w:val="superscript"/>
        </w:rPr>
        <w:footnoteReference w:id="115"/>
      </w:r>
      <w:r w:rsidRPr="002F171D">
        <w:rPr>
          <w:rFonts w:ascii="Calisto MT" w:hAnsi="Calisto MT" w:cs="Times New Roman"/>
        </w:rPr>
        <w:t xml:space="preserve"> Where data are to be erased or destroyed on the basis of the legitimate interests of the controller, for instance because the cost to them of processing outweighs their benefit, a data subject could object to that processing and require the controller to demonstrate compelling legitimate interests that outweigh those of the data subject. A data subject can restrict processing, including erasure or destruction, where the controller no longer needs to process the </w:t>
      </w:r>
      <w:proofErr w:type="gramStart"/>
      <w:r w:rsidRPr="002F171D">
        <w:rPr>
          <w:rFonts w:ascii="Calisto MT" w:hAnsi="Calisto MT" w:cs="Times New Roman"/>
        </w:rPr>
        <w:t>data</w:t>
      </w:r>
      <w:proofErr w:type="gramEnd"/>
      <w:r w:rsidRPr="002F171D">
        <w:rPr>
          <w:rFonts w:ascii="Calisto MT" w:hAnsi="Calisto MT" w:cs="Times New Roman"/>
        </w:rPr>
        <w:t xml:space="preserve"> but the data subject requires it for the establishment, exercise or defence of legal claims.</w:t>
      </w:r>
      <w:r w:rsidRPr="002F171D">
        <w:rPr>
          <w:rFonts w:ascii="Calisto MT" w:hAnsi="Calisto MT" w:cs="Times New Roman"/>
          <w:vertAlign w:val="superscript"/>
        </w:rPr>
        <w:footnoteReference w:id="116"/>
      </w:r>
    </w:p>
    <w:p w14:paraId="779881C0" w14:textId="76693DE3"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Data protection law should therefore </w:t>
      </w:r>
      <w:r w:rsidR="550B0AA5" w:rsidRPr="002F171D">
        <w:rPr>
          <w:rFonts w:ascii="Calisto MT" w:hAnsi="Calisto MT" w:cs="Times New Roman"/>
        </w:rPr>
        <w:t xml:space="preserve">not be </w:t>
      </w:r>
      <w:r w:rsidRPr="002F171D">
        <w:rPr>
          <w:rFonts w:ascii="Calisto MT" w:hAnsi="Calisto MT" w:cs="Times New Roman"/>
        </w:rPr>
        <w:t>seen exclusively as a cause of public data gaps but as also having some potential to address them</w:t>
      </w:r>
      <w:proofErr w:type="gramStart"/>
      <w:r w:rsidR="4C0B1630" w:rsidRPr="002F171D">
        <w:rPr>
          <w:rFonts w:ascii="Calisto MT" w:hAnsi="Calisto MT" w:cs="Times New Roman"/>
        </w:rPr>
        <w:t>.</w:t>
      </w:r>
      <w:r w:rsidRPr="002F171D">
        <w:rPr>
          <w:rFonts w:ascii="Calisto MT" w:hAnsi="Calisto MT" w:cs="Times New Roman"/>
        </w:rPr>
        <w:t xml:space="preserve"> .</w:t>
      </w:r>
      <w:proofErr w:type="gramEnd"/>
    </w:p>
    <w:p w14:paraId="30B6AC05" w14:textId="77777777" w:rsidR="00063158" w:rsidRPr="002F171D" w:rsidRDefault="00063158" w:rsidP="005D705C">
      <w:pPr>
        <w:spacing w:line="360" w:lineRule="auto"/>
        <w:jc w:val="both"/>
        <w:rPr>
          <w:rFonts w:ascii="Calisto MT" w:hAnsi="Calisto MT" w:cs="Times New Roman"/>
        </w:rPr>
      </w:pPr>
    </w:p>
    <w:p w14:paraId="62DCAF38" w14:textId="6DFA96FC" w:rsidR="00063158" w:rsidRPr="005D705C" w:rsidRDefault="00063158" w:rsidP="005D705C">
      <w:pPr>
        <w:spacing w:line="360" w:lineRule="auto"/>
        <w:jc w:val="both"/>
        <w:rPr>
          <w:rFonts w:ascii="Optima" w:hAnsi="Optima" w:cs="Times New Roman"/>
          <w:i/>
          <w:iCs/>
        </w:rPr>
      </w:pPr>
      <w:r w:rsidRPr="005D705C">
        <w:rPr>
          <w:rFonts w:ascii="Optima" w:hAnsi="Optima" w:cs="Times New Roman"/>
          <w:i/>
          <w:iCs/>
        </w:rPr>
        <w:t xml:space="preserve">(d) </w:t>
      </w:r>
      <w:r w:rsidR="005D705C">
        <w:rPr>
          <w:rFonts w:ascii="Optima" w:hAnsi="Optima" w:cs="Times New Roman"/>
          <w:i/>
          <w:iCs/>
        </w:rPr>
        <w:tab/>
      </w:r>
      <w:r w:rsidRPr="005D705C">
        <w:rPr>
          <w:rFonts w:ascii="Optima" w:hAnsi="Optima" w:cs="Times New Roman"/>
          <w:i/>
          <w:iCs/>
        </w:rPr>
        <w:t>Access to justice</w:t>
      </w:r>
    </w:p>
    <w:p w14:paraId="3B854F8D" w14:textId="472D3566"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While there are different conceptualisations of access to justice,</w:t>
      </w:r>
      <w:r w:rsidRPr="002F171D">
        <w:rPr>
          <w:rFonts w:ascii="Calisto MT" w:hAnsi="Calisto MT" w:cs="Times New Roman"/>
          <w:vertAlign w:val="superscript"/>
        </w:rPr>
        <w:footnoteReference w:id="117"/>
      </w:r>
      <w:r w:rsidRPr="002F171D">
        <w:rPr>
          <w:rFonts w:ascii="Calisto MT" w:hAnsi="Calisto MT" w:cs="Times New Roman"/>
        </w:rPr>
        <w:t xml:space="preserve"> most accounts converge on three elements: access to legal knowledge, access to legal expertise and guidance, and access to the courts and tribunals.</w:t>
      </w:r>
      <w:r w:rsidRPr="002F171D">
        <w:rPr>
          <w:rFonts w:ascii="Calisto MT" w:hAnsi="Calisto MT" w:cs="Times New Roman"/>
          <w:vertAlign w:val="superscript"/>
        </w:rPr>
        <w:footnoteReference w:id="118"/>
      </w:r>
      <w:r w:rsidRPr="002F171D">
        <w:rPr>
          <w:rFonts w:ascii="Calisto MT" w:hAnsi="Calisto MT" w:cs="Times New Roman"/>
        </w:rPr>
        <w:t xml:space="preserve"> Public data gaps have the power to impact all these elements. Such gaps can not only restrict the flow of legal knowledge but also constrict the channels through which individuals seek legal counsel and engage with judicial mechanisms. </w:t>
      </w:r>
    </w:p>
    <w:p w14:paraId="17A204C4" w14:textId="2C667282"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lastRenderedPageBreak/>
        <w:t>Central to the doctrine of access to justice is the dissemination and promulgation of legal knowledge.</w:t>
      </w:r>
      <w:r w:rsidRPr="002F171D">
        <w:rPr>
          <w:rFonts w:ascii="Calisto MT" w:hAnsi="Calisto MT" w:cs="Times New Roman"/>
          <w:vertAlign w:val="superscript"/>
        </w:rPr>
        <w:footnoteReference w:id="119"/>
      </w:r>
      <w:r w:rsidRPr="002F171D">
        <w:rPr>
          <w:rFonts w:ascii="Calisto MT" w:hAnsi="Calisto MT" w:cs="Times New Roman"/>
        </w:rPr>
        <w:t xml:space="preserve"> The British legal system, with its wide reliance on judicial precedents, necessitates the accessibility of case law to inform both the public and legal professionals. Yet, the UK has yet to establish a </w:t>
      </w:r>
      <w:r w:rsidR="6A2587FC" w:rsidRPr="002F171D">
        <w:rPr>
          <w:rFonts w:ascii="Calisto MT" w:hAnsi="Calisto MT" w:cs="Times New Roman"/>
        </w:rPr>
        <w:t xml:space="preserve">fully </w:t>
      </w:r>
      <w:r w:rsidRPr="002F171D">
        <w:rPr>
          <w:rFonts w:ascii="Calisto MT" w:hAnsi="Calisto MT" w:cs="Times New Roman"/>
        </w:rPr>
        <w:t>comprehensive and freely accessible public database of its case law. Until April 2022, individual judges and clerks directly emailed publishers and attached the judgments that they ‘felt were significant enough to be published,’ meaning judgment data is patchy.</w:t>
      </w:r>
      <w:r w:rsidRPr="002F171D">
        <w:rPr>
          <w:rFonts w:ascii="Calisto MT" w:hAnsi="Calisto MT" w:cs="Times New Roman"/>
          <w:vertAlign w:val="superscript"/>
        </w:rPr>
        <w:footnoteReference w:id="120"/>
      </w:r>
      <w:r w:rsidRPr="002F171D">
        <w:rPr>
          <w:rFonts w:ascii="Calisto MT" w:hAnsi="Calisto MT" w:cs="Times New Roman"/>
        </w:rPr>
        <w:t xml:space="preserve"> As several commentators have also pointed out,</w:t>
      </w:r>
      <w:r w:rsidRPr="002F171D">
        <w:rPr>
          <w:rFonts w:ascii="Calisto MT" w:hAnsi="Calisto MT" w:cs="Times New Roman"/>
          <w:vertAlign w:val="superscript"/>
        </w:rPr>
        <w:footnoteReference w:id="121"/>
      </w:r>
      <w:r w:rsidRPr="002F171D">
        <w:rPr>
          <w:rFonts w:ascii="Calisto MT" w:hAnsi="Calisto MT" w:cs="Times New Roman"/>
        </w:rPr>
        <w:t xml:space="preserve"> an ‘important part of the law is not meaningfully public’</w:t>
      </w:r>
      <w:r w:rsidRPr="002F171D">
        <w:rPr>
          <w:rFonts w:ascii="Calisto MT" w:hAnsi="Calisto MT" w:cs="Times New Roman"/>
          <w:vertAlign w:val="superscript"/>
        </w:rPr>
        <w:footnoteReference w:id="122"/>
      </w:r>
      <w:r w:rsidRPr="002F171D">
        <w:rPr>
          <w:rFonts w:ascii="Calisto MT" w:hAnsi="Calisto MT" w:cs="Times New Roman"/>
        </w:rPr>
        <w:t xml:space="preserve"> with many judgments being ensnared behind paywalls or subjected to inconsistent reporting. Although the discussion often revolves around access to judgments, the issue goes to the collection and reporting of the judgment data beginning in the initial stages of data production.</w:t>
      </w:r>
      <w:r w:rsidRPr="002F171D">
        <w:rPr>
          <w:rFonts w:ascii="Calisto MT" w:hAnsi="Calisto MT" w:cs="Times New Roman"/>
          <w:vertAlign w:val="superscript"/>
        </w:rPr>
        <w:footnoteReference w:id="123"/>
      </w:r>
      <w:r w:rsidRPr="002F171D">
        <w:rPr>
          <w:rFonts w:ascii="Calisto MT" w:hAnsi="Calisto MT" w:cs="Times New Roman"/>
        </w:rPr>
        <w:t xml:space="preserve"> Beyond the selective approach, which might reflect an omission that can be traced back to legal entitlement to judgment data and its copyright,</w:t>
      </w:r>
      <w:r w:rsidRPr="002F171D">
        <w:rPr>
          <w:rFonts w:ascii="Calisto MT" w:hAnsi="Calisto MT" w:cs="Times New Roman"/>
          <w:vertAlign w:val="superscript"/>
        </w:rPr>
        <w:footnoteReference w:id="124"/>
      </w:r>
      <w:r w:rsidRPr="002F171D">
        <w:rPr>
          <w:rFonts w:ascii="Calisto MT" w:hAnsi="Calisto MT" w:cs="Times New Roman"/>
        </w:rPr>
        <w:t xml:space="preserve"> there might be other infrastructural barriers in capturing judgment data at its production stage. For example, Hoadley and others refer to </w:t>
      </w:r>
      <w:r w:rsidRPr="002F171D">
        <w:rPr>
          <w:rFonts w:ascii="Calisto MT" w:hAnsi="Calisto MT" w:cs="Times New Roman"/>
          <w:i/>
          <w:iCs/>
        </w:rPr>
        <w:t xml:space="preserve">ex tempore </w:t>
      </w:r>
      <w:r w:rsidRPr="002F171D">
        <w:rPr>
          <w:rFonts w:ascii="Calisto MT" w:hAnsi="Calisto MT" w:cs="Times New Roman"/>
        </w:rPr>
        <w:t>judgments in the Administrative Court as an example of judgment data which is directly transferred from transcription agencies to commercial legal publishers, with non-profit entities like BAILII not having the spending power to purchase judgments and HMCTS not having the infrastructure in courts to capture the data at the point of collection.</w:t>
      </w:r>
      <w:r w:rsidRPr="002F171D">
        <w:rPr>
          <w:rFonts w:ascii="Calisto MT" w:hAnsi="Calisto MT" w:cs="Times New Roman"/>
          <w:vertAlign w:val="superscript"/>
        </w:rPr>
        <w:footnoteReference w:id="125"/>
      </w:r>
      <w:r w:rsidRPr="002F171D">
        <w:rPr>
          <w:rFonts w:ascii="Calisto MT" w:hAnsi="Calisto MT" w:cs="Times New Roman"/>
        </w:rPr>
        <w:t xml:space="preserve"> Put simply, there are collection and reports data gaps at the heart of our public law knowledge </w:t>
      </w:r>
      <w:r w:rsidR="7C987713" w:rsidRPr="002F171D">
        <w:rPr>
          <w:rFonts w:ascii="Calisto MT" w:hAnsi="Calisto MT" w:cs="Times New Roman"/>
        </w:rPr>
        <w:t>eco</w:t>
      </w:r>
      <w:r w:rsidRPr="002F171D">
        <w:rPr>
          <w:rFonts w:ascii="Calisto MT" w:hAnsi="Calisto MT" w:cs="Times New Roman"/>
        </w:rPr>
        <w:t>system.</w:t>
      </w:r>
    </w:p>
    <w:p w14:paraId="6121BD6A" w14:textId="7143A0A4"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The ripple effects of these data gaps extend into the realm of access to legal expertise and guidance</w:t>
      </w:r>
      <w:r w:rsidR="664E607B" w:rsidRPr="002F171D">
        <w:rPr>
          <w:rFonts w:ascii="Calisto MT" w:hAnsi="Calisto MT" w:cs="Times New Roman"/>
        </w:rPr>
        <w:t xml:space="preserve">, which </w:t>
      </w:r>
      <w:proofErr w:type="gramStart"/>
      <w:r w:rsidR="664E607B" w:rsidRPr="002F171D">
        <w:rPr>
          <w:rFonts w:ascii="Calisto MT" w:hAnsi="Calisto MT" w:cs="Times New Roman"/>
        </w:rPr>
        <w:t xml:space="preserve">are </w:t>
      </w:r>
      <w:r w:rsidRPr="002F171D">
        <w:rPr>
          <w:rFonts w:ascii="Calisto MT" w:hAnsi="Calisto MT" w:cs="Times New Roman"/>
        </w:rPr>
        <w:t xml:space="preserve"> necessary</w:t>
      </w:r>
      <w:proofErr w:type="gramEnd"/>
      <w:r w:rsidRPr="002F171D">
        <w:rPr>
          <w:rFonts w:ascii="Calisto MT" w:hAnsi="Calisto MT" w:cs="Times New Roman"/>
        </w:rPr>
        <w:t xml:space="preserve"> for access to justice due to the complexity of legal knowledge.</w:t>
      </w:r>
      <w:r w:rsidRPr="002F171D">
        <w:rPr>
          <w:rFonts w:ascii="Calisto MT" w:hAnsi="Calisto MT" w:cs="Times New Roman"/>
          <w:vertAlign w:val="superscript"/>
        </w:rPr>
        <w:footnoteReference w:id="126"/>
      </w:r>
      <w:r w:rsidRPr="002F171D">
        <w:rPr>
          <w:rFonts w:ascii="Calisto MT" w:hAnsi="Calisto MT" w:cs="Times New Roman"/>
        </w:rPr>
        <w:t xml:space="preserve"> Legal advisors, charities, and advocacy groups are often the intermediaries through which the public navigates the </w:t>
      </w:r>
      <w:r w:rsidR="2E1300E5" w:rsidRPr="002F171D">
        <w:rPr>
          <w:rFonts w:ascii="Calisto MT" w:hAnsi="Calisto MT" w:cs="Times New Roman"/>
        </w:rPr>
        <w:t xml:space="preserve">public law </w:t>
      </w:r>
      <w:r w:rsidRPr="002F171D">
        <w:rPr>
          <w:rFonts w:ascii="Calisto MT" w:hAnsi="Calisto MT" w:cs="Times New Roman"/>
        </w:rPr>
        <w:t xml:space="preserve">system. Gaps in judgment data arguably disadvantage those of a lower socio-economic background in three ways, considering that </w:t>
      </w:r>
      <w:r w:rsidRPr="002F171D">
        <w:rPr>
          <w:rFonts w:ascii="Calisto MT" w:hAnsi="Calisto MT" w:cs="Times New Roman"/>
        </w:rPr>
        <w:lastRenderedPageBreak/>
        <w:t>they are the ones most likely to require legal aid or an alternative form of legal advice to specialist corporate law firms. First, data gaps, especially participation gaps, have a particularly severe impact on legal aid, as they hinder the ability to identify trends, allocate resources effectively, and ensure that legal aid is available where it is most needed. As Denvir and others note, data on the specifics of legal aid practice has been ‘piecemeal, lacking context and insufficiently able to elucidate conditions on the ground’.</w:t>
      </w:r>
      <w:r w:rsidRPr="002F171D">
        <w:rPr>
          <w:rFonts w:ascii="Calisto MT" w:hAnsi="Calisto MT" w:cs="Times New Roman"/>
          <w:vertAlign w:val="superscript"/>
        </w:rPr>
        <w:footnoteReference w:id="127"/>
      </w:r>
      <w:r w:rsidRPr="002F171D">
        <w:rPr>
          <w:rFonts w:ascii="Calisto MT" w:hAnsi="Calisto MT" w:cs="Times New Roman"/>
        </w:rPr>
        <w:t xml:space="preserve"> Second, legal aid lawyers’ ability to provide sound and comprehensive advice is inherently tied to the accessibility and quality of legal information at their disposal. As such, the lack of a comprehensive public judgments database directly impairs the provision of legal expertise, with a pronounced impact on the quality of legal representation and advice available to those in need. Third, legal/tech innovators seek to use data analytics and AI with a view to disrupting the legal market and providing more cost-effective legal guidance and advice for litigants in need and SMEs.</w:t>
      </w:r>
      <w:r w:rsidRPr="002F171D">
        <w:rPr>
          <w:rFonts w:ascii="Calisto MT" w:hAnsi="Calisto MT" w:cs="Times New Roman"/>
          <w:vertAlign w:val="superscript"/>
        </w:rPr>
        <w:footnoteReference w:id="128"/>
      </w:r>
      <w:r w:rsidRPr="002F171D">
        <w:rPr>
          <w:rFonts w:ascii="Calisto MT" w:hAnsi="Calisto MT" w:cs="Times New Roman"/>
        </w:rPr>
        <w:t xml:space="preserve">  However, these innovative platforms rely heavily on comprehensive legal datasets to function effectively. When legal databases are incomplete or inaccessible due to restrictive licensing or high costs, the ability of these services to provide accurate guidance is compromised.</w:t>
      </w:r>
    </w:p>
    <w:p w14:paraId="685ECEA8" w14:textId="4A76B55B" w:rsidR="00063158" w:rsidRPr="002F171D" w:rsidRDefault="00063158" w:rsidP="005D705C">
      <w:pPr>
        <w:spacing w:line="360" w:lineRule="auto"/>
        <w:ind w:firstLine="720"/>
        <w:jc w:val="both"/>
        <w:rPr>
          <w:rFonts w:ascii="Calisto MT" w:hAnsi="Calisto MT" w:cs="Times New Roman"/>
        </w:rPr>
      </w:pPr>
      <w:r w:rsidRPr="002F171D">
        <w:rPr>
          <w:rFonts w:ascii="Calisto MT" w:hAnsi="Calisto MT" w:cs="Times New Roman"/>
        </w:rPr>
        <w:t xml:space="preserve">The final component of access to justice, the ability to access the courts, has been traditionally conceived as being of paramount importance. In the strong words of the Supreme Court in </w:t>
      </w:r>
      <w:r w:rsidRPr="002F171D">
        <w:rPr>
          <w:rFonts w:ascii="Calisto MT" w:hAnsi="Calisto MT" w:cs="Times New Roman"/>
          <w:i/>
          <w:iCs/>
        </w:rPr>
        <w:t>UNISON</w:t>
      </w:r>
      <w:r w:rsidRPr="002F171D">
        <w:rPr>
          <w:rFonts w:ascii="Calisto MT" w:hAnsi="Calisto MT" w:cs="Times New Roman"/>
        </w:rPr>
        <w:t xml:space="preserve">, without the ‘unimpeded </w:t>
      </w:r>
      <w:proofErr w:type="gramStart"/>
      <w:r w:rsidRPr="002F171D">
        <w:rPr>
          <w:rFonts w:ascii="Calisto MT" w:hAnsi="Calisto MT" w:cs="Times New Roman"/>
        </w:rPr>
        <w:t>access’</w:t>
      </w:r>
      <w:proofErr w:type="gramEnd"/>
      <w:r w:rsidRPr="002F171D">
        <w:rPr>
          <w:rFonts w:ascii="Calisto MT" w:hAnsi="Calisto MT" w:cs="Times New Roman"/>
        </w:rPr>
        <w:t xml:space="preserve"> of citizens to courts, the laws become ‘a dead letter,’ the Parliament’s work is ‘rendered nugatory’ and democracy may become a ‘meaningless charade’.</w:t>
      </w:r>
      <w:r w:rsidRPr="002F171D">
        <w:rPr>
          <w:rFonts w:ascii="Calisto MT" w:hAnsi="Calisto MT" w:cs="Times New Roman"/>
          <w:vertAlign w:val="superscript"/>
        </w:rPr>
        <w:footnoteReference w:id="129"/>
      </w:r>
      <w:r w:rsidRPr="002F171D">
        <w:rPr>
          <w:rFonts w:ascii="Calisto MT" w:hAnsi="Calisto MT" w:cs="Times New Roman"/>
        </w:rPr>
        <w:t xml:space="preserve"> Access to the courts is, of course, inextricably linked to the availability of legal knowledge and expertise. When data gaps inhibit the public's legal understanding and the capacity for effective legal counsel, the pathway to courts becomes fraught with obstacles. These barriers are not merely theoretical; they have practical implications for the ability of individuals to prepare and present their cases, to navigate court procedures, and to engage with the justice system meaningfully.</w:t>
      </w:r>
      <w:r w:rsidRPr="002F171D">
        <w:rPr>
          <w:rFonts w:ascii="Calisto MT" w:hAnsi="Calisto MT" w:cs="Times New Roman"/>
          <w:vertAlign w:val="superscript"/>
        </w:rPr>
        <w:footnoteReference w:id="130"/>
      </w:r>
      <w:r w:rsidRPr="002F171D">
        <w:rPr>
          <w:rFonts w:ascii="Calisto MT" w:hAnsi="Calisto MT" w:cs="Times New Roman"/>
        </w:rPr>
        <w:t xml:space="preserve"> Beyond this prominent type of data gap, however, the experience of accessing redress is often </w:t>
      </w:r>
      <w:r w:rsidRPr="002F171D">
        <w:rPr>
          <w:rFonts w:ascii="Calisto MT" w:hAnsi="Calisto MT" w:cs="Times New Roman"/>
        </w:rPr>
        <w:lastRenderedPageBreak/>
        <w:t xml:space="preserve">further significantly impacted by other data gaps. For instance, the </w:t>
      </w:r>
      <w:r w:rsidRPr="002F171D">
        <w:rPr>
          <w:rFonts w:ascii="Calisto MT" w:hAnsi="Calisto MT" w:cs="Times New Roman"/>
          <w:i/>
          <w:iCs/>
        </w:rPr>
        <w:t>UNISON</w:t>
      </w:r>
      <w:r w:rsidRPr="002F171D">
        <w:rPr>
          <w:rFonts w:ascii="Calisto MT" w:hAnsi="Calisto MT" w:cs="Times New Roman"/>
        </w:rPr>
        <w:t xml:space="preserve"> case itself was a public law challenge to secondary regulations that introduced a fee that prevented people from accessing the employment tribunal. The success of that case turned in large part on the fact that data on the number of employment cases was being collected, it showed clearly that the fee had a serious impact on access to justice, and leading law and economics researchers were able to produce an analysis of it.</w:t>
      </w:r>
      <w:r w:rsidRPr="002F171D">
        <w:rPr>
          <w:rFonts w:ascii="Calisto MT" w:hAnsi="Calisto MT" w:cs="Times New Roman"/>
          <w:vertAlign w:val="superscript"/>
        </w:rPr>
        <w:footnoteReference w:id="131"/>
      </w:r>
      <w:r w:rsidRPr="002F171D">
        <w:rPr>
          <w:rFonts w:ascii="Calisto MT" w:hAnsi="Calisto MT" w:cs="Times New Roman"/>
        </w:rPr>
        <w:t xml:space="preserve"> </w:t>
      </w:r>
      <w:r w:rsidRPr="002F171D">
        <w:rPr>
          <w:rFonts w:ascii="Calisto MT" w:hAnsi="Calisto MT" w:cs="Times New Roman"/>
          <w:i/>
          <w:iCs/>
        </w:rPr>
        <w:t>UNISON</w:t>
      </w:r>
      <w:r w:rsidRPr="002F171D">
        <w:rPr>
          <w:rFonts w:ascii="Calisto MT" w:hAnsi="Calisto MT" w:cs="Times New Roman"/>
        </w:rPr>
        <w:t xml:space="preserve"> is arguably an unusual case, but many judicial reviews, particularly in areas such as anti-discrimination, are only viable when public bodies have collected data which shows legal problems on closer inspection.</w:t>
      </w:r>
      <w:r w:rsidRPr="002F171D">
        <w:rPr>
          <w:rFonts w:ascii="Calisto MT" w:hAnsi="Calisto MT" w:cs="Times New Roman"/>
          <w:vertAlign w:val="superscript"/>
        </w:rPr>
        <w:footnoteReference w:id="132"/>
      </w:r>
      <w:r w:rsidRPr="002F171D">
        <w:rPr>
          <w:rFonts w:ascii="Calisto MT" w:hAnsi="Calisto MT" w:cs="Times New Roman"/>
        </w:rPr>
        <w:t xml:space="preserve"> In practice, public data gaps are often a major hindrance to judicial review claims being brought and, thus, access to justice against public bodies.</w:t>
      </w:r>
    </w:p>
    <w:p w14:paraId="41ACCE8F" w14:textId="4BEF006F" w:rsidR="00063158" w:rsidRPr="002F171D" w:rsidRDefault="00063158" w:rsidP="005D705C">
      <w:pPr>
        <w:spacing w:line="360" w:lineRule="auto"/>
        <w:ind w:firstLine="720"/>
        <w:jc w:val="both"/>
        <w:rPr>
          <w:rFonts w:ascii="Calisto MT" w:hAnsi="Calisto MT" w:cs="Times New Roman"/>
        </w:rPr>
      </w:pPr>
    </w:p>
    <w:p w14:paraId="1D7D28E1" w14:textId="0BF3700A" w:rsidR="00063158" w:rsidRPr="005D705C" w:rsidRDefault="005D705C" w:rsidP="005D705C">
      <w:pPr>
        <w:spacing w:line="360" w:lineRule="auto"/>
        <w:jc w:val="both"/>
        <w:rPr>
          <w:rFonts w:ascii="Optima" w:hAnsi="Optima" w:cs="Times New Roman"/>
          <w:b/>
          <w:bCs/>
          <w:sz w:val="36"/>
          <w:szCs w:val="36"/>
        </w:rPr>
      </w:pPr>
      <w:r>
        <w:rPr>
          <w:rFonts w:ascii="Optima" w:hAnsi="Optima" w:cs="Times New Roman"/>
          <w:b/>
          <w:bCs/>
          <w:sz w:val="36"/>
          <w:szCs w:val="36"/>
        </w:rPr>
        <w:t>4</w:t>
      </w:r>
      <w:r>
        <w:rPr>
          <w:rFonts w:ascii="Optima" w:hAnsi="Optima" w:cs="Times New Roman"/>
          <w:b/>
          <w:bCs/>
          <w:sz w:val="36"/>
          <w:szCs w:val="36"/>
        </w:rPr>
        <w:tab/>
      </w:r>
      <w:r w:rsidR="00063158" w:rsidRPr="005D705C">
        <w:rPr>
          <w:rFonts w:ascii="Optima" w:hAnsi="Optima" w:cs="Times New Roman"/>
          <w:b/>
          <w:bCs/>
          <w:sz w:val="36"/>
          <w:szCs w:val="36"/>
        </w:rPr>
        <w:t>Conclusion</w:t>
      </w:r>
    </w:p>
    <w:p w14:paraId="65960CEA" w14:textId="77777777" w:rsidR="00063158" w:rsidRPr="002F171D" w:rsidRDefault="00063158" w:rsidP="005D705C">
      <w:pPr>
        <w:spacing w:line="360" w:lineRule="auto"/>
        <w:jc w:val="both"/>
        <w:rPr>
          <w:rFonts w:ascii="Calisto MT" w:hAnsi="Calisto MT" w:cs="Times New Roman"/>
        </w:rPr>
      </w:pPr>
    </w:p>
    <w:p w14:paraId="487A4A4B" w14:textId="2ADE7730" w:rsidR="00063158" w:rsidRPr="002F171D" w:rsidRDefault="00063158" w:rsidP="005D705C">
      <w:pPr>
        <w:spacing w:line="360" w:lineRule="auto"/>
        <w:jc w:val="both"/>
        <w:rPr>
          <w:rFonts w:ascii="Calisto MT" w:hAnsi="Calisto MT" w:cs="Times New Roman"/>
        </w:rPr>
      </w:pPr>
      <w:r w:rsidRPr="002F171D">
        <w:rPr>
          <w:rFonts w:ascii="Calisto MT" w:hAnsi="Calisto MT" w:cs="Times New Roman"/>
        </w:rPr>
        <w:t>This chapter has sought to undertake an initial exploration of public data gaps as a problem of modern digital governance. We have also demonstrated how central ideas</w:t>
      </w:r>
      <w:r w:rsidR="2F215AAF" w:rsidRPr="002F171D">
        <w:rPr>
          <w:rFonts w:ascii="Calisto MT" w:hAnsi="Calisto MT" w:cs="Times New Roman"/>
        </w:rPr>
        <w:t xml:space="preserve"> and doctrines</w:t>
      </w:r>
      <w:r w:rsidRPr="002F171D">
        <w:rPr>
          <w:rFonts w:ascii="Calisto MT" w:hAnsi="Calisto MT" w:cs="Times New Roman"/>
        </w:rPr>
        <w:t xml:space="preserve"> of </w:t>
      </w:r>
      <w:r w:rsidR="1B7D3C15" w:rsidRPr="002F171D">
        <w:rPr>
          <w:rFonts w:ascii="Calisto MT" w:hAnsi="Calisto MT" w:cs="Times New Roman"/>
        </w:rPr>
        <w:t xml:space="preserve">contemporary </w:t>
      </w:r>
      <w:r w:rsidRPr="002F171D">
        <w:rPr>
          <w:rFonts w:ascii="Calisto MT" w:hAnsi="Calisto MT" w:cs="Times New Roman"/>
        </w:rPr>
        <w:t>public law are implicated, in diverse ways, in this problem. But we have still only scratched the surface. Our analysis suggests there is much need and opportunity for further research and debate regarding public data gaps, both generally as a problem for contemporary digital governance and from the specific perspective of public law—not least as the problem, unless practices change, will likely grow in salience as public administrative infrastructure continues to be digitalised. Ultimately, alongside and as part of the increasingly sophisticated legal analysis of the problems of government collecting too much data, we need to develop much more nuanced thinking around the laws of public data gaps.</w:t>
      </w:r>
    </w:p>
    <w:p w14:paraId="037F53C0" w14:textId="77777777" w:rsidR="00A41481" w:rsidRPr="002F171D" w:rsidRDefault="00A41481" w:rsidP="07C4BA2C">
      <w:pPr>
        <w:spacing w:line="276" w:lineRule="auto"/>
        <w:rPr>
          <w:rFonts w:ascii="Calisto MT" w:hAnsi="Calisto MT"/>
        </w:rPr>
      </w:pPr>
    </w:p>
    <w:sectPr w:rsidR="00A41481" w:rsidRPr="002F171D">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62B6A" w14:textId="77777777" w:rsidR="003479AD" w:rsidRDefault="003479AD" w:rsidP="00063158">
      <w:r>
        <w:separator/>
      </w:r>
    </w:p>
  </w:endnote>
  <w:endnote w:type="continuationSeparator" w:id="0">
    <w:p w14:paraId="249DA2B8" w14:textId="77777777" w:rsidR="003479AD" w:rsidRDefault="003479AD" w:rsidP="00063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Charter Roman">
    <w:altName w:val="CHARTER ROMAN"/>
    <w:panose1 w:val="02040503050506020203"/>
    <w:charset w:val="00"/>
    <w:family w:val="roman"/>
    <w:pitch w:val="variable"/>
    <w:sig w:usb0="800000AF" w:usb1="1000204A" w:usb2="00000000" w:usb3="00000000" w:csb0="00000011" w:csb1="00000000"/>
  </w:font>
  <w:font w:name="Optima">
    <w:panose1 w:val="02000503060000020004"/>
    <w:charset w:val="00"/>
    <w:family w:val="auto"/>
    <w:pitch w:val="variable"/>
    <w:sig w:usb0="80000067"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2EFA" w14:textId="4431AC4F" w:rsidR="00063158" w:rsidRDefault="00063158">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6F247F">
      <w:rPr>
        <w:noProof/>
        <w:color w:val="000000"/>
      </w:rPr>
      <w:t>1</w:t>
    </w:r>
    <w:r>
      <w:rPr>
        <w:color w:val="000000"/>
      </w:rPr>
      <w:fldChar w:fldCharType="end"/>
    </w:r>
  </w:p>
  <w:p w14:paraId="459B2C6C" w14:textId="77777777" w:rsidR="00063158" w:rsidRDefault="00063158">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1E554" w14:textId="77777777" w:rsidR="00063158" w:rsidRPr="00A60FF0" w:rsidRDefault="00063158">
    <w:pPr>
      <w:pBdr>
        <w:top w:val="nil"/>
        <w:left w:val="nil"/>
        <w:bottom w:val="nil"/>
        <w:right w:val="nil"/>
        <w:between w:val="nil"/>
      </w:pBdr>
      <w:tabs>
        <w:tab w:val="center" w:pos="4513"/>
        <w:tab w:val="right" w:pos="9026"/>
      </w:tabs>
      <w:jc w:val="center"/>
      <w:rPr>
        <w:rFonts w:ascii="Times New Roman" w:eastAsia="Charter Roman" w:hAnsi="Times New Roman" w:cs="Times New Roman"/>
        <w:color w:val="000000"/>
      </w:rPr>
    </w:pPr>
    <w:r w:rsidRPr="00A60FF0">
      <w:rPr>
        <w:rFonts w:ascii="Times New Roman" w:eastAsia="Charter Roman" w:hAnsi="Times New Roman" w:cs="Times New Roman"/>
        <w:color w:val="000000"/>
        <w:sz w:val="20"/>
        <w:szCs w:val="20"/>
      </w:rPr>
      <w:fldChar w:fldCharType="begin"/>
    </w:r>
    <w:r w:rsidRPr="00A60FF0">
      <w:rPr>
        <w:rFonts w:ascii="Times New Roman" w:eastAsia="Charter Roman" w:hAnsi="Times New Roman" w:cs="Times New Roman"/>
        <w:color w:val="000000"/>
        <w:sz w:val="20"/>
        <w:szCs w:val="20"/>
      </w:rPr>
      <w:instrText>PAGE</w:instrText>
    </w:r>
    <w:r w:rsidRPr="00A60FF0">
      <w:rPr>
        <w:rFonts w:ascii="Times New Roman" w:eastAsia="Charter Roman" w:hAnsi="Times New Roman" w:cs="Times New Roman"/>
        <w:color w:val="000000"/>
        <w:sz w:val="20"/>
        <w:szCs w:val="20"/>
      </w:rPr>
      <w:fldChar w:fldCharType="separate"/>
    </w:r>
    <w:r w:rsidRPr="00A60FF0">
      <w:rPr>
        <w:rFonts w:ascii="Times New Roman" w:eastAsia="Charter Roman" w:hAnsi="Times New Roman" w:cs="Times New Roman"/>
        <w:noProof/>
        <w:color w:val="000000"/>
        <w:sz w:val="20"/>
        <w:szCs w:val="20"/>
      </w:rPr>
      <w:t>1</w:t>
    </w:r>
    <w:r w:rsidRPr="00A60FF0">
      <w:rPr>
        <w:rFonts w:ascii="Times New Roman" w:eastAsia="Charter Roman" w:hAnsi="Times New Roman" w:cs="Times New Roman"/>
        <w:color w:val="000000"/>
        <w:sz w:val="20"/>
        <w:szCs w:val="20"/>
      </w:rPr>
      <w:fldChar w:fldCharType="end"/>
    </w:r>
  </w:p>
  <w:p w14:paraId="2537B4FD" w14:textId="77777777" w:rsidR="00063158" w:rsidRDefault="0006315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8A844" w14:textId="77777777" w:rsidR="003479AD" w:rsidRDefault="003479AD" w:rsidP="00063158">
      <w:r>
        <w:separator/>
      </w:r>
    </w:p>
  </w:footnote>
  <w:footnote w:type="continuationSeparator" w:id="0">
    <w:p w14:paraId="5AD507B4" w14:textId="77777777" w:rsidR="003479AD" w:rsidRDefault="003479AD" w:rsidP="00063158">
      <w:r>
        <w:continuationSeparator/>
      </w:r>
    </w:p>
  </w:footnote>
  <w:footnote w:id="1">
    <w:p w14:paraId="053509FD" w14:textId="1E479FC5"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sz w:val="20"/>
          <w:szCs w:val="20"/>
        </w:rPr>
        <w:footnoteRef/>
      </w:r>
      <w:r w:rsidR="07C4BA2C" w:rsidRPr="005D705C">
        <w:rPr>
          <w:rFonts w:ascii="Calisto MT" w:eastAsia="Charter Roman" w:hAnsi="Calisto MT" w:cs="Times New Roman"/>
          <w:color w:val="000000"/>
          <w:sz w:val="20"/>
          <w:szCs w:val="20"/>
        </w:rPr>
        <w:t xml:space="preserve"> Profe</w:t>
      </w:r>
      <w:r w:rsidR="07C4BA2C" w:rsidRPr="005D705C">
        <w:rPr>
          <w:rFonts w:ascii="Calisto MT" w:eastAsia="Charter Roman" w:hAnsi="Calisto MT" w:cs="Times New Roman"/>
          <w:color w:val="000000" w:themeColor="text1"/>
          <w:sz w:val="20"/>
          <w:szCs w:val="20"/>
        </w:rPr>
        <w:t>ssor of Public Law, University of York. This research was supported by an Economic and Social Research Council Impact Acceleration Grant. We are grateful to Matthew Groves for very helpful comments on an early draft, and to participants at the book workshop in Prato, Italy.</w:t>
      </w:r>
    </w:p>
  </w:footnote>
  <w:footnote w:id="2">
    <w:p w14:paraId="5ECCD56C"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Research Assistant, University of York.</w:t>
      </w:r>
    </w:p>
  </w:footnote>
  <w:footnote w:id="3">
    <w:p w14:paraId="73247802"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Assistant Professor of Law, University of Nottingham.</w:t>
      </w:r>
    </w:p>
  </w:footnote>
  <w:footnote w:id="4">
    <w:p w14:paraId="591CD48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Assistant Professor in AI Law, Durham University.</w:t>
      </w:r>
    </w:p>
  </w:footnote>
  <w:footnote w:id="5">
    <w:p w14:paraId="4211CC7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Non-Stipendiary Lecturer, Balliol College, Oxford University; Visiting Lecturer in Public Law, King's College London; Research Assistant, University of York.</w:t>
      </w:r>
    </w:p>
  </w:footnote>
  <w:footnote w:id="6">
    <w:p w14:paraId="3FDD6BB0"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Senior Lecturer in Law, University of York.</w:t>
      </w:r>
    </w:p>
  </w:footnote>
  <w:footnote w:id="7">
    <w:p w14:paraId="2C7907D8"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Associate Professor of Public Law and Human Rights, Durham University.</w:t>
      </w:r>
    </w:p>
  </w:footnote>
  <w:footnote w:id="8">
    <w:p w14:paraId="3A2EB93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For an influential critical analysis, see: Shoshana Zuboff, T</w:t>
      </w:r>
      <w:r w:rsidRPr="005D705C">
        <w:rPr>
          <w:rFonts w:ascii="Calisto MT" w:eastAsia="Charter Roman" w:hAnsi="Calisto MT" w:cs="Times New Roman"/>
          <w:i/>
          <w:color w:val="000000" w:themeColor="text1"/>
          <w:sz w:val="20"/>
          <w:szCs w:val="20"/>
        </w:rPr>
        <w:t>he Age of Surveillance Capitalism: The Fight for a Human Future at the New Frontier of Power</w:t>
      </w:r>
      <w:r w:rsidRPr="005D705C">
        <w:rPr>
          <w:rFonts w:ascii="Calisto MT" w:eastAsia="Charter Roman" w:hAnsi="Calisto MT" w:cs="Times New Roman"/>
          <w:color w:val="000000" w:themeColor="text1"/>
          <w:sz w:val="20"/>
          <w:szCs w:val="20"/>
        </w:rPr>
        <w:t xml:space="preserve"> (Profile Books 2019). This behaviour obviously has legal implications, see </w:t>
      </w:r>
      <w:r w:rsidRPr="005D705C">
        <w:rPr>
          <w:rFonts w:ascii="Calisto MT" w:eastAsia="Charter Roman" w:hAnsi="Calisto MT" w:cs="Times New Roman"/>
          <w:i/>
          <w:color w:val="000000" w:themeColor="text1"/>
          <w:sz w:val="20"/>
          <w:szCs w:val="20"/>
        </w:rPr>
        <w:t>e.g.</w:t>
      </w:r>
      <w:r w:rsidRPr="005D705C">
        <w:rPr>
          <w:rFonts w:ascii="Calisto MT" w:eastAsia="Charter Roman" w:hAnsi="Calisto MT" w:cs="Times New Roman"/>
          <w:color w:val="000000" w:themeColor="text1"/>
          <w:sz w:val="20"/>
          <w:szCs w:val="20"/>
        </w:rPr>
        <w:t xml:space="preserve"> Jane Andrew and Michael Baker, 'The General Data Protection Regulation in the Age of Surveillance Capitalism' (2021) 168 </w:t>
      </w:r>
      <w:r w:rsidRPr="005D705C">
        <w:rPr>
          <w:rFonts w:ascii="Calisto MT" w:eastAsia="Charter Roman" w:hAnsi="Calisto MT" w:cs="Times New Roman"/>
          <w:i/>
          <w:color w:val="000000" w:themeColor="text1"/>
          <w:sz w:val="20"/>
          <w:szCs w:val="20"/>
        </w:rPr>
        <w:t>Journal of Business Ethics</w:t>
      </w:r>
      <w:r w:rsidRPr="005D705C">
        <w:rPr>
          <w:rFonts w:ascii="Calisto MT" w:eastAsia="Charter Roman" w:hAnsi="Calisto MT" w:cs="Times New Roman"/>
          <w:color w:val="000000" w:themeColor="text1"/>
          <w:sz w:val="20"/>
          <w:szCs w:val="20"/>
        </w:rPr>
        <w:t xml:space="preserve"> 565.</w:t>
      </w:r>
    </w:p>
  </w:footnote>
  <w:footnote w:id="9">
    <w:p w14:paraId="2D8370D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See e.g. Lina M. Kahn, ‘Amazon’s Antitrust Paradox’ (2017) 126(3) </w:t>
      </w:r>
      <w:r w:rsidRPr="005D705C">
        <w:rPr>
          <w:rFonts w:ascii="Calisto MT" w:eastAsia="Charter Roman" w:hAnsi="Calisto MT" w:cs="Times New Roman"/>
          <w:i/>
          <w:color w:val="000000" w:themeColor="text1"/>
          <w:sz w:val="20"/>
          <w:szCs w:val="20"/>
        </w:rPr>
        <w:t>The Yale Law Journal</w:t>
      </w:r>
      <w:r w:rsidRPr="005D705C">
        <w:rPr>
          <w:rFonts w:ascii="Calisto MT" w:eastAsia="Charter Roman" w:hAnsi="Calisto MT" w:cs="Times New Roman"/>
          <w:color w:val="000000" w:themeColor="text1"/>
          <w:sz w:val="20"/>
          <w:szCs w:val="20"/>
        </w:rPr>
        <w:t xml:space="preserve"> 564.</w:t>
      </w:r>
    </w:p>
  </w:footnote>
  <w:footnote w:id="10">
    <w:p w14:paraId="268C61A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See </w:t>
      </w:r>
      <w:r w:rsidRPr="005D705C">
        <w:rPr>
          <w:rFonts w:ascii="Calisto MT" w:eastAsia="Charter Roman" w:hAnsi="Calisto MT" w:cs="Times New Roman"/>
          <w:i/>
          <w:color w:val="000000" w:themeColor="text1"/>
          <w:sz w:val="20"/>
          <w:szCs w:val="20"/>
        </w:rPr>
        <w:t>e.g.</w:t>
      </w:r>
      <w:r w:rsidRPr="005D705C">
        <w:rPr>
          <w:rFonts w:ascii="Calisto MT" w:eastAsia="Charter Roman" w:hAnsi="Calisto MT" w:cs="Times New Roman"/>
          <w:color w:val="000000" w:themeColor="text1"/>
          <w:sz w:val="20"/>
          <w:szCs w:val="20"/>
        </w:rPr>
        <w:t xml:space="preserve"> </w:t>
      </w:r>
      <w:proofErr w:type="spellStart"/>
      <w:r w:rsidRPr="005D705C">
        <w:rPr>
          <w:rFonts w:ascii="Calisto MT" w:eastAsia="Charter Roman" w:hAnsi="Calisto MT" w:cs="Times New Roman"/>
          <w:color w:val="000000" w:themeColor="text1"/>
          <w:sz w:val="20"/>
          <w:szCs w:val="20"/>
        </w:rPr>
        <w:t>Daragh</w:t>
      </w:r>
      <w:proofErr w:type="spellEnd"/>
      <w:r w:rsidRPr="005D705C">
        <w:rPr>
          <w:rFonts w:ascii="Calisto MT" w:eastAsia="Charter Roman" w:hAnsi="Calisto MT" w:cs="Times New Roman"/>
          <w:color w:val="000000" w:themeColor="text1"/>
          <w:sz w:val="20"/>
          <w:szCs w:val="20"/>
        </w:rPr>
        <w:t xml:space="preserve"> Murray and Pete </w:t>
      </w:r>
      <w:proofErr w:type="spellStart"/>
      <w:r w:rsidRPr="005D705C">
        <w:rPr>
          <w:rFonts w:ascii="Calisto MT" w:eastAsia="Charter Roman" w:hAnsi="Calisto MT" w:cs="Times New Roman"/>
          <w:color w:val="000000" w:themeColor="text1"/>
          <w:sz w:val="20"/>
          <w:szCs w:val="20"/>
        </w:rPr>
        <w:t>Fussey</w:t>
      </w:r>
      <w:proofErr w:type="spellEnd"/>
      <w:r w:rsidRPr="005D705C">
        <w:rPr>
          <w:rFonts w:ascii="Calisto MT" w:eastAsia="Charter Roman" w:hAnsi="Calisto MT" w:cs="Times New Roman"/>
          <w:color w:val="000000" w:themeColor="text1"/>
          <w:sz w:val="20"/>
          <w:szCs w:val="20"/>
        </w:rPr>
        <w:t xml:space="preserve">, 'Bulk Surveillance in the Digital Age: Rethinking the Human Rights Law Approach to Bulk Monitoring of Communications Data' (2019) 52(1) </w:t>
      </w:r>
      <w:r w:rsidRPr="005D705C">
        <w:rPr>
          <w:rFonts w:ascii="Calisto MT" w:eastAsia="Charter Roman" w:hAnsi="Calisto MT" w:cs="Times New Roman"/>
          <w:i/>
          <w:color w:val="000000" w:themeColor="text1"/>
          <w:sz w:val="20"/>
          <w:szCs w:val="20"/>
        </w:rPr>
        <w:t>Israel Law Review</w:t>
      </w:r>
      <w:r w:rsidRPr="005D705C">
        <w:rPr>
          <w:rFonts w:ascii="Calisto MT" w:eastAsia="Charter Roman" w:hAnsi="Calisto MT" w:cs="Times New Roman"/>
          <w:color w:val="000000" w:themeColor="text1"/>
          <w:sz w:val="20"/>
          <w:szCs w:val="20"/>
        </w:rPr>
        <w:t xml:space="preserve"> 31.</w:t>
      </w:r>
    </w:p>
  </w:footnote>
  <w:footnote w:id="11">
    <w:p w14:paraId="728B78C4"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This chapter draws on examples from the UK context, but similar issues emerge in governance worldwide. We do not present a comparative study but believe there is value in developing transnational dialogue on this issue.</w:t>
      </w:r>
    </w:p>
  </w:footnote>
  <w:footnote w:id="12">
    <w:p w14:paraId="6BA4F861" w14:textId="6197F6DF"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3C8AF05B" w:rsidRPr="005D705C">
        <w:rPr>
          <w:rFonts w:ascii="Calisto MT" w:eastAsia="Charter Roman" w:hAnsi="Calisto MT" w:cs="Times New Roman"/>
          <w:color w:val="000000" w:themeColor="text1"/>
          <w:sz w:val="20"/>
          <w:szCs w:val="20"/>
        </w:rPr>
        <w:t xml:space="preserve">  Sarah Giest and Annemarie Samuels, ‘'For good measure': data gaps in a big data world' (2020) 53 </w:t>
      </w:r>
      <w:r w:rsidR="3C8AF05B" w:rsidRPr="005D705C">
        <w:rPr>
          <w:rFonts w:ascii="Calisto MT" w:eastAsia="Charter Roman" w:hAnsi="Calisto MT" w:cs="Times New Roman"/>
          <w:i/>
          <w:iCs/>
          <w:color w:val="000000" w:themeColor="text1"/>
          <w:sz w:val="20"/>
          <w:szCs w:val="20"/>
        </w:rPr>
        <w:t>Policy Sciences</w:t>
      </w:r>
      <w:r w:rsidR="3C8AF05B" w:rsidRPr="005D705C">
        <w:rPr>
          <w:rFonts w:ascii="Calisto MT" w:eastAsia="Charter Roman" w:hAnsi="Calisto MT" w:cs="Times New Roman"/>
          <w:color w:val="000000" w:themeColor="text1"/>
          <w:sz w:val="20"/>
          <w:szCs w:val="20"/>
        </w:rPr>
        <w:t xml:space="preserve"> 559.</w:t>
      </w:r>
    </w:p>
  </w:footnote>
  <w:footnote w:id="13">
    <w:p w14:paraId="32D980C6" w14:textId="77777777"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Ibid, p.560.</w:t>
      </w:r>
    </w:p>
  </w:footnote>
  <w:footnote w:id="14">
    <w:p w14:paraId="7345CB6D" w14:textId="77777777" w:rsidR="07C4BA2C" w:rsidRPr="005D705C" w:rsidRDefault="07C4BA2C"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See </w:t>
      </w:r>
      <w:r w:rsidRPr="005D705C">
        <w:rPr>
          <w:rFonts w:ascii="Calisto MT" w:eastAsia="Charter Roman" w:hAnsi="Calisto MT" w:cs="Times New Roman"/>
          <w:i/>
          <w:iCs/>
          <w:color w:val="000000" w:themeColor="text1"/>
          <w:sz w:val="20"/>
          <w:szCs w:val="20"/>
        </w:rPr>
        <w:t>e.g.</w:t>
      </w:r>
      <w:r w:rsidRPr="005D705C">
        <w:rPr>
          <w:rFonts w:ascii="Calisto MT" w:eastAsia="Charter Roman" w:hAnsi="Calisto MT" w:cs="Times New Roman"/>
          <w:color w:val="000000" w:themeColor="text1"/>
          <w:sz w:val="20"/>
          <w:szCs w:val="20"/>
        </w:rPr>
        <w:t xml:space="preserve"> </w:t>
      </w:r>
      <w:proofErr w:type="spellStart"/>
      <w:r w:rsidRPr="005D705C">
        <w:rPr>
          <w:rFonts w:ascii="Calisto MT" w:eastAsia="Charter Roman" w:hAnsi="Calisto MT" w:cs="Times New Roman"/>
          <w:color w:val="000000" w:themeColor="text1"/>
          <w:sz w:val="20"/>
          <w:szCs w:val="20"/>
        </w:rPr>
        <w:t>Arho</w:t>
      </w:r>
      <w:proofErr w:type="spellEnd"/>
      <w:r w:rsidRPr="005D705C">
        <w:rPr>
          <w:rFonts w:ascii="Calisto MT" w:eastAsia="Charter Roman" w:hAnsi="Calisto MT" w:cs="Times New Roman"/>
          <w:color w:val="000000" w:themeColor="text1"/>
          <w:sz w:val="20"/>
          <w:szCs w:val="20"/>
        </w:rPr>
        <w:t xml:space="preserve"> </w:t>
      </w:r>
      <w:proofErr w:type="spellStart"/>
      <w:r w:rsidRPr="005D705C">
        <w:rPr>
          <w:rFonts w:ascii="Calisto MT" w:eastAsia="Charter Roman" w:hAnsi="Calisto MT" w:cs="Times New Roman"/>
          <w:color w:val="000000" w:themeColor="text1"/>
          <w:sz w:val="20"/>
          <w:szCs w:val="20"/>
        </w:rPr>
        <w:t>Suominen</w:t>
      </w:r>
      <w:proofErr w:type="spellEnd"/>
      <w:r w:rsidRPr="005D705C">
        <w:rPr>
          <w:rFonts w:ascii="Calisto MT" w:eastAsia="Charter Roman" w:hAnsi="Calisto MT" w:cs="Times New Roman"/>
          <w:color w:val="000000" w:themeColor="text1"/>
          <w:sz w:val="20"/>
          <w:szCs w:val="20"/>
        </w:rPr>
        <w:t xml:space="preserve"> and Arash </w:t>
      </w:r>
      <w:proofErr w:type="spellStart"/>
      <w:r w:rsidRPr="005D705C">
        <w:rPr>
          <w:rFonts w:ascii="Calisto MT" w:eastAsia="Charter Roman" w:hAnsi="Calisto MT" w:cs="Times New Roman"/>
          <w:color w:val="000000" w:themeColor="text1"/>
          <w:sz w:val="20"/>
          <w:szCs w:val="20"/>
        </w:rPr>
        <w:t>Hajikhani</w:t>
      </w:r>
      <w:proofErr w:type="spellEnd"/>
      <w:r w:rsidRPr="005D705C">
        <w:rPr>
          <w:rFonts w:ascii="Calisto MT" w:eastAsia="Charter Roman" w:hAnsi="Calisto MT" w:cs="Times New Roman"/>
          <w:color w:val="000000" w:themeColor="text1"/>
          <w:sz w:val="20"/>
          <w:szCs w:val="20"/>
        </w:rPr>
        <w:t>, 'Research themes in big data analytics for policy making: Insights from a mixed</w:t>
      </w:r>
      <w:r w:rsidRPr="005D705C">
        <w:rPr>
          <w:rFonts w:ascii="Cambria Math" w:eastAsia="Cambria Math" w:hAnsi="Cambria Math" w:cs="Cambria Math"/>
          <w:color w:val="000000" w:themeColor="text1"/>
          <w:sz w:val="20"/>
          <w:szCs w:val="20"/>
        </w:rPr>
        <w:t>‐</w:t>
      </w:r>
      <w:r w:rsidRPr="005D705C">
        <w:rPr>
          <w:rFonts w:ascii="Calisto MT" w:eastAsia="Charter Roman" w:hAnsi="Calisto MT" w:cs="Times New Roman"/>
          <w:color w:val="000000" w:themeColor="text1"/>
          <w:sz w:val="20"/>
          <w:szCs w:val="20"/>
        </w:rPr>
        <w:t xml:space="preserve">methods systematic literature review' (2021) 13 </w:t>
      </w:r>
      <w:r w:rsidRPr="005D705C">
        <w:rPr>
          <w:rFonts w:ascii="Calisto MT" w:eastAsia="Charter Roman" w:hAnsi="Calisto MT" w:cs="Times New Roman"/>
          <w:i/>
          <w:iCs/>
          <w:color w:val="000000" w:themeColor="text1"/>
          <w:sz w:val="20"/>
          <w:szCs w:val="20"/>
        </w:rPr>
        <w:t>Policy and Internet</w:t>
      </w:r>
      <w:r w:rsidRPr="005D705C">
        <w:rPr>
          <w:rFonts w:ascii="Calisto MT" w:eastAsia="Charter Roman" w:hAnsi="Calisto MT" w:cs="Times New Roman"/>
          <w:color w:val="000000" w:themeColor="text1"/>
          <w:sz w:val="20"/>
          <w:szCs w:val="20"/>
        </w:rPr>
        <w:t xml:space="preserve"> 464; Erna </w:t>
      </w:r>
      <w:proofErr w:type="spellStart"/>
      <w:r w:rsidRPr="005D705C">
        <w:rPr>
          <w:rFonts w:ascii="Calisto MT" w:eastAsia="Charter Roman" w:hAnsi="Calisto MT" w:cs="Times New Roman"/>
          <w:color w:val="000000" w:themeColor="text1"/>
          <w:sz w:val="20"/>
          <w:szCs w:val="20"/>
        </w:rPr>
        <w:t>Ruijer</w:t>
      </w:r>
      <w:proofErr w:type="spellEnd"/>
      <w:r w:rsidRPr="005D705C">
        <w:rPr>
          <w:rFonts w:ascii="Calisto MT" w:eastAsia="Charter Roman" w:hAnsi="Calisto MT" w:cs="Times New Roman"/>
          <w:color w:val="000000" w:themeColor="text1"/>
          <w:sz w:val="20"/>
          <w:szCs w:val="20"/>
        </w:rPr>
        <w:t xml:space="preserve">, Gregory </w:t>
      </w:r>
      <w:proofErr w:type="spellStart"/>
      <w:r w:rsidRPr="005D705C">
        <w:rPr>
          <w:rFonts w:ascii="Calisto MT" w:eastAsia="Charter Roman" w:hAnsi="Calisto MT" w:cs="Times New Roman"/>
          <w:color w:val="000000" w:themeColor="text1"/>
          <w:sz w:val="20"/>
          <w:szCs w:val="20"/>
        </w:rPr>
        <w:t>Porumbescu</w:t>
      </w:r>
      <w:proofErr w:type="spellEnd"/>
      <w:r w:rsidRPr="005D705C">
        <w:rPr>
          <w:rFonts w:ascii="Calisto MT" w:eastAsia="Charter Roman" w:hAnsi="Calisto MT" w:cs="Times New Roman"/>
          <w:color w:val="000000" w:themeColor="text1"/>
          <w:sz w:val="20"/>
          <w:szCs w:val="20"/>
        </w:rPr>
        <w:t>, Rebecca Porter, and Suzanne Piotrowski, ‘Social equity in the data era: A systematic literature review of data</w:t>
      </w:r>
      <w:r w:rsidRPr="005D705C">
        <w:rPr>
          <w:rFonts w:ascii="Cambria Math" w:eastAsia="Cambria Math" w:hAnsi="Cambria Math" w:cs="Cambria Math"/>
          <w:color w:val="000000" w:themeColor="text1"/>
          <w:sz w:val="20"/>
          <w:szCs w:val="20"/>
        </w:rPr>
        <w:t>‐</w:t>
      </w:r>
      <w:r w:rsidRPr="005D705C">
        <w:rPr>
          <w:rFonts w:ascii="Calisto MT" w:eastAsia="Charter Roman" w:hAnsi="Calisto MT" w:cs="Times New Roman"/>
          <w:color w:val="000000" w:themeColor="text1"/>
          <w:sz w:val="20"/>
          <w:szCs w:val="20"/>
        </w:rPr>
        <w:t xml:space="preserve">driven public service research’ (2023) 83 </w:t>
      </w:r>
      <w:r w:rsidRPr="005D705C">
        <w:rPr>
          <w:rFonts w:ascii="Calisto MT" w:eastAsia="Charter Roman" w:hAnsi="Calisto MT" w:cs="Times New Roman"/>
          <w:i/>
          <w:iCs/>
          <w:color w:val="000000" w:themeColor="text1"/>
          <w:sz w:val="20"/>
          <w:szCs w:val="20"/>
        </w:rPr>
        <w:t>Public Administration Review</w:t>
      </w:r>
      <w:r w:rsidRPr="005D705C">
        <w:rPr>
          <w:rFonts w:ascii="Calisto MT" w:eastAsia="Charter Roman" w:hAnsi="Calisto MT" w:cs="Times New Roman"/>
          <w:color w:val="000000" w:themeColor="text1"/>
          <w:sz w:val="20"/>
          <w:szCs w:val="20"/>
        </w:rPr>
        <w:t xml:space="preserve"> 316; Alicja </w:t>
      </w:r>
      <w:proofErr w:type="spellStart"/>
      <w:r w:rsidRPr="005D705C">
        <w:rPr>
          <w:rFonts w:ascii="Calisto MT" w:eastAsia="Charter Roman" w:hAnsi="Calisto MT" w:cs="Times New Roman"/>
          <w:color w:val="000000" w:themeColor="text1"/>
          <w:sz w:val="20"/>
          <w:szCs w:val="20"/>
        </w:rPr>
        <w:t>Pawluczuk</w:t>
      </w:r>
      <w:proofErr w:type="spellEnd"/>
      <w:r w:rsidRPr="005D705C">
        <w:rPr>
          <w:rFonts w:ascii="Calisto MT" w:eastAsia="Charter Roman" w:hAnsi="Calisto MT" w:cs="Times New Roman"/>
          <w:color w:val="000000" w:themeColor="text1"/>
          <w:sz w:val="20"/>
          <w:szCs w:val="20"/>
        </w:rPr>
        <w:t>, 'Digital Youth Inclusion and the Big Data Divide: Examining the Scottish Perspective' (2020) 9</w:t>
      </w:r>
      <w:r w:rsidRPr="005D705C">
        <w:rPr>
          <w:rFonts w:ascii="Calisto MT" w:eastAsia="Charter Roman" w:hAnsi="Calisto MT" w:cs="Times New Roman"/>
          <w:i/>
          <w:iCs/>
          <w:color w:val="000000" w:themeColor="text1"/>
          <w:sz w:val="20"/>
          <w:szCs w:val="20"/>
        </w:rPr>
        <w:t xml:space="preserve"> Internet Policy Review</w:t>
      </w:r>
      <w:r w:rsidRPr="005D705C">
        <w:rPr>
          <w:rFonts w:ascii="Calisto MT" w:eastAsia="Charter Roman" w:hAnsi="Calisto MT" w:cs="Times New Roman"/>
          <w:color w:val="000000" w:themeColor="text1"/>
          <w:sz w:val="20"/>
          <w:szCs w:val="20"/>
        </w:rPr>
        <w:t xml:space="preserve"> 1.</w:t>
      </w:r>
    </w:p>
  </w:footnote>
  <w:footnote w:id="15">
    <w:p w14:paraId="474A432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Anna Powell-Smith and Gideon Leibowitz, </w:t>
      </w:r>
      <w:r w:rsidRPr="005D705C">
        <w:rPr>
          <w:rFonts w:ascii="Calisto MT" w:eastAsia="Charter Roman" w:hAnsi="Calisto MT" w:cs="Times New Roman"/>
          <w:i/>
          <w:color w:val="000000" w:themeColor="text1"/>
          <w:sz w:val="20"/>
          <w:szCs w:val="20"/>
        </w:rPr>
        <w:t>Data and Statistical Gaps in Criminal Justice</w:t>
      </w:r>
      <w:r w:rsidRPr="005D705C">
        <w:rPr>
          <w:rFonts w:ascii="Calisto MT" w:eastAsia="Charter Roman" w:hAnsi="Calisto MT" w:cs="Times New Roman"/>
          <w:color w:val="000000" w:themeColor="text1"/>
          <w:sz w:val="20"/>
          <w:szCs w:val="20"/>
        </w:rPr>
        <w:t xml:space="preserve"> (Centre for Public Data, 2023).</w:t>
      </w:r>
    </w:p>
  </w:footnote>
  <w:footnote w:id="16">
    <w:p w14:paraId="06FE7C4C" w14:textId="77777777"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Ibid, p.3.</w:t>
      </w:r>
    </w:p>
  </w:footnote>
  <w:footnote w:id="17">
    <w:p w14:paraId="6BF31645" w14:textId="49601242"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07C4BA2C" w:rsidRPr="005D705C">
        <w:rPr>
          <w:rFonts w:ascii="Calisto MT" w:eastAsia="Charter Roman" w:hAnsi="Calisto MT" w:cs="Times New Roman"/>
          <w:color w:val="000000" w:themeColor="text1"/>
          <w:sz w:val="20"/>
          <w:szCs w:val="20"/>
        </w:rPr>
        <w:t>A Methodological Appendix for more details on this review is available via &lt; https://drive.google.com/file/d/1EV1sm6YHtbdK78MNapNKKZ7CrxK4jDyC/view?usp=sharing&gt;.</w:t>
      </w:r>
    </w:p>
  </w:footnote>
  <w:footnote w:id="18">
    <w:p w14:paraId="67AA4AC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Geoff Pearson and Mike Rowe, </w:t>
      </w:r>
      <w:r w:rsidRPr="005D705C">
        <w:rPr>
          <w:rFonts w:ascii="Calisto MT" w:eastAsia="Charter Roman" w:hAnsi="Calisto MT" w:cs="Times New Roman"/>
          <w:i/>
          <w:color w:val="000000" w:themeColor="text1"/>
          <w:sz w:val="20"/>
          <w:szCs w:val="20"/>
        </w:rPr>
        <w:t xml:space="preserve">Police Street Powers and Criminal Justice: Regulation and Discretion in a Time of Change </w:t>
      </w:r>
      <w:r w:rsidRPr="005D705C">
        <w:rPr>
          <w:rFonts w:ascii="Calisto MT" w:eastAsia="Charter Roman" w:hAnsi="Calisto MT" w:cs="Times New Roman"/>
          <w:color w:val="000000" w:themeColor="text1"/>
          <w:sz w:val="20"/>
          <w:szCs w:val="20"/>
        </w:rPr>
        <w:t xml:space="preserve">(Hart Bloomsbury, 2020) (there are reports this position might be changed </w:t>
      </w:r>
      <w:proofErr w:type="gramStart"/>
      <w:r w:rsidRPr="005D705C">
        <w:rPr>
          <w:rFonts w:ascii="Calisto MT" w:eastAsia="Charter Roman" w:hAnsi="Calisto MT" w:cs="Times New Roman"/>
          <w:color w:val="000000" w:themeColor="text1"/>
          <w:sz w:val="20"/>
          <w:szCs w:val="20"/>
        </w:rPr>
        <w:t>in light of</w:t>
      </w:r>
      <w:proofErr w:type="gramEnd"/>
      <w:r w:rsidRPr="005D705C">
        <w:rPr>
          <w:rFonts w:ascii="Calisto MT" w:eastAsia="Charter Roman" w:hAnsi="Calisto MT" w:cs="Times New Roman"/>
          <w:color w:val="000000" w:themeColor="text1"/>
          <w:sz w:val="20"/>
          <w:szCs w:val="20"/>
        </w:rPr>
        <w:t xml:space="preserve"> recent research).</w:t>
      </w:r>
    </w:p>
  </w:footnote>
  <w:footnote w:id="19">
    <w:p w14:paraId="0B039BEC" w14:textId="77777777"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See </w:t>
      </w:r>
      <w:r w:rsidRPr="005D705C">
        <w:rPr>
          <w:rFonts w:ascii="Calisto MT" w:eastAsia="Charter Roman" w:hAnsi="Calisto MT" w:cs="Times New Roman"/>
          <w:i/>
          <w:color w:val="000000" w:themeColor="text1"/>
          <w:sz w:val="20"/>
          <w:szCs w:val="20"/>
        </w:rPr>
        <w:t>e.g.</w:t>
      </w:r>
      <w:r w:rsidRPr="005D705C">
        <w:rPr>
          <w:rFonts w:ascii="Calisto MT" w:eastAsia="Charter Roman" w:hAnsi="Calisto MT" w:cs="Times New Roman"/>
          <w:color w:val="000000" w:themeColor="text1"/>
          <w:sz w:val="20"/>
          <w:szCs w:val="20"/>
        </w:rPr>
        <w:t xml:space="preserve"> Becky Pettit and Bruce Western, 'Mass Imprisonment and the Life Course: Race and Class Inequality in U.S. Incarceration' (2004) 69 </w:t>
      </w:r>
      <w:r w:rsidRPr="005D705C">
        <w:rPr>
          <w:rFonts w:ascii="Calisto MT" w:eastAsia="Charter Roman" w:hAnsi="Calisto MT" w:cs="Times New Roman"/>
          <w:i/>
          <w:color w:val="000000" w:themeColor="text1"/>
          <w:sz w:val="20"/>
          <w:szCs w:val="20"/>
        </w:rPr>
        <w:t>American Sociological Review</w:t>
      </w:r>
      <w:r w:rsidRPr="005D705C">
        <w:rPr>
          <w:rFonts w:ascii="Calisto MT" w:eastAsia="Charter Roman" w:hAnsi="Calisto MT" w:cs="Times New Roman"/>
          <w:color w:val="000000" w:themeColor="text1"/>
          <w:sz w:val="20"/>
          <w:szCs w:val="20"/>
        </w:rPr>
        <w:t xml:space="preserve"> 151.</w:t>
      </w:r>
    </w:p>
  </w:footnote>
  <w:footnote w:id="20">
    <w:p w14:paraId="2481683B" w14:textId="77777777" w:rsidR="00063158" w:rsidRPr="005D705C" w:rsidRDefault="00063158" w:rsidP="005D705C">
      <w:pPr>
        <w:jc w:val="both"/>
        <w:rPr>
          <w:rFonts w:ascii="Calisto MT"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hAnsi="Calisto MT" w:cs="Times New Roman"/>
          <w:color w:val="000000" w:themeColor="text1"/>
          <w:sz w:val="20"/>
          <w:szCs w:val="20"/>
        </w:rPr>
        <w:t xml:space="preserve"> For discussion, see: </w:t>
      </w:r>
      <w:r w:rsidRPr="005D705C">
        <w:rPr>
          <w:rFonts w:ascii="Calisto MT" w:eastAsia="Charter Roman" w:hAnsi="Calisto MT" w:cs="Times New Roman"/>
          <w:color w:val="000000" w:themeColor="text1"/>
          <w:sz w:val="20"/>
          <w:szCs w:val="20"/>
        </w:rPr>
        <w:t xml:space="preserve">Women and Equalities Committee, </w:t>
      </w:r>
      <w:r w:rsidRPr="005D705C">
        <w:rPr>
          <w:rFonts w:ascii="Calisto MT" w:eastAsia="Charter Roman" w:hAnsi="Calisto MT" w:cs="Times New Roman"/>
          <w:i/>
          <w:iCs/>
          <w:color w:val="000000" w:themeColor="text1"/>
          <w:sz w:val="20"/>
          <w:szCs w:val="20"/>
        </w:rPr>
        <w:t>Tackling Inequalities Faced by Gypsy, Roma and Traveller Communities</w:t>
      </w:r>
      <w:r w:rsidRPr="005D705C">
        <w:rPr>
          <w:rFonts w:ascii="Calisto MT" w:eastAsia="Charter Roman" w:hAnsi="Calisto MT" w:cs="Times New Roman"/>
          <w:color w:val="000000" w:themeColor="text1"/>
          <w:sz w:val="20"/>
          <w:szCs w:val="20"/>
        </w:rPr>
        <w:t xml:space="preserve"> (HC 2017-19 360 April 2019</w:t>
      </w:r>
      <w:r w:rsidRPr="005D705C">
        <w:rPr>
          <w:rFonts w:ascii="Calisto MT" w:hAnsi="Calisto MT" w:cs="Times New Roman"/>
          <w:color w:val="000000" w:themeColor="text1"/>
          <w:sz w:val="20"/>
          <w:szCs w:val="20"/>
        </w:rPr>
        <w:t>).</w:t>
      </w:r>
    </w:p>
  </w:footnote>
  <w:footnote w:id="21">
    <w:p w14:paraId="13885B74" w14:textId="77777777" w:rsidR="00063158" w:rsidRPr="005D705C" w:rsidRDefault="00063158" w:rsidP="005D705C">
      <w:pPr>
        <w:jc w:val="both"/>
        <w:rPr>
          <w:rFonts w:ascii="Calisto MT" w:eastAsia="Charter Roman" w:hAnsi="Calisto MT" w:cs="Times New Roman"/>
          <w:color w:val="000000" w:themeColor="text1"/>
          <w:sz w:val="20"/>
          <w:szCs w:val="20"/>
          <w:highlight w:val="yellow"/>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S.E. </w:t>
      </w:r>
      <w:proofErr w:type="spellStart"/>
      <w:r w:rsidRPr="005D705C">
        <w:rPr>
          <w:rFonts w:ascii="Calisto MT" w:eastAsia="Charter Roman" w:hAnsi="Calisto MT" w:cs="Times New Roman"/>
          <w:color w:val="000000" w:themeColor="text1"/>
          <w:sz w:val="20"/>
          <w:szCs w:val="20"/>
        </w:rPr>
        <w:t>Galaitsi</w:t>
      </w:r>
      <w:proofErr w:type="spellEnd"/>
      <w:r w:rsidRPr="005D705C">
        <w:rPr>
          <w:rFonts w:ascii="Calisto MT" w:eastAsia="Charter Roman" w:hAnsi="Calisto MT" w:cs="Times New Roman"/>
          <w:color w:val="000000" w:themeColor="text1"/>
          <w:sz w:val="20"/>
          <w:szCs w:val="20"/>
        </w:rPr>
        <w:t>, Jeffrey C. </w:t>
      </w:r>
      <w:proofErr w:type="spellStart"/>
      <w:r w:rsidRPr="005D705C">
        <w:rPr>
          <w:rFonts w:ascii="Calisto MT" w:eastAsia="Charter Roman" w:hAnsi="Calisto MT" w:cs="Times New Roman"/>
          <w:color w:val="000000" w:themeColor="text1"/>
          <w:sz w:val="20"/>
          <w:szCs w:val="20"/>
        </w:rPr>
        <w:t>Cegan</w:t>
      </w:r>
      <w:proofErr w:type="spellEnd"/>
      <w:r w:rsidRPr="005D705C">
        <w:rPr>
          <w:rFonts w:ascii="Calisto MT" w:eastAsia="Charter Roman" w:hAnsi="Calisto MT" w:cs="Times New Roman"/>
          <w:color w:val="000000" w:themeColor="text1"/>
          <w:sz w:val="20"/>
          <w:szCs w:val="20"/>
        </w:rPr>
        <w:t>, Kaitlin Volk, Matthew Joyner, Benjamin D. Trump and Igor </w:t>
      </w:r>
      <w:proofErr w:type="spellStart"/>
      <w:r w:rsidRPr="005D705C">
        <w:rPr>
          <w:rFonts w:ascii="Calisto MT" w:eastAsia="Charter Roman" w:hAnsi="Calisto MT" w:cs="Times New Roman"/>
          <w:color w:val="000000" w:themeColor="text1"/>
          <w:sz w:val="20"/>
          <w:szCs w:val="20"/>
        </w:rPr>
        <w:t>Linkov</w:t>
      </w:r>
      <w:proofErr w:type="spellEnd"/>
      <w:r w:rsidRPr="005D705C">
        <w:rPr>
          <w:rFonts w:ascii="Calisto MT" w:eastAsia="Charter Roman" w:hAnsi="Calisto MT" w:cs="Times New Roman"/>
          <w:color w:val="000000" w:themeColor="text1"/>
          <w:sz w:val="20"/>
          <w:szCs w:val="20"/>
        </w:rPr>
        <w:t xml:space="preserve">, 'The Challenges of Data Usage for The United States' Covid-19 Response' (2021) 59 </w:t>
      </w:r>
      <w:r w:rsidRPr="005D705C">
        <w:rPr>
          <w:rFonts w:ascii="Calisto MT" w:eastAsia="Charter Roman" w:hAnsi="Calisto MT" w:cs="Times New Roman"/>
          <w:i/>
          <w:color w:val="000000" w:themeColor="text1"/>
          <w:sz w:val="20"/>
          <w:szCs w:val="20"/>
        </w:rPr>
        <w:t>International Journal of Information Management</w:t>
      </w:r>
      <w:r w:rsidRPr="005D705C">
        <w:rPr>
          <w:rFonts w:ascii="Calisto MT" w:eastAsia="Charter Roman" w:hAnsi="Calisto MT" w:cs="Times New Roman"/>
          <w:color w:val="000000" w:themeColor="text1"/>
          <w:sz w:val="20"/>
          <w:szCs w:val="20"/>
        </w:rPr>
        <w:t>.</w:t>
      </w:r>
    </w:p>
  </w:footnote>
  <w:footnote w:id="22">
    <w:p w14:paraId="71293792" w14:textId="77777777"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Geoffrey S. Holtzman, Neda A. </w:t>
      </w:r>
      <w:proofErr w:type="spellStart"/>
      <w:r w:rsidRPr="005D705C">
        <w:rPr>
          <w:rFonts w:ascii="Calisto MT" w:eastAsia="Charter Roman" w:hAnsi="Calisto MT" w:cs="Times New Roman"/>
          <w:color w:val="000000" w:themeColor="text1"/>
          <w:sz w:val="20"/>
          <w:szCs w:val="20"/>
        </w:rPr>
        <w:t>Khoshkhoo</w:t>
      </w:r>
      <w:proofErr w:type="spellEnd"/>
      <w:r w:rsidRPr="005D705C">
        <w:rPr>
          <w:rFonts w:ascii="Calisto MT" w:eastAsia="Charter Roman" w:hAnsi="Calisto MT" w:cs="Times New Roman"/>
          <w:color w:val="000000" w:themeColor="text1"/>
          <w:sz w:val="20"/>
          <w:szCs w:val="20"/>
        </w:rPr>
        <w:t xml:space="preserve"> and Elaine O. </w:t>
      </w:r>
      <w:proofErr w:type="spellStart"/>
      <w:r w:rsidRPr="005D705C">
        <w:rPr>
          <w:rFonts w:ascii="Calisto MT" w:eastAsia="Charter Roman" w:hAnsi="Calisto MT" w:cs="Times New Roman"/>
          <w:color w:val="000000" w:themeColor="text1"/>
          <w:sz w:val="20"/>
          <w:szCs w:val="20"/>
        </w:rPr>
        <w:t>Nsoesie</w:t>
      </w:r>
      <w:proofErr w:type="spellEnd"/>
      <w:r w:rsidRPr="005D705C">
        <w:rPr>
          <w:rFonts w:ascii="Calisto MT" w:eastAsia="Charter Roman" w:hAnsi="Calisto MT" w:cs="Times New Roman"/>
          <w:color w:val="000000" w:themeColor="text1"/>
          <w:sz w:val="20"/>
          <w:szCs w:val="20"/>
        </w:rPr>
        <w:t xml:space="preserve">, 'The Racial Data Gap: Lack of Racial Data as a Barrier to Overcoming Structural Racism' (2022) 22 </w:t>
      </w:r>
      <w:r w:rsidRPr="005D705C">
        <w:rPr>
          <w:rFonts w:ascii="Calisto MT" w:eastAsia="Charter Roman" w:hAnsi="Calisto MT" w:cs="Times New Roman"/>
          <w:i/>
          <w:color w:val="000000" w:themeColor="text1"/>
          <w:sz w:val="20"/>
          <w:szCs w:val="20"/>
        </w:rPr>
        <w:t>The American Journal of Bioethics</w:t>
      </w:r>
      <w:r w:rsidRPr="005D705C">
        <w:rPr>
          <w:rFonts w:ascii="Calisto MT" w:eastAsia="Charter Roman" w:hAnsi="Calisto MT" w:cs="Times New Roman"/>
          <w:color w:val="000000" w:themeColor="text1"/>
          <w:sz w:val="20"/>
          <w:szCs w:val="20"/>
        </w:rPr>
        <w:t xml:space="preserve"> 39.</w:t>
      </w:r>
    </w:p>
  </w:footnote>
  <w:footnote w:id="23">
    <w:p w14:paraId="5545D25A" w14:textId="77777777"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Lisa </w:t>
      </w:r>
      <w:proofErr w:type="spellStart"/>
      <w:r w:rsidRPr="005D705C">
        <w:rPr>
          <w:rFonts w:ascii="Calisto MT" w:eastAsia="Charter Roman" w:hAnsi="Calisto MT" w:cs="Times New Roman"/>
          <w:color w:val="000000" w:themeColor="text1"/>
          <w:sz w:val="20"/>
          <w:szCs w:val="20"/>
        </w:rPr>
        <w:t>Unangst</w:t>
      </w:r>
      <w:proofErr w:type="spellEnd"/>
      <w:r w:rsidRPr="005D705C">
        <w:rPr>
          <w:rFonts w:ascii="Calisto MT" w:eastAsia="Charter Roman" w:hAnsi="Calisto MT" w:cs="Times New Roman"/>
          <w:color w:val="000000" w:themeColor="text1"/>
          <w:sz w:val="20"/>
          <w:szCs w:val="20"/>
        </w:rPr>
        <w:t xml:space="preserve">, </w:t>
      </w:r>
      <w:proofErr w:type="spellStart"/>
      <w:r w:rsidRPr="005D705C">
        <w:rPr>
          <w:rFonts w:ascii="Calisto MT" w:eastAsia="Charter Roman" w:hAnsi="Calisto MT" w:cs="Times New Roman"/>
          <w:color w:val="000000" w:themeColor="text1"/>
          <w:sz w:val="20"/>
          <w:szCs w:val="20"/>
        </w:rPr>
        <w:t>Ishara</w:t>
      </w:r>
      <w:proofErr w:type="spellEnd"/>
      <w:r w:rsidRPr="005D705C">
        <w:rPr>
          <w:rFonts w:ascii="Calisto MT" w:eastAsia="Charter Roman" w:hAnsi="Calisto MT" w:cs="Times New Roman"/>
          <w:color w:val="000000" w:themeColor="text1"/>
          <w:sz w:val="20"/>
          <w:szCs w:val="20"/>
        </w:rPr>
        <w:t xml:space="preserve"> </w:t>
      </w:r>
      <w:proofErr w:type="spellStart"/>
      <w:r w:rsidRPr="005D705C">
        <w:rPr>
          <w:rFonts w:ascii="Calisto MT" w:eastAsia="Charter Roman" w:hAnsi="Calisto MT" w:cs="Times New Roman"/>
          <w:color w:val="000000" w:themeColor="text1"/>
          <w:sz w:val="20"/>
          <w:szCs w:val="20"/>
        </w:rPr>
        <w:t>Casellas</w:t>
      </w:r>
      <w:proofErr w:type="spellEnd"/>
      <w:r w:rsidRPr="005D705C">
        <w:rPr>
          <w:rFonts w:ascii="Calisto MT" w:eastAsia="Charter Roman" w:hAnsi="Calisto MT" w:cs="Times New Roman"/>
          <w:color w:val="000000" w:themeColor="text1"/>
          <w:sz w:val="20"/>
          <w:szCs w:val="20"/>
        </w:rPr>
        <w:t xml:space="preserve"> Connors and Nicole Barone, 'State-Based Policy Supports for Refugee, Asylee, and TPS-Background Students in US Higher Education' (2022) 38 </w:t>
      </w:r>
      <w:r w:rsidRPr="005D705C">
        <w:rPr>
          <w:rFonts w:ascii="Calisto MT" w:eastAsia="Charter Roman" w:hAnsi="Calisto MT" w:cs="Times New Roman"/>
          <w:i/>
          <w:color w:val="000000" w:themeColor="text1"/>
          <w:sz w:val="20"/>
          <w:szCs w:val="20"/>
        </w:rPr>
        <w:t>Refuge</w:t>
      </w:r>
      <w:r w:rsidRPr="005D705C">
        <w:rPr>
          <w:rFonts w:ascii="Calisto MT" w:eastAsia="Charter Roman" w:hAnsi="Calisto MT" w:cs="Times New Roman"/>
          <w:color w:val="000000" w:themeColor="text1"/>
          <w:sz w:val="20"/>
          <w:szCs w:val="20"/>
        </w:rPr>
        <w:t xml:space="preserve">: </w:t>
      </w:r>
      <w:r w:rsidRPr="005D705C">
        <w:rPr>
          <w:rFonts w:ascii="Calisto MT" w:eastAsia="Charter Roman" w:hAnsi="Calisto MT" w:cs="Times New Roman"/>
          <w:i/>
          <w:color w:val="000000" w:themeColor="text1"/>
          <w:sz w:val="20"/>
          <w:szCs w:val="20"/>
        </w:rPr>
        <w:t xml:space="preserve">Canada's Journal on Refugees </w:t>
      </w:r>
      <w:r w:rsidRPr="005D705C">
        <w:rPr>
          <w:rFonts w:ascii="Calisto MT" w:eastAsia="Charter Roman" w:hAnsi="Calisto MT" w:cs="Times New Roman"/>
          <w:color w:val="000000" w:themeColor="text1"/>
          <w:sz w:val="20"/>
          <w:szCs w:val="20"/>
        </w:rPr>
        <w:t>95.</w:t>
      </w:r>
    </w:p>
  </w:footnote>
  <w:footnote w:id="24">
    <w:p w14:paraId="72A39957" w14:textId="77777777" w:rsidR="00063158" w:rsidRPr="005D705C" w:rsidRDefault="00063158" w:rsidP="005D705C">
      <w:pPr>
        <w:pStyle w:val="FootnoteText"/>
        <w:jc w:val="both"/>
        <w:rPr>
          <w:rFonts w:ascii="Calisto MT" w:hAnsi="Calisto MT" w:cs="Times New Roman"/>
          <w:color w:val="000000" w:themeColor="text1"/>
        </w:rPr>
      </w:pPr>
      <w:r w:rsidRPr="005D705C">
        <w:rPr>
          <w:rStyle w:val="FootnoteReference"/>
          <w:rFonts w:ascii="Calisto MT" w:hAnsi="Calisto MT" w:cs="Times New Roman"/>
          <w:color w:val="000000" w:themeColor="text1"/>
        </w:rPr>
        <w:footnoteRef/>
      </w:r>
      <w:r w:rsidRPr="005D705C">
        <w:rPr>
          <w:rFonts w:ascii="Calisto MT" w:hAnsi="Calisto MT" w:cs="Times New Roman"/>
          <w:color w:val="000000" w:themeColor="text1"/>
        </w:rPr>
        <w:t xml:space="preserve"> Kerris Cooper and Polina </w:t>
      </w:r>
      <w:proofErr w:type="spellStart"/>
      <w:r w:rsidRPr="005D705C">
        <w:rPr>
          <w:rFonts w:ascii="Calisto MT" w:hAnsi="Calisto MT" w:cs="Times New Roman"/>
          <w:color w:val="000000" w:themeColor="text1"/>
        </w:rPr>
        <w:t>Obolenskaya</w:t>
      </w:r>
      <w:proofErr w:type="spellEnd"/>
      <w:r w:rsidRPr="005D705C">
        <w:rPr>
          <w:rFonts w:ascii="Calisto MT" w:hAnsi="Calisto MT" w:cs="Times New Roman"/>
          <w:color w:val="000000" w:themeColor="text1"/>
        </w:rPr>
        <w:t xml:space="preserve">, 'Hidden Victims: The Gendered Data Gap </w:t>
      </w:r>
      <w:proofErr w:type="gramStart"/>
      <w:r w:rsidRPr="005D705C">
        <w:rPr>
          <w:rFonts w:ascii="Calisto MT" w:hAnsi="Calisto MT" w:cs="Times New Roman"/>
          <w:color w:val="000000" w:themeColor="text1"/>
        </w:rPr>
        <w:t>Of</w:t>
      </w:r>
      <w:proofErr w:type="gramEnd"/>
      <w:r w:rsidRPr="005D705C">
        <w:rPr>
          <w:rFonts w:ascii="Calisto MT" w:hAnsi="Calisto MT" w:cs="Times New Roman"/>
          <w:color w:val="000000" w:themeColor="text1"/>
        </w:rPr>
        <w:t xml:space="preserve"> Violent Crime' (2021) 61 </w:t>
      </w:r>
      <w:r w:rsidRPr="005D705C">
        <w:rPr>
          <w:rFonts w:ascii="Calisto MT" w:hAnsi="Calisto MT" w:cs="Times New Roman"/>
          <w:i/>
          <w:iCs/>
          <w:color w:val="000000" w:themeColor="text1"/>
        </w:rPr>
        <w:t xml:space="preserve">British Journal Of Criminology </w:t>
      </w:r>
      <w:r w:rsidRPr="005D705C">
        <w:rPr>
          <w:rFonts w:ascii="Calisto MT" w:hAnsi="Calisto MT" w:cs="Times New Roman"/>
          <w:color w:val="000000" w:themeColor="text1"/>
        </w:rPr>
        <w:t>905.</w:t>
      </w:r>
    </w:p>
  </w:footnote>
  <w:footnote w:id="25">
    <w:p w14:paraId="093E85DC" w14:textId="77777777" w:rsidR="00063158" w:rsidRPr="005D705C" w:rsidRDefault="00063158" w:rsidP="005D705C">
      <w:pPr>
        <w:pStyle w:val="FootnoteText"/>
        <w:jc w:val="both"/>
        <w:rPr>
          <w:rFonts w:ascii="Calisto MT" w:hAnsi="Calisto MT" w:cs="Times New Roman"/>
          <w:color w:val="000000" w:themeColor="text1"/>
        </w:rPr>
      </w:pPr>
      <w:r w:rsidRPr="005D705C">
        <w:rPr>
          <w:rStyle w:val="FootnoteReference"/>
          <w:rFonts w:ascii="Calisto MT" w:hAnsi="Calisto MT" w:cs="Times New Roman"/>
          <w:color w:val="000000" w:themeColor="text1"/>
        </w:rPr>
        <w:footnoteRef/>
      </w:r>
      <w:r w:rsidR="3C8AF05B" w:rsidRPr="005D705C">
        <w:rPr>
          <w:rFonts w:ascii="Calisto MT" w:hAnsi="Calisto MT" w:cs="Times New Roman"/>
          <w:color w:val="000000" w:themeColor="text1"/>
        </w:rPr>
        <w:t xml:space="preserve">  See e.g. Robert Cuffe, ‘Key Crime Stat Excluded Rape and other Sexual Offences’ BBC Verify (25 January 2024).</w:t>
      </w:r>
    </w:p>
  </w:footnote>
  <w:footnote w:id="26">
    <w:p w14:paraId="3EA207F0" w14:textId="77777777" w:rsidR="00063158" w:rsidRPr="005D705C" w:rsidRDefault="00063158" w:rsidP="005D705C">
      <w:pPr>
        <w:pStyle w:val="FootnoteText"/>
        <w:jc w:val="both"/>
        <w:rPr>
          <w:rFonts w:ascii="Calisto MT" w:hAnsi="Calisto MT" w:cs="Times New Roman"/>
        </w:rPr>
      </w:pPr>
      <w:r w:rsidRPr="005D705C">
        <w:rPr>
          <w:rStyle w:val="FootnoteReference"/>
          <w:rFonts w:ascii="Calisto MT" w:hAnsi="Calisto MT" w:cs="Times New Roman"/>
        </w:rPr>
        <w:footnoteRef/>
      </w:r>
      <w:r w:rsidRPr="005D705C">
        <w:rPr>
          <w:rFonts w:ascii="Calisto MT" w:hAnsi="Calisto MT" w:cs="Times New Roman"/>
        </w:rPr>
        <w:t xml:space="preserve"> We note here that attempts to remedy such gaps are also particularly liable to give rise to privacy concerns, but that is not our focus.</w:t>
      </w:r>
    </w:p>
  </w:footnote>
  <w:footnote w:id="27">
    <w:p w14:paraId="691752CF" w14:textId="77777777"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Pr="005D705C">
        <w:rPr>
          <w:rFonts w:ascii="Calisto MT" w:eastAsia="Charter Roman" w:hAnsi="Calisto MT" w:cs="Times New Roman"/>
          <w:color w:val="000000" w:themeColor="text1"/>
          <w:sz w:val="20"/>
          <w:szCs w:val="20"/>
        </w:rPr>
        <w:t xml:space="preserve"> Alan Katz and others, 'Challenges Associated with Cross-Jurisdictional Analyses using Administrative Health Data and Primary Care Electronic Medical Records in Canada' (2018) 3 </w:t>
      </w:r>
      <w:r w:rsidRPr="005D705C">
        <w:rPr>
          <w:rFonts w:ascii="Calisto MT" w:eastAsia="Charter Roman" w:hAnsi="Calisto MT" w:cs="Times New Roman"/>
          <w:i/>
          <w:color w:val="000000" w:themeColor="text1"/>
          <w:sz w:val="20"/>
          <w:szCs w:val="20"/>
        </w:rPr>
        <w:t>International Journal of Population Data Science</w:t>
      </w:r>
      <w:r w:rsidRPr="005D705C">
        <w:rPr>
          <w:rFonts w:ascii="Calisto MT" w:eastAsia="Charter Roman" w:hAnsi="Calisto MT" w:cs="Times New Roman"/>
          <w:color w:val="000000" w:themeColor="text1"/>
          <w:sz w:val="20"/>
          <w:szCs w:val="20"/>
        </w:rPr>
        <w:t xml:space="preserve"> 437; Joshua R. Vest and L. Michele Issel, 'Data Sharing Between Local Health and State Health Departments: Developing and Describing a Typology of Data Gaps' (2013) 19 </w:t>
      </w:r>
      <w:r w:rsidRPr="005D705C">
        <w:rPr>
          <w:rFonts w:ascii="Calisto MT" w:eastAsia="Charter Roman" w:hAnsi="Calisto MT" w:cs="Times New Roman"/>
          <w:i/>
          <w:color w:val="000000" w:themeColor="text1"/>
          <w:sz w:val="20"/>
          <w:szCs w:val="20"/>
        </w:rPr>
        <w:t>Journal of Public</w:t>
      </w:r>
      <w:r w:rsidRPr="005D705C">
        <w:rPr>
          <w:rFonts w:ascii="Calisto MT" w:eastAsia="Charter Roman" w:hAnsi="Calisto MT" w:cs="Times New Roman"/>
          <w:color w:val="000000" w:themeColor="text1"/>
          <w:sz w:val="20"/>
          <w:szCs w:val="20"/>
        </w:rPr>
        <w:t xml:space="preserve"> </w:t>
      </w:r>
      <w:r w:rsidRPr="005D705C">
        <w:rPr>
          <w:rFonts w:ascii="Calisto MT" w:eastAsia="Charter Roman" w:hAnsi="Calisto MT" w:cs="Times New Roman"/>
          <w:i/>
          <w:color w:val="000000" w:themeColor="text1"/>
          <w:sz w:val="20"/>
          <w:szCs w:val="20"/>
        </w:rPr>
        <w:t>Health Management and Practice</w:t>
      </w:r>
      <w:r w:rsidRPr="005D705C">
        <w:rPr>
          <w:rFonts w:ascii="Calisto MT" w:eastAsia="Charter Roman" w:hAnsi="Calisto MT" w:cs="Times New Roman"/>
          <w:color w:val="000000" w:themeColor="text1"/>
          <w:sz w:val="20"/>
          <w:szCs w:val="20"/>
        </w:rPr>
        <w:t xml:space="preserve"> 357.</w:t>
      </w:r>
    </w:p>
  </w:footnote>
  <w:footnote w:id="28">
    <w:p w14:paraId="3ED0BA1F" w14:textId="1BF901AF" w:rsidR="00063158" w:rsidRPr="005D705C" w:rsidRDefault="00063158"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color w:val="000000" w:themeColor="text1"/>
          <w:sz w:val="20"/>
          <w:szCs w:val="20"/>
        </w:rPr>
        <w:footnoteRef/>
      </w:r>
      <w:r w:rsidR="3C8AF05B" w:rsidRPr="005D705C">
        <w:rPr>
          <w:rFonts w:ascii="Calisto MT" w:eastAsia="Charter Roman" w:hAnsi="Calisto MT" w:cs="Times New Roman"/>
          <w:color w:val="000000" w:themeColor="text1"/>
          <w:sz w:val="20"/>
          <w:szCs w:val="20"/>
        </w:rPr>
        <w:t xml:space="preserve"> Government Statistical Service, 'UK Official Statistics on Homelessness: Comparisons, Definitions, and Processes (Government Statistical Service) 13 October 2022.</w:t>
      </w:r>
    </w:p>
  </w:footnote>
  <w:footnote w:id="29">
    <w:p w14:paraId="688118D1" w14:textId="77777777" w:rsidR="00063158" w:rsidRPr="005D705C" w:rsidRDefault="00063158" w:rsidP="005D705C">
      <w:pPr>
        <w:pStyle w:val="FootnoteText"/>
        <w:jc w:val="both"/>
        <w:rPr>
          <w:rFonts w:ascii="Calisto MT" w:hAnsi="Calisto MT" w:cs="Times New Roman"/>
        </w:rPr>
      </w:pPr>
      <w:r w:rsidRPr="005D705C">
        <w:rPr>
          <w:rStyle w:val="FootnoteReference"/>
          <w:rFonts w:ascii="Calisto MT" w:hAnsi="Calisto MT" w:cs="Times New Roman"/>
          <w:color w:val="000000" w:themeColor="text1"/>
        </w:rPr>
        <w:footnoteRef/>
      </w:r>
      <w:r w:rsidRPr="005D705C">
        <w:rPr>
          <w:rFonts w:ascii="Calisto MT" w:hAnsi="Calisto MT" w:cs="Times New Roman"/>
          <w:color w:val="000000" w:themeColor="text1"/>
        </w:rPr>
        <w:t xml:space="preserve"> Science and Technology Committee,</w:t>
      </w:r>
      <w:r w:rsidRPr="005D705C">
        <w:rPr>
          <w:rFonts w:ascii="Calisto MT" w:hAnsi="Calisto MT" w:cs="Times New Roman"/>
          <w:i/>
          <w:iCs/>
          <w:color w:val="000000" w:themeColor="text1"/>
        </w:rPr>
        <w:t xml:space="preserve"> The UK Response to Covid-19: Use of Scientific Advice</w:t>
      </w:r>
      <w:r w:rsidRPr="005D705C">
        <w:rPr>
          <w:rFonts w:ascii="Calisto MT" w:hAnsi="Calisto MT" w:cs="Times New Roman"/>
          <w:color w:val="000000" w:themeColor="text1"/>
        </w:rPr>
        <w:t xml:space="preserve"> (HC 2020-21 136) [102-104].</w:t>
      </w:r>
    </w:p>
  </w:footnote>
  <w:footnote w:id="30">
    <w:p w14:paraId="3BA1F6CC" w14:textId="77777777" w:rsidR="00063158" w:rsidRPr="005D705C" w:rsidRDefault="00063158" w:rsidP="005D705C">
      <w:pPr>
        <w:pStyle w:val="FootnoteText"/>
        <w:jc w:val="both"/>
        <w:rPr>
          <w:rFonts w:ascii="Calisto MT" w:hAnsi="Calisto MT" w:cs="Times New Roman"/>
        </w:rPr>
      </w:pPr>
      <w:r w:rsidRPr="005D705C">
        <w:rPr>
          <w:rStyle w:val="FootnoteReference"/>
          <w:rFonts w:ascii="Calisto MT" w:hAnsi="Calisto MT" w:cs="Times New Roman"/>
        </w:rPr>
        <w:footnoteRef/>
      </w:r>
      <w:r w:rsidRPr="005D705C">
        <w:rPr>
          <w:rFonts w:ascii="Calisto MT" w:hAnsi="Calisto MT" w:cs="Times New Roman"/>
        </w:rPr>
        <w:t xml:space="preserve"> Ibid [103].</w:t>
      </w:r>
    </w:p>
  </w:footnote>
  <w:footnote w:id="31">
    <w:p w14:paraId="05953FC0" w14:textId="3B764BA0" w:rsidR="5036F6D4" w:rsidRPr="005D705C" w:rsidRDefault="5036F6D4" w:rsidP="005D705C">
      <w:pPr>
        <w:jc w:val="both"/>
        <w:rPr>
          <w:rFonts w:ascii="Calisto MT" w:eastAsia="Charter Roman" w:hAnsi="Calisto MT" w:cs="Times New Roman"/>
          <w:i/>
          <w:iCs/>
          <w:color w:val="000000" w:themeColor="text1"/>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themeColor="text1"/>
          <w:sz w:val="20"/>
          <w:szCs w:val="20"/>
        </w:rPr>
        <w:t xml:space="preserve"> Andrew Williams, Brian Webb, and Richard Gale, ‘Racism and the uneven geography of welfare sanctioning in England’ (2024) </w:t>
      </w:r>
      <w:r w:rsidRPr="005D705C">
        <w:rPr>
          <w:rFonts w:ascii="Calisto MT" w:eastAsia="Charter Roman" w:hAnsi="Calisto MT" w:cs="Times New Roman"/>
          <w:i/>
          <w:iCs/>
          <w:color w:val="000000" w:themeColor="text1"/>
          <w:sz w:val="20"/>
          <w:szCs w:val="20"/>
        </w:rPr>
        <w:t xml:space="preserve">Transactions of the Institute of British Geographers </w:t>
      </w:r>
      <w:r w:rsidRPr="005D705C">
        <w:rPr>
          <w:rFonts w:ascii="Calisto MT" w:eastAsia="Charter Roman" w:hAnsi="Calisto MT" w:cs="Times New Roman"/>
          <w:color w:val="000000" w:themeColor="text1"/>
          <w:sz w:val="20"/>
          <w:szCs w:val="20"/>
        </w:rPr>
        <w:t>(Vol 49(4), December 2024).</w:t>
      </w:r>
    </w:p>
  </w:footnote>
  <w:footnote w:id="32">
    <w:p w14:paraId="5A3125F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w:t>
      </w:r>
    </w:p>
  </w:footnote>
  <w:footnote w:id="33">
    <w:p w14:paraId="29A25F22" w14:textId="19C5EC84" w:rsidR="5036F6D4" w:rsidRPr="005D705C" w:rsidRDefault="5036F6D4" w:rsidP="005D705C">
      <w:pPr>
        <w:pStyle w:val="FootnoteText"/>
        <w:jc w:val="both"/>
        <w:rPr>
          <w:rFonts w:ascii="Calisto MT" w:hAnsi="Calisto MT"/>
        </w:rPr>
      </w:pPr>
      <w:r w:rsidRPr="005D705C">
        <w:rPr>
          <w:rStyle w:val="FootnoteReference"/>
          <w:rFonts w:ascii="Calisto MT" w:hAnsi="Calisto MT"/>
        </w:rPr>
        <w:footnoteRef/>
      </w:r>
      <w:r w:rsidRPr="005D705C">
        <w:rPr>
          <w:rFonts w:ascii="Calisto MT" w:hAnsi="Calisto MT"/>
        </w:rPr>
        <w:t xml:space="preserve"> For a broader discussion of the rationale, see: Department for Work &amp; Pensions, ’Universal Credit sanctions statistics: background information and </w:t>
      </w:r>
      <w:proofErr w:type="gramStart"/>
      <w:r w:rsidRPr="005D705C">
        <w:rPr>
          <w:rFonts w:ascii="Calisto MT" w:hAnsi="Calisto MT"/>
        </w:rPr>
        <w:t>methodology‘ (</w:t>
      </w:r>
      <w:proofErr w:type="gramEnd"/>
      <w:r w:rsidRPr="005D705C">
        <w:rPr>
          <w:rFonts w:ascii="Calisto MT" w:hAnsi="Calisto MT"/>
        </w:rPr>
        <w:t xml:space="preserve">2024) at.  </w:t>
      </w:r>
      <w:hyperlink r:id="rId1">
        <w:r w:rsidRPr="005D705C">
          <w:rPr>
            <w:rStyle w:val="Hyperlink"/>
            <w:rFonts w:ascii="Calisto MT" w:hAnsi="Calisto MT"/>
          </w:rPr>
          <w:t>https://www.gov.uk/government/publications/universal-credit-sanctions-statistics-background-information-and-methodology/a</w:t>
        </w:r>
      </w:hyperlink>
      <w:r w:rsidRPr="005D705C">
        <w:rPr>
          <w:rFonts w:ascii="Calisto MT" w:hAnsi="Calisto MT"/>
        </w:rPr>
        <w:t xml:space="preserve"> [accessed 8</w:t>
      </w:r>
      <w:r w:rsidRPr="005D705C">
        <w:rPr>
          <w:rFonts w:ascii="Calisto MT" w:hAnsi="Calisto MT"/>
          <w:vertAlign w:val="superscript"/>
        </w:rPr>
        <w:t>th</w:t>
      </w:r>
      <w:r w:rsidRPr="005D705C">
        <w:rPr>
          <w:rFonts w:ascii="Calisto MT" w:hAnsi="Calisto MT"/>
        </w:rPr>
        <w:t xml:space="preserve"> January 2025]. It is worth noting that non-response bias concerns persist, even where the 70% threshold has been passed.</w:t>
      </w:r>
    </w:p>
  </w:footnote>
  <w:footnote w:id="34">
    <w:p w14:paraId="3781FB0C" w14:textId="77777777" w:rsidR="5036F6D4" w:rsidRPr="005D705C" w:rsidRDefault="5036F6D4" w:rsidP="005D705C">
      <w:pPr>
        <w:jc w:val="both"/>
        <w:rPr>
          <w:rFonts w:ascii="Calisto MT" w:eastAsia="Charter Roman" w:hAnsi="Calisto MT" w:cs="Times New Roman"/>
          <w:color w:val="000000" w:themeColor="text1"/>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themeColor="text1"/>
          <w:sz w:val="20"/>
          <w:szCs w:val="20"/>
        </w:rPr>
        <w:t xml:space="preserve"> Department for Work &amp; Pensions, ‘Household Benefit Cap: Equality Impact Assessment’ (2011).</w:t>
      </w:r>
    </w:p>
  </w:footnote>
  <w:footnote w:id="35">
    <w:p w14:paraId="2CF3CEB8" w14:textId="669A0A39" w:rsidR="5036F6D4" w:rsidRPr="005D705C" w:rsidRDefault="5036F6D4" w:rsidP="005D705C">
      <w:pPr>
        <w:pStyle w:val="FootnoteText"/>
        <w:jc w:val="both"/>
        <w:rPr>
          <w:rFonts w:ascii="Calisto MT" w:eastAsia="Charter Roman" w:hAnsi="Calisto MT" w:cs="Times New Roman"/>
          <w:color w:val="000000" w:themeColor="text1"/>
        </w:rPr>
      </w:pPr>
      <w:r w:rsidRPr="005D705C">
        <w:rPr>
          <w:rStyle w:val="FootnoteReference"/>
          <w:rFonts w:ascii="Calisto MT" w:hAnsi="Calisto MT"/>
        </w:rPr>
        <w:footnoteRef/>
      </w:r>
      <w:r w:rsidRPr="005D705C">
        <w:rPr>
          <w:rFonts w:ascii="Calisto MT" w:hAnsi="Calisto MT"/>
        </w:rPr>
        <w:t xml:space="preserve"> </w:t>
      </w:r>
      <w:proofErr w:type="spellStart"/>
      <w:r w:rsidRPr="005D705C">
        <w:rPr>
          <w:rFonts w:ascii="Calisto MT" w:hAnsi="Calisto MT"/>
        </w:rPr>
        <w:t>Eduin</w:t>
      </w:r>
      <w:proofErr w:type="spellEnd"/>
      <w:r w:rsidRPr="005D705C">
        <w:rPr>
          <w:rFonts w:ascii="Calisto MT" w:hAnsi="Calisto MT"/>
        </w:rPr>
        <w:t xml:space="preserve"> Latimer and Tom Waters</w:t>
      </w:r>
      <w:r w:rsidRPr="005D705C">
        <w:rPr>
          <w:rFonts w:ascii="Calisto MT" w:eastAsia="Charter Roman" w:hAnsi="Calisto MT" w:cs="Times New Roman"/>
          <w:color w:val="000000" w:themeColor="text1"/>
        </w:rPr>
        <w:t>, ’The two-child limit: poverty, incentives and cost’ (</w:t>
      </w:r>
      <w:r w:rsidRPr="005D705C">
        <w:rPr>
          <w:rFonts w:ascii="Calisto MT" w:eastAsia="Charter Roman" w:hAnsi="Calisto MT" w:cs="Times New Roman"/>
          <w:i/>
          <w:iCs/>
          <w:color w:val="000000" w:themeColor="text1"/>
        </w:rPr>
        <w:t xml:space="preserve">Institute for Fiscal Studies, </w:t>
      </w:r>
      <w:r w:rsidRPr="005D705C">
        <w:rPr>
          <w:rFonts w:ascii="Calisto MT" w:eastAsia="Charter Roman" w:hAnsi="Calisto MT" w:cs="Times New Roman"/>
          <w:color w:val="000000" w:themeColor="text1"/>
        </w:rPr>
        <w:t xml:space="preserve">2024) at </w:t>
      </w:r>
      <w:hyperlink r:id="rId2">
        <w:r w:rsidRPr="005D705C">
          <w:rPr>
            <w:rStyle w:val="Hyperlink"/>
            <w:rFonts w:ascii="Calisto MT" w:eastAsia="Charter Roman" w:hAnsi="Calisto MT" w:cs="Times New Roman"/>
          </w:rPr>
          <w:t>https://ifs.org.uk/articles/two-child-limit-poverty-incentives-and-cost</w:t>
        </w:r>
      </w:hyperlink>
      <w:r w:rsidRPr="005D705C">
        <w:rPr>
          <w:rFonts w:ascii="Calisto MT" w:eastAsia="Charter Roman" w:hAnsi="Calisto MT" w:cs="Times New Roman"/>
        </w:rPr>
        <w:t xml:space="preserve"> [accessed 8</w:t>
      </w:r>
      <w:r w:rsidRPr="005D705C">
        <w:rPr>
          <w:rFonts w:ascii="Calisto MT" w:eastAsia="Charter Roman" w:hAnsi="Calisto MT" w:cs="Times New Roman"/>
          <w:vertAlign w:val="superscript"/>
        </w:rPr>
        <w:t>th</w:t>
      </w:r>
      <w:r w:rsidRPr="005D705C">
        <w:rPr>
          <w:rFonts w:ascii="Calisto MT" w:eastAsia="Charter Roman" w:hAnsi="Calisto MT" w:cs="Times New Roman"/>
        </w:rPr>
        <w:t xml:space="preserve"> January 2025].</w:t>
      </w:r>
    </w:p>
  </w:footnote>
  <w:footnote w:id="36">
    <w:p w14:paraId="3DE7A0E5" w14:textId="1B593065" w:rsidR="5036F6D4" w:rsidRPr="005D705C" w:rsidRDefault="5036F6D4" w:rsidP="005D705C">
      <w:pPr>
        <w:pStyle w:val="FootnoteText"/>
        <w:jc w:val="both"/>
        <w:rPr>
          <w:rFonts w:ascii="Calisto MT" w:hAnsi="Calisto MT"/>
        </w:rPr>
      </w:pPr>
      <w:r w:rsidRPr="005D705C">
        <w:rPr>
          <w:rStyle w:val="FootnoteReference"/>
          <w:rFonts w:ascii="Calisto MT" w:hAnsi="Calisto MT"/>
        </w:rPr>
        <w:footnoteRef/>
      </w:r>
      <w:r w:rsidRPr="005D705C">
        <w:rPr>
          <w:rFonts w:ascii="Calisto MT" w:hAnsi="Calisto MT"/>
        </w:rPr>
        <w:t xml:space="preserve"> Department for Work &amp; Pensions, ’ Benefit sanctions statistics to August 2024‘ at: </w:t>
      </w:r>
      <w:hyperlink r:id="rId3">
        <w:r w:rsidRPr="005D705C">
          <w:rPr>
            <w:rStyle w:val="Hyperlink"/>
            <w:rFonts w:ascii="Calisto MT" w:hAnsi="Calisto MT"/>
          </w:rPr>
          <w:t>https://www.gov.uk/government/statistics/benefit-sanctions-statistics-to-august-2024/benefit-sanctions-statistics-to-august-2024</w:t>
        </w:r>
      </w:hyperlink>
      <w:r w:rsidRPr="005D705C">
        <w:rPr>
          <w:rFonts w:ascii="Calisto MT" w:hAnsi="Calisto MT"/>
        </w:rPr>
        <w:t xml:space="preserve"> [accessed 8</w:t>
      </w:r>
      <w:r w:rsidRPr="005D705C">
        <w:rPr>
          <w:rFonts w:ascii="Calisto MT" w:hAnsi="Calisto MT"/>
          <w:vertAlign w:val="superscript"/>
        </w:rPr>
        <w:t>th</w:t>
      </w:r>
      <w:r w:rsidRPr="005D705C">
        <w:rPr>
          <w:rFonts w:ascii="Calisto MT" w:hAnsi="Calisto MT"/>
        </w:rPr>
        <w:t xml:space="preserve"> January 2025].</w:t>
      </w:r>
    </w:p>
  </w:footnote>
  <w:footnote w:id="37">
    <w:p w14:paraId="46D5B84F" w14:textId="5119AAA4" w:rsidR="5036F6D4" w:rsidRPr="005D705C" w:rsidRDefault="5036F6D4" w:rsidP="005D705C">
      <w:pPr>
        <w:jc w:val="both"/>
        <w:rPr>
          <w:rFonts w:ascii="Calisto MT" w:eastAsia="Charter Roman" w:hAnsi="Calisto MT" w:cs="Times New Roman"/>
          <w:color w:val="000000" w:themeColor="text1"/>
          <w:sz w:val="20"/>
          <w:szCs w:val="20"/>
        </w:rPr>
      </w:pPr>
      <w:r w:rsidRPr="005D705C">
        <w:rPr>
          <w:rStyle w:val="FootnoteReference"/>
          <w:rFonts w:ascii="Calisto MT" w:eastAsia="Times New Roman" w:hAnsi="Calisto MT" w:cs="Times New Roman"/>
          <w:sz w:val="20"/>
          <w:szCs w:val="20"/>
        </w:rPr>
        <w:footnoteRef/>
      </w:r>
      <w:r w:rsidRPr="005D705C">
        <w:rPr>
          <w:rFonts w:ascii="Calisto MT" w:eastAsia="Times New Roman" w:hAnsi="Calisto MT" w:cs="Times New Roman"/>
          <w:color w:val="000000" w:themeColor="text1"/>
          <w:sz w:val="20"/>
          <w:szCs w:val="20"/>
        </w:rPr>
        <w:t xml:space="preserve"> Andrew Williams, Brian Webb, and Richard Gale, ‘Racism and the uneven geography of welfare sanctioning in England’ (2024) 49(4) Transactions of the Institute of British Geographers 1-19. See also Caroline Selman, ‘Benefit Sanctions: A Presumption of Guilt’ (</w:t>
      </w:r>
      <w:r w:rsidRPr="005D705C">
        <w:rPr>
          <w:rFonts w:ascii="Calisto MT" w:eastAsia="Times New Roman" w:hAnsi="Calisto MT" w:cs="Times New Roman"/>
          <w:i/>
          <w:iCs/>
          <w:color w:val="000000" w:themeColor="text1"/>
          <w:sz w:val="20"/>
          <w:szCs w:val="20"/>
        </w:rPr>
        <w:t xml:space="preserve">Public Law Project, </w:t>
      </w:r>
      <w:r w:rsidRPr="005D705C">
        <w:rPr>
          <w:rFonts w:ascii="Calisto MT" w:eastAsia="Times New Roman" w:hAnsi="Calisto MT" w:cs="Times New Roman"/>
          <w:color w:val="000000" w:themeColor="text1"/>
          <w:sz w:val="20"/>
          <w:szCs w:val="20"/>
        </w:rPr>
        <w:t>2022); Department for Work &amp; Pensions, ‘Conditionality, sanctions and hardship: Equality Impact Assessment’ (2011).</w:t>
      </w:r>
    </w:p>
  </w:footnote>
  <w:footnote w:id="38">
    <w:p w14:paraId="489ED3A0" w14:textId="316F5F42" w:rsidR="5036F6D4" w:rsidRPr="005D705C" w:rsidRDefault="5036F6D4" w:rsidP="005D705C">
      <w:pPr>
        <w:pStyle w:val="FootnoteText"/>
        <w:jc w:val="both"/>
        <w:rPr>
          <w:rFonts w:ascii="Calisto MT" w:hAnsi="Calisto MT"/>
        </w:rPr>
      </w:pPr>
      <w:r w:rsidRPr="005D705C">
        <w:rPr>
          <w:rStyle w:val="FootnoteReference"/>
          <w:rFonts w:ascii="Calisto MT" w:hAnsi="Calisto MT"/>
        </w:rPr>
        <w:footnoteRef/>
      </w:r>
      <w:r w:rsidRPr="005D705C">
        <w:rPr>
          <w:rFonts w:ascii="Calisto MT" w:hAnsi="Calisto MT"/>
        </w:rPr>
        <w:t xml:space="preserve"> Patrick Butler, ’Benefit sanctions more likely for minority ethnic claimants, UK data shows‘ (2024) at </w:t>
      </w:r>
      <w:hyperlink r:id="rId4">
        <w:r w:rsidRPr="005D705C">
          <w:rPr>
            <w:rStyle w:val="Hyperlink"/>
            <w:rFonts w:ascii="Calisto MT" w:hAnsi="Calisto MT"/>
          </w:rPr>
          <w:t>https://www.theguardian.com/society/2024/sep/16/benefit-sanctions-more-likely-for-minority-ethnic-claimants-uk-data-shows</w:t>
        </w:r>
      </w:hyperlink>
      <w:r w:rsidRPr="005D705C">
        <w:rPr>
          <w:rFonts w:ascii="Calisto MT" w:hAnsi="Calisto MT"/>
        </w:rPr>
        <w:t xml:space="preserve"> [accessed 8</w:t>
      </w:r>
      <w:r w:rsidRPr="005D705C">
        <w:rPr>
          <w:rFonts w:ascii="Calisto MT" w:hAnsi="Calisto MT"/>
          <w:vertAlign w:val="superscript"/>
        </w:rPr>
        <w:t>th</w:t>
      </w:r>
      <w:r w:rsidRPr="005D705C">
        <w:rPr>
          <w:rFonts w:ascii="Calisto MT" w:hAnsi="Calisto MT"/>
        </w:rPr>
        <w:t xml:space="preserve"> January 2025]</w:t>
      </w:r>
    </w:p>
  </w:footnote>
  <w:footnote w:id="39">
    <w:p w14:paraId="3A91F1A9" w14:textId="09B79D96"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Institute for Public Policy Research, ‘Revealed: the ‘postcode lottery’ of benefit sanctions that hit one in 12 looking for work’ (March 2023) and Citizens’ Advice, ‘The sanctions s</w:t>
      </w:r>
      <w:r w:rsidR="3C8AF05B" w:rsidRPr="005D705C">
        <w:rPr>
          <w:rFonts w:ascii="Calisto MT" w:eastAsia="Charter Roman" w:hAnsi="Calisto MT" w:cs="Times New Roman"/>
          <w:color w:val="000000" w:themeColor="text1"/>
          <w:sz w:val="20"/>
          <w:szCs w:val="20"/>
        </w:rPr>
        <w:t>piral: the unequal impact and hardship caused by sanctions in Universal Credit’ (July 2023).</w:t>
      </w:r>
    </w:p>
  </w:footnote>
  <w:footnote w:id="40">
    <w:p w14:paraId="0BF0A32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w:t>
      </w:r>
    </w:p>
  </w:footnote>
  <w:footnote w:id="41">
    <w:p w14:paraId="29B0094E" w14:textId="2F1C5243"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See, for instance, Northern Ireland Assembly, 'Universal Credit: Remove the Two-child Limit' (16 April 2024); and Scottish Parliament, 'Two-child Benefit Cap' (Scottish Parliament, 23 April 2024).</w:t>
      </w:r>
    </w:p>
  </w:footnote>
  <w:footnote w:id="42">
    <w:p w14:paraId="6161ABA8"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See Ruth Patrick and others, 'Needs and Entitlements: Welfare Reform and Larger Families' (Larger Families Study, 16 July 2023); Francis Hobson, Esme Kirk-Wade and Steven Kennedy, 'The Impact of the Two-child Limit in Universal Credit' (House of Commons Library, 14 February 2024).</w:t>
      </w:r>
    </w:p>
  </w:footnote>
  <w:footnote w:id="43">
    <w:p w14:paraId="7B03405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These arguments have been echoed in other contexts as well, see </w:t>
      </w:r>
      <w:r w:rsidRPr="005D705C">
        <w:rPr>
          <w:rFonts w:ascii="Calisto MT" w:eastAsia="Charter Roman" w:hAnsi="Calisto MT" w:cs="Times New Roman"/>
          <w:i/>
          <w:color w:val="000000"/>
          <w:sz w:val="20"/>
          <w:szCs w:val="20"/>
        </w:rPr>
        <w:t>e.g.</w:t>
      </w:r>
      <w:r w:rsidRPr="005D705C">
        <w:rPr>
          <w:rFonts w:ascii="Calisto MT" w:eastAsia="Charter Roman" w:hAnsi="Calisto MT" w:cs="Times New Roman"/>
          <w:color w:val="000000"/>
          <w:sz w:val="20"/>
          <w:szCs w:val="20"/>
        </w:rPr>
        <w:t xml:space="preserve"> Po-Han Lee, 'Un(ac)countable </w:t>
      </w:r>
      <w:proofErr w:type="gramStart"/>
      <w:r w:rsidRPr="005D705C">
        <w:rPr>
          <w:rFonts w:ascii="Calisto MT" w:eastAsia="Charter Roman" w:hAnsi="Calisto MT" w:cs="Times New Roman"/>
          <w:color w:val="000000"/>
          <w:sz w:val="20"/>
          <w:szCs w:val="20"/>
        </w:rPr>
        <w:t>no-bodies</w:t>
      </w:r>
      <w:proofErr w:type="gramEnd"/>
      <w:r w:rsidRPr="005D705C">
        <w:rPr>
          <w:rFonts w:ascii="Calisto MT" w:eastAsia="Charter Roman" w:hAnsi="Calisto MT" w:cs="Times New Roman"/>
          <w:color w:val="000000"/>
          <w:sz w:val="20"/>
          <w:szCs w:val="20"/>
        </w:rPr>
        <w:t xml:space="preserve">: the politics of ignorance in global health policymaking' (2023) 33 </w:t>
      </w:r>
      <w:r w:rsidRPr="005D705C">
        <w:rPr>
          <w:rFonts w:ascii="Calisto MT" w:eastAsia="Charter Roman" w:hAnsi="Calisto MT" w:cs="Times New Roman"/>
          <w:i/>
          <w:color w:val="000000"/>
          <w:sz w:val="20"/>
          <w:szCs w:val="20"/>
        </w:rPr>
        <w:t>Critical Public Health</w:t>
      </w:r>
      <w:r w:rsidRPr="005D705C">
        <w:rPr>
          <w:rFonts w:ascii="Calisto MT" w:eastAsia="Charter Roman" w:hAnsi="Calisto MT" w:cs="Times New Roman"/>
          <w:color w:val="000000"/>
          <w:sz w:val="20"/>
          <w:szCs w:val="20"/>
        </w:rPr>
        <w:t xml:space="preserve"> 48.</w:t>
      </w:r>
    </w:p>
  </w:footnote>
  <w:footnote w:id="44">
    <w:p w14:paraId="46C76008" w14:textId="77777777" w:rsidR="00063158" w:rsidRPr="005D705C" w:rsidRDefault="00063158" w:rsidP="005D705C">
      <w:pP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w:t>
      </w:r>
      <w:r w:rsidRPr="005D705C">
        <w:rPr>
          <w:rFonts w:ascii="Calisto MT" w:eastAsia="Charter Roman" w:hAnsi="Calisto MT" w:cs="Times New Roman"/>
          <w:i/>
          <w:color w:val="000000"/>
          <w:sz w:val="20"/>
          <w:szCs w:val="20"/>
        </w:rPr>
        <w:t>e.g.</w:t>
      </w:r>
      <w:r w:rsidRPr="005D705C">
        <w:rPr>
          <w:rFonts w:ascii="Calisto MT" w:eastAsia="Charter Roman" w:hAnsi="Calisto MT" w:cs="Times New Roman"/>
          <w:color w:val="000000"/>
          <w:sz w:val="20"/>
          <w:szCs w:val="20"/>
        </w:rPr>
        <w:t xml:space="preserve"> Jennifer Bronson and Carolyn </w:t>
      </w:r>
      <w:proofErr w:type="spellStart"/>
      <w:r w:rsidRPr="005D705C">
        <w:rPr>
          <w:rFonts w:ascii="Calisto MT" w:eastAsia="Charter Roman" w:hAnsi="Calisto MT" w:cs="Times New Roman"/>
          <w:color w:val="000000"/>
          <w:sz w:val="20"/>
          <w:szCs w:val="20"/>
        </w:rPr>
        <w:t>Sufrin</w:t>
      </w:r>
      <w:proofErr w:type="spellEnd"/>
      <w:r w:rsidRPr="005D705C">
        <w:rPr>
          <w:rFonts w:ascii="Calisto MT" w:eastAsia="Charter Roman" w:hAnsi="Calisto MT" w:cs="Times New Roman"/>
          <w:color w:val="000000"/>
          <w:sz w:val="20"/>
          <w:szCs w:val="20"/>
        </w:rPr>
        <w:t xml:space="preserve">, 'Pregnant Women in Prison and Jail Don’t Count: Data Gaps on Maternal Health and Incarceration' (2019) 134 </w:t>
      </w:r>
      <w:r w:rsidRPr="005D705C">
        <w:rPr>
          <w:rFonts w:ascii="Calisto MT" w:eastAsia="Charter Roman" w:hAnsi="Calisto MT" w:cs="Times New Roman"/>
          <w:i/>
          <w:color w:val="000000"/>
          <w:sz w:val="20"/>
          <w:szCs w:val="20"/>
        </w:rPr>
        <w:t>Public Health Reports</w:t>
      </w:r>
      <w:r w:rsidRPr="005D705C">
        <w:rPr>
          <w:rFonts w:ascii="Calisto MT" w:eastAsia="Charter Roman" w:hAnsi="Calisto MT" w:cs="Times New Roman"/>
          <w:color w:val="000000"/>
          <w:sz w:val="20"/>
          <w:szCs w:val="20"/>
        </w:rPr>
        <w:t xml:space="preserve"> 57.</w:t>
      </w:r>
    </w:p>
  </w:footnote>
  <w:footnote w:id="45">
    <w:p w14:paraId="69BBEF7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Adam Moe </w:t>
      </w:r>
      <w:proofErr w:type="spellStart"/>
      <w:r w:rsidRPr="005D705C">
        <w:rPr>
          <w:rFonts w:ascii="Calisto MT" w:eastAsia="Charter Roman" w:hAnsi="Calisto MT" w:cs="Times New Roman"/>
          <w:color w:val="000000"/>
          <w:sz w:val="20"/>
          <w:szCs w:val="20"/>
        </w:rPr>
        <w:t>Fejerskov</w:t>
      </w:r>
      <w:proofErr w:type="spellEnd"/>
      <w:r w:rsidRPr="005D705C">
        <w:rPr>
          <w:rFonts w:ascii="Calisto MT" w:eastAsia="Charter Roman" w:hAnsi="Calisto MT" w:cs="Times New Roman"/>
          <w:color w:val="000000"/>
          <w:sz w:val="20"/>
          <w:szCs w:val="20"/>
        </w:rPr>
        <w:t xml:space="preserve">, Maria-Louise Clausen and Sarah </w:t>
      </w:r>
      <w:proofErr w:type="spellStart"/>
      <w:r w:rsidRPr="005D705C">
        <w:rPr>
          <w:rFonts w:ascii="Calisto MT" w:eastAsia="Charter Roman" w:hAnsi="Calisto MT" w:cs="Times New Roman"/>
          <w:color w:val="000000"/>
          <w:sz w:val="20"/>
          <w:szCs w:val="20"/>
        </w:rPr>
        <w:t>Seddig</w:t>
      </w:r>
      <w:proofErr w:type="spellEnd"/>
      <w:r w:rsidRPr="005D705C">
        <w:rPr>
          <w:rFonts w:ascii="Calisto MT" w:eastAsia="Charter Roman" w:hAnsi="Calisto MT" w:cs="Times New Roman"/>
          <w:color w:val="000000"/>
          <w:sz w:val="20"/>
          <w:szCs w:val="20"/>
        </w:rPr>
        <w:t xml:space="preserve">, 'Humanitarian Ignorance: Towards a New Paradigm of Non-knowledge in Digital Humanitarianism' (2024) 40(2) </w:t>
      </w:r>
      <w:r w:rsidRPr="005D705C">
        <w:rPr>
          <w:rFonts w:ascii="Calisto MT" w:eastAsia="Charter Roman" w:hAnsi="Calisto MT" w:cs="Times New Roman"/>
          <w:i/>
          <w:color w:val="000000"/>
          <w:sz w:val="20"/>
          <w:szCs w:val="20"/>
        </w:rPr>
        <w:t xml:space="preserve">Disasters </w:t>
      </w:r>
      <w:r w:rsidRPr="005D705C">
        <w:rPr>
          <w:rFonts w:ascii="Calisto MT" w:eastAsia="Charter Roman" w:hAnsi="Calisto MT" w:cs="Times New Roman"/>
          <w:iCs/>
          <w:color w:val="000000"/>
          <w:sz w:val="20"/>
          <w:szCs w:val="20"/>
        </w:rPr>
        <w:t>e12609</w:t>
      </w:r>
      <w:r w:rsidRPr="005D705C">
        <w:rPr>
          <w:rFonts w:ascii="Calisto MT" w:eastAsia="Charter Roman" w:hAnsi="Calisto MT" w:cs="Times New Roman"/>
          <w:color w:val="000000"/>
          <w:sz w:val="20"/>
          <w:szCs w:val="20"/>
        </w:rPr>
        <w:t xml:space="preserve">. See also: Christopher Pollitt, ‘Institutional Amnesia: A Paradox of the Information Age?’ (2000) 19 </w:t>
      </w:r>
      <w:r w:rsidRPr="005D705C">
        <w:rPr>
          <w:rFonts w:ascii="Calisto MT" w:eastAsia="Charter Roman" w:hAnsi="Calisto MT" w:cs="Times New Roman"/>
          <w:i/>
          <w:iCs/>
          <w:color w:val="000000"/>
          <w:sz w:val="20"/>
          <w:szCs w:val="20"/>
        </w:rPr>
        <w:t>Prometheus – Critical Studies in Information</w:t>
      </w:r>
      <w:r w:rsidRPr="005D705C">
        <w:rPr>
          <w:rFonts w:ascii="Calisto MT" w:eastAsia="Charter Roman" w:hAnsi="Calisto MT" w:cs="Times New Roman"/>
          <w:color w:val="000000"/>
          <w:sz w:val="20"/>
          <w:szCs w:val="20"/>
        </w:rPr>
        <w:t xml:space="preserve"> 5; Pablo Martin de </w:t>
      </w:r>
      <w:proofErr w:type="spellStart"/>
      <w:r w:rsidRPr="005D705C">
        <w:rPr>
          <w:rFonts w:ascii="Calisto MT" w:eastAsia="Charter Roman" w:hAnsi="Calisto MT" w:cs="Times New Roman"/>
          <w:color w:val="000000"/>
          <w:sz w:val="20"/>
          <w:szCs w:val="20"/>
        </w:rPr>
        <w:t>Holan</w:t>
      </w:r>
      <w:proofErr w:type="spellEnd"/>
      <w:r w:rsidRPr="005D705C">
        <w:rPr>
          <w:rFonts w:ascii="Calisto MT" w:eastAsia="Charter Roman" w:hAnsi="Calisto MT" w:cs="Times New Roman"/>
          <w:color w:val="000000"/>
          <w:sz w:val="20"/>
          <w:szCs w:val="20"/>
        </w:rPr>
        <w:t xml:space="preserve"> and Nelson Phillips, ‘Organizational Forgetting as Strategy’ (2004) 2 </w:t>
      </w:r>
      <w:r w:rsidRPr="005D705C">
        <w:rPr>
          <w:rFonts w:ascii="Calisto MT" w:eastAsia="Charter Roman" w:hAnsi="Calisto MT" w:cs="Times New Roman"/>
          <w:i/>
          <w:iCs/>
          <w:color w:val="000000"/>
          <w:sz w:val="20"/>
          <w:szCs w:val="20"/>
        </w:rPr>
        <w:t xml:space="preserve">Strategic Organization </w:t>
      </w:r>
      <w:r w:rsidRPr="005D705C">
        <w:rPr>
          <w:rFonts w:ascii="Calisto MT" w:eastAsia="Charter Roman" w:hAnsi="Calisto MT" w:cs="Times New Roman"/>
          <w:color w:val="000000"/>
          <w:sz w:val="20"/>
          <w:szCs w:val="20"/>
        </w:rPr>
        <w:t>423.</w:t>
      </w:r>
    </w:p>
  </w:footnote>
  <w:footnote w:id="46">
    <w:p w14:paraId="69DDA86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proofErr w:type="spellStart"/>
      <w:r w:rsidRPr="005D705C">
        <w:rPr>
          <w:rFonts w:ascii="Calisto MT" w:eastAsia="Charter Roman" w:hAnsi="Calisto MT" w:cs="Times New Roman"/>
          <w:color w:val="000000"/>
          <w:sz w:val="20"/>
          <w:szCs w:val="20"/>
        </w:rPr>
        <w:t>Fejerskov</w:t>
      </w:r>
      <w:proofErr w:type="spellEnd"/>
      <w:r w:rsidRPr="005D705C">
        <w:rPr>
          <w:rFonts w:ascii="Calisto MT" w:eastAsia="Charter Roman" w:hAnsi="Calisto MT" w:cs="Times New Roman"/>
          <w:color w:val="000000"/>
          <w:sz w:val="20"/>
          <w:szCs w:val="20"/>
        </w:rPr>
        <w:t xml:space="preserve">, Clausen, and </w:t>
      </w:r>
      <w:proofErr w:type="spellStart"/>
      <w:r w:rsidRPr="005D705C">
        <w:rPr>
          <w:rFonts w:ascii="Calisto MT" w:eastAsia="Charter Roman" w:hAnsi="Calisto MT" w:cs="Times New Roman"/>
          <w:color w:val="000000"/>
          <w:sz w:val="20"/>
          <w:szCs w:val="20"/>
        </w:rPr>
        <w:t>Seddig</w:t>
      </w:r>
      <w:proofErr w:type="spellEnd"/>
      <w:r w:rsidRPr="005D705C">
        <w:rPr>
          <w:rFonts w:ascii="Calisto MT" w:eastAsia="Charter Roman" w:hAnsi="Calisto MT" w:cs="Times New Roman"/>
          <w:color w:val="000000"/>
          <w:sz w:val="20"/>
          <w:szCs w:val="20"/>
        </w:rPr>
        <w:t xml:space="preserve"> (n 38).</w:t>
      </w:r>
    </w:p>
  </w:footnote>
  <w:footnote w:id="47">
    <w:p w14:paraId="779255E6"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Jed </w:t>
      </w:r>
      <w:proofErr w:type="spellStart"/>
      <w:r w:rsidRPr="005D705C">
        <w:rPr>
          <w:rFonts w:ascii="Calisto MT" w:eastAsia="Charter Roman" w:hAnsi="Calisto MT" w:cs="Times New Roman"/>
          <w:color w:val="000000"/>
          <w:sz w:val="20"/>
          <w:szCs w:val="20"/>
        </w:rPr>
        <w:t>Meers</w:t>
      </w:r>
      <w:proofErr w:type="spellEnd"/>
      <w:r w:rsidRPr="005D705C">
        <w:rPr>
          <w:rFonts w:ascii="Calisto MT" w:eastAsia="Charter Roman" w:hAnsi="Calisto MT" w:cs="Times New Roman"/>
          <w:color w:val="000000"/>
          <w:sz w:val="20"/>
          <w:szCs w:val="20"/>
        </w:rPr>
        <w:t xml:space="preserve">, Simon Halliday and Joe Tomlinson, ‘An ‘interface first’ bureaucracy: Interface design, Universal Credit and the digital welfare state’ (2024) </w:t>
      </w:r>
      <w:r w:rsidRPr="005D705C">
        <w:rPr>
          <w:rFonts w:ascii="Calisto MT" w:eastAsia="Charter Roman" w:hAnsi="Calisto MT" w:cs="Times New Roman"/>
          <w:i/>
          <w:color w:val="000000"/>
          <w:sz w:val="20"/>
          <w:szCs w:val="20"/>
        </w:rPr>
        <w:t>Social Policy &amp; Administration</w:t>
      </w:r>
      <w:r w:rsidRPr="005D705C">
        <w:rPr>
          <w:rFonts w:ascii="Calisto MT" w:eastAsia="Charter Roman" w:hAnsi="Calisto MT" w:cs="Times New Roman"/>
          <w:color w:val="000000"/>
          <w:sz w:val="20"/>
          <w:szCs w:val="20"/>
        </w:rPr>
        <w:t xml:space="preserve"> (forthcoming).</w:t>
      </w:r>
    </w:p>
  </w:footnote>
  <w:footnote w:id="48">
    <w:p w14:paraId="43F65AA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Williams, Webb and Gale (n 24 above).</w:t>
      </w:r>
    </w:p>
  </w:footnote>
  <w:footnote w:id="49">
    <w:p w14:paraId="5CFFB8E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Nicolas </w:t>
      </w:r>
      <w:proofErr w:type="spellStart"/>
      <w:r w:rsidR="3C8AF05B" w:rsidRPr="005D705C">
        <w:rPr>
          <w:rFonts w:ascii="Calisto MT" w:eastAsia="Charter Roman" w:hAnsi="Calisto MT" w:cs="Times New Roman"/>
          <w:color w:val="000000"/>
          <w:sz w:val="20"/>
          <w:szCs w:val="20"/>
        </w:rPr>
        <w:t>Anciaux</w:t>
      </w:r>
      <w:proofErr w:type="spellEnd"/>
      <w:r w:rsidR="3C8AF05B" w:rsidRPr="005D705C">
        <w:rPr>
          <w:rFonts w:ascii="Calisto MT" w:eastAsia="Charter Roman" w:hAnsi="Calisto MT" w:cs="Times New Roman"/>
          <w:color w:val="000000"/>
          <w:sz w:val="20"/>
          <w:szCs w:val="20"/>
        </w:rPr>
        <w:t xml:space="preserve"> and others, 'Demo: Data Minimization and Informed Consent in Administrative Forms' (ACM CCS 2023 - Conference on Computer and Communications Security, Copenhagen, November 2023); and Asia J. </w:t>
      </w:r>
      <w:proofErr w:type="spellStart"/>
      <w:r w:rsidR="3C8AF05B" w:rsidRPr="005D705C">
        <w:rPr>
          <w:rFonts w:ascii="Calisto MT" w:eastAsia="Charter Roman" w:hAnsi="Calisto MT" w:cs="Times New Roman"/>
          <w:color w:val="000000"/>
          <w:sz w:val="20"/>
          <w:szCs w:val="20"/>
        </w:rPr>
        <w:t>Biega</w:t>
      </w:r>
      <w:proofErr w:type="spellEnd"/>
      <w:r w:rsidR="3C8AF05B" w:rsidRPr="005D705C">
        <w:rPr>
          <w:rFonts w:ascii="Calisto MT" w:eastAsia="Charter Roman" w:hAnsi="Calisto MT" w:cs="Times New Roman"/>
          <w:color w:val="000000"/>
          <w:sz w:val="20"/>
          <w:szCs w:val="20"/>
        </w:rPr>
        <w:t xml:space="preserve"> and others, ‘Operationalizing the legal principle of data minimization for personalization’ (Proceedings of the 43rd International ACM SIGIR Conference on Research and Development in Information, 2020) 399–408.</w:t>
      </w:r>
    </w:p>
  </w:footnote>
  <w:footnote w:id="50">
    <w:p w14:paraId="5965CE76"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Heather Wheeler, 'Data Sharing Governance Framework' (HM Government Central Digital &amp; Data Office, 23 May 2022).</w:t>
      </w:r>
    </w:p>
  </w:footnote>
  <w:footnote w:id="51">
    <w:p w14:paraId="31AE5C76" w14:textId="77777777" w:rsidR="00063158" w:rsidRPr="005D705C" w:rsidRDefault="00063158" w:rsidP="005D705C">
      <w:pP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Vest and Issel (n 19 above).</w:t>
      </w:r>
    </w:p>
  </w:footnote>
  <w:footnote w:id="52">
    <w:p w14:paraId="091DDB4F"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Gavin </w:t>
      </w:r>
      <w:proofErr w:type="spellStart"/>
      <w:r w:rsidR="3C8AF05B" w:rsidRPr="005D705C">
        <w:rPr>
          <w:rFonts w:ascii="Calisto MT" w:eastAsia="Charter Roman" w:hAnsi="Calisto MT" w:cs="Times New Roman"/>
          <w:color w:val="000000"/>
          <w:sz w:val="20"/>
          <w:szCs w:val="20"/>
        </w:rPr>
        <w:t>Freeguard</w:t>
      </w:r>
      <w:proofErr w:type="spellEnd"/>
      <w:r w:rsidR="3C8AF05B" w:rsidRPr="005D705C">
        <w:rPr>
          <w:rFonts w:ascii="Calisto MT" w:eastAsia="Charter Roman" w:hAnsi="Calisto MT" w:cs="Times New Roman"/>
          <w:color w:val="000000"/>
          <w:sz w:val="20"/>
          <w:szCs w:val="20"/>
        </w:rPr>
        <w:t xml:space="preserve"> and Paul Shepley, ‘Data Sharing Between National, Devolved and Local Government’ (Institute for Government, 30 January 2023).</w:t>
      </w:r>
    </w:p>
  </w:footnote>
  <w:footnote w:id="53">
    <w:p w14:paraId="59732144" w14:textId="77777777" w:rsidR="00063158" w:rsidRPr="005D705C" w:rsidRDefault="00063158" w:rsidP="005D705C">
      <w:pP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w:t>
      </w:r>
    </w:p>
  </w:footnote>
  <w:footnote w:id="54">
    <w:p w14:paraId="30D0170E" w14:textId="77777777" w:rsidR="00063158" w:rsidRPr="005D705C" w:rsidRDefault="00063158" w:rsidP="005D705C">
      <w:pP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proofErr w:type="spellStart"/>
      <w:r w:rsidRPr="005D705C">
        <w:rPr>
          <w:rFonts w:ascii="Calisto MT" w:eastAsia="Charter Roman" w:hAnsi="Calisto MT" w:cs="Times New Roman"/>
          <w:color w:val="000000" w:themeColor="text1"/>
          <w:sz w:val="20"/>
          <w:szCs w:val="20"/>
        </w:rPr>
        <w:t>Galaitsi</w:t>
      </w:r>
      <w:proofErr w:type="spellEnd"/>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iCs/>
          <w:color w:val="000000"/>
          <w:sz w:val="20"/>
          <w:szCs w:val="20"/>
        </w:rPr>
        <w:t>et al</w:t>
      </w:r>
      <w:r w:rsidRPr="005D705C">
        <w:rPr>
          <w:rFonts w:ascii="Calisto MT" w:eastAsia="Charter Roman" w:hAnsi="Calisto MT" w:cs="Times New Roman"/>
          <w:color w:val="000000"/>
          <w:sz w:val="20"/>
          <w:szCs w:val="20"/>
        </w:rPr>
        <w:t xml:space="preserve"> (n 14 above).</w:t>
      </w:r>
    </w:p>
  </w:footnote>
  <w:footnote w:id="55">
    <w:p w14:paraId="3A113666"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highlight w:val="green"/>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For more detailed analysis of the application of existing law to this issue, see: Joe Tomlinson, Jed </w:t>
      </w:r>
      <w:proofErr w:type="spellStart"/>
      <w:r w:rsidRPr="005D705C">
        <w:rPr>
          <w:rFonts w:ascii="Calisto MT" w:eastAsia="Charter Roman" w:hAnsi="Calisto MT" w:cs="Times New Roman"/>
          <w:color w:val="000000"/>
          <w:sz w:val="20"/>
          <w:szCs w:val="20"/>
        </w:rPr>
        <w:t>Meers</w:t>
      </w:r>
      <w:proofErr w:type="spellEnd"/>
      <w:r w:rsidRPr="005D705C">
        <w:rPr>
          <w:rFonts w:ascii="Calisto MT" w:eastAsia="Charter Roman" w:hAnsi="Calisto MT" w:cs="Times New Roman"/>
          <w:color w:val="000000"/>
          <w:sz w:val="20"/>
          <w:szCs w:val="20"/>
        </w:rPr>
        <w:t>, and Cassandra Somers-</w:t>
      </w:r>
      <w:proofErr w:type="spellStart"/>
      <w:r w:rsidRPr="005D705C">
        <w:rPr>
          <w:rFonts w:ascii="Calisto MT" w:eastAsia="Charter Roman" w:hAnsi="Calisto MT" w:cs="Times New Roman"/>
          <w:color w:val="000000"/>
          <w:sz w:val="20"/>
          <w:szCs w:val="20"/>
        </w:rPr>
        <w:t>Joce</w:t>
      </w:r>
      <w:proofErr w:type="spellEnd"/>
      <w:r w:rsidRPr="005D705C">
        <w:rPr>
          <w:rFonts w:ascii="Calisto MT" w:eastAsia="Charter Roman" w:hAnsi="Calisto MT" w:cs="Times New Roman"/>
          <w:color w:val="000000"/>
          <w:sz w:val="20"/>
          <w:szCs w:val="20"/>
        </w:rPr>
        <w:t xml:space="preserve">, ‘Judicial Review of Public Data Gaps’ [2023] J.R. 69; </w:t>
      </w:r>
      <w:r w:rsidRPr="005D705C">
        <w:rPr>
          <w:rFonts w:ascii="Calisto MT" w:eastAsia="Charter Roman" w:hAnsi="Calisto MT" w:cs="Times New Roman"/>
          <w:color w:val="000000"/>
          <w:sz w:val="20"/>
          <w:szCs w:val="20"/>
          <w:highlight w:val="white"/>
        </w:rPr>
        <w:t>Joe Tomlinson and Cassandra Somers-</w:t>
      </w:r>
      <w:proofErr w:type="spellStart"/>
      <w:r w:rsidRPr="005D705C">
        <w:rPr>
          <w:rFonts w:ascii="Calisto MT" w:eastAsia="Charter Roman" w:hAnsi="Calisto MT" w:cs="Times New Roman"/>
          <w:color w:val="000000"/>
          <w:sz w:val="20"/>
          <w:szCs w:val="20"/>
          <w:highlight w:val="white"/>
        </w:rPr>
        <w:t>Joce</w:t>
      </w:r>
      <w:proofErr w:type="spellEnd"/>
      <w:r w:rsidRPr="005D705C">
        <w:rPr>
          <w:rFonts w:ascii="Calisto MT" w:eastAsia="Charter Roman" w:hAnsi="Calisto MT" w:cs="Times New Roman"/>
          <w:color w:val="000000"/>
          <w:sz w:val="20"/>
          <w:szCs w:val="20"/>
          <w:highlight w:val="white"/>
        </w:rPr>
        <w:t xml:space="preserve">, ‘Missing Evidence: The Duty to Acquire Systemic Data in Public Law’ in Joe Tomlinson and Anne Carter, </w:t>
      </w:r>
      <w:r w:rsidRPr="005D705C">
        <w:rPr>
          <w:rFonts w:ascii="Calisto MT" w:eastAsia="Charter Roman" w:hAnsi="Calisto MT" w:cs="Times New Roman"/>
          <w:i/>
          <w:color w:val="000000"/>
          <w:sz w:val="20"/>
          <w:szCs w:val="20"/>
          <w:highlight w:val="white"/>
        </w:rPr>
        <w:t xml:space="preserve">Facts in Public Law Adjudication </w:t>
      </w:r>
      <w:r w:rsidRPr="005D705C">
        <w:rPr>
          <w:rFonts w:ascii="Calisto MT" w:eastAsia="Charter Roman" w:hAnsi="Calisto MT" w:cs="Times New Roman"/>
          <w:color w:val="000000"/>
          <w:sz w:val="20"/>
          <w:szCs w:val="20"/>
          <w:highlight w:val="white"/>
        </w:rPr>
        <w:t>(Hart Bloomsbury 2023). </w:t>
      </w:r>
    </w:p>
  </w:footnote>
  <w:footnote w:id="56">
    <w:p w14:paraId="4160B76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color w:val="000000"/>
          <w:sz w:val="20"/>
          <w:szCs w:val="20"/>
          <w:highlight w:val="white"/>
        </w:rPr>
        <w:t>1977] AC 1014,</w:t>
      </w:r>
      <w:r w:rsidRPr="005D705C">
        <w:rPr>
          <w:rFonts w:ascii="Calisto MT" w:eastAsia="Charter Roman" w:hAnsi="Calisto MT" w:cs="Times New Roman"/>
          <w:color w:val="000000"/>
          <w:sz w:val="20"/>
          <w:szCs w:val="20"/>
        </w:rPr>
        <w:t xml:space="preserve"> 1065.</w:t>
      </w:r>
    </w:p>
  </w:footnote>
  <w:footnote w:id="57">
    <w:p w14:paraId="3667D34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(Plantagenet Alliance Ltd) v Secretary of State for Justice</w:t>
      </w:r>
      <w:r w:rsidRPr="005D705C">
        <w:rPr>
          <w:rFonts w:ascii="Calisto MT" w:eastAsia="Charter Roman" w:hAnsi="Calisto MT" w:cs="Times New Roman"/>
          <w:color w:val="000000"/>
          <w:sz w:val="20"/>
          <w:szCs w:val="20"/>
        </w:rPr>
        <w:t xml:space="preserve"> [2014] EWHC 1662 (Admin), [2015] 3 All ER 261. See also: </w:t>
      </w:r>
      <w:r w:rsidRPr="005D705C">
        <w:rPr>
          <w:rFonts w:ascii="Calisto MT" w:eastAsia="Charter Roman" w:hAnsi="Calisto MT" w:cs="Times New Roman"/>
          <w:i/>
          <w:color w:val="000000"/>
          <w:sz w:val="20"/>
          <w:szCs w:val="20"/>
        </w:rPr>
        <w:t>R (</w:t>
      </w:r>
      <w:proofErr w:type="spellStart"/>
      <w:r w:rsidRPr="005D705C">
        <w:rPr>
          <w:rFonts w:ascii="Calisto MT" w:eastAsia="Charter Roman" w:hAnsi="Calisto MT" w:cs="Times New Roman"/>
          <w:i/>
          <w:color w:val="000000"/>
          <w:sz w:val="20"/>
          <w:szCs w:val="20"/>
        </w:rPr>
        <w:t>Balajigari</w:t>
      </w:r>
      <w:proofErr w:type="spellEnd"/>
      <w:r w:rsidRPr="005D705C">
        <w:rPr>
          <w:rFonts w:ascii="Calisto MT" w:eastAsia="Charter Roman" w:hAnsi="Calisto MT" w:cs="Times New Roman"/>
          <w:i/>
          <w:color w:val="000000"/>
          <w:sz w:val="20"/>
          <w:szCs w:val="20"/>
        </w:rPr>
        <w:t>) v Secretary of State for the Home Department</w:t>
      </w:r>
      <w:r w:rsidRPr="005D705C">
        <w:rPr>
          <w:rFonts w:ascii="Calisto MT" w:eastAsia="Charter Roman" w:hAnsi="Calisto MT" w:cs="Times New Roman"/>
          <w:color w:val="000000"/>
          <w:sz w:val="20"/>
          <w:szCs w:val="20"/>
        </w:rPr>
        <w:t xml:space="preserve"> [2019]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673, [2019] 1 WLR 4647 CA [70].</w:t>
      </w:r>
    </w:p>
  </w:footnote>
  <w:footnote w:id="58">
    <w:p w14:paraId="4821898F"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For example, see</w:t>
      </w:r>
      <w:r w:rsidRPr="005D705C">
        <w:rPr>
          <w:rFonts w:ascii="Calisto MT" w:eastAsia="Charter Roman" w:hAnsi="Calisto MT" w:cs="Times New Roman"/>
          <w:i/>
          <w:color w:val="000000"/>
          <w:sz w:val="20"/>
          <w:szCs w:val="20"/>
        </w:rPr>
        <w:t xml:space="preserve">. R (Campaign Against Arms Trade) v Secretary of State for International Trade </w:t>
      </w:r>
      <w:r w:rsidRPr="005D705C">
        <w:rPr>
          <w:rFonts w:ascii="Calisto MT" w:eastAsia="Charter Roman" w:hAnsi="Calisto MT" w:cs="Times New Roman"/>
          <w:color w:val="000000"/>
          <w:sz w:val="20"/>
          <w:szCs w:val="20"/>
        </w:rPr>
        <w:t xml:space="preserve">[2019]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1020, [2019] 1 W.L.R. 5765 [58].</w:t>
      </w:r>
    </w:p>
  </w:footnote>
  <w:footnote w:id="59">
    <w:p w14:paraId="49A71E52"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 xml:space="preserve">R (on the application of </w:t>
      </w:r>
      <w:proofErr w:type="spellStart"/>
      <w:r w:rsidRPr="005D705C">
        <w:rPr>
          <w:rFonts w:ascii="Calisto MT" w:eastAsia="Charter Roman" w:hAnsi="Calisto MT" w:cs="Times New Roman"/>
          <w:i/>
          <w:color w:val="000000"/>
          <w:sz w:val="20"/>
          <w:szCs w:val="20"/>
        </w:rPr>
        <w:t>Usk</w:t>
      </w:r>
      <w:proofErr w:type="spellEnd"/>
      <w:r w:rsidRPr="005D705C">
        <w:rPr>
          <w:rFonts w:ascii="Calisto MT" w:eastAsia="Charter Roman" w:hAnsi="Calisto MT" w:cs="Times New Roman"/>
          <w:i/>
          <w:color w:val="000000"/>
          <w:sz w:val="20"/>
          <w:szCs w:val="20"/>
        </w:rPr>
        <w:t xml:space="preserve"> Valley Conservation Group) v Brecon Beacons National Park Authority</w:t>
      </w:r>
      <w:r w:rsidRPr="005D705C">
        <w:rPr>
          <w:rFonts w:ascii="Calisto MT" w:eastAsia="Charter Roman" w:hAnsi="Calisto MT" w:cs="Times New Roman"/>
          <w:color w:val="000000"/>
          <w:sz w:val="20"/>
          <w:szCs w:val="20"/>
        </w:rPr>
        <w:t xml:space="preserve"> [[2010] EWHC 71 (Admin), [2010] 2 P &amp; CR 14</w:t>
      </w:r>
    </w:p>
  </w:footnote>
  <w:footnote w:id="60">
    <w:p w14:paraId="2B4314CB" w14:textId="77777777" w:rsidR="00063158" w:rsidRPr="005D705C" w:rsidRDefault="00063158" w:rsidP="005D705C">
      <w:pPr>
        <w:jc w:val="both"/>
        <w:rPr>
          <w:rFonts w:ascii="Calisto MT" w:eastAsia="Charter Roman" w:hAnsi="Calisto MT" w:cs="Times New Roman"/>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sz w:val="20"/>
          <w:szCs w:val="20"/>
        </w:rPr>
        <w:t xml:space="preserve"> </w:t>
      </w:r>
      <w:r w:rsidRPr="005D705C">
        <w:rPr>
          <w:rFonts w:ascii="Calisto MT" w:eastAsia="Charter Roman" w:hAnsi="Calisto MT" w:cs="Times New Roman"/>
          <w:i/>
          <w:sz w:val="20"/>
          <w:szCs w:val="20"/>
        </w:rPr>
        <w:t xml:space="preserve">R. (on the application of YR) v Lambeth LBC </w:t>
      </w:r>
      <w:r w:rsidRPr="005D705C">
        <w:rPr>
          <w:rFonts w:ascii="Calisto MT" w:eastAsia="Charter Roman" w:hAnsi="Calisto MT" w:cs="Times New Roman"/>
          <w:sz w:val="20"/>
          <w:szCs w:val="20"/>
        </w:rPr>
        <w:t>[2022] EWHC 2813 (Admin), [2023] H.L.R. 16.</w:t>
      </w:r>
    </w:p>
  </w:footnote>
  <w:footnote w:id="61">
    <w:p w14:paraId="478183E4"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(on the application of NB) v Secretary of State for the Home Department</w:t>
      </w:r>
      <w:r w:rsidRPr="005D705C">
        <w:rPr>
          <w:rFonts w:ascii="Calisto MT" w:eastAsia="Charter Roman" w:hAnsi="Calisto MT" w:cs="Times New Roman"/>
          <w:color w:val="000000"/>
          <w:sz w:val="20"/>
          <w:szCs w:val="20"/>
        </w:rPr>
        <w:t xml:space="preserve"> [2021] EWHC 1489 (Admin), [2021] 4 W.L.R. 92.</w:t>
      </w:r>
    </w:p>
  </w:footnote>
  <w:footnote w:id="62">
    <w:p w14:paraId="4EAD9AF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MH Investments v Cayman Islands Tax Information Authority</w:t>
      </w:r>
      <w:r w:rsidRPr="005D705C">
        <w:rPr>
          <w:rFonts w:ascii="Calisto MT" w:eastAsia="Charter Roman" w:hAnsi="Calisto MT" w:cs="Times New Roman"/>
          <w:color w:val="000000"/>
          <w:sz w:val="20"/>
          <w:szCs w:val="20"/>
        </w:rPr>
        <w:t xml:space="preserve"> 16 ITL Rep 274.</w:t>
      </w:r>
    </w:p>
  </w:footnote>
  <w:footnote w:id="63">
    <w:p w14:paraId="751FE1F4" w14:textId="77777777" w:rsidR="00063158" w:rsidRPr="005D705C" w:rsidRDefault="00063158" w:rsidP="005D705C">
      <w:pPr>
        <w:pBdr>
          <w:top w:val="nil"/>
          <w:left w:val="nil"/>
          <w:bottom w:val="nil"/>
          <w:right w:val="nil"/>
          <w:between w:val="nil"/>
        </w:pBdr>
        <w:jc w:val="both"/>
        <w:rPr>
          <w:rFonts w:ascii="Calisto MT"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hAnsi="Calisto MT" w:cs="Times New Roman"/>
          <w:color w:val="000000"/>
          <w:sz w:val="20"/>
          <w:szCs w:val="20"/>
        </w:rPr>
        <w:t xml:space="preserve"> Equality Act 2010, s.149.</w:t>
      </w:r>
    </w:p>
  </w:footnote>
  <w:footnote w:id="64">
    <w:p w14:paraId="632C4C1E" w14:textId="77777777" w:rsidR="00063158" w:rsidRPr="005D705C" w:rsidRDefault="00063158" w:rsidP="005D705C">
      <w:pPr>
        <w:pBdr>
          <w:top w:val="nil"/>
          <w:left w:val="nil"/>
          <w:bottom w:val="nil"/>
          <w:right w:val="nil"/>
          <w:between w:val="nil"/>
        </w:pBdr>
        <w:jc w:val="both"/>
        <w:rPr>
          <w:rFonts w:ascii="Calisto MT"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hAnsi="Calisto MT" w:cs="Times New Roman"/>
          <w:color w:val="000000"/>
          <w:sz w:val="20"/>
          <w:szCs w:val="20"/>
        </w:rPr>
        <w:t xml:space="preserve"> Ibid, s.4.</w:t>
      </w:r>
    </w:p>
  </w:footnote>
  <w:footnote w:id="65">
    <w:p w14:paraId="35710C1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Christopher Knight, ‘Automated Decision-Making and Judicial Review’ [2020] Judicial Review 21.</w:t>
      </w:r>
    </w:p>
  </w:footnote>
  <w:footnote w:id="66">
    <w:p w14:paraId="4CEA9FFB"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(Ward &amp; Others) v Hillingdon LBC</w:t>
      </w:r>
      <w:r w:rsidRPr="005D705C">
        <w:rPr>
          <w:rFonts w:ascii="Calisto MT" w:eastAsia="Charter Roman" w:hAnsi="Calisto MT" w:cs="Times New Roman"/>
          <w:color w:val="000000"/>
          <w:sz w:val="20"/>
          <w:szCs w:val="20"/>
        </w:rPr>
        <w:t xml:space="preserve"> [2019]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692, [2019] P.T.S.R. 1738.</w:t>
      </w:r>
    </w:p>
  </w:footnote>
  <w:footnote w:id="67">
    <w:p w14:paraId="60084C2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The leading case in this area is </w:t>
      </w:r>
      <w:proofErr w:type="spellStart"/>
      <w:r w:rsidRPr="005D705C">
        <w:rPr>
          <w:rFonts w:ascii="Calisto MT" w:eastAsia="Charter Roman" w:hAnsi="Calisto MT" w:cs="Times New Roman"/>
          <w:i/>
          <w:color w:val="000000"/>
          <w:sz w:val="20"/>
          <w:szCs w:val="20"/>
        </w:rPr>
        <w:t>Bracking</w:t>
      </w:r>
      <w:proofErr w:type="spellEnd"/>
      <w:r w:rsidRPr="005D705C">
        <w:rPr>
          <w:rFonts w:ascii="Calisto MT" w:eastAsia="Charter Roman" w:hAnsi="Calisto MT" w:cs="Times New Roman"/>
          <w:i/>
          <w:color w:val="000000"/>
          <w:sz w:val="20"/>
          <w:szCs w:val="20"/>
        </w:rPr>
        <w:t xml:space="preserve"> and others v Secretary of State for Work and Pensions </w:t>
      </w:r>
      <w:r w:rsidRPr="005D705C">
        <w:rPr>
          <w:rFonts w:ascii="Calisto MT" w:eastAsia="Charter Roman" w:hAnsi="Calisto MT" w:cs="Times New Roman"/>
          <w:color w:val="000000"/>
          <w:sz w:val="20"/>
          <w:szCs w:val="20"/>
        </w:rPr>
        <w:t xml:space="preserve">[2013]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1345, [2014] Eq. L.R. 60.</w:t>
      </w:r>
    </w:p>
  </w:footnote>
  <w:footnote w:id="68">
    <w:p w14:paraId="395E6A8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The latest version of which is: Equality and Human Rights Commission, </w:t>
      </w:r>
      <w:r w:rsidRPr="005D705C">
        <w:rPr>
          <w:rFonts w:ascii="Calisto MT" w:eastAsia="Charter Roman" w:hAnsi="Calisto MT" w:cs="Times New Roman"/>
          <w:i/>
          <w:color w:val="000000"/>
          <w:sz w:val="20"/>
          <w:szCs w:val="20"/>
        </w:rPr>
        <w:t>Technical guidance on the public sector equality duty: England</w:t>
      </w:r>
      <w:r w:rsidRPr="005D705C">
        <w:rPr>
          <w:rFonts w:ascii="Calisto MT" w:eastAsia="Charter Roman" w:hAnsi="Calisto MT" w:cs="Times New Roman"/>
          <w:color w:val="000000"/>
          <w:sz w:val="20"/>
          <w:szCs w:val="20"/>
        </w:rPr>
        <w:t xml:space="preserve"> (February 2021)).</w:t>
      </w:r>
    </w:p>
  </w:footnote>
  <w:footnote w:id="69">
    <w:p w14:paraId="762AA31F"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 [5.14-5.16].</w:t>
      </w:r>
    </w:p>
  </w:footnote>
  <w:footnote w:id="70">
    <w:p w14:paraId="5CC0DEC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 at [3.5].</w:t>
      </w:r>
    </w:p>
  </w:footnote>
  <w:footnote w:id="71">
    <w:p w14:paraId="6E2FAEE4"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 at [3.31] and [3.23].</w:t>
      </w:r>
    </w:p>
  </w:footnote>
  <w:footnote w:id="72">
    <w:p w14:paraId="365553EB"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(Bridges) v Chief Constable of South Wales</w:t>
      </w:r>
      <w:r w:rsidRPr="005D705C">
        <w:rPr>
          <w:rFonts w:ascii="Calisto MT" w:eastAsia="Charter Roman" w:hAnsi="Calisto MT" w:cs="Times New Roman"/>
          <w:color w:val="000000"/>
          <w:sz w:val="20"/>
          <w:szCs w:val="20"/>
        </w:rPr>
        <w:t xml:space="preserve"> [2020]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1058, [2020] 1 WLR 5037.</w:t>
      </w:r>
    </w:p>
  </w:footnote>
  <w:footnote w:id="73">
    <w:p w14:paraId="02813837" w14:textId="48DFAD0B"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756BE069" w:rsidRPr="005D705C">
        <w:rPr>
          <w:rFonts w:ascii="Calisto MT" w:eastAsia="Charter Roman" w:hAnsi="Calisto MT" w:cs="Times New Roman"/>
          <w:color w:val="000000"/>
          <w:sz w:val="20"/>
          <w:szCs w:val="20"/>
        </w:rPr>
        <w:t xml:space="preserve"> Ibid [201].</w:t>
      </w:r>
    </w:p>
  </w:footnote>
  <w:footnote w:id="74">
    <w:p w14:paraId="3256414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(on application of the Joint Council for the Welfare of Immigrants) v Secretary of State for the Home Department</w:t>
      </w:r>
      <w:r w:rsidRPr="005D705C">
        <w:rPr>
          <w:rFonts w:ascii="Calisto MT" w:eastAsia="Charter Roman" w:hAnsi="Calisto MT" w:cs="Times New Roman"/>
          <w:color w:val="000000"/>
          <w:sz w:val="20"/>
          <w:szCs w:val="20"/>
        </w:rPr>
        <w:t xml:space="preserve"> [2021] EWHC 638 (Admin).</w:t>
      </w:r>
    </w:p>
  </w:footnote>
  <w:footnote w:id="75">
    <w:p w14:paraId="32138D4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 at [14].</w:t>
      </w:r>
    </w:p>
  </w:footnote>
  <w:footnote w:id="76">
    <w:p w14:paraId="331F9BA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 at [21].</w:t>
      </w:r>
    </w:p>
  </w:footnote>
  <w:footnote w:id="77">
    <w:p w14:paraId="5EA36514" w14:textId="77777777" w:rsidR="00063158" w:rsidRPr="005D705C" w:rsidRDefault="00063158" w:rsidP="005D705C">
      <w:pPr>
        <w:pBdr>
          <w:top w:val="nil"/>
          <w:left w:val="nil"/>
          <w:bottom w:val="nil"/>
          <w:right w:val="nil"/>
          <w:between w:val="nil"/>
        </w:pBdr>
        <w:jc w:val="both"/>
        <w:rPr>
          <w:rFonts w:ascii="Calisto MT" w:eastAsia="Book Antiqua"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Associated Provincial Picture Houses Ltd. v Wednesbury Corporation</w:t>
      </w:r>
      <w:r w:rsidRPr="005D705C">
        <w:rPr>
          <w:rFonts w:ascii="Calisto MT" w:eastAsia="Charter Roman" w:hAnsi="Calisto MT" w:cs="Times New Roman"/>
          <w:color w:val="000000"/>
          <w:sz w:val="20"/>
          <w:szCs w:val="20"/>
        </w:rPr>
        <w:t xml:space="preserve"> [1948] 1 KB 223.</w:t>
      </w:r>
    </w:p>
  </w:footnote>
  <w:footnote w:id="78">
    <w:p w14:paraId="62019374" w14:textId="24C3A712" w:rsidR="07C4BA2C" w:rsidRPr="005D705C" w:rsidRDefault="07C4BA2C" w:rsidP="005D705C">
      <w:pPr>
        <w:pStyle w:val="FootnoteText"/>
        <w:jc w:val="both"/>
        <w:rPr>
          <w:rFonts w:ascii="Calisto MT" w:eastAsia="Source Sans Pro" w:hAnsi="Calisto MT" w:cs="Source Sans Pro"/>
          <w:color w:val="1F1F1F"/>
        </w:rPr>
      </w:pPr>
      <w:r w:rsidRPr="005D705C">
        <w:rPr>
          <w:rStyle w:val="FootnoteReference"/>
          <w:rFonts w:ascii="Calisto MT" w:hAnsi="Calisto MT"/>
        </w:rPr>
        <w:footnoteRef/>
      </w:r>
      <w:r w:rsidRPr="005D705C">
        <w:rPr>
          <w:rFonts w:ascii="Calisto MT" w:hAnsi="Calisto MT"/>
        </w:rPr>
        <w:t xml:space="preserve"> </w:t>
      </w:r>
      <w:r w:rsidRPr="005D705C">
        <w:rPr>
          <w:rFonts w:ascii="Calisto MT" w:eastAsia="Source Sans Pro" w:hAnsi="Calisto MT" w:cs="Source Sans Pro"/>
          <w:color w:val="1F1F1F"/>
        </w:rPr>
        <w:t>[2024] EWHC 579 (Admin).</w:t>
      </w:r>
    </w:p>
  </w:footnote>
  <w:footnote w:id="79">
    <w:p w14:paraId="3D69A36E" w14:textId="77777777" w:rsidR="00063158" w:rsidRPr="005D705C" w:rsidRDefault="00063158" w:rsidP="005D705C">
      <w:pP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the interpretation given to the Public Records Act 1958 in </w:t>
      </w:r>
      <w:r w:rsidRPr="005D705C">
        <w:rPr>
          <w:rFonts w:ascii="Calisto MT" w:eastAsia="Charter Roman" w:hAnsi="Calisto MT" w:cs="Times New Roman"/>
          <w:i/>
          <w:color w:val="000000"/>
          <w:sz w:val="20"/>
          <w:szCs w:val="20"/>
        </w:rPr>
        <w:t>All the Citizens &amp; Anor, R (On the Application of) v Secretary of State for Digital, Culture, Media and Sport &amp; Ors</w:t>
      </w:r>
      <w:r w:rsidRPr="005D705C">
        <w:rPr>
          <w:rFonts w:ascii="Calisto MT" w:eastAsia="Charter Roman" w:hAnsi="Calisto MT" w:cs="Times New Roman"/>
          <w:color w:val="000000"/>
          <w:sz w:val="20"/>
          <w:szCs w:val="20"/>
        </w:rPr>
        <w:t xml:space="preserve"> [2022] EWHC 960 (Admin), upheld on appeal in [2022]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1580. </w:t>
      </w:r>
    </w:p>
  </w:footnote>
  <w:footnote w:id="80">
    <w:p w14:paraId="18AF93C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for example, </w:t>
      </w:r>
      <w:r w:rsidRPr="005D705C">
        <w:rPr>
          <w:rFonts w:ascii="Calisto MT" w:eastAsia="Charter Roman" w:hAnsi="Calisto MT" w:cs="Times New Roman"/>
          <w:i/>
          <w:color w:val="000000"/>
          <w:sz w:val="20"/>
          <w:szCs w:val="20"/>
          <w:highlight w:val="white"/>
        </w:rPr>
        <w:t>R (Police Superintendents’ Association) v Police Remuneration Review Body and Secretary of State for the Home Department</w:t>
      </w:r>
      <w:r w:rsidRPr="005D705C">
        <w:rPr>
          <w:rFonts w:ascii="Calisto MT" w:eastAsia="Charter Roman" w:hAnsi="Calisto MT" w:cs="Times New Roman"/>
          <w:color w:val="000000"/>
          <w:sz w:val="20"/>
          <w:szCs w:val="20"/>
          <w:highlight w:val="white"/>
        </w:rPr>
        <w:t> [2023] EWHC 1838 (Admin).</w:t>
      </w:r>
    </w:p>
  </w:footnote>
  <w:footnote w:id="81">
    <w:p w14:paraId="123E57E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Freedom of Information Act 2000, s 1(1). The Environmental Information Regulations 2004 extend the right of access to environmental information to a wider range of public authorities, see EIR 2004, reg 2(2).   </w:t>
      </w:r>
    </w:p>
  </w:footnote>
  <w:footnote w:id="82">
    <w:p w14:paraId="7CBEB7A4"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Lucas Amin, </w:t>
      </w:r>
      <w:r w:rsidRPr="005D705C">
        <w:rPr>
          <w:rFonts w:ascii="Calisto MT" w:eastAsia="Charter Roman" w:hAnsi="Calisto MT" w:cs="Times New Roman"/>
          <w:i/>
          <w:iCs/>
          <w:color w:val="000000"/>
          <w:sz w:val="20"/>
          <w:szCs w:val="20"/>
        </w:rPr>
        <w:t>Access Denied</w:t>
      </w:r>
      <w:r w:rsidRPr="005D705C">
        <w:rPr>
          <w:rFonts w:ascii="Calisto MT" w:eastAsia="Charter Roman" w:hAnsi="Calisto MT" w:cs="Times New Roman"/>
          <w:color w:val="000000"/>
          <w:sz w:val="20"/>
          <w:szCs w:val="20"/>
        </w:rPr>
        <w:t xml:space="preserve"> (Open Democracy Report, 2021), 7. See Freedom of Information Act 2000 s 10(3). A similar provision exists in reg 7(1) of the Environmental Information Regulations 2004.</w:t>
      </w:r>
    </w:p>
  </w:footnote>
  <w:footnote w:id="83">
    <w:p w14:paraId="3B980B6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Freedom of Information Act 2000, s1(1), and s1(6). </w:t>
      </w:r>
    </w:p>
  </w:footnote>
  <w:footnote w:id="84">
    <w:p w14:paraId="52FA8626"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This differs from other civil claims, where parties are required to give standard disclosure pursuant to CPR Part 31. </w:t>
      </w:r>
    </w:p>
  </w:footnote>
  <w:footnote w:id="85">
    <w:p w14:paraId="6FF932D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(Citizens UK) v Secretary of State for the Home Department</w:t>
      </w:r>
      <w:r w:rsidRPr="005D705C">
        <w:rPr>
          <w:rFonts w:ascii="Calisto MT" w:eastAsia="Charter Roman" w:hAnsi="Calisto MT" w:cs="Times New Roman"/>
          <w:color w:val="000000"/>
          <w:sz w:val="20"/>
          <w:szCs w:val="20"/>
        </w:rPr>
        <w:t xml:space="preserve"> [2018] EWCA </w:t>
      </w:r>
      <w:proofErr w:type="spellStart"/>
      <w:r w:rsidRPr="005D705C">
        <w:rPr>
          <w:rFonts w:ascii="Calisto MT" w:eastAsia="Charter Roman" w:hAnsi="Calisto MT" w:cs="Times New Roman"/>
          <w:color w:val="000000"/>
          <w:sz w:val="20"/>
          <w:szCs w:val="20"/>
        </w:rPr>
        <w:t>Civ</w:t>
      </w:r>
      <w:proofErr w:type="spellEnd"/>
      <w:r w:rsidRPr="005D705C">
        <w:rPr>
          <w:rFonts w:ascii="Calisto MT" w:eastAsia="Charter Roman" w:hAnsi="Calisto MT" w:cs="Times New Roman"/>
          <w:color w:val="000000"/>
          <w:sz w:val="20"/>
          <w:szCs w:val="20"/>
        </w:rPr>
        <w:t xml:space="preserve"> 1812 [106(5)]; </w:t>
      </w:r>
      <w:r w:rsidRPr="005D705C">
        <w:rPr>
          <w:rFonts w:ascii="Calisto MT" w:eastAsia="Charter Roman" w:hAnsi="Calisto MT" w:cs="Times New Roman"/>
          <w:i/>
          <w:color w:val="000000"/>
          <w:sz w:val="20"/>
          <w:szCs w:val="20"/>
        </w:rPr>
        <w:t xml:space="preserve">Tweed v Parades Commission for Northern Ireland </w:t>
      </w:r>
      <w:r w:rsidRPr="005D705C">
        <w:rPr>
          <w:rFonts w:ascii="Calisto MT" w:eastAsia="Charter Roman" w:hAnsi="Calisto MT" w:cs="Times New Roman"/>
          <w:color w:val="000000"/>
          <w:sz w:val="20"/>
          <w:szCs w:val="20"/>
        </w:rPr>
        <w:t>[2006] UKHL 53, [4] and [39].</w:t>
      </w:r>
    </w:p>
  </w:footnote>
  <w:footnote w:id="86">
    <w:p w14:paraId="461FAC62"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e.g., </w:t>
      </w:r>
      <w:r w:rsidRPr="005D705C">
        <w:rPr>
          <w:rFonts w:ascii="Calisto MT" w:eastAsia="Charter Roman" w:hAnsi="Calisto MT" w:cs="Times New Roman"/>
          <w:i/>
          <w:color w:val="000000"/>
          <w:sz w:val="20"/>
          <w:szCs w:val="20"/>
        </w:rPr>
        <w:t xml:space="preserve">R (on the application of SA) v Secretary of State for the Home Department </w:t>
      </w:r>
      <w:r w:rsidRPr="005D705C">
        <w:rPr>
          <w:rFonts w:ascii="Calisto MT" w:eastAsia="Charter Roman" w:hAnsi="Calisto MT" w:cs="Times New Roman"/>
          <w:color w:val="000000"/>
          <w:sz w:val="20"/>
          <w:szCs w:val="20"/>
        </w:rPr>
        <w:t xml:space="preserve">[2023] EWHC 1787 (Admin) [26]; </w:t>
      </w:r>
      <w:r w:rsidRPr="005D705C">
        <w:rPr>
          <w:rFonts w:ascii="Calisto MT" w:eastAsia="Charter Roman" w:hAnsi="Calisto MT" w:cs="Times New Roman"/>
          <w:i/>
          <w:color w:val="000000"/>
          <w:sz w:val="20"/>
          <w:szCs w:val="20"/>
        </w:rPr>
        <w:t>MD v Secretary of State for the Home Department</w:t>
      </w:r>
      <w:r w:rsidRPr="005D705C">
        <w:rPr>
          <w:rFonts w:ascii="Calisto MT" w:eastAsia="Charter Roman" w:hAnsi="Calisto MT" w:cs="Times New Roman"/>
          <w:color w:val="000000"/>
          <w:sz w:val="20"/>
          <w:szCs w:val="20"/>
        </w:rPr>
        <w:t xml:space="preserve"> [2021] EWHC 1370 (Admin), [2021] PTSR 1680 [73]. For a wider discussion of this trend, see Cassandra Somers-</w:t>
      </w:r>
      <w:proofErr w:type="spellStart"/>
      <w:r w:rsidRPr="005D705C">
        <w:rPr>
          <w:rFonts w:ascii="Calisto MT" w:eastAsia="Charter Roman" w:hAnsi="Calisto MT" w:cs="Times New Roman"/>
          <w:color w:val="000000"/>
          <w:sz w:val="20"/>
          <w:szCs w:val="20"/>
        </w:rPr>
        <w:t>Joce</w:t>
      </w:r>
      <w:proofErr w:type="spellEnd"/>
      <w:r w:rsidRPr="005D705C">
        <w:rPr>
          <w:rFonts w:ascii="Calisto MT" w:eastAsia="Charter Roman" w:hAnsi="Calisto MT" w:cs="Times New Roman"/>
          <w:color w:val="000000"/>
          <w:sz w:val="20"/>
          <w:szCs w:val="20"/>
        </w:rPr>
        <w:t xml:space="preserve"> and Elizabeth </w:t>
      </w:r>
      <w:proofErr w:type="gramStart"/>
      <w:r w:rsidRPr="005D705C">
        <w:rPr>
          <w:rFonts w:ascii="Calisto MT" w:eastAsia="Charter Roman" w:hAnsi="Calisto MT" w:cs="Times New Roman"/>
          <w:color w:val="000000"/>
          <w:sz w:val="20"/>
          <w:szCs w:val="20"/>
        </w:rPr>
        <w:t>A</w:t>
      </w:r>
      <w:proofErr w:type="gramEnd"/>
      <w:r w:rsidRPr="005D705C">
        <w:rPr>
          <w:rFonts w:ascii="Calisto MT" w:eastAsia="Charter Roman" w:hAnsi="Calisto MT" w:cs="Times New Roman"/>
          <w:color w:val="000000"/>
          <w:sz w:val="20"/>
          <w:szCs w:val="20"/>
        </w:rPr>
        <w:t xml:space="preserve"> O’Loughlin, ‘Recent Judicial Perspectives on the Duty of Candour’ (2023) 28(3) </w:t>
      </w:r>
      <w:r w:rsidRPr="005D705C">
        <w:rPr>
          <w:rFonts w:ascii="Calisto MT" w:eastAsia="Charter Roman" w:hAnsi="Calisto MT" w:cs="Times New Roman"/>
          <w:i/>
          <w:color w:val="000000"/>
          <w:sz w:val="20"/>
          <w:szCs w:val="20"/>
        </w:rPr>
        <w:t>Judicial Review</w:t>
      </w:r>
      <w:r w:rsidRPr="005D705C">
        <w:rPr>
          <w:rFonts w:ascii="Calisto MT" w:eastAsia="Charter Roman" w:hAnsi="Calisto MT" w:cs="Times New Roman"/>
          <w:color w:val="000000"/>
          <w:sz w:val="20"/>
          <w:szCs w:val="20"/>
        </w:rPr>
        <w:t xml:space="preserve"> 155, 161-2.</w:t>
      </w:r>
    </w:p>
  </w:footnote>
  <w:footnote w:id="87">
    <w:p w14:paraId="4824FC7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(HR &amp; Others) v Secretary of State for the Home Department</w:t>
      </w:r>
      <w:r w:rsidRPr="005D705C">
        <w:rPr>
          <w:rFonts w:ascii="Calisto MT" w:eastAsia="Charter Roman" w:hAnsi="Calisto MT" w:cs="Times New Roman"/>
          <w:color w:val="000000"/>
          <w:sz w:val="20"/>
          <w:szCs w:val="20"/>
        </w:rPr>
        <w:t xml:space="preserve"> [2024] EWHC 786 (Admin) [126].</w:t>
      </w:r>
    </w:p>
  </w:footnote>
  <w:footnote w:id="88">
    <w:p w14:paraId="4DF5A13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This section addresses European Union data protection law, noting the similarity between it and data privacy laws in many jurisdictions worldwide, including the UK.</w:t>
      </w:r>
    </w:p>
  </w:footnote>
  <w:footnote w:id="89">
    <w:p w14:paraId="63379CB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Regulation (EU) 2016/679 of the European Parliament and of the Council of 27 April 2016 on the protection of natural persons with regard to the processing of personal data and on the free movement of such </w:t>
      </w:r>
      <w:proofErr w:type="gramStart"/>
      <w:r w:rsidRPr="005D705C">
        <w:rPr>
          <w:rFonts w:ascii="Calisto MT" w:eastAsia="Charter Roman" w:hAnsi="Calisto MT" w:cs="Times New Roman"/>
          <w:color w:val="000000"/>
          <w:sz w:val="20"/>
          <w:szCs w:val="20"/>
        </w:rPr>
        <w:t>data  (</w:t>
      </w:r>
      <w:proofErr w:type="gramEnd"/>
      <w:r w:rsidRPr="005D705C">
        <w:rPr>
          <w:rFonts w:ascii="Calisto MT" w:eastAsia="Charter Roman" w:hAnsi="Calisto MT" w:cs="Times New Roman"/>
          <w:color w:val="000000"/>
          <w:sz w:val="20"/>
          <w:szCs w:val="20"/>
        </w:rPr>
        <w:t>General Data Protection Regulation) [2016] OJ L119/1, Article 1(1) GDPR.</w:t>
      </w:r>
    </w:p>
  </w:footnote>
  <w:footnote w:id="90">
    <w:p w14:paraId="6784067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ibid Article 4 and Recital 26</w:t>
      </w:r>
      <w:r w:rsidRPr="005D705C">
        <w:rPr>
          <w:rFonts w:ascii="Calisto MT" w:eastAsia="Charter Roman" w:hAnsi="Calisto MT" w:cs="Times New Roman"/>
          <w:sz w:val="20"/>
          <w:szCs w:val="20"/>
        </w:rPr>
        <w:t>.</w:t>
      </w:r>
    </w:p>
  </w:footnote>
  <w:footnote w:id="91">
    <w:p w14:paraId="4EF942AC" w14:textId="61F1A4D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5036F6D4" w:rsidRPr="005D705C">
        <w:rPr>
          <w:rFonts w:ascii="Calisto MT" w:eastAsia="Charter Roman" w:hAnsi="Calisto MT" w:cs="Times New Roman"/>
          <w:sz w:val="20"/>
          <w:szCs w:val="20"/>
        </w:rPr>
        <w:t>I</w:t>
      </w:r>
      <w:r w:rsidR="5036F6D4" w:rsidRPr="005D705C">
        <w:rPr>
          <w:rFonts w:ascii="Calisto MT" w:eastAsia="Charter Roman" w:hAnsi="Calisto MT" w:cs="Times New Roman"/>
          <w:color w:val="000000" w:themeColor="text1"/>
          <w:sz w:val="20"/>
          <w:szCs w:val="20"/>
        </w:rPr>
        <w:t>bid, Article 4(7)</w:t>
      </w:r>
      <w:r w:rsidR="5036F6D4" w:rsidRPr="005D705C">
        <w:rPr>
          <w:rFonts w:ascii="Calisto MT" w:eastAsia="Charter Roman" w:hAnsi="Calisto MT" w:cs="Times New Roman"/>
          <w:sz w:val="20"/>
          <w:szCs w:val="20"/>
        </w:rPr>
        <w:t>.</w:t>
      </w:r>
    </w:p>
  </w:footnote>
  <w:footnote w:id="92">
    <w:p w14:paraId="4B7F9DD8"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5(2)</w:t>
      </w:r>
      <w:r w:rsidRPr="005D705C">
        <w:rPr>
          <w:rFonts w:ascii="Calisto MT" w:eastAsia="Charter Roman" w:hAnsi="Calisto MT" w:cs="Times New Roman"/>
          <w:sz w:val="20"/>
          <w:szCs w:val="20"/>
        </w:rPr>
        <w:t>.</w:t>
      </w:r>
    </w:p>
  </w:footnote>
  <w:footnote w:id="93">
    <w:p w14:paraId="79D74DB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Articles 12 to 15.</w:t>
      </w:r>
    </w:p>
  </w:footnote>
  <w:footnote w:id="94">
    <w:p w14:paraId="53CE6FE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Articles 5(2)</w:t>
      </w:r>
      <w:r w:rsidRPr="005D705C">
        <w:rPr>
          <w:rFonts w:ascii="Calisto MT" w:eastAsia="Charter Roman" w:hAnsi="Calisto MT" w:cs="Times New Roman"/>
          <w:sz w:val="20"/>
          <w:szCs w:val="20"/>
        </w:rPr>
        <w:t>,</w:t>
      </w:r>
      <w:r w:rsidRPr="005D705C">
        <w:rPr>
          <w:rFonts w:ascii="Calisto MT" w:eastAsia="Charter Roman" w:hAnsi="Calisto MT" w:cs="Times New Roman"/>
          <w:color w:val="000000"/>
          <w:sz w:val="20"/>
          <w:szCs w:val="20"/>
        </w:rPr>
        <w:t xml:space="preserve"> 24</w:t>
      </w:r>
      <w:r w:rsidRPr="005D705C">
        <w:rPr>
          <w:rFonts w:ascii="Calisto MT" w:eastAsia="Charter Roman" w:hAnsi="Calisto MT" w:cs="Times New Roman"/>
          <w:sz w:val="20"/>
          <w:szCs w:val="20"/>
        </w:rPr>
        <w:t xml:space="preserve">, </w:t>
      </w:r>
      <w:r w:rsidRPr="005D705C">
        <w:rPr>
          <w:rFonts w:ascii="Calisto MT" w:eastAsia="Charter Roman" w:hAnsi="Calisto MT" w:cs="Times New Roman"/>
          <w:color w:val="000000"/>
          <w:sz w:val="20"/>
          <w:szCs w:val="20"/>
        </w:rPr>
        <w:t>30</w:t>
      </w:r>
      <w:r w:rsidRPr="005D705C">
        <w:rPr>
          <w:rFonts w:ascii="Calisto MT" w:eastAsia="Charter Roman" w:hAnsi="Calisto MT" w:cs="Times New Roman"/>
          <w:sz w:val="20"/>
          <w:szCs w:val="20"/>
        </w:rPr>
        <w:t>.</w:t>
      </w:r>
    </w:p>
  </w:footnote>
  <w:footnote w:id="95">
    <w:p w14:paraId="31A7D0C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25</w:t>
      </w:r>
      <w:r w:rsidRPr="005D705C">
        <w:rPr>
          <w:rFonts w:ascii="Calisto MT" w:eastAsia="Charter Roman" w:hAnsi="Calisto MT" w:cs="Times New Roman"/>
          <w:sz w:val="20"/>
          <w:szCs w:val="20"/>
        </w:rPr>
        <w:t>.</w:t>
      </w:r>
    </w:p>
  </w:footnote>
  <w:footnote w:id="96">
    <w:p w14:paraId="0E003BCE"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also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32</w:t>
      </w:r>
      <w:r w:rsidRPr="005D705C">
        <w:rPr>
          <w:rFonts w:ascii="Calisto MT" w:eastAsia="Charter Roman" w:hAnsi="Calisto MT" w:cs="Times New Roman"/>
          <w:sz w:val="20"/>
          <w:szCs w:val="20"/>
        </w:rPr>
        <w:t>.</w:t>
      </w:r>
    </w:p>
  </w:footnote>
  <w:footnote w:id="97">
    <w:p w14:paraId="3A03107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37</w:t>
      </w:r>
      <w:r w:rsidRPr="005D705C">
        <w:rPr>
          <w:rFonts w:ascii="Calisto MT" w:eastAsia="Charter Roman" w:hAnsi="Calisto MT" w:cs="Times New Roman"/>
          <w:sz w:val="20"/>
          <w:szCs w:val="20"/>
        </w:rPr>
        <w:t>.</w:t>
      </w:r>
    </w:p>
  </w:footnote>
  <w:footnote w:id="98">
    <w:p w14:paraId="2868329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w:t>
      </w:r>
      <w:r w:rsidRPr="005D705C">
        <w:rPr>
          <w:rFonts w:ascii="Calisto MT" w:eastAsia="Charter Roman" w:hAnsi="Calisto MT" w:cs="Times New Roman"/>
          <w:sz w:val="20"/>
          <w:szCs w:val="20"/>
        </w:rPr>
        <w:t>bid,</w:t>
      </w:r>
      <w:r w:rsidRPr="005D705C">
        <w:rPr>
          <w:rFonts w:ascii="Calisto MT" w:eastAsia="Charter Roman" w:hAnsi="Calisto MT" w:cs="Times New Roman"/>
          <w:color w:val="000000"/>
          <w:sz w:val="20"/>
          <w:szCs w:val="20"/>
        </w:rPr>
        <w:t xml:space="preserve"> Article 9(2)</w:t>
      </w:r>
      <w:r w:rsidRPr="005D705C">
        <w:rPr>
          <w:rFonts w:ascii="Calisto MT" w:eastAsia="Charter Roman" w:hAnsi="Calisto MT" w:cs="Times New Roman"/>
          <w:sz w:val="20"/>
          <w:szCs w:val="20"/>
        </w:rPr>
        <w:t>.</w:t>
      </w:r>
    </w:p>
  </w:footnote>
  <w:footnote w:id="99">
    <w:p w14:paraId="406A0B1F"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Von Hannover v Germany</w:t>
      </w:r>
      <w:r w:rsidRPr="005D705C">
        <w:rPr>
          <w:rFonts w:ascii="Calisto MT" w:eastAsia="Charter Roman" w:hAnsi="Calisto MT" w:cs="Times New Roman"/>
          <w:color w:val="000000"/>
          <w:sz w:val="20"/>
          <w:szCs w:val="20"/>
        </w:rPr>
        <w:t xml:space="preserve"> (No 2) (2012) 55 EHRR 15.</w:t>
      </w:r>
    </w:p>
  </w:footnote>
  <w:footnote w:id="100">
    <w:p w14:paraId="2009D140" w14:textId="5C01F608" w:rsidR="5036F6D4" w:rsidRPr="005D705C" w:rsidRDefault="5036F6D4" w:rsidP="005D705C">
      <w:pPr>
        <w:pStyle w:val="FootnoteText"/>
        <w:jc w:val="both"/>
        <w:rPr>
          <w:rFonts w:ascii="Calisto MT" w:hAnsi="Calisto MT"/>
        </w:rPr>
      </w:pPr>
      <w:r w:rsidRPr="005D705C">
        <w:rPr>
          <w:rStyle w:val="FootnoteReference"/>
          <w:rFonts w:ascii="Calisto MT" w:hAnsi="Calisto MT"/>
        </w:rPr>
        <w:footnoteRef/>
      </w:r>
      <w:r w:rsidR="756BE069" w:rsidRPr="005D705C">
        <w:rPr>
          <w:rFonts w:ascii="Calisto MT" w:hAnsi="Calisto MT"/>
        </w:rPr>
        <w:t xml:space="preserve"> GDPR, Article 4(1).</w:t>
      </w:r>
    </w:p>
  </w:footnote>
  <w:footnote w:id="101">
    <w:p w14:paraId="3F39818C"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General Data Protection Regulation</w:t>
      </w:r>
      <w:r w:rsidRPr="005D705C">
        <w:rPr>
          <w:rFonts w:ascii="Calisto MT" w:eastAsia="Charter Roman" w:hAnsi="Calisto MT" w:cs="Times New Roman"/>
          <w:sz w:val="20"/>
          <w:szCs w:val="20"/>
        </w:rPr>
        <w:t>,</w:t>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Article </w:t>
      </w:r>
      <w:r w:rsidRPr="005D705C">
        <w:rPr>
          <w:rFonts w:ascii="Calisto MT" w:eastAsia="Charter Roman" w:hAnsi="Calisto MT" w:cs="Times New Roman"/>
          <w:color w:val="000000"/>
          <w:sz w:val="20"/>
          <w:szCs w:val="20"/>
        </w:rPr>
        <w:t>12(2)</w:t>
      </w:r>
      <w:r w:rsidRPr="005D705C">
        <w:rPr>
          <w:rFonts w:ascii="Calisto MT" w:eastAsia="Charter Roman" w:hAnsi="Calisto MT" w:cs="Times New Roman"/>
          <w:sz w:val="20"/>
          <w:szCs w:val="20"/>
        </w:rPr>
        <w:t>.</w:t>
      </w:r>
    </w:p>
  </w:footnote>
  <w:footnote w:id="102">
    <w:p w14:paraId="1C2BB72C"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12</w:t>
      </w:r>
      <w:r w:rsidRPr="005D705C">
        <w:rPr>
          <w:rFonts w:ascii="Calisto MT" w:eastAsia="Charter Roman" w:hAnsi="Calisto MT" w:cs="Times New Roman"/>
          <w:sz w:val="20"/>
          <w:szCs w:val="20"/>
        </w:rPr>
        <w:t>.</w:t>
      </w:r>
    </w:p>
  </w:footnote>
  <w:footnote w:id="103">
    <w:p w14:paraId="541EC842"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15</w:t>
      </w:r>
      <w:r w:rsidRPr="005D705C">
        <w:rPr>
          <w:rFonts w:ascii="Calisto MT" w:eastAsia="Charter Roman" w:hAnsi="Calisto MT" w:cs="Times New Roman"/>
          <w:sz w:val="20"/>
          <w:szCs w:val="20"/>
        </w:rPr>
        <w:t>.</w:t>
      </w:r>
    </w:p>
  </w:footnote>
  <w:footnote w:id="104">
    <w:p w14:paraId="3BF56B70"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20</w:t>
      </w:r>
      <w:r w:rsidRPr="005D705C">
        <w:rPr>
          <w:rFonts w:ascii="Calisto MT" w:eastAsia="Charter Roman" w:hAnsi="Calisto MT" w:cs="Times New Roman"/>
          <w:sz w:val="20"/>
          <w:szCs w:val="20"/>
        </w:rPr>
        <w:t>.</w:t>
      </w:r>
    </w:p>
  </w:footnote>
  <w:footnote w:id="105">
    <w:p w14:paraId="51276AE6"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21(1).</w:t>
      </w:r>
    </w:p>
  </w:footnote>
  <w:footnote w:id="106">
    <w:p w14:paraId="703CD0C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16</w:t>
      </w:r>
      <w:r w:rsidRPr="005D705C">
        <w:rPr>
          <w:rFonts w:ascii="Calisto MT" w:eastAsia="Charter Roman" w:hAnsi="Calisto MT" w:cs="Times New Roman"/>
          <w:sz w:val="20"/>
          <w:szCs w:val="20"/>
        </w:rPr>
        <w:t>.</w:t>
      </w:r>
    </w:p>
  </w:footnote>
  <w:footnote w:id="107">
    <w:p w14:paraId="6821FFE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18.</w:t>
      </w:r>
    </w:p>
  </w:footnote>
  <w:footnote w:id="108">
    <w:p w14:paraId="7B629E1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17</w:t>
      </w:r>
      <w:r w:rsidRPr="005D705C">
        <w:rPr>
          <w:rFonts w:ascii="Calisto MT" w:eastAsia="Charter Roman" w:hAnsi="Calisto MT" w:cs="Times New Roman"/>
          <w:sz w:val="20"/>
          <w:szCs w:val="20"/>
        </w:rPr>
        <w:t>.</w:t>
      </w:r>
    </w:p>
  </w:footnote>
  <w:footnote w:id="109">
    <w:p w14:paraId="11572D5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Ibid.</w:t>
      </w:r>
    </w:p>
  </w:footnote>
  <w:footnote w:id="110">
    <w:p w14:paraId="58737F2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19</w:t>
      </w:r>
      <w:r w:rsidRPr="005D705C">
        <w:rPr>
          <w:rFonts w:ascii="Calisto MT" w:eastAsia="Charter Roman" w:hAnsi="Calisto MT" w:cs="Times New Roman"/>
          <w:sz w:val="20"/>
          <w:szCs w:val="20"/>
        </w:rPr>
        <w:t>.</w:t>
      </w:r>
    </w:p>
  </w:footnote>
  <w:footnote w:id="111">
    <w:p w14:paraId="61E0FFFC"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 xml:space="preserve">Ibid, </w:t>
      </w:r>
      <w:r w:rsidRPr="005D705C">
        <w:rPr>
          <w:rFonts w:ascii="Calisto MT" w:eastAsia="Charter Roman" w:hAnsi="Calisto MT" w:cs="Times New Roman"/>
          <w:color w:val="000000"/>
          <w:sz w:val="20"/>
          <w:szCs w:val="20"/>
        </w:rPr>
        <w:t>Article 4(1)</w:t>
      </w:r>
      <w:r w:rsidRPr="005D705C">
        <w:rPr>
          <w:rFonts w:ascii="Calisto MT" w:eastAsia="Charter Roman" w:hAnsi="Calisto MT" w:cs="Times New Roman"/>
          <w:sz w:val="20"/>
          <w:szCs w:val="20"/>
        </w:rPr>
        <w:t>.</w:t>
      </w:r>
    </w:p>
  </w:footnote>
  <w:footnote w:id="112">
    <w:p w14:paraId="0FC94F13"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Ibid,</w:t>
      </w:r>
      <w:r w:rsidRPr="005D705C">
        <w:rPr>
          <w:rFonts w:ascii="Calisto MT" w:eastAsia="Charter Roman" w:hAnsi="Calisto MT" w:cs="Times New Roman"/>
          <w:color w:val="000000"/>
          <w:sz w:val="20"/>
          <w:szCs w:val="20"/>
        </w:rPr>
        <w:t xml:space="preserve"> Article 5(1)(a)</w:t>
      </w:r>
      <w:r w:rsidRPr="005D705C">
        <w:rPr>
          <w:rFonts w:ascii="Calisto MT" w:eastAsia="Charter Roman" w:hAnsi="Calisto MT" w:cs="Times New Roman"/>
          <w:sz w:val="20"/>
          <w:szCs w:val="20"/>
        </w:rPr>
        <w:t>.</w:t>
      </w:r>
    </w:p>
  </w:footnote>
  <w:footnote w:id="113">
    <w:p w14:paraId="38EB4E4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Ibid,</w:t>
      </w:r>
      <w:r w:rsidRPr="005D705C">
        <w:rPr>
          <w:rFonts w:ascii="Calisto MT" w:eastAsia="Charter Roman" w:hAnsi="Calisto MT" w:cs="Times New Roman"/>
          <w:color w:val="000000"/>
          <w:sz w:val="20"/>
          <w:szCs w:val="20"/>
        </w:rPr>
        <w:t xml:space="preserve"> Article 5(1)(d)</w:t>
      </w:r>
      <w:r w:rsidRPr="005D705C">
        <w:rPr>
          <w:rFonts w:ascii="Calisto MT" w:eastAsia="Charter Roman" w:hAnsi="Calisto MT" w:cs="Times New Roman"/>
          <w:sz w:val="20"/>
          <w:szCs w:val="20"/>
        </w:rPr>
        <w:t>.</w:t>
      </w:r>
    </w:p>
  </w:footnote>
  <w:footnote w:id="114">
    <w:p w14:paraId="3627442D"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Ibid,</w:t>
      </w:r>
      <w:r w:rsidRPr="005D705C">
        <w:rPr>
          <w:rFonts w:ascii="Calisto MT" w:eastAsia="Charter Roman" w:hAnsi="Calisto MT" w:cs="Times New Roman"/>
          <w:color w:val="000000"/>
          <w:sz w:val="20"/>
          <w:szCs w:val="20"/>
        </w:rPr>
        <w:t xml:space="preserve"> Article 5(1)(f)</w:t>
      </w:r>
      <w:r w:rsidRPr="005D705C">
        <w:rPr>
          <w:rFonts w:ascii="Calisto MT" w:eastAsia="Charter Roman" w:hAnsi="Calisto MT" w:cs="Times New Roman"/>
          <w:sz w:val="20"/>
          <w:szCs w:val="20"/>
        </w:rPr>
        <w:t>.</w:t>
      </w:r>
    </w:p>
  </w:footnote>
  <w:footnote w:id="115">
    <w:p w14:paraId="1B6F3D47"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Ibid,</w:t>
      </w:r>
      <w:r w:rsidRPr="005D705C">
        <w:rPr>
          <w:rFonts w:ascii="Calisto MT" w:eastAsia="Charter Roman" w:hAnsi="Calisto MT" w:cs="Times New Roman"/>
          <w:color w:val="000000"/>
          <w:sz w:val="20"/>
          <w:szCs w:val="20"/>
        </w:rPr>
        <w:t xml:space="preserve"> Article 16</w:t>
      </w:r>
      <w:r w:rsidRPr="005D705C">
        <w:rPr>
          <w:rFonts w:ascii="Calisto MT" w:eastAsia="Charter Roman" w:hAnsi="Calisto MT" w:cs="Times New Roman"/>
          <w:sz w:val="20"/>
          <w:szCs w:val="20"/>
        </w:rPr>
        <w:t>.</w:t>
      </w:r>
    </w:p>
  </w:footnote>
  <w:footnote w:id="116">
    <w:p w14:paraId="158E98D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sz w:val="20"/>
          <w:szCs w:val="20"/>
        </w:rPr>
        <w:t>Ibid,</w:t>
      </w:r>
      <w:r w:rsidRPr="005D705C">
        <w:rPr>
          <w:rFonts w:ascii="Calisto MT" w:eastAsia="Charter Roman" w:hAnsi="Calisto MT" w:cs="Times New Roman"/>
          <w:color w:val="000000"/>
          <w:sz w:val="20"/>
          <w:szCs w:val="20"/>
        </w:rPr>
        <w:t xml:space="preserve"> Article 18</w:t>
      </w:r>
      <w:r w:rsidRPr="005D705C">
        <w:rPr>
          <w:rFonts w:ascii="Calisto MT" w:eastAsia="Charter Roman" w:hAnsi="Calisto MT" w:cs="Times New Roman"/>
          <w:sz w:val="20"/>
          <w:szCs w:val="20"/>
        </w:rPr>
        <w:t>.</w:t>
      </w:r>
    </w:p>
  </w:footnote>
  <w:footnote w:id="117">
    <w:p w14:paraId="4E1CE030"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for example, a more holistic approach to access to justice in Naomi Creutzfeldt, Chris Gill, Marine </w:t>
      </w:r>
      <w:proofErr w:type="spellStart"/>
      <w:r w:rsidRPr="005D705C">
        <w:rPr>
          <w:rFonts w:ascii="Calisto MT" w:eastAsia="Charter Roman" w:hAnsi="Calisto MT" w:cs="Times New Roman"/>
          <w:color w:val="000000"/>
          <w:sz w:val="20"/>
          <w:szCs w:val="20"/>
        </w:rPr>
        <w:t>Cornellis</w:t>
      </w:r>
      <w:proofErr w:type="spellEnd"/>
      <w:r w:rsidRPr="005D705C">
        <w:rPr>
          <w:rFonts w:ascii="Calisto MT" w:eastAsia="Charter Roman" w:hAnsi="Calisto MT" w:cs="Times New Roman"/>
          <w:color w:val="000000"/>
          <w:sz w:val="20"/>
          <w:szCs w:val="20"/>
        </w:rPr>
        <w:t xml:space="preserve"> and Rachel McPherson, </w:t>
      </w:r>
      <w:r w:rsidRPr="005D705C">
        <w:rPr>
          <w:rFonts w:ascii="Calisto MT" w:eastAsia="Charter Roman" w:hAnsi="Calisto MT" w:cs="Times New Roman"/>
          <w:i/>
          <w:color w:val="000000"/>
          <w:sz w:val="20"/>
          <w:szCs w:val="20"/>
        </w:rPr>
        <w:t xml:space="preserve">Access to Justice for Vulnerable and Energy-Poor Consumers: Just Energy? </w:t>
      </w:r>
      <w:r w:rsidRPr="005D705C">
        <w:rPr>
          <w:rFonts w:ascii="Calisto MT" w:eastAsia="Charter Roman" w:hAnsi="Calisto MT" w:cs="Times New Roman"/>
          <w:color w:val="000000"/>
          <w:sz w:val="20"/>
          <w:szCs w:val="20"/>
        </w:rPr>
        <w:t xml:space="preserve">(Hart 2021), 45. </w:t>
      </w:r>
    </w:p>
  </w:footnote>
  <w:footnote w:id="118">
    <w:p w14:paraId="44D1677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William Lucy, ‘Access to Justice and the Rule of Law’ (2020) 40(2) </w:t>
      </w:r>
      <w:r w:rsidRPr="005D705C">
        <w:rPr>
          <w:rFonts w:ascii="Calisto MT" w:eastAsia="Charter Roman" w:hAnsi="Calisto MT" w:cs="Times New Roman"/>
          <w:i/>
          <w:color w:val="000000"/>
          <w:sz w:val="20"/>
          <w:szCs w:val="20"/>
        </w:rPr>
        <w:t>Oxford Journal of Legal Studies</w:t>
      </w:r>
      <w:r w:rsidRPr="005D705C">
        <w:rPr>
          <w:rFonts w:ascii="Calisto MT" w:eastAsia="Charter Roman" w:hAnsi="Calisto MT" w:cs="Times New Roman"/>
          <w:color w:val="000000"/>
          <w:sz w:val="20"/>
          <w:szCs w:val="20"/>
        </w:rPr>
        <w:t xml:space="preserve"> 377, 381; Richard Susskind, </w:t>
      </w:r>
      <w:r w:rsidRPr="005D705C">
        <w:rPr>
          <w:rFonts w:ascii="Calisto MT" w:eastAsia="Charter Roman" w:hAnsi="Calisto MT" w:cs="Times New Roman"/>
          <w:i/>
          <w:color w:val="000000"/>
          <w:sz w:val="20"/>
          <w:szCs w:val="20"/>
        </w:rPr>
        <w:t>The End of Lawyers? Rethinking the Nature of Legal Services</w:t>
      </w:r>
      <w:r w:rsidRPr="005D705C">
        <w:rPr>
          <w:rFonts w:ascii="Calisto MT" w:eastAsia="Charter Roman" w:hAnsi="Calisto MT" w:cs="Times New Roman"/>
          <w:color w:val="000000"/>
          <w:sz w:val="20"/>
          <w:szCs w:val="20"/>
        </w:rPr>
        <w:t xml:space="preserve"> (OUP 2008); Abi Adams-</w:t>
      </w:r>
      <w:proofErr w:type="spellStart"/>
      <w:r w:rsidRPr="005D705C">
        <w:rPr>
          <w:rFonts w:ascii="Calisto MT" w:eastAsia="Charter Roman" w:hAnsi="Calisto MT" w:cs="Times New Roman"/>
          <w:color w:val="000000"/>
          <w:sz w:val="20"/>
          <w:szCs w:val="20"/>
        </w:rPr>
        <w:t>Prassl</w:t>
      </w:r>
      <w:proofErr w:type="spellEnd"/>
      <w:r w:rsidRPr="005D705C">
        <w:rPr>
          <w:rFonts w:ascii="Calisto MT" w:eastAsia="Charter Roman" w:hAnsi="Calisto MT" w:cs="Times New Roman"/>
          <w:color w:val="000000"/>
          <w:sz w:val="20"/>
          <w:szCs w:val="20"/>
        </w:rPr>
        <w:t xml:space="preserve"> and Jeremias Adams-</w:t>
      </w:r>
      <w:proofErr w:type="spellStart"/>
      <w:r w:rsidRPr="005D705C">
        <w:rPr>
          <w:rFonts w:ascii="Calisto MT" w:eastAsia="Charter Roman" w:hAnsi="Calisto MT" w:cs="Times New Roman"/>
          <w:color w:val="000000"/>
          <w:sz w:val="20"/>
          <w:szCs w:val="20"/>
        </w:rPr>
        <w:t>Prassl</w:t>
      </w:r>
      <w:proofErr w:type="spellEnd"/>
      <w:r w:rsidRPr="005D705C">
        <w:rPr>
          <w:rFonts w:ascii="Calisto MT" w:eastAsia="Charter Roman" w:hAnsi="Calisto MT" w:cs="Times New Roman"/>
          <w:color w:val="000000"/>
          <w:sz w:val="20"/>
          <w:szCs w:val="20"/>
        </w:rPr>
        <w:t xml:space="preserve">, ‘Systemic unfairness, access to justice and futility: A framework’ (2020) 40(3) </w:t>
      </w:r>
      <w:r w:rsidRPr="005D705C">
        <w:rPr>
          <w:rFonts w:ascii="Calisto MT" w:eastAsia="Charter Roman" w:hAnsi="Calisto MT" w:cs="Times New Roman"/>
          <w:i/>
          <w:color w:val="000000"/>
          <w:sz w:val="20"/>
          <w:szCs w:val="20"/>
        </w:rPr>
        <w:t>Oxford Journal of Legal Studies</w:t>
      </w:r>
      <w:r w:rsidRPr="005D705C">
        <w:rPr>
          <w:rFonts w:ascii="Calisto MT" w:eastAsia="Charter Roman" w:hAnsi="Calisto MT" w:cs="Times New Roman"/>
          <w:color w:val="000000"/>
          <w:sz w:val="20"/>
          <w:szCs w:val="20"/>
        </w:rPr>
        <w:t xml:space="preserve"> 561. </w:t>
      </w:r>
    </w:p>
  </w:footnote>
  <w:footnote w:id="119">
    <w:p w14:paraId="307ABB10"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Jules Winterton, ‘BAILII: </w:t>
      </w:r>
      <w:proofErr w:type="gramStart"/>
      <w:r w:rsidRPr="005D705C">
        <w:rPr>
          <w:rFonts w:ascii="Calisto MT" w:eastAsia="Charter Roman" w:hAnsi="Calisto MT" w:cs="Times New Roman"/>
          <w:color w:val="000000"/>
          <w:sz w:val="20"/>
          <w:szCs w:val="20"/>
        </w:rPr>
        <w:t>Judgment day</w:t>
      </w:r>
      <w:proofErr w:type="gramEnd"/>
      <w:r w:rsidRPr="005D705C">
        <w:rPr>
          <w:rFonts w:ascii="Calisto MT" w:eastAsia="Charter Roman" w:hAnsi="Calisto MT" w:cs="Times New Roman"/>
          <w:color w:val="000000"/>
          <w:sz w:val="20"/>
          <w:szCs w:val="20"/>
        </w:rPr>
        <w:t xml:space="preserve"> and beyond’ (2022) 22(2) </w:t>
      </w:r>
      <w:r w:rsidRPr="005D705C">
        <w:rPr>
          <w:rFonts w:ascii="Calisto MT" w:eastAsia="Charter Roman" w:hAnsi="Calisto MT" w:cs="Times New Roman"/>
          <w:i/>
          <w:color w:val="000000"/>
          <w:sz w:val="20"/>
          <w:szCs w:val="20"/>
        </w:rPr>
        <w:t>Legal Information Management</w:t>
      </w:r>
      <w:r w:rsidRPr="005D705C">
        <w:rPr>
          <w:rFonts w:ascii="Calisto MT" w:eastAsia="Charter Roman" w:hAnsi="Calisto MT" w:cs="Times New Roman"/>
          <w:color w:val="000000"/>
          <w:sz w:val="20"/>
          <w:szCs w:val="20"/>
        </w:rPr>
        <w:t xml:space="preserve"> 73.</w:t>
      </w:r>
    </w:p>
  </w:footnote>
  <w:footnote w:id="120">
    <w:p w14:paraId="6F671A32"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Ibid,</w:t>
      </w:r>
      <w:r w:rsidRPr="005D705C">
        <w:rPr>
          <w:rFonts w:ascii="Calisto MT" w:eastAsia="Charter Roman" w:hAnsi="Calisto MT" w:cs="Times New Roman"/>
          <w:i/>
          <w:color w:val="000000"/>
          <w:sz w:val="20"/>
          <w:szCs w:val="20"/>
        </w:rPr>
        <w:t xml:space="preserve"> </w:t>
      </w:r>
      <w:r w:rsidRPr="005D705C">
        <w:rPr>
          <w:rFonts w:ascii="Calisto MT" w:eastAsia="Charter Roman" w:hAnsi="Calisto MT" w:cs="Times New Roman"/>
          <w:color w:val="000000"/>
          <w:sz w:val="20"/>
          <w:szCs w:val="20"/>
        </w:rPr>
        <w:t xml:space="preserve">75. </w:t>
      </w:r>
    </w:p>
  </w:footnote>
  <w:footnote w:id="121">
    <w:p w14:paraId="6164D1A5"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3C8AF05B" w:rsidRPr="005D705C">
        <w:rPr>
          <w:rFonts w:ascii="Calisto MT" w:eastAsia="Charter Roman" w:hAnsi="Calisto MT" w:cs="Times New Roman"/>
          <w:color w:val="000000"/>
          <w:sz w:val="20"/>
          <w:szCs w:val="20"/>
        </w:rPr>
        <w:t xml:space="preserve"> Daniel Hoadley, Joe Tomlinson, Editha </w:t>
      </w:r>
      <w:proofErr w:type="spellStart"/>
      <w:r w:rsidR="3C8AF05B" w:rsidRPr="005D705C">
        <w:rPr>
          <w:rFonts w:ascii="Calisto MT" w:eastAsia="Charter Roman" w:hAnsi="Calisto MT" w:cs="Times New Roman"/>
          <w:color w:val="000000"/>
          <w:sz w:val="20"/>
          <w:szCs w:val="20"/>
        </w:rPr>
        <w:t>Nemsic</w:t>
      </w:r>
      <w:proofErr w:type="spellEnd"/>
      <w:r w:rsidR="3C8AF05B" w:rsidRPr="005D705C">
        <w:rPr>
          <w:rFonts w:ascii="Calisto MT" w:eastAsia="Charter Roman" w:hAnsi="Calisto MT" w:cs="Times New Roman"/>
          <w:color w:val="000000"/>
          <w:sz w:val="20"/>
          <w:szCs w:val="20"/>
        </w:rPr>
        <w:t>, and Cassandra Somers-</w:t>
      </w:r>
      <w:proofErr w:type="spellStart"/>
      <w:r w:rsidR="3C8AF05B" w:rsidRPr="005D705C">
        <w:rPr>
          <w:rFonts w:ascii="Calisto MT" w:eastAsia="Charter Roman" w:hAnsi="Calisto MT" w:cs="Times New Roman"/>
          <w:color w:val="000000"/>
          <w:sz w:val="20"/>
          <w:szCs w:val="20"/>
        </w:rPr>
        <w:t>Joce</w:t>
      </w:r>
      <w:proofErr w:type="spellEnd"/>
      <w:r w:rsidR="3C8AF05B" w:rsidRPr="005D705C">
        <w:rPr>
          <w:rFonts w:ascii="Calisto MT" w:eastAsia="Charter Roman" w:hAnsi="Calisto MT" w:cs="Times New Roman"/>
          <w:color w:val="000000"/>
          <w:sz w:val="20"/>
          <w:szCs w:val="20"/>
        </w:rPr>
        <w:t xml:space="preserve">, 'How public is public law? the current state of open access to administrative court judgments' (2022) 27(2) Judicial Review 95; Václav </w:t>
      </w:r>
      <w:proofErr w:type="spellStart"/>
      <w:r w:rsidR="3C8AF05B" w:rsidRPr="005D705C">
        <w:rPr>
          <w:rFonts w:ascii="Calisto MT" w:eastAsia="Charter Roman" w:hAnsi="Calisto MT" w:cs="Times New Roman"/>
          <w:color w:val="000000"/>
          <w:sz w:val="20"/>
          <w:szCs w:val="20"/>
        </w:rPr>
        <w:t>Jane</w:t>
      </w:r>
      <w:r w:rsidR="3C8AF05B" w:rsidRPr="005D705C">
        <w:rPr>
          <w:rFonts w:ascii="Cambria" w:eastAsia="Charter Roman" w:hAnsi="Cambria" w:cs="Cambria"/>
          <w:color w:val="000000"/>
          <w:sz w:val="20"/>
          <w:szCs w:val="20"/>
        </w:rPr>
        <w:t>č</w:t>
      </w:r>
      <w:r w:rsidR="3C8AF05B" w:rsidRPr="005D705C">
        <w:rPr>
          <w:rFonts w:ascii="Calisto MT" w:eastAsia="Charter Roman" w:hAnsi="Calisto MT" w:cs="Times New Roman"/>
          <w:color w:val="000000"/>
          <w:sz w:val="20"/>
          <w:szCs w:val="20"/>
        </w:rPr>
        <w:t>ek</w:t>
      </w:r>
      <w:proofErr w:type="spellEnd"/>
      <w:r w:rsidR="3C8AF05B" w:rsidRPr="005D705C">
        <w:rPr>
          <w:rFonts w:ascii="Calisto MT" w:eastAsia="Charter Roman" w:hAnsi="Calisto MT" w:cs="Times New Roman"/>
          <w:color w:val="000000"/>
          <w:sz w:val="20"/>
          <w:szCs w:val="20"/>
        </w:rPr>
        <w:t xml:space="preserve">, ‘Judgments as bulk data’ (2023) 10(1) Big Data &amp; Society 20539517231160527; Paul Magrath and Greg Beresford, ‘Publication of listed judgments: Towards a new benchmark of digital open justice’ (2023) ICLR. </w:t>
      </w:r>
    </w:p>
  </w:footnote>
  <w:footnote w:id="122">
    <w:p w14:paraId="73CB8CEA"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Hoadley </w:t>
      </w:r>
      <w:r w:rsidRPr="005D705C">
        <w:rPr>
          <w:rFonts w:ascii="Calisto MT" w:eastAsia="Charter Roman" w:hAnsi="Calisto MT" w:cs="Times New Roman"/>
          <w:i/>
          <w:iCs/>
          <w:color w:val="000000"/>
          <w:sz w:val="20"/>
          <w:szCs w:val="20"/>
        </w:rPr>
        <w:t>et al</w:t>
      </w:r>
      <w:r w:rsidRPr="005D705C">
        <w:rPr>
          <w:rFonts w:ascii="Calisto MT" w:eastAsia="Charter Roman" w:hAnsi="Calisto MT" w:cs="Times New Roman"/>
          <w:color w:val="000000"/>
          <w:sz w:val="20"/>
          <w:szCs w:val="20"/>
        </w:rPr>
        <w:t xml:space="preserve"> (above n 121). </w:t>
      </w:r>
    </w:p>
  </w:footnote>
  <w:footnote w:id="123">
    <w:p w14:paraId="62E9F560" w14:textId="77777777" w:rsidR="00063158" w:rsidRPr="005D705C" w:rsidRDefault="00063158" w:rsidP="005D705C">
      <w:pPr>
        <w:pStyle w:val="FootnoteText"/>
        <w:jc w:val="both"/>
        <w:rPr>
          <w:rFonts w:ascii="Calisto MT" w:hAnsi="Calisto MT" w:cs="Times New Roman"/>
        </w:rPr>
      </w:pPr>
      <w:r w:rsidRPr="005D705C">
        <w:rPr>
          <w:rStyle w:val="FootnoteReference"/>
          <w:rFonts w:ascii="Calisto MT" w:hAnsi="Calisto MT" w:cs="Times New Roman"/>
        </w:rPr>
        <w:footnoteRef/>
      </w:r>
      <w:r w:rsidRPr="005D705C">
        <w:rPr>
          <w:rFonts w:ascii="Calisto MT" w:hAnsi="Calisto MT" w:cs="Times New Roman"/>
        </w:rPr>
        <w:t xml:space="preserve"> </w:t>
      </w:r>
      <w:r w:rsidRPr="005D705C">
        <w:rPr>
          <w:rFonts w:ascii="Calisto MT" w:eastAsia="Georgia" w:hAnsi="Calisto MT" w:cs="Times New Roman"/>
        </w:rPr>
        <w:t xml:space="preserve">This is not resolved by the new </w:t>
      </w:r>
      <w:proofErr w:type="spellStart"/>
      <w:r w:rsidRPr="005D705C">
        <w:rPr>
          <w:rFonts w:ascii="Calisto MT" w:eastAsia="Georgia" w:hAnsi="Calisto MT" w:cs="Times New Roman"/>
        </w:rPr>
        <w:t>FindCaseLaw</w:t>
      </w:r>
      <w:proofErr w:type="spellEnd"/>
      <w:r w:rsidRPr="005D705C">
        <w:rPr>
          <w:rFonts w:ascii="Calisto MT" w:eastAsia="Georgia" w:hAnsi="Calisto MT" w:cs="Times New Roman"/>
        </w:rPr>
        <w:t xml:space="preserve"> initiative rolled out by The National Archives, since the latter has provided a more secure portal-based way of dissemination but has not addressed the underlying selective approach to capturing the output of the courts </w:t>
      </w:r>
      <w:proofErr w:type="gramStart"/>
      <w:r w:rsidRPr="005D705C">
        <w:rPr>
          <w:rFonts w:ascii="Calisto MT" w:eastAsia="Georgia" w:hAnsi="Calisto MT" w:cs="Times New Roman"/>
        </w:rPr>
        <w:t>in order to</w:t>
      </w:r>
      <w:proofErr w:type="gramEnd"/>
      <w:r w:rsidRPr="005D705C">
        <w:rPr>
          <w:rFonts w:ascii="Calisto MT" w:eastAsia="Georgia" w:hAnsi="Calisto MT" w:cs="Times New Roman"/>
        </w:rPr>
        <w:t xml:space="preserve"> make it more comprehensive.</w:t>
      </w:r>
    </w:p>
  </w:footnote>
  <w:footnote w:id="124">
    <w:p w14:paraId="44775431" w14:textId="77777777" w:rsidR="00063158" w:rsidRPr="005D705C" w:rsidRDefault="00063158" w:rsidP="005D705C">
      <w:pPr>
        <w:jc w:val="both"/>
        <w:rPr>
          <w:rFonts w:ascii="Calisto MT" w:hAnsi="Calisto MT" w:cs="Times New Roman"/>
          <w:sz w:val="20"/>
          <w:szCs w:val="20"/>
        </w:rPr>
      </w:pPr>
      <w:r w:rsidRPr="005D705C">
        <w:rPr>
          <w:rStyle w:val="FootnoteReference"/>
          <w:rFonts w:ascii="Calisto MT" w:hAnsi="Calisto MT" w:cs="Times New Roman"/>
          <w:sz w:val="20"/>
          <w:szCs w:val="20"/>
        </w:rPr>
        <w:footnoteRef/>
      </w:r>
      <w:r w:rsidRPr="005D705C">
        <w:rPr>
          <w:rFonts w:ascii="Calisto MT" w:hAnsi="Calisto MT" w:cs="Times New Roman"/>
          <w:sz w:val="20"/>
          <w:szCs w:val="20"/>
        </w:rPr>
        <w:t xml:space="preserve"> </w:t>
      </w:r>
      <w:r w:rsidRPr="005D705C">
        <w:rPr>
          <w:rFonts w:ascii="Calisto MT" w:eastAsia="Arial" w:hAnsi="Calisto MT" w:cs="Times New Roman"/>
          <w:sz w:val="20"/>
          <w:szCs w:val="20"/>
        </w:rPr>
        <w:t xml:space="preserve">Paul </w:t>
      </w:r>
      <w:r w:rsidRPr="005D705C">
        <w:rPr>
          <w:rFonts w:ascii="Calisto MT" w:eastAsia="Arial" w:hAnsi="Calisto MT" w:cs="Times New Roman"/>
          <w:color w:val="222222"/>
          <w:sz w:val="20"/>
          <w:szCs w:val="20"/>
        </w:rPr>
        <w:t xml:space="preserve">Magrath, ‘Judgments </w:t>
      </w:r>
      <w:r w:rsidRPr="005D705C">
        <w:rPr>
          <w:rFonts w:ascii="Calisto MT" w:eastAsia="Arial" w:hAnsi="Calisto MT" w:cs="Times New Roman"/>
          <w:color w:val="222222"/>
          <w:sz w:val="20"/>
          <w:szCs w:val="20"/>
          <w:highlight w:val="white"/>
        </w:rPr>
        <w:t xml:space="preserve">as Public Information’ (2015) 15(3) </w:t>
      </w:r>
      <w:r w:rsidRPr="005D705C">
        <w:rPr>
          <w:rFonts w:ascii="Calisto MT" w:eastAsia="Arial" w:hAnsi="Calisto MT" w:cs="Times New Roman"/>
          <w:i/>
          <w:iCs/>
          <w:color w:val="222222"/>
          <w:sz w:val="20"/>
          <w:szCs w:val="20"/>
          <w:highlight w:val="white"/>
        </w:rPr>
        <w:t>Legal Information Managemen</w:t>
      </w:r>
      <w:r w:rsidRPr="005D705C">
        <w:rPr>
          <w:rFonts w:ascii="Calisto MT" w:eastAsia="Arial" w:hAnsi="Calisto MT" w:cs="Times New Roman"/>
          <w:color w:val="222222"/>
          <w:sz w:val="20"/>
          <w:szCs w:val="20"/>
          <w:highlight w:val="white"/>
        </w:rPr>
        <w:t>t 189-195.</w:t>
      </w:r>
    </w:p>
  </w:footnote>
  <w:footnote w:id="125">
    <w:p w14:paraId="30E5C05B"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Hoadley and others (n </w:t>
      </w:r>
      <w:r w:rsidRPr="005D705C">
        <w:rPr>
          <w:rFonts w:ascii="Calisto MT" w:eastAsia="Charter Roman" w:hAnsi="Calisto MT" w:cs="Times New Roman"/>
          <w:sz w:val="20"/>
          <w:szCs w:val="20"/>
        </w:rPr>
        <w:t>80</w:t>
      </w:r>
      <w:r w:rsidRPr="005D705C">
        <w:rPr>
          <w:rFonts w:ascii="Calisto MT" w:eastAsia="Charter Roman" w:hAnsi="Calisto MT" w:cs="Times New Roman"/>
          <w:color w:val="000000"/>
          <w:sz w:val="20"/>
          <w:szCs w:val="20"/>
        </w:rPr>
        <w:t xml:space="preserve">). </w:t>
      </w:r>
    </w:p>
  </w:footnote>
  <w:footnote w:id="126">
    <w:p w14:paraId="791133C1"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Lucy (n </w:t>
      </w:r>
      <w:r w:rsidRPr="005D705C">
        <w:rPr>
          <w:rFonts w:ascii="Calisto MT" w:eastAsia="Charter Roman" w:hAnsi="Calisto MT" w:cs="Times New Roman"/>
          <w:sz w:val="20"/>
          <w:szCs w:val="20"/>
        </w:rPr>
        <w:t>118 above</w:t>
      </w:r>
      <w:r w:rsidRPr="005D705C">
        <w:rPr>
          <w:rFonts w:ascii="Calisto MT" w:eastAsia="Charter Roman" w:hAnsi="Calisto MT" w:cs="Times New Roman"/>
          <w:color w:val="000000"/>
          <w:sz w:val="20"/>
          <w:szCs w:val="20"/>
        </w:rPr>
        <w:t xml:space="preserve">) 381. </w:t>
      </w:r>
    </w:p>
  </w:footnote>
  <w:footnote w:id="127">
    <w:p w14:paraId="23FB6502"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Catrina Denvir, Jacqueline </w:t>
      </w:r>
      <w:proofErr w:type="spellStart"/>
      <w:r w:rsidRPr="005D705C">
        <w:rPr>
          <w:rFonts w:ascii="Calisto MT" w:eastAsia="Charter Roman" w:hAnsi="Calisto MT" w:cs="Times New Roman"/>
          <w:color w:val="000000"/>
          <w:sz w:val="20"/>
          <w:szCs w:val="20"/>
        </w:rPr>
        <w:t>Kinghan</w:t>
      </w:r>
      <w:proofErr w:type="spellEnd"/>
      <w:r w:rsidRPr="005D705C">
        <w:rPr>
          <w:rFonts w:ascii="Calisto MT" w:eastAsia="Charter Roman" w:hAnsi="Calisto MT" w:cs="Times New Roman"/>
          <w:color w:val="000000"/>
          <w:sz w:val="20"/>
          <w:szCs w:val="20"/>
        </w:rPr>
        <w:t xml:space="preserve">, Jessica </w:t>
      </w:r>
      <w:proofErr w:type="spellStart"/>
      <w:r w:rsidRPr="005D705C">
        <w:rPr>
          <w:rFonts w:ascii="Calisto MT" w:eastAsia="Charter Roman" w:hAnsi="Calisto MT" w:cs="Times New Roman"/>
          <w:color w:val="000000"/>
          <w:sz w:val="20"/>
          <w:szCs w:val="20"/>
        </w:rPr>
        <w:t>Mant</w:t>
      </w:r>
      <w:proofErr w:type="spellEnd"/>
      <w:r w:rsidRPr="005D705C">
        <w:rPr>
          <w:rFonts w:ascii="Calisto MT" w:eastAsia="Charter Roman" w:hAnsi="Calisto MT" w:cs="Times New Roman"/>
          <w:color w:val="000000"/>
          <w:sz w:val="20"/>
          <w:szCs w:val="20"/>
        </w:rPr>
        <w:t xml:space="preserve"> and Daniel Newman, </w:t>
      </w:r>
      <w:r w:rsidRPr="005D705C">
        <w:rPr>
          <w:rFonts w:ascii="Calisto MT" w:eastAsia="Charter Roman" w:hAnsi="Calisto MT" w:cs="Times New Roman"/>
          <w:i/>
          <w:color w:val="000000"/>
          <w:sz w:val="20"/>
          <w:szCs w:val="20"/>
        </w:rPr>
        <w:t xml:space="preserve">Legal Aid and the Future of Access to Justice </w:t>
      </w:r>
      <w:r w:rsidRPr="005D705C">
        <w:rPr>
          <w:rFonts w:ascii="Calisto MT" w:eastAsia="Charter Roman" w:hAnsi="Calisto MT" w:cs="Times New Roman"/>
          <w:color w:val="000000"/>
          <w:sz w:val="20"/>
          <w:szCs w:val="20"/>
        </w:rPr>
        <w:t xml:space="preserve">(Hart 2023) 1. </w:t>
      </w:r>
    </w:p>
  </w:footnote>
  <w:footnote w:id="128">
    <w:p w14:paraId="7E5EB4CC" w14:textId="77777777" w:rsidR="00063158" w:rsidRPr="005D705C" w:rsidRDefault="00063158" w:rsidP="005D705C">
      <w:pPr>
        <w:jc w:val="both"/>
        <w:rPr>
          <w:rFonts w:ascii="Calisto MT" w:eastAsia="Charter Roman" w:hAnsi="Calisto MT" w:cs="Times New Roman"/>
          <w:color w:val="000000"/>
          <w:sz w:val="20"/>
          <w:szCs w:val="20"/>
          <w:u w:val="single"/>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See e.g., Hannes Westermann and Karim </w:t>
      </w:r>
      <w:proofErr w:type="spellStart"/>
      <w:r w:rsidRPr="005D705C">
        <w:rPr>
          <w:rFonts w:ascii="Calisto MT" w:eastAsia="Charter Roman" w:hAnsi="Calisto MT" w:cs="Times New Roman"/>
          <w:color w:val="000000"/>
          <w:sz w:val="20"/>
          <w:szCs w:val="20"/>
        </w:rPr>
        <w:t>Benyekhlef</w:t>
      </w:r>
      <w:proofErr w:type="spellEnd"/>
      <w:r w:rsidRPr="005D705C">
        <w:rPr>
          <w:rFonts w:ascii="Calisto MT" w:eastAsia="Charter Roman" w:hAnsi="Calisto MT" w:cs="Times New Roman"/>
          <w:color w:val="000000"/>
          <w:sz w:val="20"/>
          <w:szCs w:val="20"/>
        </w:rPr>
        <w:t>, ‘</w:t>
      </w:r>
      <w:proofErr w:type="spellStart"/>
      <w:r w:rsidRPr="005D705C">
        <w:rPr>
          <w:rFonts w:ascii="Calisto MT" w:eastAsia="Charter Roman" w:hAnsi="Calisto MT" w:cs="Times New Roman"/>
          <w:color w:val="000000"/>
          <w:sz w:val="20"/>
          <w:szCs w:val="20"/>
        </w:rPr>
        <w:t>JusticeBot</w:t>
      </w:r>
      <w:proofErr w:type="spellEnd"/>
      <w:r w:rsidRPr="005D705C">
        <w:rPr>
          <w:rFonts w:ascii="Calisto MT" w:eastAsia="Charter Roman" w:hAnsi="Calisto MT" w:cs="Times New Roman"/>
          <w:color w:val="000000"/>
          <w:sz w:val="20"/>
          <w:szCs w:val="20"/>
        </w:rPr>
        <w:t xml:space="preserve">: A Methodology for Building Augmented Intelligence Tools for Laypeople to Increase Access to Justice’ (June 2023) </w:t>
      </w:r>
      <w:r w:rsidRPr="005D705C">
        <w:rPr>
          <w:rFonts w:ascii="Calisto MT" w:eastAsia="Charter Roman" w:hAnsi="Calisto MT" w:cs="Times New Roman"/>
          <w:i/>
          <w:iCs/>
          <w:color w:val="000000"/>
          <w:sz w:val="20"/>
          <w:szCs w:val="20"/>
        </w:rPr>
        <w:t>ICAIL '23: Proceedings of the Nineteenth International Conference on Artificial Intelligence and Law</w:t>
      </w:r>
      <w:r w:rsidRPr="005D705C">
        <w:rPr>
          <w:rFonts w:ascii="Calisto MT" w:eastAsia="Charter Roman" w:hAnsi="Calisto MT" w:cs="Times New Roman"/>
          <w:color w:val="000000"/>
          <w:sz w:val="20"/>
          <w:szCs w:val="20"/>
        </w:rPr>
        <w:t xml:space="preserve"> 351.</w:t>
      </w:r>
    </w:p>
  </w:footnote>
  <w:footnote w:id="129">
    <w:p w14:paraId="64A25B59"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w:t>
      </w:r>
      <w:r w:rsidRPr="005D705C">
        <w:rPr>
          <w:rFonts w:ascii="Calisto MT" w:eastAsia="Charter Roman" w:hAnsi="Calisto MT" w:cs="Times New Roman"/>
          <w:i/>
          <w:color w:val="000000"/>
          <w:sz w:val="20"/>
          <w:szCs w:val="20"/>
        </w:rPr>
        <w:t>R (on the application of UNISON) (Appellant) v Lord Chancellor (Respondent)</w:t>
      </w:r>
      <w:r w:rsidRPr="005D705C">
        <w:rPr>
          <w:rFonts w:ascii="Calisto MT" w:eastAsia="Charter Roman" w:hAnsi="Calisto MT" w:cs="Times New Roman"/>
          <w:color w:val="000000"/>
          <w:sz w:val="20"/>
          <w:szCs w:val="20"/>
        </w:rPr>
        <w:t xml:space="preserve"> [2017] UKSC 51 [68] (Lord Reed). </w:t>
      </w:r>
    </w:p>
  </w:footnote>
  <w:footnote w:id="130">
    <w:p w14:paraId="439747DD" w14:textId="77777777" w:rsidR="00063158" w:rsidRPr="005D705C" w:rsidRDefault="00063158" w:rsidP="005D705C">
      <w:pPr>
        <w:pBdr>
          <w:top w:val="nil"/>
          <w:left w:val="nil"/>
          <w:bottom w:val="nil"/>
          <w:right w:val="nil"/>
          <w:between w:val="nil"/>
        </w:pBdr>
        <w:jc w:val="both"/>
        <w:rPr>
          <w:rFonts w:ascii="Calisto MT" w:eastAsia="Charter Roman" w:hAnsi="Calisto MT" w:cs="Times New Roman"/>
          <w:color w:val="000000"/>
          <w:sz w:val="20"/>
          <w:szCs w:val="20"/>
        </w:rPr>
      </w:pPr>
      <w:r w:rsidRPr="005D705C">
        <w:rPr>
          <w:rStyle w:val="FootnoteReference"/>
          <w:rFonts w:ascii="Calisto MT" w:hAnsi="Calisto MT" w:cs="Times New Roman"/>
          <w:sz w:val="20"/>
          <w:szCs w:val="20"/>
        </w:rPr>
        <w:footnoteRef/>
      </w:r>
      <w:r w:rsidRPr="005D705C">
        <w:rPr>
          <w:rFonts w:ascii="Calisto MT" w:eastAsia="Charter Roman" w:hAnsi="Calisto MT" w:cs="Times New Roman"/>
          <w:color w:val="000000"/>
          <w:sz w:val="20"/>
          <w:szCs w:val="20"/>
        </w:rPr>
        <w:t xml:space="preserve"> Kathy Laster and Ryan Kornhauser, ‘The Rise of DIY Law: Implications for Legal Aid’ in Asher Flynn and Jacqueline Hodgson (eds.), </w:t>
      </w:r>
      <w:r w:rsidRPr="005D705C">
        <w:rPr>
          <w:rFonts w:ascii="Calisto MT" w:eastAsia="Charter Roman" w:hAnsi="Calisto MT" w:cs="Times New Roman"/>
          <w:i/>
          <w:color w:val="000000"/>
          <w:sz w:val="20"/>
          <w:szCs w:val="20"/>
        </w:rPr>
        <w:t xml:space="preserve">Access to Justice and Legal Aid </w:t>
      </w:r>
      <w:r w:rsidRPr="005D705C">
        <w:rPr>
          <w:rFonts w:ascii="Calisto MT" w:eastAsia="Charter Roman" w:hAnsi="Calisto MT" w:cs="Times New Roman"/>
          <w:color w:val="000000"/>
          <w:sz w:val="20"/>
          <w:szCs w:val="20"/>
        </w:rPr>
        <w:t xml:space="preserve">(Hart 2017), 123. See also: Matthew Groves, ‘Equality of Arms in Administrative Review’ (2023) 46(3) </w:t>
      </w:r>
      <w:r w:rsidRPr="005D705C">
        <w:rPr>
          <w:rFonts w:ascii="Calisto MT" w:eastAsia="Charter Roman" w:hAnsi="Calisto MT" w:cs="Times New Roman"/>
          <w:i/>
          <w:iCs/>
          <w:color w:val="000000"/>
          <w:sz w:val="20"/>
          <w:szCs w:val="20"/>
        </w:rPr>
        <w:t xml:space="preserve">Melbourne University Law Review </w:t>
      </w:r>
      <w:r w:rsidRPr="005D705C">
        <w:rPr>
          <w:rFonts w:ascii="Calisto MT" w:eastAsia="Charter Roman" w:hAnsi="Calisto MT" w:cs="Times New Roman"/>
          <w:color w:val="000000"/>
          <w:sz w:val="20"/>
          <w:szCs w:val="20"/>
        </w:rPr>
        <w:t>726.</w:t>
      </w:r>
    </w:p>
  </w:footnote>
  <w:footnote w:id="131">
    <w:p w14:paraId="1DACBDA8" w14:textId="77777777" w:rsidR="00063158" w:rsidRPr="005D705C" w:rsidRDefault="00063158" w:rsidP="005D705C">
      <w:pPr>
        <w:pStyle w:val="FootnoteText"/>
        <w:jc w:val="both"/>
        <w:rPr>
          <w:rFonts w:ascii="Calisto MT" w:hAnsi="Calisto MT" w:cs="Times New Roman"/>
        </w:rPr>
      </w:pPr>
      <w:r w:rsidRPr="005D705C">
        <w:rPr>
          <w:rStyle w:val="FootnoteReference"/>
          <w:rFonts w:ascii="Calisto MT" w:hAnsi="Calisto MT" w:cs="Times New Roman"/>
        </w:rPr>
        <w:footnoteRef/>
      </w:r>
      <w:r w:rsidRPr="005D705C">
        <w:rPr>
          <w:rFonts w:ascii="Calisto MT" w:hAnsi="Calisto MT" w:cs="Times New Roman"/>
        </w:rPr>
        <w:t xml:space="preserve"> Abigail Adams and Jeremias </w:t>
      </w:r>
      <w:proofErr w:type="spellStart"/>
      <w:r w:rsidRPr="005D705C">
        <w:rPr>
          <w:rFonts w:ascii="Calisto MT" w:hAnsi="Calisto MT" w:cs="Times New Roman"/>
        </w:rPr>
        <w:t>Prassl</w:t>
      </w:r>
      <w:proofErr w:type="spellEnd"/>
      <w:r w:rsidRPr="005D705C">
        <w:rPr>
          <w:rFonts w:ascii="Calisto MT" w:hAnsi="Calisto MT" w:cs="Times New Roman"/>
        </w:rPr>
        <w:t xml:space="preserve">, ‘Vexatious Claims: Challenging the Case for Employment Tribunal Fees’ (2017) 80(3) </w:t>
      </w:r>
      <w:r w:rsidRPr="005D705C">
        <w:rPr>
          <w:rFonts w:ascii="Calisto MT" w:hAnsi="Calisto MT" w:cs="Times New Roman"/>
          <w:i/>
        </w:rPr>
        <w:t xml:space="preserve">Modern Law Review </w:t>
      </w:r>
      <w:r w:rsidRPr="005D705C">
        <w:rPr>
          <w:rFonts w:ascii="Calisto MT" w:hAnsi="Calisto MT" w:cs="Times New Roman"/>
        </w:rPr>
        <w:t>412.</w:t>
      </w:r>
    </w:p>
  </w:footnote>
  <w:footnote w:id="132">
    <w:p w14:paraId="06F49DBE" w14:textId="77777777" w:rsidR="00063158" w:rsidRPr="002F171D" w:rsidRDefault="00063158" w:rsidP="005D705C">
      <w:pPr>
        <w:pStyle w:val="FootnoteText"/>
        <w:jc w:val="both"/>
        <w:rPr>
          <w:rFonts w:ascii="Calisto MT" w:hAnsi="Calisto MT" w:cs="Times New Roman"/>
        </w:rPr>
      </w:pPr>
      <w:r w:rsidRPr="005D705C">
        <w:rPr>
          <w:rStyle w:val="FootnoteReference"/>
          <w:rFonts w:ascii="Calisto MT" w:hAnsi="Calisto MT" w:cs="Times New Roman"/>
        </w:rPr>
        <w:footnoteRef/>
      </w:r>
      <w:r w:rsidRPr="005D705C">
        <w:rPr>
          <w:rFonts w:ascii="Calisto MT" w:hAnsi="Calisto MT" w:cs="Times New Roman"/>
        </w:rPr>
        <w:t xml:space="preserve"> For general discussion on these elements of judicial review, see: Joe Tomlinson and Anne Carter (eds), </w:t>
      </w:r>
      <w:r w:rsidRPr="005D705C">
        <w:rPr>
          <w:rFonts w:ascii="Calisto MT" w:hAnsi="Calisto MT" w:cs="Times New Roman"/>
          <w:i/>
          <w:iCs/>
        </w:rPr>
        <w:t>Fact in Public Law Adjudication</w:t>
      </w:r>
      <w:r w:rsidRPr="005D705C">
        <w:rPr>
          <w:rFonts w:ascii="Calisto MT" w:hAnsi="Calisto MT" w:cs="Times New Roman"/>
        </w:rPr>
        <w:t xml:space="preserve"> (Hart Bloomsbury, 2023); Joe Tomlinson, Katy Sheridan, and Adam Harkens, ‘Judicial Review Evidence in the Era of the Digital State’ [2020] P.L. 740.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numFmt w:val="chicago"/>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158"/>
    <w:rsid w:val="0000A783"/>
    <w:rsid w:val="00063158"/>
    <w:rsid w:val="001A75B4"/>
    <w:rsid w:val="002F171D"/>
    <w:rsid w:val="00314A0D"/>
    <w:rsid w:val="003161F8"/>
    <w:rsid w:val="00316960"/>
    <w:rsid w:val="003479AD"/>
    <w:rsid w:val="0051528C"/>
    <w:rsid w:val="00573A75"/>
    <w:rsid w:val="005D705C"/>
    <w:rsid w:val="006F247F"/>
    <w:rsid w:val="008670D5"/>
    <w:rsid w:val="00902A47"/>
    <w:rsid w:val="00917DD3"/>
    <w:rsid w:val="00A16FD3"/>
    <w:rsid w:val="00A41481"/>
    <w:rsid w:val="00CA7C98"/>
    <w:rsid w:val="00DE368B"/>
    <w:rsid w:val="00FC1061"/>
    <w:rsid w:val="00FC40BA"/>
    <w:rsid w:val="0112B500"/>
    <w:rsid w:val="026025D6"/>
    <w:rsid w:val="0261A42D"/>
    <w:rsid w:val="027FAE7D"/>
    <w:rsid w:val="02899351"/>
    <w:rsid w:val="02BA1CE5"/>
    <w:rsid w:val="03047E26"/>
    <w:rsid w:val="0320FB7A"/>
    <w:rsid w:val="0453A3F3"/>
    <w:rsid w:val="0455F60C"/>
    <w:rsid w:val="046A5295"/>
    <w:rsid w:val="055F2C4C"/>
    <w:rsid w:val="05EF0C83"/>
    <w:rsid w:val="05F12A59"/>
    <w:rsid w:val="060AB687"/>
    <w:rsid w:val="0651078C"/>
    <w:rsid w:val="06614155"/>
    <w:rsid w:val="067642B1"/>
    <w:rsid w:val="067C0F1D"/>
    <w:rsid w:val="070F1F17"/>
    <w:rsid w:val="07C4BA2C"/>
    <w:rsid w:val="07D9B5C4"/>
    <w:rsid w:val="0845AC98"/>
    <w:rsid w:val="08576C40"/>
    <w:rsid w:val="08CD08DF"/>
    <w:rsid w:val="0963A6FC"/>
    <w:rsid w:val="0978F8F7"/>
    <w:rsid w:val="0985728D"/>
    <w:rsid w:val="099FEFA6"/>
    <w:rsid w:val="0AB36750"/>
    <w:rsid w:val="0AC52511"/>
    <w:rsid w:val="0AEC05C6"/>
    <w:rsid w:val="0AF1D252"/>
    <w:rsid w:val="0BCD160B"/>
    <w:rsid w:val="0BDD6837"/>
    <w:rsid w:val="0C448736"/>
    <w:rsid w:val="0CE6CAE8"/>
    <w:rsid w:val="0F2936F4"/>
    <w:rsid w:val="1064D4D0"/>
    <w:rsid w:val="10AE19CF"/>
    <w:rsid w:val="10AF7BD8"/>
    <w:rsid w:val="10DCD708"/>
    <w:rsid w:val="11205A7F"/>
    <w:rsid w:val="115731ED"/>
    <w:rsid w:val="1178CFF0"/>
    <w:rsid w:val="11B9B27D"/>
    <w:rsid w:val="120F2C66"/>
    <w:rsid w:val="12253640"/>
    <w:rsid w:val="124A8A60"/>
    <w:rsid w:val="126E1750"/>
    <w:rsid w:val="129DE1D7"/>
    <w:rsid w:val="12D46D0A"/>
    <w:rsid w:val="13228D36"/>
    <w:rsid w:val="136E924B"/>
    <w:rsid w:val="13D55AEF"/>
    <w:rsid w:val="1495FF13"/>
    <w:rsid w:val="14A9AC66"/>
    <w:rsid w:val="15C6A71E"/>
    <w:rsid w:val="15CE4A13"/>
    <w:rsid w:val="161323B5"/>
    <w:rsid w:val="162E24DB"/>
    <w:rsid w:val="169CEB36"/>
    <w:rsid w:val="16E303AF"/>
    <w:rsid w:val="1746384B"/>
    <w:rsid w:val="18511460"/>
    <w:rsid w:val="198C712F"/>
    <w:rsid w:val="19B862D8"/>
    <w:rsid w:val="19E51888"/>
    <w:rsid w:val="19E7096B"/>
    <w:rsid w:val="1A0B0FFB"/>
    <w:rsid w:val="1A969929"/>
    <w:rsid w:val="1B338E17"/>
    <w:rsid w:val="1B5D4ADD"/>
    <w:rsid w:val="1B7D3C15"/>
    <w:rsid w:val="1CF06D3D"/>
    <w:rsid w:val="1CF6DD7C"/>
    <w:rsid w:val="1E5BBFBF"/>
    <w:rsid w:val="1E6DC050"/>
    <w:rsid w:val="1EB9CFC6"/>
    <w:rsid w:val="1EF85A3D"/>
    <w:rsid w:val="1FE58420"/>
    <w:rsid w:val="2012A58A"/>
    <w:rsid w:val="20B3C1AF"/>
    <w:rsid w:val="20C34D6A"/>
    <w:rsid w:val="20FBD7B9"/>
    <w:rsid w:val="2114D83B"/>
    <w:rsid w:val="2140003A"/>
    <w:rsid w:val="2146968D"/>
    <w:rsid w:val="22427392"/>
    <w:rsid w:val="229B00E9"/>
    <w:rsid w:val="230B1AB4"/>
    <w:rsid w:val="236879C9"/>
    <w:rsid w:val="23816082"/>
    <w:rsid w:val="239183CC"/>
    <w:rsid w:val="24248BD2"/>
    <w:rsid w:val="244ED975"/>
    <w:rsid w:val="2459CE00"/>
    <w:rsid w:val="24A29199"/>
    <w:rsid w:val="2501A23D"/>
    <w:rsid w:val="253965B4"/>
    <w:rsid w:val="255E4D8A"/>
    <w:rsid w:val="25DADDA6"/>
    <w:rsid w:val="26084CEF"/>
    <w:rsid w:val="26A94331"/>
    <w:rsid w:val="26D250B6"/>
    <w:rsid w:val="281A85A5"/>
    <w:rsid w:val="283D04F6"/>
    <w:rsid w:val="2947EBAC"/>
    <w:rsid w:val="29AEE535"/>
    <w:rsid w:val="29F03ED4"/>
    <w:rsid w:val="2A55C81C"/>
    <w:rsid w:val="2B49BA04"/>
    <w:rsid w:val="2B76A4DE"/>
    <w:rsid w:val="2B82089B"/>
    <w:rsid w:val="2B8F372A"/>
    <w:rsid w:val="2C04AA87"/>
    <w:rsid w:val="2CEAFAD3"/>
    <w:rsid w:val="2D1C9D6D"/>
    <w:rsid w:val="2D6045B5"/>
    <w:rsid w:val="2D62BC9A"/>
    <w:rsid w:val="2D8AA51B"/>
    <w:rsid w:val="2E1300E5"/>
    <w:rsid w:val="2E8BB622"/>
    <w:rsid w:val="2EA259E2"/>
    <w:rsid w:val="2EAD1A86"/>
    <w:rsid w:val="2EC65FAB"/>
    <w:rsid w:val="2EDDFD9A"/>
    <w:rsid w:val="2F215AAF"/>
    <w:rsid w:val="2F6DCF88"/>
    <w:rsid w:val="301FD4B4"/>
    <w:rsid w:val="30A72457"/>
    <w:rsid w:val="3144049C"/>
    <w:rsid w:val="32468B32"/>
    <w:rsid w:val="3301C33B"/>
    <w:rsid w:val="33EAB9F1"/>
    <w:rsid w:val="33FCC9FD"/>
    <w:rsid w:val="347CBC42"/>
    <w:rsid w:val="3489BB61"/>
    <w:rsid w:val="34C3EA5E"/>
    <w:rsid w:val="34C53DF8"/>
    <w:rsid w:val="34ED4A5C"/>
    <w:rsid w:val="3587B66D"/>
    <w:rsid w:val="3633078C"/>
    <w:rsid w:val="37274A29"/>
    <w:rsid w:val="37C11C4E"/>
    <w:rsid w:val="38549560"/>
    <w:rsid w:val="3856A0B1"/>
    <w:rsid w:val="385E8843"/>
    <w:rsid w:val="386242D4"/>
    <w:rsid w:val="390659C2"/>
    <w:rsid w:val="3AAEE03C"/>
    <w:rsid w:val="3AB4B627"/>
    <w:rsid w:val="3AEEAB27"/>
    <w:rsid w:val="3B2238B3"/>
    <w:rsid w:val="3BB7FE51"/>
    <w:rsid w:val="3C3F6B49"/>
    <w:rsid w:val="3C8AF05B"/>
    <w:rsid w:val="3CD817FB"/>
    <w:rsid w:val="3D2FA462"/>
    <w:rsid w:val="3D3B85D6"/>
    <w:rsid w:val="3D4C4D65"/>
    <w:rsid w:val="3D746F59"/>
    <w:rsid w:val="3D9FBD2D"/>
    <w:rsid w:val="3DABC961"/>
    <w:rsid w:val="3E00F446"/>
    <w:rsid w:val="3EAF0A3C"/>
    <w:rsid w:val="3EED5346"/>
    <w:rsid w:val="3FBFB0B9"/>
    <w:rsid w:val="401E6222"/>
    <w:rsid w:val="404F3E13"/>
    <w:rsid w:val="40DF6999"/>
    <w:rsid w:val="41044C46"/>
    <w:rsid w:val="417FABD4"/>
    <w:rsid w:val="41A14DA8"/>
    <w:rsid w:val="4326A668"/>
    <w:rsid w:val="43A27C23"/>
    <w:rsid w:val="43BEF721"/>
    <w:rsid w:val="43DC93C3"/>
    <w:rsid w:val="43FB581D"/>
    <w:rsid w:val="4444700A"/>
    <w:rsid w:val="44654389"/>
    <w:rsid w:val="44774804"/>
    <w:rsid w:val="448AA2AC"/>
    <w:rsid w:val="44903D8E"/>
    <w:rsid w:val="45263D69"/>
    <w:rsid w:val="4577A174"/>
    <w:rsid w:val="45CCEE7B"/>
    <w:rsid w:val="4602E819"/>
    <w:rsid w:val="4636990E"/>
    <w:rsid w:val="46E17A45"/>
    <w:rsid w:val="4735BD56"/>
    <w:rsid w:val="47BD5ED5"/>
    <w:rsid w:val="48380559"/>
    <w:rsid w:val="48606DA8"/>
    <w:rsid w:val="4884C04C"/>
    <w:rsid w:val="49ABBAE2"/>
    <w:rsid w:val="49FB6BEB"/>
    <w:rsid w:val="4A91F54A"/>
    <w:rsid w:val="4B0EC5C6"/>
    <w:rsid w:val="4B2E0C33"/>
    <w:rsid w:val="4B91B42D"/>
    <w:rsid w:val="4C0B1630"/>
    <w:rsid w:val="4C44866F"/>
    <w:rsid w:val="4C8CBACA"/>
    <w:rsid w:val="4D33E583"/>
    <w:rsid w:val="4D6BFDD1"/>
    <w:rsid w:val="4E032358"/>
    <w:rsid w:val="4ED913F3"/>
    <w:rsid w:val="4EF563DA"/>
    <w:rsid w:val="5036F6D4"/>
    <w:rsid w:val="506D1900"/>
    <w:rsid w:val="509274AF"/>
    <w:rsid w:val="509524C0"/>
    <w:rsid w:val="50A0E539"/>
    <w:rsid w:val="50B36064"/>
    <w:rsid w:val="51BD0C1E"/>
    <w:rsid w:val="51FCE957"/>
    <w:rsid w:val="52431FF6"/>
    <w:rsid w:val="52CE18CE"/>
    <w:rsid w:val="52E8061A"/>
    <w:rsid w:val="52FAA943"/>
    <w:rsid w:val="537FF77D"/>
    <w:rsid w:val="53EBE6E1"/>
    <w:rsid w:val="5472C10E"/>
    <w:rsid w:val="5507AE07"/>
    <w:rsid w:val="550B0AA5"/>
    <w:rsid w:val="5517CECE"/>
    <w:rsid w:val="55266A2F"/>
    <w:rsid w:val="554988BC"/>
    <w:rsid w:val="5572FBB7"/>
    <w:rsid w:val="5595134A"/>
    <w:rsid w:val="5636CFD2"/>
    <w:rsid w:val="56AF94EF"/>
    <w:rsid w:val="56C8E6B3"/>
    <w:rsid w:val="56EF2E8F"/>
    <w:rsid w:val="56F449F4"/>
    <w:rsid w:val="56F6DE2F"/>
    <w:rsid w:val="5704CB77"/>
    <w:rsid w:val="5742FBE4"/>
    <w:rsid w:val="57B03D59"/>
    <w:rsid w:val="57C9FCA6"/>
    <w:rsid w:val="57FA736A"/>
    <w:rsid w:val="5804BDDF"/>
    <w:rsid w:val="587AC24F"/>
    <w:rsid w:val="58C48326"/>
    <w:rsid w:val="59BCA482"/>
    <w:rsid w:val="59FDF124"/>
    <w:rsid w:val="5A514CC0"/>
    <w:rsid w:val="5CBA5F92"/>
    <w:rsid w:val="5DC8EE3F"/>
    <w:rsid w:val="5DD04723"/>
    <w:rsid w:val="5E6F6DB8"/>
    <w:rsid w:val="5EBD77D3"/>
    <w:rsid w:val="5F39657B"/>
    <w:rsid w:val="5F8F3399"/>
    <w:rsid w:val="5FE75F8C"/>
    <w:rsid w:val="604970A7"/>
    <w:rsid w:val="60710625"/>
    <w:rsid w:val="610C5D47"/>
    <w:rsid w:val="62109C2F"/>
    <w:rsid w:val="6218A143"/>
    <w:rsid w:val="625645AE"/>
    <w:rsid w:val="62630BC2"/>
    <w:rsid w:val="62998190"/>
    <w:rsid w:val="62BD81DA"/>
    <w:rsid w:val="62CE0883"/>
    <w:rsid w:val="62DB4359"/>
    <w:rsid w:val="63782D9D"/>
    <w:rsid w:val="6379723B"/>
    <w:rsid w:val="6386A107"/>
    <w:rsid w:val="63DB98B4"/>
    <w:rsid w:val="640BE077"/>
    <w:rsid w:val="64572C29"/>
    <w:rsid w:val="6479B1DF"/>
    <w:rsid w:val="647E13A6"/>
    <w:rsid w:val="6528BD93"/>
    <w:rsid w:val="656A1A31"/>
    <w:rsid w:val="664E607B"/>
    <w:rsid w:val="66CC61E4"/>
    <w:rsid w:val="66CEBE6A"/>
    <w:rsid w:val="679F3F33"/>
    <w:rsid w:val="67BB2114"/>
    <w:rsid w:val="67DC8E18"/>
    <w:rsid w:val="69FDC9C5"/>
    <w:rsid w:val="6A2587FC"/>
    <w:rsid w:val="6A640C8A"/>
    <w:rsid w:val="6A8D4A3B"/>
    <w:rsid w:val="6AF7BAC1"/>
    <w:rsid w:val="6BEC6FE0"/>
    <w:rsid w:val="6C4E6B78"/>
    <w:rsid w:val="6C7C06E9"/>
    <w:rsid w:val="6CBC3FEF"/>
    <w:rsid w:val="6D9F7E43"/>
    <w:rsid w:val="6DE40535"/>
    <w:rsid w:val="6DF5F04D"/>
    <w:rsid w:val="6E00AD77"/>
    <w:rsid w:val="6E934895"/>
    <w:rsid w:val="6FA343B0"/>
    <w:rsid w:val="6FADC1D8"/>
    <w:rsid w:val="7005CD6F"/>
    <w:rsid w:val="70211C7C"/>
    <w:rsid w:val="70BBA619"/>
    <w:rsid w:val="711A4C89"/>
    <w:rsid w:val="7199ACB9"/>
    <w:rsid w:val="71DCCE62"/>
    <w:rsid w:val="721AF6C1"/>
    <w:rsid w:val="723D02D8"/>
    <w:rsid w:val="740C12A3"/>
    <w:rsid w:val="74593677"/>
    <w:rsid w:val="74A5131B"/>
    <w:rsid w:val="74D9E6B7"/>
    <w:rsid w:val="74FBD86C"/>
    <w:rsid w:val="75039C70"/>
    <w:rsid w:val="756BE069"/>
    <w:rsid w:val="7580BDDA"/>
    <w:rsid w:val="75E32013"/>
    <w:rsid w:val="76090332"/>
    <w:rsid w:val="76219582"/>
    <w:rsid w:val="76530292"/>
    <w:rsid w:val="76826544"/>
    <w:rsid w:val="76F39D15"/>
    <w:rsid w:val="7777E90F"/>
    <w:rsid w:val="77A60BB9"/>
    <w:rsid w:val="786E7B74"/>
    <w:rsid w:val="787F936D"/>
    <w:rsid w:val="793AA6B7"/>
    <w:rsid w:val="7947923D"/>
    <w:rsid w:val="794B4945"/>
    <w:rsid w:val="79732088"/>
    <w:rsid w:val="7AED13E7"/>
    <w:rsid w:val="7B01D891"/>
    <w:rsid w:val="7B4E835A"/>
    <w:rsid w:val="7BC734A7"/>
    <w:rsid w:val="7BCAC24B"/>
    <w:rsid w:val="7BE48D76"/>
    <w:rsid w:val="7C987713"/>
    <w:rsid w:val="7D3B661F"/>
    <w:rsid w:val="7D808898"/>
    <w:rsid w:val="7D923BA0"/>
    <w:rsid w:val="7DBD0EC7"/>
    <w:rsid w:val="7DCBF05F"/>
    <w:rsid w:val="7E54D1B6"/>
    <w:rsid w:val="7E5B1DF4"/>
    <w:rsid w:val="7EE4C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489786"/>
  <w15:chartTrackingRefBased/>
  <w15:docId w15:val="{5C41C2B0-B7A1-EF47-BAE6-563A69DC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1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1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1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1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1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1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1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1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158"/>
    <w:rPr>
      <w:rFonts w:eastAsiaTheme="majorEastAsia" w:cstheme="majorBidi"/>
      <w:color w:val="272727" w:themeColor="text1" w:themeTint="D8"/>
    </w:rPr>
  </w:style>
  <w:style w:type="paragraph" w:styleId="Title">
    <w:name w:val="Title"/>
    <w:basedOn w:val="Normal"/>
    <w:next w:val="Normal"/>
    <w:link w:val="TitleChar"/>
    <w:uiPriority w:val="10"/>
    <w:qFormat/>
    <w:rsid w:val="0006315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15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15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3158"/>
    <w:rPr>
      <w:i/>
      <w:iCs/>
      <w:color w:val="404040" w:themeColor="text1" w:themeTint="BF"/>
    </w:rPr>
  </w:style>
  <w:style w:type="paragraph" w:styleId="ListParagraph">
    <w:name w:val="List Paragraph"/>
    <w:basedOn w:val="Normal"/>
    <w:uiPriority w:val="34"/>
    <w:qFormat/>
    <w:rsid w:val="00063158"/>
    <w:pPr>
      <w:ind w:left="720"/>
      <w:contextualSpacing/>
    </w:pPr>
  </w:style>
  <w:style w:type="character" w:styleId="IntenseEmphasis">
    <w:name w:val="Intense Emphasis"/>
    <w:basedOn w:val="DefaultParagraphFont"/>
    <w:uiPriority w:val="21"/>
    <w:qFormat/>
    <w:rsid w:val="00063158"/>
    <w:rPr>
      <w:i/>
      <w:iCs/>
      <w:color w:val="0F4761" w:themeColor="accent1" w:themeShade="BF"/>
    </w:rPr>
  </w:style>
  <w:style w:type="paragraph" w:styleId="IntenseQuote">
    <w:name w:val="Intense Quote"/>
    <w:basedOn w:val="Normal"/>
    <w:next w:val="Normal"/>
    <w:link w:val="IntenseQuoteChar"/>
    <w:uiPriority w:val="30"/>
    <w:qFormat/>
    <w:rsid w:val="00063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158"/>
    <w:rPr>
      <w:i/>
      <w:iCs/>
      <w:color w:val="0F4761" w:themeColor="accent1" w:themeShade="BF"/>
    </w:rPr>
  </w:style>
  <w:style w:type="character" w:styleId="IntenseReference">
    <w:name w:val="Intense Reference"/>
    <w:basedOn w:val="DefaultParagraphFont"/>
    <w:uiPriority w:val="32"/>
    <w:qFormat/>
    <w:rsid w:val="00063158"/>
    <w:rPr>
      <w:b/>
      <w:bCs/>
      <w:smallCaps/>
      <w:color w:val="0F4761" w:themeColor="accent1" w:themeShade="BF"/>
      <w:spacing w:val="5"/>
    </w:rPr>
  </w:style>
  <w:style w:type="paragraph" w:styleId="FootnoteText">
    <w:name w:val="footnote text"/>
    <w:basedOn w:val="Normal"/>
    <w:link w:val="FootnoteTextChar"/>
    <w:uiPriority w:val="99"/>
    <w:unhideWhenUsed/>
    <w:rsid w:val="00063158"/>
    <w:rPr>
      <w:rFonts w:ascii="Calibri" w:eastAsia="Calibri" w:hAnsi="Calibri" w:cs="Calibri"/>
      <w:kern w:val="0"/>
      <w:sz w:val="20"/>
      <w:szCs w:val="20"/>
      <w:lang w:eastAsia="en-GB"/>
      <w14:ligatures w14:val="none"/>
    </w:rPr>
  </w:style>
  <w:style w:type="character" w:customStyle="1" w:styleId="FootnoteTextChar">
    <w:name w:val="Footnote Text Char"/>
    <w:basedOn w:val="DefaultParagraphFont"/>
    <w:link w:val="FootnoteText"/>
    <w:uiPriority w:val="99"/>
    <w:rsid w:val="00063158"/>
    <w:rPr>
      <w:rFonts w:ascii="Calibri" w:eastAsia="Calibri" w:hAnsi="Calibri" w:cs="Calibri"/>
      <w:kern w:val="0"/>
      <w:sz w:val="20"/>
      <w:szCs w:val="20"/>
      <w:lang w:eastAsia="en-GB"/>
      <w14:ligatures w14:val="none"/>
    </w:rPr>
  </w:style>
  <w:style w:type="character" w:styleId="FootnoteReference">
    <w:name w:val="footnote reference"/>
    <w:basedOn w:val="DefaultParagraphFont"/>
    <w:uiPriority w:val="99"/>
    <w:unhideWhenUsed/>
    <w:rsid w:val="00063158"/>
    <w:rPr>
      <w:vertAlign w:val="superscript"/>
    </w:rPr>
  </w:style>
  <w:style w:type="character" w:styleId="CommentReference">
    <w:name w:val="annotation reference"/>
    <w:basedOn w:val="DefaultParagraphFont"/>
    <w:uiPriority w:val="99"/>
    <w:semiHidden/>
    <w:unhideWhenUsed/>
    <w:rsid w:val="00063158"/>
    <w:rPr>
      <w:sz w:val="16"/>
      <w:szCs w:val="16"/>
    </w:rPr>
  </w:style>
  <w:style w:type="paragraph" w:styleId="CommentText">
    <w:name w:val="annotation text"/>
    <w:basedOn w:val="Normal"/>
    <w:link w:val="CommentTextChar"/>
    <w:uiPriority w:val="99"/>
    <w:unhideWhenUsed/>
    <w:rsid w:val="00063158"/>
    <w:rPr>
      <w:rFonts w:ascii="Calibri" w:eastAsia="Calibri" w:hAnsi="Calibri" w:cs="Calibri"/>
      <w:kern w:val="0"/>
      <w:sz w:val="20"/>
      <w:szCs w:val="20"/>
      <w:lang w:eastAsia="en-GB"/>
      <w14:ligatures w14:val="none"/>
    </w:rPr>
  </w:style>
  <w:style w:type="character" w:customStyle="1" w:styleId="CommentTextChar">
    <w:name w:val="Comment Text Char"/>
    <w:basedOn w:val="DefaultParagraphFont"/>
    <w:link w:val="CommentText"/>
    <w:uiPriority w:val="99"/>
    <w:rsid w:val="00063158"/>
    <w:rPr>
      <w:rFonts w:ascii="Calibri" w:eastAsia="Calibri" w:hAnsi="Calibri" w:cs="Calibri"/>
      <w:kern w:val="0"/>
      <w:sz w:val="20"/>
      <w:szCs w:val="20"/>
      <w:lang w:eastAsia="en-GB"/>
      <w14:ligatures w14:val="none"/>
    </w:rPr>
  </w:style>
  <w:style w:type="character" w:styleId="Hyperlink">
    <w:name w:val="Hyperlink"/>
    <w:basedOn w:val="DefaultParagraphFont"/>
    <w:uiPriority w:val="99"/>
    <w:unhideWhenUsed/>
    <w:rPr>
      <w:color w:val="467886" w:themeColor="hyperlink"/>
      <w:u w:val="single"/>
    </w:rPr>
  </w:style>
  <w:style w:type="paragraph" w:styleId="Revision">
    <w:name w:val="Revision"/>
    <w:hidden/>
    <w:uiPriority w:val="99"/>
    <w:semiHidden/>
    <w:rsid w:val="002F1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statistics/benefit-sanctions-statistics-to-august-2024/benefit-sanctions-statistics-to-august-2024" TargetMode="External"/><Relationship Id="rId2" Type="http://schemas.openxmlformats.org/officeDocument/2006/relationships/hyperlink" Target="https://ifs.org.uk/articles/two-child-limit-poverty-incentives-and-cost" TargetMode="External"/><Relationship Id="rId1" Type="http://schemas.openxmlformats.org/officeDocument/2006/relationships/hyperlink" Target="https://www.gov.uk/government/publications/universal-credit-sanctions-statistics-background-information-and-methodology/a" TargetMode="External"/><Relationship Id="rId4" Type="http://schemas.openxmlformats.org/officeDocument/2006/relationships/hyperlink" Target="https://www.theguardian.com/society/2024/sep/16/benefit-sanctions-more-likely-for-minority-ethnic-claimants-uk-data-sho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8102</Words>
  <Characters>41892</Characters>
  <Application>Microsoft Office Word</Application>
  <DocSecurity>0</DocSecurity>
  <Lines>634</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Tomlinson</dc:creator>
  <cp:keywords/>
  <dc:description/>
  <cp:lastModifiedBy>Joe Tomlinson</cp:lastModifiedBy>
  <cp:revision>5</cp:revision>
  <dcterms:created xsi:type="dcterms:W3CDTF">2025-01-13T16:35:00Z</dcterms:created>
  <dcterms:modified xsi:type="dcterms:W3CDTF">2025-01-13T16:46:00Z</dcterms:modified>
</cp:coreProperties>
</file>