
<file path=[Content_Types].xml><?xml version="1.0" encoding="utf-8"?>
<Types xmlns="http://schemas.openxmlformats.org/package/2006/content-types">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000001" w14:textId="77777777" w:rsidR="00EE6CE9" w:rsidRDefault="00364A95">
      <w:pPr>
        <w:pBdr>
          <w:top w:val="nil"/>
          <w:left w:val="nil"/>
          <w:bottom w:val="nil"/>
          <w:right w:val="nil"/>
          <w:between w:val="nil"/>
        </w:pBdr>
        <w:spacing w:after="0" w:line="480" w:lineRule="auto"/>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CLIMATE CHANGE ADAPTATION: NEW VISTAS FOR MANAGEMENT RESEARCH</w:t>
      </w:r>
    </w:p>
    <w:p w14:paraId="00000002" w14:textId="77777777" w:rsidR="00EE6CE9" w:rsidRDefault="00EE6CE9" w:rsidP="00622FBE">
      <w:pPr>
        <w:pBdr>
          <w:top w:val="nil"/>
          <w:left w:val="nil"/>
          <w:bottom w:val="nil"/>
          <w:right w:val="nil"/>
          <w:between w:val="nil"/>
        </w:pBdr>
        <w:spacing w:after="0" w:line="240" w:lineRule="auto"/>
        <w:jc w:val="center"/>
        <w:rPr>
          <w:rFonts w:ascii="Times New Roman" w:eastAsia="Times New Roman" w:hAnsi="Times New Roman" w:cs="Times New Roman"/>
          <w:b/>
          <w:color w:val="000000"/>
          <w:sz w:val="24"/>
          <w:szCs w:val="24"/>
        </w:rPr>
      </w:pPr>
    </w:p>
    <w:p w14:paraId="21EF6541" w14:textId="77777777" w:rsidR="00622FBE" w:rsidRDefault="00622FBE" w:rsidP="00622FBE">
      <w:pPr>
        <w:pBdr>
          <w:top w:val="nil"/>
          <w:left w:val="nil"/>
          <w:bottom w:val="nil"/>
          <w:right w:val="nil"/>
          <w:between w:val="nil"/>
        </w:pBdr>
        <w:spacing w:after="0" w:line="240" w:lineRule="auto"/>
        <w:jc w:val="center"/>
        <w:rPr>
          <w:rFonts w:ascii="Times New Roman" w:eastAsia="Times New Roman" w:hAnsi="Times New Roman" w:cs="Times New Roman"/>
          <w:b/>
          <w:color w:val="000000"/>
          <w:sz w:val="24"/>
          <w:szCs w:val="24"/>
        </w:rPr>
      </w:pPr>
    </w:p>
    <w:p w14:paraId="07C358A8" w14:textId="77777777" w:rsidR="00622FBE" w:rsidRDefault="00622FBE" w:rsidP="00622FBE">
      <w:pPr>
        <w:pBdr>
          <w:top w:val="nil"/>
          <w:left w:val="nil"/>
          <w:bottom w:val="nil"/>
          <w:right w:val="nil"/>
          <w:between w:val="nil"/>
        </w:pBdr>
        <w:spacing w:after="0" w:line="240" w:lineRule="auto"/>
        <w:jc w:val="center"/>
        <w:rPr>
          <w:rFonts w:ascii="Times New Roman" w:eastAsia="Times New Roman" w:hAnsi="Times New Roman" w:cs="Times New Roman"/>
          <w:b/>
          <w:color w:val="000000"/>
          <w:sz w:val="24"/>
          <w:szCs w:val="24"/>
        </w:rPr>
      </w:pPr>
    </w:p>
    <w:p w14:paraId="21465D1B" w14:textId="569962CA" w:rsidR="00622FBE" w:rsidRDefault="00622FBE" w:rsidP="00622FBE">
      <w:pPr>
        <w:pBdr>
          <w:top w:val="nil"/>
          <w:left w:val="nil"/>
          <w:bottom w:val="nil"/>
          <w:right w:val="nil"/>
          <w:between w:val="nil"/>
        </w:pBdr>
        <w:spacing w:after="0" w:line="240" w:lineRule="auto"/>
        <w:jc w:val="center"/>
        <w:rPr>
          <w:rFonts w:ascii="Times New Roman" w:eastAsia="Times New Roman" w:hAnsi="Times New Roman" w:cs="Times New Roman"/>
          <w:b/>
          <w:color w:val="000000"/>
          <w:sz w:val="24"/>
          <w:szCs w:val="24"/>
        </w:rPr>
      </w:pPr>
      <w:r w:rsidRPr="00622FBE">
        <w:rPr>
          <w:rFonts w:ascii="Times New Roman" w:eastAsia="Times New Roman" w:hAnsi="Times New Roman" w:cs="Times New Roman"/>
          <w:b/>
          <w:color w:val="000000"/>
          <w:sz w:val="24"/>
          <w:szCs w:val="24"/>
        </w:rPr>
        <w:t>Mirko Benischke</w:t>
      </w:r>
      <w:r>
        <w:rPr>
          <w:rFonts w:ascii="Times New Roman" w:eastAsia="Times New Roman" w:hAnsi="Times New Roman" w:cs="Times New Roman"/>
          <w:b/>
          <w:color w:val="000000"/>
          <w:sz w:val="24"/>
          <w:szCs w:val="24"/>
        </w:rPr>
        <w:t>*</w:t>
      </w:r>
    </w:p>
    <w:p w14:paraId="3BD9FB04" w14:textId="7CD28D38" w:rsidR="00622FBE" w:rsidRDefault="00622FBE" w:rsidP="00622FBE">
      <w:pPr>
        <w:pBdr>
          <w:top w:val="nil"/>
          <w:left w:val="nil"/>
          <w:bottom w:val="nil"/>
          <w:right w:val="nil"/>
          <w:between w:val="nil"/>
        </w:pBdr>
        <w:spacing w:after="0" w:line="240" w:lineRule="auto"/>
        <w:jc w:val="center"/>
        <w:rPr>
          <w:rFonts w:ascii="Times New Roman" w:eastAsia="Times New Roman" w:hAnsi="Times New Roman" w:cs="Times New Roman"/>
          <w:bCs/>
          <w:color w:val="000000"/>
          <w:sz w:val="24"/>
          <w:szCs w:val="24"/>
        </w:rPr>
      </w:pPr>
      <w:r w:rsidRPr="00622FBE">
        <w:rPr>
          <w:rFonts w:ascii="Times New Roman" w:eastAsia="Times New Roman" w:hAnsi="Times New Roman" w:cs="Times New Roman"/>
          <w:bCs/>
          <w:color w:val="000000"/>
          <w:sz w:val="24"/>
          <w:szCs w:val="24"/>
        </w:rPr>
        <w:t>Rotterdam School of Management, Erasmus University</w:t>
      </w:r>
    </w:p>
    <w:p w14:paraId="6FBF0073" w14:textId="77777777" w:rsidR="00622FBE" w:rsidRPr="00622FBE" w:rsidRDefault="00622FBE" w:rsidP="00622FBE">
      <w:pPr>
        <w:pBdr>
          <w:top w:val="nil"/>
          <w:left w:val="nil"/>
          <w:bottom w:val="nil"/>
          <w:right w:val="nil"/>
          <w:between w:val="nil"/>
        </w:pBdr>
        <w:spacing w:after="0" w:line="240" w:lineRule="auto"/>
        <w:jc w:val="center"/>
        <w:rPr>
          <w:rFonts w:ascii="Times New Roman" w:eastAsia="Times New Roman" w:hAnsi="Times New Roman" w:cs="Times New Roman"/>
          <w:bCs/>
          <w:color w:val="000000"/>
          <w:sz w:val="24"/>
          <w:szCs w:val="24"/>
        </w:rPr>
      </w:pPr>
    </w:p>
    <w:p w14:paraId="48874732" w14:textId="1246A94F" w:rsidR="00622FBE" w:rsidRDefault="00622FBE" w:rsidP="00622FBE">
      <w:pPr>
        <w:pBdr>
          <w:top w:val="nil"/>
          <w:left w:val="nil"/>
          <w:bottom w:val="nil"/>
          <w:right w:val="nil"/>
          <w:between w:val="nil"/>
        </w:pBdr>
        <w:spacing w:after="0" w:line="240" w:lineRule="auto"/>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Beatrice D’Ippolito</w:t>
      </w:r>
    </w:p>
    <w:p w14:paraId="7898A032" w14:textId="77777777" w:rsidR="00622FBE" w:rsidRDefault="00622FBE" w:rsidP="00622FBE">
      <w:pPr>
        <w:pBdr>
          <w:top w:val="nil"/>
          <w:left w:val="nil"/>
          <w:bottom w:val="nil"/>
          <w:right w:val="nil"/>
          <w:between w:val="nil"/>
        </w:pBdr>
        <w:spacing w:after="0" w:line="240" w:lineRule="auto"/>
        <w:jc w:val="center"/>
        <w:rPr>
          <w:rFonts w:ascii="Times New Roman" w:eastAsia="Times New Roman" w:hAnsi="Times New Roman" w:cs="Times New Roman"/>
          <w:bCs/>
          <w:color w:val="000000"/>
          <w:sz w:val="24"/>
          <w:szCs w:val="24"/>
        </w:rPr>
      </w:pPr>
      <w:r w:rsidRPr="00622FBE">
        <w:rPr>
          <w:rFonts w:ascii="Times New Roman" w:eastAsia="Times New Roman" w:hAnsi="Times New Roman" w:cs="Times New Roman"/>
          <w:bCs/>
          <w:color w:val="000000"/>
          <w:sz w:val="24"/>
          <w:szCs w:val="24"/>
        </w:rPr>
        <w:t>School for Business and Society, University of York</w:t>
      </w:r>
    </w:p>
    <w:p w14:paraId="2E12A9F5" w14:textId="77777777" w:rsidR="00622FBE" w:rsidRPr="00622FBE" w:rsidRDefault="00622FBE" w:rsidP="00622FBE">
      <w:pPr>
        <w:pBdr>
          <w:top w:val="nil"/>
          <w:left w:val="nil"/>
          <w:bottom w:val="nil"/>
          <w:right w:val="nil"/>
          <w:between w:val="nil"/>
        </w:pBdr>
        <w:spacing w:after="0" w:line="240" w:lineRule="auto"/>
        <w:jc w:val="center"/>
        <w:rPr>
          <w:rFonts w:ascii="Times New Roman" w:eastAsia="Times New Roman" w:hAnsi="Times New Roman" w:cs="Times New Roman"/>
          <w:bCs/>
          <w:color w:val="000000"/>
          <w:sz w:val="24"/>
          <w:szCs w:val="24"/>
        </w:rPr>
      </w:pPr>
    </w:p>
    <w:p w14:paraId="62696A73" w14:textId="62A54017" w:rsidR="00622FBE" w:rsidRDefault="00622FBE" w:rsidP="00622FBE">
      <w:pPr>
        <w:pBdr>
          <w:top w:val="nil"/>
          <w:left w:val="nil"/>
          <w:bottom w:val="nil"/>
          <w:right w:val="nil"/>
          <w:between w:val="nil"/>
        </w:pBdr>
        <w:spacing w:after="0" w:line="240" w:lineRule="auto"/>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Garima Sharma</w:t>
      </w:r>
    </w:p>
    <w:p w14:paraId="26469618" w14:textId="5362A207" w:rsidR="00622FBE" w:rsidRDefault="00622FBE" w:rsidP="00622FBE">
      <w:pPr>
        <w:pBdr>
          <w:top w:val="nil"/>
          <w:left w:val="nil"/>
          <w:bottom w:val="nil"/>
          <w:right w:val="nil"/>
          <w:between w:val="nil"/>
        </w:pBdr>
        <w:spacing w:after="0" w:line="240" w:lineRule="auto"/>
        <w:jc w:val="center"/>
        <w:rPr>
          <w:rFonts w:ascii="Times New Roman" w:eastAsia="Times New Roman" w:hAnsi="Times New Roman" w:cs="Times New Roman"/>
          <w:bCs/>
          <w:color w:val="000000"/>
          <w:sz w:val="24"/>
          <w:szCs w:val="24"/>
        </w:rPr>
      </w:pPr>
      <w:r w:rsidRPr="00622FBE">
        <w:rPr>
          <w:rFonts w:ascii="Times New Roman" w:eastAsia="Times New Roman" w:hAnsi="Times New Roman" w:cs="Times New Roman"/>
          <w:bCs/>
          <w:color w:val="000000"/>
          <w:sz w:val="24"/>
          <w:szCs w:val="24"/>
        </w:rPr>
        <w:t>Kogod School of Business, American University</w:t>
      </w:r>
      <w:r w:rsidRPr="00622FBE">
        <w:rPr>
          <w:rFonts w:ascii="Times New Roman" w:eastAsia="Times New Roman" w:hAnsi="Times New Roman" w:cs="Times New Roman"/>
          <w:bCs/>
          <w:color w:val="000000"/>
          <w:sz w:val="24"/>
          <w:szCs w:val="24"/>
        </w:rPr>
        <w:t>, Washington DC</w:t>
      </w:r>
    </w:p>
    <w:p w14:paraId="5FC9AA5C" w14:textId="77777777" w:rsidR="00622FBE" w:rsidRPr="00622FBE" w:rsidRDefault="00622FBE" w:rsidP="00622FBE">
      <w:pPr>
        <w:pBdr>
          <w:top w:val="nil"/>
          <w:left w:val="nil"/>
          <w:bottom w:val="nil"/>
          <w:right w:val="nil"/>
          <w:between w:val="nil"/>
        </w:pBdr>
        <w:spacing w:after="0" w:line="240" w:lineRule="auto"/>
        <w:jc w:val="center"/>
        <w:rPr>
          <w:rFonts w:ascii="Times New Roman" w:eastAsia="Times New Roman" w:hAnsi="Times New Roman" w:cs="Times New Roman"/>
          <w:bCs/>
          <w:color w:val="000000"/>
          <w:sz w:val="24"/>
          <w:szCs w:val="24"/>
        </w:rPr>
      </w:pPr>
    </w:p>
    <w:p w14:paraId="7486F74B" w14:textId="63EF1BED" w:rsidR="00622FBE" w:rsidRDefault="00622FBE" w:rsidP="00622FBE">
      <w:pPr>
        <w:pBdr>
          <w:top w:val="nil"/>
          <w:left w:val="nil"/>
          <w:bottom w:val="nil"/>
          <w:right w:val="nil"/>
          <w:between w:val="nil"/>
        </w:pBdr>
        <w:spacing w:after="0" w:line="240" w:lineRule="auto"/>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Christopher Wickert</w:t>
      </w:r>
    </w:p>
    <w:p w14:paraId="4F8615F8" w14:textId="62E68C89" w:rsidR="00622FBE" w:rsidRPr="00622FBE" w:rsidRDefault="00622FBE" w:rsidP="00622FBE">
      <w:pPr>
        <w:pBdr>
          <w:top w:val="nil"/>
          <w:left w:val="nil"/>
          <w:bottom w:val="nil"/>
          <w:right w:val="nil"/>
          <w:between w:val="nil"/>
        </w:pBdr>
        <w:spacing w:after="0" w:line="240" w:lineRule="auto"/>
        <w:jc w:val="center"/>
        <w:rPr>
          <w:rFonts w:ascii="Times New Roman" w:eastAsia="Times New Roman" w:hAnsi="Times New Roman" w:cs="Times New Roman"/>
          <w:bCs/>
          <w:color w:val="000000"/>
          <w:sz w:val="24"/>
          <w:szCs w:val="24"/>
        </w:rPr>
      </w:pPr>
      <w:r>
        <w:rPr>
          <w:rFonts w:ascii="Times New Roman" w:eastAsia="Times New Roman" w:hAnsi="Times New Roman" w:cs="Times New Roman"/>
          <w:bCs/>
          <w:color w:val="000000"/>
          <w:sz w:val="24"/>
          <w:szCs w:val="24"/>
        </w:rPr>
        <w:t xml:space="preserve">School of Business and Economics, </w:t>
      </w:r>
      <w:r w:rsidRPr="00622FBE">
        <w:rPr>
          <w:rFonts w:ascii="Times New Roman" w:eastAsia="Times New Roman" w:hAnsi="Times New Roman" w:cs="Times New Roman"/>
          <w:bCs/>
          <w:color w:val="000000"/>
          <w:sz w:val="24"/>
          <w:szCs w:val="24"/>
        </w:rPr>
        <w:t>Vrije Universiteit Amsterdam (VU)</w:t>
      </w:r>
    </w:p>
    <w:p w14:paraId="1B614C9F" w14:textId="77777777" w:rsidR="00622FBE" w:rsidRDefault="00622FBE" w:rsidP="00622FBE">
      <w:pPr>
        <w:pBdr>
          <w:top w:val="nil"/>
          <w:left w:val="nil"/>
          <w:bottom w:val="nil"/>
          <w:right w:val="nil"/>
          <w:between w:val="nil"/>
        </w:pBdr>
        <w:spacing w:after="0" w:line="240" w:lineRule="auto"/>
        <w:jc w:val="center"/>
        <w:rPr>
          <w:rFonts w:ascii="Times New Roman" w:eastAsia="Times New Roman" w:hAnsi="Times New Roman" w:cs="Times New Roman"/>
          <w:b/>
          <w:color w:val="000000"/>
          <w:sz w:val="24"/>
          <w:szCs w:val="24"/>
        </w:rPr>
      </w:pPr>
    </w:p>
    <w:p w14:paraId="70974246" w14:textId="77777777" w:rsidR="00622FBE" w:rsidRDefault="00622FBE" w:rsidP="00622FBE">
      <w:pPr>
        <w:pBdr>
          <w:top w:val="nil"/>
          <w:left w:val="nil"/>
          <w:bottom w:val="nil"/>
          <w:right w:val="nil"/>
          <w:between w:val="nil"/>
        </w:pBdr>
        <w:spacing w:after="0" w:line="240" w:lineRule="auto"/>
        <w:jc w:val="center"/>
        <w:rPr>
          <w:rFonts w:ascii="Times New Roman" w:eastAsia="Times New Roman" w:hAnsi="Times New Roman" w:cs="Times New Roman"/>
          <w:b/>
          <w:color w:val="000000"/>
          <w:sz w:val="24"/>
          <w:szCs w:val="24"/>
        </w:rPr>
      </w:pPr>
    </w:p>
    <w:p w14:paraId="0425BF01" w14:textId="77777777" w:rsidR="00622FBE" w:rsidRDefault="00622FBE">
      <w:pPr>
        <w:pBdr>
          <w:top w:val="nil"/>
          <w:left w:val="nil"/>
          <w:bottom w:val="nil"/>
          <w:right w:val="nil"/>
          <w:between w:val="nil"/>
        </w:pBdr>
        <w:spacing w:after="0" w:line="480" w:lineRule="auto"/>
        <w:rPr>
          <w:rFonts w:ascii="Times New Roman" w:eastAsia="Times New Roman" w:hAnsi="Times New Roman" w:cs="Times New Roman"/>
          <w:b/>
          <w:color w:val="000000"/>
          <w:sz w:val="24"/>
          <w:szCs w:val="24"/>
        </w:rPr>
      </w:pPr>
    </w:p>
    <w:p w14:paraId="00000003" w14:textId="4A25051F" w:rsidR="00EE6CE9" w:rsidRDefault="00364A95" w:rsidP="00622FBE">
      <w:pPr>
        <w:pBdr>
          <w:top w:val="nil"/>
          <w:left w:val="nil"/>
          <w:bottom w:val="nil"/>
          <w:right w:val="nil"/>
          <w:between w:val="nil"/>
        </w:pBdr>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b/>
          <w:color w:val="000000"/>
          <w:sz w:val="24"/>
          <w:szCs w:val="24"/>
        </w:rPr>
        <w:t xml:space="preserve">Abstract: </w:t>
      </w:r>
      <w:r>
        <w:rPr>
          <w:rFonts w:ascii="Times New Roman" w:eastAsia="Times New Roman" w:hAnsi="Times New Roman" w:cs="Times New Roman"/>
          <w:color w:val="000000"/>
          <w:sz w:val="24"/>
          <w:szCs w:val="24"/>
        </w:rPr>
        <w:t>Climate change adaptation</w:t>
      </w:r>
      <w:r>
        <w:rPr>
          <w:rFonts w:ascii="Times New Roman" w:eastAsia="Times New Roman" w:hAnsi="Times New Roman" w:cs="Times New Roman"/>
          <w:b/>
          <w:color w:val="000000"/>
          <w:sz w:val="24"/>
          <w:szCs w:val="24"/>
        </w:rPr>
        <w:t xml:space="preserve"> </w:t>
      </w:r>
      <w:r>
        <w:rPr>
          <w:rFonts w:ascii="Times New Roman" w:eastAsia="Times New Roman" w:hAnsi="Times New Roman" w:cs="Times New Roman"/>
          <w:color w:val="000000"/>
          <w:sz w:val="24"/>
          <w:szCs w:val="24"/>
        </w:rPr>
        <w:t xml:space="preserve">has for </w:t>
      </w:r>
      <w:r w:rsidR="00B66E89">
        <w:rPr>
          <w:rFonts w:ascii="Times New Roman" w:eastAsia="Times New Roman" w:hAnsi="Times New Roman" w:cs="Times New Roman"/>
          <w:color w:val="000000"/>
          <w:sz w:val="24"/>
          <w:szCs w:val="24"/>
        </w:rPr>
        <w:t xml:space="preserve">a long time </w:t>
      </w:r>
      <w:r>
        <w:rPr>
          <w:rFonts w:ascii="Times New Roman" w:eastAsia="Times New Roman" w:hAnsi="Times New Roman" w:cs="Times New Roman"/>
          <w:color w:val="000000"/>
          <w:sz w:val="24"/>
          <w:szCs w:val="24"/>
        </w:rPr>
        <w:t xml:space="preserve">been the neglected half of the climate equation, as most attention has been directed toward mitigation. Yet, the catastrophic effects of a changing climate are occurring, unavoidable, and in many cases irreversible. </w:t>
      </w:r>
      <w:r>
        <w:rPr>
          <w:rFonts w:ascii="Times New Roman" w:eastAsia="Times New Roman" w:hAnsi="Times New Roman" w:cs="Times New Roman"/>
          <w:sz w:val="24"/>
          <w:szCs w:val="24"/>
        </w:rPr>
        <w:t>O</w:t>
      </w:r>
      <w:r>
        <w:rPr>
          <w:rFonts w:ascii="Times New Roman" w:eastAsia="Times New Roman" w:hAnsi="Times New Roman" w:cs="Times New Roman"/>
          <w:color w:val="000000"/>
          <w:sz w:val="24"/>
          <w:szCs w:val="24"/>
        </w:rPr>
        <w:t xml:space="preserve">rganizations need to identify ways of adapting to present and future climatic conditions. In this editorial, we make the case for climate change adaptation as a research topic </w:t>
      </w:r>
      <w:r w:rsidR="00FB7171">
        <w:rPr>
          <w:rFonts w:ascii="Times New Roman" w:eastAsia="Times New Roman" w:hAnsi="Times New Roman" w:cs="Times New Roman"/>
          <w:color w:val="000000"/>
          <w:sz w:val="24"/>
          <w:szCs w:val="24"/>
        </w:rPr>
        <w:t xml:space="preserve">on </w:t>
      </w:r>
      <w:r>
        <w:rPr>
          <w:rFonts w:ascii="Times New Roman" w:eastAsia="Times New Roman" w:hAnsi="Times New Roman" w:cs="Times New Roman"/>
          <w:color w:val="000000"/>
          <w:sz w:val="24"/>
          <w:szCs w:val="24"/>
        </w:rPr>
        <w:t>par with mitigation. We outline how and why management and organizational scholarship should work toward</w:t>
      </w:r>
      <w:r w:rsidR="00FB7171">
        <w:rPr>
          <w:rFonts w:ascii="Times New Roman" w:eastAsia="Times New Roman" w:hAnsi="Times New Roman" w:cs="Times New Roman"/>
          <w:color w:val="000000"/>
          <w:sz w:val="24"/>
          <w:szCs w:val="24"/>
        </w:rPr>
        <w:t>s</w:t>
      </w:r>
      <w:r>
        <w:rPr>
          <w:rFonts w:ascii="Times New Roman" w:eastAsia="Times New Roman" w:hAnsi="Times New Roman" w:cs="Times New Roman"/>
          <w:color w:val="000000"/>
          <w:sz w:val="24"/>
          <w:szCs w:val="24"/>
        </w:rPr>
        <w:t xml:space="preserve"> an integrated approach of mitigation and adaptation in responding to climate change</w:t>
      </w:r>
      <w:r w:rsidR="00BA704F">
        <w:rPr>
          <w:rFonts w:ascii="Times New Roman" w:eastAsia="Times New Roman" w:hAnsi="Times New Roman" w:cs="Times New Roman"/>
          <w:color w:val="000000"/>
          <w:sz w:val="24"/>
          <w:szCs w:val="24"/>
        </w:rPr>
        <w:t>, suggesting</w:t>
      </w:r>
      <w:r>
        <w:rPr>
          <w:rFonts w:ascii="Times New Roman" w:eastAsia="Times New Roman" w:hAnsi="Times New Roman" w:cs="Times New Roman"/>
          <w:color w:val="000000"/>
          <w:sz w:val="24"/>
          <w:szCs w:val="24"/>
        </w:rPr>
        <w:t xml:space="preserve"> three key avenues </w:t>
      </w:r>
      <w:r w:rsidR="00BA704F">
        <w:rPr>
          <w:rFonts w:ascii="Times New Roman" w:eastAsia="Times New Roman" w:hAnsi="Times New Roman" w:cs="Times New Roman"/>
          <w:color w:val="000000"/>
          <w:sz w:val="24"/>
          <w:szCs w:val="24"/>
        </w:rPr>
        <w:t xml:space="preserve">of </w:t>
      </w:r>
      <w:r>
        <w:rPr>
          <w:rFonts w:ascii="Times New Roman" w:eastAsia="Times New Roman" w:hAnsi="Times New Roman" w:cs="Times New Roman"/>
          <w:color w:val="000000"/>
          <w:sz w:val="24"/>
          <w:szCs w:val="24"/>
        </w:rPr>
        <w:t xml:space="preserve">research </w:t>
      </w:r>
      <w:r w:rsidR="00BA704F">
        <w:rPr>
          <w:rFonts w:ascii="Times New Roman" w:eastAsia="Times New Roman" w:hAnsi="Times New Roman" w:cs="Times New Roman"/>
          <w:color w:val="000000"/>
          <w:sz w:val="24"/>
          <w:szCs w:val="24"/>
        </w:rPr>
        <w:t xml:space="preserve">for </w:t>
      </w:r>
      <w:r>
        <w:rPr>
          <w:rFonts w:ascii="Times New Roman" w:eastAsia="Times New Roman" w:hAnsi="Times New Roman" w:cs="Times New Roman"/>
          <w:color w:val="000000"/>
          <w:sz w:val="24"/>
          <w:szCs w:val="24"/>
        </w:rPr>
        <w:t xml:space="preserve">future inquiry. In so doing, we encourage more impactful and ecologically-relevant management research that </w:t>
      </w:r>
      <w:r w:rsidR="00BA704F">
        <w:rPr>
          <w:rFonts w:ascii="Times New Roman" w:eastAsia="Times New Roman" w:hAnsi="Times New Roman" w:cs="Times New Roman"/>
          <w:color w:val="000000"/>
          <w:sz w:val="24"/>
          <w:szCs w:val="24"/>
        </w:rPr>
        <w:t xml:space="preserve">will make </w:t>
      </w:r>
      <w:r>
        <w:rPr>
          <w:rFonts w:ascii="Times New Roman" w:eastAsia="Times New Roman" w:hAnsi="Times New Roman" w:cs="Times New Roman"/>
          <w:color w:val="000000"/>
          <w:sz w:val="24"/>
          <w:szCs w:val="24"/>
        </w:rPr>
        <w:t>a difference to society at large.</w:t>
      </w:r>
    </w:p>
    <w:p w14:paraId="00000004" w14:textId="77777777" w:rsidR="00EE6CE9" w:rsidRDefault="00EE6CE9" w:rsidP="00622FBE">
      <w:pPr>
        <w:pBdr>
          <w:top w:val="nil"/>
          <w:left w:val="nil"/>
          <w:bottom w:val="nil"/>
          <w:right w:val="nil"/>
          <w:between w:val="nil"/>
        </w:pBdr>
        <w:spacing w:after="0" w:line="240" w:lineRule="auto"/>
        <w:jc w:val="both"/>
        <w:rPr>
          <w:rFonts w:ascii="Times New Roman" w:eastAsia="Times New Roman" w:hAnsi="Times New Roman" w:cs="Times New Roman"/>
          <w:b/>
          <w:color w:val="000000"/>
          <w:sz w:val="24"/>
          <w:szCs w:val="24"/>
        </w:rPr>
      </w:pPr>
    </w:p>
    <w:p w14:paraId="00000005" w14:textId="49793CD2" w:rsidR="00EE6CE9" w:rsidRDefault="00364A95" w:rsidP="00622FBE">
      <w:pPr>
        <w:pBdr>
          <w:top w:val="nil"/>
          <w:left w:val="nil"/>
          <w:bottom w:val="nil"/>
          <w:right w:val="nil"/>
          <w:between w:val="nil"/>
        </w:pBdr>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b/>
          <w:color w:val="000000"/>
          <w:sz w:val="24"/>
          <w:szCs w:val="24"/>
        </w:rPr>
        <w:t>Keywords:</w:t>
      </w:r>
      <w:r>
        <w:rPr>
          <w:rFonts w:ascii="Times New Roman" w:eastAsia="Times New Roman" w:hAnsi="Times New Roman" w:cs="Times New Roman"/>
          <w:color w:val="000000"/>
          <w:sz w:val="24"/>
          <w:szCs w:val="24"/>
        </w:rPr>
        <w:t xml:space="preserve"> </w:t>
      </w:r>
      <w:r w:rsidR="00B42C58">
        <w:rPr>
          <w:rFonts w:ascii="Times New Roman" w:eastAsia="Times New Roman" w:hAnsi="Times New Roman" w:cs="Times New Roman"/>
          <w:color w:val="000000"/>
          <w:sz w:val="24"/>
          <w:szCs w:val="24"/>
        </w:rPr>
        <w:t xml:space="preserve">Adaptation, </w:t>
      </w:r>
      <w:r w:rsidR="00476434">
        <w:rPr>
          <w:rFonts w:ascii="Times New Roman" w:eastAsia="Times New Roman" w:hAnsi="Times New Roman" w:cs="Times New Roman"/>
          <w:color w:val="000000"/>
          <w:sz w:val="24"/>
          <w:szCs w:val="24"/>
        </w:rPr>
        <w:t>c</w:t>
      </w:r>
      <w:r>
        <w:rPr>
          <w:rFonts w:ascii="Times New Roman" w:eastAsia="Times New Roman" w:hAnsi="Times New Roman" w:cs="Times New Roman"/>
          <w:color w:val="000000"/>
          <w:sz w:val="24"/>
          <w:szCs w:val="24"/>
        </w:rPr>
        <w:t xml:space="preserve">limate change, </w:t>
      </w:r>
      <w:r w:rsidR="00B42C58">
        <w:rPr>
          <w:rFonts w:ascii="Times New Roman" w:eastAsia="Times New Roman" w:hAnsi="Times New Roman" w:cs="Times New Roman"/>
          <w:color w:val="000000"/>
          <w:sz w:val="24"/>
          <w:szCs w:val="24"/>
        </w:rPr>
        <w:t>climate strategies</w:t>
      </w:r>
      <w:r w:rsidR="00D02C52">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z w:val="24"/>
          <w:szCs w:val="24"/>
        </w:rPr>
        <w:t xml:space="preserve">management theory, </w:t>
      </w:r>
      <w:r w:rsidR="00D02C52">
        <w:rPr>
          <w:rFonts w:ascii="Times New Roman" w:eastAsia="Times New Roman" w:hAnsi="Times New Roman" w:cs="Times New Roman"/>
          <w:color w:val="000000"/>
          <w:sz w:val="24"/>
          <w:szCs w:val="24"/>
        </w:rPr>
        <w:t xml:space="preserve">mitigation, </w:t>
      </w:r>
      <w:r>
        <w:rPr>
          <w:rFonts w:ascii="Times New Roman" w:eastAsia="Times New Roman" w:hAnsi="Times New Roman" w:cs="Times New Roman"/>
          <w:color w:val="000000"/>
          <w:sz w:val="24"/>
          <w:szCs w:val="24"/>
        </w:rPr>
        <w:t>organization theory, sustainability</w:t>
      </w:r>
    </w:p>
    <w:p w14:paraId="1F9CED4B" w14:textId="77777777" w:rsidR="00622FBE" w:rsidRDefault="00622FBE" w:rsidP="00622FBE">
      <w:pPr>
        <w:pBdr>
          <w:top w:val="nil"/>
          <w:left w:val="nil"/>
          <w:bottom w:val="nil"/>
          <w:right w:val="nil"/>
          <w:between w:val="nil"/>
        </w:pBdr>
        <w:spacing w:after="0" w:line="240" w:lineRule="auto"/>
        <w:jc w:val="both"/>
        <w:rPr>
          <w:rFonts w:ascii="Times New Roman" w:eastAsia="Times New Roman" w:hAnsi="Times New Roman" w:cs="Times New Roman"/>
          <w:color w:val="000000"/>
          <w:sz w:val="24"/>
          <w:szCs w:val="24"/>
        </w:rPr>
      </w:pPr>
    </w:p>
    <w:p w14:paraId="038F6E84" w14:textId="77777777" w:rsidR="00622FBE" w:rsidRDefault="00622FBE" w:rsidP="00622FBE">
      <w:pPr>
        <w:pBdr>
          <w:top w:val="nil"/>
          <w:left w:val="nil"/>
          <w:bottom w:val="nil"/>
          <w:right w:val="nil"/>
          <w:between w:val="nil"/>
        </w:pBdr>
        <w:spacing w:after="0" w:line="240" w:lineRule="auto"/>
        <w:jc w:val="both"/>
        <w:rPr>
          <w:rFonts w:ascii="Times New Roman" w:eastAsia="Times New Roman" w:hAnsi="Times New Roman" w:cs="Times New Roman"/>
          <w:color w:val="000000"/>
          <w:sz w:val="24"/>
          <w:szCs w:val="24"/>
        </w:rPr>
      </w:pPr>
    </w:p>
    <w:p w14:paraId="0B91C888" w14:textId="77777777" w:rsidR="00622FBE" w:rsidRDefault="00622FBE" w:rsidP="00622FBE">
      <w:pPr>
        <w:pBdr>
          <w:top w:val="nil"/>
          <w:left w:val="nil"/>
          <w:bottom w:val="nil"/>
          <w:right w:val="nil"/>
          <w:between w:val="nil"/>
        </w:pBdr>
        <w:spacing w:after="0" w:line="240" w:lineRule="auto"/>
        <w:jc w:val="both"/>
        <w:rPr>
          <w:rFonts w:ascii="Times New Roman" w:eastAsia="Times New Roman" w:hAnsi="Times New Roman" w:cs="Times New Roman"/>
          <w:color w:val="000000"/>
          <w:sz w:val="24"/>
          <w:szCs w:val="24"/>
        </w:rPr>
      </w:pPr>
    </w:p>
    <w:p w14:paraId="4CFE3F23" w14:textId="77777777" w:rsidR="00622FBE" w:rsidRDefault="00622FBE" w:rsidP="00622FBE">
      <w:pPr>
        <w:pBdr>
          <w:top w:val="nil"/>
          <w:left w:val="nil"/>
          <w:bottom w:val="nil"/>
          <w:right w:val="nil"/>
          <w:between w:val="nil"/>
        </w:pBdr>
        <w:spacing w:after="0" w:line="240" w:lineRule="auto"/>
        <w:jc w:val="both"/>
        <w:rPr>
          <w:rFonts w:ascii="Times New Roman" w:eastAsia="Times New Roman" w:hAnsi="Times New Roman" w:cs="Times New Roman"/>
          <w:color w:val="000000"/>
          <w:sz w:val="24"/>
          <w:szCs w:val="24"/>
        </w:rPr>
      </w:pPr>
    </w:p>
    <w:p w14:paraId="32573F4D" w14:textId="77777777" w:rsidR="00622FBE" w:rsidRDefault="00622FBE" w:rsidP="00622FBE">
      <w:pPr>
        <w:pBdr>
          <w:top w:val="nil"/>
          <w:left w:val="nil"/>
          <w:bottom w:val="nil"/>
          <w:right w:val="nil"/>
          <w:between w:val="nil"/>
        </w:pBdr>
        <w:spacing w:after="0" w:line="240" w:lineRule="auto"/>
        <w:jc w:val="both"/>
        <w:rPr>
          <w:rFonts w:ascii="Times New Roman" w:eastAsia="Times New Roman" w:hAnsi="Times New Roman" w:cs="Times New Roman"/>
          <w:color w:val="000000"/>
          <w:sz w:val="24"/>
          <w:szCs w:val="24"/>
        </w:rPr>
      </w:pPr>
    </w:p>
    <w:p w14:paraId="01F1546C" w14:textId="77777777" w:rsidR="00622FBE" w:rsidRDefault="00622FBE" w:rsidP="00622FBE">
      <w:pPr>
        <w:pBdr>
          <w:top w:val="nil"/>
          <w:left w:val="nil"/>
          <w:bottom w:val="nil"/>
          <w:right w:val="nil"/>
          <w:between w:val="nil"/>
        </w:pBdr>
        <w:spacing w:after="0" w:line="240" w:lineRule="auto"/>
        <w:jc w:val="both"/>
        <w:rPr>
          <w:rFonts w:ascii="Times New Roman" w:eastAsia="Times New Roman" w:hAnsi="Times New Roman" w:cs="Times New Roman"/>
          <w:color w:val="000000"/>
          <w:sz w:val="24"/>
          <w:szCs w:val="24"/>
        </w:rPr>
      </w:pPr>
    </w:p>
    <w:p w14:paraId="0F2A4886" w14:textId="77777777" w:rsidR="00622FBE" w:rsidRDefault="00622FBE" w:rsidP="00622FBE">
      <w:pPr>
        <w:pBdr>
          <w:top w:val="nil"/>
          <w:left w:val="nil"/>
          <w:bottom w:val="nil"/>
          <w:right w:val="nil"/>
          <w:between w:val="nil"/>
        </w:pBdr>
        <w:spacing w:after="0" w:line="240" w:lineRule="auto"/>
        <w:jc w:val="both"/>
        <w:rPr>
          <w:rFonts w:ascii="Times New Roman" w:eastAsia="Times New Roman" w:hAnsi="Times New Roman" w:cs="Times New Roman"/>
          <w:color w:val="000000"/>
          <w:sz w:val="24"/>
          <w:szCs w:val="24"/>
        </w:rPr>
      </w:pPr>
    </w:p>
    <w:p w14:paraId="2B004077" w14:textId="77777777" w:rsidR="00622FBE" w:rsidRDefault="00622FBE" w:rsidP="00622FBE">
      <w:pPr>
        <w:pBdr>
          <w:top w:val="nil"/>
          <w:left w:val="nil"/>
          <w:bottom w:val="nil"/>
          <w:right w:val="nil"/>
          <w:between w:val="nil"/>
        </w:pBdr>
        <w:spacing w:after="0" w:line="240" w:lineRule="auto"/>
        <w:jc w:val="both"/>
        <w:rPr>
          <w:rFonts w:ascii="Times New Roman" w:eastAsia="Times New Roman" w:hAnsi="Times New Roman" w:cs="Times New Roman"/>
          <w:color w:val="000000"/>
          <w:sz w:val="24"/>
          <w:szCs w:val="24"/>
        </w:rPr>
      </w:pPr>
    </w:p>
    <w:p w14:paraId="197ADF45" w14:textId="77777777" w:rsidR="00622FBE" w:rsidRDefault="00622FBE" w:rsidP="00622FBE">
      <w:pPr>
        <w:pBdr>
          <w:top w:val="nil"/>
          <w:left w:val="nil"/>
          <w:bottom w:val="nil"/>
          <w:right w:val="nil"/>
          <w:between w:val="nil"/>
        </w:pBdr>
        <w:spacing w:after="0" w:line="240" w:lineRule="auto"/>
        <w:jc w:val="both"/>
        <w:rPr>
          <w:rFonts w:ascii="Times New Roman" w:eastAsia="Times New Roman" w:hAnsi="Times New Roman" w:cs="Times New Roman"/>
          <w:color w:val="000000"/>
          <w:sz w:val="24"/>
          <w:szCs w:val="24"/>
        </w:rPr>
      </w:pPr>
    </w:p>
    <w:p w14:paraId="7B682D81" w14:textId="77777777" w:rsidR="00622FBE" w:rsidRDefault="00622FBE" w:rsidP="00622FBE">
      <w:pPr>
        <w:pBdr>
          <w:top w:val="nil"/>
          <w:left w:val="nil"/>
          <w:bottom w:val="nil"/>
          <w:right w:val="nil"/>
          <w:between w:val="nil"/>
        </w:pBdr>
        <w:spacing w:after="0" w:line="240" w:lineRule="auto"/>
        <w:jc w:val="both"/>
        <w:rPr>
          <w:rFonts w:ascii="Times New Roman" w:eastAsia="Times New Roman" w:hAnsi="Times New Roman" w:cs="Times New Roman"/>
          <w:color w:val="000000"/>
          <w:sz w:val="24"/>
          <w:szCs w:val="24"/>
        </w:rPr>
      </w:pPr>
    </w:p>
    <w:p w14:paraId="482556BE" w14:textId="77777777" w:rsidR="00622FBE" w:rsidRDefault="00622FBE" w:rsidP="00622FBE">
      <w:pPr>
        <w:pBdr>
          <w:top w:val="nil"/>
          <w:left w:val="nil"/>
          <w:bottom w:val="nil"/>
          <w:right w:val="nil"/>
          <w:between w:val="nil"/>
        </w:pBdr>
        <w:spacing w:after="0" w:line="240" w:lineRule="auto"/>
        <w:jc w:val="both"/>
        <w:rPr>
          <w:rFonts w:ascii="Times New Roman" w:eastAsia="Times New Roman" w:hAnsi="Times New Roman" w:cs="Times New Roman"/>
          <w:color w:val="000000"/>
          <w:sz w:val="24"/>
          <w:szCs w:val="24"/>
        </w:rPr>
      </w:pPr>
    </w:p>
    <w:p w14:paraId="7B47FEA9" w14:textId="10FF3C51" w:rsidR="00622FBE" w:rsidRDefault="00622FBE" w:rsidP="00622FBE">
      <w:pPr>
        <w:pBdr>
          <w:top w:val="nil"/>
          <w:left w:val="nil"/>
          <w:bottom w:val="nil"/>
          <w:right w:val="nil"/>
          <w:between w:val="nil"/>
        </w:pBdr>
        <w:spacing w:after="0" w:line="240" w:lineRule="auto"/>
        <w:jc w:val="both"/>
        <w:rPr>
          <w:rFonts w:ascii="Times New Roman" w:eastAsia="Times New Roman" w:hAnsi="Times New Roman" w:cs="Times New Roman"/>
          <w:b/>
          <w:color w:val="000000"/>
          <w:sz w:val="24"/>
          <w:szCs w:val="24"/>
        </w:rPr>
      </w:pPr>
      <w:r>
        <w:rPr>
          <w:rFonts w:ascii="Times New Roman" w:eastAsia="Times New Roman" w:hAnsi="Times New Roman" w:cs="Times New Roman"/>
          <w:color w:val="000000"/>
          <w:sz w:val="24"/>
          <w:szCs w:val="24"/>
        </w:rPr>
        <w:t xml:space="preserve">*Corresponding Author: </w:t>
      </w:r>
      <w:r w:rsidRPr="00622FBE">
        <w:rPr>
          <w:rFonts w:ascii="Times New Roman" w:eastAsia="Times New Roman" w:hAnsi="Times New Roman" w:cs="Times New Roman"/>
          <w:color w:val="000000"/>
          <w:sz w:val="24"/>
          <w:szCs w:val="24"/>
        </w:rPr>
        <w:t>benischke@rsm.nl</w:t>
      </w:r>
    </w:p>
    <w:p w14:paraId="00000006" w14:textId="77777777" w:rsidR="00EE6CE9" w:rsidRDefault="00364A95" w:rsidP="00622FBE">
      <w:pPr>
        <w:spacing w:line="240" w:lineRule="auto"/>
        <w:jc w:val="both"/>
        <w:rPr>
          <w:rFonts w:ascii="Times New Roman" w:eastAsia="Times New Roman" w:hAnsi="Times New Roman" w:cs="Times New Roman"/>
          <w:b/>
          <w:color w:val="000000"/>
          <w:sz w:val="24"/>
          <w:szCs w:val="24"/>
        </w:rPr>
      </w:pPr>
      <w:r>
        <w:br w:type="page"/>
      </w:r>
    </w:p>
    <w:p w14:paraId="00000007" w14:textId="77777777" w:rsidR="00EE6CE9" w:rsidRDefault="00364A95">
      <w:pPr>
        <w:pBdr>
          <w:top w:val="nil"/>
          <w:left w:val="nil"/>
          <w:bottom w:val="nil"/>
          <w:right w:val="nil"/>
          <w:between w:val="nil"/>
        </w:pBdr>
        <w:spacing w:after="0" w:line="480" w:lineRule="auto"/>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lastRenderedPageBreak/>
        <w:t>INTRODUCTION</w:t>
      </w:r>
    </w:p>
    <w:p w14:paraId="00000008" w14:textId="77777777" w:rsidR="00EE6CE9" w:rsidRDefault="00364A95">
      <w:pPr>
        <w:pBdr>
          <w:top w:val="nil"/>
          <w:left w:val="nil"/>
          <w:bottom w:val="nil"/>
          <w:right w:val="nil"/>
          <w:between w:val="nil"/>
        </w:pBdr>
        <w:spacing w:after="0" w:line="240" w:lineRule="auto"/>
        <w:ind w:left="851" w:right="521"/>
        <w:rPr>
          <w:rFonts w:ascii="Times New Roman" w:eastAsia="Times New Roman" w:hAnsi="Times New Roman" w:cs="Times New Roman"/>
          <w:color w:val="000000"/>
          <w:sz w:val="24"/>
          <w:szCs w:val="24"/>
        </w:rPr>
      </w:pPr>
      <w:r>
        <w:rPr>
          <w:rFonts w:ascii="Times New Roman" w:eastAsia="Times New Roman" w:hAnsi="Times New Roman" w:cs="Times New Roman"/>
          <w:i/>
          <w:color w:val="000000"/>
          <w:sz w:val="24"/>
          <w:szCs w:val="24"/>
        </w:rPr>
        <w:t>As current weather events already show, mitigation is not enough. The climate emergency is already here, and people are already suffering. We must get ready, be ready.</w:t>
      </w:r>
      <w:r>
        <w:rPr>
          <w:rFonts w:ascii="Times New Roman" w:eastAsia="Times New Roman" w:hAnsi="Times New Roman" w:cs="Times New Roman"/>
          <w:color w:val="000000"/>
          <w:sz w:val="24"/>
          <w:szCs w:val="24"/>
        </w:rPr>
        <w:t xml:space="preserve"> UN Climate Change Executive Secretary, Patricia Espinosa.</w:t>
      </w:r>
    </w:p>
    <w:p w14:paraId="00000009" w14:textId="77777777" w:rsidR="00EE6CE9" w:rsidRDefault="00EE6CE9">
      <w:pPr>
        <w:pBdr>
          <w:top w:val="nil"/>
          <w:left w:val="nil"/>
          <w:bottom w:val="nil"/>
          <w:right w:val="nil"/>
          <w:between w:val="nil"/>
        </w:pBdr>
        <w:spacing w:after="0" w:line="240" w:lineRule="auto"/>
        <w:rPr>
          <w:rFonts w:ascii="Times New Roman" w:eastAsia="Times New Roman" w:hAnsi="Times New Roman" w:cs="Times New Roman"/>
          <w:color w:val="000000"/>
          <w:sz w:val="24"/>
          <w:szCs w:val="24"/>
        </w:rPr>
      </w:pPr>
    </w:p>
    <w:p w14:paraId="0000000A" w14:textId="11398CF5" w:rsidR="00EE6CE9" w:rsidRDefault="00364A95">
      <w:pPr>
        <w:pBdr>
          <w:top w:val="nil"/>
          <w:left w:val="nil"/>
          <w:bottom w:val="nil"/>
          <w:right w:val="nil"/>
          <w:between w:val="nil"/>
        </w:pBdr>
        <w:spacing w:after="0" w:line="48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Our planet is warming. People are facing new realities of extreme heat and other turbulent weather conditions</w:t>
      </w:r>
      <w:r w:rsidR="00FB7171">
        <w:rPr>
          <w:rFonts w:ascii="Times New Roman" w:eastAsia="Times New Roman" w:hAnsi="Times New Roman" w:cs="Times New Roman"/>
          <w:color w:val="000000"/>
          <w:sz w:val="24"/>
          <w:szCs w:val="24"/>
        </w:rPr>
        <w:t xml:space="preserve">, </w:t>
      </w:r>
      <w:r w:rsidR="00F21B74">
        <w:rPr>
          <w:rFonts w:ascii="Times New Roman" w:eastAsia="Times New Roman" w:hAnsi="Times New Roman" w:cs="Times New Roman"/>
          <w:color w:val="000000"/>
          <w:sz w:val="24"/>
          <w:szCs w:val="24"/>
        </w:rPr>
        <w:t>including</w:t>
      </w:r>
      <w:r w:rsidR="00FB7171">
        <w:rPr>
          <w:rFonts w:ascii="Times New Roman" w:eastAsia="Times New Roman" w:hAnsi="Times New Roman" w:cs="Times New Roman"/>
          <w:color w:val="000000"/>
          <w:sz w:val="24"/>
          <w:szCs w:val="24"/>
        </w:rPr>
        <w:t xml:space="preserve"> organizations and managers</w:t>
      </w:r>
      <w:r>
        <w:rPr>
          <w:rFonts w:ascii="Times New Roman" w:eastAsia="Times New Roman" w:hAnsi="Times New Roman" w:cs="Times New Roman"/>
          <w:color w:val="000000"/>
          <w:sz w:val="24"/>
          <w:szCs w:val="24"/>
        </w:rPr>
        <w:t xml:space="preserve">. </w:t>
      </w:r>
      <w:r w:rsidR="00D02C52">
        <w:rPr>
          <w:rFonts w:ascii="Times New Roman" w:eastAsia="Times New Roman" w:hAnsi="Times New Roman" w:cs="Times New Roman"/>
          <w:color w:val="000000"/>
          <w:sz w:val="24"/>
          <w:szCs w:val="24"/>
        </w:rPr>
        <w:t>B</w:t>
      </w:r>
      <w:r>
        <w:rPr>
          <w:rFonts w:ascii="Times New Roman" w:eastAsia="Times New Roman" w:hAnsi="Times New Roman" w:cs="Times New Roman"/>
          <w:color w:val="000000"/>
          <w:sz w:val="24"/>
          <w:szCs w:val="24"/>
        </w:rPr>
        <w:t>usinesses and industries have begun to re-organize how they manage their workforce, produce goods and services</w:t>
      </w:r>
      <w:r w:rsidR="00F21B74">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z w:val="24"/>
          <w:szCs w:val="24"/>
        </w:rPr>
        <w:t xml:space="preserve"> such as flood-resistant varieties of crops (Wallace-Wells, 2024), and construct buildings, infrastructure and supply chains </w:t>
      </w:r>
      <w:r w:rsidR="00F21B74">
        <w:rPr>
          <w:rFonts w:ascii="Times New Roman" w:eastAsia="Times New Roman" w:hAnsi="Times New Roman" w:cs="Times New Roman"/>
          <w:color w:val="000000"/>
          <w:sz w:val="24"/>
          <w:szCs w:val="24"/>
        </w:rPr>
        <w:t>to be</w:t>
      </w:r>
      <w:r>
        <w:rPr>
          <w:rFonts w:ascii="Times New Roman" w:eastAsia="Times New Roman" w:hAnsi="Times New Roman" w:cs="Times New Roman"/>
          <w:color w:val="000000"/>
          <w:sz w:val="24"/>
          <w:szCs w:val="24"/>
        </w:rPr>
        <w:t xml:space="preserve"> more resilient to natural disasters (Clément and Rivera, 2017; Flavelle, 2024)</w:t>
      </w:r>
      <w:r w:rsidR="00D02C52">
        <w:rPr>
          <w:rFonts w:ascii="Times New Roman" w:eastAsia="Times New Roman" w:hAnsi="Times New Roman" w:cs="Times New Roman"/>
          <w:color w:val="000000"/>
          <w:sz w:val="24"/>
          <w:szCs w:val="24"/>
        </w:rPr>
        <w:t xml:space="preserve">; this is known as “climate change adaptation”, and </w:t>
      </w:r>
      <w:r w:rsidR="00F21B74">
        <w:rPr>
          <w:rFonts w:ascii="Times New Roman" w:eastAsia="Times New Roman" w:hAnsi="Times New Roman" w:cs="Times New Roman"/>
          <w:color w:val="000000"/>
          <w:sz w:val="24"/>
          <w:szCs w:val="24"/>
        </w:rPr>
        <w:t xml:space="preserve">is </w:t>
      </w:r>
      <w:r w:rsidR="00D02C52">
        <w:rPr>
          <w:rFonts w:ascii="Times New Roman" w:eastAsia="Times New Roman" w:hAnsi="Times New Roman" w:cs="Times New Roman"/>
          <w:color w:val="000000"/>
          <w:sz w:val="24"/>
          <w:szCs w:val="24"/>
        </w:rPr>
        <w:t>defined as harm-moderating “adjustment in natural or human systems in response to actual or expected climatic stimuli or their effects” (IPCC, 2001</w:t>
      </w:r>
      <w:r w:rsidR="0048323A">
        <w:rPr>
          <w:rFonts w:ascii="Times New Roman" w:eastAsia="Times New Roman" w:hAnsi="Times New Roman" w:cs="Times New Roman"/>
          <w:color w:val="000000"/>
          <w:sz w:val="24"/>
          <w:szCs w:val="24"/>
        </w:rPr>
        <w:t>, p. 982</w:t>
      </w:r>
      <w:r w:rsidR="00D02C52">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z w:val="24"/>
          <w:szCs w:val="24"/>
        </w:rPr>
        <w:t>. According to Schipper, “adapting to climate change is necessary to ensure that the impacts will not overwhelm societies and ecosystems around the world” (2020, p. 409).</w:t>
      </w:r>
    </w:p>
    <w:p w14:paraId="0000000B" w14:textId="3C386F20" w:rsidR="00EE6CE9" w:rsidRDefault="00364A95">
      <w:pPr>
        <w:pBdr>
          <w:top w:val="nil"/>
          <w:left w:val="nil"/>
          <w:bottom w:val="nil"/>
          <w:right w:val="nil"/>
          <w:between w:val="nil"/>
        </w:pBdr>
        <w:spacing w:after="0" w:line="480" w:lineRule="auto"/>
        <w:ind w:firstLine="708"/>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Even though climate change as a phenomenon has found its way into mainstream management research, much of the work has focused on organizations’ efforts to </w:t>
      </w:r>
      <w:r>
        <w:rPr>
          <w:rFonts w:ascii="Times New Roman" w:eastAsia="Times New Roman" w:hAnsi="Times New Roman" w:cs="Times New Roman"/>
          <w:i/>
          <w:color w:val="000000"/>
          <w:sz w:val="24"/>
          <w:szCs w:val="24"/>
        </w:rPr>
        <w:t>mitigate</w:t>
      </w:r>
      <w:r>
        <w:rPr>
          <w:rFonts w:ascii="Times New Roman" w:eastAsia="Times New Roman" w:hAnsi="Times New Roman" w:cs="Times New Roman"/>
          <w:color w:val="000000"/>
          <w:sz w:val="24"/>
          <w:szCs w:val="24"/>
        </w:rPr>
        <w:t xml:space="preserve"> climate change (Bansal and Hoffman, 2012; Doh, Tashman and Benischke, 2019; for notable exceptions, see Linnenluecke and Griffiths, 2010, 2012; Meijerink and Stiller, 2013; Nyberg </w:t>
      </w:r>
      <w:r w:rsidR="00737FE2">
        <w:rPr>
          <w:rFonts w:ascii="Times New Roman" w:eastAsia="Times New Roman" w:hAnsi="Times New Roman" w:cs="Times New Roman"/>
          <w:color w:val="000000"/>
          <w:sz w:val="24"/>
          <w:szCs w:val="24"/>
        </w:rPr>
        <w:t>and</w:t>
      </w:r>
      <w:r>
        <w:rPr>
          <w:rFonts w:ascii="Times New Roman" w:eastAsia="Times New Roman" w:hAnsi="Times New Roman" w:cs="Times New Roman"/>
          <w:color w:val="000000"/>
          <w:sz w:val="24"/>
          <w:szCs w:val="24"/>
        </w:rPr>
        <w:t xml:space="preserve"> Wright</w:t>
      </w:r>
      <w:r>
        <w:rPr>
          <w:rFonts w:ascii="Times New Roman" w:eastAsia="Times New Roman" w:hAnsi="Times New Roman" w:cs="Times New Roman"/>
          <w:sz w:val="24"/>
          <w:szCs w:val="24"/>
        </w:rPr>
        <w:t xml:space="preserve">, </w:t>
      </w:r>
      <w:sdt>
        <w:sdtPr>
          <w:tag w:val="goog_rdk_0"/>
          <w:id w:val="-195928783"/>
        </w:sdtPr>
        <w:sdtContent/>
      </w:sdt>
      <w:r>
        <w:rPr>
          <w:rFonts w:ascii="Times New Roman" w:eastAsia="Times New Roman" w:hAnsi="Times New Roman" w:cs="Times New Roman"/>
          <w:sz w:val="24"/>
          <w:szCs w:val="24"/>
        </w:rPr>
        <w:t xml:space="preserve">2024; </w:t>
      </w:r>
      <w:r>
        <w:rPr>
          <w:rFonts w:ascii="Times New Roman" w:eastAsia="Times New Roman" w:hAnsi="Times New Roman" w:cs="Times New Roman"/>
          <w:color w:val="000000"/>
          <w:sz w:val="24"/>
          <w:szCs w:val="24"/>
        </w:rPr>
        <w:t xml:space="preserve">Scholten, Keskitalo and Meijerink, 2015; Tashman and Rivera, 2016; </w:t>
      </w:r>
      <w:r>
        <w:rPr>
          <w:rFonts w:ascii="Times New Roman" w:eastAsia="Times New Roman" w:hAnsi="Times New Roman" w:cs="Times New Roman"/>
          <w:sz w:val="24"/>
          <w:szCs w:val="24"/>
        </w:rPr>
        <w:t xml:space="preserve">Wissman, Levy </w:t>
      </w:r>
      <w:r w:rsidR="00737FE2">
        <w:rPr>
          <w:rFonts w:ascii="Times New Roman" w:eastAsia="Times New Roman" w:hAnsi="Times New Roman" w:cs="Times New Roman"/>
          <w:sz w:val="24"/>
          <w:szCs w:val="24"/>
        </w:rPr>
        <w:t>and</w:t>
      </w:r>
      <w:r>
        <w:rPr>
          <w:rFonts w:ascii="Times New Roman" w:eastAsia="Times New Roman" w:hAnsi="Times New Roman" w:cs="Times New Roman"/>
          <w:sz w:val="24"/>
          <w:szCs w:val="24"/>
        </w:rPr>
        <w:t xml:space="preserve"> Nyberg, 2024</w:t>
      </w:r>
      <w:r>
        <w:rPr>
          <w:rFonts w:ascii="Times New Roman" w:eastAsia="Times New Roman" w:hAnsi="Times New Roman" w:cs="Times New Roman"/>
          <w:color w:val="000000"/>
          <w:sz w:val="24"/>
          <w:szCs w:val="24"/>
        </w:rPr>
        <w:t xml:space="preserve">). The IPCC describes mitigation as </w:t>
      </w:r>
      <w:r w:rsidR="0048323A">
        <w:rPr>
          <w:rFonts w:ascii="Times New Roman" w:eastAsia="Times New Roman" w:hAnsi="Times New Roman" w:cs="Times New Roman"/>
          <w:color w:val="000000"/>
          <w:sz w:val="24"/>
          <w:szCs w:val="24"/>
        </w:rPr>
        <w:t>an intervention</w:t>
      </w:r>
      <w:r>
        <w:rPr>
          <w:rFonts w:ascii="Times New Roman" w:eastAsia="Times New Roman" w:hAnsi="Times New Roman" w:cs="Times New Roman"/>
          <w:color w:val="000000"/>
          <w:sz w:val="24"/>
          <w:szCs w:val="24"/>
        </w:rPr>
        <w:t xml:space="preserve"> </w:t>
      </w:r>
      <w:r w:rsidR="0048323A">
        <w:rPr>
          <w:rFonts w:ascii="Times New Roman" w:eastAsia="Times New Roman" w:hAnsi="Times New Roman" w:cs="Times New Roman"/>
          <w:color w:val="000000"/>
          <w:sz w:val="24"/>
          <w:szCs w:val="24"/>
        </w:rPr>
        <w:t>“</w:t>
      </w:r>
      <w:r w:rsidR="0048323A" w:rsidRPr="0048323A">
        <w:rPr>
          <w:rFonts w:ascii="Times New Roman" w:eastAsia="Times New Roman" w:hAnsi="Times New Roman" w:cs="Times New Roman"/>
          <w:color w:val="000000"/>
          <w:sz w:val="24"/>
          <w:szCs w:val="24"/>
        </w:rPr>
        <w:t>to reduce the sources or enhance the sinks of greenhouse gases</w:t>
      </w:r>
      <w:r w:rsidR="0048323A">
        <w:rPr>
          <w:rFonts w:ascii="Times New Roman" w:eastAsia="Times New Roman" w:hAnsi="Times New Roman" w:cs="Times New Roman"/>
          <w:color w:val="000000"/>
          <w:sz w:val="24"/>
          <w:szCs w:val="24"/>
        </w:rPr>
        <w:t xml:space="preserve">” (2001, p. 990), </w:t>
      </w:r>
      <w:r w:rsidR="00F21B74">
        <w:rPr>
          <w:rFonts w:ascii="Times New Roman" w:eastAsia="Times New Roman" w:hAnsi="Times New Roman" w:cs="Times New Roman"/>
          <w:color w:val="000000"/>
          <w:sz w:val="24"/>
          <w:szCs w:val="24"/>
        </w:rPr>
        <w:t>and the reduction of organizations’ greenhouse gas emissions has</w:t>
      </w:r>
      <w:r w:rsidR="0048323A">
        <w:rPr>
          <w:rFonts w:ascii="Times New Roman" w:eastAsia="Times New Roman" w:hAnsi="Times New Roman" w:cs="Times New Roman"/>
          <w:color w:val="000000"/>
          <w:sz w:val="24"/>
          <w:szCs w:val="24"/>
        </w:rPr>
        <w:t xml:space="preserve"> indeed</w:t>
      </w:r>
      <w:r w:rsidR="00F21B74">
        <w:rPr>
          <w:rFonts w:ascii="Times New Roman" w:eastAsia="Times New Roman" w:hAnsi="Times New Roman" w:cs="Times New Roman"/>
          <w:color w:val="000000"/>
          <w:sz w:val="24"/>
          <w:szCs w:val="24"/>
        </w:rPr>
        <w:t xml:space="preserve"> been the focus of most m</w:t>
      </w:r>
      <w:r>
        <w:rPr>
          <w:rFonts w:ascii="Times New Roman" w:eastAsia="Times New Roman" w:hAnsi="Times New Roman" w:cs="Times New Roman"/>
          <w:color w:val="000000"/>
          <w:sz w:val="24"/>
          <w:szCs w:val="24"/>
        </w:rPr>
        <w:t xml:space="preserve">anagement research (Berrone </w:t>
      </w:r>
      <w:r w:rsidRPr="00737FE2">
        <w:rPr>
          <w:rFonts w:ascii="Times New Roman" w:eastAsia="Times New Roman" w:hAnsi="Times New Roman" w:cs="Times New Roman"/>
          <w:iCs/>
          <w:color w:val="000000"/>
          <w:sz w:val="24"/>
          <w:szCs w:val="24"/>
        </w:rPr>
        <w:t>et al.</w:t>
      </w:r>
      <w:r>
        <w:rPr>
          <w:rFonts w:ascii="Times New Roman" w:eastAsia="Times New Roman" w:hAnsi="Times New Roman" w:cs="Times New Roman"/>
          <w:color w:val="000000"/>
          <w:sz w:val="24"/>
          <w:szCs w:val="24"/>
        </w:rPr>
        <w:t xml:space="preserve">, 2013; Hoffman, 2005; Kolk and Pinkse, 2005; Reid and Toffel, 2009). As a result of this overwhelming focus on mitigation-related questions, our understanding of what will be needed to facilitate </w:t>
      </w:r>
      <w:sdt>
        <w:sdtPr>
          <w:tag w:val="goog_rdk_2"/>
          <w:id w:val="-282885707"/>
        </w:sdtPr>
        <w:sdtContent/>
      </w:sdt>
      <w:sdt>
        <w:sdtPr>
          <w:tag w:val="goog_rdk_3"/>
          <w:id w:val="1815451873"/>
        </w:sdtPr>
        <w:sdtContent/>
      </w:sdt>
      <w:r>
        <w:rPr>
          <w:rFonts w:ascii="Times New Roman" w:eastAsia="Times New Roman" w:hAnsi="Times New Roman" w:cs="Times New Roman"/>
          <w:color w:val="000000"/>
          <w:sz w:val="24"/>
          <w:szCs w:val="24"/>
        </w:rPr>
        <w:t xml:space="preserve">organizational climate change </w:t>
      </w:r>
      <w:r>
        <w:rPr>
          <w:rFonts w:ascii="Times New Roman" w:eastAsia="Times New Roman" w:hAnsi="Times New Roman" w:cs="Times New Roman"/>
          <w:i/>
          <w:color w:val="000000"/>
          <w:sz w:val="24"/>
          <w:szCs w:val="24"/>
        </w:rPr>
        <w:t>adaptation</w:t>
      </w:r>
      <w:r>
        <w:rPr>
          <w:rFonts w:ascii="Times New Roman" w:eastAsia="Times New Roman" w:hAnsi="Times New Roman" w:cs="Times New Roman"/>
          <w:color w:val="000000"/>
          <w:sz w:val="24"/>
          <w:szCs w:val="24"/>
        </w:rPr>
        <w:t xml:space="preserve"> (CCA) strategies, practices and procedures remains critically underdeveloped.</w:t>
      </w:r>
    </w:p>
    <w:p w14:paraId="0000000C" w14:textId="03776969" w:rsidR="00EE6CE9" w:rsidRDefault="00364A95">
      <w:pPr>
        <w:pBdr>
          <w:top w:val="nil"/>
          <w:left w:val="nil"/>
          <w:bottom w:val="nil"/>
          <w:right w:val="nil"/>
          <w:between w:val="nil"/>
        </w:pBdr>
        <w:spacing w:after="0" w:line="480" w:lineRule="auto"/>
        <w:ind w:firstLine="708"/>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lastRenderedPageBreak/>
        <w:t xml:space="preserve">Lack of understanding of the managerial implications of CCA is problematic as CCA is fast becoming a necessity for many organizations. Indeed, while efforts to mitigate climate change will undoubtedly remain critical, there is </w:t>
      </w:r>
      <w:r w:rsidR="003A5A03">
        <w:rPr>
          <w:rFonts w:ascii="Times New Roman" w:eastAsia="Times New Roman" w:hAnsi="Times New Roman" w:cs="Times New Roman"/>
          <w:color w:val="000000"/>
          <w:sz w:val="24"/>
          <w:szCs w:val="24"/>
        </w:rPr>
        <w:t>an understanding that the likelihood of these endeavours being completely successful is low</w:t>
      </w:r>
      <w:r>
        <w:rPr>
          <w:rFonts w:ascii="Times New Roman" w:eastAsia="Times New Roman" w:hAnsi="Times New Roman" w:cs="Times New Roman"/>
          <w:color w:val="000000"/>
          <w:sz w:val="24"/>
          <w:szCs w:val="24"/>
        </w:rPr>
        <w:t xml:space="preserve"> (UNFCCC, 2022). Adapting to the new realities of climate change is something organizations cannot avoid or escape if they intend to remain viable. CCA is not an alternative to climate change mitigation, but must, according to UN Secretary General Antonio Guterres, be seen as the other “half of the climate equation”</w:t>
      </w:r>
      <w:r w:rsidR="0048323A">
        <w:rPr>
          <w:rFonts w:ascii="Times New Roman" w:eastAsia="Times New Roman" w:hAnsi="Times New Roman" w:cs="Times New Roman"/>
          <w:color w:val="000000"/>
          <w:sz w:val="24"/>
          <w:szCs w:val="24"/>
        </w:rPr>
        <w:t xml:space="preserve"> (UNFCCC, 2021)</w:t>
      </w:r>
      <w:r>
        <w:rPr>
          <w:rFonts w:ascii="Times New Roman" w:eastAsia="Times New Roman" w:hAnsi="Times New Roman" w:cs="Times New Roman"/>
          <w:color w:val="000000"/>
          <w:sz w:val="24"/>
          <w:szCs w:val="24"/>
        </w:rPr>
        <w:t xml:space="preserve"> of organizational responses to changing environmental conditions due to global warming.</w:t>
      </w:r>
    </w:p>
    <w:p w14:paraId="0000000D" w14:textId="2C622F00" w:rsidR="00EE6CE9" w:rsidRDefault="00364A95">
      <w:pPr>
        <w:pBdr>
          <w:top w:val="nil"/>
          <w:left w:val="nil"/>
          <w:bottom w:val="nil"/>
          <w:right w:val="nil"/>
          <w:between w:val="nil"/>
        </w:pBdr>
        <w:spacing w:after="0" w:line="480" w:lineRule="auto"/>
        <w:ind w:firstLine="709"/>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For management scholars to stay relevant in conversations on the “greatest challenge we confront in the 21</w:t>
      </w:r>
      <w:r>
        <w:rPr>
          <w:rFonts w:ascii="Times New Roman" w:eastAsia="Times New Roman" w:hAnsi="Times New Roman" w:cs="Times New Roman"/>
          <w:color w:val="000000"/>
          <w:sz w:val="24"/>
          <w:szCs w:val="24"/>
          <w:vertAlign w:val="superscript"/>
        </w:rPr>
        <w:t>st</w:t>
      </w:r>
      <w:r>
        <w:rPr>
          <w:rFonts w:ascii="Times New Roman" w:eastAsia="Times New Roman" w:hAnsi="Times New Roman" w:cs="Times New Roman"/>
          <w:color w:val="000000"/>
          <w:sz w:val="24"/>
          <w:szCs w:val="24"/>
        </w:rPr>
        <w:t xml:space="preserve"> century” (Howard-Grenville </w:t>
      </w:r>
      <w:r w:rsidRPr="00737FE2">
        <w:rPr>
          <w:rFonts w:ascii="Times New Roman" w:eastAsia="Times New Roman" w:hAnsi="Times New Roman" w:cs="Times New Roman"/>
          <w:iCs/>
          <w:color w:val="000000"/>
          <w:sz w:val="24"/>
          <w:szCs w:val="24"/>
        </w:rPr>
        <w:t>et al., 2014, p. 615; see also Buckley, Doh and Benischke, 2017; Fernhaber and Zou, 2022; Howard-Grenville and Lahneman, 2021; Rivera et al</w:t>
      </w:r>
      <w:r>
        <w:rPr>
          <w:rFonts w:ascii="Times New Roman" w:eastAsia="Times New Roman" w:hAnsi="Times New Roman" w:cs="Times New Roman"/>
          <w:color w:val="000000"/>
          <w:sz w:val="24"/>
          <w:szCs w:val="24"/>
        </w:rPr>
        <w:t>., 2022; Whiteman, Walker and Perego, 2013; Williams, Perego and Whiteman, 2024), we argue that it is critical to develop</w:t>
      </w:r>
      <w:r w:rsidR="001E3C4C">
        <w:rPr>
          <w:rFonts w:ascii="Times New Roman" w:eastAsia="Times New Roman" w:hAnsi="Times New Roman" w:cs="Times New Roman"/>
          <w:color w:val="000000"/>
          <w:sz w:val="24"/>
          <w:szCs w:val="24"/>
        </w:rPr>
        <w:t xml:space="preserve"> </w:t>
      </w:r>
      <w:r w:rsidR="00D70F91">
        <w:rPr>
          <w:rFonts w:ascii="Times New Roman" w:eastAsia="Times New Roman" w:hAnsi="Times New Roman" w:cs="Times New Roman"/>
          <w:color w:val="000000"/>
          <w:sz w:val="24"/>
          <w:szCs w:val="24"/>
        </w:rPr>
        <w:t>a model</w:t>
      </w:r>
      <w:r>
        <w:rPr>
          <w:rFonts w:ascii="Times New Roman" w:eastAsia="Times New Roman" w:hAnsi="Times New Roman" w:cs="Times New Roman"/>
          <w:color w:val="000000"/>
          <w:sz w:val="24"/>
          <w:szCs w:val="24"/>
        </w:rPr>
        <w:t xml:space="preserve"> that more accurately explains organizational CCA and reflects on the strategies, practices, and procedures that </w:t>
      </w:r>
      <w:r w:rsidR="001E3C4C">
        <w:rPr>
          <w:rFonts w:ascii="Times New Roman" w:eastAsia="Times New Roman" w:hAnsi="Times New Roman" w:cs="Times New Roman"/>
          <w:color w:val="000000"/>
          <w:sz w:val="24"/>
          <w:szCs w:val="24"/>
        </w:rPr>
        <w:t xml:space="preserve">may </w:t>
      </w:r>
      <w:r>
        <w:rPr>
          <w:rFonts w:ascii="Times New Roman" w:eastAsia="Times New Roman" w:hAnsi="Times New Roman" w:cs="Times New Roman"/>
          <w:color w:val="000000"/>
          <w:sz w:val="24"/>
          <w:szCs w:val="24"/>
        </w:rPr>
        <w:t>unfold in managerial and organizational contexts, most prominently business and policy. Although scholars have started to highlight the unique challenges associated with the management of CCA (e.g., Doh</w:t>
      </w:r>
      <w:r w:rsidR="00905E67">
        <w:rPr>
          <w:rFonts w:ascii="Times New Roman" w:eastAsia="Times New Roman" w:hAnsi="Times New Roman" w:cs="Times New Roman"/>
          <w:iCs/>
          <w:color w:val="000000"/>
          <w:sz w:val="24"/>
          <w:szCs w:val="24"/>
        </w:rPr>
        <w:t>, Tashman and Benischke</w:t>
      </w:r>
      <w:r>
        <w:rPr>
          <w:rFonts w:ascii="Times New Roman" w:eastAsia="Times New Roman" w:hAnsi="Times New Roman" w:cs="Times New Roman"/>
          <w:color w:val="000000"/>
          <w:sz w:val="24"/>
          <w:szCs w:val="24"/>
        </w:rPr>
        <w:t>, 2019; Linnenluecke and Griffiths, 2010, 2012; Tashman and Rivera, 2016; Winn</w:t>
      </w:r>
      <w:r w:rsidR="00905E67">
        <w:rPr>
          <w:rFonts w:ascii="Times New Roman" w:eastAsia="Times New Roman" w:hAnsi="Times New Roman" w:cs="Times New Roman"/>
          <w:color w:val="000000"/>
          <w:sz w:val="24"/>
          <w:szCs w:val="24"/>
        </w:rPr>
        <w:t xml:space="preserve"> et al.</w:t>
      </w:r>
      <w:r w:rsidR="00737FE2">
        <w:rPr>
          <w:rFonts w:ascii="Times New Roman" w:eastAsia="Times New Roman" w:hAnsi="Times New Roman" w:cs="Times New Roman"/>
          <w:color w:val="000000"/>
          <w:sz w:val="24"/>
          <w:szCs w:val="24"/>
        </w:rPr>
        <w:t>,</w:t>
      </w:r>
      <w:r w:rsidR="00737FE2">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2011), we lack research that systematically addresses CCA (Howard-Grenville and Lahneman, 2021). As a result, management scholars</w:t>
      </w:r>
      <w:r w:rsidR="008023A8">
        <w:rPr>
          <w:rFonts w:ascii="Times New Roman" w:eastAsia="Times New Roman" w:hAnsi="Times New Roman" w:cs="Times New Roman"/>
          <w:color w:val="000000"/>
          <w:sz w:val="24"/>
          <w:szCs w:val="24"/>
        </w:rPr>
        <w:t xml:space="preserve"> and</w:t>
      </w:r>
      <w:r>
        <w:rPr>
          <w:rFonts w:ascii="Times New Roman" w:eastAsia="Times New Roman" w:hAnsi="Times New Roman" w:cs="Times New Roman"/>
          <w:color w:val="000000"/>
          <w:sz w:val="24"/>
          <w:szCs w:val="24"/>
        </w:rPr>
        <w:t xml:space="preserve"> business decision-makers</w:t>
      </w:r>
      <w:r w:rsidR="001E3C4C">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z w:val="24"/>
          <w:szCs w:val="24"/>
        </w:rPr>
        <w:t xml:space="preserve"> as well as societal stakeholders</w:t>
      </w:r>
      <w:r w:rsidR="001E3C4C">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z w:val="24"/>
          <w:szCs w:val="24"/>
        </w:rPr>
        <w:t xml:space="preserve"> currently lack clear insight and guidance as to which evidence-based practices can help in the effective management of the CCA process. </w:t>
      </w:r>
    </w:p>
    <w:p w14:paraId="0000000E" w14:textId="3BEB45EF" w:rsidR="00EE6CE9" w:rsidRDefault="00364A95">
      <w:pPr>
        <w:pBdr>
          <w:top w:val="nil"/>
          <w:left w:val="nil"/>
          <w:bottom w:val="nil"/>
          <w:right w:val="nil"/>
          <w:between w:val="nil"/>
        </w:pBdr>
        <w:spacing w:after="0" w:line="480" w:lineRule="auto"/>
        <w:ind w:firstLine="709"/>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One possible explanation for the lack of dedicated CCA research in management could be that there is </w:t>
      </w:r>
      <w:r w:rsidR="001E3C4C">
        <w:rPr>
          <w:rFonts w:ascii="Times New Roman" w:eastAsia="Times New Roman" w:hAnsi="Times New Roman" w:cs="Times New Roman"/>
          <w:color w:val="000000"/>
          <w:sz w:val="24"/>
          <w:szCs w:val="24"/>
        </w:rPr>
        <w:t xml:space="preserve">already </w:t>
      </w:r>
      <w:r>
        <w:rPr>
          <w:rFonts w:ascii="Times New Roman" w:eastAsia="Times New Roman" w:hAnsi="Times New Roman" w:cs="Times New Roman"/>
          <w:color w:val="000000"/>
          <w:sz w:val="24"/>
          <w:szCs w:val="24"/>
        </w:rPr>
        <w:t xml:space="preserve">a large body of research on </w:t>
      </w:r>
      <w:r w:rsidRPr="00765364">
        <w:rPr>
          <w:rFonts w:ascii="Times New Roman" w:eastAsia="Times New Roman" w:hAnsi="Times New Roman" w:cs="Times New Roman"/>
          <w:i/>
          <w:iCs/>
          <w:color w:val="000000"/>
          <w:sz w:val="24"/>
          <w:szCs w:val="24"/>
        </w:rPr>
        <w:t>organizational adaptation</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z w:val="24"/>
          <w:szCs w:val="24"/>
        </w:rPr>
        <w:lastRenderedPageBreak/>
        <w:t>Adaptation is recognized as “intentional decision making undertaken by organizational members</w:t>
      </w:r>
      <w:r w:rsidR="001E3C4C">
        <w:rPr>
          <w:rFonts w:ascii="Times New Roman" w:eastAsia="Times New Roman" w:hAnsi="Times New Roman" w:cs="Times New Roman"/>
          <w:color w:val="000000"/>
          <w:sz w:val="24"/>
          <w:szCs w:val="24"/>
        </w:rPr>
        <w:t xml:space="preserve">, </w:t>
      </w:r>
      <w:r w:rsidR="001E3C4C" w:rsidRPr="00036185">
        <w:rPr>
          <w:rFonts w:ascii="Times New Roman" w:eastAsia="Times New Roman" w:hAnsi="Times New Roman" w:cs="Times New Roman"/>
          <w:color w:val="000000"/>
          <w:sz w:val="24"/>
          <w:szCs w:val="24"/>
        </w:rPr>
        <w:t>leading to observable actions that aim to reduce the distance between an organization and its economic and institutional environments</w:t>
      </w:r>
      <w:r>
        <w:rPr>
          <w:rFonts w:ascii="Times New Roman" w:eastAsia="Times New Roman" w:hAnsi="Times New Roman" w:cs="Times New Roman"/>
          <w:color w:val="000000"/>
          <w:sz w:val="24"/>
          <w:szCs w:val="24"/>
        </w:rPr>
        <w:t>” (Sarta, Durand and Vergne, 2021, p. 43). This body of work assumes that existing ways of decision-making suffice to accomplish CCA</w:t>
      </w:r>
      <w:r w:rsidR="002131C8">
        <w:rPr>
          <w:rFonts w:ascii="Times New Roman" w:eastAsia="Times New Roman" w:hAnsi="Times New Roman" w:cs="Times New Roman"/>
          <w:color w:val="000000"/>
          <w:sz w:val="24"/>
          <w:szCs w:val="24"/>
        </w:rPr>
        <w:t>, converting climate change issues “into the mundane and comfortable concerns of business as usual” (Wright and Nyberg, 2017, p. 1633)</w:t>
      </w:r>
      <w:r>
        <w:rPr>
          <w:rFonts w:ascii="Times New Roman" w:eastAsia="Times New Roman" w:hAnsi="Times New Roman" w:cs="Times New Roman"/>
          <w:color w:val="000000"/>
          <w:sz w:val="24"/>
          <w:szCs w:val="24"/>
        </w:rPr>
        <w:t xml:space="preserve">. </w:t>
      </w:r>
      <w:r w:rsidR="006C4823">
        <w:rPr>
          <w:rFonts w:ascii="Times New Roman" w:eastAsia="Times New Roman" w:hAnsi="Times New Roman" w:cs="Times New Roman"/>
          <w:color w:val="000000"/>
          <w:sz w:val="24"/>
          <w:szCs w:val="24"/>
        </w:rPr>
        <w:t>However</w:t>
      </w:r>
      <w:r>
        <w:rPr>
          <w:rFonts w:ascii="Times New Roman" w:eastAsia="Times New Roman" w:hAnsi="Times New Roman" w:cs="Times New Roman"/>
          <w:color w:val="000000"/>
          <w:sz w:val="24"/>
          <w:szCs w:val="24"/>
        </w:rPr>
        <w:t xml:space="preserve">, climate change related shocks are unique and do not follow </w:t>
      </w:r>
      <w:r w:rsidR="008023A8">
        <w:rPr>
          <w:rFonts w:ascii="Times New Roman" w:eastAsia="Times New Roman" w:hAnsi="Times New Roman" w:cs="Times New Roman"/>
          <w:color w:val="000000"/>
          <w:sz w:val="24"/>
          <w:szCs w:val="24"/>
        </w:rPr>
        <w:t xml:space="preserve">typical </w:t>
      </w:r>
      <w:r w:rsidR="002131C8">
        <w:rPr>
          <w:rFonts w:ascii="Times New Roman" w:eastAsia="Times New Roman" w:hAnsi="Times New Roman" w:cs="Times New Roman"/>
          <w:color w:val="000000"/>
          <w:sz w:val="24"/>
          <w:szCs w:val="24"/>
        </w:rPr>
        <w:t>behaviours</w:t>
      </w:r>
      <w:r>
        <w:rPr>
          <w:rFonts w:ascii="Times New Roman" w:eastAsia="Times New Roman" w:hAnsi="Times New Roman" w:cs="Times New Roman"/>
          <w:color w:val="000000"/>
          <w:sz w:val="24"/>
          <w:szCs w:val="24"/>
        </w:rPr>
        <w:t xml:space="preserve"> organizations have had to adapt </w:t>
      </w:r>
      <w:r w:rsidR="006C4823">
        <w:rPr>
          <w:rFonts w:ascii="Times New Roman" w:eastAsia="Times New Roman" w:hAnsi="Times New Roman" w:cs="Times New Roman"/>
          <w:color w:val="000000"/>
          <w:sz w:val="24"/>
          <w:szCs w:val="24"/>
        </w:rPr>
        <w:t xml:space="preserve">to </w:t>
      </w:r>
      <w:r>
        <w:rPr>
          <w:rFonts w:ascii="Times New Roman" w:eastAsia="Times New Roman" w:hAnsi="Times New Roman" w:cs="Times New Roman"/>
          <w:color w:val="000000"/>
          <w:sz w:val="24"/>
          <w:szCs w:val="24"/>
        </w:rPr>
        <w:t>in the past (Doh</w:t>
      </w:r>
      <w:r w:rsidR="00656BC8">
        <w:rPr>
          <w:rFonts w:ascii="Times New Roman" w:eastAsia="Times New Roman" w:hAnsi="Times New Roman" w:cs="Times New Roman"/>
          <w:iCs/>
          <w:color w:val="000000"/>
          <w:sz w:val="24"/>
          <w:szCs w:val="24"/>
        </w:rPr>
        <w:t>, Tashman and Benischke</w:t>
      </w:r>
      <w:r w:rsidRPr="00737FE2">
        <w:rPr>
          <w:rFonts w:ascii="Times New Roman" w:eastAsia="Times New Roman" w:hAnsi="Times New Roman" w:cs="Times New Roman"/>
          <w:iCs/>
          <w:color w:val="000000"/>
          <w:sz w:val="24"/>
          <w:szCs w:val="24"/>
        </w:rPr>
        <w:t>,</w:t>
      </w:r>
      <w:r>
        <w:rPr>
          <w:rFonts w:ascii="Times New Roman" w:eastAsia="Times New Roman" w:hAnsi="Times New Roman" w:cs="Times New Roman"/>
          <w:color w:val="000000"/>
          <w:sz w:val="24"/>
          <w:szCs w:val="24"/>
        </w:rPr>
        <w:t xml:space="preserve"> 2019; Yoon </w:t>
      </w:r>
      <w:r w:rsidRPr="00737FE2">
        <w:rPr>
          <w:rFonts w:ascii="Times New Roman" w:eastAsia="Times New Roman" w:hAnsi="Times New Roman" w:cs="Times New Roman"/>
          <w:iCs/>
          <w:color w:val="000000"/>
          <w:sz w:val="24"/>
          <w:szCs w:val="24"/>
        </w:rPr>
        <w:t>et al.,</w:t>
      </w:r>
      <w:r>
        <w:rPr>
          <w:rFonts w:ascii="Times New Roman" w:eastAsia="Times New Roman" w:hAnsi="Times New Roman" w:cs="Times New Roman"/>
          <w:color w:val="000000"/>
          <w:sz w:val="24"/>
          <w:szCs w:val="24"/>
        </w:rPr>
        <w:t xml:space="preserve"> 2024). These </w:t>
      </w:r>
      <w:r>
        <w:rPr>
          <w:rFonts w:ascii="Times New Roman" w:eastAsia="Times New Roman" w:hAnsi="Times New Roman" w:cs="Times New Roman"/>
          <w:sz w:val="24"/>
          <w:szCs w:val="24"/>
        </w:rPr>
        <w:t xml:space="preserve">shocks are interdependent with the natural environment and are systematic such that they are only to some extent predictable. To wit, some </w:t>
      </w:r>
      <w:r w:rsidR="002131C8">
        <w:rPr>
          <w:rFonts w:ascii="Times New Roman" w:eastAsia="Times New Roman" w:hAnsi="Times New Roman" w:cs="Times New Roman"/>
          <w:sz w:val="24"/>
          <w:szCs w:val="24"/>
        </w:rPr>
        <w:t xml:space="preserve">types of </w:t>
      </w:r>
      <w:r>
        <w:rPr>
          <w:rFonts w:ascii="Times New Roman" w:eastAsia="Times New Roman" w:hAnsi="Times New Roman" w:cs="Times New Roman"/>
          <w:sz w:val="24"/>
          <w:szCs w:val="24"/>
        </w:rPr>
        <w:t>climate shock will happen with increased likelihood and frequency, but we don´t know where, when and how severe.</w:t>
      </w:r>
    </w:p>
    <w:p w14:paraId="0000000F" w14:textId="230608C7" w:rsidR="00EE6CE9" w:rsidRDefault="00364A95">
      <w:pPr>
        <w:pBdr>
          <w:top w:val="nil"/>
          <w:left w:val="nil"/>
          <w:bottom w:val="nil"/>
          <w:right w:val="nil"/>
          <w:between w:val="nil"/>
        </w:pBdr>
        <w:spacing w:after="0" w:line="480" w:lineRule="auto"/>
        <w:ind w:firstLine="709"/>
        <w:rPr>
          <w:rFonts w:ascii="Times New Roman" w:eastAsia="Times New Roman" w:hAnsi="Times New Roman" w:cs="Times New Roman"/>
          <w:color w:val="000000"/>
          <w:sz w:val="24"/>
          <w:szCs w:val="24"/>
        </w:rPr>
      </w:pPr>
      <w:r>
        <w:rPr>
          <w:rFonts w:ascii="Times New Roman" w:eastAsia="Times New Roman" w:hAnsi="Times New Roman" w:cs="Times New Roman"/>
          <w:sz w:val="24"/>
          <w:szCs w:val="24"/>
        </w:rPr>
        <w:t>For example</w:t>
      </w:r>
      <w:r>
        <w:rPr>
          <w:rFonts w:ascii="Times New Roman" w:eastAsia="Times New Roman" w:hAnsi="Times New Roman" w:cs="Times New Roman"/>
          <w:color w:val="000000"/>
          <w:sz w:val="24"/>
          <w:szCs w:val="24"/>
        </w:rPr>
        <w:t xml:space="preserve">, consistent with traditional organizational adaptation literature, the few studies that address CCA-related questions have conceptualized </w:t>
      </w:r>
      <w:r>
        <w:rPr>
          <w:rFonts w:ascii="Times New Roman" w:eastAsia="Times New Roman" w:hAnsi="Times New Roman" w:cs="Times New Roman"/>
          <w:sz w:val="24"/>
          <w:szCs w:val="24"/>
        </w:rPr>
        <w:t>CCA as a</w:t>
      </w:r>
      <w:r>
        <w:rPr>
          <w:rFonts w:ascii="Times New Roman" w:eastAsia="Times New Roman" w:hAnsi="Times New Roman" w:cs="Times New Roman"/>
          <w:color w:val="000000"/>
          <w:sz w:val="24"/>
          <w:szCs w:val="24"/>
        </w:rPr>
        <w:t xml:space="preserve"> problem of a misfit between an organization’s internal arrangements and the demands of the external environment, which in this case is the natural environment (e.g., Linnenluecke and Griffiths, 2010; Tashman and Rivera, 2016). What is problematic is that in these studies, the natural environment is </w:t>
      </w:r>
      <w:r w:rsidR="008C64E2">
        <w:rPr>
          <w:rFonts w:ascii="Times New Roman" w:eastAsia="Times New Roman" w:hAnsi="Times New Roman" w:cs="Times New Roman"/>
          <w:color w:val="000000"/>
          <w:sz w:val="24"/>
          <w:szCs w:val="24"/>
        </w:rPr>
        <w:t xml:space="preserve"> assumed</w:t>
      </w:r>
      <w:r>
        <w:rPr>
          <w:rFonts w:ascii="Times New Roman" w:eastAsia="Times New Roman" w:hAnsi="Times New Roman" w:cs="Times New Roman"/>
          <w:color w:val="000000"/>
          <w:sz w:val="24"/>
          <w:szCs w:val="24"/>
        </w:rPr>
        <w:t xml:space="preserve"> and the focus is on the adaptive response by the organization. However, in the climate change context, it is essential to consider that organizations are not only affected by changes in the natural environment, but organizational adaptation to climate change will itself influence the natural environment (Tashman, 2021). Not considering this recursive feedback loop increases the risk of maladaptation, “where exposure and sensitivity to climate change impacts are instead increased as a result of action taken” (Schipper, 2020, p. 409). For example, firms having operations in context</w:t>
      </w:r>
      <w:r>
        <w:rPr>
          <w:rFonts w:ascii="Times New Roman" w:eastAsia="Times New Roman" w:hAnsi="Times New Roman" w:cs="Times New Roman"/>
          <w:sz w:val="24"/>
          <w:szCs w:val="24"/>
        </w:rPr>
        <w:t xml:space="preserve">s of extreme heat may adapt by equipping buildings with enhanced cooling technologies, but in return consume more energy and other resources than before. </w:t>
      </w:r>
      <w:r>
        <w:rPr>
          <w:rFonts w:ascii="Times New Roman" w:eastAsia="Times New Roman" w:hAnsi="Times New Roman" w:cs="Times New Roman"/>
          <w:color w:val="000000"/>
          <w:sz w:val="24"/>
          <w:szCs w:val="24"/>
        </w:rPr>
        <w:t xml:space="preserve">The result is </w:t>
      </w:r>
      <w:r w:rsidR="008C64E2">
        <w:rPr>
          <w:rFonts w:ascii="Times New Roman" w:eastAsia="Times New Roman" w:hAnsi="Times New Roman" w:cs="Times New Roman"/>
          <w:color w:val="000000"/>
          <w:sz w:val="24"/>
          <w:szCs w:val="24"/>
        </w:rPr>
        <w:t xml:space="preserve">an </w:t>
      </w:r>
      <w:r>
        <w:rPr>
          <w:rFonts w:ascii="Times New Roman" w:eastAsia="Times New Roman" w:hAnsi="Times New Roman" w:cs="Times New Roman"/>
          <w:color w:val="000000"/>
          <w:sz w:val="24"/>
          <w:szCs w:val="24"/>
        </w:rPr>
        <w:t xml:space="preserve">even greater </w:t>
      </w:r>
      <w:r w:rsidR="008C64E2">
        <w:rPr>
          <w:rFonts w:ascii="Times New Roman" w:eastAsia="Times New Roman" w:hAnsi="Times New Roman" w:cs="Times New Roman"/>
          <w:color w:val="000000"/>
          <w:sz w:val="24"/>
          <w:szCs w:val="24"/>
        </w:rPr>
        <w:t xml:space="preserve">contribution and therefore </w:t>
      </w:r>
      <w:r>
        <w:rPr>
          <w:rFonts w:ascii="Times New Roman" w:eastAsia="Times New Roman" w:hAnsi="Times New Roman" w:cs="Times New Roman"/>
          <w:color w:val="000000"/>
          <w:sz w:val="24"/>
          <w:szCs w:val="24"/>
        </w:rPr>
        <w:lastRenderedPageBreak/>
        <w:t>vulnerability to climate change than before</w:t>
      </w:r>
      <w:r w:rsidR="008C64E2">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z w:val="24"/>
          <w:szCs w:val="24"/>
        </w:rPr>
        <w:t xml:space="preserve"> as well as </w:t>
      </w:r>
      <w:r w:rsidR="000A598E">
        <w:rPr>
          <w:rFonts w:ascii="Times New Roman" w:eastAsia="Times New Roman" w:hAnsi="Times New Roman" w:cs="Times New Roman"/>
          <w:color w:val="000000"/>
          <w:sz w:val="24"/>
          <w:szCs w:val="24"/>
        </w:rPr>
        <w:t xml:space="preserve">greater </w:t>
      </w:r>
      <w:r>
        <w:rPr>
          <w:rFonts w:ascii="Times New Roman" w:eastAsia="Times New Roman" w:hAnsi="Times New Roman" w:cs="Times New Roman"/>
          <w:color w:val="000000"/>
          <w:sz w:val="24"/>
          <w:szCs w:val="24"/>
        </w:rPr>
        <w:t>sunk and opportunity costs. The question</w:t>
      </w:r>
      <w:r w:rsidR="008023A8">
        <w:rPr>
          <w:rFonts w:ascii="Times New Roman" w:eastAsia="Times New Roman" w:hAnsi="Times New Roman" w:cs="Times New Roman"/>
          <w:color w:val="000000"/>
          <w:sz w:val="24"/>
          <w:szCs w:val="24"/>
        </w:rPr>
        <w:t>,</w:t>
      </w:r>
      <w:r w:rsidR="008B5F2F">
        <w:rPr>
          <w:rFonts w:ascii="Times New Roman" w:eastAsia="Times New Roman" w:hAnsi="Times New Roman" w:cs="Times New Roman"/>
          <w:color w:val="000000"/>
          <w:sz w:val="24"/>
          <w:szCs w:val="24"/>
        </w:rPr>
        <w:t xml:space="preserve"> therefore</w:t>
      </w:r>
      <w:r>
        <w:rPr>
          <w:rFonts w:ascii="Times New Roman" w:eastAsia="Times New Roman" w:hAnsi="Times New Roman" w:cs="Times New Roman"/>
          <w:color w:val="000000"/>
          <w:sz w:val="24"/>
          <w:szCs w:val="24"/>
        </w:rPr>
        <w:t xml:space="preserve"> is not only </w:t>
      </w:r>
      <w:r>
        <w:rPr>
          <w:rFonts w:ascii="Times New Roman" w:eastAsia="Times New Roman" w:hAnsi="Times New Roman" w:cs="Times New Roman"/>
          <w:i/>
          <w:color w:val="000000"/>
          <w:sz w:val="24"/>
          <w:szCs w:val="24"/>
        </w:rPr>
        <w:t>whether</w:t>
      </w:r>
      <w:r>
        <w:rPr>
          <w:rFonts w:ascii="Times New Roman" w:eastAsia="Times New Roman" w:hAnsi="Times New Roman" w:cs="Times New Roman"/>
          <w:color w:val="000000"/>
          <w:sz w:val="24"/>
          <w:szCs w:val="24"/>
        </w:rPr>
        <w:t xml:space="preserve"> organizations </w:t>
      </w:r>
      <w:r w:rsidR="00042548">
        <w:rPr>
          <w:rFonts w:ascii="Times New Roman" w:eastAsia="Times New Roman" w:hAnsi="Times New Roman" w:cs="Times New Roman"/>
          <w:color w:val="000000"/>
          <w:sz w:val="24"/>
          <w:szCs w:val="24"/>
        </w:rPr>
        <w:t xml:space="preserve">should </w:t>
      </w:r>
      <w:r>
        <w:rPr>
          <w:rFonts w:ascii="Times New Roman" w:eastAsia="Times New Roman" w:hAnsi="Times New Roman" w:cs="Times New Roman"/>
          <w:color w:val="000000"/>
          <w:sz w:val="24"/>
          <w:szCs w:val="24"/>
        </w:rPr>
        <w:t xml:space="preserve">adapt to climate change, but more importantly </w:t>
      </w:r>
      <w:r>
        <w:rPr>
          <w:rFonts w:ascii="Times New Roman" w:eastAsia="Times New Roman" w:hAnsi="Times New Roman" w:cs="Times New Roman"/>
          <w:i/>
          <w:color w:val="000000"/>
          <w:sz w:val="24"/>
          <w:szCs w:val="24"/>
        </w:rPr>
        <w:t>how</w:t>
      </w:r>
      <w:r>
        <w:rPr>
          <w:rFonts w:ascii="Times New Roman" w:eastAsia="Times New Roman" w:hAnsi="Times New Roman" w:cs="Times New Roman"/>
          <w:color w:val="000000"/>
          <w:sz w:val="24"/>
          <w:szCs w:val="24"/>
        </w:rPr>
        <w:t xml:space="preserve"> they </w:t>
      </w:r>
      <w:r w:rsidR="00042548">
        <w:rPr>
          <w:rFonts w:ascii="Times New Roman" w:eastAsia="Times New Roman" w:hAnsi="Times New Roman" w:cs="Times New Roman"/>
          <w:color w:val="000000"/>
          <w:sz w:val="24"/>
          <w:szCs w:val="24"/>
        </w:rPr>
        <w:t xml:space="preserve">should </w:t>
      </w:r>
      <w:r>
        <w:rPr>
          <w:rFonts w:ascii="Times New Roman" w:eastAsia="Times New Roman" w:hAnsi="Times New Roman" w:cs="Times New Roman"/>
          <w:color w:val="000000"/>
          <w:sz w:val="24"/>
          <w:szCs w:val="24"/>
        </w:rPr>
        <w:t>adapt.</w:t>
      </w:r>
    </w:p>
    <w:p w14:paraId="00000010" w14:textId="2A6E9B40" w:rsidR="00EE6CE9" w:rsidRDefault="00364A95">
      <w:pPr>
        <w:pBdr>
          <w:top w:val="nil"/>
          <w:left w:val="nil"/>
          <w:bottom w:val="nil"/>
          <w:right w:val="nil"/>
          <w:between w:val="nil"/>
        </w:pBdr>
        <w:spacing w:after="0" w:line="480" w:lineRule="auto"/>
        <w:ind w:firstLine="709"/>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Likewise, management scholars interested in climate change research may have sidestepped a deeper engagement with CCA because of the increasing interest in </w:t>
      </w:r>
      <w:r w:rsidR="008B5F2F">
        <w:rPr>
          <w:rFonts w:ascii="Times New Roman" w:eastAsia="Times New Roman" w:hAnsi="Times New Roman" w:cs="Times New Roman"/>
          <w:color w:val="000000"/>
          <w:sz w:val="24"/>
          <w:szCs w:val="24"/>
        </w:rPr>
        <w:t xml:space="preserve">organizational </w:t>
      </w:r>
      <w:r w:rsidRPr="00036185">
        <w:rPr>
          <w:rFonts w:ascii="Times New Roman" w:eastAsia="Times New Roman" w:hAnsi="Times New Roman" w:cs="Times New Roman"/>
          <w:i/>
          <w:iCs/>
          <w:color w:val="000000"/>
          <w:sz w:val="24"/>
          <w:szCs w:val="24"/>
        </w:rPr>
        <w:t>resilience</w:t>
      </w:r>
      <w:r>
        <w:rPr>
          <w:rFonts w:ascii="Times New Roman" w:eastAsia="Times New Roman" w:hAnsi="Times New Roman" w:cs="Times New Roman"/>
          <w:color w:val="000000"/>
          <w:sz w:val="24"/>
          <w:szCs w:val="24"/>
        </w:rPr>
        <w:t xml:space="preserve"> (e.g., </w:t>
      </w:r>
      <w:r w:rsidRPr="00737FE2">
        <w:rPr>
          <w:rFonts w:ascii="Times New Roman" w:eastAsia="Times New Roman" w:hAnsi="Times New Roman" w:cs="Times New Roman"/>
          <w:color w:val="000000"/>
          <w:sz w:val="24"/>
          <w:szCs w:val="24"/>
        </w:rPr>
        <w:t xml:space="preserve">Hernes et al., </w:t>
      </w:r>
      <w:r w:rsidR="0029001B">
        <w:rPr>
          <w:rFonts w:ascii="Times New Roman" w:eastAsia="Times New Roman" w:hAnsi="Times New Roman" w:cs="Times New Roman"/>
          <w:color w:val="000000"/>
          <w:sz w:val="24"/>
          <w:szCs w:val="24"/>
        </w:rPr>
        <w:t>2025</w:t>
      </w:r>
      <w:r w:rsidRPr="00737FE2">
        <w:rPr>
          <w:rFonts w:ascii="Times New Roman" w:eastAsia="Times New Roman" w:hAnsi="Times New Roman" w:cs="Times New Roman"/>
          <w:color w:val="000000"/>
          <w:sz w:val="24"/>
          <w:szCs w:val="24"/>
        </w:rPr>
        <w:t>). However, while we acknowledge that prior management research has attempted to accommodate CCA in the concept of resilience (e.g., Linnenluecke</w:t>
      </w:r>
      <w:r w:rsidR="00B92EE8">
        <w:rPr>
          <w:rFonts w:ascii="Times New Roman" w:eastAsia="Times New Roman" w:hAnsi="Times New Roman" w:cs="Times New Roman"/>
          <w:color w:val="000000"/>
          <w:sz w:val="24"/>
          <w:szCs w:val="24"/>
        </w:rPr>
        <w:t>, Griffiths and Winn</w:t>
      </w:r>
      <w:r w:rsidRPr="00737FE2">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z w:val="24"/>
          <w:szCs w:val="24"/>
        </w:rPr>
        <w:t xml:space="preserve"> 2012; Tashman, 2021), these studies take for granted many of the </w:t>
      </w:r>
      <w:r w:rsidR="008B5F2F">
        <w:rPr>
          <w:rFonts w:ascii="Times New Roman" w:eastAsia="Times New Roman" w:hAnsi="Times New Roman" w:cs="Times New Roman"/>
          <w:color w:val="000000"/>
          <w:sz w:val="24"/>
          <w:szCs w:val="24"/>
        </w:rPr>
        <w:t xml:space="preserve">same </w:t>
      </w:r>
      <w:r>
        <w:rPr>
          <w:rFonts w:ascii="Times New Roman" w:eastAsia="Times New Roman" w:hAnsi="Times New Roman" w:cs="Times New Roman"/>
          <w:color w:val="000000"/>
          <w:sz w:val="24"/>
          <w:szCs w:val="24"/>
        </w:rPr>
        <w:t xml:space="preserve">assumptions inherent in the traditional adaptation literature. Consequently, some argue that “[r]esilience and adaptation are distinct, though related, however, in that resilience is the outcome of effective adaptation” (Howard-Grenville and Lahneman, 2021, p. 479), and </w:t>
      </w:r>
      <w:r w:rsidR="00042548">
        <w:rPr>
          <w:rFonts w:ascii="Times New Roman" w:eastAsia="Times New Roman" w:hAnsi="Times New Roman" w:cs="Times New Roman"/>
          <w:color w:val="000000"/>
          <w:sz w:val="24"/>
          <w:szCs w:val="24"/>
        </w:rPr>
        <w:t xml:space="preserve">so adaptation is </w:t>
      </w:r>
      <w:r>
        <w:rPr>
          <w:rFonts w:ascii="Times New Roman" w:eastAsia="Times New Roman" w:hAnsi="Times New Roman" w:cs="Times New Roman"/>
          <w:color w:val="000000"/>
          <w:sz w:val="24"/>
          <w:szCs w:val="24"/>
        </w:rPr>
        <w:t>worthy of its own investigation.</w:t>
      </w:r>
    </w:p>
    <w:p w14:paraId="00000011" w14:textId="6C613D74" w:rsidR="00EE6CE9" w:rsidRDefault="00364A95">
      <w:pPr>
        <w:pBdr>
          <w:top w:val="nil"/>
          <w:left w:val="nil"/>
          <w:bottom w:val="nil"/>
          <w:right w:val="nil"/>
          <w:between w:val="nil"/>
        </w:pBdr>
        <w:spacing w:after="0" w:line="480" w:lineRule="auto"/>
        <w:ind w:firstLine="709"/>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In light of these complications and the limited attention to CCA, the objective of our editorial is to urge and inspire management scholars interested in studying CCA to build a robust body of knowledge </w:t>
      </w:r>
      <w:r w:rsidR="00042548">
        <w:rPr>
          <w:rFonts w:ascii="Times New Roman" w:eastAsia="Times New Roman" w:hAnsi="Times New Roman" w:cs="Times New Roman"/>
          <w:color w:val="000000"/>
          <w:sz w:val="24"/>
          <w:szCs w:val="24"/>
        </w:rPr>
        <w:t>in the subject</w:t>
      </w:r>
      <w:r>
        <w:rPr>
          <w:rFonts w:ascii="Times New Roman" w:eastAsia="Times New Roman" w:hAnsi="Times New Roman" w:cs="Times New Roman"/>
          <w:color w:val="000000"/>
          <w:sz w:val="24"/>
          <w:szCs w:val="24"/>
        </w:rPr>
        <w:t xml:space="preserve"> </w:t>
      </w:r>
      <w:r w:rsidR="00042548">
        <w:rPr>
          <w:rFonts w:ascii="Times New Roman" w:eastAsia="Times New Roman" w:hAnsi="Times New Roman" w:cs="Times New Roman"/>
          <w:color w:val="000000"/>
          <w:sz w:val="24"/>
          <w:szCs w:val="24"/>
        </w:rPr>
        <w:t xml:space="preserve">with a view not only to </w:t>
      </w:r>
      <w:r>
        <w:rPr>
          <w:rFonts w:ascii="Times New Roman" w:eastAsia="Times New Roman" w:hAnsi="Times New Roman" w:cs="Times New Roman"/>
          <w:color w:val="000000"/>
          <w:sz w:val="24"/>
          <w:szCs w:val="24"/>
        </w:rPr>
        <w:t xml:space="preserve">theoretical advancement, but also </w:t>
      </w:r>
      <w:r w:rsidR="00042548">
        <w:rPr>
          <w:rFonts w:ascii="Times New Roman" w:eastAsia="Times New Roman" w:hAnsi="Times New Roman" w:cs="Times New Roman"/>
          <w:color w:val="000000"/>
          <w:sz w:val="24"/>
          <w:szCs w:val="24"/>
        </w:rPr>
        <w:t xml:space="preserve">to </w:t>
      </w:r>
      <w:r>
        <w:rPr>
          <w:rFonts w:ascii="Times New Roman" w:eastAsia="Times New Roman" w:hAnsi="Times New Roman" w:cs="Times New Roman"/>
          <w:color w:val="000000"/>
          <w:sz w:val="24"/>
          <w:szCs w:val="24"/>
        </w:rPr>
        <w:t xml:space="preserve">more impactful and ecologically-relevant research. Such research can </w:t>
      </w:r>
      <w:r>
        <w:rPr>
          <w:rFonts w:ascii="Times New Roman" w:eastAsia="Times New Roman" w:hAnsi="Times New Roman" w:cs="Times New Roman"/>
          <w:sz w:val="24"/>
          <w:szCs w:val="24"/>
        </w:rPr>
        <w:t xml:space="preserve">yield not only practical implications for management and organizations, but also policy implications for decision-making bodies such as the IPCC who struggle to translate science-based climate targets into </w:t>
      </w:r>
      <w:r w:rsidR="008B5F2F">
        <w:rPr>
          <w:rFonts w:ascii="Times New Roman" w:eastAsia="Times New Roman" w:hAnsi="Times New Roman" w:cs="Times New Roman"/>
          <w:sz w:val="24"/>
          <w:szCs w:val="24"/>
        </w:rPr>
        <w:t xml:space="preserve">real-world </w:t>
      </w:r>
      <w:r>
        <w:rPr>
          <w:rFonts w:ascii="Times New Roman" w:eastAsia="Times New Roman" w:hAnsi="Times New Roman" w:cs="Times New Roman"/>
          <w:sz w:val="24"/>
          <w:szCs w:val="24"/>
        </w:rPr>
        <w:t>organizational goals and strategies</w:t>
      </w:r>
      <w:r>
        <w:rPr>
          <w:rFonts w:ascii="Times New Roman" w:eastAsia="Times New Roman" w:hAnsi="Times New Roman" w:cs="Times New Roman"/>
          <w:color w:val="000000"/>
          <w:sz w:val="24"/>
          <w:szCs w:val="24"/>
        </w:rPr>
        <w:t xml:space="preserve">. </w:t>
      </w:r>
    </w:p>
    <w:p w14:paraId="00000012" w14:textId="74612208" w:rsidR="00EE6CE9" w:rsidRDefault="00364A95">
      <w:pPr>
        <w:pBdr>
          <w:top w:val="nil"/>
          <w:left w:val="nil"/>
          <w:bottom w:val="nil"/>
          <w:right w:val="nil"/>
          <w:between w:val="nil"/>
        </w:pBdr>
        <w:spacing w:after="0" w:line="480" w:lineRule="auto"/>
        <w:ind w:firstLine="709"/>
        <w:rPr>
          <w:rFonts w:ascii="Times New Roman" w:eastAsia="Times New Roman" w:hAnsi="Times New Roman" w:cs="Times New Roman"/>
          <w:color w:val="000000"/>
          <w:sz w:val="24"/>
          <w:szCs w:val="24"/>
        </w:rPr>
      </w:pPr>
      <w:r>
        <w:rPr>
          <w:rFonts w:ascii="Times New Roman" w:eastAsia="Times New Roman" w:hAnsi="Times New Roman" w:cs="Times New Roman"/>
          <w:sz w:val="24"/>
          <w:szCs w:val="24"/>
        </w:rPr>
        <w:t>E</w:t>
      </w:r>
      <w:r>
        <w:rPr>
          <w:rFonts w:ascii="Times New Roman" w:eastAsia="Times New Roman" w:hAnsi="Times New Roman" w:cs="Times New Roman"/>
          <w:color w:val="000000"/>
          <w:sz w:val="24"/>
          <w:szCs w:val="24"/>
        </w:rPr>
        <w:t>ven though not a focus of this editorial, it is important to acknowledge that work in other scientific disciplines</w:t>
      </w:r>
      <w:r w:rsidR="008B5F2F">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z w:val="24"/>
          <w:szCs w:val="24"/>
        </w:rPr>
        <w:t xml:space="preserve"> </w:t>
      </w:r>
      <w:r w:rsidR="008B5F2F">
        <w:rPr>
          <w:rFonts w:ascii="Times New Roman" w:eastAsia="Times New Roman" w:hAnsi="Times New Roman" w:cs="Times New Roman"/>
          <w:color w:val="000000"/>
          <w:sz w:val="24"/>
          <w:szCs w:val="24"/>
        </w:rPr>
        <w:t xml:space="preserve">such as </w:t>
      </w:r>
      <w:r>
        <w:rPr>
          <w:rFonts w:ascii="Times New Roman" w:eastAsia="Times New Roman" w:hAnsi="Times New Roman" w:cs="Times New Roman"/>
          <w:color w:val="000000"/>
          <w:sz w:val="24"/>
          <w:szCs w:val="24"/>
        </w:rPr>
        <w:t>engineering, environmental studies, natural sciences, and political sciences</w:t>
      </w:r>
      <w:r w:rsidR="008B5F2F">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z w:val="24"/>
          <w:szCs w:val="24"/>
        </w:rPr>
        <w:t xml:space="preserve"> have examined the interaction between biophysical and social systems, including organizations (e.g., Adger, Lorenzoni and O’Brien, 2009</w:t>
      </w:r>
      <w:r w:rsidR="004A5C88">
        <w:rPr>
          <w:rFonts w:ascii="Times New Roman" w:eastAsia="Times New Roman" w:hAnsi="Times New Roman" w:cs="Times New Roman"/>
          <w:color w:val="000000"/>
          <w:sz w:val="24"/>
          <w:szCs w:val="24"/>
        </w:rPr>
        <w:t>a</w:t>
      </w:r>
      <w:r>
        <w:rPr>
          <w:rFonts w:ascii="Times New Roman" w:eastAsia="Times New Roman" w:hAnsi="Times New Roman" w:cs="Times New Roman"/>
          <w:color w:val="000000"/>
          <w:sz w:val="24"/>
          <w:szCs w:val="24"/>
        </w:rPr>
        <w:t>; Baer and Risbey, 2009; Keskitalo and Pres</w:t>
      </w:r>
      <w:r w:rsidR="00B92EE8">
        <w:rPr>
          <w:rFonts w:ascii="Times New Roman" w:eastAsia="Times New Roman" w:hAnsi="Times New Roman" w:cs="Times New Roman"/>
          <w:color w:val="000000"/>
          <w:sz w:val="24"/>
          <w:szCs w:val="24"/>
        </w:rPr>
        <w:t>t</w:t>
      </w:r>
      <w:r>
        <w:rPr>
          <w:rFonts w:ascii="Times New Roman" w:eastAsia="Times New Roman" w:hAnsi="Times New Roman" w:cs="Times New Roman"/>
          <w:color w:val="000000"/>
          <w:sz w:val="24"/>
          <w:szCs w:val="24"/>
        </w:rPr>
        <w:t xml:space="preserve">on, 2019; Linham and Nicholls, 2010). The focus of much of this research has been on identifying the human and organizational interventions that shape the </w:t>
      </w:r>
      <w:r>
        <w:rPr>
          <w:rFonts w:ascii="Times New Roman" w:eastAsia="Times New Roman" w:hAnsi="Times New Roman" w:cs="Times New Roman"/>
          <w:color w:val="000000"/>
          <w:sz w:val="24"/>
          <w:szCs w:val="24"/>
        </w:rPr>
        <w:lastRenderedPageBreak/>
        <w:t xml:space="preserve">adaptability and resilience of biophysical systems. Building on this body of work, management scholars – through a focus on the role of business and organizations – have the unique opportunity to enhance these insights, especially the role of the organizational and social contexts in which CCA decisions take place. </w:t>
      </w:r>
    </w:p>
    <w:p w14:paraId="00000013" w14:textId="4C3020F5" w:rsidR="00EE6CE9" w:rsidRDefault="00364A95">
      <w:pPr>
        <w:pBdr>
          <w:top w:val="nil"/>
          <w:left w:val="nil"/>
          <w:bottom w:val="nil"/>
          <w:right w:val="nil"/>
          <w:between w:val="nil"/>
        </w:pBdr>
        <w:spacing w:after="0" w:line="480" w:lineRule="auto"/>
        <w:ind w:firstLine="709"/>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In what follows, we begin by clarifying what CCA is (and is not) and </w:t>
      </w:r>
      <w:r w:rsidR="00042548">
        <w:rPr>
          <w:rFonts w:ascii="Times New Roman" w:eastAsia="Times New Roman" w:hAnsi="Times New Roman" w:cs="Times New Roman"/>
          <w:color w:val="000000"/>
          <w:sz w:val="24"/>
          <w:szCs w:val="24"/>
        </w:rPr>
        <w:t xml:space="preserve">move on to </w:t>
      </w:r>
      <w:r>
        <w:rPr>
          <w:rFonts w:ascii="Times New Roman" w:eastAsia="Times New Roman" w:hAnsi="Times New Roman" w:cs="Times New Roman"/>
          <w:color w:val="000000"/>
          <w:sz w:val="24"/>
          <w:szCs w:val="24"/>
        </w:rPr>
        <w:t xml:space="preserve">build an agenda around key research themes that we hope will inspire new investigations into CCA. Our hope is to move the conversation </w:t>
      </w:r>
      <w:r w:rsidR="00D70F91">
        <w:rPr>
          <w:rFonts w:ascii="Times New Roman" w:eastAsia="Times New Roman" w:hAnsi="Times New Roman" w:cs="Times New Roman"/>
          <w:color w:val="000000"/>
          <w:sz w:val="24"/>
          <w:szCs w:val="24"/>
        </w:rPr>
        <w:t xml:space="preserve">forward </w:t>
      </w:r>
      <w:r>
        <w:rPr>
          <w:rFonts w:ascii="Times New Roman" w:eastAsia="Times New Roman" w:hAnsi="Times New Roman" w:cs="Times New Roman"/>
          <w:color w:val="000000"/>
          <w:sz w:val="24"/>
          <w:szCs w:val="24"/>
        </w:rPr>
        <w:t>on CCA in managerial and organizational contexts.</w:t>
      </w:r>
    </w:p>
    <w:p w14:paraId="00000014" w14:textId="77777777" w:rsidR="00EE6CE9" w:rsidRDefault="00EE6CE9">
      <w:pPr>
        <w:pBdr>
          <w:top w:val="nil"/>
          <w:left w:val="nil"/>
          <w:bottom w:val="nil"/>
          <w:right w:val="nil"/>
          <w:between w:val="nil"/>
        </w:pBdr>
        <w:spacing w:after="0" w:line="480" w:lineRule="auto"/>
        <w:ind w:firstLine="709"/>
        <w:rPr>
          <w:rFonts w:ascii="Times New Roman" w:eastAsia="Times New Roman" w:hAnsi="Times New Roman" w:cs="Times New Roman"/>
          <w:color w:val="000000"/>
          <w:sz w:val="24"/>
          <w:szCs w:val="24"/>
        </w:rPr>
      </w:pPr>
    </w:p>
    <w:p w14:paraId="00000015" w14:textId="77777777" w:rsidR="00EE6CE9" w:rsidRDefault="00364A95">
      <w:pPr>
        <w:pBdr>
          <w:top w:val="nil"/>
          <w:left w:val="nil"/>
          <w:bottom w:val="nil"/>
          <w:right w:val="nil"/>
          <w:between w:val="nil"/>
        </w:pBdr>
        <w:spacing w:after="0" w:line="480" w:lineRule="auto"/>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 xml:space="preserve">CLARIFYING THE PHENOMENON: </w:t>
      </w:r>
    </w:p>
    <w:p w14:paraId="00000016" w14:textId="77777777" w:rsidR="00EE6CE9" w:rsidRDefault="00364A95">
      <w:pPr>
        <w:pBdr>
          <w:top w:val="nil"/>
          <w:left w:val="nil"/>
          <w:bottom w:val="nil"/>
          <w:right w:val="nil"/>
          <w:between w:val="nil"/>
        </w:pBdr>
        <w:spacing w:after="0" w:line="480" w:lineRule="auto"/>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WHAT CLIMATE CHANGE ADAPTATION IS (NOT)</w:t>
      </w:r>
    </w:p>
    <w:p w14:paraId="00000017" w14:textId="7E584B8C" w:rsidR="00EE6CE9" w:rsidRDefault="00364A95">
      <w:pPr>
        <w:pBdr>
          <w:top w:val="nil"/>
          <w:left w:val="nil"/>
          <w:bottom w:val="nil"/>
          <w:right w:val="nil"/>
          <w:between w:val="nil"/>
        </w:pBdr>
        <w:spacing w:after="0" w:line="48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Management scholars may experience several challenges when studying CCA, leading to barriers in publishing research on CCA in mainstream journals. For example, </w:t>
      </w:r>
      <w:r w:rsidR="000661DE">
        <w:rPr>
          <w:rFonts w:ascii="Times New Roman" w:eastAsia="Times New Roman" w:hAnsi="Times New Roman" w:cs="Times New Roman"/>
          <w:color w:val="000000"/>
          <w:sz w:val="24"/>
          <w:szCs w:val="24"/>
        </w:rPr>
        <w:t xml:space="preserve">while </w:t>
      </w:r>
      <w:r w:rsidR="00D70F91">
        <w:rPr>
          <w:rFonts w:ascii="Times New Roman" w:eastAsia="Times New Roman" w:hAnsi="Times New Roman" w:cs="Times New Roman"/>
          <w:color w:val="000000"/>
          <w:sz w:val="24"/>
          <w:szCs w:val="24"/>
        </w:rPr>
        <w:t xml:space="preserve">CCA is </w:t>
      </w:r>
      <w:r>
        <w:rPr>
          <w:rFonts w:ascii="Times New Roman" w:eastAsia="Times New Roman" w:hAnsi="Times New Roman" w:cs="Times New Roman"/>
          <w:color w:val="000000"/>
          <w:sz w:val="24"/>
          <w:szCs w:val="24"/>
        </w:rPr>
        <w:t xml:space="preserve">considered as an easy and less costly alternative to mitigation, </w:t>
      </w:r>
      <w:r w:rsidR="00D70F91">
        <w:rPr>
          <w:rFonts w:ascii="Times New Roman" w:eastAsia="Times New Roman" w:hAnsi="Times New Roman" w:cs="Times New Roman"/>
          <w:color w:val="000000"/>
          <w:sz w:val="24"/>
          <w:szCs w:val="24"/>
        </w:rPr>
        <w:t xml:space="preserve">it </w:t>
      </w:r>
      <w:r>
        <w:rPr>
          <w:rFonts w:ascii="Times New Roman" w:eastAsia="Times New Roman" w:hAnsi="Times New Roman" w:cs="Times New Roman"/>
          <w:color w:val="000000"/>
          <w:sz w:val="24"/>
          <w:szCs w:val="24"/>
        </w:rPr>
        <w:t>can be a controversial idea within policy and NGO circles. The concern is that advances in CCA may signal to businesses that they can avoid meaningful mitigation strategies and continue with business as usual (Wright and Nyberg, 2017)</w:t>
      </w:r>
      <w:r w:rsidR="00D70F91">
        <w:rPr>
          <w:rFonts w:ascii="Times New Roman" w:eastAsia="Times New Roman" w:hAnsi="Times New Roman" w:cs="Times New Roman"/>
          <w:color w:val="000000"/>
          <w:sz w:val="24"/>
          <w:szCs w:val="24"/>
        </w:rPr>
        <w:t>, believing</w:t>
      </w:r>
      <w:r>
        <w:rPr>
          <w:rFonts w:ascii="Times New Roman" w:eastAsia="Times New Roman" w:hAnsi="Times New Roman" w:cs="Times New Roman"/>
          <w:color w:val="000000"/>
          <w:sz w:val="24"/>
          <w:szCs w:val="24"/>
        </w:rPr>
        <w:t xml:space="preserve"> </w:t>
      </w:r>
      <w:r w:rsidR="00D70F91">
        <w:rPr>
          <w:rFonts w:ascii="Times New Roman" w:eastAsia="Times New Roman" w:hAnsi="Times New Roman" w:cs="Times New Roman"/>
          <w:color w:val="000000"/>
          <w:sz w:val="24"/>
          <w:szCs w:val="24"/>
        </w:rPr>
        <w:t>t</w:t>
      </w:r>
      <w:r>
        <w:rPr>
          <w:rFonts w:ascii="Times New Roman" w:eastAsia="Times New Roman" w:hAnsi="Times New Roman" w:cs="Times New Roman"/>
          <w:color w:val="000000"/>
          <w:sz w:val="24"/>
          <w:szCs w:val="24"/>
        </w:rPr>
        <w:t xml:space="preserve">echnological advancements </w:t>
      </w:r>
      <w:r w:rsidR="00D70F91">
        <w:rPr>
          <w:rFonts w:ascii="Times New Roman" w:eastAsia="Times New Roman" w:hAnsi="Times New Roman" w:cs="Times New Roman"/>
          <w:color w:val="000000"/>
          <w:sz w:val="24"/>
          <w:szCs w:val="24"/>
        </w:rPr>
        <w:t>are</w:t>
      </w:r>
      <w:r>
        <w:rPr>
          <w:rFonts w:ascii="Times New Roman" w:eastAsia="Times New Roman" w:hAnsi="Times New Roman" w:cs="Times New Roman"/>
          <w:color w:val="000000"/>
          <w:sz w:val="24"/>
          <w:szCs w:val="24"/>
        </w:rPr>
        <w:t xml:space="preserve"> sufficient </w:t>
      </w:r>
      <w:r w:rsidR="00042548">
        <w:rPr>
          <w:rFonts w:ascii="Times New Roman" w:eastAsia="Times New Roman" w:hAnsi="Times New Roman" w:cs="Times New Roman"/>
          <w:color w:val="000000"/>
          <w:sz w:val="24"/>
          <w:szCs w:val="24"/>
        </w:rPr>
        <w:t xml:space="preserve">for adapting </w:t>
      </w:r>
      <w:r>
        <w:rPr>
          <w:rFonts w:ascii="Times New Roman" w:eastAsia="Times New Roman" w:hAnsi="Times New Roman" w:cs="Times New Roman"/>
          <w:color w:val="000000"/>
          <w:sz w:val="24"/>
          <w:szCs w:val="24"/>
        </w:rPr>
        <w:t xml:space="preserve">to climate change related consequences, </w:t>
      </w:r>
      <w:r w:rsidR="00042548">
        <w:rPr>
          <w:rFonts w:ascii="Times New Roman" w:eastAsia="Times New Roman" w:hAnsi="Times New Roman" w:cs="Times New Roman"/>
          <w:color w:val="000000"/>
          <w:sz w:val="24"/>
          <w:szCs w:val="24"/>
        </w:rPr>
        <w:t xml:space="preserve">which </w:t>
      </w:r>
      <w:r>
        <w:rPr>
          <w:rFonts w:ascii="Times New Roman" w:eastAsia="Times New Roman" w:hAnsi="Times New Roman" w:cs="Times New Roman"/>
          <w:color w:val="000000"/>
          <w:sz w:val="24"/>
          <w:szCs w:val="24"/>
        </w:rPr>
        <w:t xml:space="preserve">in turn </w:t>
      </w:r>
      <w:r w:rsidR="00D70F91">
        <w:rPr>
          <w:rFonts w:ascii="Times New Roman" w:eastAsia="Times New Roman" w:hAnsi="Times New Roman" w:cs="Times New Roman"/>
          <w:color w:val="000000"/>
          <w:sz w:val="24"/>
          <w:szCs w:val="24"/>
        </w:rPr>
        <w:t>could thwart</w:t>
      </w:r>
      <w:r w:rsidR="00042548">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z w:val="24"/>
          <w:szCs w:val="24"/>
        </w:rPr>
        <w:t xml:space="preserve">the </w:t>
      </w:r>
      <w:r w:rsidR="00042548">
        <w:rPr>
          <w:rFonts w:ascii="Times New Roman" w:eastAsia="Times New Roman" w:hAnsi="Times New Roman" w:cs="Times New Roman"/>
          <w:color w:val="000000"/>
          <w:sz w:val="24"/>
          <w:szCs w:val="24"/>
        </w:rPr>
        <w:t xml:space="preserve">impetus </w:t>
      </w:r>
      <w:r>
        <w:rPr>
          <w:rFonts w:ascii="Times New Roman" w:eastAsia="Times New Roman" w:hAnsi="Times New Roman" w:cs="Times New Roman"/>
          <w:color w:val="000000"/>
          <w:sz w:val="24"/>
          <w:szCs w:val="24"/>
        </w:rPr>
        <w:t xml:space="preserve">to mitigate climate change (Pielke </w:t>
      </w:r>
      <w:r w:rsidRPr="00737FE2">
        <w:rPr>
          <w:rFonts w:ascii="Times New Roman" w:eastAsia="Times New Roman" w:hAnsi="Times New Roman" w:cs="Times New Roman"/>
          <w:iCs/>
          <w:color w:val="000000"/>
          <w:sz w:val="24"/>
          <w:szCs w:val="24"/>
        </w:rPr>
        <w:t>et al</w:t>
      </w:r>
      <w:r>
        <w:rPr>
          <w:rFonts w:ascii="Times New Roman" w:eastAsia="Times New Roman" w:hAnsi="Times New Roman" w:cs="Times New Roman"/>
          <w:color w:val="000000"/>
          <w:sz w:val="24"/>
          <w:szCs w:val="24"/>
        </w:rPr>
        <w:t xml:space="preserve">., 2007). Relatedly, management scholars interested in CCA may find themselves cited for the wrong reasons, namely, to justify a practitioner’s focus on </w:t>
      </w:r>
      <w:r w:rsidR="0039470A">
        <w:rPr>
          <w:rFonts w:ascii="Times New Roman" w:eastAsia="Times New Roman" w:hAnsi="Times New Roman" w:cs="Times New Roman"/>
          <w:color w:val="000000"/>
          <w:sz w:val="24"/>
          <w:szCs w:val="24"/>
        </w:rPr>
        <w:t>m</w:t>
      </w:r>
      <w:r w:rsidR="000C7586">
        <w:rPr>
          <w:rFonts w:ascii="Times New Roman" w:eastAsia="Times New Roman" w:hAnsi="Times New Roman" w:cs="Times New Roman"/>
          <w:color w:val="000000"/>
          <w:sz w:val="24"/>
          <w:szCs w:val="24"/>
        </w:rPr>
        <w:t>ethods of accommodating</w:t>
      </w:r>
      <w:r>
        <w:rPr>
          <w:rFonts w:ascii="Times New Roman" w:eastAsia="Times New Roman" w:hAnsi="Times New Roman" w:cs="Times New Roman"/>
          <w:color w:val="000000"/>
          <w:sz w:val="24"/>
          <w:szCs w:val="24"/>
        </w:rPr>
        <w:t xml:space="preserve"> a warming planet rather than</w:t>
      </w:r>
      <w:r w:rsidR="000661DE">
        <w:rPr>
          <w:rFonts w:ascii="Times New Roman" w:eastAsia="Times New Roman" w:hAnsi="Times New Roman" w:cs="Times New Roman"/>
          <w:color w:val="000000"/>
          <w:sz w:val="24"/>
          <w:szCs w:val="24"/>
        </w:rPr>
        <w:t xml:space="preserve"> on</w:t>
      </w:r>
      <w:r>
        <w:rPr>
          <w:rFonts w:ascii="Times New Roman" w:eastAsia="Times New Roman" w:hAnsi="Times New Roman" w:cs="Times New Roman"/>
          <w:color w:val="000000"/>
          <w:sz w:val="24"/>
          <w:szCs w:val="24"/>
        </w:rPr>
        <w:t xml:space="preserve"> solving the underlying problem of climate change (Giddens, 2009). These concerns are certainly valid but assume a unidimensional view of CCA as if the choice </w:t>
      </w:r>
      <w:r w:rsidR="003B1BE6">
        <w:rPr>
          <w:rFonts w:ascii="Times New Roman" w:eastAsia="Times New Roman" w:hAnsi="Times New Roman" w:cs="Times New Roman"/>
          <w:color w:val="000000"/>
          <w:sz w:val="24"/>
          <w:szCs w:val="24"/>
        </w:rPr>
        <w:t xml:space="preserve">were </w:t>
      </w:r>
      <w:r>
        <w:rPr>
          <w:rFonts w:ascii="Times New Roman" w:eastAsia="Times New Roman" w:hAnsi="Times New Roman" w:cs="Times New Roman"/>
          <w:color w:val="000000"/>
          <w:sz w:val="24"/>
          <w:szCs w:val="24"/>
        </w:rPr>
        <w:t xml:space="preserve">either mitigation </w:t>
      </w:r>
      <w:r>
        <w:rPr>
          <w:rFonts w:ascii="Times New Roman" w:eastAsia="Times New Roman" w:hAnsi="Times New Roman" w:cs="Times New Roman"/>
          <w:i/>
          <w:color w:val="000000"/>
          <w:sz w:val="24"/>
          <w:szCs w:val="24"/>
        </w:rPr>
        <w:t>or</w:t>
      </w:r>
      <w:r>
        <w:rPr>
          <w:rFonts w:ascii="Times New Roman" w:eastAsia="Times New Roman" w:hAnsi="Times New Roman" w:cs="Times New Roman"/>
          <w:color w:val="000000"/>
          <w:sz w:val="24"/>
          <w:szCs w:val="24"/>
        </w:rPr>
        <w:t xml:space="preserve"> adaptation and, as such, come in the way of </w:t>
      </w:r>
      <w:r w:rsidR="0039470A">
        <w:rPr>
          <w:rFonts w:ascii="Times New Roman" w:eastAsia="Times New Roman" w:hAnsi="Times New Roman" w:cs="Times New Roman"/>
          <w:color w:val="000000"/>
          <w:sz w:val="24"/>
          <w:szCs w:val="24"/>
        </w:rPr>
        <w:t>proactive solution</w:t>
      </w:r>
      <w:r w:rsidR="000C7586">
        <w:rPr>
          <w:rFonts w:ascii="Times New Roman" w:eastAsia="Times New Roman" w:hAnsi="Times New Roman" w:cs="Times New Roman"/>
          <w:color w:val="000000"/>
          <w:sz w:val="24"/>
          <w:szCs w:val="24"/>
        </w:rPr>
        <w:t>-making</w:t>
      </w:r>
      <w:r>
        <w:rPr>
          <w:rFonts w:ascii="Times New Roman" w:eastAsia="Times New Roman" w:hAnsi="Times New Roman" w:cs="Times New Roman"/>
          <w:color w:val="000000"/>
          <w:sz w:val="24"/>
          <w:szCs w:val="24"/>
        </w:rPr>
        <w:t>.</w:t>
      </w:r>
    </w:p>
    <w:p w14:paraId="00000018" w14:textId="77777777" w:rsidR="00EE6CE9" w:rsidRDefault="00364A95">
      <w:pPr>
        <w:pBdr>
          <w:top w:val="nil"/>
          <w:left w:val="nil"/>
          <w:bottom w:val="nil"/>
          <w:right w:val="nil"/>
          <w:between w:val="nil"/>
        </w:pBdr>
        <w:spacing w:after="0" w:line="480" w:lineRule="auto"/>
        <w:ind w:firstLine="709"/>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lastRenderedPageBreak/>
        <w:t xml:space="preserve">Furthermore, management scholars pursuing research questions related to CCA may find it difficult to differentiate their work from research – often with a long history – that addresses related phenomena such as organizational adaptation and crisis management. This is a missed opportunity. </w:t>
      </w:r>
      <w:r>
        <w:rPr>
          <w:rFonts w:ascii="Times New Roman" w:eastAsia="Times New Roman" w:hAnsi="Times New Roman" w:cs="Times New Roman"/>
          <w:sz w:val="24"/>
          <w:szCs w:val="24"/>
        </w:rPr>
        <w:t>T</w:t>
      </w:r>
      <w:r>
        <w:rPr>
          <w:rFonts w:ascii="Times New Roman" w:eastAsia="Times New Roman" w:hAnsi="Times New Roman" w:cs="Times New Roman"/>
          <w:color w:val="000000"/>
          <w:sz w:val="24"/>
          <w:szCs w:val="24"/>
        </w:rPr>
        <w:t xml:space="preserve">here is momentum for management scholars to leverage the unique features of CCA </w:t>
      </w:r>
      <w:r>
        <w:rPr>
          <w:rFonts w:ascii="Times New Roman" w:eastAsia="Times New Roman" w:hAnsi="Times New Roman" w:cs="Times New Roman"/>
          <w:sz w:val="24"/>
          <w:szCs w:val="24"/>
        </w:rPr>
        <w:t>and</w:t>
      </w:r>
      <w:r>
        <w:rPr>
          <w:rFonts w:ascii="Times New Roman" w:eastAsia="Times New Roman" w:hAnsi="Times New Roman" w:cs="Times New Roman"/>
          <w:color w:val="000000"/>
          <w:sz w:val="24"/>
          <w:szCs w:val="24"/>
        </w:rPr>
        <w:t xml:space="preserve"> advance the broad research on climate change within management studies (Von Krogh, Rossi-Lamastra and Haefliger, 2012), bolstering both rigorous research and impact on policy and practice.</w:t>
      </w:r>
    </w:p>
    <w:p w14:paraId="00000019" w14:textId="77777777" w:rsidR="00EE6CE9" w:rsidRDefault="00EE6CE9">
      <w:pPr>
        <w:pBdr>
          <w:top w:val="nil"/>
          <w:left w:val="nil"/>
          <w:bottom w:val="nil"/>
          <w:right w:val="nil"/>
          <w:between w:val="nil"/>
        </w:pBdr>
        <w:spacing w:after="0" w:line="480" w:lineRule="auto"/>
        <w:rPr>
          <w:rFonts w:ascii="Times New Roman" w:eastAsia="Times New Roman" w:hAnsi="Times New Roman" w:cs="Times New Roman"/>
          <w:b/>
          <w:color w:val="000000"/>
          <w:sz w:val="24"/>
          <w:szCs w:val="24"/>
        </w:rPr>
      </w:pPr>
    </w:p>
    <w:p w14:paraId="0000001A" w14:textId="77777777" w:rsidR="00EE6CE9" w:rsidRDefault="00364A95">
      <w:pPr>
        <w:pBdr>
          <w:top w:val="nil"/>
          <w:left w:val="nil"/>
          <w:bottom w:val="nil"/>
          <w:right w:val="nil"/>
          <w:between w:val="nil"/>
        </w:pBdr>
        <w:spacing w:after="0" w:line="480" w:lineRule="auto"/>
        <w:rPr>
          <w:rFonts w:ascii="Times New Roman" w:eastAsia="Times New Roman" w:hAnsi="Times New Roman" w:cs="Times New Roman"/>
          <w:color w:val="000000"/>
          <w:sz w:val="24"/>
          <w:szCs w:val="24"/>
        </w:rPr>
      </w:pPr>
      <w:r>
        <w:rPr>
          <w:rFonts w:ascii="Times New Roman" w:eastAsia="Times New Roman" w:hAnsi="Times New Roman" w:cs="Times New Roman"/>
          <w:b/>
          <w:color w:val="000000"/>
          <w:sz w:val="24"/>
          <w:szCs w:val="24"/>
        </w:rPr>
        <w:t>Organizational Climate Change Adaptation is not Organizational Adaptation</w:t>
      </w:r>
    </w:p>
    <w:p w14:paraId="0000001B" w14:textId="596E27C7" w:rsidR="00EE6CE9" w:rsidRDefault="00364A95">
      <w:pPr>
        <w:pBdr>
          <w:top w:val="nil"/>
          <w:left w:val="nil"/>
          <w:bottom w:val="nil"/>
          <w:right w:val="nil"/>
          <w:between w:val="nil"/>
        </w:pBdr>
        <w:spacing w:after="0" w:line="48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One major challenge relates to the blurred lines between CCA, and other organizational phenomena related to adaptation. </w:t>
      </w:r>
      <w:r>
        <w:rPr>
          <w:rFonts w:ascii="Times New Roman" w:eastAsia="Times New Roman" w:hAnsi="Times New Roman" w:cs="Times New Roman"/>
          <w:sz w:val="24"/>
          <w:szCs w:val="24"/>
        </w:rPr>
        <w:t>Organizational adaptation literature has been around for a long time, and is well studied (</w:t>
      </w:r>
      <w:r>
        <w:rPr>
          <w:rFonts w:ascii="Times New Roman" w:eastAsia="Times New Roman" w:hAnsi="Times New Roman" w:cs="Times New Roman"/>
          <w:color w:val="000000"/>
          <w:sz w:val="24"/>
          <w:szCs w:val="24"/>
        </w:rPr>
        <w:t>Sarta</w:t>
      </w:r>
      <w:r w:rsidR="00B92EE8">
        <w:rPr>
          <w:rFonts w:ascii="Times New Roman" w:eastAsia="Times New Roman" w:hAnsi="Times New Roman" w:cs="Times New Roman"/>
          <w:color w:val="000000"/>
          <w:sz w:val="24"/>
          <w:szCs w:val="24"/>
        </w:rPr>
        <w:t>, Durand and Vergne</w:t>
      </w:r>
      <w:r>
        <w:rPr>
          <w:rFonts w:ascii="Times New Roman" w:eastAsia="Times New Roman" w:hAnsi="Times New Roman" w:cs="Times New Roman"/>
          <w:sz w:val="24"/>
          <w:szCs w:val="24"/>
        </w:rPr>
        <w:t xml:space="preserve">, </w:t>
      </w:r>
      <w:r>
        <w:rPr>
          <w:rFonts w:ascii="Times New Roman" w:eastAsia="Times New Roman" w:hAnsi="Times New Roman" w:cs="Times New Roman"/>
          <w:color w:val="000000"/>
          <w:sz w:val="24"/>
          <w:szCs w:val="24"/>
        </w:rPr>
        <w:t xml:space="preserve">2021). Because of this, many </w:t>
      </w:r>
      <w:r w:rsidR="000C7586">
        <w:rPr>
          <w:rFonts w:ascii="Times New Roman" w:eastAsia="Times New Roman" w:hAnsi="Times New Roman" w:cs="Times New Roman"/>
          <w:color w:val="000000"/>
          <w:sz w:val="24"/>
          <w:szCs w:val="24"/>
        </w:rPr>
        <w:t>view</w:t>
      </w:r>
      <w:r>
        <w:rPr>
          <w:rFonts w:ascii="Times New Roman" w:eastAsia="Times New Roman" w:hAnsi="Times New Roman" w:cs="Times New Roman"/>
          <w:color w:val="000000"/>
          <w:sz w:val="24"/>
          <w:szCs w:val="24"/>
        </w:rPr>
        <w:t xml:space="preserve"> CCA as a </w:t>
      </w:r>
      <w:r w:rsidR="000C7586">
        <w:rPr>
          <w:rFonts w:ascii="Times New Roman" w:eastAsia="Times New Roman" w:hAnsi="Times New Roman" w:cs="Times New Roman"/>
          <w:color w:val="000000"/>
          <w:sz w:val="24"/>
          <w:szCs w:val="24"/>
        </w:rPr>
        <w:t xml:space="preserve">component </w:t>
      </w:r>
      <w:r>
        <w:rPr>
          <w:rFonts w:ascii="Times New Roman" w:eastAsia="Times New Roman" w:hAnsi="Times New Roman" w:cs="Times New Roman"/>
          <w:color w:val="000000"/>
          <w:sz w:val="24"/>
          <w:szCs w:val="24"/>
        </w:rPr>
        <w:t>of organizational adaptation, meaning that only minor modifications or extensions to existing theories of organizational adaptation are needed to explain CCA antecedents, processes, and outcomes. However, this view is problematic</w:t>
      </w:r>
      <w:r w:rsidR="00250B3E">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z w:val="24"/>
          <w:szCs w:val="24"/>
        </w:rPr>
        <w:t xml:space="preserve"> CCA is a theoretically distinct case which must not be </w:t>
      </w:r>
      <w:r w:rsidR="000C7586">
        <w:rPr>
          <w:rFonts w:ascii="Times New Roman" w:eastAsia="Times New Roman" w:hAnsi="Times New Roman" w:cs="Times New Roman"/>
          <w:color w:val="000000"/>
          <w:sz w:val="24"/>
          <w:szCs w:val="24"/>
        </w:rPr>
        <w:t>forced</w:t>
      </w:r>
      <w:r>
        <w:rPr>
          <w:rFonts w:ascii="Times New Roman" w:eastAsia="Times New Roman" w:hAnsi="Times New Roman" w:cs="Times New Roman"/>
          <w:color w:val="000000"/>
          <w:sz w:val="24"/>
          <w:szCs w:val="24"/>
        </w:rPr>
        <w:t xml:space="preserve"> into </w:t>
      </w:r>
      <w:r w:rsidR="000C7586">
        <w:rPr>
          <w:rFonts w:ascii="Times New Roman" w:eastAsia="Times New Roman" w:hAnsi="Times New Roman" w:cs="Times New Roman"/>
          <w:color w:val="000000"/>
          <w:sz w:val="24"/>
          <w:szCs w:val="24"/>
        </w:rPr>
        <w:t>pre-</w:t>
      </w:r>
      <w:r>
        <w:rPr>
          <w:rFonts w:ascii="Times New Roman" w:eastAsia="Times New Roman" w:hAnsi="Times New Roman" w:cs="Times New Roman"/>
          <w:color w:val="000000"/>
          <w:sz w:val="24"/>
          <w:szCs w:val="24"/>
        </w:rPr>
        <w:t xml:space="preserve">existing frameworks of organizational adaptation. Table </w:t>
      </w:r>
      <w:r w:rsidR="00B92EE8">
        <w:rPr>
          <w:rFonts w:ascii="Times New Roman" w:eastAsia="Times New Roman" w:hAnsi="Times New Roman" w:cs="Times New Roman"/>
          <w:color w:val="000000"/>
          <w:sz w:val="24"/>
          <w:szCs w:val="24"/>
        </w:rPr>
        <w:t>I</w:t>
      </w:r>
      <w:r>
        <w:rPr>
          <w:rFonts w:ascii="Times New Roman" w:eastAsia="Times New Roman" w:hAnsi="Times New Roman" w:cs="Times New Roman"/>
          <w:color w:val="000000"/>
          <w:sz w:val="24"/>
          <w:szCs w:val="24"/>
        </w:rPr>
        <w:t xml:space="preserve"> summarizes the key differences between traditional organizational adaptation and CCA, </w:t>
      </w:r>
      <w:r w:rsidR="000C7586">
        <w:rPr>
          <w:rFonts w:ascii="Times New Roman" w:eastAsia="Times New Roman" w:hAnsi="Times New Roman" w:cs="Times New Roman"/>
          <w:color w:val="000000"/>
          <w:sz w:val="24"/>
          <w:szCs w:val="24"/>
        </w:rPr>
        <w:t>analysing</w:t>
      </w:r>
      <w:r>
        <w:rPr>
          <w:rFonts w:ascii="Times New Roman" w:eastAsia="Times New Roman" w:hAnsi="Times New Roman" w:cs="Times New Roman"/>
          <w:color w:val="000000"/>
          <w:sz w:val="24"/>
          <w:szCs w:val="24"/>
        </w:rPr>
        <w:t xml:space="preserve"> their unique focus, drivers, objectives and outcomes, limits and key risks addressed. These differences reflect the interaction between the biophysical and socio-economic environments in which CCA decisions take place (Tashman, 2021). Due to these differences, existing theories of organizational adaptation are ill-adapted to guide organizational CCA (Howard-Grenville and Lahneman, 2021).</w:t>
      </w:r>
    </w:p>
    <w:p w14:paraId="0000001C" w14:textId="77777777" w:rsidR="00EE6CE9" w:rsidRDefault="00EE6CE9">
      <w:pPr>
        <w:pBdr>
          <w:top w:val="nil"/>
          <w:left w:val="nil"/>
          <w:bottom w:val="nil"/>
          <w:right w:val="nil"/>
          <w:between w:val="nil"/>
        </w:pBdr>
        <w:spacing w:after="0" w:line="480" w:lineRule="auto"/>
        <w:rPr>
          <w:rFonts w:ascii="Times New Roman" w:eastAsia="Times New Roman" w:hAnsi="Times New Roman" w:cs="Times New Roman"/>
          <w:color w:val="000000"/>
          <w:sz w:val="24"/>
          <w:szCs w:val="24"/>
        </w:rPr>
      </w:pPr>
    </w:p>
    <w:p w14:paraId="0000001D" w14:textId="6AD6805F" w:rsidR="00EE6CE9" w:rsidRDefault="00364A95">
      <w:pPr>
        <w:pBdr>
          <w:top w:val="nil"/>
          <w:left w:val="nil"/>
          <w:bottom w:val="nil"/>
          <w:right w:val="nil"/>
          <w:between w:val="nil"/>
        </w:pBdr>
        <w:spacing w:after="0" w:line="480" w:lineRule="auto"/>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 xml:space="preserve">********** INSERT TABLE </w:t>
      </w:r>
      <w:r w:rsidR="00D02C52">
        <w:rPr>
          <w:rFonts w:ascii="Times New Roman" w:eastAsia="Times New Roman" w:hAnsi="Times New Roman" w:cs="Times New Roman"/>
          <w:b/>
          <w:color w:val="000000"/>
          <w:sz w:val="24"/>
          <w:szCs w:val="24"/>
        </w:rPr>
        <w:t>I</w:t>
      </w:r>
      <w:r>
        <w:rPr>
          <w:rFonts w:ascii="Times New Roman" w:eastAsia="Times New Roman" w:hAnsi="Times New Roman" w:cs="Times New Roman"/>
          <w:b/>
          <w:color w:val="000000"/>
          <w:sz w:val="24"/>
          <w:szCs w:val="24"/>
        </w:rPr>
        <w:t xml:space="preserve"> ABOUT HERE **********</w:t>
      </w:r>
    </w:p>
    <w:p w14:paraId="0000001E" w14:textId="77777777" w:rsidR="00EE6CE9" w:rsidRDefault="00EE6CE9">
      <w:pPr>
        <w:pBdr>
          <w:top w:val="nil"/>
          <w:left w:val="nil"/>
          <w:bottom w:val="nil"/>
          <w:right w:val="nil"/>
          <w:between w:val="nil"/>
        </w:pBdr>
        <w:spacing w:after="0" w:line="480" w:lineRule="auto"/>
        <w:ind w:firstLine="708"/>
        <w:rPr>
          <w:rFonts w:ascii="Times New Roman" w:eastAsia="Times New Roman" w:hAnsi="Times New Roman" w:cs="Times New Roman"/>
          <w:color w:val="000000"/>
          <w:sz w:val="24"/>
          <w:szCs w:val="24"/>
        </w:rPr>
      </w:pPr>
    </w:p>
    <w:p w14:paraId="0000001F" w14:textId="1CDC3372" w:rsidR="00EE6CE9" w:rsidRDefault="00364A95">
      <w:pPr>
        <w:pBdr>
          <w:top w:val="nil"/>
          <w:left w:val="nil"/>
          <w:bottom w:val="nil"/>
          <w:right w:val="nil"/>
          <w:between w:val="nil"/>
        </w:pBdr>
        <w:spacing w:after="0" w:line="480" w:lineRule="auto"/>
        <w:ind w:firstLine="708"/>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lastRenderedPageBreak/>
        <w:t xml:space="preserve">For the most part, research on organizational adaptation </w:t>
      </w:r>
      <w:r w:rsidR="009B3749">
        <w:rPr>
          <w:rFonts w:ascii="Times New Roman" w:eastAsia="Times New Roman" w:hAnsi="Times New Roman" w:cs="Times New Roman"/>
          <w:color w:val="000000"/>
          <w:sz w:val="24"/>
          <w:szCs w:val="24"/>
        </w:rPr>
        <w:t xml:space="preserve">views </w:t>
      </w:r>
      <w:r>
        <w:rPr>
          <w:rFonts w:ascii="Times New Roman" w:eastAsia="Times New Roman" w:hAnsi="Times New Roman" w:cs="Times New Roman"/>
          <w:color w:val="000000"/>
          <w:sz w:val="24"/>
          <w:szCs w:val="24"/>
        </w:rPr>
        <w:t xml:space="preserve">natural resources </w:t>
      </w:r>
      <w:r w:rsidR="00250B3E">
        <w:rPr>
          <w:rFonts w:ascii="Times New Roman" w:eastAsia="Times New Roman" w:hAnsi="Times New Roman" w:cs="Times New Roman"/>
          <w:color w:val="000000"/>
          <w:sz w:val="24"/>
          <w:szCs w:val="24"/>
        </w:rPr>
        <w:t>in the context of their impact on</w:t>
      </w:r>
      <w:r>
        <w:rPr>
          <w:rFonts w:ascii="Times New Roman" w:eastAsia="Times New Roman" w:hAnsi="Times New Roman" w:cs="Times New Roman"/>
          <w:color w:val="000000"/>
          <w:sz w:val="24"/>
          <w:szCs w:val="24"/>
        </w:rPr>
        <w:t xml:space="preserve"> organizational </w:t>
      </w:r>
      <w:r w:rsidR="00765364">
        <w:rPr>
          <w:rFonts w:ascii="Times New Roman" w:eastAsia="Times New Roman" w:hAnsi="Times New Roman" w:cs="Times New Roman"/>
          <w:color w:val="000000"/>
          <w:sz w:val="24"/>
          <w:szCs w:val="24"/>
        </w:rPr>
        <w:t>processes but</w:t>
      </w:r>
      <w:r w:rsidR="009B3749">
        <w:rPr>
          <w:rFonts w:ascii="Times New Roman" w:eastAsia="Times New Roman" w:hAnsi="Times New Roman" w:cs="Times New Roman"/>
          <w:color w:val="000000"/>
          <w:sz w:val="24"/>
          <w:szCs w:val="24"/>
        </w:rPr>
        <w:t xml:space="preserve"> ignores </w:t>
      </w:r>
      <w:r>
        <w:rPr>
          <w:rFonts w:ascii="Times New Roman" w:eastAsia="Times New Roman" w:hAnsi="Times New Roman" w:cs="Times New Roman"/>
          <w:color w:val="000000"/>
          <w:sz w:val="24"/>
          <w:szCs w:val="24"/>
        </w:rPr>
        <w:t>important issues such as negative externalities that the</w:t>
      </w:r>
      <w:r w:rsidR="00250B3E">
        <w:rPr>
          <w:rFonts w:ascii="Times New Roman" w:eastAsia="Times New Roman" w:hAnsi="Times New Roman" w:cs="Times New Roman"/>
          <w:color w:val="000000"/>
          <w:sz w:val="24"/>
          <w:szCs w:val="24"/>
        </w:rPr>
        <w:t>ir</w:t>
      </w:r>
      <w:r>
        <w:rPr>
          <w:rFonts w:ascii="Times New Roman" w:eastAsia="Times New Roman" w:hAnsi="Times New Roman" w:cs="Times New Roman"/>
          <w:color w:val="000000"/>
          <w:sz w:val="24"/>
          <w:szCs w:val="24"/>
        </w:rPr>
        <w:t xml:space="preserve"> exploitation can have for society-at-large (e.g., </w:t>
      </w:r>
      <w:r w:rsidR="00911455">
        <w:rPr>
          <w:rFonts w:ascii="Times New Roman" w:eastAsia="Times New Roman" w:hAnsi="Times New Roman" w:cs="Times New Roman"/>
          <w:color w:val="000000"/>
          <w:sz w:val="24"/>
          <w:szCs w:val="24"/>
        </w:rPr>
        <w:t>Bansal, Miller</w:t>
      </w:r>
      <w:r>
        <w:rPr>
          <w:rFonts w:ascii="Times New Roman" w:eastAsia="Times New Roman" w:hAnsi="Times New Roman" w:cs="Times New Roman"/>
          <w:color w:val="000000"/>
          <w:sz w:val="24"/>
          <w:szCs w:val="24"/>
        </w:rPr>
        <w:t>,</w:t>
      </w:r>
      <w:r w:rsidR="00911455">
        <w:rPr>
          <w:rFonts w:ascii="Times New Roman" w:eastAsia="Times New Roman" w:hAnsi="Times New Roman" w:cs="Times New Roman"/>
          <w:color w:val="000000"/>
          <w:sz w:val="24"/>
          <w:szCs w:val="24"/>
        </w:rPr>
        <w:t xml:space="preserve"> and MacArthur, 2024</w:t>
      </w:r>
      <w:r>
        <w:rPr>
          <w:rFonts w:ascii="Times New Roman" w:eastAsia="Times New Roman" w:hAnsi="Times New Roman" w:cs="Times New Roman"/>
          <w:color w:val="000000"/>
          <w:sz w:val="24"/>
          <w:szCs w:val="24"/>
        </w:rPr>
        <w:t xml:space="preserve">). One of the reasons why these externalities </w:t>
      </w:r>
      <w:r w:rsidR="009B3749">
        <w:rPr>
          <w:rFonts w:ascii="Times New Roman" w:eastAsia="Times New Roman" w:hAnsi="Times New Roman" w:cs="Times New Roman"/>
          <w:color w:val="000000"/>
          <w:sz w:val="24"/>
          <w:szCs w:val="24"/>
        </w:rPr>
        <w:t>are often</w:t>
      </w:r>
      <w:r>
        <w:rPr>
          <w:rFonts w:ascii="Times New Roman" w:eastAsia="Times New Roman" w:hAnsi="Times New Roman" w:cs="Times New Roman"/>
          <w:color w:val="000000"/>
          <w:sz w:val="24"/>
          <w:szCs w:val="24"/>
        </w:rPr>
        <w:t xml:space="preserve"> underemphasized is because it </w:t>
      </w:r>
      <w:r w:rsidR="009B3749">
        <w:rPr>
          <w:rFonts w:ascii="Times New Roman" w:eastAsia="Times New Roman" w:hAnsi="Times New Roman" w:cs="Times New Roman"/>
          <w:color w:val="000000"/>
          <w:sz w:val="24"/>
          <w:szCs w:val="24"/>
        </w:rPr>
        <w:t>is</w:t>
      </w:r>
      <w:r>
        <w:rPr>
          <w:rFonts w:ascii="Times New Roman" w:eastAsia="Times New Roman" w:hAnsi="Times New Roman" w:cs="Times New Roman"/>
          <w:color w:val="000000"/>
          <w:sz w:val="24"/>
          <w:szCs w:val="24"/>
        </w:rPr>
        <w:t xml:space="preserve"> assumed that policy will address </w:t>
      </w:r>
      <w:r w:rsidR="009B3749">
        <w:rPr>
          <w:rFonts w:ascii="Times New Roman" w:eastAsia="Times New Roman" w:hAnsi="Times New Roman" w:cs="Times New Roman"/>
          <w:color w:val="000000"/>
          <w:sz w:val="24"/>
          <w:szCs w:val="24"/>
        </w:rPr>
        <w:t>them</w:t>
      </w:r>
      <w:r>
        <w:rPr>
          <w:rFonts w:ascii="Times New Roman" w:eastAsia="Times New Roman" w:hAnsi="Times New Roman" w:cs="Times New Roman"/>
          <w:color w:val="000000"/>
          <w:sz w:val="24"/>
          <w:szCs w:val="24"/>
        </w:rPr>
        <w:t xml:space="preserve"> by adapting regulatory frameworks; an assumption which has proven unrealistic</w:t>
      </w:r>
      <w:r w:rsidR="00765364">
        <w:rPr>
          <w:rFonts w:ascii="Times New Roman" w:eastAsia="Times New Roman" w:hAnsi="Times New Roman" w:cs="Times New Roman"/>
          <w:color w:val="000000"/>
          <w:sz w:val="24"/>
          <w:szCs w:val="24"/>
        </w:rPr>
        <w:t xml:space="preserve"> (Helm, 2010)</w:t>
      </w:r>
      <w:r>
        <w:rPr>
          <w:rFonts w:ascii="Times New Roman" w:eastAsia="Times New Roman" w:hAnsi="Times New Roman" w:cs="Times New Roman"/>
          <w:color w:val="000000"/>
          <w:sz w:val="24"/>
          <w:szCs w:val="24"/>
        </w:rPr>
        <w:t>. Nonetheless, this view is also implicitly or explicitly reflected in existing theories of organizational adaptation. Considering the uniqueness of CCA, we argue that prior organizational adaptation literature is limited for four key reasons.</w:t>
      </w:r>
    </w:p>
    <w:p w14:paraId="00000020" w14:textId="27D22422" w:rsidR="00EE6CE9" w:rsidRDefault="00364A95">
      <w:pPr>
        <w:pBdr>
          <w:top w:val="nil"/>
          <w:left w:val="nil"/>
          <w:bottom w:val="nil"/>
          <w:right w:val="nil"/>
          <w:between w:val="nil"/>
        </w:pBdr>
        <w:spacing w:after="0" w:line="480" w:lineRule="auto"/>
        <w:ind w:firstLine="709"/>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First, research on organizational adaptation tends to build on traditional models of how organizations and environments relate to each other over time (Astley and Van de Ven, 1983). Specifically, research grounded in structural contingency theories (e.g., Lawrence and Lorsch, 1967; Thompson, 1967) has argued that organizational behaviour is largely shaped by external constraints (DiMaggio and Powell, 1983; Hannan and Freeman, 1984). These external constraints, however, are dynamic</w:t>
      </w:r>
      <w:r w:rsidR="00564B96">
        <w:rPr>
          <w:rFonts w:ascii="Times New Roman" w:eastAsia="Times New Roman" w:hAnsi="Times New Roman" w:cs="Times New Roman"/>
          <w:color w:val="000000"/>
          <w:sz w:val="24"/>
          <w:szCs w:val="24"/>
        </w:rPr>
        <w:t xml:space="preserve">, and </w:t>
      </w:r>
      <w:r>
        <w:rPr>
          <w:rFonts w:ascii="Times New Roman" w:eastAsia="Times New Roman" w:hAnsi="Times New Roman" w:cs="Times New Roman"/>
          <w:color w:val="000000"/>
          <w:sz w:val="24"/>
          <w:szCs w:val="24"/>
        </w:rPr>
        <w:t xml:space="preserve">organizations may </w:t>
      </w:r>
      <w:r w:rsidR="00564B96">
        <w:rPr>
          <w:rFonts w:ascii="Times New Roman" w:eastAsia="Times New Roman" w:hAnsi="Times New Roman" w:cs="Times New Roman"/>
          <w:color w:val="000000"/>
          <w:sz w:val="24"/>
          <w:szCs w:val="24"/>
        </w:rPr>
        <w:t>have to adapt to the</w:t>
      </w:r>
      <w:r w:rsidR="00CE3197">
        <w:rPr>
          <w:rFonts w:ascii="Times New Roman" w:eastAsia="Times New Roman" w:hAnsi="Times New Roman" w:cs="Times New Roman"/>
          <w:color w:val="000000"/>
          <w:sz w:val="24"/>
          <w:szCs w:val="24"/>
        </w:rPr>
        <w:t>ir</w:t>
      </w:r>
      <w:r w:rsidR="00564B96">
        <w:rPr>
          <w:rFonts w:ascii="Times New Roman" w:eastAsia="Times New Roman" w:hAnsi="Times New Roman" w:cs="Times New Roman"/>
          <w:color w:val="000000"/>
          <w:sz w:val="24"/>
          <w:szCs w:val="24"/>
        </w:rPr>
        <w:t xml:space="preserve"> resulting shifts</w:t>
      </w:r>
      <w:r>
        <w:rPr>
          <w:rFonts w:ascii="Times New Roman" w:eastAsia="Times New Roman" w:hAnsi="Times New Roman" w:cs="Times New Roman"/>
          <w:color w:val="000000"/>
          <w:sz w:val="24"/>
          <w:szCs w:val="24"/>
        </w:rPr>
        <w:t xml:space="preserve">. These shifts may include disruptions caused by market forces (e.g., Flammer and Ioannou, 2021), policy changes (e.g., Fox-Wolfgramm, Boal and Hunt, 1998), technological change (e.g., Tushman and Anderson, 1986), or shifts in consumer demand (e.g., Hoffman, 1999). </w:t>
      </w:r>
    </w:p>
    <w:p w14:paraId="697AACF4" w14:textId="4FF1E8A2" w:rsidR="00CE3197" w:rsidRDefault="00564B96">
      <w:pPr>
        <w:pBdr>
          <w:top w:val="nil"/>
          <w:left w:val="nil"/>
          <w:bottom w:val="nil"/>
          <w:right w:val="nil"/>
          <w:between w:val="nil"/>
        </w:pBdr>
        <w:spacing w:after="0" w:line="480" w:lineRule="auto"/>
        <w:ind w:firstLine="709"/>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M</w:t>
      </w:r>
      <w:r w:rsidR="00364A95">
        <w:rPr>
          <w:rFonts w:ascii="Times New Roman" w:eastAsia="Times New Roman" w:hAnsi="Times New Roman" w:cs="Times New Roman"/>
          <w:color w:val="000000"/>
          <w:sz w:val="24"/>
          <w:szCs w:val="24"/>
        </w:rPr>
        <w:t xml:space="preserve">uch of the adaptation literature is based on the notion that the external environment is a constraint that </w:t>
      </w:r>
      <w:r w:rsidR="00364A95">
        <w:rPr>
          <w:rFonts w:ascii="Times New Roman" w:eastAsia="Times New Roman" w:hAnsi="Times New Roman" w:cs="Times New Roman"/>
          <w:i/>
          <w:color w:val="000000"/>
          <w:sz w:val="24"/>
          <w:szCs w:val="24"/>
        </w:rPr>
        <w:t>can</w:t>
      </w:r>
      <w:r w:rsidR="00364A95">
        <w:rPr>
          <w:rFonts w:ascii="Times New Roman" w:eastAsia="Times New Roman" w:hAnsi="Times New Roman" w:cs="Times New Roman"/>
          <w:color w:val="000000"/>
          <w:sz w:val="24"/>
          <w:szCs w:val="24"/>
        </w:rPr>
        <w:t xml:space="preserve"> be managed</w:t>
      </w:r>
      <w:r>
        <w:rPr>
          <w:rFonts w:ascii="Times New Roman" w:eastAsia="Times New Roman" w:hAnsi="Times New Roman" w:cs="Times New Roman"/>
          <w:color w:val="000000"/>
          <w:sz w:val="24"/>
          <w:szCs w:val="24"/>
        </w:rPr>
        <w:t>;</w:t>
      </w:r>
      <w:r w:rsidR="00364A95">
        <w:rPr>
          <w:rFonts w:ascii="Times New Roman" w:eastAsia="Times New Roman" w:hAnsi="Times New Roman" w:cs="Times New Roman"/>
          <w:color w:val="000000"/>
          <w:sz w:val="24"/>
          <w:szCs w:val="24"/>
        </w:rPr>
        <w:t xml:space="preserve"> that is</w:t>
      </w:r>
      <w:r>
        <w:rPr>
          <w:rFonts w:ascii="Times New Roman" w:eastAsia="Times New Roman" w:hAnsi="Times New Roman" w:cs="Times New Roman"/>
          <w:color w:val="000000"/>
          <w:sz w:val="24"/>
          <w:szCs w:val="24"/>
        </w:rPr>
        <w:t>, it tends</w:t>
      </w:r>
      <w:r w:rsidR="00364A95">
        <w:rPr>
          <w:rFonts w:ascii="Times New Roman" w:eastAsia="Times New Roman" w:hAnsi="Times New Roman" w:cs="Times New Roman"/>
          <w:color w:val="000000"/>
          <w:sz w:val="24"/>
          <w:szCs w:val="24"/>
        </w:rPr>
        <w:t xml:space="preserve"> to be inward-looking, </w:t>
      </w:r>
      <w:r>
        <w:rPr>
          <w:rFonts w:ascii="Times New Roman" w:eastAsia="Times New Roman" w:hAnsi="Times New Roman" w:cs="Times New Roman"/>
          <w:color w:val="000000"/>
          <w:sz w:val="24"/>
          <w:szCs w:val="24"/>
        </w:rPr>
        <w:t xml:space="preserve">assuming that </w:t>
      </w:r>
      <w:r w:rsidR="00364A95">
        <w:rPr>
          <w:rFonts w:ascii="Times New Roman" w:eastAsia="Times New Roman" w:hAnsi="Times New Roman" w:cs="Times New Roman"/>
          <w:color w:val="000000"/>
          <w:sz w:val="24"/>
          <w:szCs w:val="24"/>
        </w:rPr>
        <w:t xml:space="preserve">the external environment </w:t>
      </w:r>
      <w:r>
        <w:rPr>
          <w:rFonts w:ascii="Times New Roman" w:eastAsia="Times New Roman" w:hAnsi="Times New Roman" w:cs="Times New Roman"/>
          <w:color w:val="000000"/>
          <w:sz w:val="24"/>
          <w:szCs w:val="24"/>
        </w:rPr>
        <w:t xml:space="preserve">is </w:t>
      </w:r>
      <w:r w:rsidR="00364A95">
        <w:rPr>
          <w:rFonts w:ascii="Times New Roman" w:eastAsia="Times New Roman" w:hAnsi="Times New Roman" w:cs="Times New Roman"/>
          <w:color w:val="000000"/>
          <w:sz w:val="24"/>
          <w:szCs w:val="24"/>
        </w:rPr>
        <w:t>constant and</w:t>
      </w:r>
      <w:r>
        <w:rPr>
          <w:rFonts w:ascii="Times New Roman" w:eastAsia="Times New Roman" w:hAnsi="Times New Roman" w:cs="Times New Roman"/>
          <w:color w:val="000000"/>
          <w:sz w:val="24"/>
          <w:szCs w:val="24"/>
        </w:rPr>
        <w:t xml:space="preserve"> </w:t>
      </w:r>
      <w:r w:rsidR="00364A95">
        <w:rPr>
          <w:rFonts w:ascii="Times New Roman" w:eastAsia="Times New Roman" w:hAnsi="Times New Roman" w:cs="Times New Roman"/>
          <w:color w:val="000000"/>
          <w:sz w:val="24"/>
          <w:szCs w:val="24"/>
        </w:rPr>
        <w:t>focusing on questions such as “How can organizations adapt by changing internal processes, structures, or strategies?”</w:t>
      </w:r>
      <w:r w:rsidR="00DF6887">
        <w:rPr>
          <w:rFonts w:ascii="Times New Roman" w:eastAsia="Times New Roman" w:hAnsi="Times New Roman" w:cs="Times New Roman"/>
          <w:color w:val="000000"/>
          <w:sz w:val="24"/>
          <w:szCs w:val="24"/>
        </w:rPr>
        <w:t xml:space="preserve"> rather than “How can organizations and the external environment co-exist and co-adapt?”</w:t>
      </w:r>
      <w:r w:rsidR="00364A95">
        <w:rPr>
          <w:rFonts w:ascii="Times New Roman" w:eastAsia="Times New Roman" w:hAnsi="Times New Roman" w:cs="Times New Roman"/>
          <w:color w:val="000000"/>
          <w:sz w:val="24"/>
          <w:szCs w:val="24"/>
        </w:rPr>
        <w:t xml:space="preserve">. In contrast, CCA requires researchers to consider potential feedback loops such that the external environment </w:t>
      </w:r>
      <w:r w:rsidR="00364A95">
        <w:rPr>
          <w:rFonts w:ascii="Times New Roman" w:eastAsia="Times New Roman" w:hAnsi="Times New Roman" w:cs="Times New Roman"/>
          <w:color w:val="000000"/>
          <w:sz w:val="24"/>
          <w:szCs w:val="24"/>
        </w:rPr>
        <w:lastRenderedPageBreak/>
        <w:t xml:space="preserve">cannot be assumed as constant. To wit, poorly executed CCA not only will increase the organization’s vulnerability to climate change, but can also generate repercussions on climate change itself, for instance due to increased levels of GHG emissions, in turn making the need to adapt more salient. </w:t>
      </w:r>
    </w:p>
    <w:p w14:paraId="00000021" w14:textId="58937F48" w:rsidR="00EE6CE9" w:rsidRDefault="00DF6887">
      <w:pPr>
        <w:pBdr>
          <w:top w:val="nil"/>
          <w:left w:val="nil"/>
          <w:bottom w:val="nil"/>
          <w:right w:val="nil"/>
          <w:between w:val="nil"/>
        </w:pBdr>
        <w:spacing w:after="0" w:line="480" w:lineRule="auto"/>
        <w:ind w:firstLine="709"/>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O</w:t>
      </w:r>
      <w:r w:rsidR="00364A95">
        <w:rPr>
          <w:rFonts w:ascii="Times New Roman" w:eastAsia="Times New Roman" w:hAnsi="Times New Roman" w:cs="Times New Roman"/>
          <w:color w:val="000000"/>
          <w:sz w:val="24"/>
          <w:szCs w:val="24"/>
        </w:rPr>
        <w:t>rganizations cannot be inward-looking in addressing CCA. CCA requires localized solutions, given the idiosyncratic needs of an organization and its dependence on the natural environment. These needs are informed by interactions between the organization and local primary or secondary stakeholders, who are directly or indirectly affected by climate change, for example by threaten</w:t>
      </w:r>
      <w:r w:rsidR="00C1349D">
        <w:rPr>
          <w:rFonts w:ascii="Times New Roman" w:eastAsia="Times New Roman" w:hAnsi="Times New Roman" w:cs="Times New Roman"/>
          <w:color w:val="000000"/>
          <w:sz w:val="24"/>
          <w:szCs w:val="24"/>
        </w:rPr>
        <w:t>ed</w:t>
      </w:r>
      <w:r w:rsidR="00364A95">
        <w:rPr>
          <w:rFonts w:ascii="Times New Roman" w:eastAsia="Times New Roman" w:hAnsi="Times New Roman" w:cs="Times New Roman"/>
          <w:color w:val="000000"/>
          <w:sz w:val="24"/>
          <w:szCs w:val="24"/>
        </w:rPr>
        <w:t xml:space="preserve"> critical infrastructure or </w:t>
      </w:r>
      <w:r w:rsidR="00C1349D">
        <w:rPr>
          <w:rFonts w:ascii="Times New Roman" w:eastAsia="Times New Roman" w:hAnsi="Times New Roman" w:cs="Times New Roman"/>
          <w:color w:val="000000"/>
          <w:sz w:val="24"/>
          <w:szCs w:val="24"/>
        </w:rPr>
        <w:t xml:space="preserve">considerations for </w:t>
      </w:r>
      <w:r w:rsidR="00364A95">
        <w:rPr>
          <w:rFonts w:ascii="Times New Roman" w:eastAsia="Times New Roman" w:hAnsi="Times New Roman" w:cs="Times New Roman"/>
          <w:color w:val="000000"/>
          <w:sz w:val="24"/>
          <w:szCs w:val="24"/>
        </w:rPr>
        <w:t>employees’ physical wellbeing. Thus, CCA requires a multi-stakeholder approach involving stakeholders external to the organization</w:t>
      </w:r>
      <w:r w:rsidR="00765364">
        <w:rPr>
          <w:rFonts w:ascii="Times New Roman" w:eastAsia="Times New Roman" w:hAnsi="Times New Roman" w:cs="Times New Roman"/>
          <w:color w:val="000000"/>
          <w:sz w:val="24"/>
          <w:szCs w:val="24"/>
        </w:rPr>
        <w:t xml:space="preserve"> </w:t>
      </w:r>
      <w:r w:rsidR="00765364" w:rsidRPr="00765364">
        <w:rPr>
          <w:rFonts w:ascii="Times New Roman" w:eastAsia="Times New Roman" w:hAnsi="Times New Roman" w:cs="Times New Roman"/>
          <w:color w:val="000000"/>
          <w:sz w:val="24"/>
          <w:szCs w:val="24"/>
        </w:rPr>
        <w:t>involving the input from both internal and external stakeholders at all levels of the organization, to better analyse and assess the fallout of this co-dependent relationship between the organization and the environment, as well as to better provide on-the-ground localized solutions</w:t>
      </w:r>
      <w:r w:rsidR="00364A95">
        <w:rPr>
          <w:rFonts w:ascii="Times New Roman" w:eastAsia="Times New Roman" w:hAnsi="Times New Roman" w:cs="Times New Roman"/>
          <w:color w:val="000000"/>
          <w:sz w:val="24"/>
          <w:szCs w:val="24"/>
        </w:rPr>
        <w:t xml:space="preserve"> (Doh</w:t>
      </w:r>
      <w:r w:rsidR="000B0E2F">
        <w:rPr>
          <w:rFonts w:ascii="Times New Roman" w:eastAsia="Times New Roman" w:hAnsi="Times New Roman" w:cs="Times New Roman"/>
          <w:iCs/>
          <w:color w:val="000000"/>
          <w:sz w:val="24"/>
          <w:szCs w:val="24"/>
        </w:rPr>
        <w:t>, Tashman and Benischke</w:t>
      </w:r>
      <w:r w:rsidR="00364A95" w:rsidRPr="00737FE2">
        <w:rPr>
          <w:rFonts w:ascii="Times New Roman" w:eastAsia="Times New Roman" w:hAnsi="Times New Roman" w:cs="Times New Roman"/>
          <w:iCs/>
          <w:color w:val="000000"/>
          <w:sz w:val="24"/>
          <w:szCs w:val="24"/>
        </w:rPr>
        <w:t>,</w:t>
      </w:r>
      <w:r w:rsidR="00364A95">
        <w:rPr>
          <w:rFonts w:ascii="Times New Roman" w:eastAsia="Times New Roman" w:hAnsi="Times New Roman" w:cs="Times New Roman"/>
          <w:color w:val="000000"/>
          <w:sz w:val="24"/>
          <w:szCs w:val="24"/>
        </w:rPr>
        <w:t xml:space="preserve"> 2019).</w:t>
      </w:r>
    </w:p>
    <w:p w14:paraId="00000022" w14:textId="2E3FD035" w:rsidR="00EE6CE9" w:rsidRDefault="00364A95">
      <w:pPr>
        <w:pBdr>
          <w:top w:val="nil"/>
          <w:left w:val="nil"/>
          <w:bottom w:val="nil"/>
          <w:right w:val="nil"/>
          <w:between w:val="nil"/>
        </w:pBdr>
        <w:spacing w:after="0" w:line="480" w:lineRule="auto"/>
        <w:ind w:firstLine="709"/>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Second, the organizational adaptation literature assumes that organizations respond to exogenous shifts in their environment because these shifts result in a misfit between the organization’s internal activities, resources and capabilities, and the evolving demands of the external environment (Tushman and Anderson, 1986; Van de Ven, Ganco and Hinings, 2013). Fit was initially conceptualized as a static state, </w:t>
      </w:r>
      <w:r w:rsidR="009C5843">
        <w:rPr>
          <w:rFonts w:ascii="Times New Roman" w:eastAsia="Times New Roman" w:hAnsi="Times New Roman" w:cs="Times New Roman"/>
          <w:color w:val="000000"/>
          <w:sz w:val="24"/>
          <w:szCs w:val="24"/>
        </w:rPr>
        <w:t>i.e.</w:t>
      </w:r>
      <w:r>
        <w:rPr>
          <w:rFonts w:ascii="Times New Roman" w:eastAsia="Times New Roman" w:hAnsi="Times New Roman" w:cs="Times New Roman"/>
          <w:color w:val="000000"/>
          <w:sz w:val="24"/>
          <w:szCs w:val="24"/>
        </w:rPr>
        <w:t xml:space="preserve"> either present or absent (Lawrence and Lorsch, 1967). More recent work, however, considers fit as a dynamic process, which addresses the possibility of a coevolutionary relationship between organizations and their environments. This more recent work has modified existing theories to </w:t>
      </w:r>
      <w:r w:rsidR="009C5843">
        <w:rPr>
          <w:rFonts w:ascii="Times New Roman" w:eastAsia="Times New Roman" w:hAnsi="Times New Roman" w:cs="Times New Roman"/>
          <w:color w:val="000000"/>
          <w:sz w:val="24"/>
          <w:szCs w:val="24"/>
        </w:rPr>
        <w:t xml:space="preserve">take into consideration </w:t>
      </w:r>
      <w:r>
        <w:rPr>
          <w:rFonts w:ascii="Times New Roman" w:eastAsia="Times New Roman" w:hAnsi="Times New Roman" w:cs="Times New Roman"/>
          <w:color w:val="000000"/>
          <w:sz w:val="24"/>
          <w:szCs w:val="24"/>
        </w:rPr>
        <w:t xml:space="preserve">less traditional and more persistent external shocks (e.g., Brown and Eisenhardt, 1997; Cantwell, Dunning and Lundan, 2010). A rich body of </w:t>
      </w:r>
      <w:r w:rsidR="009C5843">
        <w:rPr>
          <w:rFonts w:ascii="Times New Roman" w:eastAsia="Times New Roman" w:hAnsi="Times New Roman" w:cs="Times New Roman"/>
          <w:color w:val="000000"/>
          <w:sz w:val="24"/>
          <w:szCs w:val="24"/>
        </w:rPr>
        <w:t xml:space="preserve">research </w:t>
      </w:r>
      <w:r>
        <w:rPr>
          <w:rFonts w:ascii="Times New Roman" w:eastAsia="Times New Roman" w:hAnsi="Times New Roman" w:cs="Times New Roman"/>
          <w:color w:val="000000"/>
          <w:sz w:val="24"/>
          <w:szCs w:val="24"/>
        </w:rPr>
        <w:t>has emerged</w:t>
      </w:r>
      <w:r w:rsidR="009C5843">
        <w:rPr>
          <w:rFonts w:ascii="Times New Roman" w:eastAsia="Times New Roman" w:hAnsi="Times New Roman" w:cs="Times New Roman"/>
          <w:color w:val="000000"/>
          <w:sz w:val="24"/>
          <w:szCs w:val="24"/>
        </w:rPr>
        <w:t xml:space="preserve"> as a result, but even so a lot of literature </w:t>
      </w:r>
      <w:r>
        <w:rPr>
          <w:rFonts w:ascii="Times New Roman" w:eastAsia="Times New Roman" w:hAnsi="Times New Roman" w:cs="Times New Roman"/>
          <w:color w:val="000000"/>
          <w:sz w:val="24"/>
          <w:szCs w:val="24"/>
        </w:rPr>
        <w:t xml:space="preserve">continues to conceptualise exogenous </w:t>
      </w:r>
      <w:r>
        <w:rPr>
          <w:rFonts w:ascii="Times New Roman" w:eastAsia="Times New Roman" w:hAnsi="Times New Roman" w:cs="Times New Roman"/>
          <w:color w:val="000000"/>
          <w:sz w:val="24"/>
          <w:szCs w:val="24"/>
        </w:rPr>
        <w:lastRenderedPageBreak/>
        <w:t xml:space="preserve">shocks as a </w:t>
      </w:r>
      <w:r w:rsidR="00765364">
        <w:rPr>
          <w:rFonts w:ascii="Times New Roman" w:eastAsia="Times New Roman" w:hAnsi="Times New Roman" w:cs="Times New Roman"/>
          <w:color w:val="000000"/>
          <w:sz w:val="24"/>
          <w:szCs w:val="24"/>
        </w:rPr>
        <w:t>temporary</w:t>
      </w:r>
      <w:r>
        <w:rPr>
          <w:rFonts w:ascii="Times New Roman" w:eastAsia="Times New Roman" w:hAnsi="Times New Roman" w:cs="Times New Roman"/>
          <w:color w:val="000000"/>
          <w:sz w:val="24"/>
          <w:szCs w:val="24"/>
        </w:rPr>
        <w:t xml:space="preserve"> state of disequilibrium that can be managed. However, this may not be the case in the context of climate change. Many organizations may not be able to enjoy a recovery from climate change shocks</w:t>
      </w:r>
      <w:r w:rsidR="009C5843">
        <w:rPr>
          <w:rFonts w:ascii="Times New Roman" w:eastAsia="Times New Roman" w:hAnsi="Times New Roman" w:cs="Times New Roman"/>
          <w:color w:val="000000"/>
          <w:sz w:val="24"/>
          <w:szCs w:val="24"/>
        </w:rPr>
        <w:t xml:space="preserve"> and do</w:t>
      </w:r>
      <w:r>
        <w:rPr>
          <w:rFonts w:ascii="Times New Roman" w:eastAsia="Times New Roman" w:hAnsi="Times New Roman" w:cs="Times New Roman"/>
          <w:color w:val="000000"/>
          <w:sz w:val="24"/>
          <w:szCs w:val="24"/>
        </w:rPr>
        <w:t xml:space="preserve"> not return to a state of stability, </w:t>
      </w:r>
      <w:r w:rsidR="009C5843">
        <w:rPr>
          <w:rFonts w:ascii="Times New Roman" w:eastAsia="Times New Roman" w:hAnsi="Times New Roman" w:cs="Times New Roman"/>
          <w:color w:val="000000"/>
          <w:sz w:val="24"/>
          <w:szCs w:val="24"/>
        </w:rPr>
        <w:t>but</w:t>
      </w:r>
      <w:r w:rsidR="009C5843">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instead </w:t>
      </w:r>
      <w:r w:rsidR="009C5843">
        <w:rPr>
          <w:rFonts w:ascii="Times New Roman" w:eastAsia="Times New Roman" w:hAnsi="Times New Roman" w:cs="Times New Roman"/>
          <w:sz w:val="24"/>
          <w:szCs w:val="24"/>
        </w:rPr>
        <w:t xml:space="preserve">are forced to </w:t>
      </w:r>
      <w:r>
        <w:rPr>
          <w:rFonts w:ascii="Times New Roman" w:eastAsia="Times New Roman" w:hAnsi="Times New Roman" w:cs="Times New Roman"/>
          <w:sz w:val="24"/>
          <w:szCs w:val="24"/>
        </w:rPr>
        <w:t xml:space="preserve">move to a new regime with a new equilibrium, </w:t>
      </w:r>
      <w:r>
        <w:rPr>
          <w:rFonts w:ascii="Times New Roman" w:eastAsia="Times New Roman" w:hAnsi="Times New Roman" w:cs="Times New Roman"/>
          <w:color w:val="000000"/>
          <w:sz w:val="24"/>
          <w:szCs w:val="24"/>
        </w:rPr>
        <w:t xml:space="preserve">(Linnenluecke and Griffiths, 2010). In sum, the notions of fit and a single equilibrium point which organizations return to are problematic in the context of CCA. </w:t>
      </w:r>
    </w:p>
    <w:p w14:paraId="00000023" w14:textId="10D23EF5" w:rsidR="00EE6CE9" w:rsidRDefault="00364A95">
      <w:pPr>
        <w:pBdr>
          <w:top w:val="nil"/>
          <w:left w:val="nil"/>
          <w:bottom w:val="nil"/>
          <w:right w:val="nil"/>
          <w:between w:val="nil"/>
        </w:pBdr>
        <w:spacing w:after="0" w:line="48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ab/>
        <w:t xml:space="preserve">Third, the objective of adaptation in much of the adaptation literature is to re-establish an organization’s competitiveness. External shifts in an organization’s environment can negatively affect its competitive position for two reasons. </w:t>
      </w:r>
      <w:r w:rsidR="009C5843">
        <w:rPr>
          <w:rFonts w:ascii="Times New Roman" w:eastAsia="Times New Roman" w:hAnsi="Times New Roman" w:cs="Times New Roman"/>
          <w:color w:val="000000"/>
          <w:sz w:val="24"/>
          <w:szCs w:val="24"/>
        </w:rPr>
        <w:t>Firstly, t</w:t>
      </w:r>
      <w:r>
        <w:rPr>
          <w:rFonts w:ascii="Times New Roman" w:eastAsia="Times New Roman" w:hAnsi="Times New Roman" w:cs="Times New Roman"/>
          <w:color w:val="000000"/>
          <w:sz w:val="24"/>
          <w:szCs w:val="24"/>
        </w:rPr>
        <w:t xml:space="preserve">hey can decrease an organization’s internal operating efficiency, for example by increasing the organization’s cost structure or lowering demand for its products. </w:t>
      </w:r>
      <w:r w:rsidR="002D7275">
        <w:rPr>
          <w:rFonts w:ascii="Times New Roman" w:eastAsia="Times New Roman" w:hAnsi="Times New Roman" w:cs="Times New Roman"/>
          <w:color w:val="000000"/>
          <w:sz w:val="24"/>
          <w:szCs w:val="24"/>
        </w:rPr>
        <w:t xml:space="preserve">Secondly, they can cause resource </w:t>
      </w:r>
      <w:r w:rsidR="00C55D5D">
        <w:rPr>
          <w:rFonts w:ascii="Times New Roman" w:eastAsia="Times New Roman" w:hAnsi="Times New Roman" w:cs="Times New Roman"/>
          <w:color w:val="000000"/>
          <w:sz w:val="24"/>
          <w:szCs w:val="24"/>
        </w:rPr>
        <w:t>issues</w:t>
      </w:r>
      <w:r w:rsidR="002D7275">
        <w:rPr>
          <w:rFonts w:ascii="Times New Roman" w:eastAsia="Times New Roman" w:hAnsi="Times New Roman" w:cs="Times New Roman"/>
          <w:color w:val="000000"/>
          <w:sz w:val="24"/>
          <w:szCs w:val="24"/>
        </w:rPr>
        <w:t xml:space="preserve">, for instance </w:t>
      </w:r>
      <w:r>
        <w:rPr>
          <w:rFonts w:ascii="Times New Roman" w:eastAsia="Times New Roman" w:hAnsi="Times New Roman" w:cs="Times New Roman"/>
          <w:color w:val="000000"/>
          <w:sz w:val="24"/>
          <w:szCs w:val="24"/>
        </w:rPr>
        <w:t xml:space="preserve">due to limited access to </w:t>
      </w:r>
      <w:r w:rsidR="00C55D5D">
        <w:rPr>
          <w:rFonts w:ascii="Times New Roman" w:eastAsia="Times New Roman" w:hAnsi="Times New Roman" w:cs="Times New Roman"/>
          <w:color w:val="000000"/>
          <w:sz w:val="24"/>
          <w:szCs w:val="24"/>
        </w:rPr>
        <w:t xml:space="preserve">or availability of </w:t>
      </w:r>
      <w:r>
        <w:rPr>
          <w:rFonts w:ascii="Times New Roman" w:eastAsia="Times New Roman" w:hAnsi="Times New Roman" w:cs="Times New Roman"/>
          <w:color w:val="000000"/>
          <w:sz w:val="24"/>
          <w:szCs w:val="24"/>
        </w:rPr>
        <w:t>relevant factor markets (Chakrabarti, 2015). Hence, the objective of adaptation is to reestablish the organization’s competitive position through reestablishing a state of fit which can be maintained going forward. In contrast, CCA</w:t>
      </w:r>
      <w:r w:rsidR="002D7880">
        <w:rPr>
          <w:rFonts w:ascii="Times New Roman" w:eastAsia="Times New Roman" w:hAnsi="Times New Roman" w:cs="Times New Roman"/>
          <w:color w:val="000000"/>
          <w:sz w:val="24"/>
          <w:szCs w:val="24"/>
        </w:rPr>
        <w:t xml:space="preserve"> instead</w:t>
      </w:r>
      <w:r>
        <w:rPr>
          <w:rFonts w:ascii="Times New Roman" w:eastAsia="Times New Roman" w:hAnsi="Times New Roman" w:cs="Times New Roman"/>
          <w:color w:val="000000"/>
          <w:sz w:val="24"/>
          <w:szCs w:val="24"/>
        </w:rPr>
        <w:t xml:space="preserve"> focuses on reducing </w:t>
      </w:r>
      <w:r w:rsidR="002D7880">
        <w:rPr>
          <w:rFonts w:ascii="Times New Roman" w:eastAsia="Times New Roman" w:hAnsi="Times New Roman" w:cs="Times New Roman"/>
          <w:color w:val="000000"/>
          <w:sz w:val="24"/>
          <w:szCs w:val="24"/>
        </w:rPr>
        <w:t xml:space="preserve">initial </w:t>
      </w:r>
      <w:r>
        <w:rPr>
          <w:rFonts w:ascii="Times New Roman" w:eastAsia="Times New Roman" w:hAnsi="Times New Roman" w:cs="Times New Roman"/>
          <w:color w:val="000000"/>
          <w:sz w:val="24"/>
          <w:szCs w:val="24"/>
        </w:rPr>
        <w:t xml:space="preserve">vulnerability to the physical impacts that climate change </w:t>
      </w:r>
      <w:r w:rsidR="00C55D5D">
        <w:rPr>
          <w:rFonts w:ascii="Times New Roman" w:eastAsia="Times New Roman" w:hAnsi="Times New Roman" w:cs="Times New Roman"/>
          <w:color w:val="000000"/>
          <w:sz w:val="24"/>
          <w:szCs w:val="24"/>
        </w:rPr>
        <w:t>can cause</w:t>
      </w:r>
      <w:r>
        <w:rPr>
          <w:rFonts w:ascii="Times New Roman" w:eastAsia="Times New Roman" w:hAnsi="Times New Roman" w:cs="Times New Roman"/>
          <w:color w:val="000000"/>
          <w:sz w:val="24"/>
          <w:szCs w:val="24"/>
        </w:rPr>
        <w:t xml:space="preserve"> (Tashman, 2021), and to which the organization is directly or indirectly exposed. That is, the objective of CCA is not necessarily to return to a state of stability, but instead to </w:t>
      </w:r>
      <w:r w:rsidR="002D7880">
        <w:rPr>
          <w:rFonts w:ascii="Times New Roman" w:eastAsia="Times New Roman" w:hAnsi="Times New Roman" w:cs="Times New Roman"/>
          <w:color w:val="000000"/>
          <w:sz w:val="24"/>
          <w:szCs w:val="24"/>
        </w:rPr>
        <w:t xml:space="preserve">pre-emptively </w:t>
      </w:r>
      <w:r>
        <w:rPr>
          <w:rFonts w:ascii="Times New Roman" w:eastAsia="Times New Roman" w:hAnsi="Times New Roman" w:cs="Times New Roman"/>
          <w:color w:val="000000"/>
          <w:sz w:val="24"/>
          <w:szCs w:val="24"/>
        </w:rPr>
        <w:t>build adaptive capacity, defined as “the vector of resources that represent the resource base from which adaptation actions can be made” (Vincent, 2007, p. 13). These capacities are needed to withstand worsening climate change shocks over time (Smit and Wandel, 2006). In this regard, an organization’s adaptive needs are for managing the ongoing process of climate change rather than a one-time shock to organizations’ access to (natural) resources.</w:t>
      </w:r>
    </w:p>
    <w:p w14:paraId="00000024" w14:textId="73BD060A" w:rsidR="00EE6CE9" w:rsidRDefault="00364A95">
      <w:pPr>
        <w:pBdr>
          <w:top w:val="nil"/>
          <w:left w:val="nil"/>
          <w:bottom w:val="nil"/>
          <w:right w:val="nil"/>
          <w:between w:val="nil"/>
        </w:pBdr>
        <w:spacing w:after="0" w:line="480" w:lineRule="auto"/>
        <w:ind w:firstLine="709"/>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Fourth, the adaptation literature assumes that limits to adaptation are within the direct control of the organization, for example discussing the role of technological, organizational, </w:t>
      </w:r>
      <w:r>
        <w:rPr>
          <w:rFonts w:ascii="Times New Roman" w:eastAsia="Times New Roman" w:hAnsi="Times New Roman" w:cs="Times New Roman"/>
          <w:color w:val="000000"/>
          <w:sz w:val="24"/>
          <w:szCs w:val="24"/>
        </w:rPr>
        <w:lastRenderedPageBreak/>
        <w:t>or economic constraints (Sarta</w:t>
      </w:r>
      <w:r w:rsidR="000B0E2F">
        <w:rPr>
          <w:rFonts w:ascii="Times New Roman" w:eastAsia="Times New Roman" w:hAnsi="Times New Roman" w:cs="Times New Roman"/>
          <w:color w:val="000000"/>
          <w:sz w:val="24"/>
          <w:szCs w:val="24"/>
        </w:rPr>
        <w:t>, Durand and Vergne</w:t>
      </w:r>
      <w:r>
        <w:rPr>
          <w:rFonts w:ascii="Times New Roman" w:eastAsia="Times New Roman" w:hAnsi="Times New Roman" w:cs="Times New Roman"/>
          <w:color w:val="000000"/>
          <w:sz w:val="24"/>
          <w:szCs w:val="24"/>
        </w:rPr>
        <w:t xml:space="preserve">, 2021). However, limits to adaptation in the CCA context are exogenous to the organization </w:t>
      </w:r>
      <w:r w:rsidR="002D7880">
        <w:rPr>
          <w:rFonts w:ascii="Times New Roman" w:eastAsia="Times New Roman" w:hAnsi="Times New Roman" w:cs="Times New Roman"/>
          <w:color w:val="000000"/>
          <w:sz w:val="24"/>
          <w:szCs w:val="24"/>
        </w:rPr>
        <w:t xml:space="preserve">and </w:t>
      </w:r>
      <w:r w:rsidR="00D85C37">
        <w:rPr>
          <w:rFonts w:ascii="Times New Roman" w:eastAsia="Times New Roman" w:hAnsi="Times New Roman" w:cs="Times New Roman"/>
          <w:color w:val="000000"/>
          <w:sz w:val="24"/>
          <w:szCs w:val="24"/>
        </w:rPr>
        <w:t xml:space="preserve">often </w:t>
      </w:r>
      <w:r w:rsidR="002D7880">
        <w:rPr>
          <w:rFonts w:ascii="Times New Roman" w:eastAsia="Times New Roman" w:hAnsi="Times New Roman" w:cs="Times New Roman"/>
          <w:color w:val="000000"/>
          <w:sz w:val="24"/>
          <w:szCs w:val="24"/>
        </w:rPr>
        <w:t>beyond its control</w:t>
      </w:r>
      <w:r>
        <w:rPr>
          <w:rFonts w:ascii="Times New Roman" w:eastAsia="Times New Roman" w:hAnsi="Times New Roman" w:cs="Times New Roman"/>
          <w:color w:val="000000"/>
          <w:sz w:val="24"/>
          <w:szCs w:val="24"/>
        </w:rPr>
        <w:t xml:space="preserve"> (Barnett </w:t>
      </w:r>
      <w:r w:rsidRPr="00737FE2">
        <w:rPr>
          <w:rFonts w:ascii="Times New Roman" w:eastAsia="Times New Roman" w:hAnsi="Times New Roman" w:cs="Times New Roman"/>
          <w:iCs/>
          <w:color w:val="000000"/>
          <w:sz w:val="24"/>
          <w:szCs w:val="24"/>
        </w:rPr>
        <w:t>et al</w:t>
      </w:r>
      <w:r>
        <w:rPr>
          <w:rFonts w:ascii="Times New Roman" w:eastAsia="Times New Roman" w:hAnsi="Times New Roman" w:cs="Times New Roman"/>
          <w:color w:val="000000"/>
          <w:sz w:val="24"/>
          <w:szCs w:val="24"/>
        </w:rPr>
        <w:t>., 2015; Morrison and Pickering, 2013)</w:t>
      </w:r>
      <w:r w:rsidR="00D85C37">
        <w:rPr>
          <w:rFonts w:ascii="Times New Roman" w:eastAsia="Times New Roman" w:hAnsi="Times New Roman" w:cs="Times New Roman"/>
          <w:color w:val="000000"/>
          <w:sz w:val="24"/>
          <w:szCs w:val="24"/>
        </w:rPr>
        <w:t>. C</w:t>
      </w:r>
      <w:r w:rsidR="003830F1">
        <w:rPr>
          <w:rFonts w:ascii="Times New Roman" w:eastAsia="Times New Roman" w:hAnsi="Times New Roman" w:cs="Times New Roman"/>
          <w:color w:val="000000"/>
          <w:sz w:val="24"/>
          <w:szCs w:val="24"/>
        </w:rPr>
        <w:t>onstraints may also be</w:t>
      </w:r>
      <w:r w:rsidR="002D7880">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z w:val="24"/>
          <w:szCs w:val="24"/>
        </w:rPr>
        <w:t xml:space="preserve">biophysical </w:t>
      </w:r>
      <w:r w:rsidR="002D7880">
        <w:rPr>
          <w:rFonts w:ascii="Times New Roman" w:eastAsia="Times New Roman" w:hAnsi="Times New Roman" w:cs="Times New Roman"/>
          <w:color w:val="000000"/>
          <w:sz w:val="24"/>
          <w:szCs w:val="24"/>
        </w:rPr>
        <w:t xml:space="preserve">or </w:t>
      </w:r>
      <w:r>
        <w:rPr>
          <w:rFonts w:ascii="Times New Roman" w:eastAsia="Times New Roman" w:hAnsi="Times New Roman" w:cs="Times New Roman"/>
          <w:color w:val="000000"/>
          <w:sz w:val="24"/>
          <w:szCs w:val="24"/>
        </w:rPr>
        <w:t xml:space="preserve">societal (Adger </w:t>
      </w:r>
      <w:r w:rsidRPr="00737FE2">
        <w:rPr>
          <w:rFonts w:ascii="Times New Roman" w:eastAsia="Times New Roman" w:hAnsi="Times New Roman" w:cs="Times New Roman"/>
          <w:iCs/>
          <w:color w:val="000000"/>
          <w:sz w:val="24"/>
          <w:szCs w:val="24"/>
        </w:rPr>
        <w:t>et al</w:t>
      </w:r>
      <w:r>
        <w:rPr>
          <w:rFonts w:ascii="Times New Roman" w:eastAsia="Times New Roman" w:hAnsi="Times New Roman" w:cs="Times New Roman"/>
          <w:i/>
          <w:color w:val="000000"/>
          <w:sz w:val="24"/>
          <w:szCs w:val="24"/>
        </w:rPr>
        <w:t>.</w:t>
      </w:r>
      <w:r>
        <w:rPr>
          <w:rFonts w:ascii="Times New Roman" w:eastAsia="Times New Roman" w:hAnsi="Times New Roman" w:cs="Times New Roman"/>
          <w:color w:val="000000"/>
          <w:sz w:val="24"/>
          <w:szCs w:val="24"/>
        </w:rPr>
        <w:t>, 2009</w:t>
      </w:r>
      <w:r w:rsidR="004A5C88">
        <w:rPr>
          <w:rFonts w:ascii="Times New Roman" w:eastAsia="Times New Roman" w:hAnsi="Times New Roman" w:cs="Times New Roman"/>
          <w:color w:val="000000"/>
          <w:sz w:val="24"/>
          <w:szCs w:val="24"/>
        </w:rPr>
        <w:t>b</w:t>
      </w:r>
      <w:r>
        <w:rPr>
          <w:rFonts w:ascii="Times New Roman" w:eastAsia="Times New Roman" w:hAnsi="Times New Roman" w:cs="Times New Roman"/>
          <w:color w:val="000000"/>
          <w:sz w:val="24"/>
          <w:szCs w:val="24"/>
        </w:rPr>
        <w:t>). For example, once ecological thresholds have been reached, organizations will lose access to critical natural resources in the future (Tashman, 2021). Hence, CCA will require approaches that may be different from what we know of adaptation, and unlike adaptation</w:t>
      </w:r>
      <w:r w:rsidR="003830F1">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z w:val="24"/>
          <w:szCs w:val="24"/>
        </w:rPr>
        <w:t xml:space="preserve"> </w:t>
      </w:r>
      <w:r w:rsidR="002D7880">
        <w:rPr>
          <w:rFonts w:ascii="Times New Roman" w:eastAsia="Times New Roman" w:hAnsi="Times New Roman" w:cs="Times New Roman"/>
          <w:color w:val="000000"/>
          <w:sz w:val="24"/>
          <w:szCs w:val="24"/>
        </w:rPr>
        <w:t xml:space="preserve">which has </w:t>
      </w:r>
      <w:r>
        <w:rPr>
          <w:rFonts w:ascii="Times New Roman" w:eastAsia="Times New Roman" w:hAnsi="Times New Roman" w:cs="Times New Roman"/>
          <w:color w:val="000000"/>
          <w:sz w:val="24"/>
          <w:szCs w:val="24"/>
        </w:rPr>
        <w:t>a clear end point, CCA approaches may often require ongoing navigation within dynamically evolving limits.</w:t>
      </w:r>
    </w:p>
    <w:p w14:paraId="00000025" w14:textId="77777777" w:rsidR="00EE6CE9" w:rsidRDefault="00EE6CE9">
      <w:pPr>
        <w:pBdr>
          <w:top w:val="nil"/>
          <w:left w:val="nil"/>
          <w:bottom w:val="nil"/>
          <w:right w:val="nil"/>
          <w:between w:val="nil"/>
        </w:pBdr>
        <w:spacing w:after="0" w:line="480" w:lineRule="auto"/>
        <w:rPr>
          <w:rFonts w:ascii="Times New Roman" w:eastAsia="Times New Roman" w:hAnsi="Times New Roman" w:cs="Times New Roman"/>
          <w:b/>
          <w:color w:val="000000"/>
          <w:sz w:val="24"/>
          <w:szCs w:val="24"/>
        </w:rPr>
      </w:pPr>
    </w:p>
    <w:p w14:paraId="00000026" w14:textId="77777777" w:rsidR="00EE6CE9" w:rsidRDefault="00364A95">
      <w:pPr>
        <w:pBdr>
          <w:top w:val="nil"/>
          <w:left w:val="nil"/>
          <w:bottom w:val="nil"/>
          <w:right w:val="nil"/>
          <w:between w:val="nil"/>
        </w:pBdr>
        <w:spacing w:after="0" w:line="480" w:lineRule="auto"/>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Organizational Climate Change Adaptation versus Crisis Management</w:t>
      </w:r>
    </w:p>
    <w:p w14:paraId="00000027" w14:textId="5E0AB075" w:rsidR="00EE6CE9" w:rsidRPr="00737FE2" w:rsidRDefault="00364A95">
      <w:pPr>
        <w:pBdr>
          <w:top w:val="nil"/>
          <w:left w:val="nil"/>
          <w:bottom w:val="nil"/>
          <w:right w:val="nil"/>
          <w:between w:val="nil"/>
        </w:pBdr>
        <w:spacing w:after="0" w:line="480" w:lineRule="auto"/>
        <w:rPr>
          <w:rFonts w:ascii="Times New Roman" w:eastAsia="Times New Roman" w:hAnsi="Times New Roman" w:cs="Times New Roman"/>
          <w:iCs/>
          <w:color w:val="000000"/>
          <w:sz w:val="24"/>
          <w:szCs w:val="24"/>
        </w:rPr>
      </w:pPr>
      <w:r>
        <w:rPr>
          <w:rFonts w:ascii="Times New Roman" w:eastAsia="Times New Roman" w:hAnsi="Times New Roman" w:cs="Times New Roman"/>
          <w:color w:val="000000"/>
          <w:sz w:val="24"/>
          <w:szCs w:val="24"/>
        </w:rPr>
        <w:t>A second literature which could be seen as</w:t>
      </w:r>
      <w:r>
        <w:rPr>
          <w:rFonts w:ascii="Times New Roman" w:eastAsia="Times New Roman" w:hAnsi="Times New Roman" w:cs="Times New Roman"/>
          <w:b/>
          <w:color w:val="000000"/>
          <w:sz w:val="24"/>
          <w:szCs w:val="24"/>
        </w:rPr>
        <w:t xml:space="preserve"> </w:t>
      </w:r>
      <w:r>
        <w:rPr>
          <w:rFonts w:ascii="Times New Roman" w:eastAsia="Times New Roman" w:hAnsi="Times New Roman" w:cs="Times New Roman"/>
          <w:color w:val="000000"/>
          <w:sz w:val="24"/>
          <w:szCs w:val="24"/>
        </w:rPr>
        <w:t>adjacent to the CCA phenomenon is the literature on crisis management.</w:t>
      </w:r>
      <w:r>
        <w:rPr>
          <w:rFonts w:ascii="Times New Roman" w:eastAsia="Times New Roman" w:hAnsi="Times New Roman" w:cs="Times New Roman"/>
          <w:b/>
          <w:color w:val="000000"/>
          <w:sz w:val="24"/>
          <w:szCs w:val="24"/>
        </w:rPr>
        <w:t xml:space="preserve"> </w:t>
      </w:r>
      <w:r>
        <w:rPr>
          <w:rFonts w:ascii="Times New Roman" w:eastAsia="Times New Roman" w:hAnsi="Times New Roman" w:cs="Times New Roman"/>
          <w:color w:val="000000"/>
          <w:sz w:val="24"/>
          <w:szCs w:val="24"/>
        </w:rPr>
        <w:t xml:space="preserve">A crisis is an event or series of events that halts, shifts, or renders ineffective the work of an organization (Feldman </w:t>
      </w:r>
      <w:r w:rsidRPr="00737FE2">
        <w:rPr>
          <w:rFonts w:ascii="Times New Roman" w:eastAsia="Times New Roman" w:hAnsi="Times New Roman" w:cs="Times New Roman"/>
          <w:iCs/>
          <w:color w:val="000000"/>
          <w:sz w:val="24"/>
          <w:szCs w:val="24"/>
        </w:rPr>
        <w:t>et al., 2021). Examples of crises are “a severe global economic downturn; an increasing number of climatic episodes, natural catastrophes, and industrial accidents; devastating product recalls; information technology breaches and data security violations; virally disruptive social media trends; and the threat of terrorism” (Williams et al., 2017, p. 733). Moreover, crises are sudden and unexpected events, from local to global in scale, and their effects may unfold over time</w:t>
      </w:r>
      <w:r w:rsidR="003830F1">
        <w:rPr>
          <w:rFonts w:ascii="Times New Roman" w:eastAsia="Times New Roman" w:hAnsi="Times New Roman" w:cs="Times New Roman"/>
          <w:iCs/>
          <w:color w:val="000000"/>
          <w:sz w:val="24"/>
          <w:szCs w:val="24"/>
        </w:rPr>
        <w:t>,</w:t>
      </w:r>
      <w:r w:rsidRPr="00737FE2">
        <w:rPr>
          <w:rFonts w:ascii="Times New Roman" w:eastAsia="Times New Roman" w:hAnsi="Times New Roman" w:cs="Times New Roman"/>
          <w:iCs/>
          <w:color w:val="000000"/>
          <w:sz w:val="24"/>
          <w:szCs w:val="24"/>
        </w:rPr>
        <w:t xml:space="preserve"> such as the Haiti earthquake, Covid-19 pandemic, or wildfires (Majchrzak, Jarvenpaa and Hollingshead, 2007). Some of these events may be climate</w:t>
      </w:r>
      <w:r w:rsidR="00D85C37">
        <w:rPr>
          <w:rFonts w:ascii="Times New Roman" w:eastAsia="Times New Roman" w:hAnsi="Times New Roman" w:cs="Times New Roman"/>
          <w:iCs/>
          <w:color w:val="000000"/>
          <w:sz w:val="24"/>
          <w:szCs w:val="24"/>
        </w:rPr>
        <w:t>-</w:t>
      </w:r>
      <w:r w:rsidRPr="00737FE2">
        <w:rPr>
          <w:rFonts w:ascii="Times New Roman" w:eastAsia="Times New Roman" w:hAnsi="Times New Roman" w:cs="Times New Roman"/>
          <w:iCs/>
          <w:color w:val="000000"/>
          <w:sz w:val="24"/>
          <w:szCs w:val="24"/>
        </w:rPr>
        <w:t>related but some are not, which begs the question of how crisis or disaster management differs from CCA.</w:t>
      </w:r>
    </w:p>
    <w:p w14:paraId="00000028" w14:textId="4E48BD5B" w:rsidR="00EE6CE9" w:rsidRDefault="00364A95">
      <w:pPr>
        <w:pBdr>
          <w:top w:val="nil"/>
          <w:left w:val="nil"/>
          <w:bottom w:val="nil"/>
          <w:right w:val="nil"/>
          <w:between w:val="nil"/>
        </w:pBdr>
        <w:spacing w:after="0" w:line="480" w:lineRule="auto"/>
        <w:ind w:firstLine="720"/>
        <w:rPr>
          <w:rFonts w:ascii="Times New Roman" w:eastAsia="Times New Roman" w:hAnsi="Times New Roman" w:cs="Times New Roman"/>
          <w:color w:val="000000"/>
          <w:sz w:val="24"/>
          <w:szCs w:val="24"/>
        </w:rPr>
      </w:pPr>
      <w:r w:rsidRPr="00737FE2">
        <w:rPr>
          <w:rFonts w:ascii="Times New Roman" w:eastAsia="Times New Roman" w:hAnsi="Times New Roman" w:cs="Times New Roman"/>
          <w:iCs/>
          <w:color w:val="000000"/>
          <w:sz w:val="24"/>
          <w:szCs w:val="24"/>
        </w:rPr>
        <w:t>Crisis management is the “attempt to bring a disrupted or weakened system at any stage of crisis back into alignment to achieve normal functioning” (Williams et al.,</w:t>
      </w:r>
      <w:r>
        <w:rPr>
          <w:rFonts w:ascii="Times New Roman" w:eastAsia="Times New Roman" w:hAnsi="Times New Roman" w:cs="Times New Roman"/>
          <w:color w:val="000000"/>
          <w:sz w:val="24"/>
          <w:szCs w:val="24"/>
        </w:rPr>
        <w:t xml:space="preserve"> 2017, p. 740). The rich literature on crisis management offers insights on pre</w:t>
      </w:r>
      <w:r w:rsidR="00D85C37">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z w:val="24"/>
          <w:szCs w:val="24"/>
        </w:rPr>
        <w:t xml:space="preserve">, </w:t>
      </w:r>
      <w:r w:rsidR="00D85C37">
        <w:rPr>
          <w:rFonts w:ascii="Times New Roman" w:eastAsia="Times New Roman" w:hAnsi="Times New Roman" w:cs="Times New Roman"/>
          <w:color w:val="000000"/>
          <w:sz w:val="24"/>
          <w:szCs w:val="24"/>
        </w:rPr>
        <w:t>mid-</w:t>
      </w:r>
      <w:r>
        <w:rPr>
          <w:rFonts w:ascii="Times New Roman" w:eastAsia="Times New Roman" w:hAnsi="Times New Roman" w:cs="Times New Roman"/>
          <w:color w:val="000000"/>
          <w:sz w:val="24"/>
          <w:szCs w:val="24"/>
        </w:rPr>
        <w:t xml:space="preserve">, and post-event crisis management. For example, Williams and Shepherd (2016) describe crisis management </w:t>
      </w:r>
      <w:r>
        <w:rPr>
          <w:rFonts w:ascii="Times New Roman" w:eastAsia="Times New Roman" w:hAnsi="Times New Roman" w:cs="Times New Roman"/>
          <w:color w:val="000000"/>
          <w:sz w:val="24"/>
          <w:szCs w:val="24"/>
        </w:rPr>
        <w:lastRenderedPageBreak/>
        <w:t>in terms of local ventures that emerged in response to the 2010 Haiti earthquake. One group of ventures focused on building resilience for the long term and the other on providing sustenance. Similarly, Feldman and colleagues (2021) describe the aftermath of Hurricane Katrina and show how mental health professionals create</w:t>
      </w:r>
      <w:r w:rsidR="003830F1">
        <w:rPr>
          <w:rFonts w:ascii="Times New Roman" w:eastAsia="Times New Roman" w:hAnsi="Times New Roman" w:cs="Times New Roman"/>
          <w:color w:val="000000"/>
          <w:sz w:val="24"/>
          <w:szCs w:val="24"/>
        </w:rPr>
        <w:t>d</w:t>
      </w:r>
      <w:r>
        <w:rPr>
          <w:rFonts w:ascii="Times New Roman" w:eastAsia="Times New Roman" w:hAnsi="Times New Roman" w:cs="Times New Roman"/>
          <w:color w:val="000000"/>
          <w:sz w:val="24"/>
          <w:szCs w:val="24"/>
        </w:rPr>
        <w:t xml:space="preserve"> new routines by combining old and new ones for continuity of their work after </w:t>
      </w:r>
      <w:r w:rsidR="003830F1">
        <w:rPr>
          <w:rFonts w:ascii="Times New Roman" w:eastAsia="Times New Roman" w:hAnsi="Times New Roman" w:cs="Times New Roman"/>
          <w:color w:val="000000"/>
          <w:sz w:val="24"/>
          <w:szCs w:val="24"/>
        </w:rPr>
        <w:t>the</w:t>
      </w:r>
      <w:r>
        <w:rPr>
          <w:rFonts w:ascii="Times New Roman" w:eastAsia="Times New Roman" w:hAnsi="Times New Roman" w:cs="Times New Roman"/>
          <w:color w:val="000000"/>
          <w:sz w:val="24"/>
          <w:szCs w:val="24"/>
        </w:rPr>
        <w:t xml:space="preserve"> crisis.</w:t>
      </w:r>
    </w:p>
    <w:p w14:paraId="00000029" w14:textId="097C3F3A" w:rsidR="00EE6CE9" w:rsidRDefault="00364A95">
      <w:pPr>
        <w:pBdr>
          <w:top w:val="nil"/>
          <w:left w:val="nil"/>
          <w:bottom w:val="nil"/>
          <w:right w:val="nil"/>
          <w:between w:val="nil"/>
        </w:pBdr>
        <w:spacing w:after="0" w:line="480" w:lineRule="auto"/>
        <w:ind w:firstLine="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Despite the </w:t>
      </w:r>
      <w:r w:rsidR="000C129C">
        <w:rPr>
          <w:rFonts w:ascii="Times New Roman" w:eastAsia="Times New Roman" w:hAnsi="Times New Roman" w:cs="Times New Roman"/>
          <w:color w:val="000000"/>
          <w:sz w:val="24"/>
          <w:szCs w:val="24"/>
        </w:rPr>
        <w:t xml:space="preserve">clear similarities between </w:t>
      </w:r>
      <w:r>
        <w:rPr>
          <w:rFonts w:ascii="Times New Roman" w:eastAsia="Times New Roman" w:hAnsi="Times New Roman" w:cs="Times New Roman"/>
          <w:color w:val="000000"/>
          <w:sz w:val="24"/>
          <w:szCs w:val="24"/>
        </w:rPr>
        <w:t xml:space="preserve">crisis management </w:t>
      </w:r>
      <w:r w:rsidR="000C129C">
        <w:rPr>
          <w:rFonts w:ascii="Times New Roman" w:eastAsia="Times New Roman" w:hAnsi="Times New Roman" w:cs="Times New Roman"/>
          <w:color w:val="000000"/>
          <w:sz w:val="24"/>
          <w:szCs w:val="24"/>
        </w:rPr>
        <w:t xml:space="preserve">and </w:t>
      </w:r>
      <w:r>
        <w:rPr>
          <w:rFonts w:ascii="Times New Roman" w:eastAsia="Times New Roman" w:hAnsi="Times New Roman" w:cs="Times New Roman"/>
          <w:color w:val="000000"/>
          <w:sz w:val="24"/>
          <w:szCs w:val="24"/>
        </w:rPr>
        <w:t xml:space="preserve">CCA, some important differences are evident. First, climate change adaptation is about climate change and not </w:t>
      </w:r>
      <w:r w:rsidRPr="00036185">
        <w:rPr>
          <w:rFonts w:ascii="Times New Roman" w:eastAsia="Times New Roman" w:hAnsi="Times New Roman" w:cs="Times New Roman"/>
          <w:i/>
          <w:iCs/>
          <w:color w:val="000000"/>
          <w:sz w:val="24"/>
          <w:szCs w:val="24"/>
        </w:rPr>
        <w:t>all</w:t>
      </w:r>
      <w:r>
        <w:rPr>
          <w:rFonts w:ascii="Times New Roman" w:eastAsia="Times New Roman" w:hAnsi="Times New Roman" w:cs="Times New Roman"/>
          <w:color w:val="000000"/>
          <w:sz w:val="24"/>
          <w:szCs w:val="24"/>
        </w:rPr>
        <w:t xml:space="preserve"> crises.</w:t>
      </w:r>
      <w:r w:rsidR="00097138">
        <w:rPr>
          <w:rFonts w:ascii="Times New Roman" w:eastAsia="Times New Roman" w:hAnsi="Times New Roman" w:cs="Times New Roman"/>
          <w:color w:val="000000"/>
          <w:sz w:val="24"/>
          <w:szCs w:val="24"/>
        </w:rPr>
        <w:t xml:space="preserve"> ‘Standard’ crises are more predictable and therefore more easy to adapt to, whereas climate change disasters are highly unpredictable, despite new scientific methods of generating data-based predictions (e.g., Falcke et al., 2024).</w:t>
      </w:r>
    </w:p>
    <w:p w14:paraId="0000002A" w14:textId="3927355D" w:rsidR="00EE6CE9" w:rsidRDefault="00364A95">
      <w:pPr>
        <w:pBdr>
          <w:top w:val="nil"/>
          <w:left w:val="nil"/>
          <w:bottom w:val="nil"/>
          <w:right w:val="nil"/>
          <w:between w:val="nil"/>
        </w:pBdr>
        <w:spacing w:after="0" w:line="480" w:lineRule="auto"/>
        <w:ind w:firstLine="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Second, both crisis management and CCA can be seen as responses, but their objectives are different. Crisis management is about an immediate response to a sudden and unfolding event </w:t>
      </w:r>
      <w:r w:rsidR="00097138">
        <w:rPr>
          <w:rFonts w:ascii="Times New Roman" w:eastAsia="Times New Roman" w:hAnsi="Times New Roman" w:cs="Times New Roman"/>
          <w:color w:val="000000"/>
          <w:sz w:val="24"/>
          <w:szCs w:val="24"/>
        </w:rPr>
        <w:t xml:space="preserve"> in order to continue business</w:t>
      </w:r>
      <w:r w:rsidR="000E4C54">
        <w:rPr>
          <w:rFonts w:ascii="Times New Roman" w:eastAsia="Times New Roman" w:hAnsi="Times New Roman" w:cs="Times New Roman"/>
          <w:color w:val="000000"/>
          <w:sz w:val="24"/>
          <w:szCs w:val="24"/>
        </w:rPr>
        <w:t>-</w:t>
      </w:r>
      <w:r w:rsidR="00097138">
        <w:rPr>
          <w:rFonts w:ascii="Times New Roman" w:eastAsia="Times New Roman" w:hAnsi="Times New Roman" w:cs="Times New Roman"/>
          <w:color w:val="000000"/>
          <w:sz w:val="24"/>
          <w:szCs w:val="24"/>
        </w:rPr>
        <w:t>as</w:t>
      </w:r>
      <w:r w:rsidR="000E4C54">
        <w:rPr>
          <w:rFonts w:ascii="Times New Roman" w:eastAsia="Times New Roman" w:hAnsi="Times New Roman" w:cs="Times New Roman"/>
          <w:color w:val="000000"/>
          <w:sz w:val="24"/>
          <w:szCs w:val="24"/>
        </w:rPr>
        <w:t>-</w:t>
      </w:r>
      <w:r w:rsidR="00097138">
        <w:rPr>
          <w:rFonts w:ascii="Times New Roman" w:eastAsia="Times New Roman" w:hAnsi="Times New Roman" w:cs="Times New Roman"/>
          <w:color w:val="000000"/>
          <w:sz w:val="24"/>
          <w:szCs w:val="24"/>
        </w:rPr>
        <w:t>usual</w:t>
      </w:r>
      <w:r>
        <w:rPr>
          <w:rFonts w:ascii="Times New Roman" w:eastAsia="Times New Roman" w:hAnsi="Times New Roman" w:cs="Times New Roman"/>
          <w:color w:val="000000"/>
          <w:sz w:val="24"/>
          <w:szCs w:val="24"/>
        </w:rPr>
        <w:t xml:space="preserve">, what Williams </w:t>
      </w:r>
      <w:r w:rsidRPr="00737FE2">
        <w:rPr>
          <w:rFonts w:ascii="Times New Roman" w:eastAsia="Times New Roman" w:hAnsi="Times New Roman" w:cs="Times New Roman"/>
          <w:iCs/>
          <w:color w:val="000000"/>
          <w:sz w:val="24"/>
          <w:szCs w:val="24"/>
        </w:rPr>
        <w:t>et al.</w:t>
      </w:r>
      <w:r>
        <w:rPr>
          <w:rFonts w:ascii="Times New Roman" w:eastAsia="Times New Roman" w:hAnsi="Times New Roman" w:cs="Times New Roman"/>
          <w:color w:val="000000"/>
          <w:sz w:val="24"/>
          <w:szCs w:val="24"/>
        </w:rPr>
        <w:t xml:space="preserve"> (2017) describe as ‘crisis-as-event’ ontology. In contrast, CCA is about changing in the long term to the new realities of climate change. The temporality underlying both concepts is unique to each phenomenon, offering different ways to understand them (see e.g., Blagoev and Schreyögg, </w:t>
      </w:r>
      <w:r w:rsidR="00396A0E">
        <w:rPr>
          <w:rFonts w:ascii="Times New Roman" w:eastAsia="Times New Roman" w:hAnsi="Times New Roman" w:cs="Times New Roman"/>
          <w:color w:val="000000"/>
          <w:sz w:val="24"/>
          <w:szCs w:val="24"/>
        </w:rPr>
        <w:t>2025</w:t>
      </w:r>
      <w:r>
        <w:rPr>
          <w:rFonts w:ascii="Times New Roman" w:eastAsia="Times New Roman" w:hAnsi="Times New Roman" w:cs="Times New Roman"/>
          <w:color w:val="000000"/>
          <w:sz w:val="24"/>
          <w:szCs w:val="24"/>
        </w:rPr>
        <w:t xml:space="preserve">; Hernes et al., </w:t>
      </w:r>
      <w:r w:rsidR="0029001B">
        <w:rPr>
          <w:rFonts w:ascii="Times New Roman" w:eastAsia="Times New Roman" w:hAnsi="Times New Roman" w:cs="Times New Roman"/>
          <w:color w:val="000000"/>
          <w:sz w:val="24"/>
          <w:szCs w:val="24"/>
        </w:rPr>
        <w:t>2025</w:t>
      </w:r>
      <w:r>
        <w:rPr>
          <w:rFonts w:ascii="Times New Roman" w:eastAsia="Times New Roman" w:hAnsi="Times New Roman" w:cs="Times New Roman"/>
          <w:color w:val="000000"/>
          <w:sz w:val="24"/>
          <w:szCs w:val="24"/>
        </w:rPr>
        <w:t>).</w:t>
      </w:r>
    </w:p>
    <w:p w14:paraId="0000002B" w14:textId="11D0F1D1" w:rsidR="00EE6CE9" w:rsidRDefault="00364A95">
      <w:pPr>
        <w:pBdr>
          <w:top w:val="nil"/>
          <w:left w:val="nil"/>
          <w:bottom w:val="nil"/>
          <w:right w:val="nil"/>
          <w:between w:val="nil"/>
        </w:pBdr>
        <w:spacing w:after="0" w:line="480" w:lineRule="auto"/>
        <w:ind w:firstLine="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Third, CCA could, in some case, be proactive</w:t>
      </w:r>
      <w:r w:rsidR="00097138">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z w:val="24"/>
          <w:szCs w:val="24"/>
        </w:rPr>
        <w:t xml:space="preserve"> such as when</w:t>
      </w:r>
      <w:r w:rsidR="00D85C37">
        <w:rPr>
          <w:rFonts w:ascii="Times New Roman" w:eastAsia="Times New Roman" w:hAnsi="Times New Roman" w:cs="Times New Roman"/>
          <w:color w:val="000000"/>
          <w:sz w:val="24"/>
          <w:szCs w:val="24"/>
        </w:rPr>
        <w:t>, in anticipation of more frequent natural disasters</w:t>
      </w:r>
      <w:r>
        <w:rPr>
          <w:rFonts w:ascii="Times New Roman" w:eastAsia="Times New Roman" w:hAnsi="Times New Roman" w:cs="Times New Roman"/>
          <w:color w:val="000000"/>
          <w:sz w:val="24"/>
          <w:szCs w:val="24"/>
        </w:rPr>
        <w:t xml:space="preserve"> an insurance company changes its products or the construction industry </w:t>
      </w:r>
      <w:r w:rsidR="002B3F62">
        <w:rPr>
          <w:rFonts w:ascii="Times New Roman" w:eastAsia="Times New Roman" w:hAnsi="Times New Roman" w:cs="Times New Roman"/>
          <w:color w:val="000000"/>
          <w:sz w:val="24"/>
          <w:szCs w:val="24"/>
        </w:rPr>
        <w:t>begins using</w:t>
      </w:r>
      <w:r>
        <w:rPr>
          <w:rFonts w:ascii="Times New Roman" w:eastAsia="Times New Roman" w:hAnsi="Times New Roman" w:cs="Times New Roman"/>
          <w:color w:val="000000"/>
          <w:sz w:val="24"/>
          <w:szCs w:val="24"/>
        </w:rPr>
        <w:t xml:space="preserve"> climate-resilient materials (Bansal et al., 2024). However, crisis management is largely about getting the crisis </w:t>
      </w:r>
      <w:r w:rsidR="002B3F62">
        <w:rPr>
          <w:rFonts w:ascii="Times New Roman" w:eastAsia="Times New Roman" w:hAnsi="Times New Roman" w:cs="Times New Roman"/>
          <w:color w:val="000000"/>
          <w:sz w:val="24"/>
          <w:szCs w:val="24"/>
        </w:rPr>
        <w:t xml:space="preserve">under </w:t>
      </w:r>
      <w:r>
        <w:rPr>
          <w:rFonts w:ascii="Times New Roman" w:eastAsia="Times New Roman" w:hAnsi="Times New Roman" w:cs="Times New Roman"/>
          <w:color w:val="000000"/>
          <w:sz w:val="24"/>
          <w:szCs w:val="24"/>
        </w:rPr>
        <w:t>control and finding safety for the victims, with relatively less attention to pre-event anticipation and detection capacities to reduce vulnerabilities to crisis (William</w:t>
      </w:r>
      <w:r w:rsidRPr="00737FE2">
        <w:rPr>
          <w:rFonts w:ascii="Times New Roman" w:eastAsia="Times New Roman" w:hAnsi="Times New Roman" w:cs="Times New Roman"/>
          <w:color w:val="000000"/>
          <w:sz w:val="24"/>
          <w:szCs w:val="24"/>
        </w:rPr>
        <w:t>s et al., 2017), or post-event capacity building to avoid future crises (Christianson et al., 2009).</w:t>
      </w:r>
    </w:p>
    <w:p w14:paraId="0000002C" w14:textId="77777777" w:rsidR="00EE6CE9" w:rsidRDefault="00EE6CE9">
      <w:pPr>
        <w:pBdr>
          <w:top w:val="nil"/>
          <w:left w:val="nil"/>
          <w:bottom w:val="nil"/>
          <w:right w:val="nil"/>
          <w:between w:val="nil"/>
        </w:pBdr>
        <w:spacing w:after="0" w:line="480" w:lineRule="auto"/>
        <w:ind w:firstLine="709"/>
        <w:rPr>
          <w:rFonts w:ascii="Times New Roman" w:eastAsia="Times New Roman" w:hAnsi="Times New Roman" w:cs="Times New Roman"/>
          <w:color w:val="000000"/>
          <w:sz w:val="24"/>
          <w:szCs w:val="24"/>
        </w:rPr>
      </w:pPr>
    </w:p>
    <w:p w14:paraId="0000002D" w14:textId="77777777" w:rsidR="00EE6CE9" w:rsidRDefault="00364A95">
      <w:pPr>
        <w:pBdr>
          <w:top w:val="nil"/>
          <w:left w:val="nil"/>
          <w:bottom w:val="nil"/>
          <w:right w:val="nil"/>
          <w:between w:val="nil"/>
        </w:pBdr>
        <w:spacing w:after="0" w:line="480" w:lineRule="auto"/>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lastRenderedPageBreak/>
        <w:t>A RESEARCH AGENDA FOR STUDYING CLIMATE CHANGE ADAPTATION: PREMISES AND GUIDING QUESTIONS</w:t>
      </w:r>
    </w:p>
    <w:p w14:paraId="0000002E" w14:textId="77777777" w:rsidR="00EE6CE9" w:rsidRDefault="00364A95">
      <w:pPr>
        <w:pBdr>
          <w:top w:val="nil"/>
          <w:left w:val="nil"/>
          <w:bottom w:val="nil"/>
          <w:right w:val="nil"/>
          <w:between w:val="nil"/>
        </w:pBdr>
        <w:spacing w:after="0" w:line="48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CCA is an empirical reality that calls for phenomenon- and problem-driven approaches to research. Scholars will need to approach CCA with an open mind regarding methodological and theoretical choices, as well as careful reflection on their onto-epistemological assumptions and values (e.g., Wickert </w:t>
      </w:r>
      <w:r w:rsidRPr="00737FE2">
        <w:rPr>
          <w:rFonts w:ascii="Times New Roman" w:eastAsia="Times New Roman" w:hAnsi="Times New Roman" w:cs="Times New Roman"/>
          <w:iCs/>
          <w:color w:val="000000"/>
          <w:sz w:val="24"/>
          <w:szCs w:val="24"/>
        </w:rPr>
        <w:t>et al.,</w:t>
      </w:r>
      <w:r>
        <w:rPr>
          <w:rFonts w:ascii="Times New Roman" w:eastAsia="Times New Roman" w:hAnsi="Times New Roman" w:cs="Times New Roman"/>
          <w:color w:val="000000"/>
          <w:sz w:val="24"/>
          <w:szCs w:val="24"/>
        </w:rPr>
        <w:t xml:space="preserve"> 2021). We take the opportunity to highlight some promising – albeit by no means exhaustive – areas for research, including methodological and theoretical suggestions. Our hope is that these suggestions foster research that not only advances our theoretical understanding of CCA, but also helps build a body of work that sheds light on CCA as a phenomenon that requires urgent attention in practice.</w:t>
      </w:r>
    </w:p>
    <w:p w14:paraId="0000002F" w14:textId="77777777" w:rsidR="00EE6CE9" w:rsidRDefault="00364A95">
      <w:pPr>
        <w:pBdr>
          <w:top w:val="nil"/>
          <w:left w:val="nil"/>
          <w:bottom w:val="nil"/>
          <w:right w:val="nil"/>
          <w:between w:val="nil"/>
        </w:pBdr>
        <w:spacing w:after="0" w:line="480" w:lineRule="auto"/>
        <w:ind w:firstLine="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First, we argue that the relationship between adaptation and mitigation needs to be explored further. Mitigation and adaptation can cross-fertilise but also antagonise each other. A systems perspective can be one way forward for researchers to fully understand this relationship. Second, the temporal and spatial dynamics of CCA remain poorly understood, especially when it comes to the somewhat counterintuitive idea of ‘proactive adaptation’. Proactive adaptation provides a new way to understand time and space in the context of climate change and sustainability. Third, CCA can be both a risk and an opportunity, and these facets of CCA can intertwine dynamically, which remains poorly understood. </w:t>
      </w:r>
    </w:p>
    <w:p w14:paraId="00000030" w14:textId="77777777" w:rsidR="00EE6CE9" w:rsidRDefault="00EE6CE9">
      <w:pPr>
        <w:pBdr>
          <w:top w:val="nil"/>
          <w:left w:val="nil"/>
          <w:bottom w:val="nil"/>
          <w:right w:val="nil"/>
          <w:between w:val="nil"/>
        </w:pBdr>
        <w:spacing w:after="0" w:line="480" w:lineRule="auto"/>
        <w:rPr>
          <w:rFonts w:ascii="Times New Roman" w:eastAsia="Times New Roman" w:hAnsi="Times New Roman" w:cs="Times New Roman"/>
          <w:b/>
          <w:color w:val="000000"/>
          <w:sz w:val="24"/>
          <w:szCs w:val="24"/>
        </w:rPr>
      </w:pPr>
    </w:p>
    <w:p w14:paraId="00000031" w14:textId="77777777" w:rsidR="00EE6CE9" w:rsidRDefault="00364A95">
      <w:pPr>
        <w:pBdr>
          <w:top w:val="nil"/>
          <w:left w:val="nil"/>
          <w:bottom w:val="nil"/>
          <w:right w:val="nil"/>
          <w:between w:val="nil"/>
        </w:pBdr>
        <w:spacing w:after="0" w:line="480" w:lineRule="auto"/>
        <w:rPr>
          <w:rFonts w:ascii="Times New Roman" w:eastAsia="Times New Roman" w:hAnsi="Times New Roman" w:cs="Times New Roman"/>
          <w:color w:val="000000"/>
          <w:sz w:val="24"/>
          <w:szCs w:val="24"/>
        </w:rPr>
      </w:pPr>
      <w:r>
        <w:rPr>
          <w:rFonts w:ascii="Times New Roman" w:eastAsia="Times New Roman" w:hAnsi="Times New Roman" w:cs="Times New Roman"/>
          <w:b/>
          <w:color w:val="000000"/>
          <w:sz w:val="24"/>
          <w:szCs w:val="24"/>
        </w:rPr>
        <w:t xml:space="preserve">How do climate change adaptation and mitigation interact? </w:t>
      </w:r>
    </w:p>
    <w:p w14:paraId="00000032" w14:textId="471A94BC" w:rsidR="00EE6CE9" w:rsidRDefault="00765364">
      <w:pPr>
        <w:pBdr>
          <w:top w:val="nil"/>
          <w:left w:val="nil"/>
          <w:bottom w:val="nil"/>
          <w:right w:val="nil"/>
          <w:between w:val="nil"/>
        </w:pBdr>
        <w:spacing w:after="0" w:line="48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The </w:t>
      </w:r>
      <w:r w:rsidR="00364A95">
        <w:rPr>
          <w:rFonts w:ascii="Times New Roman" w:eastAsia="Times New Roman" w:hAnsi="Times New Roman" w:cs="Times New Roman"/>
          <w:color w:val="000000"/>
          <w:sz w:val="24"/>
          <w:szCs w:val="24"/>
        </w:rPr>
        <w:t xml:space="preserve">relationship </w:t>
      </w:r>
      <w:r>
        <w:rPr>
          <w:rFonts w:ascii="Times New Roman" w:eastAsia="Times New Roman" w:hAnsi="Times New Roman" w:cs="Times New Roman"/>
          <w:color w:val="000000"/>
          <w:sz w:val="24"/>
          <w:szCs w:val="24"/>
        </w:rPr>
        <w:t>between</w:t>
      </w:r>
      <w:r w:rsidR="00364A95">
        <w:rPr>
          <w:rFonts w:ascii="Times New Roman" w:eastAsia="Times New Roman" w:hAnsi="Times New Roman" w:cs="Times New Roman"/>
          <w:color w:val="000000"/>
          <w:sz w:val="24"/>
          <w:szCs w:val="24"/>
        </w:rPr>
        <w:t xml:space="preserve"> climate change mitigation</w:t>
      </w:r>
      <w:r>
        <w:rPr>
          <w:rFonts w:ascii="Times New Roman" w:eastAsia="Times New Roman" w:hAnsi="Times New Roman" w:cs="Times New Roman"/>
          <w:color w:val="000000"/>
          <w:sz w:val="24"/>
          <w:szCs w:val="24"/>
        </w:rPr>
        <w:t xml:space="preserve"> and adaptation is far </w:t>
      </w:r>
      <w:r w:rsidR="00364A95">
        <w:rPr>
          <w:rFonts w:ascii="Times New Roman" w:eastAsia="Times New Roman" w:hAnsi="Times New Roman" w:cs="Times New Roman"/>
          <w:color w:val="000000"/>
          <w:sz w:val="24"/>
          <w:szCs w:val="24"/>
        </w:rPr>
        <w:t xml:space="preserve">from linear (Tashman, 2021). It is highly dynamic, time-lagged, emergent or causally ambiguous, may manifest across spatiotemporal scales, and in form of multiple interdependent configurations (Bansal, Grewatsch and Sharma, 2021; Grewatsch, Kennedy and Bansal, 2023; Williams, Whiteman and Kennedy, 2021). It is important to understand the relationship between </w:t>
      </w:r>
      <w:r w:rsidR="00364A95">
        <w:rPr>
          <w:rFonts w:ascii="Times New Roman" w:eastAsia="Times New Roman" w:hAnsi="Times New Roman" w:cs="Times New Roman"/>
          <w:color w:val="000000"/>
          <w:sz w:val="24"/>
          <w:szCs w:val="24"/>
        </w:rPr>
        <w:lastRenderedPageBreak/>
        <w:t>adaptation and mitigation so that effective adaptation can break through a potentially dangerous cycle whereby it undermines mitigation efforts or exposes organizations to greater climate risks in the future (Schipper, 2020).</w:t>
      </w:r>
    </w:p>
    <w:p w14:paraId="00000033" w14:textId="77777777" w:rsidR="00EE6CE9" w:rsidRDefault="00364A95">
      <w:pPr>
        <w:pBdr>
          <w:top w:val="nil"/>
          <w:left w:val="nil"/>
          <w:bottom w:val="nil"/>
          <w:right w:val="nil"/>
          <w:between w:val="nil"/>
        </w:pBdr>
        <w:spacing w:after="0" w:line="480" w:lineRule="auto"/>
        <w:ind w:firstLine="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A positive relationship between mitigation and adaptation implies that existing and new organizational strategies, practices, and procedures for CCA can be leveraged for more effective mitigation strategies, and vice-versa. For example, a new way of building climate resilient homes (adaptation) may require the use of materials that reduce emissions (mitigation) (e.g., McGahan and Pongeluppe, 2023). Such a relationship would be based on aspects including but not limited to efficiencies and economies of scale and scope in developing such strategies, synergies when it comes to strategy implementation, openness of stakeholders to adaptation efforts because of mitigation projects, and possible (self-reinforcing) effects of resources, knowledge, and other input-factors needed for adaptation (Schipper, 2020). For example, businesses facing adaptation needs – such as ski resorts having to adapt their business models due to lower annual snowfall – may be more open to mitigation efforts such as a reducing their supply chain footprint (Rivera and Clément, 2019).</w:t>
      </w:r>
      <w:r>
        <w:rPr>
          <w:rFonts w:ascii="Times New Roman" w:eastAsia="Times New Roman" w:hAnsi="Times New Roman" w:cs="Times New Roman"/>
          <w:sz w:val="24"/>
          <w:szCs w:val="24"/>
        </w:rPr>
        <w:t xml:space="preserve"> More generally and taking a long-term perspective, effective mitigation may reduce the need for adaptation, while effective adaptation may lead to better functioning ecosystems as well and thus lead to mitigation.</w:t>
      </w:r>
    </w:p>
    <w:p w14:paraId="00000034" w14:textId="4A085462" w:rsidR="00EE6CE9" w:rsidRDefault="00364A95">
      <w:pPr>
        <w:pBdr>
          <w:top w:val="nil"/>
          <w:left w:val="nil"/>
          <w:bottom w:val="nil"/>
          <w:right w:val="nil"/>
          <w:between w:val="nil"/>
        </w:pBdr>
        <w:spacing w:after="0" w:line="480" w:lineRule="auto"/>
        <w:ind w:firstLine="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A negative relationship between adaptation and mitigation, in contrast, refers to the aspects including but not limited to potential (un)intended consequences of adaptation strategies on an organization’s – or other organizations’ – approaches to mitigation. Mitigation and adaptation can be detrimental and crowd out each other’s effects. While mitigation could be undertaken with all the good intentions, adaptation may override such positive effects, for instance because of a failure in the chosen business model (Bocken </w:t>
      </w:r>
      <w:r w:rsidRPr="00737FE2">
        <w:rPr>
          <w:rFonts w:ascii="Times New Roman" w:eastAsia="Times New Roman" w:hAnsi="Times New Roman" w:cs="Times New Roman"/>
          <w:iCs/>
          <w:color w:val="000000"/>
          <w:sz w:val="24"/>
          <w:szCs w:val="24"/>
        </w:rPr>
        <w:t>et al.</w:t>
      </w:r>
      <w:r>
        <w:rPr>
          <w:rFonts w:ascii="Times New Roman" w:eastAsia="Times New Roman" w:hAnsi="Times New Roman" w:cs="Times New Roman"/>
          <w:color w:val="000000"/>
          <w:sz w:val="24"/>
          <w:szCs w:val="24"/>
        </w:rPr>
        <w:t xml:space="preserve">, 2016; Sabaruddin, MacBryde and D’Ippolito, 2023) and related forms of intentional or </w:t>
      </w:r>
      <w:r>
        <w:rPr>
          <w:rFonts w:ascii="Times New Roman" w:eastAsia="Times New Roman" w:hAnsi="Times New Roman" w:cs="Times New Roman"/>
          <w:color w:val="000000"/>
          <w:sz w:val="24"/>
          <w:szCs w:val="24"/>
        </w:rPr>
        <w:lastRenderedPageBreak/>
        <w:t xml:space="preserve">unintentional means-ends decoupling (e.g., Athanasopoulou </w:t>
      </w:r>
      <w:r w:rsidRPr="00737FE2">
        <w:rPr>
          <w:rFonts w:ascii="Times New Roman" w:eastAsia="Times New Roman" w:hAnsi="Times New Roman" w:cs="Times New Roman"/>
          <w:iCs/>
          <w:color w:val="000000"/>
          <w:sz w:val="24"/>
          <w:szCs w:val="24"/>
        </w:rPr>
        <w:t>et al.</w:t>
      </w:r>
      <w:r>
        <w:rPr>
          <w:rFonts w:ascii="Times New Roman" w:eastAsia="Times New Roman" w:hAnsi="Times New Roman" w:cs="Times New Roman"/>
          <w:color w:val="000000"/>
          <w:sz w:val="24"/>
          <w:szCs w:val="24"/>
        </w:rPr>
        <w:t xml:space="preserve">, </w:t>
      </w:r>
      <w:r w:rsidR="00396A0E">
        <w:rPr>
          <w:rFonts w:ascii="Times New Roman" w:eastAsia="Times New Roman" w:hAnsi="Times New Roman" w:cs="Times New Roman"/>
          <w:color w:val="000000"/>
          <w:sz w:val="24"/>
          <w:szCs w:val="24"/>
        </w:rPr>
        <w:t>2025</w:t>
      </w:r>
      <w:r>
        <w:rPr>
          <w:rFonts w:ascii="Times New Roman" w:eastAsia="Times New Roman" w:hAnsi="Times New Roman" w:cs="Times New Roman"/>
          <w:color w:val="000000"/>
          <w:sz w:val="24"/>
          <w:szCs w:val="24"/>
        </w:rPr>
        <w:t xml:space="preserve">; Callery </w:t>
      </w:r>
      <w:r w:rsidR="00737FE2">
        <w:rPr>
          <w:rFonts w:ascii="Times New Roman" w:eastAsia="Times New Roman" w:hAnsi="Times New Roman" w:cs="Times New Roman"/>
          <w:color w:val="000000"/>
          <w:sz w:val="24"/>
          <w:szCs w:val="24"/>
        </w:rPr>
        <w:t>and</w:t>
      </w:r>
      <w:r>
        <w:rPr>
          <w:rFonts w:ascii="Times New Roman" w:eastAsia="Times New Roman" w:hAnsi="Times New Roman" w:cs="Times New Roman"/>
          <w:color w:val="000000"/>
          <w:sz w:val="24"/>
          <w:szCs w:val="24"/>
        </w:rPr>
        <w:t xml:space="preserve"> Kim, 2024). Other examples could include adaptation undermining </w:t>
      </w:r>
      <w:r w:rsidR="000E4C54">
        <w:rPr>
          <w:rFonts w:ascii="Times New Roman" w:eastAsia="Times New Roman" w:hAnsi="Times New Roman" w:cs="Times New Roman"/>
          <w:color w:val="000000"/>
          <w:sz w:val="24"/>
          <w:szCs w:val="24"/>
        </w:rPr>
        <w:t>motivation</w:t>
      </w:r>
      <w:r>
        <w:rPr>
          <w:rFonts w:ascii="Times New Roman" w:eastAsia="Times New Roman" w:hAnsi="Times New Roman" w:cs="Times New Roman"/>
          <w:color w:val="000000"/>
          <w:sz w:val="24"/>
          <w:szCs w:val="24"/>
        </w:rPr>
        <w:t xml:space="preserve"> for mitigation because adaptation may be seen as a less costly substitute for mitigation and hence business-as-usual (Wright and Nyberg, 2017). </w:t>
      </w:r>
    </w:p>
    <w:p w14:paraId="00000035" w14:textId="63AFD705" w:rsidR="00EE6CE9" w:rsidRDefault="00364A95">
      <w:pPr>
        <w:pBdr>
          <w:top w:val="nil"/>
          <w:left w:val="nil"/>
          <w:bottom w:val="nil"/>
          <w:right w:val="nil"/>
          <w:between w:val="nil"/>
        </w:pBdr>
        <w:spacing w:after="0" w:line="480" w:lineRule="auto"/>
        <w:ind w:firstLine="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Adaptation can also trade off mitigation efforts over time and space. For example, adaptive technologies (e.g., cli</w:t>
      </w:r>
      <w:r>
        <w:rPr>
          <w:rFonts w:ascii="Times New Roman" w:eastAsia="Times New Roman" w:hAnsi="Times New Roman" w:cs="Times New Roman"/>
          <w:sz w:val="24"/>
          <w:szCs w:val="24"/>
        </w:rPr>
        <w:t>mate resilient homes</w:t>
      </w:r>
      <w:r>
        <w:rPr>
          <w:rFonts w:ascii="Times New Roman" w:eastAsia="Times New Roman" w:hAnsi="Times New Roman" w:cs="Times New Roman"/>
          <w:color w:val="000000"/>
          <w:sz w:val="24"/>
          <w:szCs w:val="24"/>
        </w:rPr>
        <w:t xml:space="preserve"> or recycling) may be seen as the solution that does not require lifestyle changes for mitigation (e.g., </w:t>
      </w:r>
      <w:r>
        <w:rPr>
          <w:rFonts w:ascii="Times New Roman" w:eastAsia="Times New Roman" w:hAnsi="Times New Roman" w:cs="Times New Roman"/>
          <w:sz w:val="24"/>
          <w:szCs w:val="24"/>
        </w:rPr>
        <w:t xml:space="preserve">smaller footprint of built environment </w:t>
      </w:r>
      <w:r>
        <w:rPr>
          <w:rFonts w:ascii="Times New Roman" w:eastAsia="Times New Roman" w:hAnsi="Times New Roman" w:cs="Times New Roman"/>
          <w:color w:val="000000"/>
          <w:sz w:val="24"/>
          <w:szCs w:val="24"/>
        </w:rPr>
        <w:t xml:space="preserve">or use of plastic). Likewise, increasing the use of artificial snow in ski resorts, as a way for the resorts to adapt to less snowfall, can help safeguard reasonable skiing conditions in the short-term and locally, but it would most likely accelerate rather than slow down global warming in the longer run due to excessive water and energy use, </w:t>
      </w:r>
      <w:r w:rsidR="000E4C54">
        <w:rPr>
          <w:rFonts w:ascii="Times New Roman" w:eastAsia="Times New Roman" w:hAnsi="Times New Roman" w:cs="Times New Roman"/>
          <w:color w:val="000000"/>
          <w:sz w:val="24"/>
          <w:szCs w:val="24"/>
        </w:rPr>
        <w:t>not even taking into account</w:t>
      </w:r>
      <w:r>
        <w:rPr>
          <w:rFonts w:ascii="Times New Roman" w:eastAsia="Times New Roman" w:hAnsi="Times New Roman" w:cs="Times New Roman"/>
          <w:color w:val="000000"/>
          <w:sz w:val="24"/>
          <w:szCs w:val="24"/>
        </w:rPr>
        <w:t xml:space="preserve"> the destruction of the local natural environment. As such, researchers can explore the when, where, how, and why CCA has (what one might call) a “positive” or “negative” influence on mitigation, and vice-versa (e.g., Nadegger </w:t>
      </w:r>
      <w:r w:rsidR="00737FE2">
        <w:rPr>
          <w:rFonts w:ascii="Times New Roman" w:eastAsia="Times New Roman" w:hAnsi="Times New Roman" w:cs="Times New Roman"/>
          <w:color w:val="000000"/>
          <w:sz w:val="24"/>
          <w:szCs w:val="24"/>
        </w:rPr>
        <w:t>and</w:t>
      </w:r>
      <w:r>
        <w:rPr>
          <w:rFonts w:ascii="Times New Roman" w:eastAsia="Times New Roman" w:hAnsi="Times New Roman" w:cs="Times New Roman"/>
          <w:color w:val="000000"/>
          <w:sz w:val="24"/>
          <w:szCs w:val="24"/>
        </w:rPr>
        <w:t xml:space="preserve"> Wegerer, 2024).</w:t>
      </w:r>
    </w:p>
    <w:p w14:paraId="00000036" w14:textId="41084846" w:rsidR="00EE6CE9" w:rsidRDefault="00364A95">
      <w:pPr>
        <w:pBdr>
          <w:top w:val="nil"/>
          <w:left w:val="nil"/>
          <w:bottom w:val="nil"/>
          <w:right w:val="nil"/>
          <w:between w:val="nil"/>
        </w:pBdr>
        <w:spacing w:after="0" w:line="480" w:lineRule="auto"/>
        <w:ind w:firstLine="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Similarly, the absence of evidence-based insights into the management of CCA may have further limited our understanding of the relationship between adaptation and mitigation. This could happen, for example, in the context of maladaptation where CCA strategies are poorly designed; both adaptation and mitigation </w:t>
      </w:r>
      <w:r w:rsidR="00765364">
        <w:rPr>
          <w:rFonts w:ascii="Times New Roman" w:eastAsia="Times New Roman" w:hAnsi="Times New Roman" w:cs="Times New Roman"/>
          <w:color w:val="000000"/>
          <w:sz w:val="24"/>
          <w:szCs w:val="24"/>
        </w:rPr>
        <w:t>are not aligned</w:t>
      </w:r>
      <w:r>
        <w:rPr>
          <w:rFonts w:ascii="Times New Roman" w:eastAsia="Times New Roman" w:hAnsi="Times New Roman" w:cs="Times New Roman"/>
          <w:color w:val="000000"/>
          <w:sz w:val="24"/>
          <w:szCs w:val="24"/>
        </w:rPr>
        <w:t xml:space="preserve"> (Wickert, Scherer and Spence, 2016); or when organizations deliberately delay substantive action (e.g., Endenich </w:t>
      </w:r>
      <w:r w:rsidRPr="00737FE2">
        <w:rPr>
          <w:rFonts w:ascii="Times New Roman" w:eastAsia="Times New Roman" w:hAnsi="Times New Roman" w:cs="Times New Roman"/>
          <w:iCs/>
          <w:color w:val="000000"/>
          <w:sz w:val="24"/>
          <w:szCs w:val="24"/>
        </w:rPr>
        <w:t>et al</w:t>
      </w:r>
      <w:r>
        <w:rPr>
          <w:rFonts w:ascii="Times New Roman" w:eastAsia="Times New Roman" w:hAnsi="Times New Roman" w:cs="Times New Roman"/>
          <w:color w:val="000000"/>
          <w:sz w:val="24"/>
          <w:szCs w:val="24"/>
        </w:rPr>
        <w:t xml:space="preserve">., 2023; Schipper, 2020). The theoretically interesting aspect here is the time lag, potentially across scales, in the consequences of maladaptation for mitigation (see e.g., Blagoev and Schreyögg, </w:t>
      </w:r>
      <w:r w:rsidR="00396A0E">
        <w:rPr>
          <w:rFonts w:ascii="Times New Roman" w:eastAsia="Times New Roman" w:hAnsi="Times New Roman" w:cs="Times New Roman"/>
          <w:color w:val="000000"/>
          <w:sz w:val="24"/>
          <w:szCs w:val="24"/>
        </w:rPr>
        <w:t>2025</w:t>
      </w:r>
      <w:r>
        <w:rPr>
          <w:rFonts w:ascii="Times New Roman" w:eastAsia="Times New Roman" w:hAnsi="Times New Roman" w:cs="Times New Roman"/>
          <w:color w:val="000000"/>
          <w:sz w:val="24"/>
          <w:szCs w:val="24"/>
        </w:rPr>
        <w:t xml:space="preserve">; </w:t>
      </w:r>
      <w:r w:rsidR="0029001B">
        <w:rPr>
          <w:rFonts w:ascii="Times New Roman" w:eastAsia="Times New Roman" w:hAnsi="Times New Roman" w:cs="Times New Roman"/>
          <w:color w:val="000000"/>
          <w:sz w:val="24"/>
          <w:szCs w:val="24"/>
        </w:rPr>
        <w:t>Feuls, Hernes and Schultz</w:t>
      </w:r>
      <w:r>
        <w:rPr>
          <w:rFonts w:ascii="Times New Roman" w:eastAsia="Times New Roman" w:hAnsi="Times New Roman" w:cs="Times New Roman"/>
          <w:color w:val="000000"/>
          <w:sz w:val="24"/>
          <w:szCs w:val="24"/>
        </w:rPr>
        <w:t xml:space="preserve">, 2024; Hernes et al., </w:t>
      </w:r>
      <w:r w:rsidR="0029001B">
        <w:rPr>
          <w:rFonts w:ascii="Times New Roman" w:eastAsia="Times New Roman" w:hAnsi="Times New Roman" w:cs="Times New Roman"/>
          <w:color w:val="000000"/>
          <w:sz w:val="24"/>
          <w:szCs w:val="24"/>
        </w:rPr>
        <w:t>2025</w:t>
      </w:r>
      <w:r>
        <w:rPr>
          <w:rFonts w:ascii="Times New Roman" w:eastAsia="Times New Roman" w:hAnsi="Times New Roman" w:cs="Times New Roman"/>
          <w:color w:val="000000"/>
          <w:sz w:val="24"/>
          <w:szCs w:val="24"/>
        </w:rPr>
        <w:t>). For example, a business, operating at a lower spatiotemporal scale than the local government, can adapt by exiting a region that is prone to floods (e.g., Boe-Lillegraven, Georgallis and Kolk, 202</w:t>
      </w:r>
      <w:r w:rsidR="00314735">
        <w:rPr>
          <w:rFonts w:ascii="Times New Roman" w:eastAsia="Times New Roman" w:hAnsi="Times New Roman" w:cs="Times New Roman"/>
          <w:color w:val="000000"/>
          <w:sz w:val="24"/>
          <w:szCs w:val="24"/>
        </w:rPr>
        <w:t>4</w:t>
      </w:r>
      <w:r>
        <w:rPr>
          <w:rFonts w:ascii="Times New Roman" w:eastAsia="Times New Roman" w:hAnsi="Times New Roman" w:cs="Times New Roman"/>
          <w:color w:val="000000"/>
          <w:sz w:val="24"/>
          <w:szCs w:val="24"/>
        </w:rPr>
        <w:t xml:space="preserve">). Such an action can benefit the business but reduce the resources that the local government </w:t>
      </w:r>
      <w:r>
        <w:rPr>
          <w:rFonts w:ascii="Times New Roman" w:eastAsia="Times New Roman" w:hAnsi="Times New Roman" w:cs="Times New Roman"/>
          <w:color w:val="000000"/>
          <w:sz w:val="24"/>
          <w:szCs w:val="24"/>
        </w:rPr>
        <w:lastRenderedPageBreak/>
        <w:t>has available for mitigating climate change in the long term, illustrating the lagged effect of business actions (operating at a lower scale) on a region (operating at a higher scale). Research should explore how and when certain adaptation actions (including maladaptation) may increase exposure and sensitivity to climate change impacts rather than reducing them (Schipper, 2020) and investigate the phenomenon across scales (Howard-Grenville and Lahneman, 2021).</w:t>
      </w:r>
    </w:p>
    <w:p w14:paraId="00000037" w14:textId="56B08F8B" w:rsidR="00EE6CE9" w:rsidRDefault="00364A95">
      <w:pPr>
        <w:pBdr>
          <w:top w:val="nil"/>
          <w:left w:val="nil"/>
          <w:bottom w:val="nil"/>
          <w:right w:val="nil"/>
          <w:between w:val="nil"/>
        </w:pBdr>
        <w:spacing w:after="0" w:line="480" w:lineRule="auto"/>
        <w:ind w:firstLine="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These phenomena can – and should – be explored from a broad array of theoretical perspectives as well as different ontologies (i.e., CCA as an objective and measurable reality vs. how it is subjectively experienced by actors in different contexts) and epistemologies (i.e., identifying CCA-related cause-effect relationships vs. processes of sensemaking and mutual understanding). Yet, to inspire future research we outline a theoretical avenue we regard as currently under</w:t>
      </w:r>
      <w:r w:rsidR="000D1517">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z w:val="24"/>
          <w:szCs w:val="24"/>
        </w:rPr>
        <w:t>mobilized, but particularly promising to the empirical realities we</w:t>
      </w:r>
      <w:r w:rsidR="000D1517">
        <w:rPr>
          <w:rFonts w:ascii="Times New Roman" w:eastAsia="Times New Roman" w:hAnsi="Times New Roman" w:cs="Times New Roman"/>
          <w:color w:val="000000"/>
          <w:sz w:val="24"/>
          <w:szCs w:val="24"/>
        </w:rPr>
        <w:t xml:space="preserve"> have</w:t>
      </w:r>
      <w:r>
        <w:rPr>
          <w:rFonts w:ascii="Times New Roman" w:eastAsia="Times New Roman" w:hAnsi="Times New Roman" w:cs="Times New Roman"/>
          <w:color w:val="000000"/>
          <w:sz w:val="24"/>
          <w:szCs w:val="24"/>
        </w:rPr>
        <w:t xml:space="preserve"> outlined. That is, we encourage scholars to take a systems perspective, which has recently gained traction in the management field (</w:t>
      </w:r>
      <w:r w:rsidRPr="00737FE2">
        <w:rPr>
          <w:rFonts w:ascii="Times New Roman" w:eastAsia="Times New Roman" w:hAnsi="Times New Roman" w:cs="Times New Roman"/>
          <w:color w:val="000000"/>
          <w:sz w:val="24"/>
          <w:szCs w:val="24"/>
        </w:rPr>
        <w:t>Bansal</w:t>
      </w:r>
      <w:r w:rsidR="009763FD">
        <w:rPr>
          <w:rFonts w:ascii="Times New Roman" w:eastAsia="Times New Roman" w:hAnsi="Times New Roman" w:cs="Times New Roman"/>
          <w:color w:val="000000"/>
          <w:sz w:val="24"/>
          <w:szCs w:val="24"/>
        </w:rPr>
        <w:t>, Grewatsch and Sharma</w:t>
      </w:r>
      <w:r w:rsidRPr="00737FE2">
        <w:rPr>
          <w:rFonts w:ascii="Times New Roman" w:eastAsia="Times New Roman" w:hAnsi="Times New Roman" w:cs="Times New Roman"/>
          <w:color w:val="000000"/>
          <w:sz w:val="24"/>
          <w:szCs w:val="24"/>
        </w:rPr>
        <w:t>, 2021; Grewatsch</w:t>
      </w:r>
      <w:r w:rsidR="00000BB1">
        <w:rPr>
          <w:rFonts w:ascii="Times New Roman" w:eastAsia="Times New Roman" w:hAnsi="Times New Roman" w:cs="Times New Roman"/>
          <w:color w:val="000000"/>
          <w:sz w:val="24"/>
          <w:szCs w:val="24"/>
        </w:rPr>
        <w:t>, Kennedy and Bansal</w:t>
      </w:r>
      <w:r w:rsidRPr="00737FE2">
        <w:rPr>
          <w:rFonts w:ascii="Times New Roman" w:eastAsia="Times New Roman" w:hAnsi="Times New Roman" w:cs="Times New Roman"/>
          <w:color w:val="000000"/>
          <w:sz w:val="24"/>
          <w:szCs w:val="24"/>
        </w:rPr>
        <w:t>, 202</w:t>
      </w:r>
      <w:r w:rsidR="00E349DE">
        <w:rPr>
          <w:rFonts w:ascii="Times New Roman" w:eastAsia="Times New Roman" w:hAnsi="Times New Roman" w:cs="Times New Roman"/>
          <w:color w:val="000000"/>
          <w:sz w:val="24"/>
          <w:szCs w:val="24"/>
        </w:rPr>
        <w:t>3</w:t>
      </w:r>
      <w:r w:rsidRPr="00737FE2">
        <w:rPr>
          <w:rFonts w:ascii="Times New Roman" w:eastAsia="Times New Roman" w:hAnsi="Times New Roman" w:cs="Times New Roman"/>
          <w:color w:val="000000"/>
          <w:sz w:val="24"/>
          <w:szCs w:val="24"/>
        </w:rPr>
        <w:t>; Williams</w:t>
      </w:r>
      <w:r w:rsidR="00E349DE">
        <w:rPr>
          <w:rFonts w:ascii="Times New Roman" w:eastAsia="Times New Roman" w:hAnsi="Times New Roman" w:cs="Times New Roman"/>
          <w:color w:val="000000"/>
          <w:sz w:val="24"/>
          <w:szCs w:val="24"/>
        </w:rPr>
        <w:t xml:space="preserve">, Whiteman and Kennedy, </w:t>
      </w:r>
      <w:r>
        <w:rPr>
          <w:rFonts w:ascii="Times New Roman" w:eastAsia="Times New Roman" w:hAnsi="Times New Roman" w:cs="Times New Roman"/>
          <w:color w:val="000000"/>
          <w:sz w:val="24"/>
          <w:szCs w:val="24"/>
        </w:rPr>
        <w:t>2021). A system has elements connected by a variety of relationships</w:t>
      </w:r>
      <w:r>
        <w:rPr>
          <w:rFonts w:ascii="Times New Roman" w:eastAsia="Times New Roman" w:hAnsi="Times New Roman" w:cs="Times New Roman"/>
          <w:sz w:val="24"/>
          <w:szCs w:val="24"/>
        </w:rPr>
        <w:t xml:space="preserve"> and held together by a</w:t>
      </w:r>
      <w:r>
        <w:rPr>
          <w:rFonts w:ascii="Times New Roman" w:eastAsia="Times New Roman" w:hAnsi="Times New Roman" w:cs="Times New Roman"/>
          <w:color w:val="000000"/>
          <w:sz w:val="24"/>
          <w:szCs w:val="24"/>
        </w:rPr>
        <w:t xml:space="preserve"> common purpose (Meadows, 2008). For example, a car is a system that is made of elements such as tires, engine, and steering wheel, with a purpose of taking a person from one point to another. Similarly, climate is a system and so is a business. Smaller systems, such as a business, are nested in larger systems, such as a local community, and climate. As a result, a change in one part of the system reverberates to another but cannot be predicted in a linear cause-effect relationship. A systems perspective puts the necessary emphasis on </w:t>
      </w:r>
      <w:r w:rsidR="000D1517">
        <w:rPr>
          <w:rFonts w:ascii="Times New Roman" w:eastAsia="Times New Roman" w:hAnsi="Times New Roman" w:cs="Times New Roman"/>
          <w:color w:val="000000"/>
          <w:sz w:val="24"/>
          <w:szCs w:val="24"/>
        </w:rPr>
        <w:t xml:space="preserve">the </w:t>
      </w:r>
      <w:r>
        <w:rPr>
          <w:rFonts w:ascii="Times New Roman" w:eastAsia="Times New Roman" w:hAnsi="Times New Roman" w:cs="Times New Roman"/>
          <w:color w:val="000000"/>
          <w:sz w:val="24"/>
          <w:szCs w:val="24"/>
        </w:rPr>
        <w:t xml:space="preserve">recursive, dynamic, and cross-scale nature of mitigation and adaptation effects (Allen </w:t>
      </w:r>
      <w:r w:rsidRPr="00737FE2">
        <w:rPr>
          <w:rFonts w:ascii="Times New Roman" w:eastAsia="Times New Roman" w:hAnsi="Times New Roman" w:cs="Times New Roman"/>
          <w:iCs/>
          <w:color w:val="000000"/>
          <w:sz w:val="24"/>
          <w:szCs w:val="24"/>
        </w:rPr>
        <w:t>et al</w:t>
      </w:r>
      <w:r>
        <w:rPr>
          <w:rFonts w:ascii="Times New Roman" w:eastAsia="Times New Roman" w:hAnsi="Times New Roman" w:cs="Times New Roman"/>
          <w:color w:val="000000"/>
          <w:sz w:val="24"/>
          <w:szCs w:val="24"/>
        </w:rPr>
        <w:t>., 2014; Bansal, Kim, and Wood, 2018; Holling and Gunderson, 2002).</w:t>
      </w:r>
    </w:p>
    <w:p w14:paraId="00000038" w14:textId="49917411" w:rsidR="00EE6CE9" w:rsidRDefault="00364A95">
      <w:pPr>
        <w:pBdr>
          <w:top w:val="nil"/>
          <w:left w:val="nil"/>
          <w:bottom w:val="nil"/>
          <w:right w:val="nil"/>
          <w:between w:val="nil"/>
        </w:pBdr>
        <w:spacing w:after="0" w:line="480" w:lineRule="auto"/>
        <w:ind w:firstLine="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lastRenderedPageBreak/>
        <w:t xml:space="preserve">In adopting a systems ontology, researchers can break out of dichotomies such as local adaptation-global mitigation, or ‘adaptation as risk management’ versus ‘mitigation as leveraging opportunity’. Instead, a systems perspective allows for understanding adaptation and mitigation as efforts within the broader climate system such that each </w:t>
      </w:r>
      <w:r>
        <w:rPr>
          <w:rFonts w:ascii="Times New Roman" w:eastAsia="Times New Roman" w:hAnsi="Times New Roman" w:cs="Times New Roman"/>
          <w:sz w:val="24"/>
          <w:szCs w:val="24"/>
        </w:rPr>
        <w:t>could be</w:t>
      </w:r>
      <w:r>
        <w:rPr>
          <w:rFonts w:ascii="Times New Roman" w:eastAsia="Times New Roman" w:hAnsi="Times New Roman" w:cs="Times New Roman"/>
          <w:color w:val="000000"/>
          <w:sz w:val="24"/>
          <w:szCs w:val="24"/>
        </w:rPr>
        <w:t xml:space="preserve"> a leverage point for change. </w:t>
      </w:r>
      <w:r>
        <w:rPr>
          <w:rFonts w:ascii="Times New Roman" w:eastAsia="Times New Roman" w:hAnsi="Times New Roman" w:cs="Times New Roman"/>
          <w:sz w:val="24"/>
          <w:szCs w:val="24"/>
        </w:rPr>
        <w:t>Adaptation and mitigation efforts</w:t>
      </w:r>
      <w:r>
        <w:rPr>
          <w:rFonts w:ascii="Times New Roman" w:eastAsia="Times New Roman" w:hAnsi="Times New Roman" w:cs="Times New Roman"/>
          <w:color w:val="000000"/>
          <w:sz w:val="24"/>
          <w:szCs w:val="24"/>
        </w:rPr>
        <w:t xml:space="preserve"> may have reinforcing (or balancing) effects at one point of time and scale </w:t>
      </w:r>
      <w:r w:rsidR="00C323B1">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z w:val="24"/>
          <w:szCs w:val="24"/>
        </w:rPr>
        <w:t>e.g., an insurance company’s climate mitigation efforts that can support the adaptation efforts of other businesses in the area</w:t>
      </w:r>
      <w:r w:rsidR="00C323B1">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z w:val="24"/>
          <w:szCs w:val="24"/>
        </w:rPr>
        <w:t xml:space="preserve"> and across scales</w:t>
      </w:r>
      <w:r w:rsidR="000D1517">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z w:val="24"/>
          <w:szCs w:val="24"/>
        </w:rPr>
        <w:t xml:space="preserve"> </w:t>
      </w:r>
      <w:r w:rsidR="00C323B1">
        <w:rPr>
          <w:rFonts w:ascii="Times New Roman" w:eastAsia="Times New Roman" w:hAnsi="Times New Roman" w:cs="Times New Roman"/>
          <w:color w:val="000000"/>
          <w:sz w:val="24"/>
          <w:szCs w:val="24"/>
        </w:rPr>
        <w:t>(</w:t>
      </w:r>
      <w:r w:rsidR="000D1517">
        <w:rPr>
          <w:rFonts w:ascii="Times New Roman" w:eastAsia="Times New Roman" w:hAnsi="Times New Roman" w:cs="Times New Roman"/>
          <w:color w:val="000000"/>
          <w:sz w:val="24"/>
          <w:szCs w:val="24"/>
        </w:rPr>
        <w:t>e.g.</w:t>
      </w:r>
      <w:r>
        <w:rPr>
          <w:rFonts w:ascii="Times New Roman" w:eastAsia="Times New Roman" w:hAnsi="Times New Roman" w:cs="Times New Roman"/>
          <w:color w:val="000000"/>
          <w:sz w:val="24"/>
          <w:szCs w:val="24"/>
        </w:rPr>
        <w:t xml:space="preserve"> a city’s adaptation efforts in building dikes and rerouting water to prevent flooding, which can support a business’s mitigation efforts such as reusing water for production processes</w:t>
      </w:r>
      <w:r w:rsidR="00C323B1">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z w:val="24"/>
          <w:szCs w:val="24"/>
        </w:rPr>
        <w:t xml:space="preserve">. Researchers can zoom in and out </w:t>
      </w:r>
      <w:r>
        <w:rPr>
          <w:rFonts w:ascii="Times New Roman" w:eastAsia="Times New Roman" w:hAnsi="Times New Roman" w:cs="Times New Roman"/>
          <w:sz w:val="24"/>
          <w:szCs w:val="24"/>
        </w:rPr>
        <w:t>of</w:t>
      </w:r>
      <w:r>
        <w:rPr>
          <w:rFonts w:ascii="Times New Roman" w:eastAsia="Times New Roman" w:hAnsi="Times New Roman" w:cs="Times New Roman"/>
          <w:color w:val="000000"/>
          <w:sz w:val="24"/>
          <w:szCs w:val="24"/>
        </w:rPr>
        <w:t xml:space="preserve"> spatiotemporal scales to craft questions related to the relationship between adaptation and mitigation using a systems perspective. Table </w:t>
      </w:r>
      <w:r w:rsidR="000D1517">
        <w:rPr>
          <w:rFonts w:ascii="Times New Roman" w:eastAsia="Times New Roman" w:hAnsi="Times New Roman" w:cs="Times New Roman"/>
          <w:color w:val="000000"/>
          <w:sz w:val="24"/>
          <w:szCs w:val="24"/>
        </w:rPr>
        <w:t>II</w:t>
      </w:r>
      <w:r>
        <w:rPr>
          <w:rFonts w:ascii="Times New Roman" w:eastAsia="Times New Roman" w:hAnsi="Times New Roman" w:cs="Times New Roman"/>
          <w:color w:val="000000"/>
          <w:sz w:val="24"/>
          <w:szCs w:val="24"/>
        </w:rPr>
        <w:t xml:space="preserve"> provides illustrative research questions which can further this line of inquiry.</w:t>
      </w:r>
    </w:p>
    <w:p w14:paraId="00000039" w14:textId="77777777" w:rsidR="00EE6CE9" w:rsidRDefault="00EE6CE9">
      <w:pPr>
        <w:pBdr>
          <w:top w:val="nil"/>
          <w:left w:val="nil"/>
          <w:bottom w:val="nil"/>
          <w:right w:val="nil"/>
          <w:between w:val="nil"/>
        </w:pBdr>
        <w:spacing w:after="0" w:line="480" w:lineRule="auto"/>
        <w:jc w:val="center"/>
        <w:rPr>
          <w:rFonts w:ascii="Times New Roman" w:eastAsia="Times New Roman" w:hAnsi="Times New Roman" w:cs="Times New Roman"/>
          <w:b/>
          <w:color w:val="000000"/>
          <w:sz w:val="24"/>
          <w:szCs w:val="24"/>
        </w:rPr>
      </w:pPr>
    </w:p>
    <w:p w14:paraId="0000003A" w14:textId="5B43B960" w:rsidR="00EE6CE9" w:rsidRDefault="00364A95">
      <w:pPr>
        <w:pBdr>
          <w:top w:val="nil"/>
          <w:left w:val="nil"/>
          <w:bottom w:val="nil"/>
          <w:right w:val="nil"/>
          <w:between w:val="nil"/>
        </w:pBdr>
        <w:spacing w:after="0" w:line="480" w:lineRule="auto"/>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 xml:space="preserve">********** INSERT TABLE </w:t>
      </w:r>
      <w:r w:rsidR="00D02C52">
        <w:rPr>
          <w:rFonts w:ascii="Times New Roman" w:eastAsia="Times New Roman" w:hAnsi="Times New Roman" w:cs="Times New Roman"/>
          <w:b/>
          <w:color w:val="000000"/>
          <w:sz w:val="24"/>
          <w:szCs w:val="24"/>
        </w:rPr>
        <w:t>II</w:t>
      </w:r>
      <w:r>
        <w:rPr>
          <w:rFonts w:ascii="Times New Roman" w:eastAsia="Times New Roman" w:hAnsi="Times New Roman" w:cs="Times New Roman"/>
          <w:b/>
          <w:color w:val="000000"/>
          <w:sz w:val="24"/>
          <w:szCs w:val="24"/>
        </w:rPr>
        <w:t xml:space="preserve"> ABOUT HERE **********</w:t>
      </w:r>
    </w:p>
    <w:p w14:paraId="0000003B" w14:textId="77777777" w:rsidR="00EE6CE9" w:rsidRDefault="00EE6CE9">
      <w:pPr>
        <w:pBdr>
          <w:top w:val="nil"/>
          <w:left w:val="nil"/>
          <w:bottom w:val="nil"/>
          <w:right w:val="nil"/>
          <w:between w:val="nil"/>
        </w:pBdr>
        <w:spacing w:after="0" w:line="480" w:lineRule="auto"/>
        <w:rPr>
          <w:rFonts w:ascii="Times New Roman" w:eastAsia="Times New Roman" w:hAnsi="Times New Roman" w:cs="Times New Roman"/>
          <w:b/>
          <w:color w:val="000000"/>
          <w:sz w:val="24"/>
          <w:szCs w:val="24"/>
        </w:rPr>
      </w:pPr>
    </w:p>
    <w:p w14:paraId="0000003C" w14:textId="77777777" w:rsidR="00EE6CE9" w:rsidRDefault="00364A95">
      <w:pPr>
        <w:pBdr>
          <w:top w:val="nil"/>
          <w:left w:val="nil"/>
          <w:bottom w:val="nil"/>
          <w:right w:val="nil"/>
          <w:between w:val="nil"/>
        </w:pBdr>
        <w:spacing w:after="0" w:line="480" w:lineRule="auto"/>
        <w:rPr>
          <w:rFonts w:ascii="Times New Roman" w:eastAsia="Times New Roman" w:hAnsi="Times New Roman" w:cs="Times New Roman"/>
          <w:color w:val="000000"/>
          <w:sz w:val="24"/>
          <w:szCs w:val="24"/>
        </w:rPr>
      </w:pPr>
      <w:r>
        <w:rPr>
          <w:rFonts w:ascii="Times New Roman" w:eastAsia="Times New Roman" w:hAnsi="Times New Roman" w:cs="Times New Roman"/>
          <w:b/>
          <w:color w:val="000000"/>
          <w:sz w:val="24"/>
          <w:szCs w:val="24"/>
        </w:rPr>
        <w:t>How to adapt proactively: Exploring the role of time and space in climate change adaptation</w:t>
      </w:r>
    </w:p>
    <w:p w14:paraId="48E2DE7B" w14:textId="30D4EDF3" w:rsidR="00765364" w:rsidRDefault="00364A95" w:rsidP="00765364">
      <w:pPr>
        <w:pBdr>
          <w:top w:val="nil"/>
          <w:left w:val="nil"/>
          <w:bottom w:val="nil"/>
          <w:right w:val="nil"/>
          <w:between w:val="nil"/>
        </w:pBdr>
        <w:spacing w:after="0" w:line="48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Adaptation presents an interesting puzzle. At the surface, adaptation is reactive. An entity facing challenges related to climate change, adapts to address these challenges. However, not all adaptation </w:t>
      </w:r>
      <w:r w:rsidR="000D1517">
        <w:rPr>
          <w:rFonts w:ascii="Times New Roman" w:eastAsia="Times New Roman" w:hAnsi="Times New Roman" w:cs="Times New Roman"/>
          <w:color w:val="000000"/>
          <w:sz w:val="24"/>
          <w:szCs w:val="24"/>
        </w:rPr>
        <w:t>can</w:t>
      </w:r>
      <w:r>
        <w:rPr>
          <w:rFonts w:ascii="Times New Roman" w:eastAsia="Times New Roman" w:hAnsi="Times New Roman" w:cs="Times New Roman"/>
          <w:color w:val="000000"/>
          <w:sz w:val="24"/>
          <w:szCs w:val="24"/>
        </w:rPr>
        <w:t xml:space="preserve"> be reactive</w:t>
      </w:r>
      <w:r w:rsidR="00AB179D">
        <w:rPr>
          <w:rFonts w:ascii="Times New Roman" w:eastAsia="Times New Roman" w:hAnsi="Times New Roman" w:cs="Times New Roman"/>
          <w:color w:val="000000"/>
          <w:sz w:val="24"/>
          <w:szCs w:val="24"/>
        </w:rPr>
        <w:t>, given that climate change consequences are often time-lagged</w:t>
      </w:r>
      <w:r>
        <w:rPr>
          <w:rFonts w:ascii="Times New Roman" w:eastAsia="Times New Roman" w:hAnsi="Times New Roman" w:cs="Times New Roman"/>
          <w:color w:val="000000"/>
          <w:sz w:val="24"/>
          <w:szCs w:val="24"/>
        </w:rPr>
        <w:t>. Communities, cities, and businesses often adapt in anticipation of changes. As a result, we “need to be prepared for eventualities that may not even be conceived as possible under existing conditions, yet imaginable and plausible under others” (Gümüsay and Reinecke, 2024, p. 5). Adapting to eventualities (Feuls</w:t>
      </w:r>
      <w:r w:rsidR="0029001B">
        <w:rPr>
          <w:rFonts w:ascii="Times New Roman" w:eastAsia="Times New Roman" w:hAnsi="Times New Roman" w:cs="Times New Roman"/>
          <w:color w:val="000000"/>
          <w:sz w:val="24"/>
          <w:szCs w:val="24"/>
        </w:rPr>
        <w:t xml:space="preserve"> et al.</w:t>
      </w:r>
      <w:r>
        <w:rPr>
          <w:rFonts w:ascii="Times New Roman" w:eastAsia="Times New Roman" w:hAnsi="Times New Roman" w:cs="Times New Roman"/>
          <w:color w:val="000000"/>
          <w:sz w:val="24"/>
          <w:szCs w:val="24"/>
        </w:rPr>
        <w:t xml:space="preserve">, 2024) and possible or “desirable” (Gümüsay and Reinecke, 2024) futures that are yet to manifest is an interesting opportunity </w:t>
      </w:r>
      <w:r>
        <w:rPr>
          <w:rFonts w:ascii="Times New Roman" w:eastAsia="Times New Roman" w:hAnsi="Times New Roman" w:cs="Times New Roman"/>
          <w:color w:val="000000"/>
          <w:sz w:val="24"/>
          <w:szCs w:val="24"/>
        </w:rPr>
        <w:lastRenderedPageBreak/>
        <w:t>for theorizing the role of time and space in CCA.</w:t>
      </w:r>
      <w:r w:rsidR="00765364">
        <w:rPr>
          <w:rFonts w:ascii="Times New Roman" w:eastAsia="Times New Roman" w:hAnsi="Times New Roman" w:cs="Times New Roman"/>
          <w:color w:val="000000"/>
          <w:sz w:val="24"/>
          <w:szCs w:val="24"/>
        </w:rPr>
        <w:t xml:space="preserve"> </w:t>
      </w:r>
      <w:r w:rsidR="004A5C88">
        <w:rPr>
          <w:rFonts w:ascii="Times New Roman" w:eastAsia="Times New Roman" w:hAnsi="Times New Roman" w:cs="Times New Roman"/>
          <w:color w:val="000000"/>
          <w:sz w:val="24"/>
          <w:szCs w:val="24"/>
        </w:rPr>
        <w:t>On</w:t>
      </w:r>
      <w:r w:rsidR="000D1517">
        <w:rPr>
          <w:rFonts w:ascii="Times New Roman" w:eastAsia="Times New Roman" w:hAnsi="Times New Roman" w:cs="Times New Roman"/>
          <w:color w:val="000000"/>
          <w:sz w:val="24"/>
          <w:szCs w:val="24"/>
        </w:rPr>
        <w:t xml:space="preserve">e </w:t>
      </w:r>
      <w:r w:rsidR="00765364">
        <w:rPr>
          <w:rFonts w:ascii="Times New Roman" w:eastAsia="Times New Roman" w:hAnsi="Times New Roman" w:cs="Times New Roman"/>
          <w:color w:val="000000"/>
          <w:sz w:val="24"/>
          <w:szCs w:val="24"/>
        </w:rPr>
        <w:t>cannot</w:t>
      </w:r>
      <w:r w:rsidR="000D1517">
        <w:rPr>
          <w:rFonts w:ascii="Times New Roman" w:eastAsia="Times New Roman" w:hAnsi="Times New Roman" w:cs="Times New Roman"/>
          <w:color w:val="000000"/>
          <w:sz w:val="24"/>
          <w:szCs w:val="24"/>
        </w:rPr>
        <w:t xml:space="preserve"> always use the past to predict the future, and in some cases it is even harmful to </w:t>
      </w:r>
      <w:r w:rsidR="00AB179D">
        <w:rPr>
          <w:rFonts w:ascii="Times New Roman" w:eastAsia="Times New Roman" w:hAnsi="Times New Roman" w:cs="Times New Roman"/>
          <w:color w:val="000000"/>
          <w:sz w:val="24"/>
          <w:szCs w:val="24"/>
        </w:rPr>
        <w:t>attempt to do</w:t>
      </w:r>
      <w:r w:rsidR="000D1517">
        <w:rPr>
          <w:rFonts w:ascii="Times New Roman" w:eastAsia="Times New Roman" w:hAnsi="Times New Roman" w:cs="Times New Roman"/>
          <w:color w:val="000000"/>
          <w:sz w:val="24"/>
          <w:szCs w:val="24"/>
        </w:rPr>
        <w:t xml:space="preserve"> s</w:t>
      </w:r>
      <w:r w:rsidR="00AB179D">
        <w:rPr>
          <w:rFonts w:ascii="Times New Roman" w:eastAsia="Times New Roman" w:hAnsi="Times New Roman" w:cs="Times New Roman"/>
          <w:color w:val="000000"/>
          <w:sz w:val="24"/>
          <w:szCs w:val="24"/>
        </w:rPr>
        <w:t>o</w:t>
      </w:r>
      <w:r w:rsidR="00E02619">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z w:val="24"/>
          <w:szCs w:val="24"/>
        </w:rPr>
        <w:t xml:space="preserve">(Augustine </w:t>
      </w:r>
      <w:r w:rsidRPr="00737FE2">
        <w:rPr>
          <w:rFonts w:ascii="Times New Roman" w:eastAsia="Times New Roman" w:hAnsi="Times New Roman" w:cs="Times New Roman"/>
          <w:iCs/>
          <w:color w:val="000000"/>
          <w:sz w:val="24"/>
          <w:szCs w:val="24"/>
        </w:rPr>
        <w:t>et al</w:t>
      </w:r>
      <w:r>
        <w:rPr>
          <w:rFonts w:ascii="Times New Roman" w:eastAsia="Times New Roman" w:hAnsi="Times New Roman" w:cs="Times New Roman"/>
          <w:color w:val="000000"/>
          <w:sz w:val="24"/>
          <w:szCs w:val="24"/>
        </w:rPr>
        <w:t xml:space="preserve">., 2019). </w:t>
      </w:r>
    </w:p>
    <w:p w14:paraId="0000003E" w14:textId="0FE114AD" w:rsidR="00EE6CE9" w:rsidRDefault="00364A95">
      <w:pPr>
        <w:pBdr>
          <w:top w:val="nil"/>
          <w:left w:val="nil"/>
          <w:bottom w:val="nil"/>
          <w:right w:val="nil"/>
          <w:between w:val="nil"/>
        </w:pBdr>
        <w:spacing w:after="0" w:line="480" w:lineRule="auto"/>
        <w:ind w:firstLine="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In proactively adapting, businesses and other entities engage in adaptation as “anticipatory action” “foreseeing, foreshadowing, or forecasting future events (…) to engage with far-reaching societal challenges, such as the Anthropocene, climate change” (Flyverbom and Garsten, 2021, p. 1). The notion of proactive adaptation can open several new avenues of research around hope, dystopia (Hjerpe and Linnér, 2009), anticipation (Tavory and Eliasoph, 2013) and projection (Mische, 2014) related to CCA. For example, researchers may explore how adaptation looks different when business leaders hold an ontology of the future in which</w:t>
      </w:r>
      <w:r w:rsidR="00002F04">
        <w:rPr>
          <w:rFonts w:ascii="Times New Roman" w:eastAsia="Times New Roman" w:hAnsi="Times New Roman" w:cs="Times New Roman"/>
          <w:color w:val="000000"/>
          <w:sz w:val="24"/>
          <w:szCs w:val="24"/>
        </w:rPr>
        <w:t xml:space="preserve"> the</w:t>
      </w:r>
      <w:r>
        <w:rPr>
          <w:rFonts w:ascii="Times New Roman" w:eastAsia="Times New Roman" w:hAnsi="Times New Roman" w:cs="Times New Roman"/>
          <w:color w:val="000000"/>
          <w:sz w:val="24"/>
          <w:szCs w:val="24"/>
        </w:rPr>
        <w:t xml:space="preserve"> future can be predicted and controlled versus one in which </w:t>
      </w:r>
      <w:r w:rsidR="00002F04">
        <w:rPr>
          <w:rFonts w:ascii="Times New Roman" w:eastAsia="Times New Roman" w:hAnsi="Times New Roman" w:cs="Times New Roman"/>
          <w:color w:val="000000"/>
          <w:sz w:val="24"/>
          <w:szCs w:val="24"/>
        </w:rPr>
        <w:t xml:space="preserve">the </w:t>
      </w:r>
      <w:r>
        <w:rPr>
          <w:rFonts w:ascii="Times New Roman" w:eastAsia="Times New Roman" w:hAnsi="Times New Roman" w:cs="Times New Roman"/>
          <w:color w:val="000000"/>
          <w:sz w:val="24"/>
          <w:szCs w:val="24"/>
        </w:rPr>
        <w:t xml:space="preserve">future is co-constructed and imagined (Sharma </w:t>
      </w:r>
      <w:r w:rsidRPr="00737FE2">
        <w:rPr>
          <w:rFonts w:ascii="Times New Roman" w:eastAsia="Times New Roman" w:hAnsi="Times New Roman" w:cs="Times New Roman"/>
          <w:iCs/>
          <w:color w:val="000000"/>
          <w:sz w:val="24"/>
          <w:szCs w:val="24"/>
        </w:rPr>
        <w:t>et al.,</w:t>
      </w:r>
      <w:r>
        <w:rPr>
          <w:rFonts w:ascii="Times New Roman" w:eastAsia="Times New Roman" w:hAnsi="Times New Roman" w:cs="Times New Roman"/>
          <w:color w:val="000000"/>
          <w:sz w:val="24"/>
          <w:szCs w:val="24"/>
        </w:rPr>
        <w:t xml:space="preserve"> 2022; Wickert and Muzio, 2024), and how this may or may not be influenced by future-oriented scenarios of climate change </w:t>
      </w:r>
      <w:r>
        <w:rPr>
          <w:rFonts w:ascii="Times New Roman" w:eastAsia="Times New Roman" w:hAnsi="Times New Roman" w:cs="Times New Roman"/>
          <w:sz w:val="24"/>
          <w:szCs w:val="24"/>
        </w:rPr>
        <w:t>such as</w:t>
      </w:r>
      <w:r>
        <w:rPr>
          <w:rFonts w:ascii="Times New Roman" w:eastAsia="Times New Roman" w:hAnsi="Times New Roman" w:cs="Times New Roman"/>
          <w:color w:val="000000"/>
          <w:sz w:val="24"/>
          <w:szCs w:val="24"/>
        </w:rPr>
        <w:t xml:space="preserve"> global temperature projections that often span several decades (e.g., IPCC, 2023). </w:t>
      </w:r>
    </w:p>
    <w:p w14:paraId="0000003F" w14:textId="74EAE436" w:rsidR="00EE6CE9" w:rsidRPr="00737FE2" w:rsidRDefault="00364A95">
      <w:pPr>
        <w:pBdr>
          <w:top w:val="nil"/>
          <w:left w:val="nil"/>
          <w:bottom w:val="nil"/>
          <w:right w:val="nil"/>
          <w:between w:val="nil"/>
        </w:pBdr>
        <w:spacing w:after="0" w:line="480" w:lineRule="auto"/>
        <w:ind w:firstLine="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Similarly, place plays an important role in understanding adaptation, especially one that is proactive (Wilbanks, 2015). At first glance, mitigation is about actions and benefits that are global and nonexcludable, and adaptation is about actions and benefits that are local and contextual (Dolšak and Prakash, 2018). Proactive adaptation, instead, challenges this dichotomy. It asks us to look at adaptation as </w:t>
      </w:r>
      <w:r w:rsidR="00002F04">
        <w:rPr>
          <w:rFonts w:ascii="Times New Roman" w:eastAsia="Times New Roman" w:hAnsi="Times New Roman" w:cs="Times New Roman"/>
          <w:color w:val="000000"/>
          <w:sz w:val="24"/>
          <w:szCs w:val="24"/>
        </w:rPr>
        <w:t xml:space="preserve">a </w:t>
      </w:r>
      <w:r>
        <w:rPr>
          <w:rFonts w:ascii="Times New Roman" w:eastAsia="Times New Roman" w:hAnsi="Times New Roman" w:cs="Times New Roman"/>
          <w:color w:val="000000"/>
          <w:sz w:val="24"/>
          <w:szCs w:val="24"/>
        </w:rPr>
        <w:t>configuration of local and global approaches, where for instance globally devised solutions need to be adapted to the needs, resources, and affordances of local actors (</w:t>
      </w:r>
      <w:r w:rsidRPr="00737FE2">
        <w:rPr>
          <w:rFonts w:ascii="Times New Roman" w:eastAsia="Times New Roman" w:hAnsi="Times New Roman" w:cs="Times New Roman"/>
          <w:color w:val="000000"/>
          <w:sz w:val="24"/>
          <w:szCs w:val="24"/>
        </w:rPr>
        <w:t xml:space="preserve">Cutter et al., 2008) without losing the principles underlying the global approaches (Howard-Grenville and Spengler, 2022; Tashman and Rivera, 2016). </w:t>
      </w:r>
    </w:p>
    <w:p w14:paraId="00000040" w14:textId="004389AD" w:rsidR="00EE6CE9" w:rsidRDefault="00364A95">
      <w:pPr>
        <w:pBdr>
          <w:top w:val="nil"/>
          <w:left w:val="nil"/>
          <w:bottom w:val="nil"/>
          <w:right w:val="nil"/>
          <w:between w:val="nil"/>
        </w:pBdr>
        <w:spacing w:after="0" w:line="480" w:lineRule="auto"/>
        <w:ind w:firstLine="720"/>
        <w:rPr>
          <w:rFonts w:ascii="Times New Roman" w:eastAsia="Times New Roman" w:hAnsi="Times New Roman" w:cs="Times New Roman"/>
          <w:color w:val="000000"/>
          <w:sz w:val="24"/>
          <w:szCs w:val="24"/>
        </w:rPr>
      </w:pPr>
      <w:r w:rsidRPr="00737FE2">
        <w:rPr>
          <w:rFonts w:ascii="Times New Roman" w:eastAsia="Times New Roman" w:hAnsi="Times New Roman" w:cs="Times New Roman"/>
          <w:color w:val="000000"/>
          <w:sz w:val="24"/>
          <w:szCs w:val="24"/>
        </w:rPr>
        <w:t>Further, both the positive consequences of adaptation</w:t>
      </w:r>
      <w:r w:rsidR="00C323B1">
        <w:rPr>
          <w:rFonts w:ascii="Times New Roman" w:eastAsia="Times New Roman" w:hAnsi="Times New Roman" w:cs="Times New Roman"/>
          <w:color w:val="000000"/>
          <w:sz w:val="24"/>
          <w:szCs w:val="24"/>
        </w:rPr>
        <w:t xml:space="preserve"> (e.g.</w:t>
      </w:r>
      <w:r w:rsidRPr="00737FE2">
        <w:rPr>
          <w:rFonts w:ascii="Times New Roman" w:eastAsia="Times New Roman" w:hAnsi="Times New Roman" w:cs="Times New Roman"/>
          <w:color w:val="000000"/>
          <w:sz w:val="24"/>
          <w:szCs w:val="24"/>
        </w:rPr>
        <w:t xml:space="preserve"> on organizational resilience</w:t>
      </w:r>
      <w:r w:rsidR="00C323B1">
        <w:rPr>
          <w:rFonts w:ascii="Times New Roman" w:eastAsia="Times New Roman" w:hAnsi="Times New Roman" w:cs="Times New Roman"/>
          <w:color w:val="000000"/>
          <w:sz w:val="24"/>
          <w:szCs w:val="24"/>
        </w:rPr>
        <w:t>)</w:t>
      </w:r>
      <w:r w:rsidRPr="00737FE2">
        <w:rPr>
          <w:rFonts w:ascii="Times New Roman" w:eastAsia="Times New Roman" w:hAnsi="Times New Roman" w:cs="Times New Roman"/>
          <w:color w:val="000000"/>
          <w:sz w:val="24"/>
          <w:szCs w:val="24"/>
        </w:rPr>
        <w:t xml:space="preserve"> and the negative ones of maladaptation</w:t>
      </w:r>
      <w:r w:rsidR="00C323B1">
        <w:rPr>
          <w:rFonts w:ascii="Times New Roman" w:eastAsia="Times New Roman" w:hAnsi="Times New Roman" w:cs="Times New Roman"/>
          <w:color w:val="000000"/>
          <w:sz w:val="24"/>
          <w:szCs w:val="24"/>
        </w:rPr>
        <w:t xml:space="preserve"> (</w:t>
      </w:r>
      <w:r w:rsidR="00D26C17">
        <w:rPr>
          <w:rFonts w:ascii="Times New Roman" w:eastAsia="Times New Roman" w:hAnsi="Times New Roman" w:cs="Times New Roman"/>
          <w:color w:val="000000"/>
          <w:sz w:val="24"/>
          <w:szCs w:val="24"/>
        </w:rPr>
        <w:t>e.g.</w:t>
      </w:r>
      <w:r w:rsidRPr="00737FE2">
        <w:rPr>
          <w:rFonts w:ascii="Times New Roman" w:eastAsia="Times New Roman" w:hAnsi="Times New Roman" w:cs="Times New Roman"/>
          <w:color w:val="000000"/>
          <w:sz w:val="24"/>
          <w:szCs w:val="24"/>
        </w:rPr>
        <w:t xml:space="preserve"> increased exposure to climate change risks</w:t>
      </w:r>
      <w:r w:rsidR="00C323B1">
        <w:rPr>
          <w:rFonts w:ascii="Times New Roman" w:eastAsia="Times New Roman" w:hAnsi="Times New Roman" w:cs="Times New Roman"/>
          <w:color w:val="000000"/>
          <w:sz w:val="24"/>
          <w:szCs w:val="24"/>
        </w:rPr>
        <w:t>)</w:t>
      </w:r>
      <w:r w:rsidRPr="00737FE2">
        <w:rPr>
          <w:rFonts w:ascii="Times New Roman" w:eastAsia="Times New Roman" w:hAnsi="Times New Roman" w:cs="Times New Roman"/>
          <w:color w:val="000000"/>
          <w:sz w:val="24"/>
          <w:szCs w:val="24"/>
        </w:rPr>
        <w:t xml:space="preserve">, can accrue at different locations than where they have been implemented, given the interconnectedness and interdependency of ecological systems. For example, the developing </w:t>
      </w:r>
      <w:r w:rsidRPr="00737FE2">
        <w:rPr>
          <w:rFonts w:ascii="Times New Roman" w:eastAsia="Times New Roman" w:hAnsi="Times New Roman" w:cs="Times New Roman"/>
          <w:color w:val="000000"/>
          <w:sz w:val="24"/>
          <w:szCs w:val="24"/>
        </w:rPr>
        <w:lastRenderedPageBreak/>
        <w:t>world faces the brunt of climate related disasters such as water scarcity and natural disasters because of the lack of adaptation capabilities to navigate these disasters (e.g., Wickert et al., 2024). A study by The World Bank predicts that by 2050, 143 million people from the regions of Sub-Saharan Africa, South Asia, and Latin America will be displaced from their homes (Rigaud et al., 2018</w:t>
      </w:r>
      <w:r>
        <w:rPr>
          <w:rFonts w:ascii="Times New Roman" w:eastAsia="Times New Roman" w:hAnsi="Times New Roman" w:cs="Times New Roman"/>
          <w:color w:val="000000"/>
          <w:sz w:val="24"/>
          <w:szCs w:val="24"/>
        </w:rPr>
        <w:t>). However, the resources for adaptation lie in other parts of the world that are more developed, especially when it comes to adapting proactively because there is less immediate disaster, relatively speaking, facing the developed world. This mismatch between adaptation needs in one place and resources in another create several questions of equity and justice related to CCA, and challenge the dichotomies related to place in mitigation-adaptation.</w:t>
      </w:r>
    </w:p>
    <w:p w14:paraId="00000041" w14:textId="3EEA24F7" w:rsidR="00EE6CE9" w:rsidRDefault="00364A95">
      <w:pPr>
        <w:pBdr>
          <w:top w:val="nil"/>
          <w:left w:val="nil"/>
          <w:bottom w:val="nil"/>
          <w:right w:val="nil"/>
          <w:between w:val="nil"/>
        </w:pBdr>
        <w:spacing w:after="0" w:line="480" w:lineRule="auto"/>
        <w:ind w:firstLine="708"/>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In sum, future research should take as a theoretical anchor studies that have theorized </w:t>
      </w:r>
      <w:r w:rsidRPr="00737FE2">
        <w:rPr>
          <w:rFonts w:ascii="Times New Roman" w:eastAsia="Times New Roman" w:hAnsi="Times New Roman" w:cs="Times New Roman"/>
          <w:color w:val="000000"/>
          <w:sz w:val="24"/>
          <w:szCs w:val="24"/>
        </w:rPr>
        <w:t>how time (Bansal</w:t>
      </w:r>
      <w:r w:rsidR="00392EE5">
        <w:rPr>
          <w:rFonts w:ascii="Times New Roman" w:eastAsia="Times New Roman" w:hAnsi="Times New Roman" w:cs="Times New Roman"/>
          <w:color w:val="000000"/>
          <w:sz w:val="24"/>
          <w:szCs w:val="24"/>
        </w:rPr>
        <w:t>, Kim and Wood</w:t>
      </w:r>
      <w:r w:rsidRPr="00737FE2">
        <w:rPr>
          <w:rFonts w:ascii="Times New Roman" w:eastAsia="Times New Roman" w:hAnsi="Times New Roman" w:cs="Times New Roman"/>
          <w:color w:val="000000"/>
          <w:sz w:val="24"/>
          <w:szCs w:val="24"/>
        </w:rPr>
        <w:t xml:space="preserve">, 2018; Hernes et al., </w:t>
      </w:r>
      <w:r w:rsidR="0029001B">
        <w:rPr>
          <w:rFonts w:ascii="Times New Roman" w:eastAsia="Times New Roman" w:hAnsi="Times New Roman" w:cs="Times New Roman"/>
          <w:color w:val="000000"/>
          <w:sz w:val="24"/>
          <w:szCs w:val="24"/>
        </w:rPr>
        <w:t>2025</w:t>
      </w:r>
      <w:r w:rsidRPr="00737FE2">
        <w:rPr>
          <w:rFonts w:ascii="Times New Roman" w:eastAsia="Times New Roman" w:hAnsi="Times New Roman" w:cs="Times New Roman"/>
          <w:color w:val="000000"/>
          <w:sz w:val="24"/>
          <w:szCs w:val="24"/>
        </w:rPr>
        <w:t>), space (Nyberg et al., 2022; Stephenson et al., 2020; Whiteman and Cooper, 2011), as well as imaginaries of desirable futures (e.g., Gümüsay and Reinecke, 2024; Wenzel et al., 2020</w:t>
      </w:r>
      <w:r>
        <w:rPr>
          <w:rFonts w:ascii="Times New Roman" w:eastAsia="Times New Roman" w:hAnsi="Times New Roman" w:cs="Times New Roman"/>
          <w:color w:val="000000"/>
          <w:sz w:val="24"/>
          <w:szCs w:val="24"/>
        </w:rPr>
        <w:t xml:space="preserve">) influence how actors see and make sense of phenomena, and how this influences the adaptation solutions they devise. Time and space could also be integrated into the exploration of how adaptation solutions are designed such that they incorporate the temporal and spatial separation of actions and outcomes, and the general difficulty </w:t>
      </w:r>
      <w:r w:rsidR="00002F04">
        <w:rPr>
          <w:rFonts w:ascii="Times New Roman" w:eastAsia="Times New Roman" w:hAnsi="Times New Roman" w:cs="Times New Roman"/>
          <w:color w:val="000000"/>
          <w:sz w:val="24"/>
          <w:szCs w:val="24"/>
        </w:rPr>
        <w:t>of establishing</w:t>
      </w:r>
      <w:r>
        <w:rPr>
          <w:rFonts w:ascii="Times New Roman" w:eastAsia="Times New Roman" w:hAnsi="Times New Roman" w:cs="Times New Roman"/>
          <w:color w:val="000000"/>
          <w:sz w:val="24"/>
          <w:szCs w:val="24"/>
        </w:rPr>
        <w:t xml:space="preserve"> clear cause-effect relationships between CCA efforts and outcomes. Table </w:t>
      </w:r>
      <w:r w:rsidR="00392EE5">
        <w:rPr>
          <w:rFonts w:ascii="Times New Roman" w:eastAsia="Times New Roman" w:hAnsi="Times New Roman" w:cs="Times New Roman"/>
          <w:color w:val="000000"/>
          <w:sz w:val="24"/>
          <w:szCs w:val="24"/>
        </w:rPr>
        <w:t>II</w:t>
      </w:r>
      <w:r>
        <w:rPr>
          <w:rFonts w:ascii="Times New Roman" w:eastAsia="Times New Roman" w:hAnsi="Times New Roman" w:cs="Times New Roman"/>
          <w:color w:val="000000"/>
          <w:sz w:val="24"/>
          <w:szCs w:val="24"/>
        </w:rPr>
        <w:t xml:space="preserve"> provides additional illustrative research questions which can further this line of inquiry.</w:t>
      </w:r>
    </w:p>
    <w:p w14:paraId="00000042" w14:textId="77777777" w:rsidR="00EE6CE9" w:rsidRDefault="00EE6CE9">
      <w:pPr>
        <w:pBdr>
          <w:top w:val="nil"/>
          <w:left w:val="nil"/>
          <w:bottom w:val="nil"/>
          <w:right w:val="nil"/>
          <w:between w:val="nil"/>
        </w:pBdr>
        <w:spacing w:after="0" w:line="480" w:lineRule="auto"/>
        <w:rPr>
          <w:rFonts w:ascii="Times New Roman" w:eastAsia="Times New Roman" w:hAnsi="Times New Roman" w:cs="Times New Roman"/>
          <w:b/>
          <w:color w:val="000000"/>
          <w:sz w:val="24"/>
          <w:szCs w:val="24"/>
        </w:rPr>
      </w:pPr>
    </w:p>
    <w:p w14:paraId="00000043" w14:textId="77777777" w:rsidR="00EE6CE9" w:rsidRDefault="00364A95">
      <w:pPr>
        <w:pBdr>
          <w:top w:val="nil"/>
          <w:left w:val="nil"/>
          <w:bottom w:val="nil"/>
          <w:right w:val="nil"/>
          <w:between w:val="nil"/>
        </w:pBdr>
        <w:spacing w:after="0" w:line="480" w:lineRule="auto"/>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How climate change adaptation can be both risk and opportunity</w:t>
      </w:r>
    </w:p>
    <w:p w14:paraId="00000044" w14:textId="251AEF0D" w:rsidR="00EE6CE9" w:rsidRDefault="00364A95">
      <w:pPr>
        <w:spacing w:after="0" w:line="48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CCA is often seen </w:t>
      </w:r>
      <w:r>
        <w:rPr>
          <w:rFonts w:ascii="Times New Roman" w:eastAsia="Times New Roman" w:hAnsi="Times New Roman" w:cs="Times New Roman"/>
          <w:sz w:val="24"/>
          <w:szCs w:val="24"/>
        </w:rPr>
        <w:t>as a strategic</w:t>
      </w:r>
      <w:r>
        <w:rPr>
          <w:rFonts w:ascii="Times New Roman" w:eastAsia="Times New Roman" w:hAnsi="Times New Roman" w:cs="Times New Roman"/>
          <w:color w:val="000000"/>
          <w:sz w:val="24"/>
          <w:szCs w:val="24"/>
        </w:rPr>
        <w:t xml:space="preserve"> action for managing risk. Yet, the complexities related to CCA can help researchers tug at the separation between risk and opportunities (Simonet and Fatoric, 2016). This, in turn, </w:t>
      </w:r>
      <w:r w:rsidR="00002F04">
        <w:rPr>
          <w:rFonts w:ascii="Times New Roman" w:eastAsia="Times New Roman" w:hAnsi="Times New Roman" w:cs="Times New Roman"/>
          <w:color w:val="000000"/>
          <w:sz w:val="24"/>
          <w:szCs w:val="24"/>
        </w:rPr>
        <w:t>c</w:t>
      </w:r>
      <w:r>
        <w:rPr>
          <w:rFonts w:ascii="Times New Roman" w:eastAsia="Times New Roman" w:hAnsi="Times New Roman" w:cs="Times New Roman"/>
          <w:color w:val="000000"/>
          <w:sz w:val="24"/>
          <w:szCs w:val="24"/>
        </w:rPr>
        <w:t xml:space="preserve">ould speak to a variety of scholars interested not only in how to </w:t>
      </w:r>
      <w:r>
        <w:rPr>
          <w:rFonts w:ascii="Times New Roman" w:eastAsia="Times New Roman" w:hAnsi="Times New Roman" w:cs="Times New Roman"/>
          <w:color w:val="000000"/>
          <w:sz w:val="24"/>
          <w:szCs w:val="24"/>
        </w:rPr>
        <w:lastRenderedPageBreak/>
        <w:t xml:space="preserve">tackle grand challenges linked for instance to circular economy or business model innovation (Averina, Frishammar and Parida, </w:t>
      </w:r>
      <w:r w:rsidR="00396A0E">
        <w:rPr>
          <w:rFonts w:ascii="Times New Roman" w:eastAsia="Times New Roman" w:hAnsi="Times New Roman" w:cs="Times New Roman"/>
          <w:color w:val="000000"/>
          <w:sz w:val="24"/>
          <w:szCs w:val="24"/>
        </w:rPr>
        <w:t>2022</w:t>
      </w:r>
      <w:r>
        <w:rPr>
          <w:rFonts w:ascii="Times New Roman" w:eastAsia="Times New Roman" w:hAnsi="Times New Roman" w:cs="Times New Roman"/>
          <w:color w:val="000000"/>
          <w:sz w:val="24"/>
          <w:szCs w:val="24"/>
        </w:rPr>
        <w:t xml:space="preserve">; Murray, Skene, and Haynes, 2017; Yang </w:t>
      </w:r>
      <w:r w:rsidRPr="00737FE2">
        <w:rPr>
          <w:rFonts w:ascii="Times New Roman" w:eastAsia="Times New Roman" w:hAnsi="Times New Roman" w:cs="Times New Roman"/>
          <w:iCs/>
          <w:color w:val="000000"/>
          <w:sz w:val="24"/>
          <w:szCs w:val="24"/>
        </w:rPr>
        <w:t>et al., 2023), but more generally in examining the complexity of what organizational scholars define as wicked problems (Grewatsch</w:t>
      </w:r>
      <w:r w:rsidR="00392EE5">
        <w:rPr>
          <w:rFonts w:ascii="Times New Roman" w:eastAsia="Times New Roman" w:hAnsi="Times New Roman" w:cs="Times New Roman"/>
          <w:iCs/>
          <w:color w:val="000000"/>
          <w:sz w:val="24"/>
          <w:szCs w:val="24"/>
        </w:rPr>
        <w:t>, Kennedy and Bansal</w:t>
      </w:r>
      <w:r w:rsidRPr="00737FE2">
        <w:rPr>
          <w:rFonts w:ascii="Times New Roman" w:eastAsia="Times New Roman" w:hAnsi="Times New Roman" w:cs="Times New Roman"/>
          <w:iCs/>
          <w:color w:val="000000"/>
          <w:sz w:val="24"/>
          <w:szCs w:val="24"/>
        </w:rPr>
        <w:t>,</w:t>
      </w:r>
      <w:r>
        <w:rPr>
          <w:rFonts w:ascii="Times New Roman" w:eastAsia="Times New Roman" w:hAnsi="Times New Roman" w:cs="Times New Roman"/>
          <w:color w:val="000000"/>
          <w:sz w:val="24"/>
          <w:szCs w:val="24"/>
        </w:rPr>
        <w:t xml:space="preserve"> 2023; Jarzabkowski</w:t>
      </w:r>
      <w:r w:rsidR="0029001B">
        <w:rPr>
          <w:rFonts w:ascii="Times New Roman" w:eastAsia="Times New Roman" w:hAnsi="Times New Roman" w:cs="Times New Roman"/>
          <w:color w:val="000000"/>
          <w:sz w:val="24"/>
          <w:szCs w:val="24"/>
        </w:rPr>
        <w:t xml:space="preserve"> et al.</w:t>
      </w:r>
      <w:r>
        <w:rPr>
          <w:rFonts w:ascii="Times New Roman" w:eastAsia="Times New Roman" w:hAnsi="Times New Roman" w:cs="Times New Roman"/>
          <w:color w:val="000000"/>
          <w:sz w:val="24"/>
          <w:szCs w:val="24"/>
        </w:rPr>
        <w:t>, 201</w:t>
      </w:r>
      <w:r w:rsidR="0029001B">
        <w:rPr>
          <w:rFonts w:ascii="Times New Roman" w:eastAsia="Times New Roman" w:hAnsi="Times New Roman" w:cs="Times New Roman"/>
          <w:color w:val="000000"/>
          <w:sz w:val="24"/>
          <w:szCs w:val="24"/>
        </w:rPr>
        <w:t>9</w:t>
      </w:r>
      <w:r>
        <w:rPr>
          <w:rFonts w:ascii="Times New Roman" w:eastAsia="Times New Roman" w:hAnsi="Times New Roman" w:cs="Times New Roman"/>
          <w:color w:val="000000"/>
          <w:sz w:val="24"/>
          <w:szCs w:val="24"/>
        </w:rPr>
        <w:t>; Reinecke and Ansari, 2016).</w:t>
      </w:r>
    </w:p>
    <w:p w14:paraId="00000045" w14:textId="59F42619" w:rsidR="00EE6CE9" w:rsidRDefault="00364A95">
      <w:pPr>
        <w:spacing w:after="0" w:line="480" w:lineRule="auto"/>
        <w:ind w:firstLine="708"/>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As a first pathway toward examining CCA as both risk and opportunity, we suggest future research to examine how the physical and social impacts of climate change affect organizations directly, for example by threatening their business models, as well as indirectly, as their value chains and global production networks also grapple with similar challenges. Within this context, adopting a circular approach to managing value chains – that is, one driven by a logic whereby value creation utilizes economic value retained in products after their focal use</w:t>
      </w:r>
      <w:r w:rsidR="005C77D1">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z w:val="24"/>
          <w:szCs w:val="24"/>
        </w:rPr>
        <w:t>– may help mitigate risks and foster innovation (De</w:t>
      </w:r>
      <w:r w:rsidR="00392EE5">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z w:val="24"/>
          <w:szCs w:val="24"/>
        </w:rPr>
        <w:t>Angeli</w:t>
      </w:r>
      <w:r w:rsidR="00392EE5">
        <w:rPr>
          <w:rFonts w:ascii="Times New Roman" w:eastAsia="Times New Roman" w:hAnsi="Times New Roman" w:cs="Times New Roman"/>
          <w:color w:val="000000"/>
          <w:sz w:val="24"/>
          <w:szCs w:val="24"/>
        </w:rPr>
        <w:t>s</w:t>
      </w:r>
      <w:r>
        <w:rPr>
          <w:rFonts w:ascii="Times New Roman" w:eastAsia="Times New Roman" w:hAnsi="Times New Roman" w:cs="Times New Roman"/>
          <w:color w:val="000000"/>
          <w:sz w:val="24"/>
          <w:szCs w:val="24"/>
        </w:rPr>
        <w:t xml:space="preserve">, 2021; </w:t>
      </w:r>
      <w:r w:rsidRPr="00737FE2">
        <w:rPr>
          <w:rFonts w:ascii="Times New Roman" w:eastAsia="Times New Roman" w:hAnsi="Times New Roman" w:cs="Times New Roman"/>
          <w:color w:val="000000"/>
          <w:sz w:val="24"/>
          <w:szCs w:val="24"/>
        </w:rPr>
        <w:t>Suchek et al., 2021). In terms of risk management, circular economy can help a business adapt to the increasing volatility of raw materials prices (Heyes et al., 2018), select resilient suppliers, or (co-)invest with other value chain actors in infrastructures that can protect assets from climate change (Averchenkova et al., 2016). In terms of opportunity, circular economy opens an industry to a new set of practices and business models (Cantzler et al.,</w:t>
      </w:r>
      <w:r>
        <w:rPr>
          <w:rFonts w:ascii="Times New Roman" w:eastAsia="Times New Roman" w:hAnsi="Times New Roman" w:cs="Times New Roman"/>
          <w:color w:val="000000"/>
          <w:sz w:val="24"/>
          <w:szCs w:val="24"/>
        </w:rPr>
        <w:t xml:space="preserve"> 2020). For example, it allows for entry of new players into the value chain</w:t>
      </w:r>
      <w:r w:rsidR="005C77D1">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z w:val="24"/>
          <w:szCs w:val="24"/>
        </w:rPr>
        <w:t xml:space="preserve"> such as the company Captain Fresh, which helps minimize the spoilage of seafood shipments and connects different players that can foster the seafood industry’s circularity (Shum, Jeong and Chen, 2022). Future research can investigate how value chain processes enact CCA strategies to foster new innovations and adaptive business models</w:t>
      </w:r>
      <w:r w:rsidR="005C77D1">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z w:val="24"/>
          <w:szCs w:val="24"/>
        </w:rPr>
        <w:t xml:space="preserve"> as well as production networks</w:t>
      </w:r>
      <w:r w:rsidR="005C77D1">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z w:val="24"/>
          <w:szCs w:val="24"/>
        </w:rPr>
        <w:t xml:space="preserve"> on the way to adapting to climate risks. </w:t>
      </w:r>
    </w:p>
    <w:p w14:paraId="00000046" w14:textId="0A9A9885" w:rsidR="00EE6CE9" w:rsidRDefault="00364A95">
      <w:pPr>
        <w:spacing w:after="0" w:line="480" w:lineRule="auto"/>
        <w:rPr>
          <w:rFonts w:ascii="Times New Roman" w:eastAsia="Times New Roman" w:hAnsi="Times New Roman" w:cs="Times New Roman"/>
          <w:sz w:val="24"/>
          <w:szCs w:val="24"/>
        </w:rPr>
      </w:pPr>
      <w:bookmarkStart w:id="0" w:name="_heading=h.30j0zll" w:colFirst="0" w:colLast="0"/>
      <w:bookmarkEnd w:id="0"/>
      <w:r>
        <w:rPr>
          <w:rFonts w:ascii="Times New Roman" w:eastAsia="Times New Roman" w:hAnsi="Times New Roman" w:cs="Times New Roman"/>
          <w:sz w:val="24"/>
          <w:szCs w:val="24"/>
        </w:rPr>
        <w:tab/>
        <w:t xml:space="preserve"> A second pathway through which businesses engage in CCA and can break the dichotomy between risk and opportunity is by involving a variety of actors within and outside </w:t>
      </w:r>
      <w:r>
        <w:rPr>
          <w:rFonts w:ascii="Times New Roman" w:eastAsia="Times New Roman" w:hAnsi="Times New Roman" w:cs="Times New Roman"/>
          <w:sz w:val="24"/>
          <w:szCs w:val="24"/>
        </w:rPr>
        <w:lastRenderedPageBreak/>
        <w:t>their organizations (Bendito and Barrio</w:t>
      </w:r>
      <w:r w:rsidR="00392EE5">
        <w:rPr>
          <w:rFonts w:ascii="Times New Roman" w:eastAsia="Times New Roman" w:hAnsi="Times New Roman" w:cs="Times New Roman"/>
          <w:sz w:val="24"/>
          <w:szCs w:val="24"/>
        </w:rPr>
        <w:t>s</w:t>
      </w:r>
      <w:r>
        <w:rPr>
          <w:rFonts w:ascii="Times New Roman" w:eastAsia="Times New Roman" w:hAnsi="Times New Roman" w:cs="Times New Roman"/>
          <w:sz w:val="24"/>
          <w:szCs w:val="24"/>
        </w:rPr>
        <w:t xml:space="preserve">, 2016; Stablein </w:t>
      </w:r>
      <w:r w:rsidRPr="00737FE2">
        <w:rPr>
          <w:rFonts w:ascii="Times New Roman" w:eastAsia="Times New Roman" w:hAnsi="Times New Roman" w:cs="Times New Roman"/>
          <w:iCs/>
          <w:sz w:val="24"/>
          <w:szCs w:val="24"/>
        </w:rPr>
        <w:t>et al., 2022). Within the organization, Linnenluecke</w:t>
      </w:r>
      <w:r w:rsidR="00392EE5">
        <w:rPr>
          <w:rFonts w:ascii="Times New Roman" w:eastAsia="Times New Roman" w:hAnsi="Times New Roman" w:cs="Times New Roman"/>
          <w:iCs/>
          <w:sz w:val="24"/>
          <w:szCs w:val="24"/>
        </w:rPr>
        <w:t xml:space="preserve">, Griffiths and Winn </w:t>
      </w:r>
      <w:r w:rsidRPr="00737FE2">
        <w:rPr>
          <w:rFonts w:ascii="Times New Roman" w:eastAsia="Times New Roman" w:hAnsi="Times New Roman" w:cs="Times New Roman"/>
          <w:iCs/>
          <w:sz w:val="24"/>
          <w:szCs w:val="24"/>
        </w:rPr>
        <w:t>(2013) suggest that key decision makers such as executives</w:t>
      </w:r>
      <w:r w:rsidR="005C77D1">
        <w:rPr>
          <w:rFonts w:ascii="Times New Roman" w:eastAsia="Times New Roman" w:hAnsi="Times New Roman" w:cs="Times New Roman"/>
          <w:iCs/>
          <w:sz w:val="24"/>
          <w:szCs w:val="24"/>
        </w:rPr>
        <w:t xml:space="preserve"> and</w:t>
      </w:r>
      <w:r w:rsidRPr="00737FE2">
        <w:rPr>
          <w:rFonts w:ascii="Times New Roman" w:eastAsia="Times New Roman" w:hAnsi="Times New Roman" w:cs="Times New Roman"/>
          <w:iCs/>
          <w:sz w:val="24"/>
          <w:szCs w:val="24"/>
        </w:rPr>
        <w:t xml:space="preserve"> managers, along with change agents at lower organizational levels</w:t>
      </w:r>
      <w:r w:rsidR="005C77D1">
        <w:rPr>
          <w:rFonts w:ascii="Times New Roman" w:eastAsia="Times New Roman" w:hAnsi="Times New Roman" w:cs="Times New Roman"/>
          <w:iCs/>
          <w:sz w:val="24"/>
          <w:szCs w:val="24"/>
        </w:rPr>
        <w:t>,</w:t>
      </w:r>
      <w:r w:rsidRPr="00737FE2">
        <w:rPr>
          <w:rFonts w:ascii="Times New Roman" w:eastAsia="Times New Roman" w:hAnsi="Times New Roman" w:cs="Times New Roman"/>
          <w:iCs/>
          <w:sz w:val="24"/>
          <w:szCs w:val="24"/>
        </w:rPr>
        <w:t xml:space="preserve"> can influence a company’s pro-environmental behaviour (e.g., Heucher et al., </w:t>
      </w:r>
      <w:r>
        <w:rPr>
          <w:rFonts w:ascii="Times New Roman" w:eastAsia="Times New Roman" w:hAnsi="Times New Roman" w:cs="Times New Roman"/>
          <w:sz w:val="24"/>
          <w:szCs w:val="24"/>
        </w:rPr>
        <w:t xml:space="preserve">2024; Wickert and de Bakker, 2018). Cross-functional teams, for example, are uniquely suited to traverse risks and identify opportunities in CCA. The variety of skill sets of individual actors, and the diversity in their points of view can help identify current and potential risks related to CCA. The differences and even contradictions in their interests and focus can be generative in identifying new opportunities related to CCA. </w:t>
      </w:r>
    </w:p>
    <w:p w14:paraId="00000047" w14:textId="1218F74E" w:rsidR="00EE6CE9" w:rsidRDefault="00364A95">
      <w:pPr>
        <w:spacing w:after="0" w:line="480" w:lineRule="auto"/>
        <w:ind w:firstLine="708"/>
        <w:rPr>
          <w:rFonts w:ascii="Times New Roman" w:eastAsia="Times New Roman" w:hAnsi="Times New Roman" w:cs="Times New Roman"/>
          <w:sz w:val="24"/>
          <w:szCs w:val="24"/>
        </w:rPr>
      </w:pPr>
      <w:r>
        <w:rPr>
          <w:rFonts w:ascii="Times New Roman" w:eastAsia="Times New Roman" w:hAnsi="Times New Roman" w:cs="Times New Roman"/>
          <w:sz w:val="24"/>
          <w:szCs w:val="24"/>
        </w:rPr>
        <w:t>Outside the organization, climate change affects an organization’s primary and secondary stakeholders, for example by threatening critical infrastructure or community wellbeing. A CCA response from a business requires infrastructure investment but the benefit is accrued by all, yielding a collective action problem (Ostrom, 2010). For example, electric vehicles are an adaptive response to emissions from the car industry. And yet, no one actor is fully incentivized to invest in the charging infrastructure because costs are singular while benefits are shared. To navigate such problems, CCA efforts will require private sector investments in public goods</w:t>
      </w:r>
      <w:r w:rsidR="005C77D1">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such as in infrastructure, and public sector investment in private innovations</w:t>
      </w:r>
      <w:r w:rsidR="005C77D1">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such as those related to electric vehicles. To illustrate, Finnish SME</w:t>
      </w:r>
      <w:r w:rsidR="005C77D1">
        <w:rPr>
          <w:rFonts w:ascii="Times New Roman" w:eastAsia="Times New Roman" w:hAnsi="Times New Roman" w:cs="Times New Roman"/>
          <w:sz w:val="24"/>
          <w:szCs w:val="24"/>
        </w:rPr>
        <w:t>’</w:t>
      </w:r>
      <w:r>
        <w:rPr>
          <w:rFonts w:ascii="Times New Roman" w:eastAsia="Times New Roman" w:hAnsi="Times New Roman" w:cs="Times New Roman"/>
          <w:sz w:val="24"/>
          <w:szCs w:val="24"/>
        </w:rPr>
        <w:t>s are transitioning to circular bioeconomy through innovative business models such as ‘creating value from waste’ or ‘developing scale-up solutions’. However, circular products and services are yet not profitable. Policies such as financial stimulation or technological modernization are needed to address such “hard barriers” (D’Amato, Veijon</w:t>
      </w:r>
      <w:r w:rsidR="00E3655B">
        <w:rPr>
          <w:rFonts w:ascii="Times New Roman" w:eastAsia="Times New Roman" w:hAnsi="Times New Roman" w:cs="Times New Roman"/>
          <w:sz w:val="24"/>
          <w:szCs w:val="24"/>
        </w:rPr>
        <w:t>ah</w:t>
      </w:r>
      <w:r>
        <w:rPr>
          <w:rFonts w:ascii="Times New Roman" w:eastAsia="Times New Roman" w:hAnsi="Times New Roman" w:cs="Times New Roman"/>
          <w:sz w:val="24"/>
          <w:szCs w:val="24"/>
        </w:rPr>
        <w:t>o and Toppinen, 2020, p. 8). Such public-private response to CCA lends itself to important questions for future research</w:t>
      </w:r>
      <w:r w:rsidR="005C77D1">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such as examining the tensions and interplay between private </w:t>
      </w:r>
      <w:r>
        <w:rPr>
          <w:rFonts w:ascii="Times New Roman" w:eastAsia="Times New Roman" w:hAnsi="Times New Roman" w:cs="Times New Roman"/>
          <w:sz w:val="24"/>
          <w:szCs w:val="24"/>
        </w:rPr>
        <w:lastRenderedPageBreak/>
        <w:t xml:space="preserve">and public interests in managing the risks and opportunities associated with CCA (e.g., Kourula </w:t>
      </w:r>
      <w:r w:rsidRPr="00737FE2">
        <w:rPr>
          <w:rFonts w:ascii="Times New Roman" w:eastAsia="Times New Roman" w:hAnsi="Times New Roman" w:cs="Times New Roman"/>
          <w:iCs/>
          <w:sz w:val="24"/>
          <w:szCs w:val="24"/>
        </w:rPr>
        <w:t>et al</w:t>
      </w:r>
      <w:r>
        <w:rPr>
          <w:rFonts w:ascii="Times New Roman" w:eastAsia="Times New Roman" w:hAnsi="Times New Roman" w:cs="Times New Roman"/>
          <w:sz w:val="24"/>
          <w:szCs w:val="24"/>
        </w:rPr>
        <w:t>., 2019).</w:t>
      </w:r>
    </w:p>
    <w:p w14:paraId="00000048" w14:textId="2879B7E3" w:rsidR="00EE6CE9" w:rsidRDefault="00364A95">
      <w:pPr>
        <w:spacing w:after="0" w:line="480" w:lineRule="auto"/>
        <w:rPr>
          <w:rFonts w:ascii="Times New Roman" w:eastAsia="Times New Roman" w:hAnsi="Times New Roman" w:cs="Times New Roman"/>
          <w:b/>
          <w:color w:val="000000"/>
          <w:sz w:val="24"/>
          <w:szCs w:val="24"/>
        </w:rPr>
      </w:pPr>
      <w:r>
        <w:rPr>
          <w:rFonts w:ascii="Times New Roman" w:eastAsia="Times New Roman" w:hAnsi="Times New Roman" w:cs="Times New Roman"/>
          <w:sz w:val="24"/>
          <w:szCs w:val="24"/>
        </w:rPr>
        <w:tab/>
        <w:t xml:space="preserve">Sustainable business models constitute a third pathway that we contend can facilitate bridging the divide between conceiving adaptation as a risk or an opportunity. First, efforts toward CCA can encourage organizations to interrogate how their existing business models capture and create value or avoid risk. In so doing, organizations may have to balance ecological demands with elements of strategy, structure, and procedures (Obel and Kallehave, 2022). Such new calibration could potentially create synergies between CCA demands and business model elements that yield new and more adaptive business models (Schaltegger and Wagner, 2011). Second, the conventional understanding of business models as being centred on individual firms can be elevated towards a more pluralistic conception of the term, one that </w:t>
      </w:r>
      <w:r w:rsidR="005C77D1">
        <w:rPr>
          <w:rFonts w:ascii="Times New Roman" w:eastAsia="Times New Roman" w:hAnsi="Times New Roman" w:cs="Times New Roman"/>
          <w:sz w:val="24"/>
          <w:szCs w:val="24"/>
        </w:rPr>
        <w:t xml:space="preserve">opens up </w:t>
      </w:r>
      <w:r w:rsidR="00A91DAD">
        <w:rPr>
          <w:rFonts w:ascii="Times New Roman" w:eastAsia="Times New Roman" w:hAnsi="Times New Roman" w:cs="Times New Roman"/>
          <w:sz w:val="24"/>
          <w:szCs w:val="24"/>
        </w:rPr>
        <w:t>a discussion on</w:t>
      </w:r>
      <w:r>
        <w:rPr>
          <w:rFonts w:ascii="Times New Roman" w:eastAsia="Times New Roman" w:hAnsi="Times New Roman" w:cs="Times New Roman"/>
          <w:sz w:val="24"/>
          <w:szCs w:val="24"/>
        </w:rPr>
        <w:t xml:space="preserve"> how multiple firms </w:t>
      </w:r>
      <w:r w:rsidR="00A91DAD">
        <w:rPr>
          <w:rFonts w:ascii="Times New Roman" w:eastAsia="Times New Roman" w:hAnsi="Times New Roman" w:cs="Times New Roman"/>
          <w:sz w:val="24"/>
          <w:szCs w:val="24"/>
        </w:rPr>
        <w:t xml:space="preserve">might </w:t>
      </w:r>
      <w:r>
        <w:rPr>
          <w:rFonts w:ascii="Times New Roman" w:eastAsia="Times New Roman" w:hAnsi="Times New Roman" w:cs="Times New Roman"/>
          <w:sz w:val="24"/>
          <w:szCs w:val="24"/>
        </w:rPr>
        <w:t>align to create value in inter-organisational contexts (Falcke et al., 2024</w:t>
      </w:r>
      <w:r w:rsidR="0090305B">
        <w:rPr>
          <w:rFonts w:ascii="Times New Roman" w:eastAsia="Times New Roman" w:hAnsi="Times New Roman" w:cs="Times New Roman"/>
          <w:sz w:val="24"/>
          <w:szCs w:val="24"/>
        </w:rPr>
        <w:t xml:space="preserve">; </w:t>
      </w:r>
      <w:r w:rsidR="0090305B" w:rsidRPr="0090305B">
        <w:rPr>
          <w:rFonts w:ascii="Times New Roman" w:eastAsia="Times New Roman" w:hAnsi="Times New Roman" w:cs="Times New Roman"/>
          <w:sz w:val="24"/>
          <w:szCs w:val="24"/>
        </w:rPr>
        <w:t>Sabaruddin</w:t>
      </w:r>
      <w:r w:rsidR="00E3655B">
        <w:rPr>
          <w:rFonts w:ascii="Times New Roman" w:eastAsia="Times New Roman" w:hAnsi="Times New Roman" w:cs="Times New Roman"/>
          <w:sz w:val="24"/>
          <w:szCs w:val="24"/>
        </w:rPr>
        <w:t>, MacBryde and D’Ippolito</w:t>
      </w:r>
      <w:r w:rsidR="0090305B" w:rsidRPr="0090305B">
        <w:rPr>
          <w:rFonts w:ascii="Times New Roman" w:eastAsia="Times New Roman" w:hAnsi="Times New Roman" w:cs="Times New Roman"/>
          <w:sz w:val="24"/>
          <w:szCs w:val="24"/>
        </w:rPr>
        <w:t>, 2023)</w:t>
      </w:r>
      <w:r>
        <w:rPr>
          <w:rFonts w:ascii="Times New Roman" w:eastAsia="Times New Roman" w:hAnsi="Times New Roman" w:cs="Times New Roman"/>
          <w:sz w:val="24"/>
          <w:szCs w:val="24"/>
        </w:rPr>
        <w:t>. Research that is exploring open and/or collaborative modes of innovation elucidates how organisations can collaborate together to deal with a dynamic environment (Grodal</w:t>
      </w:r>
      <w:r w:rsidR="00737FE2">
        <w:rPr>
          <w:rFonts w:ascii="Times New Roman" w:eastAsia="Times New Roman" w:hAnsi="Times New Roman" w:cs="Times New Roman"/>
          <w:sz w:val="24"/>
          <w:szCs w:val="24"/>
        </w:rPr>
        <w:t xml:space="preserve"> and</w:t>
      </w:r>
      <w:r>
        <w:rPr>
          <w:rFonts w:ascii="Times New Roman" w:eastAsia="Times New Roman" w:hAnsi="Times New Roman" w:cs="Times New Roman"/>
          <w:sz w:val="24"/>
          <w:szCs w:val="24"/>
        </w:rPr>
        <w:t xml:space="preserve"> O'Mahony, 2017; </w:t>
      </w:r>
      <w:r w:rsidR="00737FE2" w:rsidRPr="00737FE2">
        <w:rPr>
          <w:rFonts w:ascii="Times New Roman" w:eastAsia="Times New Roman" w:hAnsi="Times New Roman" w:cs="Times New Roman"/>
          <w:color w:val="000000"/>
          <w:sz w:val="24"/>
          <w:szCs w:val="24"/>
          <w:lang w:val="en-US"/>
        </w:rPr>
        <w:t>Porter, Tuertscher</w:t>
      </w:r>
      <w:r w:rsidR="0029001B">
        <w:rPr>
          <w:rFonts w:ascii="Times New Roman" w:eastAsia="Times New Roman" w:hAnsi="Times New Roman" w:cs="Times New Roman"/>
          <w:color w:val="000000"/>
          <w:sz w:val="24"/>
          <w:szCs w:val="24"/>
          <w:lang w:val="en-US"/>
        </w:rPr>
        <w:t xml:space="preserve"> and </w:t>
      </w:r>
      <w:r w:rsidR="00737FE2" w:rsidRPr="00737FE2">
        <w:rPr>
          <w:rFonts w:ascii="Times New Roman" w:eastAsia="Times New Roman" w:hAnsi="Times New Roman" w:cs="Times New Roman"/>
          <w:color w:val="000000"/>
          <w:sz w:val="24"/>
          <w:szCs w:val="24"/>
          <w:lang w:val="en-US"/>
        </w:rPr>
        <w:t>Huysman</w:t>
      </w:r>
      <w:r w:rsidR="00737FE2">
        <w:rPr>
          <w:rFonts w:ascii="Times New Roman" w:eastAsia="Times New Roman" w:hAnsi="Times New Roman" w:cs="Times New Roman"/>
          <w:sz w:val="24"/>
          <w:szCs w:val="24"/>
        </w:rPr>
        <w:t xml:space="preserve">, </w:t>
      </w:r>
      <w:r w:rsidR="0029001B">
        <w:rPr>
          <w:rFonts w:ascii="Times New Roman" w:eastAsia="Times New Roman" w:hAnsi="Times New Roman" w:cs="Times New Roman"/>
          <w:sz w:val="24"/>
          <w:szCs w:val="24"/>
        </w:rPr>
        <w:t>2020</w:t>
      </w:r>
      <w:r>
        <w:rPr>
          <w:rFonts w:ascii="Times New Roman" w:eastAsia="Times New Roman" w:hAnsi="Times New Roman" w:cs="Times New Roman"/>
          <w:sz w:val="24"/>
          <w:szCs w:val="24"/>
        </w:rPr>
        <w:t>) and, we contend, inspire</w:t>
      </w:r>
      <w:r w:rsidR="00A91DAD">
        <w:rPr>
          <w:rFonts w:ascii="Times New Roman" w:eastAsia="Times New Roman" w:hAnsi="Times New Roman" w:cs="Times New Roman"/>
          <w:sz w:val="24"/>
          <w:szCs w:val="24"/>
        </w:rPr>
        <w:t>s</w:t>
      </w:r>
      <w:r>
        <w:rPr>
          <w:rFonts w:ascii="Times New Roman" w:eastAsia="Times New Roman" w:hAnsi="Times New Roman" w:cs="Times New Roman"/>
          <w:sz w:val="24"/>
          <w:szCs w:val="24"/>
        </w:rPr>
        <w:t xml:space="preserve"> future theoretical exploration of how business models can facilitate CCA. Overall, CCA presents an important topic for scholars of innovation and business models</w:t>
      </w:r>
      <w:r w:rsidR="00A91DAD">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as effective approaches to CCA will require sincere efforts not only of regulators but also of businesses and entrepreneurial ventures.</w:t>
      </w:r>
    </w:p>
    <w:p w14:paraId="00000049" w14:textId="77777777" w:rsidR="00EE6CE9" w:rsidRDefault="00364A95">
      <w:pPr>
        <w:pBdr>
          <w:top w:val="nil"/>
          <w:left w:val="nil"/>
          <w:bottom w:val="nil"/>
          <w:right w:val="nil"/>
          <w:between w:val="nil"/>
        </w:pBdr>
        <w:spacing w:after="0" w:line="480" w:lineRule="auto"/>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CONCLUDING REMARKS</w:t>
      </w:r>
    </w:p>
    <w:p w14:paraId="0000004A" w14:textId="77777777" w:rsidR="00EE6CE9" w:rsidRDefault="00364A95">
      <w:pPr>
        <w:pBdr>
          <w:top w:val="nil"/>
          <w:left w:val="nil"/>
          <w:bottom w:val="nil"/>
          <w:right w:val="nil"/>
          <w:between w:val="nil"/>
        </w:pBdr>
        <w:spacing w:after="0" w:line="48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In this editorial, we advocate for management scholars to adopt a more holistic perspective when studying climate change, one that includes examining how organizations adapt to changing climatic conditions. CCA must not remain the forgotten half of the climate equation.  We have tried to illustrate above that there is much work to do for management </w:t>
      </w:r>
      <w:r>
        <w:rPr>
          <w:rFonts w:ascii="Times New Roman" w:eastAsia="Times New Roman" w:hAnsi="Times New Roman" w:cs="Times New Roman"/>
          <w:color w:val="000000"/>
          <w:sz w:val="24"/>
          <w:szCs w:val="24"/>
        </w:rPr>
        <w:lastRenderedPageBreak/>
        <w:t xml:space="preserve">scholars, both in terms of tackling interesting research questions and disseminating ecologically-relevant research that can move forward the CCA conversation. Specifically, we suggest there is potential in exploring: (1) the interactions between climate change adaptation and mitigation, (2) how organizations can proactively adapt, with particular attention to the role of time and space in these efforts, and (3) how climate change adaptation presents both risks and opportunities for developing adaptive business models which do not undermine efforts to mitigate climate change. </w:t>
      </w:r>
    </w:p>
    <w:p w14:paraId="0000004B" w14:textId="25A9BDF4" w:rsidR="00EE6CE9" w:rsidRDefault="00364A95">
      <w:pPr>
        <w:pBdr>
          <w:top w:val="nil"/>
          <w:left w:val="nil"/>
          <w:bottom w:val="nil"/>
          <w:right w:val="nil"/>
          <w:between w:val="nil"/>
        </w:pBdr>
        <w:spacing w:after="0" w:line="480" w:lineRule="auto"/>
        <w:ind w:firstLine="708"/>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Our call to action is based on a strong view that management scholars have the toolbox to make meaningful contributions to the discourse on CCA, beyond the important insights that have already been offered by researchers in other disciplines. Indeed, while climate change can be seen as a physical phenomenon which unfolds over time and space, organizations’ adaptive responses to it are the result of social construction, such as the underlying decision-making processes, perceptions of risks and opportunities, and the strategies that organization</w:t>
      </w:r>
      <w:r w:rsidR="00A91DAD">
        <w:rPr>
          <w:rFonts w:ascii="Times New Roman" w:eastAsia="Times New Roman" w:hAnsi="Times New Roman" w:cs="Times New Roman"/>
          <w:color w:val="000000"/>
          <w:sz w:val="24"/>
          <w:szCs w:val="24"/>
        </w:rPr>
        <w:t>s</w:t>
      </w:r>
      <w:r>
        <w:rPr>
          <w:rFonts w:ascii="Times New Roman" w:eastAsia="Times New Roman" w:hAnsi="Times New Roman" w:cs="Times New Roman"/>
          <w:color w:val="000000"/>
          <w:sz w:val="24"/>
          <w:szCs w:val="24"/>
        </w:rPr>
        <w:t xml:space="preserve"> devise in response. Considering the theories and constructs which have guided much of management research in the past, it is evident that management scholars should draw on these rich theoretical insights to inform discussions on CCA. </w:t>
      </w:r>
      <w:r>
        <w:rPr>
          <w:rFonts w:ascii="Times New Roman" w:eastAsia="Times New Roman" w:hAnsi="Times New Roman" w:cs="Times New Roman"/>
          <w:sz w:val="24"/>
          <w:szCs w:val="24"/>
        </w:rPr>
        <w:t>M</w:t>
      </w:r>
      <w:r>
        <w:rPr>
          <w:rFonts w:ascii="Times New Roman" w:eastAsia="Times New Roman" w:hAnsi="Times New Roman" w:cs="Times New Roman"/>
          <w:color w:val="000000"/>
          <w:sz w:val="24"/>
          <w:szCs w:val="24"/>
        </w:rPr>
        <w:t>anagement and organization scholars are well positioned to advance our understanding of the phenomenon, including policy-implications, and in doing so could link to conversations taking place in other disciplines</w:t>
      </w:r>
      <w:r w:rsidR="00A91DAD">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z w:val="24"/>
          <w:szCs w:val="24"/>
        </w:rPr>
        <w:t xml:space="preserve"> such as economic geography (Bansal et al., 2024).</w:t>
      </w:r>
    </w:p>
    <w:p w14:paraId="0000004C" w14:textId="7623ECAC" w:rsidR="00EE6CE9" w:rsidRPr="00737FE2" w:rsidRDefault="00364A95" w:rsidP="00737FE2">
      <w:pPr>
        <w:pBdr>
          <w:top w:val="nil"/>
          <w:left w:val="nil"/>
          <w:bottom w:val="nil"/>
          <w:right w:val="nil"/>
          <w:between w:val="nil"/>
        </w:pBdr>
        <w:spacing w:after="0" w:line="480" w:lineRule="auto"/>
        <w:ind w:firstLine="709"/>
        <w:rPr>
          <w:rFonts w:ascii="Times New Roman" w:eastAsia="Times New Roman" w:hAnsi="Times New Roman" w:cs="Times New Roman"/>
          <w:iCs/>
          <w:color w:val="000000"/>
          <w:sz w:val="24"/>
          <w:szCs w:val="24"/>
        </w:rPr>
      </w:pPr>
      <w:r>
        <w:rPr>
          <w:rFonts w:ascii="Times New Roman" w:eastAsia="Times New Roman" w:hAnsi="Times New Roman" w:cs="Times New Roman"/>
          <w:color w:val="000000"/>
          <w:sz w:val="24"/>
          <w:szCs w:val="24"/>
        </w:rPr>
        <w:t xml:space="preserve">When moving CCA into the mainstream of research in areas such as strategy, sustainability, business model innovation or organization theory, we also urge management scholars to consider the social justice dimension and </w:t>
      </w:r>
      <w:r w:rsidR="00A91DAD">
        <w:rPr>
          <w:rFonts w:ascii="Times New Roman" w:eastAsia="Times New Roman" w:hAnsi="Times New Roman" w:cs="Times New Roman"/>
          <w:color w:val="000000"/>
          <w:sz w:val="24"/>
          <w:szCs w:val="24"/>
        </w:rPr>
        <w:t xml:space="preserve">the </w:t>
      </w:r>
      <w:r>
        <w:rPr>
          <w:rFonts w:ascii="Times New Roman" w:eastAsia="Times New Roman" w:hAnsi="Times New Roman" w:cs="Times New Roman"/>
          <w:color w:val="000000"/>
          <w:sz w:val="24"/>
          <w:szCs w:val="24"/>
        </w:rPr>
        <w:t>risk of perpetuating inequalities in CCA</w:t>
      </w:r>
      <w:r w:rsidR="00A91DAD">
        <w:rPr>
          <w:rFonts w:ascii="Times New Roman" w:eastAsia="Times New Roman" w:hAnsi="Times New Roman" w:cs="Times New Roman"/>
          <w:color w:val="000000"/>
          <w:sz w:val="24"/>
          <w:szCs w:val="24"/>
        </w:rPr>
        <w:t>. In this respect,</w:t>
      </w:r>
      <w:r>
        <w:rPr>
          <w:rFonts w:ascii="Times New Roman" w:eastAsia="Times New Roman" w:hAnsi="Times New Roman" w:cs="Times New Roman"/>
          <w:color w:val="000000"/>
          <w:sz w:val="24"/>
          <w:szCs w:val="24"/>
        </w:rPr>
        <w:t xml:space="preserve"> researchers can draw on a rich body of knowledge in management and organization studies so far unrelated to CCA. An obvious question relates to the accessibility of the resources necessary to adapt to climate change (Nyiwul, 2021). This question is </w:t>
      </w:r>
      <w:r>
        <w:rPr>
          <w:rFonts w:ascii="Times New Roman" w:eastAsia="Times New Roman" w:hAnsi="Times New Roman" w:cs="Times New Roman"/>
          <w:color w:val="000000"/>
          <w:sz w:val="24"/>
          <w:szCs w:val="24"/>
        </w:rPr>
        <w:lastRenderedPageBreak/>
        <w:t xml:space="preserve">particularly salient given that most devastating effects will likely be observed in the Global South (e.g., Wickert </w:t>
      </w:r>
      <w:r w:rsidRPr="00737FE2">
        <w:rPr>
          <w:rFonts w:ascii="Times New Roman" w:eastAsia="Times New Roman" w:hAnsi="Times New Roman" w:cs="Times New Roman"/>
          <w:iCs/>
          <w:color w:val="000000"/>
          <w:sz w:val="24"/>
          <w:szCs w:val="24"/>
        </w:rPr>
        <w:t>et al</w:t>
      </w:r>
      <w:r>
        <w:rPr>
          <w:rFonts w:ascii="Times New Roman" w:eastAsia="Times New Roman" w:hAnsi="Times New Roman" w:cs="Times New Roman"/>
          <w:color w:val="000000"/>
          <w:sz w:val="24"/>
          <w:szCs w:val="24"/>
        </w:rPr>
        <w:t xml:space="preserve">., 2024), a region which is already characterized by inequalities and lack of resources. At the same time, the lack of CCA itself perpetuates existing inequalities (Cevik </w:t>
      </w:r>
      <w:r w:rsidR="00737FE2">
        <w:rPr>
          <w:rFonts w:ascii="Times New Roman" w:eastAsia="Times New Roman" w:hAnsi="Times New Roman" w:cs="Times New Roman"/>
          <w:color w:val="000000"/>
          <w:sz w:val="24"/>
          <w:szCs w:val="24"/>
        </w:rPr>
        <w:t>and</w:t>
      </w:r>
      <w:r>
        <w:rPr>
          <w:rFonts w:ascii="Times New Roman" w:eastAsia="Times New Roman" w:hAnsi="Times New Roman" w:cs="Times New Roman"/>
          <w:color w:val="000000"/>
          <w:sz w:val="24"/>
          <w:szCs w:val="24"/>
        </w:rPr>
        <w:t xml:space="preserve"> Jalles, 2023). Moreover, what may be good for organizations and even societies from a system-level perspective, may have devastating effects on individuals. For example, the large upfront investments needed to participate in forest protection initiatives in developing countries mean that only a few – already wealthy – individuals and organizations have access to associated subsidies, further cementing economic inequalities in these contexts (Markkanen </w:t>
      </w:r>
      <w:r w:rsidR="00737FE2">
        <w:rPr>
          <w:rFonts w:ascii="Times New Roman" w:eastAsia="Times New Roman" w:hAnsi="Times New Roman" w:cs="Times New Roman"/>
          <w:color w:val="000000"/>
          <w:sz w:val="24"/>
          <w:szCs w:val="24"/>
        </w:rPr>
        <w:t>and</w:t>
      </w:r>
      <w:r>
        <w:rPr>
          <w:rFonts w:ascii="Times New Roman" w:eastAsia="Times New Roman" w:hAnsi="Times New Roman" w:cs="Times New Roman"/>
          <w:color w:val="000000"/>
          <w:sz w:val="24"/>
          <w:szCs w:val="24"/>
        </w:rPr>
        <w:t xml:space="preserve"> Anger-Kraavi, 2019). </w:t>
      </w:r>
      <w:r w:rsidR="00BB029A">
        <w:rPr>
          <w:rFonts w:ascii="Times New Roman" w:eastAsia="Times New Roman" w:hAnsi="Times New Roman" w:cs="Times New Roman"/>
          <w:color w:val="000000"/>
          <w:sz w:val="24"/>
          <w:szCs w:val="24"/>
        </w:rPr>
        <w:t>Therefore</w:t>
      </w:r>
      <w:r>
        <w:rPr>
          <w:rFonts w:ascii="Times New Roman" w:eastAsia="Times New Roman" w:hAnsi="Times New Roman" w:cs="Times New Roman"/>
          <w:color w:val="000000"/>
          <w:sz w:val="24"/>
          <w:szCs w:val="24"/>
        </w:rPr>
        <w:t xml:space="preserve">, regardless of which aspect of CCA management scholars address, considering the risk of perpetuating inequalities or creating new ones is one that should be central to all studies. </w:t>
      </w:r>
    </w:p>
    <w:p w14:paraId="0000004D" w14:textId="75B667A2" w:rsidR="00EE6CE9" w:rsidRDefault="00364A95">
      <w:pPr>
        <w:pBdr>
          <w:top w:val="nil"/>
          <w:left w:val="nil"/>
          <w:bottom w:val="nil"/>
          <w:right w:val="nil"/>
          <w:between w:val="nil"/>
        </w:pBdr>
        <w:spacing w:after="0" w:line="480" w:lineRule="auto"/>
        <w:ind w:firstLine="709"/>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To conclude, CCA will become a necessity for many</w:t>
      </w:r>
      <w:r w:rsidR="00A91DAD">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z w:val="24"/>
          <w:szCs w:val="24"/>
        </w:rPr>
        <w:t xml:space="preserve"> if not all</w:t>
      </w:r>
      <w:r w:rsidR="00A91DAD">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z w:val="24"/>
          <w:szCs w:val="24"/>
        </w:rPr>
        <w:t xml:space="preserve"> organizations. With this editorial, our hope is to open a conversation for management scholars seeking to contribute to a better understanding of this challenge, especially at a time when the discourse is starting to shift from mitigation to adaptation. </w:t>
      </w:r>
      <w:r w:rsidR="004A5C88">
        <w:rPr>
          <w:rFonts w:ascii="Times New Roman" w:eastAsia="Times New Roman" w:hAnsi="Times New Roman" w:cs="Times New Roman"/>
          <w:color w:val="000000"/>
          <w:sz w:val="24"/>
          <w:szCs w:val="24"/>
        </w:rPr>
        <w:t>W</w:t>
      </w:r>
      <w:r>
        <w:rPr>
          <w:rFonts w:ascii="Times New Roman" w:eastAsia="Times New Roman" w:hAnsi="Times New Roman" w:cs="Times New Roman"/>
          <w:color w:val="000000"/>
          <w:sz w:val="24"/>
          <w:szCs w:val="24"/>
        </w:rPr>
        <w:t xml:space="preserve">e hope to encourage management scholarship that makes a difference to theoretical advancement and to society at large. </w:t>
      </w:r>
    </w:p>
    <w:p w14:paraId="0000004F" w14:textId="77777777" w:rsidR="00EE6CE9" w:rsidRDefault="00364A95">
      <w:pPr>
        <w:pBdr>
          <w:top w:val="nil"/>
          <w:left w:val="nil"/>
          <w:bottom w:val="nil"/>
          <w:right w:val="nil"/>
          <w:between w:val="nil"/>
        </w:pBdr>
        <w:spacing w:after="0" w:line="480" w:lineRule="auto"/>
        <w:jc w:val="center"/>
        <w:rPr>
          <w:rFonts w:ascii="Times New Roman" w:eastAsia="Times New Roman" w:hAnsi="Times New Roman" w:cs="Times New Roman"/>
          <w:b/>
          <w:color w:val="000000"/>
          <w:sz w:val="24"/>
          <w:szCs w:val="24"/>
        </w:rPr>
      </w:pPr>
      <w:bookmarkStart w:id="1" w:name="_Hlk187232751"/>
      <w:r>
        <w:rPr>
          <w:rFonts w:ascii="Times New Roman" w:eastAsia="Times New Roman" w:hAnsi="Times New Roman" w:cs="Times New Roman"/>
          <w:b/>
          <w:color w:val="000000"/>
          <w:sz w:val="24"/>
          <w:szCs w:val="24"/>
        </w:rPr>
        <w:t>REFERENCES</w:t>
      </w:r>
    </w:p>
    <w:p w14:paraId="00000050" w14:textId="7934A9C0" w:rsidR="00EE6CE9" w:rsidRDefault="00364A95">
      <w:pPr>
        <w:pBdr>
          <w:top w:val="nil"/>
          <w:left w:val="nil"/>
          <w:bottom w:val="nil"/>
          <w:right w:val="nil"/>
          <w:between w:val="nil"/>
        </w:pBdr>
        <w:spacing w:after="0" w:line="240" w:lineRule="auto"/>
        <w:ind w:left="720" w:hanging="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Adger, W.N., Dessai, S., Goulden M., Hulme, M., Lorenzoni, I., Nelson, D.R., Naess, L.O., Wolf, J. and Wreford, A. (2009</w:t>
      </w:r>
      <w:r w:rsidR="004A5C88">
        <w:rPr>
          <w:rFonts w:ascii="Times New Roman" w:eastAsia="Times New Roman" w:hAnsi="Times New Roman" w:cs="Times New Roman"/>
          <w:color w:val="000000"/>
          <w:sz w:val="24"/>
          <w:szCs w:val="24"/>
        </w:rPr>
        <w:t>a</w:t>
      </w:r>
      <w:r>
        <w:rPr>
          <w:rFonts w:ascii="Times New Roman" w:eastAsia="Times New Roman" w:hAnsi="Times New Roman" w:cs="Times New Roman"/>
          <w:color w:val="000000"/>
          <w:sz w:val="24"/>
          <w:szCs w:val="24"/>
        </w:rPr>
        <w:t xml:space="preserve">). ‘Are there social limits to adaptation to climate change?’. </w:t>
      </w:r>
      <w:r>
        <w:rPr>
          <w:rFonts w:ascii="Times New Roman" w:eastAsia="Times New Roman" w:hAnsi="Times New Roman" w:cs="Times New Roman"/>
          <w:i/>
          <w:color w:val="000000"/>
          <w:sz w:val="24"/>
          <w:szCs w:val="24"/>
        </w:rPr>
        <w:t>Climatic Change</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b/>
          <w:color w:val="000000"/>
          <w:sz w:val="24"/>
          <w:szCs w:val="24"/>
        </w:rPr>
        <w:t>93</w:t>
      </w:r>
      <w:r>
        <w:rPr>
          <w:rFonts w:ascii="Times New Roman" w:eastAsia="Times New Roman" w:hAnsi="Times New Roman" w:cs="Times New Roman"/>
          <w:color w:val="000000"/>
          <w:sz w:val="24"/>
          <w:szCs w:val="24"/>
        </w:rPr>
        <w:t>, 335–354.</w:t>
      </w:r>
    </w:p>
    <w:p w14:paraId="00000051" w14:textId="359D939C" w:rsidR="00EE6CE9" w:rsidRDefault="00364A95">
      <w:pPr>
        <w:pBdr>
          <w:top w:val="nil"/>
          <w:left w:val="nil"/>
          <w:bottom w:val="nil"/>
          <w:right w:val="nil"/>
          <w:between w:val="nil"/>
        </w:pBdr>
        <w:spacing w:after="0" w:line="240" w:lineRule="auto"/>
        <w:ind w:left="720" w:hanging="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Adger, W.N., Lorenzoni, I. and O’Brien, K.</w:t>
      </w:r>
      <w:r w:rsidR="00E2335C">
        <w:rPr>
          <w:rFonts w:ascii="Times New Roman" w:eastAsia="Times New Roman" w:hAnsi="Times New Roman" w:cs="Times New Roman"/>
          <w:color w:val="000000"/>
          <w:sz w:val="24"/>
          <w:szCs w:val="24"/>
        </w:rPr>
        <w:t xml:space="preserve"> (Eds.)</w:t>
      </w:r>
      <w:r>
        <w:rPr>
          <w:rFonts w:ascii="Times New Roman" w:eastAsia="Times New Roman" w:hAnsi="Times New Roman" w:cs="Times New Roman"/>
          <w:color w:val="000000"/>
          <w:sz w:val="24"/>
          <w:szCs w:val="24"/>
        </w:rPr>
        <w:t xml:space="preserve"> (2009</w:t>
      </w:r>
      <w:r w:rsidR="004A5C88">
        <w:rPr>
          <w:rFonts w:ascii="Times New Roman" w:eastAsia="Times New Roman" w:hAnsi="Times New Roman" w:cs="Times New Roman"/>
          <w:color w:val="000000"/>
          <w:sz w:val="24"/>
          <w:szCs w:val="24"/>
        </w:rPr>
        <w:t>b</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i/>
          <w:color w:val="000000"/>
          <w:sz w:val="24"/>
          <w:szCs w:val="24"/>
        </w:rPr>
        <w:t>Adapting to Climate Change: Thresholds, Values, Governance</w:t>
      </w:r>
      <w:r>
        <w:rPr>
          <w:rFonts w:ascii="Times New Roman" w:eastAsia="Times New Roman" w:hAnsi="Times New Roman" w:cs="Times New Roman"/>
          <w:color w:val="000000"/>
          <w:sz w:val="24"/>
          <w:szCs w:val="24"/>
        </w:rPr>
        <w:t>. Cambridge, UK: Cambridge University Press.</w:t>
      </w:r>
    </w:p>
    <w:p w14:paraId="00000052" w14:textId="21E26A94" w:rsidR="00EE6CE9" w:rsidRDefault="00364A95">
      <w:pPr>
        <w:spacing w:after="0" w:line="240" w:lineRule="auto"/>
        <w:ind w:left="720"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Allen, C.R., Angeler, D.G., Garmestani, A.S., Gunderson, L.H. and Holling, C.S. (2014). ‘Panarchy: Theory and application’. </w:t>
      </w:r>
      <w:r>
        <w:rPr>
          <w:rFonts w:ascii="Times New Roman" w:eastAsia="Times New Roman" w:hAnsi="Times New Roman" w:cs="Times New Roman"/>
          <w:i/>
          <w:sz w:val="24"/>
          <w:szCs w:val="24"/>
        </w:rPr>
        <w:t>Ecosystems</w:t>
      </w:r>
      <w:r>
        <w:rPr>
          <w:rFonts w:ascii="Times New Roman" w:eastAsia="Times New Roman" w:hAnsi="Times New Roman" w:cs="Times New Roman"/>
          <w:sz w:val="24"/>
          <w:szCs w:val="24"/>
        </w:rPr>
        <w:t xml:space="preserve">, </w:t>
      </w:r>
      <w:r>
        <w:rPr>
          <w:rFonts w:ascii="Times New Roman" w:eastAsia="Times New Roman" w:hAnsi="Times New Roman" w:cs="Times New Roman"/>
          <w:b/>
          <w:sz w:val="24"/>
          <w:szCs w:val="24"/>
        </w:rPr>
        <w:t>17</w:t>
      </w:r>
      <w:r>
        <w:rPr>
          <w:rFonts w:ascii="Times New Roman" w:eastAsia="Times New Roman" w:hAnsi="Times New Roman" w:cs="Times New Roman"/>
          <w:sz w:val="24"/>
          <w:szCs w:val="24"/>
        </w:rPr>
        <w:t>, 578-589.</w:t>
      </w:r>
    </w:p>
    <w:p w14:paraId="00000053" w14:textId="77777777" w:rsidR="00EE6CE9" w:rsidRDefault="00364A95">
      <w:pPr>
        <w:spacing w:after="0" w:line="240" w:lineRule="auto"/>
        <w:ind w:left="720"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Astley, W.G. and Van de Ven, A.H. (1983). ‘Central perspectives and debates in organization theory’. </w:t>
      </w:r>
      <w:r>
        <w:rPr>
          <w:rFonts w:ascii="Times New Roman" w:eastAsia="Times New Roman" w:hAnsi="Times New Roman" w:cs="Times New Roman"/>
          <w:i/>
          <w:sz w:val="24"/>
          <w:szCs w:val="24"/>
        </w:rPr>
        <w:t>Administrative Science Quarterly</w:t>
      </w:r>
      <w:r>
        <w:rPr>
          <w:rFonts w:ascii="Times New Roman" w:eastAsia="Times New Roman" w:hAnsi="Times New Roman" w:cs="Times New Roman"/>
          <w:sz w:val="24"/>
          <w:szCs w:val="24"/>
        </w:rPr>
        <w:t xml:space="preserve">, </w:t>
      </w:r>
      <w:r>
        <w:rPr>
          <w:rFonts w:ascii="Times New Roman" w:eastAsia="Times New Roman" w:hAnsi="Times New Roman" w:cs="Times New Roman"/>
          <w:b/>
          <w:sz w:val="24"/>
          <w:szCs w:val="24"/>
        </w:rPr>
        <w:t>28</w:t>
      </w:r>
      <w:r>
        <w:rPr>
          <w:rFonts w:ascii="Times New Roman" w:eastAsia="Times New Roman" w:hAnsi="Times New Roman" w:cs="Times New Roman"/>
          <w:sz w:val="24"/>
          <w:szCs w:val="24"/>
        </w:rPr>
        <w:t>(2), 245-273.</w:t>
      </w:r>
    </w:p>
    <w:p w14:paraId="00000054" w14:textId="7639ADD8" w:rsidR="00EE6CE9" w:rsidRDefault="00364A95" w:rsidP="00396A0E">
      <w:pPr>
        <w:pBdr>
          <w:top w:val="nil"/>
          <w:left w:val="nil"/>
          <w:bottom w:val="nil"/>
          <w:right w:val="nil"/>
          <w:between w:val="nil"/>
        </w:pBdr>
        <w:spacing w:after="0" w:line="240" w:lineRule="auto"/>
        <w:ind w:left="720" w:hanging="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Athanasopoulou, A., Marti, E., Risi, D. and Schlindwein, E. (</w:t>
      </w:r>
      <w:r w:rsidR="00396A0E">
        <w:rPr>
          <w:rFonts w:ascii="Times New Roman" w:eastAsia="Times New Roman" w:hAnsi="Times New Roman" w:cs="Times New Roman"/>
          <w:color w:val="000000"/>
          <w:sz w:val="24"/>
          <w:szCs w:val="24"/>
        </w:rPr>
        <w:t>2025</w:t>
      </w:r>
      <w:r>
        <w:rPr>
          <w:rFonts w:ascii="Times New Roman" w:eastAsia="Times New Roman" w:hAnsi="Times New Roman" w:cs="Times New Roman"/>
          <w:color w:val="000000"/>
          <w:sz w:val="24"/>
          <w:szCs w:val="24"/>
        </w:rPr>
        <w:t xml:space="preserve">). ‘How companies restrain means–ends decoupling: A comparative case study of CSR implementation’. </w:t>
      </w:r>
      <w:r>
        <w:rPr>
          <w:rFonts w:ascii="Times New Roman" w:eastAsia="Times New Roman" w:hAnsi="Times New Roman" w:cs="Times New Roman"/>
          <w:i/>
          <w:color w:val="000000"/>
          <w:sz w:val="24"/>
          <w:szCs w:val="24"/>
        </w:rPr>
        <w:t>Journal of Management Studies</w:t>
      </w:r>
      <w:r>
        <w:rPr>
          <w:rFonts w:ascii="Times New Roman" w:eastAsia="Times New Roman" w:hAnsi="Times New Roman" w:cs="Times New Roman"/>
          <w:color w:val="000000"/>
          <w:sz w:val="24"/>
          <w:szCs w:val="24"/>
        </w:rPr>
        <w:t xml:space="preserve">, </w:t>
      </w:r>
      <w:r w:rsidR="00396A0E" w:rsidRPr="00396A0E">
        <w:rPr>
          <w:rFonts w:ascii="Times New Roman" w:eastAsia="Times New Roman" w:hAnsi="Times New Roman" w:cs="Times New Roman"/>
          <w:b/>
          <w:bCs/>
          <w:color w:val="000000"/>
          <w:sz w:val="24"/>
          <w:szCs w:val="24"/>
        </w:rPr>
        <w:t>62</w:t>
      </w:r>
      <w:r w:rsidR="00396A0E" w:rsidRPr="00396A0E">
        <w:rPr>
          <w:rFonts w:ascii="Times New Roman" w:eastAsia="Times New Roman" w:hAnsi="Times New Roman" w:cs="Times New Roman"/>
          <w:color w:val="000000"/>
          <w:sz w:val="24"/>
          <w:szCs w:val="24"/>
        </w:rPr>
        <w:t>(1), 214-245</w:t>
      </w:r>
      <w:r w:rsidR="00396A0E">
        <w:rPr>
          <w:rFonts w:ascii="Times New Roman" w:eastAsia="Times New Roman" w:hAnsi="Times New Roman" w:cs="Times New Roman"/>
          <w:color w:val="000000"/>
          <w:sz w:val="24"/>
          <w:szCs w:val="24"/>
        </w:rPr>
        <w:t xml:space="preserve">. </w:t>
      </w:r>
    </w:p>
    <w:p w14:paraId="00000055" w14:textId="77777777" w:rsidR="00EE6CE9" w:rsidRDefault="00364A95">
      <w:pPr>
        <w:pBdr>
          <w:top w:val="nil"/>
          <w:left w:val="nil"/>
          <w:bottom w:val="nil"/>
          <w:right w:val="nil"/>
          <w:between w:val="nil"/>
        </w:pBdr>
        <w:spacing w:after="0" w:line="240" w:lineRule="auto"/>
        <w:ind w:left="720" w:hanging="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Augustine, G., Soderstrom, S., Milner, D. and Weber, K. (2019). ‘Constructing a distant future: Imaginaries in geoengineering’. </w:t>
      </w:r>
      <w:r>
        <w:rPr>
          <w:rFonts w:ascii="Times New Roman" w:eastAsia="Times New Roman" w:hAnsi="Times New Roman" w:cs="Times New Roman"/>
          <w:i/>
          <w:color w:val="000000"/>
          <w:sz w:val="24"/>
          <w:szCs w:val="24"/>
        </w:rPr>
        <w:t>Academy of Management Journal</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b/>
          <w:color w:val="000000"/>
          <w:sz w:val="24"/>
          <w:szCs w:val="24"/>
        </w:rPr>
        <w:t>62</w:t>
      </w:r>
      <w:r>
        <w:rPr>
          <w:rFonts w:ascii="Times New Roman" w:eastAsia="Times New Roman" w:hAnsi="Times New Roman" w:cs="Times New Roman"/>
          <w:color w:val="000000"/>
          <w:sz w:val="24"/>
          <w:szCs w:val="24"/>
        </w:rPr>
        <w:t>(6), 1930-1960.</w:t>
      </w:r>
    </w:p>
    <w:p w14:paraId="00000056" w14:textId="77777777" w:rsidR="00EE6CE9" w:rsidRDefault="00364A95">
      <w:pPr>
        <w:pBdr>
          <w:top w:val="nil"/>
          <w:left w:val="nil"/>
          <w:bottom w:val="nil"/>
          <w:right w:val="nil"/>
          <w:between w:val="nil"/>
        </w:pBdr>
        <w:spacing w:after="0" w:line="240" w:lineRule="auto"/>
        <w:ind w:left="720" w:hanging="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lastRenderedPageBreak/>
        <w:t xml:space="preserve">Averchenkova, A., Crick, F., Kocornik-Mina, A., Leck, H. and Surminski, S. (2016). ‘Multinational and large national corporations and climate adaptation: Are we asking the right questions? A review of current knowledge and a new research perspective’. </w:t>
      </w:r>
      <w:r>
        <w:rPr>
          <w:rFonts w:ascii="Times New Roman" w:eastAsia="Times New Roman" w:hAnsi="Times New Roman" w:cs="Times New Roman"/>
          <w:i/>
          <w:color w:val="000000"/>
          <w:sz w:val="24"/>
          <w:szCs w:val="24"/>
        </w:rPr>
        <w:t>WIREs Climate Change</w:t>
      </w:r>
      <w:r>
        <w:rPr>
          <w:rFonts w:ascii="Times New Roman" w:eastAsia="Times New Roman" w:hAnsi="Times New Roman" w:cs="Times New Roman"/>
          <w:color w:val="000000"/>
          <w:sz w:val="24"/>
          <w:szCs w:val="24"/>
        </w:rPr>
        <w:t xml:space="preserve">, </w:t>
      </w:r>
      <w:r w:rsidRPr="00396A0E">
        <w:rPr>
          <w:rFonts w:ascii="Times New Roman" w:eastAsia="Times New Roman" w:hAnsi="Times New Roman" w:cs="Times New Roman"/>
          <w:b/>
          <w:color w:val="000000"/>
          <w:sz w:val="24"/>
          <w:szCs w:val="24"/>
        </w:rPr>
        <w:t>7</w:t>
      </w:r>
      <w:r>
        <w:rPr>
          <w:rFonts w:ascii="Times New Roman" w:eastAsia="Times New Roman" w:hAnsi="Times New Roman" w:cs="Times New Roman"/>
          <w:color w:val="000000"/>
          <w:sz w:val="24"/>
          <w:szCs w:val="24"/>
        </w:rPr>
        <w:t>(4), 517-536.</w:t>
      </w:r>
    </w:p>
    <w:p w14:paraId="00000057" w14:textId="3EC93EBE" w:rsidR="00EE6CE9" w:rsidRDefault="00364A95">
      <w:pPr>
        <w:pBdr>
          <w:top w:val="nil"/>
          <w:left w:val="nil"/>
          <w:bottom w:val="nil"/>
          <w:right w:val="nil"/>
          <w:between w:val="nil"/>
        </w:pBdr>
        <w:spacing w:after="0" w:line="240" w:lineRule="auto"/>
        <w:ind w:left="720" w:hanging="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Averina, E., Frishammar, J. and Parida, V. (</w:t>
      </w:r>
      <w:r w:rsidR="00396A0E">
        <w:rPr>
          <w:rFonts w:ascii="Times New Roman" w:eastAsia="Times New Roman" w:hAnsi="Times New Roman" w:cs="Times New Roman"/>
          <w:color w:val="000000"/>
          <w:sz w:val="24"/>
          <w:szCs w:val="24"/>
        </w:rPr>
        <w:t>2022</w:t>
      </w:r>
      <w:r>
        <w:rPr>
          <w:rFonts w:ascii="Times New Roman" w:eastAsia="Times New Roman" w:hAnsi="Times New Roman" w:cs="Times New Roman"/>
          <w:color w:val="000000"/>
          <w:sz w:val="24"/>
          <w:szCs w:val="24"/>
        </w:rPr>
        <w:t xml:space="preserve">). ‘Assessing sustainability opportunities for circular business models’. </w:t>
      </w:r>
      <w:r>
        <w:rPr>
          <w:rFonts w:ascii="Times New Roman" w:eastAsia="Times New Roman" w:hAnsi="Times New Roman" w:cs="Times New Roman"/>
          <w:i/>
          <w:color w:val="000000"/>
          <w:sz w:val="24"/>
          <w:szCs w:val="24"/>
        </w:rPr>
        <w:t>Business Strategy and the Environment</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b/>
          <w:color w:val="000000"/>
          <w:sz w:val="24"/>
          <w:szCs w:val="24"/>
        </w:rPr>
        <w:t>31</w:t>
      </w:r>
      <w:r>
        <w:rPr>
          <w:rFonts w:ascii="Times New Roman" w:eastAsia="Times New Roman" w:hAnsi="Times New Roman" w:cs="Times New Roman"/>
          <w:color w:val="000000"/>
          <w:sz w:val="24"/>
          <w:szCs w:val="24"/>
        </w:rPr>
        <w:t>(4), 1464-1487.</w:t>
      </w:r>
    </w:p>
    <w:p w14:paraId="00000058" w14:textId="77777777" w:rsidR="00EE6CE9" w:rsidRDefault="00364A95">
      <w:pPr>
        <w:pBdr>
          <w:top w:val="nil"/>
          <w:left w:val="nil"/>
          <w:bottom w:val="nil"/>
          <w:right w:val="nil"/>
          <w:between w:val="nil"/>
        </w:pBdr>
        <w:spacing w:after="0" w:line="240" w:lineRule="auto"/>
        <w:ind w:left="720" w:hanging="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Baer, P. and Risbey, J.S. (2009). ‘Uncertainty and assessment of the issues posed by urgent climate change: An editorial comment’. </w:t>
      </w:r>
      <w:r>
        <w:rPr>
          <w:rFonts w:ascii="Times New Roman" w:eastAsia="Times New Roman" w:hAnsi="Times New Roman" w:cs="Times New Roman"/>
          <w:i/>
          <w:color w:val="000000"/>
          <w:sz w:val="24"/>
          <w:szCs w:val="24"/>
        </w:rPr>
        <w:t>Climatic Change</w:t>
      </w:r>
      <w:r>
        <w:rPr>
          <w:rFonts w:ascii="Times New Roman" w:eastAsia="Times New Roman" w:hAnsi="Times New Roman" w:cs="Times New Roman"/>
          <w:color w:val="000000"/>
          <w:sz w:val="24"/>
          <w:szCs w:val="24"/>
        </w:rPr>
        <w:t xml:space="preserve">, </w:t>
      </w:r>
      <w:r w:rsidRPr="00516675">
        <w:rPr>
          <w:rFonts w:ascii="Times New Roman" w:eastAsia="Times New Roman" w:hAnsi="Times New Roman" w:cs="Times New Roman"/>
          <w:b/>
          <w:bCs/>
          <w:color w:val="000000"/>
          <w:sz w:val="24"/>
          <w:szCs w:val="24"/>
        </w:rPr>
        <w:t>92</w:t>
      </w:r>
      <w:r>
        <w:rPr>
          <w:rFonts w:ascii="Times New Roman" w:eastAsia="Times New Roman" w:hAnsi="Times New Roman" w:cs="Times New Roman"/>
          <w:color w:val="000000"/>
          <w:sz w:val="24"/>
          <w:szCs w:val="24"/>
        </w:rPr>
        <w:t>, 31-36.</w:t>
      </w:r>
    </w:p>
    <w:p w14:paraId="0000005C" w14:textId="68C90A87" w:rsidR="00EE6CE9" w:rsidRDefault="00364A95">
      <w:pPr>
        <w:pBdr>
          <w:top w:val="nil"/>
          <w:left w:val="nil"/>
          <w:bottom w:val="nil"/>
          <w:right w:val="nil"/>
          <w:between w:val="nil"/>
        </w:pBdr>
        <w:spacing w:after="0" w:line="240" w:lineRule="auto"/>
        <w:ind w:left="720" w:hanging="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Bansal, P. and Hoffman, A.J. </w:t>
      </w:r>
      <w:r w:rsidR="00E2335C">
        <w:rPr>
          <w:rFonts w:ascii="Times New Roman" w:eastAsia="Times New Roman" w:hAnsi="Times New Roman" w:cs="Times New Roman"/>
          <w:color w:val="000000"/>
          <w:sz w:val="24"/>
          <w:szCs w:val="24"/>
        </w:rPr>
        <w:t xml:space="preserve">(Eds.) </w:t>
      </w:r>
      <w:r>
        <w:rPr>
          <w:rFonts w:ascii="Times New Roman" w:eastAsia="Times New Roman" w:hAnsi="Times New Roman" w:cs="Times New Roman"/>
          <w:color w:val="000000"/>
          <w:sz w:val="24"/>
          <w:szCs w:val="24"/>
        </w:rPr>
        <w:t>(201</w:t>
      </w:r>
      <w:r w:rsidR="00E2335C">
        <w:rPr>
          <w:rFonts w:ascii="Times New Roman" w:eastAsia="Times New Roman" w:hAnsi="Times New Roman" w:cs="Times New Roman"/>
          <w:color w:val="000000"/>
          <w:sz w:val="24"/>
          <w:szCs w:val="24"/>
        </w:rPr>
        <w:t>1</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i/>
          <w:color w:val="000000"/>
          <w:sz w:val="24"/>
          <w:szCs w:val="24"/>
        </w:rPr>
        <w:t>The Oxford Handbook of Business and the Natural Environment</w:t>
      </w:r>
      <w:r>
        <w:rPr>
          <w:rFonts w:ascii="Times New Roman" w:eastAsia="Times New Roman" w:hAnsi="Times New Roman" w:cs="Times New Roman"/>
          <w:color w:val="000000"/>
          <w:sz w:val="24"/>
          <w:szCs w:val="24"/>
        </w:rPr>
        <w:t>. New York, NY: Oxford University Press.</w:t>
      </w:r>
    </w:p>
    <w:p w14:paraId="0000005D" w14:textId="77777777" w:rsidR="00EE6CE9" w:rsidRDefault="00364A95">
      <w:pPr>
        <w:pBdr>
          <w:top w:val="nil"/>
          <w:left w:val="nil"/>
          <w:bottom w:val="nil"/>
          <w:right w:val="nil"/>
          <w:between w:val="nil"/>
        </w:pBdr>
        <w:spacing w:after="0" w:line="240" w:lineRule="auto"/>
        <w:ind w:left="720" w:hanging="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Bansal, P., Kim, A. and Wood, M.O. (2018). ‘Hidden in plain sight: The importance of scale in organizations’ attention to issues’. </w:t>
      </w:r>
      <w:r>
        <w:rPr>
          <w:rFonts w:ascii="Times New Roman" w:eastAsia="Times New Roman" w:hAnsi="Times New Roman" w:cs="Times New Roman"/>
          <w:i/>
          <w:color w:val="000000"/>
          <w:sz w:val="24"/>
          <w:szCs w:val="24"/>
        </w:rPr>
        <w:t>Academy of Management Review</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b/>
          <w:color w:val="000000"/>
          <w:sz w:val="24"/>
          <w:szCs w:val="24"/>
        </w:rPr>
        <w:t>43</w:t>
      </w:r>
      <w:r>
        <w:rPr>
          <w:rFonts w:ascii="Times New Roman" w:eastAsia="Times New Roman" w:hAnsi="Times New Roman" w:cs="Times New Roman"/>
          <w:color w:val="000000"/>
          <w:sz w:val="24"/>
          <w:szCs w:val="24"/>
        </w:rPr>
        <w:t>(2), 217-241.</w:t>
      </w:r>
    </w:p>
    <w:p w14:paraId="7E5E7643" w14:textId="77777777" w:rsidR="00E2335C" w:rsidRDefault="00E2335C" w:rsidP="00E2335C">
      <w:pPr>
        <w:pBdr>
          <w:top w:val="nil"/>
          <w:left w:val="nil"/>
          <w:bottom w:val="nil"/>
          <w:right w:val="nil"/>
          <w:between w:val="nil"/>
        </w:pBdr>
        <w:spacing w:after="0" w:line="240" w:lineRule="auto"/>
        <w:ind w:left="720" w:hanging="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Bansal, P., Grewatsch, S. and Sharma, G. (2021). ‘How COVID-19 informs business sustainability research: It’s time for a systems perspective’. </w:t>
      </w:r>
      <w:r>
        <w:rPr>
          <w:rFonts w:ascii="Times New Roman" w:eastAsia="Times New Roman" w:hAnsi="Times New Roman" w:cs="Times New Roman"/>
          <w:i/>
          <w:color w:val="000000"/>
          <w:sz w:val="24"/>
          <w:szCs w:val="24"/>
        </w:rPr>
        <w:t>Journal of Management Studies</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b/>
          <w:color w:val="000000"/>
          <w:sz w:val="24"/>
          <w:szCs w:val="24"/>
        </w:rPr>
        <w:t>58</w:t>
      </w:r>
      <w:r>
        <w:rPr>
          <w:rFonts w:ascii="Times New Roman" w:eastAsia="Times New Roman" w:hAnsi="Times New Roman" w:cs="Times New Roman"/>
          <w:color w:val="000000"/>
          <w:sz w:val="24"/>
          <w:szCs w:val="24"/>
        </w:rPr>
        <w:t>(2), 602-606.</w:t>
      </w:r>
    </w:p>
    <w:p w14:paraId="29F21503" w14:textId="77777777" w:rsidR="00E2335C" w:rsidRDefault="00E2335C" w:rsidP="00E2335C">
      <w:pPr>
        <w:pBdr>
          <w:top w:val="nil"/>
          <w:left w:val="nil"/>
          <w:bottom w:val="nil"/>
          <w:right w:val="nil"/>
          <w:between w:val="nil"/>
        </w:pBdr>
        <w:spacing w:after="0" w:line="240" w:lineRule="auto"/>
        <w:ind w:left="720" w:hanging="720"/>
        <w:rPr>
          <w:rFonts w:ascii="Times New Roman" w:eastAsia="Times New Roman" w:hAnsi="Times New Roman" w:cs="Times New Roman"/>
          <w:color w:val="000000"/>
          <w:sz w:val="24"/>
          <w:szCs w:val="24"/>
        </w:rPr>
      </w:pPr>
      <w:r w:rsidRPr="00036185">
        <w:rPr>
          <w:rFonts w:ascii="Times New Roman" w:eastAsia="Times New Roman" w:hAnsi="Times New Roman" w:cs="Times New Roman"/>
          <w:color w:val="000000"/>
          <w:sz w:val="24"/>
          <w:szCs w:val="24"/>
          <w:lang w:val="de-DE"/>
        </w:rPr>
        <w:t xml:space="preserve">Bansal, P., Durand, R., Kreutzer, M., Kunisch, S. and McGahan, A.M. (2024). </w:t>
      </w:r>
      <w:r>
        <w:rPr>
          <w:rFonts w:ascii="Times New Roman" w:eastAsia="Times New Roman" w:hAnsi="Times New Roman" w:cs="Times New Roman"/>
          <w:color w:val="000000"/>
          <w:sz w:val="24"/>
          <w:szCs w:val="24"/>
        </w:rPr>
        <w:t xml:space="preserve">‘Strategy can no longer ignore planetary boundaries: A call for tackling strategy’s ecological fallacy’. </w:t>
      </w:r>
      <w:r>
        <w:rPr>
          <w:rFonts w:ascii="Times New Roman" w:eastAsia="Times New Roman" w:hAnsi="Times New Roman" w:cs="Times New Roman"/>
          <w:i/>
          <w:color w:val="000000"/>
          <w:sz w:val="24"/>
          <w:szCs w:val="24"/>
        </w:rPr>
        <w:t>Journal of Management Studies</w:t>
      </w:r>
      <w:r>
        <w:rPr>
          <w:rFonts w:ascii="Times New Roman" w:eastAsia="Times New Roman" w:hAnsi="Times New Roman" w:cs="Times New Roman"/>
          <w:color w:val="000000"/>
          <w:sz w:val="24"/>
          <w:szCs w:val="24"/>
        </w:rPr>
        <w:t xml:space="preserve">, in press. Doi: </w:t>
      </w:r>
      <w:hyperlink r:id="rId9">
        <w:r>
          <w:rPr>
            <w:rFonts w:ascii="Times New Roman" w:eastAsia="Times New Roman" w:hAnsi="Times New Roman" w:cs="Times New Roman"/>
            <w:color w:val="0000FF"/>
            <w:sz w:val="24"/>
            <w:szCs w:val="24"/>
            <w:u w:val="single"/>
          </w:rPr>
          <w:t>https://doi.org/10.1111/joms.13088</w:t>
        </w:r>
      </w:hyperlink>
      <w:r>
        <w:rPr>
          <w:rFonts w:ascii="Times New Roman" w:eastAsia="Times New Roman" w:hAnsi="Times New Roman" w:cs="Times New Roman"/>
          <w:color w:val="000000"/>
          <w:sz w:val="24"/>
          <w:szCs w:val="24"/>
        </w:rPr>
        <w:t>.</w:t>
      </w:r>
    </w:p>
    <w:p w14:paraId="0000005E" w14:textId="77777777" w:rsidR="00EE6CE9" w:rsidRDefault="00364A95">
      <w:pPr>
        <w:pBdr>
          <w:top w:val="nil"/>
          <w:left w:val="nil"/>
          <w:bottom w:val="nil"/>
          <w:right w:val="nil"/>
          <w:between w:val="nil"/>
        </w:pBdr>
        <w:spacing w:after="0" w:line="240" w:lineRule="auto"/>
        <w:ind w:left="720" w:hanging="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Bansal, T., Miller, E. and MacArthur, C. (2024). </w:t>
      </w:r>
      <w:r>
        <w:rPr>
          <w:rFonts w:ascii="Times New Roman" w:eastAsia="Times New Roman" w:hAnsi="Times New Roman" w:cs="Times New Roman"/>
          <w:i/>
          <w:color w:val="000000"/>
          <w:sz w:val="24"/>
          <w:szCs w:val="24"/>
        </w:rPr>
        <w:t>The Circular Built Environment in Canada: A Strategic Framework for Future Action</w:t>
      </w:r>
      <w:r>
        <w:rPr>
          <w:rFonts w:ascii="Times New Roman" w:eastAsia="Times New Roman" w:hAnsi="Times New Roman" w:cs="Times New Roman"/>
          <w:color w:val="000000"/>
          <w:sz w:val="24"/>
          <w:szCs w:val="24"/>
        </w:rPr>
        <w:t>. Toronto, ON: Canadian Standards Association.</w:t>
      </w:r>
    </w:p>
    <w:p w14:paraId="0000005F" w14:textId="77777777" w:rsidR="00EE6CE9" w:rsidRDefault="00364A95">
      <w:pPr>
        <w:pBdr>
          <w:top w:val="nil"/>
          <w:left w:val="nil"/>
          <w:bottom w:val="nil"/>
          <w:right w:val="nil"/>
          <w:between w:val="nil"/>
        </w:pBdr>
        <w:spacing w:after="0" w:line="240" w:lineRule="auto"/>
        <w:ind w:left="720" w:hanging="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Barnett, J., Evans, L.S., Gross, C., Kiem, A.S., Kingsford, R.T., Palutikof, J.P., Pickering, C.M. and Smithers, S.G. (2015). From barriers to limits to climate change adaptation: path dependency and the speed of change. </w:t>
      </w:r>
      <w:r>
        <w:rPr>
          <w:rFonts w:ascii="Times New Roman" w:eastAsia="Times New Roman" w:hAnsi="Times New Roman" w:cs="Times New Roman"/>
          <w:i/>
          <w:color w:val="000000"/>
          <w:sz w:val="24"/>
          <w:szCs w:val="24"/>
        </w:rPr>
        <w:t>Ecology and Sociology</w:t>
      </w:r>
      <w:r>
        <w:rPr>
          <w:rFonts w:ascii="Times New Roman" w:eastAsia="Times New Roman" w:hAnsi="Times New Roman" w:cs="Times New Roman"/>
          <w:color w:val="000000"/>
          <w:sz w:val="24"/>
          <w:szCs w:val="24"/>
        </w:rPr>
        <w:t xml:space="preserve">, </w:t>
      </w:r>
      <w:r w:rsidRPr="00516675">
        <w:rPr>
          <w:rFonts w:ascii="Times New Roman" w:eastAsia="Times New Roman" w:hAnsi="Times New Roman" w:cs="Times New Roman"/>
          <w:b/>
          <w:bCs/>
          <w:color w:val="000000"/>
          <w:sz w:val="24"/>
          <w:szCs w:val="24"/>
        </w:rPr>
        <w:t>20</w:t>
      </w:r>
      <w:r>
        <w:rPr>
          <w:rFonts w:ascii="Times New Roman" w:eastAsia="Times New Roman" w:hAnsi="Times New Roman" w:cs="Times New Roman"/>
          <w:color w:val="000000"/>
          <w:sz w:val="24"/>
          <w:szCs w:val="24"/>
        </w:rPr>
        <w:t>(3), 5.</w:t>
      </w:r>
    </w:p>
    <w:p w14:paraId="00000060" w14:textId="77777777" w:rsidR="00EE6CE9" w:rsidRDefault="00364A95">
      <w:pPr>
        <w:pBdr>
          <w:top w:val="nil"/>
          <w:left w:val="nil"/>
          <w:bottom w:val="nil"/>
          <w:right w:val="nil"/>
          <w:between w:val="nil"/>
        </w:pBdr>
        <w:spacing w:after="0" w:line="240" w:lineRule="auto"/>
        <w:ind w:left="720" w:hanging="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Bendito, A. and Barrios, E. (2016). ‘Convergent agency: Encouraging transdisciplinary approaches for effective climate change adaptation and disaster risk reduction’. </w:t>
      </w:r>
      <w:r>
        <w:rPr>
          <w:rFonts w:ascii="Times New Roman" w:eastAsia="Times New Roman" w:hAnsi="Times New Roman" w:cs="Times New Roman"/>
          <w:i/>
          <w:color w:val="000000"/>
          <w:sz w:val="24"/>
          <w:szCs w:val="24"/>
        </w:rPr>
        <w:t>International Journal of Disaster Risk Science</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b/>
          <w:color w:val="000000"/>
          <w:sz w:val="24"/>
          <w:szCs w:val="24"/>
        </w:rPr>
        <w:t>7</w:t>
      </w:r>
      <w:r>
        <w:rPr>
          <w:rFonts w:ascii="Times New Roman" w:eastAsia="Times New Roman" w:hAnsi="Times New Roman" w:cs="Times New Roman"/>
          <w:color w:val="000000"/>
          <w:sz w:val="24"/>
          <w:szCs w:val="24"/>
        </w:rPr>
        <w:t>, 430-435.</w:t>
      </w:r>
    </w:p>
    <w:p w14:paraId="00000061" w14:textId="77777777" w:rsidR="00EE6CE9" w:rsidRDefault="00364A95">
      <w:pPr>
        <w:pBdr>
          <w:top w:val="nil"/>
          <w:left w:val="nil"/>
          <w:bottom w:val="nil"/>
          <w:right w:val="nil"/>
          <w:between w:val="nil"/>
        </w:pBdr>
        <w:spacing w:after="0" w:line="240" w:lineRule="auto"/>
        <w:ind w:left="720" w:hanging="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Berrone, P., Fosfuri, A., Gelabert, L. and Gomez-Mejia, L.R. (2013). ‘Necessity as the mother of ‘green’ inventions: Institutional pressures and environmental innovations’. </w:t>
      </w:r>
      <w:r>
        <w:rPr>
          <w:rFonts w:ascii="Times New Roman" w:eastAsia="Times New Roman" w:hAnsi="Times New Roman" w:cs="Times New Roman"/>
          <w:i/>
          <w:color w:val="000000"/>
          <w:sz w:val="24"/>
          <w:szCs w:val="24"/>
        </w:rPr>
        <w:t>Strategic Management Journal</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b/>
          <w:color w:val="000000"/>
          <w:sz w:val="24"/>
          <w:szCs w:val="24"/>
        </w:rPr>
        <w:t>34</w:t>
      </w:r>
      <w:r>
        <w:rPr>
          <w:rFonts w:ascii="Times New Roman" w:eastAsia="Times New Roman" w:hAnsi="Times New Roman" w:cs="Times New Roman"/>
          <w:color w:val="000000"/>
          <w:sz w:val="24"/>
          <w:szCs w:val="24"/>
        </w:rPr>
        <w:t>(8), 891-909.</w:t>
      </w:r>
    </w:p>
    <w:p w14:paraId="27B3CD9B" w14:textId="426ACFE9" w:rsidR="00396A0E" w:rsidRDefault="00364A95">
      <w:pPr>
        <w:pBdr>
          <w:top w:val="nil"/>
          <w:left w:val="nil"/>
          <w:bottom w:val="nil"/>
          <w:right w:val="nil"/>
          <w:between w:val="nil"/>
        </w:pBdr>
        <w:spacing w:after="0" w:line="240" w:lineRule="auto"/>
        <w:ind w:left="720" w:hanging="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Blagoev., B. and Schreyögg, G. (</w:t>
      </w:r>
      <w:r w:rsidR="00396A0E">
        <w:rPr>
          <w:rFonts w:ascii="Times New Roman" w:eastAsia="Times New Roman" w:hAnsi="Times New Roman" w:cs="Times New Roman"/>
          <w:color w:val="000000"/>
          <w:sz w:val="24"/>
          <w:szCs w:val="24"/>
        </w:rPr>
        <w:t>2025</w:t>
      </w:r>
      <w:r>
        <w:rPr>
          <w:rFonts w:ascii="Times New Roman" w:eastAsia="Times New Roman" w:hAnsi="Times New Roman" w:cs="Times New Roman"/>
          <w:color w:val="000000"/>
          <w:sz w:val="24"/>
          <w:szCs w:val="24"/>
        </w:rPr>
        <w:t xml:space="preserve">). </w:t>
      </w:r>
      <w:r w:rsidR="00396A0E">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z w:val="24"/>
          <w:szCs w:val="24"/>
        </w:rPr>
        <w:t>Eigenzeit: A new lens on temporal complexity</w:t>
      </w:r>
      <w:r w:rsidR="00396A0E">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i/>
          <w:color w:val="000000"/>
          <w:sz w:val="24"/>
          <w:szCs w:val="24"/>
        </w:rPr>
        <w:t>Academy of Management Review,</w:t>
      </w:r>
      <w:r>
        <w:rPr>
          <w:rFonts w:ascii="Times New Roman" w:eastAsia="Times New Roman" w:hAnsi="Times New Roman" w:cs="Times New Roman"/>
          <w:color w:val="000000"/>
          <w:sz w:val="24"/>
          <w:szCs w:val="24"/>
        </w:rPr>
        <w:t xml:space="preserve"> </w:t>
      </w:r>
      <w:r w:rsidR="00396A0E" w:rsidRPr="00396A0E">
        <w:rPr>
          <w:rFonts w:ascii="Times New Roman" w:eastAsia="Times New Roman" w:hAnsi="Times New Roman" w:cs="Times New Roman"/>
          <w:b/>
          <w:bCs/>
          <w:color w:val="000000"/>
          <w:sz w:val="24"/>
          <w:szCs w:val="24"/>
        </w:rPr>
        <w:t>50</w:t>
      </w:r>
      <w:r w:rsidR="00396A0E">
        <w:rPr>
          <w:rFonts w:ascii="Times New Roman" w:eastAsia="Times New Roman" w:hAnsi="Times New Roman" w:cs="Times New Roman"/>
          <w:color w:val="000000"/>
          <w:sz w:val="24"/>
          <w:szCs w:val="24"/>
        </w:rPr>
        <w:t>(1): 93-113.</w:t>
      </w:r>
    </w:p>
    <w:p w14:paraId="00000063" w14:textId="77777777" w:rsidR="00EE6CE9" w:rsidRDefault="00364A95">
      <w:pPr>
        <w:pBdr>
          <w:top w:val="nil"/>
          <w:left w:val="nil"/>
          <w:bottom w:val="nil"/>
          <w:right w:val="nil"/>
          <w:between w:val="nil"/>
        </w:pBdr>
        <w:spacing w:after="0" w:line="240" w:lineRule="auto"/>
        <w:ind w:left="720" w:hanging="720"/>
        <w:rPr>
          <w:rFonts w:ascii="Times New Roman" w:eastAsia="Times New Roman" w:hAnsi="Times New Roman" w:cs="Times New Roman"/>
          <w:color w:val="000000"/>
          <w:sz w:val="24"/>
          <w:szCs w:val="24"/>
        </w:rPr>
      </w:pPr>
      <w:r w:rsidRPr="00E0197E">
        <w:rPr>
          <w:rFonts w:ascii="Times New Roman" w:eastAsia="Times New Roman" w:hAnsi="Times New Roman" w:cs="Times New Roman"/>
          <w:color w:val="000000"/>
          <w:sz w:val="24"/>
          <w:szCs w:val="24"/>
          <w:lang w:val="nl-NL"/>
        </w:rPr>
        <w:t xml:space="preserve">Bocken, N.M.P., de Pauw, I., Bakker, C. and van der Grinten, B. (2016). </w:t>
      </w:r>
      <w:r>
        <w:rPr>
          <w:rFonts w:ascii="Times New Roman" w:eastAsia="Times New Roman" w:hAnsi="Times New Roman" w:cs="Times New Roman"/>
          <w:color w:val="000000"/>
          <w:sz w:val="24"/>
          <w:szCs w:val="24"/>
        </w:rPr>
        <w:t xml:space="preserve">‘Product design and business model strategies for a circular economy’. </w:t>
      </w:r>
      <w:r>
        <w:rPr>
          <w:rFonts w:ascii="Times New Roman" w:eastAsia="Times New Roman" w:hAnsi="Times New Roman" w:cs="Times New Roman"/>
          <w:i/>
          <w:color w:val="000000"/>
          <w:sz w:val="24"/>
          <w:szCs w:val="24"/>
        </w:rPr>
        <w:t>Journal of Industrial and Production Engineering</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b/>
          <w:color w:val="000000"/>
          <w:sz w:val="24"/>
          <w:szCs w:val="24"/>
        </w:rPr>
        <w:t>33</w:t>
      </w:r>
      <w:r>
        <w:rPr>
          <w:rFonts w:ascii="Times New Roman" w:eastAsia="Times New Roman" w:hAnsi="Times New Roman" w:cs="Times New Roman"/>
          <w:color w:val="000000"/>
          <w:sz w:val="24"/>
          <w:szCs w:val="24"/>
        </w:rPr>
        <w:t>(5), 308-320.</w:t>
      </w:r>
    </w:p>
    <w:p w14:paraId="00000064" w14:textId="4ACBB68F" w:rsidR="00EE6CE9" w:rsidRDefault="00364A95">
      <w:pPr>
        <w:spacing w:after="0" w:line="240" w:lineRule="auto"/>
        <w:ind w:left="720"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Boe-Lillegraven, S., Georgallis, P. and Kolk, A. (2024). ‘Sea change? Sensemaking, firm reactions, and community resilience following climate disasters’. </w:t>
      </w:r>
      <w:r>
        <w:rPr>
          <w:rFonts w:ascii="Times New Roman" w:eastAsia="Times New Roman" w:hAnsi="Times New Roman" w:cs="Times New Roman"/>
          <w:i/>
          <w:sz w:val="24"/>
          <w:szCs w:val="24"/>
        </w:rPr>
        <w:t>Journal of Management Studies</w:t>
      </w:r>
      <w:r>
        <w:rPr>
          <w:rFonts w:ascii="Times New Roman" w:eastAsia="Times New Roman" w:hAnsi="Times New Roman" w:cs="Times New Roman"/>
          <w:sz w:val="24"/>
          <w:szCs w:val="24"/>
        </w:rPr>
        <w:t>, 61(7), 3021-3051.</w:t>
      </w:r>
    </w:p>
    <w:p w14:paraId="00000065" w14:textId="77777777" w:rsidR="00EE6CE9" w:rsidRDefault="00364A95">
      <w:pPr>
        <w:spacing w:after="0" w:line="240" w:lineRule="auto"/>
        <w:ind w:left="720"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Brown, S.L. and Eisenhardt, K.M. (1997). ‘The art of continuous change: Linking complexity theory and time-paced evolution in relentlessly shifting organizations’. </w:t>
      </w:r>
      <w:r>
        <w:rPr>
          <w:rFonts w:ascii="Times New Roman" w:eastAsia="Times New Roman" w:hAnsi="Times New Roman" w:cs="Times New Roman"/>
          <w:i/>
          <w:sz w:val="24"/>
          <w:szCs w:val="24"/>
        </w:rPr>
        <w:t>Administrative Science Quarterly</w:t>
      </w:r>
      <w:r>
        <w:rPr>
          <w:rFonts w:ascii="Times New Roman" w:eastAsia="Times New Roman" w:hAnsi="Times New Roman" w:cs="Times New Roman"/>
          <w:sz w:val="24"/>
          <w:szCs w:val="24"/>
        </w:rPr>
        <w:t xml:space="preserve">, </w:t>
      </w:r>
      <w:r>
        <w:rPr>
          <w:rFonts w:ascii="Times New Roman" w:eastAsia="Times New Roman" w:hAnsi="Times New Roman" w:cs="Times New Roman"/>
          <w:b/>
          <w:sz w:val="24"/>
          <w:szCs w:val="24"/>
        </w:rPr>
        <w:t>42</w:t>
      </w:r>
      <w:r>
        <w:rPr>
          <w:rFonts w:ascii="Times New Roman" w:eastAsia="Times New Roman" w:hAnsi="Times New Roman" w:cs="Times New Roman"/>
          <w:sz w:val="24"/>
          <w:szCs w:val="24"/>
        </w:rPr>
        <w:t>(1), 1-34.</w:t>
      </w:r>
    </w:p>
    <w:p w14:paraId="00000066" w14:textId="77777777" w:rsidR="00EE6CE9" w:rsidRDefault="00364A95">
      <w:pPr>
        <w:pBdr>
          <w:top w:val="nil"/>
          <w:left w:val="nil"/>
          <w:bottom w:val="nil"/>
          <w:right w:val="nil"/>
          <w:between w:val="nil"/>
        </w:pBdr>
        <w:spacing w:after="0" w:line="240" w:lineRule="auto"/>
        <w:ind w:left="720" w:hanging="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Buckley, P.J., Doh, J.P. and Benischke, M.H. (2017). ‘Towards a renaissance in international business research? Big questions, grand challenges, and the future of IB scholarship’. </w:t>
      </w:r>
      <w:r>
        <w:rPr>
          <w:rFonts w:ascii="Times New Roman" w:eastAsia="Times New Roman" w:hAnsi="Times New Roman" w:cs="Times New Roman"/>
          <w:i/>
          <w:color w:val="000000"/>
          <w:sz w:val="24"/>
          <w:szCs w:val="24"/>
        </w:rPr>
        <w:t>Journal of International Business Studies</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b/>
          <w:color w:val="000000"/>
          <w:sz w:val="24"/>
          <w:szCs w:val="24"/>
        </w:rPr>
        <w:t>48</w:t>
      </w:r>
      <w:r>
        <w:rPr>
          <w:rFonts w:ascii="Times New Roman" w:eastAsia="Times New Roman" w:hAnsi="Times New Roman" w:cs="Times New Roman"/>
          <w:color w:val="000000"/>
          <w:sz w:val="24"/>
          <w:szCs w:val="24"/>
        </w:rPr>
        <w:t>(9), 1045-1064.</w:t>
      </w:r>
    </w:p>
    <w:p w14:paraId="00000067" w14:textId="77777777" w:rsidR="00EE6CE9" w:rsidRDefault="00364A95">
      <w:pPr>
        <w:spacing w:after="0"/>
        <w:ind w:left="720"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Callery, P. and Kim, E.-H. (2024). Set &amp; done? Trade-offs between stakeholder expectation and attainment pressures in corporate carbon target management. </w:t>
      </w:r>
      <w:r>
        <w:rPr>
          <w:rFonts w:ascii="Times New Roman" w:eastAsia="Times New Roman" w:hAnsi="Times New Roman" w:cs="Times New Roman"/>
          <w:i/>
          <w:sz w:val="24"/>
          <w:szCs w:val="24"/>
        </w:rPr>
        <w:t>Journal of Management Studies</w:t>
      </w:r>
      <w:r>
        <w:rPr>
          <w:rFonts w:ascii="Times New Roman" w:eastAsia="Times New Roman" w:hAnsi="Times New Roman" w:cs="Times New Roman"/>
          <w:sz w:val="24"/>
          <w:szCs w:val="24"/>
        </w:rPr>
        <w:t>, doi:10.1111/joms.13140.</w:t>
      </w:r>
    </w:p>
    <w:p w14:paraId="00000068" w14:textId="77777777" w:rsidR="00EE6CE9" w:rsidRDefault="00364A95">
      <w:pPr>
        <w:spacing w:after="0" w:line="240" w:lineRule="auto"/>
        <w:ind w:left="720"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Cantwell, J., Dunning, J.H. and Lundan, S.M. (2010). ‘An evolutionary approach to understanding international business activity: The co-evolution of MNEs and the institutional environment’. </w:t>
      </w:r>
      <w:r>
        <w:rPr>
          <w:rFonts w:ascii="Times New Roman" w:eastAsia="Times New Roman" w:hAnsi="Times New Roman" w:cs="Times New Roman"/>
          <w:i/>
          <w:sz w:val="24"/>
          <w:szCs w:val="24"/>
        </w:rPr>
        <w:t>Journal of International Business Studies</w:t>
      </w:r>
      <w:r>
        <w:rPr>
          <w:rFonts w:ascii="Times New Roman" w:eastAsia="Times New Roman" w:hAnsi="Times New Roman" w:cs="Times New Roman"/>
          <w:sz w:val="24"/>
          <w:szCs w:val="24"/>
        </w:rPr>
        <w:t xml:space="preserve">, </w:t>
      </w:r>
      <w:r>
        <w:rPr>
          <w:rFonts w:ascii="Times New Roman" w:eastAsia="Times New Roman" w:hAnsi="Times New Roman" w:cs="Times New Roman"/>
          <w:b/>
          <w:sz w:val="24"/>
          <w:szCs w:val="24"/>
        </w:rPr>
        <w:t>41</w:t>
      </w:r>
      <w:r>
        <w:rPr>
          <w:rFonts w:ascii="Times New Roman" w:eastAsia="Times New Roman" w:hAnsi="Times New Roman" w:cs="Times New Roman"/>
          <w:sz w:val="24"/>
          <w:szCs w:val="24"/>
        </w:rPr>
        <w:t>(4), 567-586.</w:t>
      </w:r>
    </w:p>
    <w:p w14:paraId="00000069" w14:textId="465378E2" w:rsidR="00EE6CE9" w:rsidRDefault="00364A95">
      <w:pPr>
        <w:spacing w:after="0" w:line="240" w:lineRule="auto"/>
        <w:ind w:left="720"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Cantzler, J., Creutzig, F., Ayargarnch</w:t>
      </w:r>
      <w:r w:rsidR="00314735">
        <w:rPr>
          <w:rFonts w:ascii="Times New Roman" w:eastAsia="Times New Roman" w:hAnsi="Times New Roman" w:cs="Times New Roman"/>
          <w:sz w:val="24"/>
          <w:szCs w:val="24"/>
        </w:rPr>
        <w:t>a</w:t>
      </w:r>
      <w:r>
        <w:rPr>
          <w:rFonts w:ascii="Times New Roman" w:eastAsia="Times New Roman" w:hAnsi="Times New Roman" w:cs="Times New Roman"/>
          <w:sz w:val="24"/>
          <w:szCs w:val="24"/>
        </w:rPr>
        <w:t xml:space="preserve">nakul, E., Javaid, A., Wong, L. and Haas, W. (2020). ‘Saving resources and the climate? A systematic review of the circular economy and its mitigation potential’. </w:t>
      </w:r>
      <w:r>
        <w:rPr>
          <w:rFonts w:ascii="Times New Roman" w:eastAsia="Times New Roman" w:hAnsi="Times New Roman" w:cs="Times New Roman"/>
          <w:i/>
          <w:sz w:val="24"/>
          <w:szCs w:val="24"/>
        </w:rPr>
        <w:t>Environmental Research Letters</w:t>
      </w:r>
      <w:r>
        <w:rPr>
          <w:rFonts w:ascii="Times New Roman" w:eastAsia="Times New Roman" w:hAnsi="Times New Roman" w:cs="Times New Roman"/>
          <w:sz w:val="24"/>
          <w:szCs w:val="24"/>
        </w:rPr>
        <w:t xml:space="preserve">, </w:t>
      </w:r>
      <w:r>
        <w:rPr>
          <w:rFonts w:ascii="Times New Roman" w:eastAsia="Times New Roman" w:hAnsi="Times New Roman" w:cs="Times New Roman"/>
          <w:b/>
          <w:sz w:val="24"/>
          <w:szCs w:val="24"/>
        </w:rPr>
        <w:t>15</w:t>
      </w:r>
      <w:r>
        <w:rPr>
          <w:rFonts w:ascii="Times New Roman" w:eastAsia="Times New Roman" w:hAnsi="Times New Roman" w:cs="Times New Roman"/>
          <w:sz w:val="24"/>
          <w:szCs w:val="24"/>
        </w:rPr>
        <w:t>(12), 123001.</w:t>
      </w:r>
    </w:p>
    <w:p w14:paraId="0000006A" w14:textId="77777777" w:rsidR="00EE6CE9" w:rsidRDefault="00364A95">
      <w:pPr>
        <w:spacing w:after="0" w:line="240" w:lineRule="auto"/>
        <w:ind w:left="720"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Chakrabarti, A. (2015). ‘Organizational adaptation in an economic shock: The role of growth reconfiguration’. </w:t>
      </w:r>
      <w:r>
        <w:rPr>
          <w:rFonts w:ascii="Times New Roman" w:eastAsia="Times New Roman" w:hAnsi="Times New Roman" w:cs="Times New Roman"/>
          <w:i/>
          <w:sz w:val="24"/>
          <w:szCs w:val="24"/>
        </w:rPr>
        <w:t>Strategic Management Journal</w:t>
      </w:r>
      <w:r>
        <w:rPr>
          <w:rFonts w:ascii="Times New Roman" w:eastAsia="Times New Roman" w:hAnsi="Times New Roman" w:cs="Times New Roman"/>
          <w:sz w:val="24"/>
          <w:szCs w:val="24"/>
        </w:rPr>
        <w:t xml:space="preserve">, </w:t>
      </w:r>
      <w:r>
        <w:rPr>
          <w:rFonts w:ascii="Times New Roman" w:eastAsia="Times New Roman" w:hAnsi="Times New Roman" w:cs="Times New Roman"/>
          <w:b/>
          <w:sz w:val="24"/>
          <w:szCs w:val="24"/>
        </w:rPr>
        <w:t>36</w:t>
      </w:r>
      <w:r>
        <w:rPr>
          <w:rFonts w:ascii="Times New Roman" w:eastAsia="Times New Roman" w:hAnsi="Times New Roman" w:cs="Times New Roman"/>
          <w:sz w:val="24"/>
          <w:szCs w:val="24"/>
        </w:rPr>
        <w:t>(11), 1717-1738.</w:t>
      </w:r>
    </w:p>
    <w:p w14:paraId="0000006B" w14:textId="77777777" w:rsidR="00EE6CE9" w:rsidRDefault="00364A95">
      <w:pPr>
        <w:pBdr>
          <w:top w:val="nil"/>
          <w:left w:val="nil"/>
          <w:bottom w:val="nil"/>
          <w:right w:val="nil"/>
          <w:between w:val="nil"/>
        </w:pBdr>
        <w:spacing w:after="0" w:line="240" w:lineRule="auto"/>
        <w:ind w:left="720" w:hanging="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Christianson, M.K., Farkas, M.T., Sutcliffe, K.M. and Weick, K.E. (2009).</w:t>
      </w:r>
      <w:r>
        <w:rPr>
          <w:color w:val="000000"/>
          <w:sz w:val="20"/>
          <w:szCs w:val="20"/>
        </w:rPr>
        <w:t xml:space="preserve"> </w:t>
      </w:r>
      <w:r>
        <w:rPr>
          <w:rFonts w:ascii="Times New Roman" w:eastAsia="Times New Roman" w:hAnsi="Times New Roman" w:cs="Times New Roman"/>
          <w:color w:val="000000"/>
          <w:sz w:val="24"/>
          <w:szCs w:val="24"/>
        </w:rPr>
        <w:t xml:space="preserve">Learning through rare events: Significant interruptions at the Baltimore &amp; Ohio Railroad Museum. </w:t>
      </w:r>
      <w:r>
        <w:rPr>
          <w:rFonts w:ascii="Times New Roman" w:eastAsia="Times New Roman" w:hAnsi="Times New Roman" w:cs="Times New Roman"/>
          <w:i/>
          <w:color w:val="000000"/>
          <w:sz w:val="24"/>
          <w:szCs w:val="24"/>
        </w:rPr>
        <w:t>Organization Science</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b/>
          <w:color w:val="000000"/>
          <w:sz w:val="24"/>
          <w:szCs w:val="24"/>
        </w:rPr>
        <w:t>20</w:t>
      </w:r>
      <w:r>
        <w:rPr>
          <w:rFonts w:ascii="Times New Roman" w:eastAsia="Times New Roman" w:hAnsi="Times New Roman" w:cs="Times New Roman"/>
          <w:color w:val="000000"/>
          <w:sz w:val="24"/>
          <w:szCs w:val="24"/>
        </w:rPr>
        <w:t>(5), 846-860.</w:t>
      </w:r>
    </w:p>
    <w:p w14:paraId="0000006C" w14:textId="77777777" w:rsidR="00EE6CE9" w:rsidRDefault="00364A95">
      <w:pPr>
        <w:pBdr>
          <w:top w:val="nil"/>
          <w:left w:val="nil"/>
          <w:bottom w:val="nil"/>
          <w:right w:val="nil"/>
          <w:between w:val="nil"/>
        </w:pBdr>
        <w:spacing w:after="0" w:line="240" w:lineRule="auto"/>
        <w:ind w:left="720" w:hanging="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Cevik, S., &amp; Jalles, J.T. (2023). ‘For whom the bell tolls: Climate change and income inequality’. </w:t>
      </w:r>
      <w:r>
        <w:rPr>
          <w:rFonts w:ascii="Times New Roman" w:eastAsia="Times New Roman" w:hAnsi="Times New Roman" w:cs="Times New Roman"/>
          <w:i/>
          <w:color w:val="000000"/>
          <w:sz w:val="24"/>
          <w:szCs w:val="24"/>
        </w:rPr>
        <w:t>Energy Policy</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b/>
          <w:color w:val="000000"/>
          <w:sz w:val="24"/>
          <w:szCs w:val="24"/>
        </w:rPr>
        <w:t>174</w:t>
      </w:r>
      <w:r>
        <w:rPr>
          <w:rFonts w:ascii="Times New Roman" w:eastAsia="Times New Roman" w:hAnsi="Times New Roman" w:cs="Times New Roman"/>
          <w:color w:val="000000"/>
          <w:sz w:val="24"/>
          <w:szCs w:val="24"/>
        </w:rPr>
        <w:t>: 113475.</w:t>
      </w:r>
    </w:p>
    <w:p w14:paraId="0000006D" w14:textId="77777777" w:rsidR="00EE6CE9" w:rsidRDefault="00364A95">
      <w:pPr>
        <w:pBdr>
          <w:top w:val="nil"/>
          <w:left w:val="nil"/>
          <w:bottom w:val="nil"/>
          <w:right w:val="nil"/>
          <w:between w:val="nil"/>
        </w:pBdr>
        <w:spacing w:after="0" w:line="240" w:lineRule="auto"/>
        <w:ind w:left="720" w:hanging="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Clément, V. and Rivera, J. (2017). ‘From adaptation to transformation: An extended research agenda for organizational resilience to adversity in the natural environment’. </w:t>
      </w:r>
      <w:r>
        <w:rPr>
          <w:rFonts w:ascii="Times New Roman" w:eastAsia="Times New Roman" w:hAnsi="Times New Roman" w:cs="Times New Roman"/>
          <w:i/>
          <w:color w:val="000000"/>
          <w:sz w:val="24"/>
          <w:szCs w:val="24"/>
        </w:rPr>
        <w:t>Organization &amp; Environment</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b/>
          <w:color w:val="000000"/>
          <w:sz w:val="24"/>
          <w:szCs w:val="24"/>
        </w:rPr>
        <w:t>30</w:t>
      </w:r>
      <w:r>
        <w:rPr>
          <w:rFonts w:ascii="Times New Roman" w:eastAsia="Times New Roman" w:hAnsi="Times New Roman" w:cs="Times New Roman"/>
          <w:color w:val="000000"/>
          <w:sz w:val="24"/>
          <w:szCs w:val="24"/>
        </w:rPr>
        <w:t>(4), 346-365.</w:t>
      </w:r>
    </w:p>
    <w:p w14:paraId="0000006E" w14:textId="77777777" w:rsidR="00EE6CE9" w:rsidRDefault="00364A95">
      <w:pPr>
        <w:spacing w:after="0" w:line="240" w:lineRule="auto"/>
        <w:ind w:left="720"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Cutter, S.L., Barnes, L., Berry, M., Burton, C., Evans, E., Tate, E. and Webb, J. (2008). ‘A place-based model for understanding community resilience to natural disasters’. </w:t>
      </w:r>
      <w:r>
        <w:rPr>
          <w:rFonts w:ascii="Times New Roman" w:eastAsia="Times New Roman" w:hAnsi="Times New Roman" w:cs="Times New Roman"/>
          <w:i/>
          <w:sz w:val="24"/>
          <w:szCs w:val="24"/>
        </w:rPr>
        <w:t>Global Environmental Change</w:t>
      </w:r>
      <w:r>
        <w:rPr>
          <w:rFonts w:ascii="Times New Roman" w:eastAsia="Times New Roman" w:hAnsi="Times New Roman" w:cs="Times New Roman"/>
          <w:sz w:val="24"/>
          <w:szCs w:val="24"/>
        </w:rPr>
        <w:t xml:space="preserve">, </w:t>
      </w:r>
      <w:r>
        <w:rPr>
          <w:rFonts w:ascii="Times New Roman" w:eastAsia="Times New Roman" w:hAnsi="Times New Roman" w:cs="Times New Roman"/>
          <w:b/>
          <w:sz w:val="24"/>
          <w:szCs w:val="24"/>
        </w:rPr>
        <w:t>18</w:t>
      </w:r>
      <w:r>
        <w:rPr>
          <w:rFonts w:ascii="Times New Roman" w:eastAsia="Times New Roman" w:hAnsi="Times New Roman" w:cs="Times New Roman"/>
          <w:sz w:val="24"/>
          <w:szCs w:val="24"/>
        </w:rPr>
        <w:t>(4), 598-606.</w:t>
      </w:r>
    </w:p>
    <w:p w14:paraId="0000006F" w14:textId="77777777" w:rsidR="00EE6CE9" w:rsidRDefault="00364A95">
      <w:pPr>
        <w:spacing w:after="0" w:line="240" w:lineRule="auto"/>
        <w:ind w:left="720"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D’Amato, D., Veijonaho, S. and Toppinen, A. (2020). ‘Towards sustainability? Forest-based circular bioeconomy business models in Finnish SMEs’. </w:t>
      </w:r>
      <w:r>
        <w:rPr>
          <w:rFonts w:ascii="Times New Roman" w:eastAsia="Times New Roman" w:hAnsi="Times New Roman" w:cs="Times New Roman"/>
          <w:i/>
          <w:sz w:val="24"/>
          <w:szCs w:val="24"/>
        </w:rPr>
        <w:t>Forest Policy and Economics</w:t>
      </w:r>
      <w:r>
        <w:rPr>
          <w:rFonts w:ascii="Times New Roman" w:eastAsia="Times New Roman" w:hAnsi="Times New Roman" w:cs="Times New Roman"/>
          <w:sz w:val="24"/>
          <w:szCs w:val="24"/>
        </w:rPr>
        <w:t xml:space="preserve">, </w:t>
      </w:r>
      <w:r>
        <w:rPr>
          <w:rFonts w:ascii="Times New Roman" w:eastAsia="Times New Roman" w:hAnsi="Times New Roman" w:cs="Times New Roman"/>
          <w:b/>
          <w:sz w:val="24"/>
          <w:szCs w:val="24"/>
        </w:rPr>
        <w:t>110</w:t>
      </w:r>
      <w:r>
        <w:rPr>
          <w:rFonts w:ascii="Times New Roman" w:eastAsia="Times New Roman" w:hAnsi="Times New Roman" w:cs="Times New Roman"/>
          <w:sz w:val="24"/>
          <w:szCs w:val="24"/>
        </w:rPr>
        <w:t xml:space="preserve">, 101848. </w:t>
      </w:r>
    </w:p>
    <w:p w14:paraId="00000070" w14:textId="77777777" w:rsidR="00EE6CE9" w:rsidRDefault="00364A95">
      <w:pPr>
        <w:spacing w:after="0" w:line="240" w:lineRule="auto"/>
        <w:ind w:left="720"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De Angelis, R. (2021). ‘Circular economy: Laying the foundations for conceptual and theoretical development in management studies’. </w:t>
      </w:r>
      <w:r>
        <w:rPr>
          <w:rFonts w:ascii="Times New Roman" w:eastAsia="Times New Roman" w:hAnsi="Times New Roman" w:cs="Times New Roman"/>
          <w:i/>
          <w:sz w:val="24"/>
          <w:szCs w:val="24"/>
        </w:rPr>
        <w:t>Management Decision</w:t>
      </w:r>
      <w:r>
        <w:rPr>
          <w:rFonts w:ascii="Times New Roman" w:eastAsia="Times New Roman" w:hAnsi="Times New Roman" w:cs="Times New Roman"/>
          <w:sz w:val="24"/>
          <w:szCs w:val="24"/>
        </w:rPr>
        <w:t xml:space="preserve">, </w:t>
      </w:r>
      <w:r>
        <w:rPr>
          <w:rFonts w:ascii="Times New Roman" w:eastAsia="Times New Roman" w:hAnsi="Times New Roman" w:cs="Times New Roman"/>
          <w:b/>
          <w:sz w:val="24"/>
          <w:szCs w:val="24"/>
        </w:rPr>
        <w:t>59</w:t>
      </w:r>
      <w:r>
        <w:rPr>
          <w:rFonts w:ascii="Times New Roman" w:eastAsia="Times New Roman" w:hAnsi="Times New Roman" w:cs="Times New Roman"/>
          <w:sz w:val="24"/>
          <w:szCs w:val="24"/>
        </w:rPr>
        <w:t>(6), 1209-1227.</w:t>
      </w:r>
    </w:p>
    <w:p w14:paraId="00000072" w14:textId="77777777" w:rsidR="00EE6CE9" w:rsidRDefault="00364A95">
      <w:pPr>
        <w:spacing w:after="0" w:line="240" w:lineRule="auto"/>
        <w:ind w:left="720"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DiMaggio, P.J. and Powell, W.W. (1983). ‘The Iron Cage revisited: Institutional isomorphism and collective rationality in organizational fields’. </w:t>
      </w:r>
      <w:r>
        <w:rPr>
          <w:rFonts w:ascii="Times New Roman" w:eastAsia="Times New Roman" w:hAnsi="Times New Roman" w:cs="Times New Roman"/>
          <w:i/>
          <w:sz w:val="24"/>
          <w:szCs w:val="24"/>
        </w:rPr>
        <w:t>American Sociological Review</w:t>
      </w:r>
      <w:r>
        <w:rPr>
          <w:rFonts w:ascii="Times New Roman" w:eastAsia="Times New Roman" w:hAnsi="Times New Roman" w:cs="Times New Roman"/>
          <w:sz w:val="24"/>
          <w:szCs w:val="24"/>
        </w:rPr>
        <w:t xml:space="preserve">, </w:t>
      </w:r>
      <w:r w:rsidRPr="00516675">
        <w:rPr>
          <w:rFonts w:ascii="Times New Roman" w:eastAsia="Times New Roman" w:hAnsi="Times New Roman" w:cs="Times New Roman"/>
          <w:b/>
          <w:bCs/>
          <w:sz w:val="24"/>
          <w:szCs w:val="24"/>
        </w:rPr>
        <w:t>48</w:t>
      </w:r>
      <w:r>
        <w:rPr>
          <w:rFonts w:ascii="Times New Roman" w:eastAsia="Times New Roman" w:hAnsi="Times New Roman" w:cs="Times New Roman"/>
          <w:sz w:val="24"/>
          <w:szCs w:val="24"/>
        </w:rPr>
        <w:t>(2), 147-160.</w:t>
      </w:r>
    </w:p>
    <w:p w14:paraId="00000073" w14:textId="77777777" w:rsidR="00EE6CE9" w:rsidRDefault="00364A95">
      <w:pPr>
        <w:pBdr>
          <w:top w:val="nil"/>
          <w:left w:val="nil"/>
          <w:bottom w:val="nil"/>
          <w:right w:val="nil"/>
          <w:between w:val="nil"/>
        </w:pBdr>
        <w:spacing w:after="0" w:line="240" w:lineRule="auto"/>
        <w:ind w:left="720" w:hanging="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Doh, J.P., Tashman, P. and Benischke, M.H. (2019). ‘Adapting to grand environmental challenges through collective entrepreneurship’. </w:t>
      </w:r>
      <w:r>
        <w:rPr>
          <w:rFonts w:ascii="Times New Roman" w:eastAsia="Times New Roman" w:hAnsi="Times New Roman" w:cs="Times New Roman"/>
          <w:i/>
          <w:color w:val="000000"/>
          <w:sz w:val="24"/>
          <w:szCs w:val="24"/>
        </w:rPr>
        <w:t>Academy of Management Perspectives</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b/>
          <w:color w:val="000000"/>
          <w:sz w:val="24"/>
          <w:szCs w:val="24"/>
        </w:rPr>
        <w:t>33</w:t>
      </w:r>
      <w:r>
        <w:rPr>
          <w:rFonts w:ascii="Times New Roman" w:eastAsia="Times New Roman" w:hAnsi="Times New Roman" w:cs="Times New Roman"/>
          <w:color w:val="000000"/>
          <w:sz w:val="24"/>
          <w:szCs w:val="24"/>
        </w:rPr>
        <w:t>(4), 450-468.</w:t>
      </w:r>
    </w:p>
    <w:p w14:paraId="00000074" w14:textId="77777777" w:rsidR="00EE6CE9" w:rsidRDefault="00364A95">
      <w:pPr>
        <w:pBdr>
          <w:top w:val="nil"/>
          <w:left w:val="nil"/>
          <w:bottom w:val="nil"/>
          <w:right w:val="nil"/>
          <w:between w:val="nil"/>
        </w:pBdr>
        <w:spacing w:after="0" w:line="240" w:lineRule="auto"/>
        <w:ind w:left="720" w:hanging="720"/>
        <w:rPr>
          <w:rFonts w:ascii="Times New Roman" w:eastAsia="Times New Roman" w:hAnsi="Times New Roman" w:cs="Times New Roman"/>
          <w:color w:val="000000"/>
          <w:sz w:val="24"/>
          <w:szCs w:val="24"/>
        </w:rPr>
      </w:pPr>
      <w:bookmarkStart w:id="2" w:name="_heading=h.1fob9te" w:colFirst="0" w:colLast="0"/>
      <w:bookmarkEnd w:id="2"/>
      <w:r>
        <w:rPr>
          <w:rFonts w:ascii="Times New Roman" w:eastAsia="Times New Roman" w:hAnsi="Times New Roman" w:cs="Times New Roman"/>
          <w:color w:val="000000"/>
          <w:sz w:val="24"/>
          <w:szCs w:val="24"/>
        </w:rPr>
        <w:t xml:space="preserve">Dolšak, N. and Prakash, A. (2018). ‘The politics of climate change adaptation’. </w:t>
      </w:r>
      <w:r>
        <w:rPr>
          <w:rFonts w:ascii="Times New Roman" w:eastAsia="Times New Roman" w:hAnsi="Times New Roman" w:cs="Times New Roman"/>
          <w:i/>
          <w:color w:val="000000"/>
          <w:sz w:val="24"/>
          <w:szCs w:val="24"/>
        </w:rPr>
        <w:t>Annual Review of Environment and Resources</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b/>
          <w:color w:val="000000"/>
          <w:sz w:val="24"/>
          <w:szCs w:val="24"/>
        </w:rPr>
        <w:t>43</w:t>
      </w:r>
      <w:r>
        <w:rPr>
          <w:rFonts w:ascii="Times New Roman" w:eastAsia="Times New Roman" w:hAnsi="Times New Roman" w:cs="Times New Roman"/>
          <w:color w:val="000000"/>
          <w:sz w:val="24"/>
          <w:szCs w:val="24"/>
        </w:rPr>
        <w:t xml:space="preserve">, 317-341. </w:t>
      </w:r>
    </w:p>
    <w:p w14:paraId="00000075" w14:textId="77777777" w:rsidR="00EE6CE9" w:rsidRDefault="00364A95">
      <w:pPr>
        <w:pBdr>
          <w:top w:val="nil"/>
          <w:left w:val="nil"/>
          <w:bottom w:val="nil"/>
          <w:right w:val="nil"/>
          <w:between w:val="nil"/>
        </w:pBdr>
        <w:spacing w:after="0" w:line="240" w:lineRule="auto"/>
        <w:ind w:left="720" w:hanging="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Endenich, C., Hahn, R., Reimsbach, D. and Wickert, C. (2023). ‘Wait-and-see-ism as partial adoption of management practices: The rise and stall of integrated reporting’. </w:t>
      </w:r>
      <w:r>
        <w:rPr>
          <w:rFonts w:ascii="Times New Roman" w:eastAsia="Times New Roman" w:hAnsi="Times New Roman" w:cs="Times New Roman"/>
          <w:i/>
          <w:color w:val="000000"/>
          <w:sz w:val="24"/>
          <w:szCs w:val="24"/>
        </w:rPr>
        <w:t>Strategic Organization</w:t>
      </w:r>
      <w:r>
        <w:rPr>
          <w:rFonts w:ascii="Times New Roman" w:eastAsia="Times New Roman" w:hAnsi="Times New Roman" w:cs="Times New Roman"/>
          <w:color w:val="000000"/>
          <w:sz w:val="24"/>
          <w:szCs w:val="24"/>
        </w:rPr>
        <w:t>, 21(3), 566-595.</w:t>
      </w:r>
    </w:p>
    <w:p w14:paraId="00000076" w14:textId="42C1480E" w:rsidR="00EE6CE9" w:rsidRDefault="00364A95">
      <w:pPr>
        <w:pBdr>
          <w:top w:val="nil"/>
          <w:left w:val="nil"/>
          <w:bottom w:val="nil"/>
          <w:right w:val="nil"/>
          <w:between w:val="nil"/>
        </w:pBdr>
        <w:spacing w:after="0" w:line="240" w:lineRule="auto"/>
        <w:ind w:left="720" w:hanging="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Falcke, L., Zobel, A.-K., Yoo, Y. and Tucci, C. (2024). Digital sustainability strategies: Digitally enabled and digital-first innovation for Net Zero. </w:t>
      </w:r>
      <w:r>
        <w:rPr>
          <w:rFonts w:ascii="Times New Roman" w:eastAsia="Times New Roman" w:hAnsi="Times New Roman" w:cs="Times New Roman"/>
          <w:i/>
          <w:color w:val="000000"/>
          <w:sz w:val="24"/>
          <w:szCs w:val="24"/>
        </w:rPr>
        <w:t>Academy of Management Perspectives,</w:t>
      </w:r>
      <w:r>
        <w:rPr>
          <w:rFonts w:ascii="Times New Roman" w:eastAsia="Times New Roman" w:hAnsi="Times New Roman" w:cs="Times New Roman"/>
          <w:color w:val="000000"/>
          <w:sz w:val="24"/>
          <w:szCs w:val="24"/>
        </w:rPr>
        <w:t xml:space="preserve"> </w:t>
      </w:r>
      <w:r w:rsidR="00E53E98">
        <w:rPr>
          <w:rFonts w:ascii="Times New Roman" w:eastAsia="Times New Roman" w:hAnsi="Times New Roman" w:cs="Times New Roman"/>
          <w:color w:val="000000"/>
          <w:sz w:val="24"/>
          <w:szCs w:val="24"/>
        </w:rPr>
        <w:t>In press</w:t>
      </w:r>
      <w:r>
        <w:rPr>
          <w:rFonts w:ascii="Times New Roman" w:eastAsia="Times New Roman" w:hAnsi="Times New Roman" w:cs="Times New Roman"/>
          <w:color w:val="000000"/>
          <w:sz w:val="24"/>
          <w:szCs w:val="24"/>
        </w:rPr>
        <w:t xml:space="preserve">, </w:t>
      </w:r>
      <w:hyperlink r:id="rId10">
        <w:r w:rsidR="00EE6CE9">
          <w:rPr>
            <w:rFonts w:ascii="Times New Roman" w:eastAsia="Times New Roman" w:hAnsi="Times New Roman" w:cs="Times New Roman"/>
            <w:color w:val="0000FF"/>
            <w:sz w:val="24"/>
            <w:szCs w:val="24"/>
            <w:u w:val="single"/>
          </w:rPr>
          <w:t>https://doi.org/10.5465/amp.2023.0169</w:t>
        </w:r>
      </w:hyperlink>
      <w:r>
        <w:rPr>
          <w:rFonts w:ascii="Times New Roman" w:eastAsia="Times New Roman" w:hAnsi="Times New Roman" w:cs="Times New Roman"/>
          <w:color w:val="000000"/>
          <w:sz w:val="24"/>
          <w:szCs w:val="24"/>
        </w:rPr>
        <w:t xml:space="preserve">. </w:t>
      </w:r>
    </w:p>
    <w:p w14:paraId="00000077" w14:textId="75197765" w:rsidR="00EE6CE9" w:rsidRDefault="00364A95">
      <w:pPr>
        <w:pBdr>
          <w:top w:val="nil"/>
          <w:left w:val="nil"/>
          <w:bottom w:val="nil"/>
          <w:right w:val="nil"/>
          <w:between w:val="nil"/>
        </w:pBdr>
        <w:spacing w:after="0" w:line="240" w:lineRule="auto"/>
        <w:ind w:left="720" w:hanging="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Feldman, M.S., Worline, M., Baker, N. and Bredow, V.L. (202</w:t>
      </w:r>
      <w:r w:rsidR="00BE58D4">
        <w:rPr>
          <w:rFonts w:ascii="Times New Roman" w:eastAsia="Times New Roman" w:hAnsi="Times New Roman" w:cs="Times New Roman"/>
          <w:color w:val="000000"/>
          <w:sz w:val="24"/>
          <w:szCs w:val="24"/>
        </w:rPr>
        <w:t>1</w:t>
      </w:r>
      <w:r>
        <w:rPr>
          <w:rFonts w:ascii="Times New Roman" w:eastAsia="Times New Roman" w:hAnsi="Times New Roman" w:cs="Times New Roman"/>
          <w:color w:val="000000"/>
          <w:sz w:val="24"/>
          <w:szCs w:val="24"/>
        </w:rPr>
        <w:t xml:space="preserve">). ‘Continuity as patterning: A process perspective on continuity’. </w:t>
      </w:r>
      <w:r>
        <w:rPr>
          <w:rFonts w:ascii="Times New Roman" w:eastAsia="Times New Roman" w:hAnsi="Times New Roman" w:cs="Times New Roman"/>
          <w:i/>
          <w:color w:val="000000"/>
          <w:sz w:val="24"/>
          <w:szCs w:val="24"/>
        </w:rPr>
        <w:t>Strategic Organization</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b/>
          <w:color w:val="000000"/>
          <w:sz w:val="24"/>
          <w:szCs w:val="24"/>
        </w:rPr>
        <w:t>20</w:t>
      </w:r>
      <w:r>
        <w:rPr>
          <w:rFonts w:ascii="Times New Roman" w:eastAsia="Times New Roman" w:hAnsi="Times New Roman" w:cs="Times New Roman"/>
          <w:color w:val="000000"/>
          <w:sz w:val="24"/>
          <w:szCs w:val="24"/>
        </w:rPr>
        <w:t>(1), 80-109.</w:t>
      </w:r>
    </w:p>
    <w:p w14:paraId="00000078" w14:textId="77777777" w:rsidR="00EE6CE9" w:rsidRDefault="00364A95">
      <w:pPr>
        <w:pBdr>
          <w:top w:val="nil"/>
          <w:left w:val="nil"/>
          <w:bottom w:val="nil"/>
          <w:right w:val="nil"/>
          <w:between w:val="nil"/>
        </w:pBdr>
        <w:spacing w:after="0" w:line="240" w:lineRule="auto"/>
        <w:ind w:left="720" w:hanging="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Fernhaber, S.A. and Zou, H. (2022). ‘Advancing societal grand challenge research at the interface of entrepreneurship and international business: A review and research agenda’. </w:t>
      </w:r>
      <w:r>
        <w:rPr>
          <w:rFonts w:ascii="Times New Roman" w:eastAsia="Times New Roman" w:hAnsi="Times New Roman" w:cs="Times New Roman"/>
          <w:i/>
          <w:color w:val="000000"/>
          <w:sz w:val="24"/>
          <w:szCs w:val="24"/>
        </w:rPr>
        <w:t>Journal of Business Venturing</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b/>
          <w:color w:val="000000"/>
          <w:sz w:val="24"/>
          <w:szCs w:val="24"/>
        </w:rPr>
        <w:t>37</w:t>
      </w:r>
      <w:r>
        <w:rPr>
          <w:rFonts w:ascii="Times New Roman" w:eastAsia="Times New Roman" w:hAnsi="Times New Roman" w:cs="Times New Roman"/>
          <w:color w:val="000000"/>
          <w:sz w:val="24"/>
          <w:szCs w:val="24"/>
        </w:rPr>
        <w:t>(5), 106233.</w:t>
      </w:r>
    </w:p>
    <w:p w14:paraId="00000079" w14:textId="77777777" w:rsidR="00EE6CE9" w:rsidRDefault="00364A95">
      <w:pPr>
        <w:pBdr>
          <w:top w:val="nil"/>
          <w:left w:val="nil"/>
          <w:bottom w:val="nil"/>
          <w:right w:val="nil"/>
          <w:between w:val="nil"/>
        </w:pBdr>
        <w:spacing w:after="0" w:line="240" w:lineRule="auto"/>
        <w:ind w:left="720" w:hanging="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Feuls, M., Hernes, T. and Schultz, M. (2024). ‘Putting distant futures into action: How actors sustain a course of action toward distant-future goals through path enactment’. </w:t>
      </w:r>
      <w:r>
        <w:rPr>
          <w:rFonts w:ascii="Times New Roman" w:eastAsia="Times New Roman" w:hAnsi="Times New Roman" w:cs="Times New Roman"/>
          <w:i/>
          <w:color w:val="000000"/>
          <w:sz w:val="24"/>
          <w:szCs w:val="24"/>
        </w:rPr>
        <w:t>Academy of Management Journal</w:t>
      </w:r>
      <w:r>
        <w:rPr>
          <w:rFonts w:ascii="Times New Roman" w:eastAsia="Times New Roman" w:hAnsi="Times New Roman" w:cs="Times New Roman"/>
          <w:color w:val="000000"/>
          <w:sz w:val="24"/>
          <w:szCs w:val="24"/>
        </w:rPr>
        <w:t xml:space="preserve">, in press. Doi: </w:t>
      </w:r>
      <w:hyperlink r:id="rId11">
        <w:r w:rsidR="00EE6CE9">
          <w:rPr>
            <w:rFonts w:ascii="Times New Roman" w:eastAsia="Times New Roman" w:hAnsi="Times New Roman" w:cs="Times New Roman"/>
            <w:color w:val="0000FF"/>
            <w:sz w:val="24"/>
            <w:szCs w:val="24"/>
            <w:u w:val="single"/>
          </w:rPr>
          <w:t>https://doi.org/10.5465/amj.2022.0257</w:t>
        </w:r>
      </w:hyperlink>
      <w:r>
        <w:rPr>
          <w:rFonts w:ascii="Times New Roman" w:eastAsia="Times New Roman" w:hAnsi="Times New Roman" w:cs="Times New Roman"/>
          <w:color w:val="000000"/>
          <w:sz w:val="24"/>
          <w:szCs w:val="24"/>
        </w:rPr>
        <w:t xml:space="preserve">. </w:t>
      </w:r>
    </w:p>
    <w:p w14:paraId="0000007A" w14:textId="77777777" w:rsidR="00EE6CE9" w:rsidRDefault="00364A95">
      <w:pPr>
        <w:spacing w:after="0" w:line="240" w:lineRule="auto"/>
        <w:ind w:left="720"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Flammer, C. and Ioannou, I. (2021). ‘Strategic management during the financial crisis: How firms adjust their strategic investments in response to credit market disruptions’. </w:t>
      </w:r>
      <w:r>
        <w:rPr>
          <w:rFonts w:ascii="Times New Roman" w:eastAsia="Times New Roman" w:hAnsi="Times New Roman" w:cs="Times New Roman"/>
          <w:i/>
          <w:sz w:val="24"/>
          <w:szCs w:val="24"/>
        </w:rPr>
        <w:t>Strategic Management Journal</w:t>
      </w:r>
      <w:r>
        <w:rPr>
          <w:rFonts w:ascii="Times New Roman" w:eastAsia="Times New Roman" w:hAnsi="Times New Roman" w:cs="Times New Roman"/>
          <w:sz w:val="24"/>
          <w:szCs w:val="24"/>
        </w:rPr>
        <w:t xml:space="preserve">, </w:t>
      </w:r>
      <w:r>
        <w:rPr>
          <w:rFonts w:ascii="Times New Roman" w:eastAsia="Times New Roman" w:hAnsi="Times New Roman" w:cs="Times New Roman"/>
          <w:b/>
          <w:sz w:val="24"/>
          <w:szCs w:val="24"/>
        </w:rPr>
        <w:t>42</w:t>
      </w:r>
      <w:r>
        <w:rPr>
          <w:rFonts w:ascii="Times New Roman" w:eastAsia="Times New Roman" w:hAnsi="Times New Roman" w:cs="Times New Roman"/>
          <w:sz w:val="24"/>
          <w:szCs w:val="24"/>
        </w:rPr>
        <w:t xml:space="preserve">(7), 1275-1298. </w:t>
      </w:r>
    </w:p>
    <w:p w14:paraId="0000007B" w14:textId="77777777" w:rsidR="00EE6CE9" w:rsidRDefault="00364A95">
      <w:pPr>
        <w:pBdr>
          <w:top w:val="nil"/>
          <w:left w:val="nil"/>
          <w:bottom w:val="nil"/>
          <w:right w:val="nil"/>
          <w:between w:val="nil"/>
        </w:pBdr>
        <w:spacing w:after="0" w:line="240" w:lineRule="auto"/>
        <w:ind w:left="720" w:hanging="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Flavelle, C. (2024). ‘As climate toll grows, FEMA imposes limits on building in flood plains’. New York Times, 10 July. Available at: </w:t>
      </w:r>
      <w:hyperlink r:id="rId12">
        <w:r w:rsidR="00EE6CE9">
          <w:rPr>
            <w:rFonts w:ascii="Times New Roman" w:eastAsia="Times New Roman" w:hAnsi="Times New Roman" w:cs="Times New Roman"/>
            <w:color w:val="0000FF"/>
            <w:sz w:val="24"/>
            <w:szCs w:val="24"/>
            <w:u w:val="single"/>
          </w:rPr>
          <w:t>https://www.nytimes.com/2024/07/10/climate/fema-flooding-construction-rules.html</w:t>
        </w:r>
      </w:hyperlink>
      <w:r>
        <w:rPr>
          <w:rFonts w:ascii="Times New Roman" w:eastAsia="Times New Roman" w:hAnsi="Times New Roman" w:cs="Times New Roman"/>
          <w:color w:val="000000"/>
          <w:sz w:val="24"/>
          <w:szCs w:val="24"/>
        </w:rPr>
        <w:t xml:space="preserve"> [accessed 15 August 2024].</w:t>
      </w:r>
    </w:p>
    <w:p w14:paraId="0000007C" w14:textId="77777777" w:rsidR="00EE6CE9" w:rsidRDefault="00364A95">
      <w:pPr>
        <w:spacing w:after="0" w:line="240" w:lineRule="auto"/>
        <w:ind w:left="720" w:hanging="720"/>
        <w:rPr>
          <w:rFonts w:ascii="Times New Roman" w:eastAsia="Times New Roman" w:hAnsi="Times New Roman" w:cs="Times New Roman"/>
          <w:sz w:val="24"/>
          <w:szCs w:val="24"/>
        </w:rPr>
      </w:pPr>
      <w:r w:rsidRPr="0002289D">
        <w:rPr>
          <w:rFonts w:ascii="Times New Roman" w:eastAsia="Times New Roman" w:hAnsi="Times New Roman" w:cs="Times New Roman"/>
          <w:sz w:val="24"/>
          <w:szCs w:val="24"/>
          <w:lang w:val="de-DE"/>
        </w:rPr>
        <w:t xml:space="preserve">Flyverbom, M. and Garsten, C. (2021). </w:t>
      </w:r>
      <w:r>
        <w:rPr>
          <w:rFonts w:ascii="Times New Roman" w:eastAsia="Times New Roman" w:hAnsi="Times New Roman" w:cs="Times New Roman"/>
          <w:sz w:val="24"/>
          <w:szCs w:val="24"/>
        </w:rPr>
        <w:t xml:space="preserve">‘Anticipation and organization: Seeing, knowing and governing futures’. </w:t>
      </w:r>
      <w:r>
        <w:rPr>
          <w:rFonts w:ascii="Times New Roman" w:eastAsia="Times New Roman" w:hAnsi="Times New Roman" w:cs="Times New Roman"/>
          <w:i/>
          <w:sz w:val="24"/>
          <w:szCs w:val="24"/>
        </w:rPr>
        <w:t>Organization Theory</w:t>
      </w:r>
      <w:r>
        <w:rPr>
          <w:rFonts w:ascii="Times New Roman" w:eastAsia="Times New Roman" w:hAnsi="Times New Roman" w:cs="Times New Roman"/>
          <w:sz w:val="24"/>
          <w:szCs w:val="24"/>
        </w:rPr>
        <w:t xml:space="preserve">, </w:t>
      </w:r>
      <w:r>
        <w:rPr>
          <w:rFonts w:ascii="Times New Roman" w:eastAsia="Times New Roman" w:hAnsi="Times New Roman" w:cs="Times New Roman"/>
          <w:b/>
          <w:sz w:val="24"/>
          <w:szCs w:val="24"/>
        </w:rPr>
        <w:t>2</w:t>
      </w:r>
      <w:r>
        <w:rPr>
          <w:rFonts w:ascii="Times New Roman" w:eastAsia="Times New Roman" w:hAnsi="Times New Roman" w:cs="Times New Roman"/>
          <w:sz w:val="24"/>
          <w:szCs w:val="24"/>
        </w:rPr>
        <w:t>(3), 1-25.</w:t>
      </w:r>
    </w:p>
    <w:p w14:paraId="0000007D" w14:textId="77777777" w:rsidR="00EE6CE9" w:rsidRDefault="00364A95">
      <w:pPr>
        <w:spacing w:after="0" w:line="240" w:lineRule="auto"/>
        <w:ind w:left="720"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Fox-Wolfgramm, S.J., Boal, K.B. and Hunt, J.G. (1998). ‘Organizational adaptation to institutional change: A comparative study of first-order change in prospector and defender banks’. </w:t>
      </w:r>
      <w:r>
        <w:rPr>
          <w:rFonts w:ascii="Times New Roman" w:eastAsia="Times New Roman" w:hAnsi="Times New Roman" w:cs="Times New Roman"/>
          <w:i/>
          <w:sz w:val="24"/>
          <w:szCs w:val="24"/>
        </w:rPr>
        <w:t>Administrative Science Quarterly</w:t>
      </w:r>
      <w:r>
        <w:rPr>
          <w:rFonts w:ascii="Times New Roman" w:eastAsia="Times New Roman" w:hAnsi="Times New Roman" w:cs="Times New Roman"/>
          <w:sz w:val="24"/>
          <w:szCs w:val="24"/>
        </w:rPr>
        <w:t xml:space="preserve">, </w:t>
      </w:r>
      <w:r>
        <w:rPr>
          <w:rFonts w:ascii="Times New Roman" w:eastAsia="Times New Roman" w:hAnsi="Times New Roman" w:cs="Times New Roman"/>
          <w:b/>
          <w:sz w:val="24"/>
          <w:szCs w:val="24"/>
        </w:rPr>
        <w:t>43</w:t>
      </w:r>
      <w:r>
        <w:rPr>
          <w:rFonts w:ascii="Times New Roman" w:eastAsia="Times New Roman" w:hAnsi="Times New Roman" w:cs="Times New Roman"/>
          <w:sz w:val="24"/>
          <w:szCs w:val="24"/>
        </w:rPr>
        <w:t>(1), 87-126.</w:t>
      </w:r>
    </w:p>
    <w:p w14:paraId="0000007F" w14:textId="77777777" w:rsidR="00EE6CE9" w:rsidRDefault="00364A95">
      <w:pPr>
        <w:pBdr>
          <w:top w:val="nil"/>
          <w:left w:val="nil"/>
          <w:bottom w:val="nil"/>
          <w:right w:val="nil"/>
          <w:between w:val="nil"/>
        </w:pBdr>
        <w:spacing w:after="0" w:line="240" w:lineRule="auto"/>
        <w:ind w:left="720" w:hanging="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Giddens, A. (2009). </w:t>
      </w:r>
      <w:r>
        <w:rPr>
          <w:rFonts w:ascii="Times New Roman" w:eastAsia="Times New Roman" w:hAnsi="Times New Roman" w:cs="Times New Roman"/>
          <w:i/>
          <w:color w:val="000000"/>
          <w:sz w:val="24"/>
          <w:szCs w:val="24"/>
        </w:rPr>
        <w:t>The Politics of Climate Change</w:t>
      </w:r>
      <w:r>
        <w:rPr>
          <w:rFonts w:ascii="Times New Roman" w:eastAsia="Times New Roman" w:hAnsi="Times New Roman" w:cs="Times New Roman"/>
          <w:color w:val="000000"/>
          <w:sz w:val="24"/>
          <w:szCs w:val="24"/>
        </w:rPr>
        <w:t>. Cambridge, UK: Polity Press.</w:t>
      </w:r>
    </w:p>
    <w:p w14:paraId="00000080" w14:textId="77777777" w:rsidR="00EE6CE9" w:rsidRDefault="00364A95">
      <w:pPr>
        <w:spacing w:after="0" w:line="240" w:lineRule="auto"/>
        <w:ind w:left="720"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Grewatsch, S., Kennedy, S. and Bansal, P. (2023). ‘Tackling wicked problems in strategic management with systems thinking’. </w:t>
      </w:r>
      <w:r>
        <w:rPr>
          <w:rFonts w:ascii="Times New Roman" w:eastAsia="Times New Roman" w:hAnsi="Times New Roman" w:cs="Times New Roman"/>
          <w:i/>
          <w:sz w:val="24"/>
          <w:szCs w:val="24"/>
        </w:rPr>
        <w:t>Strategic Organization</w:t>
      </w:r>
      <w:r>
        <w:rPr>
          <w:rFonts w:ascii="Times New Roman" w:eastAsia="Times New Roman" w:hAnsi="Times New Roman" w:cs="Times New Roman"/>
          <w:sz w:val="24"/>
          <w:szCs w:val="24"/>
        </w:rPr>
        <w:t xml:space="preserve">, </w:t>
      </w:r>
      <w:r>
        <w:rPr>
          <w:rFonts w:ascii="Times New Roman" w:eastAsia="Times New Roman" w:hAnsi="Times New Roman" w:cs="Times New Roman"/>
          <w:b/>
          <w:sz w:val="24"/>
          <w:szCs w:val="24"/>
        </w:rPr>
        <w:t>21</w:t>
      </w:r>
      <w:r>
        <w:rPr>
          <w:rFonts w:ascii="Times New Roman" w:eastAsia="Times New Roman" w:hAnsi="Times New Roman" w:cs="Times New Roman"/>
          <w:sz w:val="24"/>
          <w:szCs w:val="24"/>
        </w:rPr>
        <w:t>(3), 721-732.</w:t>
      </w:r>
    </w:p>
    <w:p w14:paraId="6B3C2147" w14:textId="1A0F6A78" w:rsidR="00E3655B" w:rsidRPr="00E3655B" w:rsidRDefault="00E3655B">
      <w:pPr>
        <w:spacing w:after="0" w:line="240" w:lineRule="auto"/>
        <w:ind w:left="720" w:hanging="720"/>
        <w:rPr>
          <w:rFonts w:ascii="Times New Roman" w:eastAsia="Times New Roman" w:hAnsi="Times New Roman" w:cs="Times New Roman"/>
          <w:sz w:val="24"/>
          <w:szCs w:val="24"/>
        </w:rPr>
      </w:pPr>
      <w:r w:rsidRPr="00E0197E">
        <w:rPr>
          <w:rFonts w:ascii="Times New Roman" w:eastAsia="Times New Roman" w:hAnsi="Times New Roman" w:cs="Times New Roman"/>
          <w:sz w:val="24"/>
          <w:szCs w:val="24"/>
        </w:rPr>
        <w:t>Grodal, S.</w:t>
      </w:r>
      <w:r>
        <w:rPr>
          <w:rFonts w:ascii="Times New Roman" w:eastAsia="Times New Roman" w:hAnsi="Times New Roman" w:cs="Times New Roman"/>
          <w:sz w:val="24"/>
          <w:szCs w:val="24"/>
        </w:rPr>
        <w:t xml:space="preserve"> and</w:t>
      </w:r>
      <w:r w:rsidRPr="00E0197E">
        <w:rPr>
          <w:rFonts w:ascii="Times New Roman" w:eastAsia="Times New Roman" w:hAnsi="Times New Roman" w:cs="Times New Roman"/>
          <w:sz w:val="24"/>
          <w:szCs w:val="24"/>
        </w:rPr>
        <w:t xml:space="preserve"> O’Mahony, S. (2017). </w:t>
      </w:r>
      <w:r>
        <w:rPr>
          <w:rFonts w:ascii="Times New Roman" w:eastAsia="Times New Roman" w:hAnsi="Times New Roman" w:cs="Times New Roman"/>
          <w:sz w:val="24"/>
          <w:szCs w:val="24"/>
        </w:rPr>
        <w:t>‘</w:t>
      </w:r>
      <w:r w:rsidRPr="00E0197E">
        <w:rPr>
          <w:rFonts w:ascii="Times New Roman" w:eastAsia="Times New Roman" w:hAnsi="Times New Roman" w:cs="Times New Roman"/>
          <w:sz w:val="24"/>
          <w:szCs w:val="24"/>
        </w:rPr>
        <w:t>How does a Grand Challenge Become Displaced? Explaining the Duality of Field Mobilization</w:t>
      </w:r>
      <w:r>
        <w:rPr>
          <w:rFonts w:ascii="Times New Roman" w:eastAsia="Times New Roman" w:hAnsi="Times New Roman" w:cs="Times New Roman"/>
          <w:sz w:val="24"/>
          <w:szCs w:val="24"/>
        </w:rPr>
        <w:t>’</w:t>
      </w:r>
      <w:r w:rsidRPr="00E0197E">
        <w:rPr>
          <w:rFonts w:ascii="Times New Roman" w:eastAsia="Times New Roman" w:hAnsi="Times New Roman" w:cs="Times New Roman"/>
          <w:sz w:val="24"/>
          <w:szCs w:val="24"/>
        </w:rPr>
        <w:t xml:space="preserve">. </w:t>
      </w:r>
      <w:r w:rsidRPr="00E3655B">
        <w:rPr>
          <w:rFonts w:ascii="Times New Roman" w:eastAsia="Times New Roman" w:hAnsi="Times New Roman" w:cs="Times New Roman"/>
          <w:i/>
          <w:iCs/>
          <w:sz w:val="24"/>
          <w:szCs w:val="24"/>
        </w:rPr>
        <w:t>Academy of Management Journal</w:t>
      </w:r>
      <w:r w:rsidRPr="00E0197E">
        <w:rPr>
          <w:rFonts w:ascii="Times New Roman" w:eastAsia="Times New Roman" w:hAnsi="Times New Roman" w:cs="Times New Roman"/>
          <w:sz w:val="24"/>
          <w:szCs w:val="24"/>
        </w:rPr>
        <w:t xml:space="preserve">, </w:t>
      </w:r>
      <w:r w:rsidRPr="00E0197E">
        <w:rPr>
          <w:rFonts w:ascii="Times New Roman" w:eastAsia="Times New Roman" w:hAnsi="Times New Roman" w:cs="Times New Roman"/>
          <w:b/>
          <w:bCs/>
          <w:sz w:val="24"/>
          <w:szCs w:val="24"/>
        </w:rPr>
        <w:t>60</w:t>
      </w:r>
      <w:r>
        <w:rPr>
          <w:rFonts w:ascii="Times New Roman" w:eastAsia="Times New Roman" w:hAnsi="Times New Roman" w:cs="Times New Roman"/>
          <w:sz w:val="24"/>
          <w:szCs w:val="24"/>
        </w:rPr>
        <w:t>(5)</w:t>
      </w:r>
      <w:r w:rsidRPr="00E0197E">
        <w:rPr>
          <w:rFonts w:ascii="Times New Roman" w:eastAsia="Times New Roman" w:hAnsi="Times New Roman" w:cs="Times New Roman"/>
          <w:sz w:val="24"/>
          <w:szCs w:val="24"/>
        </w:rPr>
        <w:t>, 1801-1827.</w:t>
      </w:r>
    </w:p>
    <w:p w14:paraId="00000081" w14:textId="4C5CB60F" w:rsidR="00EE6CE9" w:rsidRDefault="00364A95">
      <w:pPr>
        <w:spacing w:after="0" w:line="240" w:lineRule="auto"/>
        <w:ind w:left="720"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Gümüsay, A.A. and Reinecke, J. (2024). ‘Imagining desirable futures: A call for prospective theorizing with speculative rigour’. </w:t>
      </w:r>
      <w:r>
        <w:rPr>
          <w:rFonts w:ascii="Times New Roman" w:eastAsia="Times New Roman" w:hAnsi="Times New Roman" w:cs="Times New Roman"/>
          <w:i/>
          <w:sz w:val="24"/>
          <w:szCs w:val="24"/>
        </w:rPr>
        <w:t>Organization Theory</w:t>
      </w:r>
      <w:r>
        <w:rPr>
          <w:rFonts w:ascii="Times New Roman" w:eastAsia="Times New Roman" w:hAnsi="Times New Roman" w:cs="Times New Roman"/>
          <w:sz w:val="24"/>
          <w:szCs w:val="24"/>
        </w:rPr>
        <w:t xml:space="preserve">, </w:t>
      </w:r>
      <w:r w:rsidR="00396A0E" w:rsidRPr="00396A0E">
        <w:rPr>
          <w:rFonts w:ascii="Times New Roman" w:eastAsia="Times New Roman" w:hAnsi="Times New Roman" w:cs="Times New Roman"/>
          <w:b/>
          <w:bCs/>
          <w:sz w:val="24"/>
          <w:szCs w:val="24"/>
        </w:rPr>
        <w:t>5</w:t>
      </w:r>
      <w:r w:rsidR="00396A0E">
        <w:rPr>
          <w:rFonts w:ascii="Times New Roman" w:eastAsia="Times New Roman" w:hAnsi="Times New Roman" w:cs="Times New Roman"/>
          <w:sz w:val="24"/>
          <w:szCs w:val="24"/>
        </w:rPr>
        <w:t>(1), 1-23</w:t>
      </w:r>
      <w:r>
        <w:rPr>
          <w:rFonts w:ascii="Times New Roman" w:eastAsia="Times New Roman" w:hAnsi="Times New Roman" w:cs="Times New Roman"/>
          <w:sz w:val="24"/>
          <w:szCs w:val="24"/>
        </w:rPr>
        <w:t xml:space="preserve">. </w:t>
      </w:r>
    </w:p>
    <w:p w14:paraId="00000082" w14:textId="77777777" w:rsidR="00EE6CE9" w:rsidRDefault="00364A95">
      <w:pPr>
        <w:spacing w:after="0" w:line="240" w:lineRule="auto"/>
        <w:ind w:left="720"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Hannan, M.T. and Freeman, J. (1984). ‘Structural inertia and organizational change’. </w:t>
      </w:r>
      <w:r>
        <w:rPr>
          <w:rFonts w:ascii="Times New Roman" w:eastAsia="Times New Roman" w:hAnsi="Times New Roman" w:cs="Times New Roman"/>
          <w:i/>
          <w:sz w:val="24"/>
          <w:szCs w:val="24"/>
        </w:rPr>
        <w:t>American Sociological Review</w:t>
      </w:r>
      <w:r>
        <w:rPr>
          <w:rFonts w:ascii="Times New Roman" w:eastAsia="Times New Roman" w:hAnsi="Times New Roman" w:cs="Times New Roman"/>
          <w:sz w:val="24"/>
          <w:szCs w:val="24"/>
        </w:rPr>
        <w:t xml:space="preserve">, </w:t>
      </w:r>
      <w:r>
        <w:rPr>
          <w:rFonts w:ascii="Times New Roman" w:eastAsia="Times New Roman" w:hAnsi="Times New Roman" w:cs="Times New Roman"/>
          <w:b/>
          <w:sz w:val="24"/>
          <w:szCs w:val="24"/>
        </w:rPr>
        <w:t>49</w:t>
      </w:r>
      <w:r>
        <w:rPr>
          <w:rFonts w:ascii="Times New Roman" w:eastAsia="Times New Roman" w:hAnsi="Times New Roman" w:cs="Times New Roman"/>
          <w:sz w:val="24"/>
          <w:szCs w:val="24"/>
        </w:rPr>
        <w:t>(2), 149-164.</w:t>
      </w:r>
    </w:p>
    <w:p w14:paraId="2B3B2CF9" w14:textId="5CC9443F" w:rsidR="00765364" w:rsidRDefault="00765364">
      <w:pPr>
        <w:spacing w:after="0" w:line="240" w:lineRule="auto"/>
        <w:ind w:left="720"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Helm, D. (2010). ‘Government failure, rent-seeking, and capture: The design of climate change policy’. </w:t>
      </w:r>
      <w:r w:rsidRPr="00765364">
        <w:rPr>
          <w:rFonts w:ascii="Times New Roman" w:eastAsia="Times New Roman" w:hAnsi="Times New Roman" w:cs="Times New Roman"/>
          <w:i/>
          <w:iCs/>
          <w:sz w:val="24"/>
          <w:szCs w:val="24"/>
        </w:rPr>
        <w:t>Oxford Review of Economic Policy</w:t>
      </w:r>
      <w:r>
        <w:rPr>
          <w:rFonts w:ascii="Times New Roman" w:eastAsia="Times New Roman" w:hAnsi="Times New Roman" w:cs="Times New Roman"/>
          <w:sz w:val="24"/>
          <w:szCs w:val="24"/>
        </w:rPr>
        <w:t xml:space="preserve">, </w:t>
      </w:r>
      <w:r w:rsidRPr="00765364">
        <w:rPr>
          <w:rFonts w:ascii="Times New Roman" w:eastAsia="Times New Roman" w:hAnsi="Times New Roman" w:cs="Times New Roman"/>
          <w:b/>
          <w:bCs/>
          <w:sz w:val="24"/>
          <w:szCs w:val="24"/>
        </w:rPr>
        <w:t>26</w:t>
      </w:r>
      <w:r>
        <w:rPr>
          <w:rFonts w:ascii="Times New Roman" w:eastAsia="Times New Roman" w:hAnsi="Times New Roman" w:cs="Times New Roman"/>
          <w:sz w:val="24"/>
          <w:szCs w:val="24"/>
        </w:rPr>
        <w:t>(2), 182-196.</w:t>
      </w:r>
    </w:p>
    <w:p w14:paraId="057BB308" w14:textId="4C1E5781" w:rsidR="0029001B" w:rsidRDefault="00364A95">
      <w:pPr>
        <w:pBdr>
          <w:top w:val="nil"/>
          <w:left w:val="nil"/>
          <w:bottom w:val="nil"/>
          <w:right w:val="nil"/>
          <w:between w:val="nil"/>
        </w:pBdr>
        <w:spacing w:after="0" w:line="240" w:lineRule="auto"/>
        <w:ind w:left="720" w:hanging="720"/>
        <w:rPr>
          <w:rFonts w:ascii="Times New Roman" w:eastAsia="Times New Roman" w:hAnsi="Times New Roman" w:cs="Times New Roman"/>
          <w:color w:val="000000"/>
          <w:sz w:val="24"/>
          <w:szCs w:val="24"/>
        </w:rPr>
      </w:pPr>
      <w:r w:rsidRPr="00765364">
        <w:rPr>
          <w:rFonts w:ascii="Times New Roman" w:eastAsia="Times New Roman" w:hAnsi="Times New Roman" w:cs="Times New Roman"/>
          <w:color w:val="000000"/>
          <w:sz w:val="24"/>
          <w:szCs w:val="24"/>
          <w:lang w:val="en-US"/>
        </w:rPr>
        <w:t>Hernes, T., Blagoev, B., Kunisch, S. and Schultz, M. (</w:t>
      </w:r>
      <w:r w:rsidR="0029001B">
        <w:rPr>
          <w:rFonts w:ascii="Times New Roman" w:eastAsia="Times New Roman" w:hAnsi="Times New Roman" w:cs="Times New Roman"/>
          <w:color w:val="000000"/>
          <w:sz w:val="24"/>
          <w:szCs w:val="24"/>
          <w:lang w:val="en-US"/>
        </w:rPr>
        <w:t>2025</w:t>
      </w:r>
      <w:r w:rsidRPr="00765364">
        <w:rPr>
          <w:rFonts w:ascii="Times New Roman" w:eastAsia="Times New Roman" w:hAnsi="Times New Roman" w:cs="Times New Roman"/>
          <w:color w:val="000000"/>
          <w:sz w:val="24"/>
          <w:szCs w:val="24"/>
          <w:lang w:val="en-US"/>
        </w:rPr>
        <w:t xml:space="preserve">). </w:t>
      </w:r>
      <w:r>
        <w:rPr>
          <w:rFonts w:ascii="Times New Roman" w:eastAsia="Times New Roman" w:hAnsi="Times New Roman" w:cs="Times New Roman"/>
          <w:color w:val="000000"/>
          <w:sz w:val="24"/>
          <w:szCs w:val="24"/>
        </w:rPr>
        <w:t xml:space="preserve">‘From bouncing back to bouncing forward: A temporal trajectory model of organizational resilience’. </w:t>
      </w:r>
      <w:r>
        <w:rPr>
          <w:rFonts w:ascii="Times New Roman" w:eastAsia="Times New Roman" w:hAnsi="Times New Roman" w:cs="Times New Roman"/>
          <w:i/>
          <w:color w:val="000000"/>
          <w:sz w:val="24"/>
          <w:szCs w:val="24"/>
        </w:rPr>
        <w:t>Academy of Management Review</w:t>
      </w:r>
      <w:r>
        <w:rPr>
          <w:rFonts w:ascii="Times New Roman" w:eastAsia="Times New Roman" w:hAnsi="Times New Roman" w:cs="Times New Roman"/>
          <w:color w:val="000000"/>
          <w:sz w:val="24"/>
          <w:szCs w:val="24"/>
        </w:rPr>
        <w:t xml:space="preserve">, </w:t>
      </w:r>
      <w:r w:rsidR="0029001B" w:rsidRPr="0029001B">
        <w:rPr>
          <w:rFonts w:ascii="Times New Roman" w:eastAsia="Times New Roman" w:hAnsi="Times New Roman" w:cs="Times New Roman"/>
          <w:b/>
          <w:bCs/>
          <w:color w:val="000000"/>
          <w:sz w:val="24"/>
          <w:szCs w:val="24"/>
        </w:rPr>
        <w:t>50</w:t>
      </w:r>
      <w:r w:rsidR="0029001B">
        <w:rPr>
          <w:rFonts w:ascii="Times New Roman" w:eastAsia="Times New Roman" w:hAnsi="Times New Roman" w:cs="Times New Roman"/>
          <w:color w:val="000000"/>
          <w:sz w:val="24"/>
          <w:szCs w:val="24"/>
        </w:rPr>
        <w:t>(1), 72-92.</w:t>
      </w:r>
    </w:p>
    <w:p w14:paraId="00000084" w14:textId="77777777" w:rsidR="00EE6CE9" w:rsidRDefault="00364A95">
      <w:pPr>
        <w:spacing w:after="0" w:line="240" w:lineRule="auto"/>
        <w:ind w:left="720"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Heucher, K., Alt, E., Soderstrom, S., Scully, M. and Glavas, A. (2024). ‘Catalyzing action on social and environmental challenges: An integrative review of insider social change agents’. </w:t>
      </w:r>
      <w:r>
        <w:rPr>
          <w:rFonts w:ascii="Times New Roman" w:eastAsia="Times New Roman" w:hAnsi="Times New Roman" w:cs="Times New Roman"/>
          <w:i/>
          <w:sz w:val="24"/>
          <w:szCs w:val="24"/>
        </w:rPr>
        <w:t>Academy of Management Annals</w:t>
      </w:r>
      <w:r>
        <w:rPr>
          <w:rFonts w:ascii="Times New Roman" w:eastAsia="Times New Roman" w:hAnsi="Times New Roman" w:cs="Times New Roman"/>
          <w:sz w:val="24"/>
          <w:szCs w:val="24"/>
        </w:rPr>
        <w:t xml:space="preserve">, </w:t>
      </w:r>
      <w:r>
        <w:rPr>
          <w:rFonts w:ascii="Times New Roman" w:eastAsia="Times New Roman" w:hAnsi="Times New Roman" w:cs="Times New Roman"/>
          <w:b/>
          <w:sz w:val="24"/>
          <w:szCs w:val="24"/>
        </w:rPr>
        <w:t>18</w:t>
      </w:r>
      <w:r>
        <w:rPr>
          <w:rFonts w:ascii="Times New Roman" w:eastAsia="Times New Roman" w:hAnsi="Times New Roman" w:cs="Times New Roman"/>
          <w:sz w:val="24"/>
          <w:szCs w:val="24"/>
        </w:rPr>
        <w:t>(1), 295-397.</w:t>
      </w:r>
    </w:p>
    <w:p w14:paraId="00000085" w14:textId="77777777" w:rsidR="00EE6CE9" w:rsidRDefault="00364A95">
      <w:pPr>
        <w:spacing w:after="0" w:line="240" w:lineRule="auto"/>
        <w:ind w:left="720"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Heyes, G., Sharmina, M., Mendoza, J.M.F., Gallego-Schmid, A. and Azapagic, A. (2018). ‘Developing and implementing circular economy business models in service-oriented technology companies’. </w:t>
      </w:r>
      <w:r>
        <w:rPr>
          <w:rFonts w:ascii="Times New Roman" w:eastAsia="Times New Roman" w:hAnsi="Times New Roman" w:cs="Times New Roman"/>
          <w:i/>
          <w:sz w:val="24"/>
          <w:szCs w:val="24"/>
        </w:rPr>
        <w:t>Journal of Cleaner Production</w:t>
      </w:r>
      <w:r>
        <w:rPr>
          <w:rFonts w:ascii="Times New Roman" w:eastAsia="Times New Roman" w:hAnsi="Times New Roman" w:cs="Times New Roman"/>
          <w:sz w:val="24"/>
          <w:szCs w:val="24"/>
        </w:rPr>
        <w:t xml:space="preserve">, </w:t>
      </w:r>
      <w:r>
        <w:rPr>
          <w:rFonts w:ascii="Times New Roman" w:eastAsia="Times New Roman" w:hAnsi="Times New Roman" w:cs="Times New Roman"/>
          <w:b/>
          <w:sz w:val="24"/>
          <w:szCs w:val="24"/>
        </w:rPr>
        <w:t>177</w:t>
      </w:r>
      <w:r>
        <w:rPr>
          <w:rFonts w:ascii="Times New Roman" w:eastAsia="Times New Roman" w:hAnsi="Times New Roman" w:cs="Times New Roman"/>
          <w:sz w:val="24"/>
          <w:szCs w:val="24"/>
        </w:rPr>
        <w:t>, 621-632.</w:t>
      </w:r>
    </w:p>
    <w:p w14:paraId="00000086" w14:textId="77777777" w:rsidR="00EE6CE9" w:rsidRDefault="00364A95">
      <w:pPr>
        <w:spacing w:after="0" w:line="240" w:lineRule="auto"/>
        <w:ind w:left="720"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Hjerpe, M. and Linnér, B.O. (2009). ‘Utopian and dystopian thought in climate change science and policy’. </w:t>
      </w:r>
      <w:r>
        <w:rPr>
          <w:rFonts w:ascii="Times New Roman" w:eastAsia="Times New Roman" w:hAnsi="Times New Roman" w:cs="Times New Roman"/>
          <w:i/>
          <w:sz w:val="24"/>
          <w:szCs w:val="24"/>
        </w:rPr>
        <w:t>Futures</w:t>
      </w:r>
      <w:r>
        <w:rPr>
          <w:rFonts w:ascii="Times New Roman" w:eastAsia="Times New Roman" w:hAnsi="Times New Roman" w:cs="Times New Roman"/>
          <w:sz w:val="24"/>
          <w:szCs w:val="24"/>
        </w:rPr>
        <w:t xml:space="preserve">, </w:t>
      </w:r>
      <w:r>
        <w:rPr>
          <w:rFonts w:ascii="Times New Roman" w:eastAsia="Times New Roman" w:hAnsi="Times New Roman" w:cs="Times New Roman"/>
          <w:b/>
          <w:sz w:val="24"/>
          <w:szCs w:val="24"/>
        </w:rPr>
        <w:t>41</w:t>
      </w:r>
      <w:r>
        <w:rPr>
          <w:rFonts w:ascii="Times New Roman" w:eastAsia="Times New Roman" w:hAnsi="Times New Roman" w:cs="Times New Roman"/>
          <w:sz w:val="24"/>
          <w:szCs w:val="24"/>
        </w:rPr>
        <w:t>(4), 234-245.</w:t>
      </w:r>
    </w:p>
    <w:p w14:paraId="00000087" w14:textId="77777777" w:rsidR="00EE6CE9" w:rsidRDefault="00364A95">
      <w:pPr>
        <w:spacing w:after="0" w:line="240" w:lineRule="auto"/>
        <w:ind w:left="720"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Hoffman, A.J. (1999). ‘Institutional evolution and change: Environmentalism and the U.S. chemical industry’. </w:t>
      </w:r>
      <w:r>
        <w:rPr>
          <w:rFonts w:ascii="Times New Roman" w:eastAsia="Times New Roman" w:hAnsi="Times New Roman" w:cs="Times New Roman"/>
          <w:i/>
          <w:sz w:val="24"/>
          <w:szCs w:val="24"/>
        </w:rPr>
        <w:t>Academy of Management Journal</w:t>
      </w:r>
      <w:r>
        <w:rPr>
          <w:rFonts w:ascii="Times New Roman" w:eastAsia="Times New Roman" w:hAnsi="Times New Roman" w:cs="Times New Roman"/>
          <w:sz w:val="24"/>
          <w:szCs w:val="24"/>
        </w:rPr>
        <w:t xml:space="preserve">, </w:t>
      </w:r>
      <w:r>
        <w:rPr>
          <w:rFonts w:ascii="Times New Roman" w:eastAsia="Times New Roman" w:hAnsi="Times New Roman" w:cs="Times New Roman"/>
          <w:b/>
          <w:sz w:val="24"/>
          <w:szCs w:val="24"/>
        </w:rPr>
        <w:t>42</w:t>
      </w:r>
      <w:r>
        <w:rPr>
          <w:rFonts w:ascii="Times New Roman" w:eastAsia="Times New Roman" w:hAnsi="Times New Roman" w:cs="Times New Roman"/>
          <w:sz w:val="24"/>
          <w:szCs w:val="24"/>
        </w:rPr>
        <w:t>(4), 351-371.</w:t>
      </w:r>
    </w:p>
    <w:p w14:paraId="00000088" w14:textId="77777777" w:rsidR="00EE6CE9" w:rsidRDefault="00364A95">
      <w:pPr>
        <w:pBdr>
          <w:top w:val="nil"/>
          <w:left w:val="nil"/>
          <w:bottom w:val="nil"/>
          <w:right w:val="nil"/>
          <w:between w:val="nil"/>
        </w:pBdr>
        <w:spacing w:after="0" w:line="240" w:lineRule="auto"/>
        <w:ind w:left="720" w:hanging="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Hoffman, A.J. (2005). ‘Climate change strategy: The business logic behind voluntary greenhouse gas reductions’. </w:t>
      </w:r>
      <w:r>
        <w:rPr>
          <w:rFonts w:ascii="Times New Roman" w:eastAsia="Times New Roman" w:hAnsi="Times New Roman" w:cs="Times New Roman"/>
          <w:i/>
          <w:color w:val="000000"/>
          <w:sz w:val="24"/>
          <w:szCs w:val="24"/>
        </w:rPr>
        <w:t>California Management Review</w:t>
      </w:r>
      <w:r>
        <w:rPr>
          <w:rFonts w:ascii="Times New Roman" w:eastAsia="Times New Roman" w:hAnsi="Times New Roman" w:cs="Times New Roman"/>
          <w:color w:val="000000"/>
          <w:sz w:val="24"/>
          <w:szCs w:val="24"/>
        </w:rPr>
        <w:t xml:space="preserve">, </w:t>
      </w:r>
      <w:r w:rsidRPr="00395910">
        <w:rPr>
          <w:rFonts w:ascii="Times New Roman" w:eastAsia="Times New Roman" w:hAnsi="Times New Roman" w:cs="Times New Roman"/>
          <w:b/>
          <w:bCs/>
          <w:color w:val="000000"/>
          <w:sz w:val="24"/>
          <w:szCs w:val="24"/>
        </w:rPr>
        <w:t>47</w:t>
      </w:r>
      <w:r>
        <w:rPr>
          <w:rFonts w:ascii="Times New Roman" w:eastAsia="Times New Roman" w:hAnsi="Times New Roman" w:cs="Times New Roman"/>
          <w:color w:val="000000"/>
          <w:sz w:val="24"/>
          <w:szCs w:val="24"/>
        </w:rPr>
        <w:t>(3), 21-46.</w:t>
      </w:r>
    </w:p>
    <w:p w14:paraId="00000089" w14:textId="4F789F62" w:rsidR="00EE6CE9" w:rsidRDefault="00364A95">
      <w:pPr>
        <w:pBdr>
          <w:top w:val="nil"/>
          <w:left w:val="nil"/>
          <w:bottom w:val="nil"/>
          <w:right w:val="nil"/>
          <w:between w:val="nil"/>
        </w:pBdr>
        <w:spacing w:after="0" w:line="240" w:lineRule="auto"/>
        <w:ind w:left="720" w:hanging="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Holling, C.S. and Gunderson, L.H. (2002). </w:t>
      </w:r>
      <w:r w:rsidR="009713C9">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z w:val="24"/>
          <w:szCs w:val="24"/>
        </w:rPr>
        <w:t>Resilience and Adaptive Cycles</w:t>
      </w:r>
      <w:r w:rsidR="009713C9">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z w:val="24"/>
          <w:szCs w:val="24"/>
        </w:rPr>
        <w:t xml:space="preserve">. In Holling, C.S. and Gunderson, L.H. (Eds.), </w:t>
      </w:r>
      <w:r>
        <w:rPr>
          <w:rFonts w:ascii="Times New Roman" w:eastAsia="Times New Roman" w:hAnsi="Times New Roman" w:cs="Times New Roman"/>
          <w:i/>
          <w:color w:val="000000"/>
          <w:sz w:val="24"/>
          <w:szCs w:val="24"/>
        </w:rPr>
        <w:t>Panarchy: Understanding Transformations in Human and Natural Systems</w:t>
      </w:r>
      <w:r>
        <w:rPr>
          <w:rFonts w:ascii="Times New Roman" w:eastAsia="Times New Roman" w:hAnsi="Times New Roman" w:cs="Times New Roman"/>
          <w:color w:val="000000"/>
          <w:sz w:val="24"/>
          <w:szCs w:val="24"/>
        </w:rPr>
        <w:t>. Washington, DC: Island Press</w:t>
      </w:r>
      <w:r w:rsidR="0029001B">
        <w:rPr>
          <w:rFonts w:ascii="Times New Roman" w:eastAsia="Times New Roman" w:hAnsi="Times New Roman" w:cs="Times New Roman"/>
          <w:color w:val="000000"/>
          <w:sz w:val="24"/>
          <w:szCs w:val="24"/>
        </w:rPr>
        <w:t>, 25-62</w:t>
      </w:r>
      <w:r>
        <w:rPr>
          <w:rFonts w:ascii="Times New Roman" w:eastAsia="Times New Roman" w:hAnsi="Times New Roman" w:cs="Times New Roman"/>
          <w:color w:val="000000"/>
          <w:sz w:val="24"/>
          <w:szCs w:val="24"/>
        </w:rPr>
        <w:t>.</w:t>
      </w:r>
    </w:p>
    <w:p w14:paraId="0000008A" w14:textId="77777777" w:rsidR="00EE6CE9" w:rsidRDefault="00364A95">
      <w:pPr>
        <w:pBdr>
          <w:top w:val="nil"/>
          <w:left w:val="nil"/>
          <w:bottom w:val="nil"/>
          <w:right w:val="nil"/>
          <w:between w:val="nil"/>
        </w:pBdr>
        <w:spacing w:after="0" w:line="240" w:lineRule="auto"/>
        <w:ind w:left="720" w:hanging="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Howard-Grenville, J., Buckle, S.J., Hoskins, B.J. and George, G. (2014). ‘From the editors: Climate change and management’. </w:t>
      </w:r>
      <w:r>
        <w:rPr>
          <w:rFonts w:ascii="Times New Roman" w:eastAsia="Times New Roman" w:hAnsi="Times New Roman" w:cs="Times New Roman"/>
          <w:i/>
          <w:color w:val="000000"/>
          <w:sz w:val="24"/>
          <w:szCs w:val="24"/>
        </w:rPr>
        <w:t>Academy of Management Journal</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b/>
          <w:color w:val="000000"/>
          <w:sz w:val="24"/>
          <w:szCs w:val="24"/>
        </w:rPr>
        <w:t>57</w:t>
      </w:r>
      <w:r>
        <w:rPr>
          <w:rFonts w:ascii="Times New Roman" w:eastAsia="Times New Roman" w:hAnsi="Times New Roman" w:cs="Times New Roman"/>
          <w:color w:val="000000"/>
          <w:sz w:val="24"/>
          <w:szCs w:val="24"/>
        </w:rPr>
        <w:t>(3), 615-623.</w:t>
      </w:r>
    </w:p>
    <w:p w14:paraId="0000008B" w14:textId="77777777" w:rsidR="00EE6CE9" w:rsidRDefault="00364A95">
      <w:pPr>
        <w:pBdr>
          <w:top w:val="nil"/>
          <w:left w:val="nil"/>
          <w:bottom w:val="nil"/>
          <w:right w:val="nil"/>
          <w:between w:val="nil"/>
        </w:pBdr>
        <w:spacing w:after="0" w:line="240" w:lineRule="auto"/>
        <w:ind w:left="720" w:hanging="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Howard-Grenville, J. and Lahneman, B. (2021). ‘Bringing the biophysical to the fore: Re-envisioning organizational adaptation in the era of planetary shifts’. </w:t>
      </w:r>
      <w:r>
        <w:rPr>
          <w:rFonts w:ascii="Times New Roman" w:eastAsia="Times New Roman" w:hAnsi="Times New Roman" w:cs="Times New Roman"/>
          <w:i/>
          <w:color w:val="000000"/>
          <w:sz w:val="24"/>
          <w:szCs w:val="24"/>
        </w:rPr>
        <w:t>Strategic Organization</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b/>
          <w:color w:val="000000"/>
          <w:sz w:val="24"/>
          <w:szCs w:val="24"/>
        </w:rPr>
        <w:t>19</w:t>
      </w:r>
      <w:r>
        <w:rPr>
          <w:rFonts w:ascii="Times New Roman" w:eastAsia="Times New Roman" w:hAnsi="Times New Roman" w:cs="Times New Roman"/>
          <w:color w:val="000000"/>
          <w:sz w:val="24"/>
          <w:szCs w:val="24"/>
        </w:rPr>
        <w:t>(3), 478-493.</w:t>
      </w:r>
    </w:p>
    <w:p w14:paraId="0000008C" w14:textId="2685755A" w:rsidR="00EE6CE9" w:rsidRDefault="00364A95">
      <w:pPr>
        <w:pBdr>
          <w:top w:val="nil"/>
          <w:left w:val="nil"/>
          <w:bottom w:val="nil"/>
          <w:right w:val="nil"/>
          <w:between w:val="nil"/>
        </w:pBdr>
        <w:spacing w:after="0" w:line="240" w:lineRule="auto"/>
        <w:ind w:left="720" w:hanging="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Howard-Grenville, J. and Spengler, J. (2022). ‘Surfing the grand challenges wave in management scholarship: How did we get here, where are we now, and what’s next?’. </w:t>
      </w:r>
      <w:r>
        <w:rPr>
          <w:rFonts w:ascii="Times New Roman" w:eastAsia="Times New Roman" w:hAnsi="Times New Roman" w:cs="Times New Roman"/>
          <w:i/>
          <w:color w:val="000000"/>
          <w:sz w:val="24"/>
          <w:szCs w:val="24"/>
        </w:rPr>
        <w:t>Research in the Sociology of Organizations</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b/>
          <w:color w:val="000000"/>
          <w:sz w:val="24"/>
          <w:szCs w:val="24"/>
        </w:rPr>
        <w:t>79</w:t>
      </w:r>
      <w:r>
        <w:rPr>
          <w:rFonts w:ascii="Times New Roman" w:eastAsia="Times New Roman" w:hAnsi="Times New Roman" w:cs="Times New Roman"/>
          <w:color w:val="000000"/>
          <w:sz w:val="24"/>
          <w:szCs w:val="24"/>
        </w:rPr>
        <w:t>, 279</w:t>
      </w:r>
      <w:r w:rsidR="00F43FF4">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z w:val="24"/>
          <w:szCs w:val="24"/>
        </w:rPr>
        <w:t>295.</w:t>
      </w:r>
    </w:p>
    <w:p w14:paraId="0000008D" w14:textId="77777777" w:rsidR="00EE6CE9" w:rsidRDefault="00364A95">
      <w:pPr>
        <w:pBdr>
          <w:top w:val="nil"/>
          <w:left w:val="nil"/>
          <w:bottom w:val="nil"/>
          <w:right w:val="nil"/>
          <w:between w:val="nil"/>
        </w:pBdr>
        <w:spacing w:after="0" w:line="240" w:lineRule="auto"/>
        <w:ind w:left="720" w:hanging="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lastRenderedPageBreak/>
        <w:t xml:space="preserve">Intergovernmental Panel on Climate Change (IPCC) (2001). </w:t>
      </w:r>
      <w:r>
        <w:rPr>
          <w:rFonts w:ascii="Times New Roman" w:eastAsia="Times New Roman" w:hAnsi="Times New Roman" w:cs="Times New Roman"/>
          <w:i/>
          <w:color w:val="000000"/>
          <w:sz w:val="24"/>
          <w:szCs w:val="24"/>
        </w:rPr>
        <w:t>Climate Change 2001: Impacts, Adaptation, and Vulnerability</w:t>
      </w:r>
      <w:r>
        <w:rPr>
          <w:rFonts w:ascii="Times New Roman" w:eastAsia="Times New Roman" w:hAnsi="Times New Roman" w:cs="Times New Roman"/>
          <w:color w:val="000000"/>
          <w:sz w:val="24"/>
          <w:szCs w:val="24"/>
        </w:rPr>
        <w:t>. Cambridge, UK: Cambridge University Press.</w:t>
      </w:r>
    </w:p>
    <w:p w14:paraId="0000008E" w14:textId="3D780F80" w:rsidR="00EE6CE9" w:rsidRDefault="00364A95">
      <w:pPr>
        <w:pBdr>
          <w:top w:val="nil"/>
          <w:left w:val="nil"/>
          <w:bottom w:val="nil"/>
          <w:right w:val="nil"/>
          <w:between w:val="nil"/>
        </w:pBdr>
        <w:spacing w:after="0" w:line="240" w:lineRule="auto"/>
        <w:ind w:left="720" w:hanging="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Intergovernmental Panel on Climate Change (IPCC) (2023). Summary for Policymakers. In: </w:t>
      </w:r>
      <w:r>
        <w:rPr>
          <w:rFonts w:ascii="Times New Roman" w:eastAsia="Times New Roman" w:hAnsi="Times New Roman" w:cs="Times New Roman"/>
          <w:i/>
          <w:color w:val="000000"/>
          <w:sz w:val="24"/>
          <w:szCs w:val="24"/>
        </w:rPr>
        <w:t>Climate Change 2023: Synthesis Report</w:t>
      </w:r>
      <w:r>
        <w:rPr>
          <w:rFonts w:ascii="Times New Roman" w:eastAsia="Times New Roman" w:hAnsi="Times New Roman" w:cs="Times New Roman"/>
          <w:color w:val="000000"/>
          <w:sz w:val="24"/>
          <w:szCs w:val="24"/>
        </w:rPr>
        <w:t>. Contribution of Working Groups I, II and III to the Sixth Assessment Report of the Intergovernmental Panel on Climate Change [Core Writing Team, H. Lee and J. Romero (eds.)]. IPCC, Geneva, Switzerland,  1-34.</w:t>
      </w:r>
    </w:p>
    <w:p w14:paraId="00000090" w14:textId="6D4ABDD5" w:rsidR="00EE6CE9" w:rsidRDefault="0029001B" w:rsidP="0029001B">
      <w:pPr>
        <w:pBdr>
          <w:top w:val="nil"/>
          <w:left w:val="nil"/>
          <w:bottom w:val="nil"/>
          <w:right w:val="nil"/>
          <w:between w:val="nil"/>
        </w:pBdr>
        <w:spacing w:after="0" w:line="240" w:lineRule="auto"/>
        <w:ind w:left="720" w:hanging="720"/>
        <w:rPr>
          <w:rFonts w:ascii="Times New Roman" w:eastAsia="Times New Roman" w:hAnsi="Times New Roman" w:cs="Times New Roman"/>
          <w:sz w:val="24"/>
          <w:szCs w:val="24"/>
        </w:rPr>
      </w:pPr>
      <w:r w:rsidRPr="0029001B">
        <w:rPr>
          <w:rFonts w:ascii="Times New Roman" w:eastAsia="Times New Roman" w:hAnsi="Times New Roman" w:cs="Times New Roman"/>
          <w:color w:val="000000"/>
          <w:sz w:val="24"/>
          <w:szCs w:val="24"/>
        </w:rPr>
        <w:t xml:space="preserve">Jarzabkowski, P., Bednarek, R., Chalkias, K., &amp; Cacciatori, E. (2019). ‘Exploring inter-organizational paradoxes: Methodological lessons from a study of a grand challenge’. </w:t>
      </w:r>
      <w:r w:rsidRPr="0029001B">
        <w:rPr>
          <w:rFonts w:ascii="Times New Roman" w:eastAsia="Times New Roman" w:hAnsi="Times New Roman" w:cs="Times New Roman"/>
          <w:i/>
          <w:iCs/>
          <w:color w:val="000000"/>
          <w:sz w:val="24"/>
          <w:szCs w:val="24"/>
        </w:rPr>
        <w:t>Strategic Organizatio</w:t>
      </w:r>
      <w:r w:rsidRPr="0029001B">
        <w:rPr>
          <w:rFonts w:ascii="Times New Roman" w:eastAsia="Times New Roman" w:hAnsi="Times New Roman" w:cs="Times New Roman"/>
          <w:color w:val="000000"/>
          <w:sz w:val="24"/>
          <w:szCs w:val="24"/>
        </w:rPr>
        <w:t xml:space="preserve">n, </w:t>
      </w:r>
      <w:r w:rsidRPr="0029001B">
        <w:rPr>
          <w:rFonts w:ascii="Times New Roman" w:eastAsia="Times New Roman" w:hAnsi="Times New Roman" w:cs="Times New Roman"/>
          <w:b/>
          <w:bCs/>
          <w:color w:val="000000"/>
          <w:sz w:val="24"/>
          <w:szCs w:val="24"/>
        </w:rPr>
        <w:t>17</w:t>
      </w:r>
      <w:r w:rsidRPr="0029001B">
        <w:rPr>
          <w:rFonts w:ascii="Times New Roman" w:eastAsia="Times New Roman" w:hAnsi="Times New Roman" w:cs="Times New Roman"/>
          <w:color w:val="000000"/>
          <w:sz w:val="24"/>
          <w:szCs w:val="24"/>
        </w:rPr>
        <w:t>(1), 120-132.</w:t>
      </w:r>
    </w:p>
    <w:p w14:paraId="00000091" w14:textId="54535C8A" w:rsidR="00EE6CE9" w:rsidRDefault="00364A95">
      <w:pPr>
        <w:spacing w:after="0" w:line="240" w:lineRule="auto"/>
        <w:ind w:left="720"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Keskitalo, E.C.H. and Preston, B.L. </w:t>
      </w:r>
      <w:r w:rsidR="00F43FF4">
        <w:rPr>
          <w:rFonts w:ascii="Times New Roman" w:eastAsia="Times New Roman" w:hAnsi="Times New Roman" w:cs="Times New Roman"/>
          <w:sz w:val="24"/>
          <w:szCs w:val="24"/>
        </w:rPr>
        <w:t xml:space="preserve">(Eds.) </w:t>
      </w:r>
      <w:r>
        <w:rPr>
          <w:rFonts w:ascii="Times New Roman" w:eastAsia="Times New Roman" w:hAnsi="Times New Roman" w:cs="Times New Roman"/>
          <w:sz w:val="24"/>
          <w:szCs w:val="24"/>
        </w:rPr>
        <w:t xml:space="preserve">(2019). </w:t>
      </w:r>
      <w:r>
        <w:rPr>
          <w:rFonts w:ascii="Times New Roman" w:eastAsia="Times New Roman" w:hAnsi="Times New Roman" w:cs="Times New Roman"/>
          <w:i/>
          <w:sz w:val="24"/>
          <w:szCs w:val="24"/>
        </w:rPr>
        <w:t>Research Handbook on Climate Change Adaptation Policy</w:t>
      </w:r>
      <w:r>
        <w:rPr>
          <w:rFonts w:ascii="Times New Roman" w:eastAsia="Times New Roman" w:hAnsi="Times New Roman" w:cs="Times New Roman"/>
          <w:sz w:val="24"/>
          <w:szCs w:val="24"/>
        </w:rPr>
        <w:t xml:space="preserve">. Cheltenham, UK: Edward Elgar Publishing. </w:t>
      </w:r>
    </w:p>
    <w:p w14:paraId="00000092" w14:textId="77777777" w:rsidR="00EE6CE9" w:rsidRDefault="00364A95">
      <w:pPr>
        <w:pBdr>
          <w:top w:val="nil"/>
          <w:left w:val="nil"/>
          <w:bottom w:val="nil"/>
          <w:right w:val="nil"/>
          <w:between w:val="nil"/>
        </w:pBdr>
        <w:spacing w:after="0" w:line="240" w:lineRule="auto"/>
        <w:ind w:left="720" w:hanging="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Kolk, A. and Pinkse, J. (2005). ‘Business responses to climate change: Identifying emergent strategies’. </w:t>
      </w:r>
      <w:r>
        <w:rPr>
          <w:rFonts w:ascii="Times New Roman" w:eastAsia="Times New Roman" w:hAnsi="Times New Roman" w:cs="Times New Roman"/>
          <w:i/>
          <w:color w:val="000000"/>
          <w:sz w:val="24"/>
          <w:szCs w:val="24"/>
        </w:rPr>
        <w:t>California Management Review</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b/>
          <w:color w:val="000000"/>
          <w:sz w:val="24"/>
          <w:szCs w:val="24"/>
        </w:rPr>
        <w:t>47</w:t>
      </w:r>
      <w:r>
        <w:rPr>
          <w:rFonts w:ascii="Times New Roman" w:eastAsia="Times New Roman" w:hAnsi="Times New Roman" w:cs="Times New Roman"/>
          <w:color w:val="000000"/>
          <w:sz w:val="24"/>
          <w:szCs w:val="24"/>
        </w:rPr>
        <w:t>(3), 6-20.</w:t>
      </w:r>
    </w:p>
    <w:p w14:paraId="00000093" w14:textId="77777777" w:rsidR="00EE6CE9" w:rsidRDefault="00364A95">
      <w:pPr>
        <w:spacing w:after="0" w:line="240" w:lineRule="auto"/>
        <w:ind w:left="720"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Kourula, A., Moon, J., Salles-Djelic, M.L. and Wickert, C. (2019). ‘New roles of government in the governance of business conduct: Implications for management and organizational research’. </w:t>
      </w:r>
      <w:r>
        <w:rPr>
          <w:rFonts w:ascii="Times New Roman" w:eastAsia="Times New Roman" w:hAnsi="Times New Roman" w:cs="Times New Roman"/>
          <w:i/>
          <w:sz w:val="24"/>
          <w:szCs w:val="24"/>
        </w:rPr>
        <w:t>Organization Studies</w:t>
      </w:r>
      <w:r>
        <w:rPr>
          <w:rFonts w:ascii="Times New Roman" w:eastAsia="Times New Roman" w:hAnsi="Times New Roman" w:cs="Times New Roman"/>
          <w:sz w:val="24"/>
          <w:szCs w:val="24"/>
        </w:rPr>
        <w:t xml:space="preserve">, </w:t>
      </w:r>
      <w:r>
        <w:rPr>
          <w:rFonts w:ascii="Times New Roman" w:eastAsia="Times New Roman" w:hAnsi="Times New Roman" w:cs="Times New Roman"/>
          <w:b/>
          <w:sz w:val="24"/>
          <w:szCs w:val="24"/>
        </w:rPr>
        <w:t>40</w:t>
      </w:r>
      <w:r>
        <w:rPr>
          <w:rFonts w:ascii="Times New Roman" w:eastAsia="Times New Roman" w:hAnsi="Times New Roman" w:cs="Times New Roman"/>
          <w:sz w:val="24"/>
          <w:szCs w:val="24"/>
        </w:rPr>
        <w:t>(8), 1101-1123.</w:t>
      </w:r>
    </w:p>
    <w:p w14:paraId="00000095" w14:textId="77777777" w:rsidR="00EE6CE9" w:rsidRDefault="00364A95">
      <w:pPr>
        <w:spacing w:after="0" w:line="240" w:lineRule="auto"/>
        <w:ind w:left="720"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Lawrence, P.R. and Lorsch, J.W. (1967). </w:t>
      </w:r>
      <w:r>
        <w:rPr>
          <w:rFonts w:ascii="Times New Roman" w:eastAsia="Times New Roman" w:hAnsi="Times New Roman" w:cs="Times New Roman"/>
          <w:i/>
          <w:sz w:val="24"/>
          <w:szCs w:val="24"/>
        </w:rPr>
        <w:t>Organization and Environment</w:t>
      </w:r>
      <w:r>
        <w:rPr>
          <w:rFonts w:ascii="Times New Roman" w:eastAsia="Times New Roman" w:hAnsi="Times New Roman" w:cs="Times New Roman"/>
          <w:sz w:val="24"/>
          <w:szCs w:val="24"/>
        </w:rPr>
        <w:t>. Cambridge, MA: Harvard University Press.</w:t>
      </w:r>
    </w:p>
    <w:p w14:paraId="00000096" w14:textId="77777777" w:rsidR="00EE6CE9" w:rsidRDefault="00364A95">
      <w:pPr>
        <w:spacing w:after="0" w:line="240" w:lineRule="auto"/>
        <w:ind w:left="720" w:hanging="720"/>
        <w:rPr>
          <w:rFonts w:ascii="Times New Roman" w:eastAsia="Times New Roman" w:hAnsi="Times New Roman" w:cs="Times New Roman"/>
          <w:sz w:val="24"/>
          <w:szCs w:val="24"/>
        </w:rPr>
      </w:pPr>
      <w:r w:rsidRPr="0002289D">
        <w:rPr>
          <w:rFonts w:ascii="Times New Roman" w:eastAsia="Times New Roman" w:hAnsi="Times New Roman" w:cs="Times New Roman"/>
          <w:sz w:val="24"/>
          <w:szCs w:val="24"/>
          <w:lang w:val="de-DE"/>
        </w:rPr>
        <w:t xml:space="preserve">Linham, M.M. and Nicholls, R.J. (2010). </w:t>
      </w:r>
      <w:r>
        <w:rPr>
          <w:rFonts w:ascii="Times New Roman" w:eastAsia="Times New Roman" w:hAnsi="Times New Roman" w:cs="Times New Roman"/>
          <w:i/>
          <w:sz w:val="24"/>
          <w:szCs w:val="24"/>
        </w:rPr>
        <w:t>Technologies for Climate Change Adaptation: Coastal Erosion and Flooding</w:t>
      </w:r>
      <w:r>
        <w:rPr>
          <w:rFonts w:ascii="Times New Roman" w:eastAsia="Times New Roman" w:hAnsi="Times New Roman" w:cs="Times New Roman"/>
          <w:sz w:val="24"/>
          <w:szCs w:val="24"/>
        </w:rPr>
        <w:t xml:space="preserve">. Roskilde, Denmark: UNEP Risø Centre on Energy, Climate and Sustainable Development. Available at: </w:t>
      </w:r>
      <w:hyperlink r:id="rId13">
        <w:r w:rsidR="00EE6CE9">
          <w:rPr>
            <w:rFonts w:ascii="Times New Roman" w:eastAsia="Times New Roman" w:hAnsi="Times New Roman" w:cs="Times New Roman"/>
            <w:color w:val="0000FF"/>
            <w:sz w:val="24"/>
            <w:szCs w:val="24"/>
            <w:u w:val="single"/>
          </w:rPr>
          <w:t>https://www.osti.gov/etdeweb/servlets/purl/1010716</w:t>
        </w:r>
      </w:hyperlink>
      <w:r>
        <w:rPr>
          <w:rFonts w:ascii="Times New Roman" w:eastAsia="Times New Roman" w:hAnsi="Times New Roman" w:cs="Times New Roman"/>
          <w:sz w:val="24"/>
          <w:szCs w:val="24"/>
        </w:rPr>
        <w:t xml:space="preserve"> [Accessed 5 September 2023].</w:t>
      </w:r>
    </w:p>
    <w:p w14:paraId="00000097" w14:textId="77777777" w:rsidR="00EE6CE9" w:rsidRDefault="00364A95">
      <w:pPr>
        <w:pBdr>
          <w:top w:val="nil"/>
          <w:left w:val="nil"/>
          <w:bottom w:val="nil"/>
          <w:right w:val="nil"/>
          <w:between w:val="nil"/>
        </w:pBdr>
        <w:spacing w:after="0" w:line="240" w:lineRule="auto"/>
        <w:ind w:left="720" w:hanging="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Linnenluecke, M. and Griffiths, A. (2010). ‘Beyond adaptation: resilience for business in light of climate change and weather extremes’. </w:t>
      </w:r>
      <w:r>
        <w:rPr>
          <w:rFonts w:ascii="Times New Roman" w:eastAsia="Times New Roman" w:hAnsi="Times New Roman" w:cs="Times New Roman"/>
          <w:i/>
          <w:color w:val="000000"/>
          <w:sz w:val="24"/>
          <w:szCs w:val="24"/>
        </w:rPr>
        <w:t>Business &amp; Society</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b/>
          <w:color w:val="000000"/>
          <w:sz w:val="24"/>
          <w:szCs w:val="24"/>
        </w:rPr>
        <w:t>49</w:t>
      </w:r>
      <w:r>
        <w:rPr>
          <w:rFonts w:ascii="Times New Roman" w:eastAsia="Times New Roman" w:hAnsi="Times New Roman" w:cs="Times New Roman"/>
          <w:color w:val="000000"/>
          <w:sz w:val="24"/>
          <w:szCs w:val="24"/>
        </w:rPr>
        <w:t>(3), 477-511.</w:t>
      </w:r>
    </w:p>
    <w:p w14:paraId="00000098" w14:textId="77777777" w:rsidR="00EE6CE9" w:rsidRDefault="00364A95">
      <w:pPr>
        <w:pBdr>
          <w:top w:val="nil"/>
          <w:left w:val="nil"/>
          <w:bottom w:val="nil"/>
          <w:right w:val="nil"/>
          <w:between w:val="nil"/>
        </w:pBdr>
        <w:spacing w:after="0" w:line="240" w:lineRule="auto"/>
        <w:ind w:left="720" w:hanging="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Linnenluecke, M., Griffiths, A. and Winn, M. (2012). ‘Extreme weather events and the critical importance of anticipatory adaptation and organizational resilience in responding to impacts’. </w:t>
      </w:r>
      <w:r>
        <w:rPr>
          <w:rFonts w:ascii="Times New Roman" w:eastAsia="Times New Roman" w:hAnsi="Times New Roman" w:cs="Times New Roman"/>
          <w:i/>
          <w:color w:val="000000"/>
          <w:sz w:val="24"/>
          <w:szCs w:val="24"/>
        </w:rPr>
        <w:t>Business Strategy and the Environment</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b/>
          <w:color w:val="000000"/>
          <w:sz w:val="24"/>
          <w:szCs w:val="24"/>
        </w:rPr>
        <w:t>21</w:t>
      </w:r>
      <w:r>
        <w:rPr>
          <w:rFonts w:ascii="Times New Roman" w:eastAsia="Times New Roman" w:hAnsi="Times New Roman" w:cs="Times New Roman"/>
          <w:color w:val="000000"/>
          <w:sz w:val="24"/>
          <w:szCs w:val="24"/>
        </w:rPr>
        <w:t>(1), 17-32.</w:t>
      </w:r>
    </w:p>
    <w:p w14:paraId="00000099" w14:textId="77777777" w:rsidR="00EE6CE9" w:rsidRDefault="00364A95">
      <w:pPr>
        <w:pBdr>
          <w:top w:val="nil"/>
          <w:left w:val="nil"/>
          <w:bottom w:val="nil"/>
          <w:right w:val="nil"/>
          <w:between w:val="nil"/>
        </w:pBdr>
        <w:spacing w:after="0" w:line="240" w:lineRule="auto"/>
        <w:ind w:left="720" w:hanging="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Linnenluecke M, Griffiths A., and Winn, M. (2013). ‘Firm and industry adaptation to climate change: A review of climate adaptation studies in the business and management field’. </w:t>
      </w:r>
      <w:r>
        <w:rPr>
          <w:rFonts w:ascii="Times New Roman" w:eastAsia="Times New Roman" w:hAnsi="Times New Roman" w:cs="Times New Roman"/>
          <w:i/>
          <w:color w:val="000000"/>
          <w:sz w:val="24"/>
          <w:szCs w:val="24"/>
        </w:rPr>
        <w:t>WIREs: Clim Change</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b/>
          <w:color w:val="000000"/>
          <w:sz w:val="24"/>
          <w:szCs w:val="24"/>
        </w:rPr>
        <w:t>4</w:t>
      </w:r>
      <w:r>
        <w:rPr>
          <w:rFonts w:ascii="Times New Roman" w:eastAsia="Times New Roman" w:hAnsi="Times New Roman" w:cs="Times New Roman"/>
          <w:color w:val="000000"/>
          <w:sz w:val="24"/>
          <w:szCs w:val="24"/>
        </w:rPr>
        <w:t>(5), 397–416.</w:t>
      </w:r>
    </w:p>
    <w:p w14:paraId="0000009A" w14:textId="77777777" w:rsidR="00EE6CE9" w:rsidRDefault="00364A95">
      <w:pPr>
        <w:pBdr>
          <w:top w:val="nil"/>
          <w:left w:val="nil"/>
          <w:bottom w:val="nil"/>
          <w:right w:val="nil"/>
          <w:between w:val="nil"/>
        </w:pBdr>
        <w:spacing w:after="0" w:line="240" w:lineRule="auto"/>
        <w:ind w:left="720" w:hanging="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Majchrzak, A., Jarvenpaa, S.L. and Hollingshead, A.B. (2007). Coordinating expertise among emergent groups responding to disasters. </w:t>
      </w:r>
      <w:r>
        <w:rPr>
          <w:rFonts w:ascii="Times New Roman" w:eastAsia="Times New Roman" w:hAnsi="Times New Roman" w:cs="Times New Roman"/>
          <w:i/>
          <w:color w:val="000000"/>
          <w:sz w:val="24"/>
          <w:szCs w:val="24"/>
        </w:rPr>
        <w:t>Organization Science</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b/>
          <w:color w:val="000000"/>
          <w:sz w:val="24"/>
          <w:szCs w:val="24"/>
        </w:rPr>
        <w:t>18</w:t>
      </w:r>
      <w:r>
        <w:rPr>
          <w:rFonts w:ascii="Times New Roman" w:eastAsia="Times New Roman" w:hAnsi="Times New Roman" w:cs="Times New Roman"/>
          <w:color w:val="000000"/>
          <w:sz w:val="24"/>
          <w:szCs w:val="24"/>
        </w:rPr>
        <w:t>(1), 147-161.</w:t>
      </w:r>
    </w:p>
    <w:p w14:paraId="0000009B" w14:textId="77777777" w:rsidR="00EE6CE9" w:rsidRDefault="00364A95">
      <w:pPr>
        <w:pBdr>
          <w:top w:val="nil"/>
          <w:left w:val="nil"/>
          <w:bottom w:val="nil"/>
          <w:right w:val="nil"/>
          <w:between w:val="nil"/>
        </w:pBdr>
        <w:spacing w:after="0" w:line="240" w:lineRule="auto"/>
        <w:ind w:left="720" w:hanging="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Markkanen, S. and Anger-Kraavi, A. (2019). ‘Social impacts of climate change mitigation policies and their implications for inequality’. </w:t>
      </w:r>
      <w:r>
        <w:rPr>
          <w:rFonts w:ascii="Times New Roman" w:eastAsia="Times New Roman" w:hAnsi="Times New Roman" w:cs="Times New Roman"/>
          <w:i/>
          <w:color w:val="000000"/>
          <w:sz w:val="24"/>
          <w:szCs w:val="24"/>
        </w:rPr>
        <w:t>Climate Policy</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b/>
          <w:color w:val="000000"/>
          <w:sz w:val="24"/>
          <w:szCs w:val="24"/>
        </w:rPr>
        <w:t>19</w:t>
      </w:r>
      <w:r>
        <w:rPr>
          <w:rFonts w:ascii="Times New Roman" w:eastAsia="Times New Roman" w:hAnsi="Times New Roman" w:cs="Times New Roman"/>
          <w:color w:val="000000"/>
          <w:sz w:val="24"/>
          <w:szCs w:val="24"/>
        </w:rPr>
        <w:t>(7), 827-844.</w:t>
      </w:r>
    </w:p>
    <w:p w14:paraId="0000009C" w14:textId="376B3E8F" w:rsidR="00EE6CE9" w:rsidRDefault="00364A95">
      <w:pPr>
        <w:pBdr>
          <w:top w:val="nil"/>
          <w:left w:val="nil"/>
          <w:bottom w:val="nil"/>
          <w:right w:val="nil"/>
          <w:between w:val="nil"/>
        </w:pBdr>
        <w:spacing w:after="0" w:line="240" w:lineRule="auto"/>
        <w:ind w:left="720" w:hanging="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McGahan, A. M. and Pongeluppe, L. S. (2023). There is no planet B: Aligning stakeholder interests to preserve the Amazon rainforest. </w:t>
      </w:r>
      <w:r>
        <w:rPr>
          <w:rFonts w:ascii="Times New Roman" w:eastAsia="Times New Roman" w:hAnsi="Times New Roman" w:cs="Times New Roman"/>
          <w:i/>
          <w:color w:val="000000"/>
          <w:sz w:val="24"/>
          <w:szCs w:val="24"/>
        </w:rPr>
        <w:t>Management Science</w:t>
      </w:r>
      <w:r>
        <w:rPr>
          <w:rFonts w:ascii="Times New Roman" w:eastAsia="Times New Roman" w:hAnsi="Times New Roman" w:cs="Times New Roman"/>
          <w:color w:val="000000"/>
          <w:sz w:val="24"/>
          <w:szCs w:val="24"/>
        </w:rPr>
        <w:t xml:space="preserve">, </w:t>
      </w:r>
      <w:r w:rsidRPr="00E0197E">
        <w:rPr>
          <w:rFonts w:ascii="Times New Roman" w:eastAsia="Times New Roman" w:hAnsi="Times New Roman" w:cs="Times New Roman"/>
          <w:b/>
          <w:bCs/>
          <w:color w:val="000000"/>
          <w:sz w:val="24"/>
          <w:szCs w:val="24"/>
        </w:rPr>
        <w:t>69</w:t>
      </w:r>
      <w:r w:rsidR="004E55F8">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z w:val="24"/>
          <w:szCs w:val="24"/>
        </w:rPr>
        <w:t>2</w:t>
      </w:r>
      <w:r w:rsidR="004E55F8">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z w:val="24"/>
          <w:szCs w:val="24"/>
        </w:rPr>
        <w:t>, 7860-7881.</w:t>
      </w:r>
    </w:p>
    <w:p w14:paraId="0000009D" w14:textId="69EB89B7" w:rsidR="00EE6CE9" w:rsidRDefault="00364A95">
      <w:pPr>
        <w:pBdr>
          <w:top w:val="nil"/>
          <w:left w:val="nil"/>
          <w:bottom w:val="nil"/>
          <w:right w:val="nil"/>
          <w:between w:val="nil"/>
        </w:pBdr>
        <w:spacing w:after="0" w:line="240" w:lineRule="auto"/>
        <w:ind w:left="720" w:hanging="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Meadows, D.H. (2008). </w:t>
      </w:r>
      <w:r w:rsidRPr="00E0197E">
        <w:rPr>
          <w:rFonts w:ascii="Times New Roman" w:eastAsia="Times New Roman" w:hAnsi="Times New Roman" w:cs="Times New Roman"/>
          <w:i/>
          <w:iCs/>
          <w:color w:val="000000"/>
          <w:sz w:val="24"/>
          <w:szCs w:val="24"/>
        </w:rPr>
        <w:t>Thinking in Systems</w:t>
      </w:r>
      <w:r w:rsidR="004E55F8" w:rsidRPr="00E0197E">
        <w:rPr>
          <w:rFonts w:ascii="Times New Roman" w:eastAsia="Times New Roman" w:hAnsi="Times New Roman" w:cs="Times New Roman"/>
          <w:i/>
          <w:iCs/>
          <w:color w:val="000000"/>
          <w:sz w:val="24"/>
          <w:szCs w:val="24"/>
        </w:rPr>
        <w:t>:</w:t>
      </w:r>
      <w:r w:rsidRPr="00E0197E">
        <w:rPr>
          <w:rFonts w:ascii="Times New Roman" w:eastAsia="Times New Roman" w:hAnsi="Times New Roman" w:cs="Times New Roman"/>
          <w:i/>
          <w:iCs/>
          <w:color w:val="000000"/>
          <w:sz w:val="24"/>
          <w:szCs w:val="24"/>
        </w:rPr>
        <w:t xml:space="preserve"> A primer</w:t>
      </w:r>
      <w:r>
        <w:rPr>
          <w:rFonts w:ascii="Times New Roman" w:eastAsia="Times New Roman" w:hAnsi="Times New Roman" w:cs="Times New Roman"/>
          <w:color w:val="000000"/>
          <w:sz w:val="24"/>
          <w:szCs w:val="24"/>
        </w:rPr>
        <w:t>. Edited by Diana Wrig</w:t>
      </w:r>
      <w:r w:rsidR="004E55F8">
        <w:rPr>
          <w:rFonts w:ascii="Times New Roman" w:eastAsia="Times New Roman" w:hAnsi="Times New Roman" w:cs="Times New Roman"/>
          <w:color w:val="000000"/>
          <w:sz w:val="24"/>
          <w:szCs w:val="24"/>
        </w:rPr>
        <w:t>ht</w:t>
      </w:r>
      <w:r>
        <w:rPr>
          <w:rFonts w:ascii="Times New Roman" w:eastAsia="Times New Roman" w:hAnsi="Times New Roman" w:cs="Times New Roman"/>
          <w:color w:val="000000"/>
          <w:sz w:val="24"/>
          <w:szCs w:val="24"/>
        </w:rPr>
        <w:t xml:space="preserve">. </w:t>
      </w:r>
      <w:r w:rsidR="004E55F8">
        <w:rPr>
          <w:rFonts w:ascii="Times New Roman" w:eastAsia="Times New Roman" w:hAnsi="Times New Roman" w:cs="Times New Roman"/>
          <w:color w:val="000000"/>
          <w:sz w:val="24"/>
          <w:szCs w:val="24"/>
        </w:rPr>
        <w:t xml:space="preserve">New York, NY: </w:t>
      </w:r>
      <w:r>
        <w:rPr>
          <w:rFonts w:ascii="Times New Roman" w:eastAsia="Times New Roman" w:hAnsi="Times New Roman" w:cs="Times New Roman"/>
          <w:color w:val="000000"/>
          <w:sz w:val="24"/>
          <w:szCs w:val="24"/>
        </w:rPr>
        <w:t>Chelsea Green Publishing Company.</w:t>
      </w:r>
    </w:p>
    <w:p w14:paraId="0000009E" w14:textId="77777777" w:rsidR="00EE6CE9" w:rsidRDefault="00364A95">
      <w:pPr>
        <w:pBdr>
          <w:top w:val="nil"/>
          <w:left w:val="nil"/>
          <w:bottom w:val="nil"/>
          <w:right w:val="nil"/>
          <w:between w:val="nil"/>
        </w:pBdr>
        <w:spacing w:after="0" w:line="240" w:lineRule="auto"/>
        <w:ind w:left="720" w:hanging="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Meijerink, S. and Stiller, S. (2013). ‘What kind of leadership do we need for climate adaptation? A framework for analyzing leadership objectives, functions, and tasks in climate change adaptation.’ </w:t>
      </w:r>
      <w:r>
        <w:rPr>
          <w:rFonts w:ascii="Times New Roman" w:eastAsia="Times New Roman" w:hAnsi="Times New Roman" w:cs="Times New Roman"/>
          <w:i/>
          <w:color w:val="000000"/>
          <w:sz w:val="24"/>
          <w:szCs w:val="24"/>
        </w:rPr>
        <w:t>Environment and Planning C: Politics and Space</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b/>
          <w:color w:val="000000"/>
          <w:sz w:val="24"/>
          <w:szCs w:val="24"/>
        </w:rPr>
        <w:t>31</w:t>
      </w:r>
      <w:r>
        <w:rPr>
          <w:rFonts w:ascii="Times New Roman" w:eastAsia="Times New Roman" w:hAnsi="Times New Roman" w:cs="Times New Roman"/>
          <w:color w:val="000000"/>
          <w:sz w:val="24"/>
          <w:szCs w:val="24"/>
        </w:rPr>
        <w:t>(2), 240-256.</w:t>
      </w:r>
    </w:p>
    <w:p w14:paraId="0000009F" w14:textId="77777777" w:rsidR="00EE6CE9" w:rsidRDefault="00364A95">
      <w:pPr>
        <w:spacing w:after="0" w:line="240" w:lineRule="auto"/>
        <w:ind w:left="720"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Mische, A. (2014). ‘Measuring futures in action: Projective grammars in the Rio + 20 debates’. </w:t>
      </w:r>
      <w:r>
        <w:rPr>
          <w:rFonts w:ascii="Times New Roman" w:eastAsia="Times New Roman" w:hAnsi="Times New Roman" w:cs="Times New Roman"/>
          <w:i/>
          <w:sz w:val="24"/>
          <w:szCs w:val="24"/>
        </w:rPr>
        <w:t>Theory and Society</w:t>
      </w:r>
      <w:r>
        <w:rPr>
          <w:rFonts w:ascii="Times New Roman" w:eastAsia="Times New Roman" w:hAnsi="Times New Roman" w:cs="Times New Roman"/>
          <w:sz w:val="24"/>
          <w:szCs w:val="24"/>
        </w:rPr>
        <w:t xml:space="preserve">, </w:t>
      </w:r>
      <w:r>
        <w:rPr>
          <w:rFonts w:ascii="Times New Roman" w:eastAsia="Times New Roman" w:hAnsi="Times New Roman" w:cs="Times New Roman"/>
          <w:b/>
          <w:sz w:val="24"/>
          <w:szCs w:val="24"/>
        </w:rPr>
        <w:t>43</w:t>
      </w:r>
      <w:r>
        <w:rPr>
          <w:rFonts w:ascii="Times New Roman" w:eastAsia="Times New Roman" w:hAnsi="Times New Roman" w:cs="Times New Roman"/>
          <w:sz w:val="24"/>
          <w:szCs w:val="24"/>
        </w:rPr>
        <w:t>, 437-464.</w:t>
      </w:r>
    </w:p>
    <w:p w14:paraId="000000A0" w14:textId="05DA205E" w:rsidR="00EE6CE9" w:rsidRDefault="00364A95">
      <w:pPr>
        <w:spacing w:after="0" w:line="240" w:lineRule="auto"/>
        <w:ind w:left="720"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Morrison, C. and Pickering, C. (2013). ‘Limits to climate change adaptation: Case study of the Australian </w:t>
      </w:r>
      <w:r w:rsidR="004E55F8">
        <w:rPr>
          <w:rFonts w:ascii="Times New Roman" w:eastAsia="Times New Roman" w:hAnsi="Times New Roman" w:cs="Times New Roman"/>
          <w:sz w:val="24"/>
          <w:szCs w:val="24"/>
        </w:rPr>
        <w:t>A</w:t>
      </w:r>
      <w:r>
        <w:rPr>
          <w:rFonts w:ascii="Times New Roman" w:eastAsia="Times New Roman" w:hAnsi="Times New Roman" w:cs="Times New Roman"/>
          <w:sz w:val="24"/>
          <w:szCs w:val="24"/>
        </w:rPr>
        <w:t xml:space="preserve">lps’. </w:t>
      </w:r>
      <w:r>
        <w:rPr>
          <w:rFonts w:ascii="Times New Roman" w:eastAsia="Times New Roman" w:hAnsi="Times New Roman" w:cs="Times New Roman"/>
          <w:i/>
          <w:sz w:val="24"/>
          <w:szCs w:val="24"/>
        </w:rPr>
        <w:t>Geographical Research</w:t>
      </w:r>
      <w:r>
        <w:rPr>
          <w:rFonts w:ascii="Times New Roman" w:eastAsia="Times New Roman" w:hAnsi="Times New Roman" w:cs="Times New Roman"/>
          <w:sz w:val="24"/>
          <w:szCs w:val="24"/>
        </w:rPr>
        <w:t xml:space="preserve">, </w:t>
      </w:r>
      <w:r>
        <w:rPr>
          <w:rFonts w:ascii="Times New Roman" w:eastAsia="Times New Roman" w:hAnsi="Times New Roman" w:cs="Times New Roman"/>
          <w:b/>
          <w:sz w:val="24"/>
          <w:szCs w:val="24"/>
        </w:rPr>
        <w:t>51</w:t>
      </w:r>
      <w:r>
        <w:rPr>
          <w:rFonts w:ascii="Times New Roman" w:eastAsia="Times New Roman" w:hAnsi="Times New Roman" w:cs="Times New Roman"/>
          <w:sz w:val="24"/>
          <w:szCs w:val="24"/>
        </w:rPr>
        <w:t>(1), 11-25.</w:t>
      </w:r>
    </w:p>
    <w:p w14:paraId="000000A1" w14:textId="636BA53B" w:rsidR="00EE6CE9" w:rsidRDefault="00364A95">
      <w:pPr>
        <w:pBdr>
          <w:top w:val="nil"/>
          <w:left w:val="nil"/>
          <w:bottom w:val="nil"/>
          <w:right w:val="nil"/>
          <w:between w:val="nil"/>
        </w:pBdr>
        <w:spacing w:after="0" w:line="240" w:lineRule="auto"/>
        <w:ind w:left="720" w:hanging="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Murray, A., Skene, K. and Haynes, K. (2017). ‘The circular economy: an interdisciplinary exploration of the concept and application in a global context’. </w:t>
      </w:r>
      <w:r>
        <w:rPr>
          <w:rFonts w:ascii="Times New Roman" w:eastAsia="Times New Roman" w:hAnsi="Times New Roman" w:cs="Times New Roman"/>
          <w:i/>
          <w:color w:val="000000"/>
          <w:sz w:val="24"/>
          <w:szCs w:val="24"/>
        </w:rPr>
        <w:t>Journal of Business Ethics</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b/>
          <w:color w:val="000000"/>
          <w:sz w:val="24"/>
          <w:szCs w:val="24"/>
        </w:rPr>
        <w:t>140</w:t>
      </w:r>
      <w:r w:rsidR="004E55F8" w:rsidRPr="00E0197E">
        <w:rPr>
          <w:rFonts w:ascii="Times New Roman" w:eastAsia="Times New Roman" w:hAnsi="Times New Roman" w:cs="Times New Roman"/>
          <w:bCs/>
          <w:color w:val="000000"/>
          <w:sz w:val="24"/>
          <w:szCs w:val="24"/>
        </w:rPr>
        <w:t>(3)</w:t>
      </w:r>
      <w:r w:rsidRPr="004E55F8">
        <w:rPr>
          <w:rFonts w:ascii="Times New Roman" w:eastAsia="Times New Roman" w:hAnsi="Times New Roman" w:cs="Times New Roman"/>
          <w:bCs/>
          <w:color w:val="000000"/>
          <w:sz w:val="24"/>
          <w:szCs w:val="24"/>
        </w:rPr>
        <w:t>,</w:t>
      </w:r>
      <w:r>
        <w:rPr>
          <w:rFonts w:ascii="Times New Roman" w:eastAsia="Times New Roman" w:hAnsi="Times New Roman" w:cs="Times New Roman"/>
          <w:color w:val="000000"/>
          <w:sz w:val="24"/>
          <w:szCs w:val="24"/>
        </w:rPr>
        <w:t xml:space="preserve"> 369-380.</w:t>
      </w:r>
    </w:p>
    <w:p w14:paraId="07D6F3C9" w14:textId="2CF764BA" w:rsidR="009763FD" w:rsidRDefault="009763FD">
      <w:pPr>
        <w:pBdr>
          <w:top w:val="nil"/>
          <w:left w:val="nil"/>
          <w:bottom w:val="nil"/>
          <w:right w:val="nil"/>
          <w:between w:val="nil"/>
        </w:pBdr>
        <w:spacing w:after="0" w:line="240" w:lineRule="auto"/>
        <w:ind w:left="720" w:hanging="720"/>
        <w:rPr>
          <w:rFonts w:ascii="Times New Roman" w:eastAsia="Times New Roman" w:hAnsi="Times New Roman" w:cs="Times New Roman"/>
          <w:color w:val="000000"/>
          <w:sz w:val="24"/>
          <w:szCs w:val="24"/>
        </w:rPr>
      </w:pPr>
      <w:r w:rsidRPr="009763FD">
        <w:rPr>
          <w:rFonts w:ascii="Times New Roman" w:eastAsia="Times New Roman" w:hAnsi="Times New Roman" w:cs="Times New Roman"/>
          <w:color w:val="000000"/>
          <w:sz w:val="24"/>
          <w:szCs w:val="24"/>
        </w:rPr>
        <w:lastRenderedPageBreak/>
        <w:t>Nadegger, M.</w:t>
      </w:r>
      <w:r w:rsidRPr="00E0197E">
        <w:rPr>
          <w:rFonts w:ascii="Times New Roman" w:eastAsia="Times New Roman" w:hAnsi="Times New Roman" w:cs="Times New Roman"/>
          <w:color w:val="000000"/>
          <w:sz w:val="24"/>
          <w:szCs w:val="24"/>
        </w:rPr>
        <w:t xml:space="preserve"> and</w:t>
      </w:r>
      <w:r w:rsidRPr="009763FD">
        <w:rPr>
          <w:rFonts w:ascii="Times New Roman" w:eastAsia="Times New Roman" w:hAnsi="Times New Roman" w:cs="Times New Roman"/>
          <w:color w:val="000000"/>
          <w:sz w:val="24"/>
          <w:szCs w:val="24"/>
        </w:rPr>
        <w:t xml:space="preserve"> Wegerer, P.K. (2024).</w:t>
      </w:r>
      <w:r w:rsidRPr="00E0197E">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z w:val="24"/>
          <w:szCs w:val="24"/>
        </w:rPr>
        <w:t>‘R</w:t>
      </w:r>
      <w:r w:rsidRPr="009763FD">
        <w:rPr>
          <w:rFonts w:ascii="Times New Roman" w:eastAsia="Times New Roman" w:hAnsi="Times New Roman" w:cs="Times New Roman"/>
          <w:color w:val="000000"/>
          <w:sz w:val="24"/>
          <w:szCs w:val="24"/>
        </w:rPr>
        <w:t>hythms of repetition and disturbance: Reimagining business-as-usual in the Anthropocene</w:t>
      </w:r>
      <w:r>
        <w:rPr>
          <w:rFonts w:ascii="Times New Roman" w:eastAsia="Times New Roman" w:hAnsi="Times New Roman" w:cs="Times New Roman"/>
          <w:color w:val="000000"/>
          <w:sz w:val="24"/>
          <w:szCs w:val="24"/>
        </w:rPr>
        <w:t>’</w:t>
      </w:r>
      <w:r w:rsidRPr="009763FD">
        <w:rPr>
          <w:rFonts w:ascii="Times New Roman" w:eastAsia="Times New Roman" w:hAnsi="Times New Roman" w:cs="Times New Roman"/>
          <w:color w:val="000000"/>
          <w:sz w:val="24"/>
          <w:szCs w:val="24"/>
        </w:rPr>
        <w:t xml:space="preserve">. </w:t>
      </w:r>
      <w:r w:rsidRPr="00E0197E">
        <w:rPr>
          <w:rFonts w:ascii="Times New Roman" w:eastAsia="Times New Roman" w:hAnsi="Times New Roman" w:cs="Times New Roman"/>
          <w:i/>
          <w:iCs/>
          <w:color w:val="000000"/>
          <w:sz w:val="24"/>
          <w:szCs w:val="24"/>
        </w:rPr>
        <w:t>Organization</w:t>
      </w:r>
      <w:r w:rsidRPr="009763FD">
        <w:rPr>
          <w:rFonts w:ascii="Times New Roman" w:eastAsia="Times New Roman" w:hAnsi="Times New Roman" w:cs="Times New Roman"/>
          <w:color w:val="000000"/>
          <w:sz w:val="24"/>
          <w:szCs w:val="24"/>
        </w:rPr>
        <w:t>, 0(0).</w:t>
      </w:r>
    </w:p>
    <w:p w14:paraId="000000A2" w14:textId="77777777" w:rsidR="00EE6CE9" w:rsidRDefault="00364A95">
      <w:pPr>
        <w:pBdr>
          <w:top w:val="nil"/>
          <w:left w:val="nil"/>
          <w:bottom w:val="nil"/>
          <w:right w:val="nil"/>
          <w:between w:val="nil"/>
        </w:pBdr>
        <w:spacing w:after="0" w:line="240" w:lineRule="auto"/>
        <w:ind w:left="720" w:hanging="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Nyberg, D., Ferns, G., Vachhani, S. and Wright, C. (2022). ‘Climate change, business, and society: Bulilding relevance in time and space’. </w:t>
      </w:r>
      <w:r>
        <w:rPr>
          <w:rFonts w:ascii="Times New Roman" w:eastAsia="Times New Roman" w:hAnsi="Times New Roman" w:cs="Times New Roman"/>
          <w:i/>
          <w:color w:val="000000"/>
          <w:sz w:val="24"/>
          <w:szCs w:val="24"/>
        </w:rPr>
        <w:t>Business &amp; Society</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b/>
          <w:color w:val="000000"/>
          <w:sz w:val="24"/>
          <w:szCs w:val="24"/>
        </w:rPr>
        <w:t>61</w:t>
      </w:r>
      <w:r>
        <w:rPr>
          <w:rFonts w:ascii="Times New Roman" w:eastAsia="Times New Roman" w:hAnsi="Times New Roman" w:cs="Times New Roman"/>
          <w:color w:val="000000"/>
          <w:sz w:val="24"/>
          <w:szCs w:val="24"/>
        </w:rPr>
        <w:t>(5), 1322-1352.</w:t>
      </w:r>
    </w:p>
    <w:p w14:paraId="57572798" w14:textId="4439DD11" w:rsidR="00737FE2" w:rsidRDefault="00737FE2" w:rsidP="00737FE2">
      <w:pPr>
        <w:pBdr>
          <w:top w:val="nil"/>
          <w:left w:val="nil"/>
          <w:bottom w:val="nil"/>
          <w:right w:val="nil"/>
          <w:between w:val="nil"/>
        </w:pBdr>
        <w:spacing w:after="0" w:line="240" w:lineRule="auto"/>
        <w:ind w:left="720" w:hanging="720"/>
        <w:rPr>
          <w:rFonts w:ascii="Times New Roman" w:eastAsia="Times New Roman" w:hAnsi="Times New Roman" w:cs="Times New Roman"/>
          <w:color w:val="000000"/>
          <w:sz w:val="24"/>
          <w:szCs w:val="24"/>
        </w:rPr>
      </w:pPr>
      <w:r w:rsidRPr="00737FE2">
        <w:rPr>
          <w:rFonts w:ascii="Times New Roman" w:eastAsia="Times New Roman" w:hAnsi="Times New Roman" w:cs="Times New Roman"/>
          <w:color w:val="000000"/>
          <w:sz w:val="24"/>
          <w:szCs w:val="24"/>
          <w:lang w:val="en-US"/>
        </w:rPr>
        <w:t xml:space="preserve">Nyberg, D., &amp; Wright, C. (2024). Defending hegemony: From climate change mitigation to adaptation on the Great Barrier Reef. </w:t>
      </w:r>
      <w:r w:rsidRPr="00B66E89">
        <w:rPr>
          <w:rFonts w:ascii="Times New Roman" w:eastAsia="Times New Roman" w:hAnsi="Times New Roman" w:cs="Times New Roman"/>
          <w:i/>
          <w:iCs/>
          <w:color w:val="000000"/>
          <w:sz w:val="24"/>
          <w:szCs w:val="24"/>
        </w:rPr>
        <w:t>Organization</w:t>
      </w:r>
      <w:r w:rsidRPr="00B66E89">
        <w:rPr>
          <w:rFonts w:ascii="Times New Roman" w:eastAsia="Times New Roman" w:hAnsi="Times New Roman" w:cs="Times New Roman"/>
          <w:color w:val="000000"/>
          <w:sz w:val="24"/>
          <w:szCs w:val="24"/>
        </w:rPr>
        <w:t xml:space="preserve">, </w:t>
      </w:r>
      <w:r w:rsidRPr="00E0197E">
        <w:rPr>
          <w:rFonts w:ascii="Times New Roman" w:eastAsia="Times New Roman" w:hAnsi="Times New Roman" w:cs="Times New Roman"/>
          <w:b/>
          <w:bCs/>
          <w:color w:val="000000"/>
          <w:sz w:val="24"/>
          <w:szCs w:val="24"/>
        </w:rPr>
        <w:t>31</w:t>
      </w:r>
      <w:r w:rsidRPr="00B66E89">
        <w:rPr>
          <w:rFonts w:ascii="Times New Roman" w:eastAsia="Times New Roman" w:hAnsi="Times New Roman" w:cs="Times New Roman"/>
          <w:color w:val="000000"/>
          <w:sz w:val="24"/>
          <w:szCs w:val="24"/>
        </w:rPr>
        <w:t>(2), 247-268.</w:t>
      </w:r>
    </w:p>
    <w:p w14:paraId="000000A3" w14:textId="79B95DFA" w:rsidR="00EE6CE9" w:rsidRDefault="00364A95">
      <w:pPr>
        <w:pBdr>
          <w:top w:val="nil"/>
          <w:left w:val="nil"/>
          <w:bottom w:val="nil"/>
          <w:right w:val="nil"/>
          <w:between w:val="nil"/>
        </w:pBdr>
        <w:spacing w:after="0" w:line="240" w:lineRule="auto"/>
        <w:ind w:left="720" w:hanging="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Nyiwul, L. (2021). ‘Climate change adaptation and inequality in Africa: Case of water, energy and food insecurity’. </w:t>
      </w:r>
      <w:r>
        <w:rPr>
          <w:rFonts w:ascii="Times New Roman" w:eastAsia="Times New Roman" w:hAnsi="Times New Roman" w:cs="Times New Roman"/>
          <w:i/>
          <w:color w:val="000000"/>
          <w:sz w:val="24"/>
          <w:szCs w:val="24"/>
        </w:rPr>
        <w:t>Journal of Cleaner Production</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b/>
          <w:color w:val="000000"/>
          <w:sz w:val="24"/>
          <w:szCs w:val="24"/>
        </w:rPr>
        <w:t>278</w:t>
      </w:r>
      <w:r>
        <w:rPr>
          <w:rFonts w:ascii="Times New Roman" w:eastAsia="Times New Roman" w:hAnsi="Times New Roman" w:cs="Times New Roman"/>
          <w:color w:val="000000"/>
          <w:sz w:val="24"/>
          <w:szCs w:val="24"/>
        </w:rPr>
        <w:t>: 123393.</w:t>
      </w:r>
    </w:p>
    <w:p w14:paraId="000000A4" w14:textId="77777777" w:rsidR="00EE6CE9" w:rsidRDefault="00364A95">
      <w:pPr>
        <w:spacing w:after="0" w:line="240" w:lineRule="auto"/>
        <w:ind w:left="720"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Obel, B. and Kallehave, P. (2022). ‘Designing a sustainable organization: The four I’s framework’. </w:t>
      </w:r>
      <w:r>
        <w:rPr>
          <w:rFonts w:ascii="Times New Roman" w:eastAsia="Times New Roman" w:hAnsi="Times New Roman" w:cs="Times New Roman"/>
          <w:i/>
          <w:sz w:val="24"/>
          <w:szCs w:val="24"/>
        </w:rPr>
        <w:t>Journal of Organization Design</w:t>
      </w:r>
      <w:r>
        <w:rPr>
          <w:rFonts w:ascii="Times New Roman" w:eastAsia="Times New Roman" w:hAnsi="Times New Roman" w:cs="Times New Roman"/>
          <w:sz w:val="24"/>
          <w:szCs w:val="24"/>
        </w:rPr>
        <w:t xml:space="preserve">, </w:t>
      </w:r>
      <w:r>
        <w:rPr>
          <w:rFonts w:ascii="Times New Roman" w:eastAsia="Times New Roman" w:hAnsi="Times New Roman" w:cs="Times New Roman"/>
          <w:b/>
          <w:sz w:val="24"/>
          <w:szCs w:val="24"/>
        </w:rPr>
        <w:t>11</w:t>
      </w:r>
      <w:r>
        <w:rPr>
          <w:rFonts w:ascii="Times New Roman" w:eastAsia="Times New Roman" w:hAnsi="Times New Roman" w:cs="Times New Roman"/>
          <w:sz w:val="24"/>
          <w:szCs w:val="24"/>
        </w:rPr>
        <w:t xml:space="preserve">, 65-76. </w:t>
      </w:r>
    </w:p>
    <w:p w14:paraId="000000A5" w14:textId="45610BB8" w:rsidR="00EE6CE9" w:rsidRDefault="00364A95">
      <w:pPr>
        <w:spacing w:after="0" w:line="240" w:lineRule="auto"/>
        <w:ind w:left="720"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Ostrom, E. (2010). ‘Beyond markets and states: Polycentric governance of complex economic systems’. </w:t>
      </w:r>
      <w:r>
        <w:rPr>
          <w:rFonts w:ascii="Times New Roman" w:eastAsia="Times New Roman" w:hAnsi="Times New Roman" w:cs="Times New Roman"/>
          <w:i/>
          <w:sz w:val="24"/>
          <w:szCs w:val="24"/>
        </w:rPr>
        <w:t>American Economic Review</w:t>
      </w:r>
      <w:r>
        <w:rPr>
          <w:rFonts w:ascii="Times New Roman" w:eastAsia="Times New Roman" w:hAnsi="Times New Roman" w:cs="Times New Roman"/>
          <w:sz w:val="24"/>
          <w:szCs w:val="24"/>
        </w:rPr>
        <w:t xml:space="preserve">, </w:t>
      </w:r>
      <w:r>
        <w:rPr>
          <w:rFonts w:ascii="Times New Roman" w:eastAsia="Times New Roman" w:hAnsi="Times New Roman" w:cs="Times New Roman"/>
          <w:b/>
          <w:sz w:val="24"/>
          <w:szCs w:val="24"/>
        </w:rPr>
        <w:t>100</w:t>
      </w:r>
      <w:r w:rsidR="004E55F8">
        <w:rPr>
          <w:rFonts w:ascii="Times New Roman" w:eastAsia="Times New Roman" w:hAnsi="Times New Roman" w:cs="Times New Roman"/>
          <w:bCs/>
          <w:sz w:val="24"/>
          <w:szCs w:val="24"/>
        </w:rPr>
        <w:t>(3)</w:t>
      </w:r>
      <w:r>
        <w:rPr>
          <w:rFonts w:ascii="Times New Roman" w:eastAsia="Times New Roman" w:hAnsi="Times New Roman" w:cs="Times New Roman"/>
          <w:sz w:val="24"/>
          <w:szCs w:val="24"/>
        </w:rPr>
        <w:t>, 641-672.</w:t>
      </w:r>
    </w:p>
    <w:p w14:paraId="000000A6" w14:textId="77777777" w:rsidR="00EE6CE9" w:rsidRDefault="00364A95">
      <w:pPr>
        <w:pBdr>
          <w:top w:val="nil"/>
          <w:left w:val="nil"/>
          <w:bottom w:val="nil"/>
          <w:right w:val="nil"/>
          <w:between w:val="nil"/>
        </w:pBdr>
        <w:spacing w:after="0" w:line="240" w:lineRule="auto"/>
        <w:ind w:left="720" w:hanging="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Pielke Jr., R., Prins, G., Rayner, S. and Sarewitz, D. (2007). ‘Lifting the taboo on adaptation’. </w:t>
      </w:r>
      <w:r>
        <w:rPr>
          <w:rFonts w:ascii="Times New Roman" w:eastAsia="Times New Roman" w:hAnsi="Times New Roman" w:cs="Times New Roman"/>
          <w:i/>
          <w:color w:val="000000"/>
          <w:sz w:val="24"/>
          <w:szCs w:val="24"/>
        </w:rPr>
        <w:t>Nature</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b/>
          <w:color w:val="000000"/>
          <w:sz w:val="24"/>
          <w:szCs w:val="24"/>
        </w:rPr>
        <w:t>445</w:t>
      </w:r>
      <w:r>
        <w:rPr>
          <w:rFonts w:ascii="Times New Roman" w:eastAsia="Times New Roman" w:hAnsi="Times New Roman" w:cs="Times New Roman"/>
          <w:color w:val="000000"/>
          <w:sz w:val="24"/>
          <w:szCs w:val="24"/>
        </w:rPr>
        <w:t>, 597-598.</w:t>
      </w:r>
    </w:p>
    <w:p w14:paraId="37AD4216" w14:textId="43585115" w:rsidR="00737FE2" w:rsidRPr="00737FE2" w:rsidRDefault="00737FE2" w:rsidP="00737FE2">
      <w:pPr>
        <w:pBdr>
          <w:top w:val="nil"/>
          <w:left w:val="nil"/>
          <w:bottom w:val="nil"/>
          <w:right w:val="nil"/>
          <w:between w:val="nil"/>
        </w:pBdr>
        <w:spacing w:after="0" w:line="240" w:lineRule="auto"/>
        <w:ind w:left="720" w:hanging="720"/>
        <w:rPr>
          <w:rFonts w:ascii="Times New Roman" w:eastAsia="Times New Roman" w:hAnsi="Times New Roman" w:cs="Times New Roman"/>
          <w:color w:val="000000"/>
          <w:sz w:val="24"/>
          <w:szCs w:val="24"/>
          <w:lang w:val="en-US"/>
        </w:rPr>
      </w:pPr>
      <w:r w:rsidRPr="00737FE2">
        <w:rPr>
          <w:rFonts w:ascii="Times New Roman" w:eastAsia="Times New Roman" w:hAnsi="Times New Roman" w:cs="Times New Roman"/>
          <w:color w:val="000000"/>
          <w:sz w:val="24"/>
          <w:szCs w:val="24"/>
          <w:lang w:val="en-US"/>
        </w:rPr>
        <w:t>Porter, A. J., Tuertscher, P. and Huysman, M. (</w:t>
      </w:r>
      <w:r w:rsidR="0029001B">
        <w:rPr>
          <w:rFonts w:ascii="Times New Roman" w:eastAsia="Times New Roman" w:hAnsi="Times New Roman" w:cs="Times New Roman"/>
          <w:color w:val="000000"/>
          <w:sz w:val="24"/>
          <w:szCs w:val="24"/>
          <w:lang w:val="en-US"/>
        </w:rPr>
        <w:t>2020</w:t>
      </w:r>
      <w:r w:rsidRPr="00737FE2">
        <w:rPr>
          <w:rFonts w:ascii="Times New Roman" w:eastAsia="Times New Roman" w:hAnsi="Times New Roman" w:cs="Times New Roman"/>
          <w:color w:val="000000"/>
          <w:sz w:val="24"/>
          <w:szCs w:val="24"/>
          <w:lang w:val="en-US"/>
        </w:rPr>
        <w:t xml:space="preserve">). ‘Saving our oceans: Scaling the impact of robust action through crowdsourcing’. </w:t>
      </w:r>
      <w:r w:rsidRPr="00B66E89">
        <w:rPr>
          <w:rFonts w:ascii="Times New Roman" w:eastAsia="Times New Roman" w:hAnsi="Times New Roman" w:cs="Times New Roman"/>
          <w:i/>
          <w:iCs/>
          <w:color w:val="000000"/>
          <w:sz w:val="24"/>
          <w:szCs w:val="24"/>
        </w:rPr>
        <w:t>Journal of Management Studies</w:t>
      </w:r>
      <w:r w:rsidRPr="00B66E89">
        <w:rPr>
          <w:rFonts w:ascii="Times New Roman" w:eastAsia="Times New Roman" w:hAnsi="Times New Roman" w:cs="Times New Roman"/>
          <w:color w:val="000000"/>
          <w:sz w:val="24"/>
          <w:szCs w:val="24"/>
        </w:rPr>
        <w:t xml:space="preserve">, </w:t>
      </w:r>
      <w:r w:rsidRPr="00B66E89">
        <w:rPr>
          <w:rFonts w:ascii="Times New Roman" w:eastAsia="Times New Roman" w:hAnsi="Times New Roman" w:cs="Times New Roman"/>
          <w:b/>
          <w:bCs/>
          <w:color w:val="000000"/>
          <w:sz w:val="24"/>
          <w:szCs w:val="24"/>
        </w:rPr>
        <w:t>57</w:t>
      </w:r>
      <w:r w:rsidR="00B14E26" w:rsidRPr="00B66E89">
        <w:rPr>
          <w:rFonts w:ascii="Times New Roman" w:eastAsia="Times New Roman" w:hAnsi="Times New Roman" w:cs="Times New Roman"/>
          <w:color w:val="000000"/>
          <w:sz w:val="24"/>
          <w:szCs w:val="24"/>
        </w:rPr>
        <w:t>(2</w:t>
      </w:r>
      <w:r w:rsidR="00395910" w:rsidRPr="00B66E89">
        <w:rPr>
          <w:rFonts w:ascii="Times New Roman" w:eastAsia="Times New Roman" w:hAnsi="Times New Roman" w:cs="Times New Roman"/>
          <w:color w:val="000000"/>
          <w:sz w:val="24"/>
          <w:szCs w:val="24"/>
        </w:rPr>
        <w:t>)</w:t>
      </w:r>
      <w:r w:rsidRPr="00B66E89">
        <w:rPr>
          <w:rFonts w:ascii="Times New Roman" w:eastAsia="Times New Roman" w:hAnsi="Times New Roman" w:cs="Times New Roman"/>
          <w:color w:val="000000"/>
          <w:sz w:val="24"/>
          <w:szCs w:val="24"/>
        </w:rPr>
        <w:t>, 246–</w:t>
      </w:r>
      <w:r w:rsidR="00F83AB6">
        <w:rPr>
          <w:rFonts w:ascii="Times New Roman" w:eastAsia="Times New Roman" w:hAnsi="Times New Roman" w:cs="Times New Roman"/>
          <w:color w:val="000000"/>
          <w:sz w:val="24"/>
          <w:szCs w:val="24"/>
        </w:rPr>
        <w:t>2</w:t>
      </w:r>
      <w:r w:rsidRPr="00B66E89">
        <w:rPr>
          <w:rFonts w:ascii="Times New Roman" w:eastAsia="Times New Roman" w:hAnsi="Times New Roman" w:cs="Times New Roman"/>
          <w:color w:val="000000"/>
          <w:sz w:val="24"/>
          <w:szCs w:val="24"/>
        </w:rPr>
        <w:t>86.</w:t>
      </w:r>
    </w:p>
    <w:p w14:paraId="000000A7" w14:textId="1D0DDB92" w:rsidR="00EE6CE9" w:rsidRDefault="00364A95">
      <w:pPr>
        <w:pBdr>
          <w:top w:val="nil"/>
          <w:left w:val="nil"/>
          <w:bottom w:val="nil"/>
          <w:right w:val="nil"/>
          <w:between w:val="nil"/>
        </w:pBdr>
        <w:spacing w:after="0" w:line="240" w:lineRule="auto"/>
        <w:ind w:left="720" w:hanging="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Reid, E.M. and Toffel, M.W. (2009). ‘Responding to public and private politics: Corporate disclosure of climate change strategies’. </w:t>
      </w:r>
      <w:r>
        <w:rPr>
          <w:rFonts w:ascii="Times New Roman" w:eastAsia="Times New Roman" w:hAnsi="Times New Roman" w:cs="Times New Roman"/>
          <w:i/>
          <w:color w:val="000000"/>
          <w:sz w:val="24"/>
          <w:szCs w:val="24"/>
        </w:rPr>
        <w:t>Strategic Management Journal</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b/>
          <w:color w:val="000000"/>
          <w:sz w:val="24"/>
          <w:szCs w:val="24"/>
        </w:rPr>
        <w:t>30</w:t>
      </w:r>
      <w:r>
        <w:rPr>
          <w:rFonts w:ascii="Times New Roman" w:eastAsia="Times New Roman" w:hAnsi="Times New Roman" w:cs="Times New Roman"/>
          <w:color w:val="000000"/>
          <w:sz w:val="24"/>
          <w:szCs w:val="24"/>
        </w:rPr>
        <w:t>(11), 1157-1178.</w:t>
      </w:r>
    </w:p>
    <w:p w14:paraId="000000A8" w14:textId="36E8369A" w:rsidR="00EE6CE9" w:rsidRDefault="00364A95">
      <w:pPr>
        <w:pBdr>
          <w:top w:val="nil"/>
          <w:left w:val="nil"/>
          <w:bottom w:val="nil"/>
          <w:right w:val="nil"/>
          <w:between w:val="nil"/>
        </w:pBdr>
        <w:spacing w:after="0" w:line="240" w:lineRule="auto"/>
        <w:ind w:left="720" w:hanging="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Reinecke, J. and Ansari, S. (2016). ‘Taming wicked problems: The role of framing in the construction of corporate social responsibility’. </w:t>
      </w:r>
      <w:r>
        <w:rPr>
          <w:rFonts w:ascii="Times New Roman" w:eastAsia="Times New Roman" w:hAnsi="Times New Roman" w:cs="Times New Roman"/>
          <w:i/>
          <w:color w:val="000000"/>
          <w:sz w:val="24"/>
          <w:szCs w:val="24"/>
        </w:rPr>
        <w:t>Journal of Management Studies</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b/>
          <w:color w:val="000000"/>
          <w:sz w:val="24"/>
          <w:szCs w:val="24"/>
        </w:rPr>
        <w:t>53</w:t>
      </w:r>
      <w:r w:rsidR="00F83AB6">
        <w:rPr>
          <w:rFonts w:ascii="Times New Roman" w:eastAsia="Times New Roman" w:hAnsi="Times New Roman" w:cs="Times New Roman"/>
          <w:bCs/>
          <w:color w:val="000000"/>
          <w:sz w:val="24"/>
          <w:szCs w:val="24"/>
        </w:rPr>
        <w:t>(3), Special Issue</w:t>
      </w:r>
      <w:r>
        <w:rPr>
          <w:rFonts w:ascii="Times New Roman" w:eastAsia="Times New Roman" w:hAnsi="Times New Roman" w:cs="Times New Roman"/>
          <w:color w:val="000000"/>
          <w:sz w:val="24"/>
          <w:szCs w:val="24"/>
        </w:rPr>
        <w:t>, 299–329.</w:t>
      </w:r>
    </w:p>
    <w:p w14:paraId="000000A9" w14:textId="221AB41D" w:rsidR="00EE6CE9" w:rsidRDefault="00364A95">
      <w:pPr>
        <w:pBdr>
          <w:top w:val="nil"/>
          <w:left w:val="nil"/>
          <w:bottom w:val="nil"/>
          <w:right w:val="nil"/>
          <w:between w:val="nil"/>
        </w:pBdr>
        <w:spacing w:after="0" w:line="240" w:lineRule="auto"/>
        <w:ind w:left="720" w:hanging="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Rigaud, K.K., de Sherbinin, A., Jones, B., Bergmann, J., Clement, V., Ober, K., Schewe, J., Adamo, S.</w:t>
      </w:r>
      <w:r w:rsidR="00F83AB6">
        <w:rPr>
          <w:rFonts w:ascii="Times New Roman" w:eastAsia="Times New Roman" w:hAnsi="Times New Roman" w:cs="Times New Roman"/>
          <w:color w:val="000000"/>
          <w:sz w:val="24"/>
          <w:szCs w:val="24"/>
        </w:rPr>
        <w:t>B.</w:t>
      </w:r>
      <w:r>
        <w:rPr>
          <w:rFonts w:ascii="Times New Roman" w:eastAsia="Times New Roman" w:hAnsi="Times New Roman" w:cs="Times New Roman"/>
          <w:color w:val="000000"/>
          <w:sz w:val="24"/>
          <w:szCs w:val="24"/>
        </w:rPr>
        <w:t xml:space="preserve">, McCusker, B., Heuser, S. and Midgley, A. (2018). </w:t>
      </w:r>
      <w:r>
        <w:rPr>
          <w:rFonts w:ascii="Times New Roman" w:eastAsia="Times New Roman" w:hAnsi="Times New Roman" w:cs="Times New Roman"/>
          <w:i/>
          <w:color w:val="000000"/>
          <w:sz w:val="24"/>
          <w:szCs w:val="24"/>
        </w:rPr>
        <w:t>Groundswell: Preparing for Internal Climate Migration</w:t>
      </w:r>
      <w:r>
        <w:rPr>
          <w:rFonts w:ascii="Times New Roman" w:eastAsia="Times New Roman" w:hAnsi="Times New Roman" w:cs="Times New Roman"/>
          <w:color w:val="000000"/>
          <w:sz w:val="24"/>
          <w:szCs w:val="24"/>
        </w:rPr>
        <w:t>. Washington, DC: World Bank.</w:t>
      </w:r>
    </w:p>
    <w:p w14:paraId="26D6D9D1" w14:textId="65D7D427" w:rsidR="001A5521" w:rsidRDefault="001A5521" w:rsidP="00E0197E">
      <w:pPr>
        <w:pBdr>
          <w:top w:val="nil"/>
          <w:left w:val="nil"/>
          <w:bottom w:val="nil"/>
          <w:right w:val="nil"/>
          <w:between w:val="nil"/>
        </w:pBdr>
        <w:spacing w:after="0" w:line="240" w:lineRule="auto"/>
        <w:ind w:left="709" w:hanging="709"/>
        <w:rPr>
          <w:rFonts w:ascii="Times New Roman" w:eastAsia="Times New Roman" w:hAnsi="Times New Roman" w:cs="Times New Roman"/>
          <w:color w:val="000000"/>
          <w:sz w:val="24"/>
          <w:szCs w:val="24"/>
        </w:rPr>
      </w:pPr>
      <w:r w:rsidRPr="001A5521">
        <w:rPr>
          <w:rFonts w:ascii="Times New Roman" w:eastAsia="Times New Roman" w:hAnsi="Times New Roman" w:cs="Times New Roman"/>
          <w:color w:val="000000"/>
          <w:sz w:val="24"/>
          <w:szCs w:val="24"/>
        </w:rPr>
        <w:t>Rivera, J.</w:t>
      </w:r>
      <w:r>
        <w:rPr>
          <w:rFonts w:ascii="Times New Roman" w:eastAsia="Times New Roman" w:hAnsi="Times New Roman" w:cs="Times New Roman"/>
          <w:color w:val="000000"/>
          <w:sz w:val="24"/>
          <w:szCs w:val="24"/>
        </w:rPr>
        <w:t xml:space="preserve"> and</w:t>
      </w:r>
      <w:r w:rsidRPr="001A5521">
        <w:rPr>
          <w:rFonts w:ascii="Times New Roman" w:eastAsia="Times New Roman" w:hAnsi="Times New Roman" w:cs="Times New Roman"/>
          <w:color w:val="000000"/>
          <w:sz w:val="24"/>
          <w:szCs w:val="24"/>
        </w:rPr>
        <w:t xml:space="preserve"> Clement, V. (2019). </w:t>
      </w:r>
      <w:r>
        <w:rPr>
          <w:rFonts w:ascii="Times New Roman" w:eastAsia="Times New Roman" w:hAnsi="Times New Roman" w:cs="Times New Roman"/>
          <w:color w:val="000000"/>
          <w:sz w:val="24"/>
          <w:szCs w:val="24"/>
        </w:rPr>
        <w:t>‘</w:t>
      </w:r>
      <w:r w:rsidRPr="001A5521">
        <w:rPr>
          <w:rFonts w:ascii="Times New Roman" w:eastAsia="Times New Roman" w:hAnsi="Times New Roman" w:cs="Times New Roman"/>
          <w:color w:val="000000"/>
          <w:sz w:val="24"/>
          <w:szCs w:val="24"/>
        </w:rPr>
        <w:t>Business adaptation to climate change: American</w:t>
      </w:r>
      <w:r>
        <w:rPr>
          <w:rFonts w:ascii="Times New Roman" w:eastAsia="Times New Roman" w:hAnsi="Times New Roman" w:cs="Times New Roman"/>
          <w:color w:val="000000"/>
          <w:sz w:val="24"/>
          <w:szCs w:val="24"/>
        </w:rPr>
        <w:t xml:space="preserve"> </w:t>
      </w:r>
      <w:r w:rsidRPr="001A5521">
        <w:rPr>
          <w:rFonts w:ascii="Times New Roman" w:eastAsia="Times New Roman" w:hAnsi="Times New Roman" w:cs="Times New Roman"/>
          <w:color w:val="000000"/>
          <w:sz w:val="24"/>
          <w:szCs w:val="24"/>
        </w:rPr>
        <w:t>ski resorts and warmer temperatures</w:t>
      </w:r>
      <w:r>
        <w:rPr>
          <w:rFonts w:ascii="Times New Roman" w:eastAsia="Times New Roman" w:hAnsi="Times New Roman" w:cs="Times New Roman"/>
          <w:color w:val="000000"/>
          <w:sz w:val="24"/>
          <w:szCs w:val="24"/>
        </w:rPr>
        <w:t>’</w:t>
      </w:r>
      <w:r w:rsidRPr="001A5521">
        <w:rPr>
          <w:rFonts w:ascii="Times New Roman" w:eastAsia="Times New Roman" w:hAnsi="Times New Roman" w:cs="Times New Roman"/>
          <w:color w:val="000000"/>
          <w:sz w:val="24"/>
          <w:szCs w:val="24"/>
        </w:rPr>
        <w:t>. Business Strategy and the Environment,</w:t>
      </w:r>
      <w:r>
        <w:rPr>
          <w:rFonts w:ascii="Times New Roman" w:eastAsia="Times New Roman" w:hAnsi="Times New Roman" w:cs="Times New Roman"/>
          <w:color w:val="000000"/>
          <w:sz w:val="24"/>
          <w:szCs w:val="24"/>
        </w:rPr>
        <w:t xml:space="preserve"> </w:t>
      </w:r>
      <w:r w:rsidRPr="00E0197E">
        <w:rPr>
          <w:rFonts w:ascii="Times New Roman" w:eastAsia="Times New Roman" w:hAnsi="Times New Roman" w:cs="Times New Roman"/>
          <w:b/>
          <w:bCs/>
          <w:color w:val="000000"/>
          <w:sz w:val="24"/>
          <w:szCs w:val="24"/>
        </w:rPr>
        <w:t>28</w:t>
      </w:r>
      <w:r w:rsidRPr="001A5521">
        <w:rPr>
          <w:rFonts w:ascii="Times New Roman" w:eastAsia="Times New Roman" w:hAnsi="Times New Roman" w:cs="Times New Roman"/>
          <w:color w:val="000000"/>
          <w:sz w:val="24"/>
          <w:szCs w:val="24"/>
        </w:rPr>
        <w:t xml:space="preserve">(7), 1285–1301. </w:t>
      </w:r>
    </w:p>
    <w:p w14:paraId="000000AA" w14:textId="675E4701" w:rsidR="00EE6CE9" w:rsidRDefault="00364A95">
      <w:pPr>
        <w:pBdr>
          <w:top w:val="nil"/>
          <w:left w:val="nil"/>
          <w:bottom w:val="nil"/>
          <w:right w:val="nil"/>
          <w:between w:val="nil"/>
        </w:pBdr>
        <w:spacing w:after="0" w:line="240" w:lineRule="auto"/>
        <w:ind w:left="720" w:hanging="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Rivera, J.E., Oh, C.H., Oetzel, J. and Clement, V. (2022). </w:t>
      </w:r>
      <w:r>
        <w:rPr>
          <w:rFonts w:ascii="Times New Roman" w:eastAsia="Times New Roman" w:hAnsi="Times New Roman" w:cs="Times New Roman"/>
          <w:i/>
          <w:color w:val="000000"/>
          <w:sz w:val="24"/>
          <w:szCs w:val="24"/>
        </w:rPr>
        <w:t>Business Adaptation to Climate Change</w:t>
      </w:r>
      <w:r>
        <w:rPr>
          <w:rFonts w:ascii="Times New Roman" w:eastAsia="Times New Roman" w:hAnsi="Times New Roman" w:cs="Times New Roman"/>
          <w:color w:val="000000"/>
          <w:sz w:val="24"/>
          <w:szCs w:val="24"/>
        </w:rPr>
        <w:t>. Cambridge, UK: Cambridge University Press.</w:t>
      </w:r>
    </w:p>
    <w:p w14:paraId="000000AB" w14:textId="07F57A6E" w:rsidR="00EE6CE9" w:rsidRDefault="00364A95">
      <w:pPr>
        <w:pBdr>
          <w:top w:val="nil"/>
          <w:left w:val="nil"/>
          <w:bottom w:val="nil"/>
          <w:right w:val="nil"/>
          <w:between w:val="nil"/>
        </w:pBdr>
        <w:spacing w:after="0" w:line="240" w:lineRule="auto"/>
        <w:ind w:left="720" w:hanging="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Sabaruddin, L.O., MacBryde, J. and D’Ippolito, B. (202</w:t>
      </w:r>
      <w:r w:rsidR="00293CB4">
        <w:rPr>
          <w:rFonts w:ascii="Times New Roman" w:eastAsia="Times New Roman" w:hAnsi="Times New Roman" w:cs="Times New Roman"/>
          <w:color w:val="000000"/>
          <w:sz w:val="24"/>
          <w:szCs w:val="24"/>
        </w:rPr>
        <w:t>3</w:t>
      </w:r>
      <w:r>
        <w:rPr>
          <w:rFonts w:ascii="Times New Roman" w:eastAsia="Times New Roman" w:hAnsi="Times New Roman" w:cs="Times New Roman"/>
          <w:color w:val="000000"/>
          <w:sz w:val="24"/>
          <w:szCs w:val="24"/>
        </w:rPr>
        <w:t xml:space="preserve">). ‘The dark side of business model innovation’. </w:t>
      </w:r>
      <w:r>
        <w:rPr>
          <w:rFonts w:ascii="Times New Roman" w:eastAsia="Times New Roman" w:hAnsi="Times New Roman" w:cs="Times New Roman"/>
          <w:i/>
          <w:color w:val="000000"/>
          <w:sz w:val="24"/>
          <w:szCs w:val="24"/>
        </w:rPr>
        <w:t>International Journal of Management Reviews</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b/>
          <w:color w:val="000000"/>
          <w:sz w:val="24"/>
          <w:szCs w:val="24"/>
        </w:rPr>
        <w:t>25</w:t>
      </w:r>
      <w:r>
        <w:rPr>
          <w:rFonts w:ascii="Times New Roman" w:eastAsia="Times New Roman" w:hAnsi="Times New Roman" w:cs="Times New Roman"/>
          <w:color w:val="000000"/>
          <w:sz w:val="24"/>
          <w:szCs w:val="24"/>
        </w:rPr>
        <w:t>(1), 130-151.</w:t>
      </w:r>
    </w:p>
    <w:p w14:paraId="000000AC" w14:textId="77777777" w:rsidR="00EE6CE9" w:rsidRDefault="00364A95">
      <w:pPr>
        <w:pBdr>
          <w:top w:val="nil"/>
          <w:left w:val="nil"/>
          <w:bottom w:val="nil"/>
          <w:right w:val="nil"/>
          <w:between w:val="nil"/>
        </w:pBdr>
        <w:spacing w:after="0" w:line="240" w:lineRule="auto"/>
        <w:ind w:left="720" w:hanging="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Sarta, A., Durand, R. and Vergne, J.P. (2021). ‚Organizational adaptation’. </w:t>
      </w:r>
      <w:r>
        <w:rPr>
          <w:rFonts w:ascii="Times New Roman" w:eastAsia="Times New Roman" w:hAnsi="Times New Roman" w:cs="Times New Roman"/>
          <w:i/>
          <w:color w:val="000000"/>
          <w:sz w:val="24"/>
          <w:szCs w:val="24"/>
        </w:rPr>
        <w:t>Journal of Management</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b/>
          <w:color w:val="000000"/>
          <w:sz w:val="24"/>
          <w:szCs w:val="24"/>
        </w:rPr>
        <w:t>47</w:t>
      </w:r>
      <w:r>
        <w:rPr>
          <w:rFonts w:ascii="Times New Roman" w:eastAsia="Times New Roman" w:hAnsi="Times New Roman" w:cs="Times New Roman"/>
          <w:color w:val="000000"/>
          <w:sz w:val="24"/>
          <w:szCs w:val="24"/>
        </w:rPr>
        <w:t>(1), 43-75.</w:t>
      </w:r>
    </w:p>
    <w:p w14:paraId="000000AD" w14:textId="77777777" w:rsidR="00EE6CE9" w:rsidRDefault="00364A95">
      <w:pPr>
        <w:pBdr>
          <w:top w:val="nil"/>
          <w:left w:val="nil"/>
          <w:bottom w:val="nil"/>
          <w:right w:val="nil"/>
          <w:between w:val="nil"/>
        </w:pBdr>
        <w:spacing w:after="0" w:line="240" w:lineRule="auto"/>
        <w:ind w:left="720" w:hanging="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Schaltegger, S. and Wagner, M. (2011). ‘Sustainable entrepreneurship and sustainability innovation: Categories and interactions’. </w:t>
      </w:r>
      <w:r>
        <w:rPr>
          <w:rFonts w:ascii="Times New Roman" w:eastAsia="Times New Roman" w:hAnsi="Times New Roman" w:cs="Times New Roman"/>
          <w:i/>
          <w:color w:val="000000"/>
          <w:sz w:val="24"/>
          <w:szCs w:val="24"/>
        </w:rPr>
        <w:t>Business Strategy and the Environment</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b/>
          <w:color w:val="000000"/>
          <w:sz w:val="24"/>
          <w:szCs w:val="24"/>
        </w:rPr>
        <w:t>20</w:t>
      </w:r>
      <w:r>
        <w:rPr>
          <w:rFonts w:ascii="Times New Roman" w:eastAsia="Times New Roman" w:hAnsi="Times New Roman" w:cs="Times New Roman"/>
          <w:color w:val="000000"/>
          <w:sz w:val="24"/>
          <w:szCs w:val="24"/>
        </w:rPr>
        <w:t>(4), 222–237.</w:t>
      </w:r>
    </w:p>
    <w:p w14:paraId="000000AE" w14:textId="77777777" w:rsidR="00EE6CE9" w:rsidRDefault="00364A95">
      <w:pPr>
        <w:pBdr>
          <w:top w:val="nil"/>
          <w:left w:val="nil"/>
          <w:bottom w:val="nil"/>
          <w:right w:val="nil"/>
          <w:between w:val="nil"/>
        </w:pBdr>
        <w:spacing w:after="0" w:line="240" w:lineRule="auto"/>
        <w:ind w:left="720" w:hanging="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Schipper, E.L.F. (2020). ‘Maladaptation: When adaptation to climate change goes very wrong’. </w:t>
      </w:r>
      <w:r>
        <w:rPr>
          <w:rFonts w:ascii="Times New Roman" w:eastAsia="Times New Roman" w:hAnsi="Times New Roman" w:cs="Times New Roman"/>
          <w:i/>
          <w:color w:val="000000"/>
          <w:sz w:val="24"/>
          <w:szCs w:val="24"/>
        </w:rPr>
        <w:t>One Earth</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b/>
          <w:color w:val="000000"/>
          <w:sz w:val="24"/>
          <w:szCs w:val="24"/>
        </w:rPr>
        <w:t>3</w:t>
      </w:r>
      <w:r>
        <w:rPr>
          <w:rFonts w:ascii="Times New Roman" w:eastAsia="Times New Roman" w:hAnsi="Times New Roman" w:cs="Times New Roman"/>
          <w:color w:val="000000"/>
          <w:sz w:val="24"/>
          <w:szCs w:val="24"/>
        </w:rPr>
        <w:t>(4), 409-414.</w:t>
      </w:r>
    </w:p>
    <w:p w14:paraId="000000AF" w14:textId="77777777" w:rsidR="00EE6CE9" w:rsidRDefault="00364A95">
      <w:pPr>
        <w:pBdr>
          <w:top w:val="nil"/>
          <w:left w:val="nil"/>
          <w:bottom w:val="nil"/>
          <w:right w:val="nil"/>
          <w:between w:val="nil"/>
        </w:pBdr>
        <w:spacing w:after="0" w:line="240" w:lineRule="auto"/>
        <w:ind w:left="720" w:hanging="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Scholten, P., Keskitalo, E.C.H. and Meijerink, S. (2015). ‘Bottom-up initiatives toward climate change adaptation in cases in the Netherlands and the UK: a complexity leadership perspective’. </w:t>
      </w:r>
      <w:r>
        <w:rPr>
          <w:rFonts w:ascii="Times New Roman" w:eastAsia="Times New Roman" w:hAnsi="Times New Roman" w:cs="Times New Roman"/>
          <w:i/>
          <w:color w:val="000000"/>
          <w:sz w:val="24"/>
          <w:szCs w:val="24"/>
        </w:rPr>
        <w:t>Environment and Planning C: Politics and Space</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b/>
          <w:color w:val="000000"/>
          <w:sz w:val="24"/>
          <w:szCs w:val="24"/>
        </w:rPr>
        <w:t>33</w:t>
      </w:r>
      <w:r>
        <w:rPr>
          <w:rFonts w:ascii="Times New Roman" w:eastAsia="Times New Roman" w:hAnsi="Times New Roman" w:cs="Times New Roman"/>
          <w:color w:val="000000"/>
          <w:sz w:val="24"/>
          <w:szCs w:val="24"/>
        </w:rPr>
        <w:t>(5), 1024-1038.</w:t>
      </w:r>
    </w:p>
    <w:p w14:paraId="000000B0" w14:textId="77777777" w:rsidR="00EE6CE9" w:rsidRDefault="00364A95">
      <w:pPr>
        <w:spacing w:after="0" w:line="240" w:lineRule="auto"/>
        <w:ind w:left="720"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Sharma, G., Greco, A., Grewatsch, S. and Bansal, P. (2022). ‘Cocreating forward: How researchers and managers can address problems together’. </w:t>
      </w:r>
      <w:r>
        <w:rPr>
          <w:rFonts w:ascii="Times New Roman" w:eastAsia="Times New Roman" w:hAnsi="Times New Roman" w:cs="Times New Roman"/>
          <w:i/>
          <w:sz w:val="24"/>
          <w:szCs w:val="24"/>
        </w:rPr>
        <w:t>Academy of Management Learning &amp; Education</w:t>
      </w:r>
      <w:r>
        <w:rPr>
          <w:rFonts w:ascii="Times New Roman" w:eastAsia="Times New Roman" w:hAnsi="Times New Roman" w:cs="Times New Roman"/>
          <w:sz w:val="24"/>
          <w:szCs w:val="24"/>
        </w:rPr>
        <w:t xml:space="preserve">, </w:t>
      </w:r>
      <w:r>
        <w:rPr>
          <w:rFonts w:ascii="Times New Roman" w:eastAsia="Times New Roman" w:hAnsi="Times New Roman" w:cs="Times New Roman"/>
          <w:b/>
          <w:sz w:val="24"/>
          <w:szCs w:val="24"/>
        </w:rPr>
        <w:t>21</w:t>
      </w:r>
      <w:r>
        <w:rPr>
          <w:rFonts w:ascii="Times New Roman" w:eastAsia="Times New Roman" w:hAnsi="Times New Roman" w:cs="Times New Roman"/>
          <w:sz w:val="24"/>
          <w:szCs w:val="24"/>
        </w:rPr>
        <w:t>(3), 350-368.</w:t>
      </w:r>
    </w:p>
    <w:p w14:paraId="000000B1" w14:textId="77777777" w:rsidR="00EE6CE9" w:rsidRDefault="00364A95">
      <w:pPr>
        <w:spacing w:after="0" w:line="240" w:lineRule="auto"/>
        <w:ind w:left="720"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Shum, L., Jeong, W. and Chen, K. (2022). ‘Climate Adaptation: the $2 trillion market the private sector cannot ignore’. World Economic Forum, 1 November. Available at: </w:t>
      </w:r>
      <w:hyperlink r:id="rId14">
        <w:r w:rsidR="00EE6CE9">
          <w:rPr>
            <w:rFonts w:ascii="Times New Roman" w:eastAsia="Times New Roman" w:hAnsi="Times New Roman" w:cs="Times New Roman"/>
            <w:color w:val="0000FF"/>
            <w:sz w:val="24"/>
            <w:szCs w:val="24"/>
            <w:u w:val="single"/>
          </w:rPr>
          <w:t>https://www.weforum.org/agenda/2022/11/climate-change-climate-adaptation-private-sector</w:t>
        </w:r>
      </w:hyperlink>
      <w:r>
        <w:rPr>
          <w:rFonts w:ascii="Times New Roman" w:eastAsia="Times New Roman" w:hAnsi="Times New Roman" w:cs="Times New Roman"/>
          <w:sz w:val="24"/>
          <w:szCs w:val="24"/>
        </w:rPr>
        <w:t xml:space="preserve"> [accessed 1 May 2024].</w:t>
      </w:r>
    </w:p>
    <w:p w14:paraId="000000B2" w14:textId="39857D18" w:rsidR="00EE6CE9" w:rsidRDefault="00364A95">
      <w:pPr>
        <w:spacing w:after="0" w:line="240" w:lineRule="auto"/>
        <w:ind w:left="720"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Simonet, G. and Fatori</w:t>
      </w:r>
      <w:r w:rsidR="00F83AB6">
        <w:rPr>
          <w:rFonts w:ascii="Times New Roman" w:eastAsia="Times New Roman" w:hAnsi="Times New Roman" w:cs="Times New Roman"/>
          <w:sz w:val="24"/>
          <w:szCs w:val="24"/>
        </w:rPr>
        <w:t>ć</w:t>
      </w:r>
      <w:r>
        <w:rPr>
          <w:rFonts w:ascii="Times New Roman" w:eastAsia="Times New Roman" w:hAnsi="Times New Roman" w:cs="Times New Roman"/>
          <w:sz w:val="24"/>
          <w:szCs w:val="24"/>
        </w:rPr>
        <w:t xml:space="preserve">, S. (2016). ‘Does “adaptation to climate change” mean resignation or opportunity?’. </w:t>
      </w:r>
      <w:r>
        <w:rPr>
          <w:rFonts w:ascii="Times New Roman" w:eastAsia="Times New Roman" w:hAnsi="Times New Roman" w:cs="Times New Roman"/>
          <w:i/>
          <w:sz w:val="24"/>
          <w:szCs w:val="24"/>
        </w:rPr>
        <w:t>Regional Environmental Change</w:t>
      </w:r>
      <w:r>
        <w:rPr>
          <w:rFonts w:ascii="Times New Roman" w:eastAsia="Times New Roman" w:hAnsi="Times New Roman" w:cs="Times New Roman"/>
          <w:sz w:val="24"/>
          <w:szCs w:val="24"/>
        </w:rPr>
        <w:t xml:space="preserve">, </w:t>
      </w:r>
      <w:r>
        <w:rPr>
          <w:rFonts w:ascii="Times New Roman" w:eastAsia="Times New Roman" w:hAnsi="Times New Roman" w:cs="Times New Roman"/>
          <w:b/>
          <w:sz w:val="24"/>
          <w:szCs w:val="24"/>
        </w:rPr>
        <w:t>16</w:t>
      </w:r>
      <w:r>
        <w:rPr>
          <w:rFonts w:ascii="Times New Roman" w:eastAsia="Times New Roman" w:hAnsi="Times New Roman" w:cs="Times New Roman"/>
          <w:sz w:val="24"/>
          <w:szCs w:val="24"/>
        </w:rPr>
        <w:t>, 789-799.</w:t>
      </w:r>
    </w:p>
    <w:p w14:paraId="000000B3" w14:textId="77777777" w:rsidR="00EE6CE9" w:rsidRDefault="00364A95">
      <w:pPr>
        <w:spacing w:after="0" w:line="240" w:lineRule="auto"/>
        <w:ind w:left="720"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Smit, B. and Wandel. J. (2006). ‘Adaptation, adaptive capacity and vulnerability’. </w:t>
      </w:r>
      <w:r>
        <w:rPr>
          <w:rFonts w:ascii="Times New Roman" w:eastAsia="Times New Roman" w:hAnsi="Times New Roman" w:cs="Times New Roman"/>
          <w:i/>
          <w:sz w:val="24"/>
          <w:szCs w:val="24"/>
        </w:rPr>
        <w:t>Global Environmental Change</w:t>
      </w:r>
      <w:r>
        <w:rPr>
          <w:rFonts w:ascii="Times New Roman" w:eastAsia="Times New Roman" w:hAnsi="Times New Roman" w:cs="Times New Roman"/>
          <w:sz w:val="24"/>
          <w:szCs w:val="24"/>
        </w:rPr>
        <w:t xml:space="preserve">, </w:t>
      </w:r>
      <w:r>
        <w:rPr>
          <w:rFonts w:ascii="Times New Roman" w:eastAsia="Times New Roman" w:hAnsi="Times New Roman" w:cs="Times New Roman"/>
          <w:b/>
          <w:sz w:val="24"/>
          <w:szCs w:val="24"/>
        </w:rPr>
        <w:t>16</w:t>
      </w:r>
      <w:r>
        <w:rPr>
          <w:rFonts w:ascii="Times New Roman" w:eastAsia="Times New Roman" w:hAnsi="Times New Roman" w:cs="Times New Roman"/>
          <w:sz w:val="24"/>
          <w:szCs w:val="24"/>
        </w:rPr>
        <w:t>(3), 282-292.</w:t>
      </w:r>
    </w:p>
    <w:p w14:paraId="000000B4" w14:textId="511CE67F" w:rsidR="00EE6CE9" w:rsidRDefault="00364A95">
      <w:pPr>
        <w:spacing w:after="0" w:line="240" w:lineRule="auto"/>
        <w:ind w:left="720"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Stablein, M.J., Cruz, </w:t>
      </w:r>
      <w:r w:rsidR="00A642F9">
        <w:rPr>
          <w:rFonts w:ascii="Times New Roman" w:eastAsia="Times New Roman" w:hAnsi="Times New Roman" w:cs="Times New Roman"/>
          <w:sz w:val="24"/>
          <w:szCs w:val="24"/>
        </w:rPr>
        <w:t>J.</w:t>
      </w:r>
      <w:r>
        <w:rPr>
          <w:rFonts w:ascii="Times New Roman" w:eastAsia="Times New Roman" w:hAnsi="Times New Roman" w:cs="Times New Roman"/>
          <w:sz w:val="24"/>
          <w:szCs w:val="24"/>
        </w:rPr>
        <w:t>G., Fidan, E.N., Talbot, J., Reed, S.P., Walters, R.S., Ogunyiola, A.J., Frey, M.F., Ramirez, M., Casanova, B.R., Heemstra, J., Marshall, A. and Rodr</w:t>
      </w:r>
      <w:r w:rsidR="00A642F9">
        <w:rPr>
          <w:rFonts w:ascii="Times New Roman" w:eastAsia="Times New Roman" w:hAnsi="Times New Roman" w:cs="Times New Roman"/>
          <w:sz w:val="24"/>
          <w:szCs w:val="24"/>
        </w:rPr>
        <w:t>í</w:t>
      </w:r>
      <w:r>
        <w:rPr>
          <w:rFonts w:ascii="Times New Roman" w:eastAsia="Times New Roman" w:hAnsi="Times New Roman" w:cs="Times New Roman"/>
          <w:sz w:val="24"/>
          <w:szCs w:val="24"/>
        </w:rPr>
        <w:t xml:space="preserve">guez, L.F. (2022). ‘Compound[ing] disasters in Puerto Rico: Pathways for virtual transdisciplinary collaboration to enhance community resilience’. </w:t>
      </w:r>
      <w:r>
        <w:rPr>
          <w:rFonts w:ascii="Times New Roman" w:eastAsia="Times New Roman" w:hAnsi="Times New Roman" w:cs="Times New Roman"/>
          <w:i/>
          <w:sz w:val="24"/>
          <w:szCs w:val="24"/>
        </w:rPr>
        <w:t>Global Environmental Change</w:t>
      </w:r>
      <w:r>
        <w:rPr>
          <w:rFonts w:ascii="Times New Roman" w:eastAsia="Times New Roman" w:hAnsi="Times New Roman" w:cs="Times New Roman"/>
          <w:sz w:val="24"/>
          <w:szCs w:val="24"/>
        </w:rPr>
        <w:t xml:space="preserve">, </w:t>
      </w:r>
      <w:r>
        <w:rPr>
          <w:rFonts w:ascii="Times New Roman" w:eastAsia="Times New Roman" w:hAnsi="Times New Roman" w:cs="Times New Roman"/>
          <w:b/>
          <w:sz w:val="24"/>
          <w:szCs w:val="24"/>
        </w:rPr>
        <w:t>76</w:t>
      </w:r>
      <w:r>
        <w:rPr>
          <w:rFonts w:ascii="Times New Roman" w:eastAsia="Times New Roman" w:hAnsi="Times New Roman" w:cs="Times New Roman"/>
          <w:sz w:val="24"/>
          <w:szCs w:val="24"/>
        </w:rPr>
        <w:t>, 102558.</w:t>
      </w:r>
    </w:p>
    <w:p w14:paraId="000000B5" w14:textId="77777777" w:rsidR="00EE6CE9" w:rsidRDefault="00364A95">
      <w:pPr>
        <w:spacing w:after="0" w:line="240" w:lineRule="auto"/>
        <w:ind w:left="720"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Stephenson, K.A., Kuismin, A., Putnam, L.L. and Sivunen, A. (2020). ‘Process studies of organizational space’. </w:t>
      </w:r>
      <w:r>
        <w:rPr>
          <w:rFonts w:ascii="Times New Roman" w:eastAsia="Times New Roman" w:hAnsi="Times New Roman" w:cs="Times New Roman"/>
          <w:i/>
          <w:sz w:val="24"/>
          <w:szCs w:val="24"/>
        </w:rPr>
        <w:t>Academy of Management Annals</w:t>
      </w:r>
      <w:r>
        <w:rPr>
          <w:rFonts w:ascii="Times New Roman" w:eastAsia="Times New Roman" w:hAnsi="Times New Roman" w:cs="Times New Roman"/>
          <w:sz w:val="24"/>
          <w:szCs w:val="24"/>
        </w:rPr>
        <w:t xml:space="preserve">, </w:t>
      </w:r>
      <w:r>
        <w:rPr>
          <w:rFonts w:ascii="Times New Roman" w:eastAsia="Times New Roman" w:hAnsi="Times New Roman" w:cs="Times New Roman"/>
          <w:b/>
          <w:sz w:val="24"/>
          <w:szCs w:val="24"/>
        </w:rPr>
        <w:t>14</w:t>
      </w:r>
      <w:r>
        <w:rPr>
          <w:rFonts w:ascii="Times New Roman" w:eastAsia="Times New Roman" w:hAnsi="Times New Roman" w:cs="Times New Roman"/>
          <w:sz w:val="24"/>
          <w:szCs w:val="24"/>
        </w:rPr>
        <w:t>(2), 797-827.</w:t>
      </w:r>
    </w:p>
    <w:p w14:paraId="000000B6" w14:textId="77777777" w:rsidR="00EE6CE9" w:rsidRDefault="00364A95">
      <w:pPr>
        <w:spacing w:after="0" w:line="240" w:lineRule="auto"/>
        <w:ind w:left="720"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Suchek, N., Fernandes, C.I., Kraus, S., Filser, M. and Sjögrén, H. (2021). ‘Innovation and the circular economy: A systematic literature review’. </w:t>
      </w:r>
      <w:r>
        <w:rPr>
          <w:rFonts w:ascii="Times New Roman" w:eastAsia="Times New Roman" w:hAnsi="Times New Roman" w:cs="Times New Roman"/>
          <w:i/>
          <w:sz w:val="24"/>
          <w:szCs w:val="24"/>
        </w:rPr>
        <w:t>Business Strategy and the Environment</w:t>
      </w:r>
      <w:r>
        <w:rPr>
          <w:rFonts w:ascii="Times New Roman" w:eastAsia="Times New Roman" w:hAnsi="Times New Roman" w:cs="Times New Roman"/>
          <w:sz w:val="24"/>
          <w:szCs w:val="24"/>
        </w:rPr>
        <w:t xml:space="preserve">, </w:t>
      </w:r>
      <w:r>
        <w:rPr>
          <w:rFonts w:ascii="Times New Roman" w:eastAsia="Times New Roman" w:hAnsi="Times New Roman" w:cs="Times New Roman"/>
          <w:b/>
          <w:sz w:val="24"/>
          <w:szCs w:val="24"/>
        </w:rPr>
        <w:t>30</w:t>
      </w:r>
      <w:r>
        <w:rPr>
          <w:rFonts w:ascii="Times New Roman" w:eastAsia="Times New Roman" w:hAnsi="Times New Roman" w:cs="Times New Roman"/>
          <w:sz w:val="24"/>
          <w:szCs w:val="24"/>
        </w:rPr>
        <w:t>(8), 3686-3702.</w:t>
      </w:r>
    </w:p>
    <w:p w14:paraId="000000B8" w14:textId="77777777" w:rsidR="00EE6CE9" w:rsidRDefault="00364A95">
      <w:pPr>
        <w:pBdr>
          <w:top w:val="nil"/>
          <w:left w:val="nil"/>
          <w:bottom w:val="nil"/>
          <w:right w:val="nil"/>
          <w:between w:val="nil"/>
        </w:pBdr>
        <w:spacing w:after="0" w:line="240" w:lineRule="auto"/>
        <w:ind w:left="720" w:hanging="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Tashman, P. and Rivera, J. (2016). ‘Ecological uncertainty, adaptation, and mitigation in the U.S. ski resort industry: Managing resource dependence and institutional pressures’. </w:t>
      </w:r>
      <w:r>
        <w:rPr>
          <w:rFonts w:ascii="Times New Roman" w:eastAsia="Times New Roman" w:hAnsi="Times New Roman" w:cs="Times New Roman"/>
          <w:i/>
          <w:color w:val="000000"/>
          <w:sz w:val="24"/>
          <w:szCs w:val="24"/>
        </w:rPr>
        <w:t>Strategic Management Journal</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b/>
          <w:color w:val="000000"/>
          <w:sz w:val="24"/>
          <w:szCs w:val="24"/>
        </w:rPr>
        <w:t>37</w:t>
      </w:r>
      <w:r>
        <w:rPr>
          <w:rFonts w:ascii="Times New Roman" w:eastAsia="Times New Roman" w:hAnsi="Times New Roman" w:cs="Times New Roman"/>
          <w:color w:val="000000"/>
          <w:sz w:val="24"/>
          <w:szCs w:val="24"/>
        </w:rPr>
        <w:t>(7), 1507-1525.</w:t>
      </w:r>
    </w:p>
    <w:p w14:paraId="3679382E" w14:textId="77777777" w:rsidR="00A642F9" w:rsidRDefault="00A642F9" w:rsidP="00A642F9">
      <w:pPr>
        <w:spacing w:after="0" w:line="240" w:lineRule="auto"/>
        <w:ind w:left="720"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Tashman, P. (2021). ‘A natural resource dependence perspective of the firm: How and why firms manage natural resource scarcity’. </w:t>
      </w:r>
      <w:r>
        <w:rPr>
          <w:rFonts w:ascii="Times New Roman" w:eastAsia="Times New Roman" w:hAnsi="Times New Roman" w:cs="Times New Roman"/>
          <w:i/>
          <w:sz w:val="24"/>
          <w:szCs w:val="24"/>
        </w:rPr>
        <w:t>Business &amp; Society</w:t>
      </w:r>
      <w:r>
        <w:rPr>
          <w:rFonts w:ascii="Times New Roman" w:eastAsia="Times New Roman" w:hAnsi="Times New Roman" w:cs="Times New Roman"/>
          <w:sz w:val="24"/>
          <w:szCs w:val="24"/>
        </w:rPr>
        <w:t xml:space="preserve">, </w:t>
      </w:r>
      <w:r>
        <w:rPr>
          <w:rFonts w:ascii="Times New Roman" w:eastAsia="Times New Roman" w:hAnsi="Times New Roman" w:cs="Times New Roman"/>
          <w:b/>
          <w:sz w:val="24"/>
          <w:szCs w:val="24"/>
        </w:rPr>
        <w:t>60</w:t>
      </w:r>
      <w:r>
        <w:rPr>
          <w:rFonts w:ascii="Times New Roman" w:eastAsia="Times New Roman" w:hAnsi="Times New Roman" w:cs="Times New Roman"/>
          <w:sz w:val="24"/>
          <w:szCs w:val="24"/>
        </w:rPr>
        <w:t>(6), 1279–1311.</w:t>
      </w:r>
    </w:p>
    <w:p w14:paraId="000000B9" w14:textId="77777777" w:rsidR="00EE6CE9" w:rsidRDefault="00364A95">
      <w:pPr>
        <w:spacing w:after="0" w:line="240" w:lineRule="auto"/>
        <w:ind w:left="720"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Tavory, I. and Eliasoph, N. (2013). Coordinating futures: Toward a theory of anticipation. </w:t>
      </w:r>
      <w:r>
        <w:rPr>
          <w:rFonts w:ascii="Times New Roman" w:eastAsia="Times New Roman" w:hAnsi="Times New Roman" w:cs="Times New Roman"/>
          <w:i/>
          <w:sz w:val="24"/>
          <w:szCs w:val="24"/>
        </w:rPr>
        <w:t>American Journal of Sociology</w:t>
      </w:r>
      <w:r>
        <w:rPr>
          <w:rFonts w:ascii="Times New Roman" w:eastAsia="Times New Roman" w:hAnsi="Times New Roman" w:cs="Times New Roman"/>
          <w:sz w:val="24"/>
          <w:szCs w:val="24"/>
        </w:rPr>
        <w:t xml:space="preserve">, </w:t>
      </w:r>
      <w:r>
        <w:rPr>
          <w:rFonts w:ascii="Times New Roman" w:eastAsia="Times New Roman" w:hAnsi="Times New Roman" w:cs="Times New Roman"/>
          <w:b/>
          <w:sz w:val="24"/>
          <w:szCs w:val="24"/>
        </w:rPr>
        <w:t>118</w:t>
      </w:r>
      <w:r>
        <w:rPr>
          <w:rFonts w:ascii="Times New Roman" w:eastAsia="Times New Roman" w:hAnsi="Times New Roman" w:cs="Times New Roman"/>
          <w:sz w:val="24"/>
          <w:szCs w:val="24"/>
        </w:rPr>
        <w:t>(4), 908-942.</w:t>
      </w:r>
    </w:p>
    <w:p w14:paraId="000000BA" w14:textId="77777777" w:rsidR="00EE6CE9" w:rsidRDefault="00364A95">
      <w:pPr>
        <w:spacing w:after="0" w:line="240" w:lineRule="auto"/>
        <w:ind w:left="720"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Thompson, J.D. (1967). </w:t>
      </w:r>
      <w:r>
        <w:rPr>
          <w:rFonts w:ascii="Times New Roman" w:eastAsia="Times New Roman" w:hAnsi="Times New Roman" w:cs="Times New Roman"/>
          <w:i/>
          <w:sz w:val="24"/>
          <w:szCs w:val="24"/>
        </w:rPr>
        <w:t>Organizations in Action</w:t>
      </w:r>
      <w:r>
        <w:rPr>
          <w:rFonts w:ascii="Times New Roman" w:eastAsia="Times New Roman" w:hAnsi="Times New Roman" w:cs="Times New Roman"/>
          <w:sz w:val="24"/>
          <w:szCs w:val="24"/>
        </w:rPr>
        <w:t>. New York, NY: McGraw-Hill.</w:t>
      </w:r>
    </w:p>
    <w:p w14:paraId="000000BB" w14:textId="77777777" w:rsidR="00EE6CE9" w:rsidRDefault="00364A95">
      <w:pPr>
        <w:spacing w:after="0" w:line="240" w:lineRule="auto"/>
        <w:ind w:left="720"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Tushman, M.L. and Anderson, P. (1986). ‘Technological discontinuities and organizational environments’. </w:t>
      </w:r>
      <w:r>
        <w:rPr>
          <w:rFonts w:ascii="Times New Roman" w:eastAsia="Times New Roman" w:hAnsi="Times New Roman" w:cs="Times New Roman"/>
          <w:i/>
          <w:sz w:val="24"/>
          <w:szCs w:val="24"/>
        </w:rPr>
        <w:t>Administrative Science Quarterly</w:t>
      </w:r>
      <w:r>
        <w:rPr>
          <w:rFonts w:ascii="Times New Roman" w:eastAsia="Times New Roman" w:hAnsi="Times New Roman" w:cs="Times New Roman"/>
          <w:sz w:val="24"/>
          <w:szCs w:val="24"/>
        </w:rPr>
        <w:t xml:space="preserve">, </w:t>
      </w:r>
      <w:r w:rsidRPr="00293CB4">
        <w:rPr>
          <w:rFonts w:ascii="Times New Roman" w:eastAsia="Times New Roman" w:hAnsi="Times New Roman" w:cs="Times New Roman"/>
          <w:b/>
          <w:bCs/>
          <w:sz w:val="24"/>
          <w:szCs w:val="24"/>
        </w:rPr>
        <w:t>31</w:t>
      </w:r>
      <w:r>
        <w:rPr>
          <w:rFonts w:ascii="Times New Roman" w:eastAsia="Times New Roman" w:hAnsi="Times New Roman" w:cs="Times New Roman"/>
          <w:sz w:val="24"/>
          <w:szCs w:val="24"/>
        </w:rPr>
        <w:t>(3), 439-465.</w:t>
      </w:r>
    </w:p>
    <w:p w14:paraId="000000BC" w14:textId="77777777" w:rsidR="00EE6CE9" w:rsidRDefault="00364A95">
      <w:pPr>
        <w:pBdr>
          <w:top w:val="nil"/>
          <w:left w:val="nil"/>
          <w:bottom w:val="nil"/>
          <w:right w:val="nil"/>
          <w:between w:val="nil"/>
        </w:pBdr>
        <w:spacing w:after="0" w:line="240" w:lineRule="auto"/>
        <w:ind w:left="720" w:hanging="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United Nations Framework Convention on Climate Change (UNFCCC). (2022). </w:t>
      </w:r>
      <w:r>
        <w:rPr>
          <w:rFonts w:ascii="Times New Roman" w:eastAsia="Times New Roman" w:hAnsi="Times New Roman" w:cs="Times New Roman"/>
          <w:i/>
          <w:color w:val="000000"/>
          <w:sz w:val="24"/>
          <w:szCs w:val="24"/>
        </w:rPr>
        <w:t>Climate Change 2022 Mitigation of Climate Change</w:t>
      </w:r>
      <w:r>
        <w:rPr>
          <w:rFonts w:ascii="Times New Roman" w:eastAsia="Times New Roman" w:hAnsi="Times New Roman" w:cs="Times New Roman"/>
          <w:color w:val="000000"/>
          <w:sz w:val="24"/>
          <w:szCs w:val="24"/>
        </w:rPr>
        <w:t xml:space="preserve">. Bonn, Germany: UNFCCC. Available at: </w:t>
      </w:r>
      <w:hyperlink r:id="rId15">
        <w:r w:rsidR="00EE6CE9">
          <w:rPr>
            <w:rFonts w:ascii="Times New Roman" w:eastAsia="Times New Roman" w:hAnsi="Times New Roman" w:cs="Times New Roman"/>
            <w:color w:val="0000FF"/>
            <w:sz w:val="24"/>
            <w:szCs w:val="24"/>
            <w:u w:val="single"/>
          </w:rPr>
          <w:t>https://www.ipcc.ch/report/ar6/wg3/downloads/report/IPCC_AR6_WGIII_FullReport.pdf</w:t>
        </w:r>
      </w:hyperlink>
      <w:r>
        <w:rPr>
          <w:rFonts w:ascii="Times New Roman" w:eastAsia="Times New Roman" w:hAnsi="Times New Roman" w:cs="Times New Roman"/>
          <w:color w:val="000000"/>
          <w:sz w:val="24"/>
          <w:szCs w:val="24"/>
        </w:rPr>
        <w:t xml:space="preserve"> [accessed 1 May 2024].</w:t>
      </w:r>
    </w:p>
    <w:p w14:paraId="42FD2CD7" w14:textId="342C1D6F" w:rsidR="0048323A" w:rsidRPr="0048323A" w:rsidRDefault="0048323A">
      <w:pPr>
        <w:spacing w:after="0" w:line="240" w:lineRule="auto"/>
        <w:ind w:left="720" w:hanging="720"/>
        <w:rPr>
          <w:rFonts w:ascii="Times New Roman" w:eastAsia="Times New Roman" w:hAnsi="Times New Roman" w:cs="Times New Roman"/>
          <w:sz w:val="24"/>
          <w:szCs w:val="24"/>
          <w:lang w:val="en-US"/>
        </w:rPr>
      </w:pPr>
      <w:bookmarkStart w:id="3" w:name="_heading=h.3znysh7" w:colFirst="0" w:colLast="0"/>
      <w:bookmarkEnd w:id="3"/>
      <w:r>
        <w:rPr>
          <w:rFonts w:ascii="Times New Roman" w:eastAsia="Times New Roman" w:hAnsi="Times New Roman" w:cs="Times New Roman"/>
          <w:color w:val="000000"/>
          <w:sz w:val="24"/>
          <w:szCs w:val="24"/>
        </w:rPr>
        <w:t xml:space="preserve">United Nations Framework Convention on Climate Change (UNFCCC). (2021). </w:t>
      </w:r>
      <w:r w:rsidRPr="0048323A">
        <w:rPr>
          <w:rFonts w:ascii="Times New Roman" w:eastAsia="Times New Roman" w:hAnsi="Times New Roman" w:cs="Times New Roman"/>
          <w:i/>
          <w:iCs/>
          <w:color w:val="000000"/>
          <w:sz w:val="24"/>
          <w:szCs w:val="24"/>
        </w:rPr>
        <w:t>António Guterres: 50% of All Climate Finance Needed for Adaptation</w:t>
      </w:r>
      <w:r>
        <w:rPr>
          <w:rFonts w:ascii="Times New Roman" w:eastAsia="Times New Roman" w:hAnsi="Times New Roman" w:cs="Times New Roman"/>
          <w:color w:val="000000"/>
          <w:sz w:val="24"/>
          <w:szCs w:val="24"/>
        </w:rPr>
        <w:t xml:space="preserve">. </w:t>
      </w:r>
      <w:r w:rsidR="00765364">
        <w:rPr>
          <w:rFonts w:ascii="Times New Roman" w:eastAsia="Times New Roman" w:hAnsi="Times New Roman" w:cs="Times New Roman"/>
          <w:color w:val="000000"/>
          <w:sz w:val="24"/>
          <w:szCs w:val="24"/>
        </w:rPr>
        <w:t xml:space="preserve">Available at: </w:t>
      </w:r>
      <w:hyperlink r:id="rId16" w:history="1">
        <w:r w:rsidR="00765364" w:rsidRPr="006D1658">
          <w:rPr>
            <w:rStyle w:val="Hyperlink"/>
            <w:rFonts w:ascii="Times New Roman" w:eastAsia="Times New Roman" w:hAnsi="Times New Roman" w:cs="Times New Roman"/>
            <w:sz w:val="24"/>
            <w:szCs w:val="24"/>
          </w:rPr>
          <w:t>https://unfccc.int/news/antonio-guterres-50-of-all-climate-finance-needed-for-adaptation</w:t>
        </w:r>
      </w:hyperlink>
      <w:r w:rsidR="00765364">
        <w:rPr>
          <w:rFonts w:ascii="Times New Roman" w:eastAsia="Times New Roman" w:hAnsi="Times New Roman" w:cs="Times New Roman"/>
          <w:color w:val="000000"/>
          <w:sz w:val="24"/>
          <w:szCs w:val="24"/>
        </w:rPr>
        <w:t xml:space="preserve"> [accessed 17 January 2025].</w:t>
      </w:r>
    </w:p>
    <w:p w14:paraId="000000BD" w14:textId="32D57BDA" w:rsidR="00EE6CE9" w:rsidRDefault="00364A95">
      <w:pPr>
        <w:spacing w:after="0" w:line="240" w:lineRule="auto"/>
        <w:ind w:left="720" w:hanging="720"/>
        <w:rPr>
          <w:rFonts w:ascii="Times New Roman" w:eastAsia="Times New Roman" w:hAnsi="Times New Roman" w:cs="Times New Roman"/>
          <w:sz w:val="24"/>
          <w:szCs w:val="24"/>
        </w:rPr>
      </w:pPr>
      <w:r w:rsidRPr="00766A94">
        <w:rPr>
          <w:rFonts w:ascii="Times New Roman" w:eastAsia="Times New Roman" w:hAnsi="Times New Roman" w:cs="Times New Roman"/>
          <w:sz w:val="24"/>
          <w:szCs w:val="24"/>
          <w:lang w:val="nl-NL"/>
        </w:rPr>
        <w:t xml:space="preserve">Van de Ven, A.H., Ganco, M. and Hinings, C.R. (2013). </w:t>
      </w:r>
      <w:r>
        <w:rPr>
          <w:rFonts w:ascii="Times New Roman" w:eastAsia="Times New Roman" w:hAnsi="Times New Roman" w:cs="Times New Roman"/>
          <w:sz w:val="24"/>
          <w:szCs w:val="24"/>
        </w:rPr>
        <w:t xml:space="preserve">‘Returning to the frontier of contingency theory of organizational and institutional designs’. </w:t>
      </w:r>
      <w:r>
        <w:rPr>
          <w:rFonts w:ascii="Times New Roman" w:eastAsia="Times New Roman" w:hAnsi="Times New Roman" w:cs="Times New Roman"/>
          <w:i/>
          <w:sz w:val="24"/>
          <w:szCs w:val="24"/>
        </w:rPr>
        <w:t>Academy of Management Annals</w:t>
      </w:r>
      <w:r>
        <w:rPr>
          <w:rFonts w:ascii="Times New Roman" w:eastAsia="Times New Roman" w:hAnsi="Times New Roman" w:cs="Times New Roman"/>
          <w:sz w:val="24"/>
          <w:szCs w:val="24"/>
        </w:rPr>
        <w:t xml:space="preserve">, </w:t>
      </w:r>
      <w:r>
        <w:rPr>
          <w:rFonts w:ascii="Times New Roman" w:eastAsia="Times New Roman" w:hAnsi="Times New Roman" w:cs="Times New Roman"/>
          <w:b/>
          <w:sz w:val="24"/>
          <w:szCs w:val="24"/>
        </w:rPr>
        <w:t>7</w:t>
      </w:r>
      <w:r>
        <w:rPr>
          <w:rFonts w:ascii="Times New Roman" w:eastAsia="Times New Roman" w:hAnsi="Times New Roman" w:cs="Times New Roman"/>
          <w:sz w:val="24"/>
          <w:szCs w:val="24"/>
        </w:rPr>
        <w:t>(1), 393-440.</w:t>
      </w:r>
    </w:p>
    <w:p w14:paraId="000000BE" w14:textId="77777777" w:rsidR="00EE6CE9" w:rsidRDefault="00364A95">
      <w:pPr>
        <w:spacing w:after="0" w:line="240" w:lineRule="auto"/>
        <w:ind w:left="720"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Vincent, K. (2007). ‘Uncertainty in adaptive capacity and the importance of scale’. </w:t>
      </w:r>
      <w:r>
        <w:rPr>
          <w:rFonts w:ascii="Times New Roman" w:eastAsia="Times New Roman" w:hAnsi="Times New Roman" w:cs="Times New Roman"/>
          <w:i/>
          <w:sz w:val="24"/>
          <w:szCs w:val="24"/>
        </w:rPr>
        <w:t>Global Environmental Change</w:t>
      </w:r>
      <w:r>
        <w:rPr>
          <w:rFonts w:ascii="Times New Roman" w:eastAsia="Times New Roman" w:hAnsi="Times New Roman" w:cs="Times New Roman"/>
          <w:sz w:val="24"/>
          <w:szCs w:val="24"/>
        </w:rPr>
        <w:t xml:space="preserve">, </w:t>
      </w:r>
      <w:r>
        <w:rPr>
          <w:rFonts w:ascii="Times New Roman" w:eastAsia="Times New Roman" w:hAnsi="Times New Roman" w:cs="Times New Roman"/>
          <w:b/>
          <w:sz w:val="24"/>
          <w:szCs w:val="24"/>
        </w:rPr>
        <w:t>17</w:t>
      </w:r>
      <w:r>
        <w:rPr>
          <w:rFonts w:ascii="Times New Roman" w:eastAsia="Times New Roman" w:hAnsi="Times New Roman" w:cs="Times New Roman"/>
          <w:sz w:val="24"/>
          <w:szCs w:val="24"/>
        </w:rPr>
        <w:t>(1), 12-24.</w:t>
      </w:r>
    </w:p>
    <w:p w14:paraId="000000BF" w14:textId="77777777" w:rsidR="00EE6CE9" w:rsidRDefault="00364A95">
      <w:pPr>
        <w:pBdr>
          <w:top w:val="nil"/>
          <w:left w:val="nil"/>
          <w:bottom w:val="nil"/>
          <w:right w:val="nil"/>
          <w:between w:val="nil"/>
        </w:pBdr>
        <w:spacing w:after="0" w:line="240" w:lineRule="auto"/>
        <w:ind w:left="720" w:hanging="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Von Krogh, G., Rossi-Lamastra, C. and Haefliger, S. (2012). ‘Phenomenon-based research in management and organization science: When is it rigorous and does it matter?’. </w:t>
      </w:r>
      <w:r>
        <w:rPr>
          <w:rFonts w:ascii="Times New Roman" w:eastAsia="Times New Roman" w:hAnsi="Times New Roman" w:cs="Times New Roman"/>
          <w:i/>
          <w:color w:val="000000"/>
          <w:sz w:val="24"/>
          <w:szCs w:val="24"/>
        </w:rPr>
        <w:t>Long Range Planning</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b/>
          <w:color w:val="000000"/>
          <w:sz w:val="24"/>
          <w:szCs w:val="24"/>
        </w:rPr>
        <w:t>45</w:t>
      </w:r>
      <w:r>
        <w:rPr>
          <w:rFonts w:ascii="Times New Roman" w:eastAsia="Times New Roman" w:hAnsi="Times New Roman" w:cs="Times New Roman"/>
          <w:color w:val="000000"/>
          <w:sz w:val="24"/>
          <w:szCs w:val="24"/>
        </w:rPr>
        <w:t>(4), 277-298.</w:t>
      </w:r>
    </w:p>
    <w:p w14:paraId="000000C0" w14:textId="77777777" w:rsidR="00EE6CE9" w:rsidRDefault="00364A95">
      <w:pPr>
        <w:pBdr>
          <w:top w:val="nil"/>
          <w:left w:val="nil"/>
          <w:bottom w:val="nil"/>
          <w:right w:val="nil"/>
          <w:between w:val="nil"/>
        </w:pBdr>
        <w:spacing w:after="0" w:line="240" w:lineRule="auto"/>
        <w:ind w:left="720" w:hanging="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Wallace-Wells, D. (2024). ‘Food as you know it is about to change’. New York Times, 28 July. Available at: </w:t>
      </w:r>
      <w:hyperlink r:id="rId17">
        <w:r w:rsidR="00EE6CE9">
          <w:rPr>
            <w:rFonts w:ascii="Times New Roman" w:eastAsia="Times New Roman" w:hAnsi="Times New Roman" w:cs="Times New Roman"/>
            <w:color w:val="0000FF"/>
            <w:sz w:val="24"/>
            <w:szCs w:val="24"/>
            <w:u w:val="single"/>
          </w:rPr>
          <w:t>https://www.nytimes.com/2024/07/28/opinion/food-climate-crisis-prices.html</w:t>
        </w:r>
      </w:hyperlink>
      <w:r>
        <w:rPr>
          <w:rFonts w:ascii="Times New Roman" w:eastAsia="Times New Roman" w:hAnsi="Times New Roman" w:cs="Times New Roman"/>
          <w:color w:val="000000"/>
          <w:sz w:val="24"/>
          <w:szCs w:val="24"/>
        </w:rPr>
        <w:t xml:space="preserve"> [accessed 15 August 2024].</w:t>
      </w:r>
    </w:p>
    <w:p w14:paraId="000000C1" w14:textId="77777777" w:rsidR="00EE6CE9" w:rsidRDefault="00364A95">
      <w:pPr>
        <w:pBdr>
          <w:top w:val="nil"/>
          <w:left w:val="nil"/>
          <w:bottom w:val="nil"/>
          <w:right w:val="nil"/>
          <w:between w:val="nil"/>
        </w:pBdr>
        <w:spacing w:after="0" w:line="240" w:lineRule="auto"/>
        <w:ind w:left="720" w:hanging="720"/>
        <w:rPr>
          <w:rFonts w:ascii="Times New Roman" w:eastAsia="Times New Roman" w:hAnsi="Times New Roman" w:cs="Times New Roman"/>
          <w:color w:val="000000"/>
          <w:sz w:val="24"/>
          <w:szCs w:val="24"/>
        </w:rPr>
      </w:pPr>
      <w:r w:rsidRPr="0002289D">
        <w:rPr>
          <w:rFonts w:ascii="Times New Roman" w:eastAsia="Times New Roman" w:hAnsi="Times New Roman" w:cs="Times New Roman"/>
          <w:color w:val="000000"/>
          <w:sz w:val="24"/>
          <w:szCs w:val="24"/>
          <w:lang w:val="de-DE"/>
        </w:rPr>
        <w:t xml:space="preserve">Wenzel, M., Krämer, H., Koch, J. and Reckwitz, A. (2020). </w:t>
      </w:r>
      <w:r>
        <w:rPr>
          <w:rFonts w:ascii="Times New Roman" w:eastAsia="Times New Roman" w:hAnsi="Times New Roman" w:cs="Times New Roman"/>
          <w:color w:val="000000"/>
          <w:sz w:val="24"/>
          <w:szCs w:val="24"/>
        </w:rPr>
        <w:t xml:space="preserve">‘Future and organization studies: On the rediscovery of a problematic temporal category in organizations’. </w:t>
      </w:r>
      <w:r>
        <w:rPr>
          <w:rFonts w:ascii="Times New Roman" w:eastAsia="Times New Roman" w:hAnsi="Times New Roman" w:cs="Times New Roman"/>
          <w:i/>
          <w:color w:val="000000"/>
          <w:sz w:val="24"/>
          <w:szCs w:val="24"/>
        </w:rPr>
        <w:t>Organization Studies</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b/>
          <w:color w:val="000000"/>
          <w:sz w:val="24"/>
          <w:szCs w:val="24"/>
        </w:rPr>
        <w:t>41</w:t>
      </w:r>
      <w:r>
        <w:rPr>
          <w:rFonts w:ascii="Times New Roman" w:eastAsia="Times New Roman" w:hAnsi="Times New Roman" w:cs="Times New Roman"/>
          <w:color w:val="000000"/>
          <w:sz w:val="24"/>
          <w:szCs w:val="24"/>
        </w:rPr>
        <w:t>(10), 1441-1455.</w:t>
      </w:r>
    </w:p>
    <w:p w14:paraId="000000C2" w14:textId="77777777" w:rsidR="00EE6CE9" w:rsidRDefault="00364A95">
      <w:pPr>
        <w:pBdr>
          <w:top w:val="nil"/>
          <w:left w:val="nil"/>
          <w:bottom w:val="nil"/>
          <w:right w:val="nil"/>
          <w:between w:val="nil"/>
        </w:pBdr>
        <w:spacing w:after="0" w:line="240" w:lineRule="auto"/>
        <w:ind w:left="720" w:hanging="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lastRenderedPageBreak/>
        <w:t xml:space="preserve">Whiteman, G. and Cooper, W.H. (2011). ‘Ecological sensemaking’. </w:t>
      </w:r>
      <w:r>
        <w:rPr>
          <w:rFonts w:ascii="Times New Roman" w:eastAsia="Times New Roman" w:hAnsi="Times New Roman" w:cs="Times New Roman"/>
          <w:i/>
          <w:color w:val="000000"/>
          <w:sz w:val="24"/>
          <w:szCs w:val="24"/>
        </w:rPr>
        <w:t>Academy of Management Journal</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b/>
          <w:color w:val="000000"/>
          <w:sz w:val="24"/>
          <w:szCs w:val="24"/>
        </w:rPr>
        <w:t>54</w:t>
      </w:r>
      <w:r>
        <w:rPr>
          <w:rFonts w:ascii="Times New Roman" w:eastAsia="Times New Roman" w:hAnsi="Times New Roman" w:cs="Times New Roman"/>
          <w:color w:val="000000"/>
          <w:sz w:val="24"/>
          <w:szCs w:val="24"/>
        </w:rPr>
        <w:t>(5), 889-911.</w:t>
      </w:r>
    </w:p>
    <w:p w14:paraId="000000C3" w14:textId="77777777" w:rsidR="00EE6CE9" w:rsidRDefault="00364A95">
      <w:pPr>
        <w:pBdr>
          <w:top w:val="nil"/>
          <w:left w:val="nil"/>
          <w:bottom w:val="nil"/>
          <w:right w:val="nil"/>
          <w:between w:val="nil"/>
        </w:pBdr>
        <w:spacing w:after="0" w:line="240" w:lineRule="auto"/>
        <w:ind w:left="720" w:hanging="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Whiteman, G., Walker, B. and Perego, P. (2013). ‘Planetary boundaries: Ecological foundations for corporate sustainability’. </w:t>
      </w:r>
      <w:r>
        <w:rPr>
          <w:rFonts w:ascii="Times New Roman" w:eastAsia="Times New Roman" w:hAnsi="Times New Roman" w:cs="Times New Roman"/>
          <w:i/>
          <w:color w:val="000000"/>
          <w:sz w:val="24"/>
          <w:szCs w:val="24"/>
        </w:rPr>
        <w:t>Journal of Management Studies</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b/>
          <w:color w:val="000000"/>
          <w:sz w:val="24"/>
          <w:szCs w:val="24"/>
        </w:rPr>
        <w:t>50</w:t>
      </w:r>
      <w:r>
        <w:rPr>
          <w:rFonts w:ascii="Times New Roman" w:eastAsia="Times New Roman" w:hAnsi="Times New Roman" w:cs="Times New Roman"/>
          <w:color w:val="000000"/>
          <w:sz w:val="24"/>
          <w:szCs w:val="24"/>
        </w:rPr>
        <w:t>(2), 307-336.</w:t>
      </w:r>
    </w:p>
    <w:p w14:paraId="000000C4" w14:textId="77777777" w:rsidR="00EE6CE9" w:rsidRDefault="00364A95">
      <w:pPr>
        <w:pBdr>
          <w:top w:val="nil"/>
          <w:left w:val="nil"/>
          <w:bottom w:val="nil"/>
          <w:right w:val="nil"/>
          <w:between w:val="nil"/>
        </w:pBdr>
        <w:spacing w:after="0" w:line="240" w:lineRule="auto"/>
        <w:ind w:left="720" w:hanging="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Wickert, C., Scherer, A.G. and Spence, L.J. (2016). ‘Walking and talking corporate social responsibility: Implications of firm size and organizational cost’. </w:t>
      </w:r>
      <w:r>
        <w:rPr>
          <w:rFonts w:ascii="Times New Roman" w:eastAsia="Times New Roman" w:hAnsi="Times New Roman" w:cs="Times New Roman"/>
          <w:i/>
          <w:color w:val="000000"/>
          <w:sz w:val="24"/>
          <w:szCs w:val="24"/>
        </w:rPr>
        <w:t>Journal of Management Studies</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b/>
          <w:color w:val="000000"/>
          <w:sz w:val="24"/>
          <w:szCs w:val="24"/>
        </w:rPr>
        <w:t>53</w:t>
      </w:r>
      <w:r>
        <w:rPr>
          <w:rFonts w:ascii="Times New Roman" w:eastAsia="Times New Roman" w:hAnsi="Times New Roman" w:cs="Times New Roman"/>
          <w:color w:val="000000"/>
          <w:sz w:val="24"/>
          <w:szCs w:val="24"/>
        </w:rPr>
        <w:t>(7), 1169-1196.</w:t>
      </w:r>
    </w:p>
    <w:p w14:paraId="000000C5" w14:textId="77777777" w:rsidR="00EE6CE9" w:rsidRDefault="00364A95">
      <w:pPr>
        <w:pBdr>
          <w:top w:val="nil"/>
          <w:left w:val="nil"/>
          <w:bottom w:val="nil"/>
          <w:right w:val="nil"/>
          <w:between w:val="nil"/>
        </w:pBdr>
        <w:spacing w:after="0" w:line="240" w:lineRule="auto"/>
        <w:ind w:left="720" w:hanging="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Wickert, C. and De Bakker, F.G.A. (2018). ‘Pitching for social change: Toward a relational approach to selling and buying social issues’. </w:t>
      </w:r>
      <w:r>
        <w:rPr>
          <w:rFonts w:ascii="Times New Roman" w:eastAsia="Times New Roman" w:hAnsi="Times New Roman" w:cs="Times New Roman"/>
          <w:i/>
          <w:color w:val="000000"/>
          <w:sz w:val="24"/>
          <w:szCs w:val="24"/>
        </w:rPr>
        <w:t xml:space="preserve">Academy of Management Discoveries </w:t>
      </w:r>
      <w:r w:rsidRPr="00A6120A">
        <w:rPr>
          <w:rFonts w:ascii="Times New Roman" w:eastAsia="Times New Roman" w:hAnsi="Times New Roman" w:cs="Times New Roman"/>
          <w:b/>
          <w:bCs/>
          <w:color w:val="000000"/>
          <w:sz w:val="24"/>
          <w:szCs w:val="24"/>
        </w:rPr>
        <w:t>4</w:t>
      </w:r>
      <w:r>
        <w:rPr>
          <w:rFonts w:ascii="Times New Roman" w:eastAsia="Times New Roman" w:hAnsi="Times New Roman" w:cs="Times New Roman"/>
          <w:color w:val="000000"/>
          <w:sz w:val="24"/>
          <w:szCs w:val="24"/>
        </w:rPr>
        <w:t xml:space="preserve">(1), 50–73. </w:t>
      </w:r>
    </w:p>
    <w:p w14:paraId="000000C6" w14:textId="77777777" w:rsidR="00EE6CE9" w:rsidRDefault="00364A95">
      <w:pPr>
        <w:pBdr>
          <w:top w:val="nil"/>
          <w:left w:val="nil"/>
          <w:bottom w:val="nil"/>
          <w:right w:val="nil"/>
          <w:between w:val="nil"/>
        </w:pBdr>
        <w:spacing w:after="0" w:line="240" w:lineRule="auto"/>
        <w:ind w:left="720" w:hanging="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Wickert, C., Post, C., Doh, J.P., Prescott, J.E. and Prencipe, A. (2021). Management research that makes a difference: broadening the meaning of impact. </w:t>
      </w:r>
      <w:r>
        <w:rPr>
          <w:rFonts w:ascii="Times New Roman" w:eastAsia="Times New Roman" w:hAnsi="Times New Roman" w:cs="Times New Roman"/>
          <w:i/>
          <w:color w:val="000000"/>
          <w:sz w:val="24"/>
          <w:szCs w:val="24"/>
        </w:rPr>
        <w:t>Journal of Management Studies</w:t>
      </w:r>
      <w:r>
        <w:rPr>
          <w:rFonts w:ascii="Times New Roman" w:eastAsia="Times New Roman" w:hAnsi="Times New Roman" w:cs="Times New Roman"/>
          <w:color w:val="000000"/>
          <w:sz w:val="24"/>
          <w:szCs w:val="24"/>
        </w:rPr>
        <w:t>, 58(2), 297-320.</w:t>
      </w:r>
    </w:p>
    <w:p w14:paraId="000000C7" w14:textId="77777777" w:rsidR="00EE6CE9" w:rsidRDefault="00364A95">
      <w:pPr>
        <w:pBdr>
          <w:top w:val="nil"/>
          <w:left w:val="nil"/>
          <w:bottom w:val="nil"/>
          <w:right w:val="nil"/>
          <w:between w:val="nil"/>
        </w:pBdr>
        <w:spacing w:after="0" w:line="240" w:lineRule="auto"/>
        <w:ind w:left="720" w:hanging="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Wickert, C. and Muzio, D. (2024). ‘What is the strategy of strategy to tackle climate change?’. </w:t>
      </w:r>
      <w:r>
        <w:rPr>
          <w:rFonts w:ascii="Times New Roman" w:eastAsia="Times New Roman" w:hAnsi="Times New Roman" w:cs="Times New Roman"/>
          <w:i/>
          <w:color w:val="000000"/>
          <w:sz w:val="24"/>
          <w:szCs w:val="24"/>
        </w:rPr>
        <w:t>Journal of Management Studies</w:t>
      </w:r>
      <w:r>
        <w:rPr>
          <w:rFonts w:ascii="Times New Roman" w:eastAsia="Times New Roman" w:hAnsi="Times New Roman" w:cs="Times New Roman"/>
          <w:color w:val="000000"/>
          <w:sz w:val="24"/>
          <w:szCs w:val="24"/>
        </w:rPr>
        <w:t xml:space="preserve">, in press. Doi: </w:t>
      </w:r>
      <w:hyperlink r:id="rId18">
        <w:r w:rsidR="00EE6CE9">
          <w:rPr>
            <w:rFonts w:ascii="Times New Roman" w:eastAsia="Times New Roman" w:hAnsi="Times New Roman" w:cs="Times New Roman"/>
            <w:color w:val="0000FF"/>
            <w:sz w:val="24"/>
            <w:szCs w:val="24"/>
            <w:u w:val="single"/>
          </w:rPr>
          <w:t>https://doi.org/10.1111/joms.13114</w:t>
        </w:r>
      </w:hyperlink>
      <w:r>
        <w:rPr>
          <w:rFonts w:ascii="Times New Roman" w:eastAsia="Times New Roman" w:hAnsi="Times New Roman" w:cs="Times New Roman"/>
          <w:color w:val="000000"/>
          <w:sz w:val="24"/>
          <w:szCs w:val="24"/>
        </w:rPr>
        <w:t xml:space="preserve">. </w:t>
      </w:r>
    </w:p>
    <w:p w14:paraId="000000C8" w14:textId="123F093F" w:rsidR="00EE6CE9" w:rsidRDefault="00364A95">
      <w:pPr>
        <w:pBdr>
          <w:top w:val="nil"/>
          <w:left w:val="nil"/>
          <w:bottom w:val="nil"/>
          <w:right w:val="nil"/>
          <w:between w:val="nil"/>
        </w:pBdr>
        <w:spacing w:after="0" w:line="240" w:lineRule="auto"/>
        <w:ind w:left="720" w:hanging="720"/>
        <w:rPr>
          <w:rFonts w:ascii="Times New Roman" w:eastAsia="Times New Roman" w:hAnsi="Times New Roman" w:cs="Times New Roman"/>
          <w:color w:val="000000"/>
          <w:sz w:val="24"/>
          <w:szCs w:val="24"/>
        </w:rPr>
      </w:pPr>
      <w:r w:rsidRPr="0002289D">
        <w:rPr>
          <w:rFonts w:ascii="Times New Roman" w:eastAsia="Times New Roman" w:hAnsi="Times New Roman" w:cs="Times New Roman"/>
          <w:color w:val="000000"/>
          <w:sz w:val="24"/>
          <w:szCs w:val="24"/>
          <w:lang w:val="de-DE"/>
        </w:rPr>
        <w:t xml:space="preserve">Wickert, C., Potočnik, K., Prashantham, S., Shi, W. and Snihur, Y. (2024). </w:t>
      </w:r>
      <w:r>
        <w:rPr>
          <w:rFonts w:ascii="Times New Roman" w:eastAsia="Times New Roman" w:hAnsi="Times New Roman" w:cs="Times New Roman"/>
          <w:color w:val="000000"/>
          <w:sz w:val="24"/>
          <w:szCs w:val="24"/>
        </w:rPr>
        <w:t xml:space="preserve">‘Embracing non-Western contexts in management scholarship’. </w:t>
      </w:r>
      <w:r>
        <w:rPr>
          <w:rFonts w:ascii="Times New Roman" w:eastAsia="Times New Roman" w:hAnsi="Times New Roman" w:cs="Times New Roman"/>
          <w:i/>
          <w:color w:val="000000"/>
          <w:sz w:val="24"/>
          <w:szCs w:val="24"/>
        </w:rPr>
        <w:t>Journal of Management Studies</w:t>
      </w:r>
      <w:r>
        <w:rPr>
          <w:rFonts w:ascii="Times New Roman" w:eastAsia="Times New Roman" w:hAnsi="Times New Roman" w:cs="Times New Roman"/>
          <w:color w:val="000000"/>
          <w:sz w:val="24"/>
          <w:szCs w:val="24"/>
        </w:rPr>
        <w:t xml:space="preserve">, </w:t>
      </w:r>
      <w:r w:rsidR="0029001B" w:rsidRPr="0029001B">
        <w:rPr>
          <w:rFonts w:ascii="Times New Roman" w:eastAsia="Times New Roman" w:hAnsi="Times New Roman" w:cs="Times New Roman"/>
          <w:b/>
          <w:bCs/>
          <w:color w:val="000000"/>
          <w:sz w:val="24"/>
          <w:szCs w:val="24"/>
        </w:rPr>
        <w:t>61</w:t>
      </w:r>
      <w:r w:rsidR="0029001B">
        <w:rPr>
          <w:rFonts w:ascii="Times New Roman" w:eastAsia="Times New Roman" w:hAnsi="Times New Roman" w:cs="Times New Roman"/>
          <w:color w:val="000000"/>
          <w:sz w:val="24"/>
          <w:szCs w:val="24"/>
        </w:rPr>
        <w:t>(8), c1-c24</w:t>
      </w:r>
      <w:r>
        <w:rPr>
          <w:rFonts w:ascii="Times New Roman" w:eastAsia="Times New Roman" w:hAnsi="Times New Roman" w:cs="Times New Roman"/>
          <w:color w:val="000000"/>
          <w:sz w:val="24"/>
          <w:szCs w:val="24"/>
        </w:rPr>
        <w:t xml:space="preserve">. </w:t>
      </w:r>
    </w:p>
    <w:p w14:paraId="000000C9" w14:textId="55266FB6" w:rsidR="00EE6CE9" w:rsidRDefault="00364A95">
      <w:pPr>
        <w:pBdr>
          <w:top w:val="nil"/>
          <w:left w:val="nil"/>
          <w:bottom w:val="nil"/>
          <w:right w:val="nil"/>
          <w:between w:val="nil"/>
        </w:pBdr>
        <w:spacing w:after="0" w:line="240" w:lineRule="auto"/>
        <w:ind w:left="720" w:hanging="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Wilbanks, T.J. (2015). ‘Putting “place” in a multiscale context: Perspectives from the sustainability sciences’. </w:t>
      </w:r>
      <w:r>
        <w:rPr>
          <w:rFonts w:ascii="Times New Roman" w:eastAsia="Times New Roman" w:hAnsi="Times New Roman" w:cs="Times New Roman"/>
          <w:i/>
          <w:color w:val="000000"/>
          <w:sz w:val="24"/>
          <w:szCs w:val="24"/>
        </w:rPr>
        <w:t>Environmental Science &amp; Policy</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b/>
          <w:color w:val="000000"/>
          <w:sz w:val="24"/>
          <w:szCs w:val="24"/>
        </w:rPr>
        <w:t>53</w:t>
      </w:r>
      <w:r>
        <w:rPr>
          <w:rFonts w:ascii="Times New Roman" w:eastAsia="Times New Roman" w:hAnsi="Times New Roman" w:cs="Times New Roman"/>
          <w:color w:val="000000"/>
          <w:sz w:val="24"/>
          <w:szCs w:val="24"/>
        </w:rPr>
        <w:t>(Part A), 70-79.</w:t>
      </w:r>
    </w:p>
    <w:p w14:paraId="19623753" w14:textId="77777777" w:rsidR="00835C97" w:rsidRDefault="00835C97" w:rsidP="00835C97">
      <w:pPr>
        <w:pBdr>
          <w:top w:val="nil"/>
          <w:left w:val="nil"/>
          <w:bottom w:val="nil"/>
          <w:right w:val="nil"/>
          <w:between w:val="nil"/>
        </w:pBdr>
        <w:spacing w:after="0" w:line="240" w:lineRule="auto"/>
        <w:ind w:left="720" w:hanging="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Williams, T.A. and Shepherd, D.A. (2016). ‘Building resilience or providing sustenance: Different paths of emergent ventures in the aftermath of the Haiti earthquake’. </w:t>
      </w:r>
      <w:r>
        <w:rPr>
          <w:rFonts w:ascii="Times New Roman" w:eastAsia="Times New Roman" w:hAnsi="Times New Roman" w:cs="Times New Roman"/>
          <w:i/>
          <w:color w:val="000000"/>
          <w:sz w:val="24"/>
          <w:szCs w:val="24"/>
        </w:rPr>
        <w:t>Academy of Management Journal</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b/>
          <w:color w:val="000000"/>
          <w:sz w:val="24"/>
          <w:szCs w:val="24"/>
        </w:rPr>
        <w:t>59</w:t>
      </w:r>
      <w:r>
        <w:rPr>
          <w:rFonts w:ascii="Times New Roman" w:eastAsia="Times New Roman" w:hAnsi="Times New Roman" w:cs="Times New Roman"/>
          <w:color w:val="000000"/>
          <w:sz w:val="24"/>
          <w:szCs w:val="24"/>
        </w:rPr>
        <w:t>(6), 2069-2102.</w:t>
      </w:r>
    </w:p>
    <w:p w14:paraId="48085C23" w14:textId="77777777" w:rsidR="00835C97" w:rsidRDefault="00835C97" w:rsidP="00835C97">
      <w:pPr>
        <w:pBdr>
          <w:top w:val="nil"/>
          <w:left w:val="nil"/>
          <w:bottom w:val="nil"/>
          <w:right w:val="nil"/>
          <w:between w:val="nil"/>
        </w:pBdr>
        <w:spacing w:after="0" w:line="240" w:lineRule="auto"/>
        <w:ind w:left="720" w:hanging="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Williams, T.A., Gruber, D.A., Sutcliffe, K.M., Shepherd, D.A. and Zhao, E.Y. (2017). ‘Organizational response to adversity: Fusing crisis management and resilience research streams’. </w:t>
      </w:r>
      <w:r>
        <w:rPr>
          <w:rFonts w:ascii="Times New Roman" w:eastAsia="Times New Roman" w:hAnsi="Times New Roman" w:cs="Times New Roman"/>
          <w:i/>
          <w:color w:val="000000"/>
          <w:sz w:val="24"/>
          <w:szCs w:val="24"/>
        </w:rPr>
        <w:t>Academy of Management Annals</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b/>
          <w:color w:val="000000"/>
          <w:sz w:val="24"/>
          <w:szCs w:val="24"/>
        </w:rPr>
        <w:t>11</w:t>
      </w:r>
      <w:r>
        <w:rPr>
          <w:rFonts w:ascii="Times New Roman" w:eastAsia="Times New Roman" w:hAnsi="Times New Roman" w:cs="Times New Roman"/>
          <w:color w:val="000000"/>
          <w:sz w:val="24"/>
          <w:szCs w:val="24"/>
        </w:rPr>
        <w:t>(2), 733-769.</w:t>
      </w:r>
    </w:p>
    <w:p w14:paraId="000000CA" w14:textId="77777777" w:rsidR="00EE6CE9" w:rsidRDefault="00364A95">
      <w:pPr>
        <w:pBdr>
          <w:top w:val="nil"/>
          <w:left w:val="nil"/>
          <w:bottom w:val="nil"/>
          <w:right w:val="nil"/>
          <w:between w:val="nil"/>
        </w:pBdr>
        <w:spacing w:after="0" w:line="240" w:lineRule="auto"/>
        <w:ind w:left="720" w:hanging="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Williams, A., Whiteman, G. and Kennedy, S. (2021). ‘Cross-scale systemic resilience: Implications for organization studies’. </w:t>
      </w:r>
      <w:r>
        <w:rPr>
          <w:rFonts w:ascii="Times New Roman" w:eastAsia="Times New Roman" w:hAnsi="Times New Roman" w:cs="Times New Roman"/>
          <w:i/>
          <w:color w:val="000000"/>
          <w:sz w:val="24"/>
          <w:szCs w:val="24"/>
        </w:rPr>
        <w:t>Business &amp; Society</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b/>
          <w:color w:val="000000"/>
          <w:sz w:val="24"/>
          <w:szCs w:val="24"/>
        </w:rPr>
        <w:t>60</w:t>
      </w:r>
      <w:r>
        <w:rPr>
          <w:rFonts w:ascii="Times New Roman" w:eastAsia="Times New Roman" w:hAnsi="Times New Roman" w:cs="Times New Roman"/>
          <w:color w:val="000000"/>
          <w:sz w:val="24"/>
          <w:szCs w:val="24"/>
        </w:rPr>
        <w:t>(1), 95-124.</w:t>
      </w:r>
    </w:p>
    <w:p w14:paraId="000000CB" w14:textId="3E9878CD" w:rsidR="00EE6CE9" w:rsidRDefault="00364A95" w:rsidP="00233D23">
      <w:pPr>
        <w:pBdr>
          <w:top w:val="nil"/>
          <w:left w:val="nil"/>
          <w:bottom w:val="nil"/>
          <w:right w:val="nil"/>
          <w:between w:val="nil"/>
        </w:pBdr>
        <w:spacing w:after="0" w:line="240" w:lineRule="auto"/>
        <w:ind w:left="720" w:hanging="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Williams, A., Perego, P. and Whiteman, G. (2024). ‘Boundary conditions for organizations in the anthropocene: A review of the planetary boundaries framework 10 years on’. </w:t>
      </w:r>
      <w:r>
        <w:rPr>
          <w:rFonts w:ascii="Times New Roman" w:eastAsia="Times New Roman" w:hAnsi="Times New Roman" w:cs="Times New Roman"/>
          <w:i/>
          <w:color w:val="000000"/>
          <w:sz w:val="24"/>
          <w:szCs w:val="24"/>
        </w:rPr>
        <w:t>Journal of Management Studies</w:t>
      </w:r>
      <w:r>
        <w:rPr>
          <w:rFonts w:ascii="Times New Roman" w:eastAsia="Times New Roman" w:hAnsi="Times New Roman" w:cs="Times New Roman"/>
          <w:color w:val="000000"/>
          <w:sz w:val="24"/>
          <w:szCs w:val="24"/>
        </w:rPr>
        <w:t xml:space="preserve">, </w:t>
      </w:r>
      <w:r w:rsidR="00233D23">
        <w:rPr>
          <w:rFonts w:ascii="Times New Roman" w:eastAsia="Times New Roman" w:hAnsi="Times New Roman" w:cs="Times New Roman"/>
          <w:color w:val="000000"/>
          <w:sz w:val="24"/>
          <w:szCs w:val="24"/>
        </w:rPr>
        <w:t>in press. Doi:</w:t>
      </w:r>
      <w:r w:rsidR="00233D23" w:rsidRPr="00233D23">
        <w:rPr>
          <w:rFonts w:ascii="Times New Roman" w:eastAsia="Times New Roman" w:hAnsi="Times New Roman" w:cs="Times New Roman"/>
          <w:sz w:val="24"/>
          <w:szCs w:val="24"/>
          <w:lang w:eastAsia="en-GB"/>
        </w:rPr>
        <w:t xml:space="preserve"> </w:t>
      </w:r>
      <w:hyperlink r:id="rId19" w:history="1">
        <w:r w:rsidR="00233D23" w:rsidRPr="00233D23">
          <w:rPr>
            <w:rStyle w:val="Hyperlink"/>
            <w:rFonts w:ascii="Times New Roman" w:eastAsia="Times New Roman" w:hAnsi="Times New Roman" w:cs="Times New Roman"/>
            <w:sz w:val="24"/>
            <w:szCs w:val="24"/>
          </w:rPr>
          <w:t>https://doi.org/10.1111/joms.13150</w:t>
        </w:r>
      </w:hyperlink>
      <w:r>
        <w:rPr>
          <w:rFonts w:ascii="Times New Roman" w:eastAsia="Times New Roman" w:hAnsi="Times New Roman" w:cs="Times New Roman"/>
          <w:color w:val="000000"/>
          <w:sz w:val="24"/>
          <w:szCs w:val="24"/>
        </w:rPr>
        <w:t>.</w:t>
      </w:r>
    </w:p>
    <w:p w14:paraId="000000CE" w14:textId="45157C4E" w:rsidR="00EE6CE9" w:rsidRDefault="00364A95">
      <w:pPr>
        <w:pBdr>
          <w:top w:val="nil"/>
          <w:left w:val="nil"/>
          <w:bottom w:val="nil"/>
          <w:right w:val="nil"/>
          <w:between w:val="nil"/>
        </w:pBdr>
        <w:spacing w:after="0" w:line="240" w:lineRule="auto"/>
        <w:ind w:left="720" w:hanging="720"/>
        <w:rPr>
          <w:rFonts w:ascii="Times New Roman" w:eastAsia="Times New Roman" w:hAnsi="Times New Roman" w:cs="Times New Roman"/>
          <w:color w:val="000000"/>
          <w:sz w:val="24"/>
          <w:szCs w:val="24"/>
        </w:rPr>
      </w:pPr>
      <w:r w:rsidRPr="00E0197E">
        <w:rPr>
          <w:rFonts w:ascii="Times New Roman" w:eastAsia="Times New Roman" w:hAnsi="Times New Roman" w:cs="Times New Roman"/>
          <w:color w:val="000000"/>
          <w:sz w:val="24"/>
          <w:szCs w:val="24"/>
          <w:lang w:val="de-DE"/>
        </w:rPr>
        <w:t>Winn, M., Kirchgeorg, M., Griffiths, A., Linnenluecke, M.K. and G</w:t>
      </w:r>
      <w:r w:rsidR="00233D23" w:rsidRPr="00E0197E">
        <w:rPr>
          <w:rFonts w:ascii="Times New Roman" w:eastAsia="Times New Roman" w:hAnsi="Times New Roman" w:cs="Times New Roman"/>
          <w:color w:val="000000"/>
          <w:sz w:val="24"/>
          <w:szCs w:val="24"/>
          <w:lang w:val="de-DE"/>
        </w:rPr>
        <w:t>ü</w:t>
      </w:r>
      <w:r w:rsidRPr="00E0197E">
        <w:rPr>
          <w:rFonts w:ascii="Times New Roman" w:eastAsia="Times New Roman" w:hAnsi="Times New Roman" w:cs="Times New Roman"/>
          <w:color w:val="000000"/>
          <w:sz w:val="24"/>
          <w:szCs w:val="24"/>
          <w:lang w:val="de-DE"/>
        </w:rPr>
        <w:t xml:space="preserve">nther, E. (2011). </w:t>
      </w:r>
      <w:r>
        <w:rPr>
          <w:rFonts w:ascii="Times New Roman" w:eastAsia="Times New Roman" w:hAnsi="Times New Roman" w:cs="Times New Roman"/>
          <w:color w:val="000000"/>
          <w:sz w:val="24"/>
          <w:szCs w:val="24"/>
        </w:rPr>
        <w:t xml:space="preserve">‘Impacts from climate change on organizations: a conceptual foundation’. </w:t>
      </w:r>
      <w:r>
        <w:rPr>
          <w:rFonts w:ascii="Times New Roman" w:eastAsia="Times New Roman" w:hAnsi="Times New Roman" w:cs="Times New Roman"/>
          <w:i/>
          <w:color w:val="000000"/>
          <w:sz w:val="24"/>
          <w:szCs w:val="24"/>
        </w:rPr>
        <w:t>Business Strategy and the Environment</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b/>
          <w:color w:val="000000"/>
          <w:sz w:val="24"/>
          <w:szCs w:val="24"/>
        </w:rPr>
        <w:t>20</w:t>
      </w:r>
      <w:r>
        <w:rPr>
          <w:rFonts w:ascii="Times New Roman" w:eastAsia="Times New Roman" w:hAnsi="Times New Roman" w:cs="Times New Roman"/>
          <w:color w:val="000000"/>
          <w:sz w:val="24"/>
          <w:szCs w:val="24"/>
        </w:rPr>
        <w:t>(3), 157-173.</w:t>
      </w:r>
    </w:p>
    <w:p w14:paraId="0CCE44B8" w14:textId="63D3AA94" w:rsidR="000C04A0" w:rsidRDefault="000C04A0">
      <w:pPr>
        <w:pBdr>
          <w:top w:val="nil"/>
          <w:left w:val="nil"/>
          <w:bottom w:val="nil"/>
          <w:right w:val="nil"/>
          <w:between w:val="nil"/>
        </w:pBdr>
        <w:spacing w:after="0" w:line="240" w:lineRule="auto"/>
        <w:ind w:left="720" w:hanging="720"/>
        <w:rPr>
          <w:rFonts w:ascii="Times New Roman" w:eastAsia="Times New Roman" w:hAnsi="Times New Roman" w:cs="Times New Roman"/>
          <w:color w:val="000000"/>
          <w:sz w:val="24"/>
          <w:szCs w:val="24"/>
        </w:rPr>
      </w:pPr>
      <w:r>
        <w:rPr>
          <w:rFonts w:ascii="Times New Roman" w:eastAsia="Times New Roman" w:hAnsi="Times New Roman" w:cs="Times New Roman"/>
          <w:sz w:val="24"/>
          <w:szCs w:val="24"/>
        </w:rPr>
        <w:t xml:space="preserve">Wissman, N., Levy, D. and Nyberg, D. (2024). ‘Catastrophe to Consensus: Hegemonic performativity in climate adaptation’. </w:t>
      </w:r>
      <w:r>
        <w:rPr>
          <w:rFonts w:ascii="Times New Roman" w:eastAsia="Times New Roman" w:hAnsi="Times New Roman" w:cs="Times New Roman"/>
          <w:i/>
          <w:iCs/>
          <w:sz w:val="24"/>
          <w:szCs w:val="24"/>
        </w:rPr>
        <w:t xml:space="preserve">Organization Studies, </w:t>
      </w:r>
      <w:r w:rsidRPr="000C04A0">
        <w:rPr>
          <w:rFonts w:ascii="Times New Roman" w:eastAsia="Times New Roman" w:hAnsi="Times New Roman" w:cs="Times New Roman"/>
          <w:b/>
          <w:bCs/>
          <w:sz w:val="24"/>
          <w:szCs w:val="24"/>
        </w:rPr>
        <w:t>45</w:t>
      </w:r>
      <w:r>
        <w:rPr>
          <w:rFonts w:ascii="Times New Roman" w:eastAsia="Times New Roman" w:hAnsi="Times New Roman" w:cs="Times New Roman"/>
          <w:sz w:val="24"/>
          <w:szCs w:val="24"/>
        </w:rPr>
        <w:t xml:space="preserve">(5), </w:t>
      </w:r>
      <w:r w:rsidRPr="000C04A0">
        <w:rPr>
          <w:rFonts w:ascii="Times New Roman" w:eastAsia="Times New Roman" w:hAnsi="Times New Roman" w:cs="Times New Roman"/>
          <w:sz w:val="24"/>
          <w:szCs w:val="24"/>
        </w:rPr>
        <w:t>691–718</w:t>
      </w:r>
    </w:p>
    <w:p w14:paraId="000000CF" w14:textId="77777777" w:rsidR="00EE6CE9" w:rsidRDefault="00364A95">
      <w:pPr>
        <w:pBdr>
          <w:top w:val="nil"/>
          <w:left w:val="nil"/>
          <w:bottom w:val="nil"/>
          <w:right w:val="nil"/>
          <w:between w:val="nil"/>
        </w:pBdr>
        <w:spacing w:after="0" w:line="240" w:lineRule="auto"/>
        <w:ind w:left="720" w:hanging="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Wright, C. and Nyberg, D. (2017). ‘An inconvenient truth: How organizations translate climate change into business as usual’. </w:t>
      </w:r>
      <w:r>
        <w:rPr>
          <w:rFonts w:ascii="Times New Roman" w:eastAsia="Times New Roman" w:hAnsi="Times New Roman" w:cs="Times New Roman"/>
          <w:i/>
          <w:color w:val="000000"/>
          <w:sz w:val="24"/>
          <w:szCs w:val="24"/>
        </w:rPr>
        <w:t>Academy of Management Journal</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b/>
          <w:color w:val="000000"/>
          <w:sz w:val="24"/>
          <w:szCs w:val="24"/>
        </w:rPr>
        <w:t>60</w:t>
      </w:r>
      <w:r>
        <w:rPr>
          <w:rFonts w:ascii="Times New Roman" w:eastAsia="Times New Roman" w:hAnsi="Times New Roman" w:cs="Times New Roman"/>
          <w:color w:val="000000"/>
          <w:sz w:val="24"/>
          <w:szCs w:val="24"/>
        </w:rPr>
        <w:t>(5), 1633-1661.</w:t>
      </w:r>
    </w:p>
    <w:p w14:paraId="000000D0" w14:textId="77777777" w:rsidR="00EE6CE9" w:rsidRDefault="00364A95">
      <w:pPr>
        <w:pBdr>
          <w:top w:val="nil"/>
          <w:left w:val="nil"/>
          <w:bottom w:val="nil"/>
          <w:right w:val="nil"/>
          <w:between w:val="nil"/>
        </w:pBdr>
        <w:spacing w:after="0" w:line="240" w:lineRule="auto"/>
        <w:ind w:left="720" w:hanging="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Yang, M., Chen, L., Wang, J., Msigwa, G., Osman, A.I., Fawzy, S., Rooney, D.W. and Yap, P.S. (2023). ‘Circular economy strategies for combating climate change and other environmental issues’. </w:t>
      </w:r>
      <w:r>
        <w:rPr>
          <w:rFonts w:ascii="Times New Roman" w:eastAsia="Times New Roman" w:hAnsi="Times New Roman" w:cs="Times New Roman"/>
          <w:i/>
          <w:color w:val="000000"/>
          <w:sz w:val="24"/>
          <w:szCs w:val="24"/>
        </w:rPr>
        <w:t>Environmental Chemistry Letters</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b/>
          <w:color w:val="000000"/>
          <w:sz w:val="24"/>
          <w:szCs w:val="24"/>
        </w:rPr>
        <w:t>21</w:t>
      </w:r>
      <w:r>
        <w:rPr>
          <w:rFonts w:ascii="Times New Roman" w:eastAsia="Times New Roman" w:hAnsi="Times New Roman" w:cs="Times New Roman"/>
          <w:color w:val="000000"/>
          <w:sz w:val="24"/>
          <w:szCs w:val="24"/>
        </w:rPr>
        <w:t>, 55-80.</w:t>
      </w:r>
    </w:p>
    <w:p w14:paraId="000000D5" w14:textId="2C3DC565" w:rsidR="00EE6CE9" w:rsidRDefault="00364A95" w:rsidP="004A5C88">
      <w:pPr>
        <w:pBdr>
          <w:top w:val="nil"/>
          <w:left w:val="nil"/>
          <w:bottom w:val="nil"/>
          <w:right w:val="nil"/>
          <w:between w:val="nil"/>
        </w:pBdr>
        <w:spacing w:after="0" w:line="240" w:lineRule="auto"/>
        <w:ind w:left="720" w:hanging="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Yoon, H., Tashman, P., Benischke, M.H., Doh, J.P. and Kim, N. (2024). ‘Climate impact, institutional context, and national climate change adaptation IP protection rates’. </w:t>
      </w:r>
      <w:r>
        <w:rPr>
          <w:rFonts w:ascii="Times New Roman" w:eastAsia="Times New Roman" w:hAnsi="Times New Roman" w:cs="Times New Roman"/>
          <w:i/>
          <w:color w:val="000000"/>
          <w:sz w:val="24"/>
          <w:szCs w:val="24"/>
        </w:rPr>
        <w:t>Journal of Business Venturing</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b/>
          <w:color w:val="000000"/>
          <w:sz w:val="24"/>
          <w:szCs w:val="24"/>
        </w:rPr>
        <w:t>39</w:t>
      </w:r>
      <w:r>
        <w:rPr>
          <w:rFonts w:ascii="Times New Roman" w:eastAsia="Times New Roman" w:hAnsi="Times New Roman" w:cs="Times New Roman"/>
          <w:color w:val="000000"/>
          <w:sz w:val="24"/>
          <w:szCs w:val="24"/>
        </w:rPr>
        <w:t>(1), 106359.</w:t>
      </w:r>
      <w:bookmarkEnd w:id="1"/>
    </w:p>
    <w:p w14:paraId="000000D6" w14:textId="77777777" w:rsidR="00EE6CE9" w:rsidRDefault="00EE6CE9">
      <w:pPr>
        <w:pBdr>
          <w:top w:val="nil"/>
          <w:left w:val="nil"/>
          <w:bottom w:val="nil"/>
          <w:right w:val="nil"/>
          <w:between w:val="nil"/>
        </w:pBdr>
        <w:spacing w:after="0" w:line="480" w:lineRule="auto"/>
        <w:rPr>
          <w:rFonts w:ascii="Times New Roman" w:eastAsia="Times New Roman" w:hAnsi="Times New Roman" w:cs="Times New Roman"/>
          <w:color w:val="000000"/>
          <w:sz w:val="24"/>
          <w:szCs w:val="24"/>
        </w:rPr>
      </w:pPr>
    </w:p>
    <w:p w14:paraId="000000D7" w14:textId="77777777" w:rsidR="00EE6CE9" w:rsidRDefault="00364A95">
      <w:pPr>
        <w:rPr>
          <w:rFonts w:ascii="Times New Roman" w:eastAsia="Times New Roman" w:hAnsi="Times New Roman" w:cs="Times New Roman"/>
          <w:b/>
          <w:color w:val="000000"/>
          <w:sz w:val="24"/>
          <w:szCs w:val="24"/>
        </w:rPr>
      </w:pPr>
      <w:r>
        <w:br w:type="page"/>
      </w:r>
    </w:p>
    <w:p w14:paraId="000000D8" w14:textId="77777777" w:rsidR="00EE6CE9" w:rsidRDefault="00364A95">
      <w:pPr>
        <w:spacing w:after="0" w:line="240" w:lineRule="auto"/>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lastRenderedPageBreak/>
        <w:t>TABLES AND FIGURES</w:t>
      </w:r>
    </w:p>
    <w:p w14:paraId="000000D9" w14:textId="77777777" w:rsidR="00EE6CE9" w:rsidRDefault="00EE6CE9">
      <w:pPr>
        <w:spacing w:after="0" w:line="240" w:lineRule="auto"/>
        <w:jc w:val="center"/>
        <w:rPr>
          <w:rFonts w:ascii="Times New Roman" w:eastAsia="Times New Roman" w:hAnsi="Times New Roman" w:cs="Times New Roman"/>
          <w:b/>
          <w:color w:val="000000"/>
          <w:sz w:val="24"/>
          <w:szCs w:val="24"/>
        </w:rPr>
      </w:pPr>
    </w:p>
    <w:p w14:paraId="000000DA" w14:textId="61D9FECA" w:rsidR="00EE6CE9" w:rsidRDefault="00364A95">
      <w:pPr>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b/>
          <w:color w:val="000000"/>
          <w:sz w:val="24"/>
          <w:szCs w:val="24"/>
        </w:rPr>
        <w:t xml:space="preserve">Table </w:t>
      </w:r>
      <w:r w:rsidR="00B42C58">
        <w:rPr>
          <w:rFonts w:ascii="Times New Roman" w:eastAsia="Times New Roman" w:hAnsi="Times New Roman" w:cs="Times New Roman"/>
          <w:b/>
          <w:color w:val="000000"/>
          <w:sz w:val="24"/>
          <w:szCs w:val="24"/>
        </w:rPr>
        <w:t>I</w:t>
      </w:r>
      <w:r>
        <w:rPr>
          <w:rFonts w:ascii="Times New Roman" w:eastAsia="Times New Roman" w:hAnsi="Times New Roman" w:cs="Times New Roman"/>
          <w:color w:val="000000"/>
          <w:sz w:val="24"/>
          <w:szCs w:val="24"/>
        </w:rPr>
        <w:t>. Differences between traditional organizational adaptation and climate change adaptation</w:t>
      </w:r>
    </w:p>
    <w:p w14:paraId="000000DB" w14:textId="77777777" w:rsidR="00EE6CE9" w:rsidRDefault="00EE6CE9">
      <w:pPr>
        <w:spacing w:after="0" w:line="240" w:lineRule="auto"/>
        <w:jc w:val="center"/>
        <w:rPr>
          <w:rFonts w:ascii="Times New Roman" w:eastAsia="Times New Roman" w:hAnsi="Times New Roman" w:cs="Times New Roman"/>
          <w:sz w:val="24"/>
          <w:szCs w:val="24"/>
        </w:rPr>
      </w:pPr>
    </w:p>
    <w:tbl>
      <w:tblPr>
        <w:tblStyle w:val="a"/>
        <w:tblW w:w="9016" w:type="dxa"/>
        <w:tblLayout w:type="fixed"/>
        <w:tblLook w:val="0400" w:firstRow="0" w:lastRow="0" w:firstColumn="0" w:lastColumn="0" w:noHBand="0" w:noVBand="1"/>
      </w:tblPr>
      <w:tblGrid>
        <w:gridCol w:w="1420"/>
        <w:gridCol w:w="3560"/>
        <w:gridCol w:w="4036"/>
      </w:tblGrid>
      <w:tr w:rsidR="00EE6CE9" w14:paraId="36EFD517" w14:textId="77777777">
        <w:trPr>
          <w:trHeight w:val="570"/>
        </w:trPr>
        <w:tc>
          <w:tcPr>
            <w:tcW w:w="1420"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tcPr>
          <w:p w14:paraId="000000DC" w14:textId="77777777" w:rsidR="00EE6CE9" w:rsidRDefault="00364A95">
            <w:pPr>
              <w:spacing w:before="240" w:after="240" w:line="240" w:lineRule="auto"/>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 </w:t>
            </w:r>
          </w:p>
        </w:tc>
        <w:tc>
          <w:tcPr>
            <w:tcW w:w="3560"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tcPr>
          <w:p w14:paraId="000000DD" w14:textId="77777777" w:rsidR="00EE6CE9" w:rsidRDefault="00364A95">
            <w:pPr>
              <w:spacing w:before="120" w:after="12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b/>
                <w:color w:val="000000"/>
                <w:sz w:val="24"/>
                <w:szCs w:val="24"/>
              </w:rPr>
              <w:t>Traditional Organizational Adaptation</w:t>
            </w:r>
          </w:p>
        </w:tc>
        <w:tc>
          <w:tcPr>
            <w:tcW w:w="4036"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tcPr>
          <w:p w14:paraId="000000DE" w14:textId="77777777" w:rsidR="00EE6CE9" w:rsidRDefault="00364A95">
            <w:pPr>
              <w:spacing w:before="120" w:after="12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b/>
                <w:color w:val="000000"/>
                <w:sz w:val="24"/>
                <w:szCs w:val="24"/>
              </w:rPr>
              <w:t>Organizational Climate Change Adaptation</w:t>
            </w:r>
          </w:p>
        </w:tc>
      </w:tr>
      <w:tr w:rsidR="00EE6CE9" w14:paraId="29CE91D9" w14:textId="77777777">
        <w:trPr>
          <w:trHeight w:val="1950"/>
        </w:trPr>
        <w:tc>
          <w:tcPr>
            <w:tcW w:w="1420"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tcPr>
          <w:p w14:paraId="000000DF" w14:textId="77777777" w:rsidR="00EE6CE9" w:rsidRDefault="00364A95">
            <w:pPr>
              <w:spacing w:before="240" w:after="240" w:line="240" w:lineRule="auto"/>
              <w:rPr>
                <w:rFonts w:ascii="Times New Roman" w:eastAsia="Times New Roman" w:hAnsi="Times New Roman" w:cs="Times New Roman"/>
                <w:sz w:val="24"/>
                <w:szCs w:val="24"/>
              </w:rPr>
            </w:pPr>
            <w:r>
              <w:rPr>
                <w:rFonts w:ascii="Times New Roman" w:eastAsia="Times New Roman" w:hAnsi="Times New Roman" w:cs="Times New Roman"/>
                <w:b/>
                <w:color w:val="000000"/>
                <w:sz w:val="24"/>
                <w:szCs w:val="24"/>
              </w:rPr>
              <w:t>Focus</w:t>
            </w:r>
          </w:p>
        </w:tc>
        <w:tc>
          <w:tcPr>
            <w:tcW w:w="3560"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vAlign w:val="center"/>
          </w:tcPr>
          <w:p w14:paraId="000000E0" w14:textId="77777777" w:rsidR="00EE6CE9" w:rsidRDefault="00364A95">
            <w:pPr>
              <w:spacing w:before="120" w:after="120" w:line="240" w:lineRule="auto"/>
              <w:rPr>
                <w:rFonts w:ascii="Times New Roman" w:eastAsia="Times New Roman" w:hAnsi="Times New Roman" w:cs="Times New Roman"/>
                <w:sz w:val="24"/>
                <w:szCs w:val="24"/>
              </w:rPr>
            </w:pPr>
            <w:r>
              <w:rPr>
                <w:rFonts w:ascii="Times New Roman" w:eastAsia="Times New Roman" w:hAnsi="Times New Roman" w:cs="Times New Roman"/>
                <w:i/>
                <w:color w:val="000000"/>
                <w:sz w:val="24"/>
                <w:szCs w:val="24"/>
              </w:rPr>
              <w:t>Inward-looking</w:t>
            </w:r>
            <w:r>
              <w:rPr>
                <w:rFonts w:ascii="Times New Roman" w:eastAsia="Times New Roman" w:hAnsi="Times New Roman" w:cs="Times New Roman"/>
                <w:color w:val="000000"/>
                <w:sz w:val="24"/>
                <w:szCs w:val="24"/>
              </w:rPr>
              <w:t>, i.e., organization-centric; focus on changing internal processes, structures, and strategies within an organization to respond to external market forces, technological changes, or shifts in consumer demand.</w:t>
            </w:r>
          </w:p>
        </w:tc>
        <w:tc>
          <w:tcPr>
            <w:tcW w:w="4036"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vAlign w:val="center"/>
          </w:tcPr>
          <w:p w14:paraId="000000E1" w14:textId="77777777" w:rsidR="00EE6CE9" w:rsidRDefault="00364A95">
            <w:pPr>
              <w:spacing w:before="120" w:after="120" w:line="240" w:lineRule="auto"/>
              <w:rPr>
                <w:rFonts w:ascii="Times New Roman" w:eastAsia="Times New Roman" w:hAnsi="Times New Roman" w:cs="Times New Roman"/>
                <w:sz w:val="24"/>
                <w:szCs w:val="24"/>
              </w:rPr>
            </w:pPr>
            <w:r>
              <w:rPr>
                <w:rFonts w:ascii="Times New Roman" w:eastAsia="Times New Roman" w:hAnsi="Times New Roman" w:cs="Times New Roman"/>
                <w:i/>
                <w:color w:val="000000"/>
                <w:sz w:val="24"/>
                <w:szCs w:val="24"/>
              </w:rPr>
              <w:t>Outward looking</w:t>
            </w:r>
            <w:r>
              <w:rPr>
                <w:rFonts w:ascii="Times New Roman" w:eastAsia="Times New Roman" w:hAnsi="Times New Roman" w:cs="Times New Roman"/>
                <w:color w:val="000000"/>
                <w:sz w:val="24"/>
                <w:szCs w:val="24"/>
              </w:rPr>
              <w:t>, i.e., multi-stakeholder centric; focus on reevaluating interactions with the external natural environment, such as ecological impact and community involvement.</w:t>
            </w:r>
          </w:p>
        </w:tc>
      </w:tr>
      <w:tr w:rsidR="00EE6CE9" w14:paraId="74BDF809" w14:textId="77777777">
        <w:trPr>
          <w:trHeight w:val="1395"/>
        </w:trPr>
        <w:tc>
          <w:tcPr>
            <w:tcW w:w="1420"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tcPr>
          <w:p w14:paraId="000000E2" w14:textId="77777777" w:rsidR="00EE6CE9" w:rsidRDefault="00364A95">
            <w:pPr>
              <w:spacing w:before="240" w:after="240" w:line="240" w:lineRule="auto"/>
              <w:rPr>
                <w:rFonts w:ascii="Times New Roman" w:eastAsia="Times New Roman" w:hAnsi="Times New Roman" w:cs="Times New Roman"/>
                <w:sz w:val="24"/>
                <w:szCs w:val="24"/>
              </w:rPr>
            </w:pPr>
            <w:r>
              <w:rPr>
                <w:rFonts w:ascii="Times New Roman" w:eastAsia="Times New Roman" w:hAnsi="Times New Roman" w:cs="Times New Roman"/>
                <w:b/>
                <w:color w:val="000000"/>
                <w:sz w:val="24"/>
                <w:szCs w:val="24"/>
              </w:rPr>
              <w:t>Drivers </w:t>
            </w:r>
          </w:p>
        </w:tc>
        <w:tc>
          <w:tcPr>
            <w:tcW w:w="3560"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vAlign w:val="center"/>
          </w:tcPr>
          <w:p w14:paraId="000000E3" w14:textId="77777777" w:rsidR="00EE6CE9" w:rsidRDefault="00364A95">
            <w:pPr>
              <w:spacing w:before="120" w:after="120" w:line="240" w:lineRule="auto"/>
              <w:rPr>
                <w:rFonts w:ascii="Times New Roman" w:eastAsia="Times New Roman" w:hAnsi="Times New Roman" w:cs="Times New Roman"/>
                <w:sz w:val="24"/>
                <w:szCs w:val="24"/>
              </w:rPr>
            </w:pPr>
            <w:r>
              <w:rPr>
                <w:rFonts w:ascii="Times New Roman" w:eastAsia="Times New Roman" w:hAnsi="Times New Roman" w:cs="Times New Roman"/>
                <w:i/>
                <w:color w:val="000000"/>
                <w:sz w:val="24"/>
                <w:szCs w:val="24"/>
              </w:rPr>
              <w:t>Misfit</w:t>
            </w:r>
            <w:r>
              <w:rPr>
                <w:rFonts w:ascii="Times New Roman" w:eastAsia="Times New Roman" w:hAnsi="Times New Roman" w:cs="Times New Roman"/>
                <w:color w:val="000000"/>
                <w:sz w:val="24"/>
                <w:szCs w:val="24"/>
              </w:rPr>
              <w:t xml:space="preserve"> between the organization’s internal activities, resources and capabilities, and the evolving demands of the external competitive and market environment.</w:t>
            </w:r>
          </w:p>
        </w:tc>
        <w:tc>
          <w:tcPr>
            <w:tcW w:w="4036"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vAlign w:val="center"/>
          </w:tcPr>
          <w:p w14:paraId="000000E4" w14:textId="77777777" w:rsidR="00EE6CE9" w:rsidRDefault="00364A95">
            <w:pPr>
              <w:spacing w:before="120" w:after="120" w:line="240" w:lineRule="auto"/>
              <w:rPr>
                <w:rFonts w:ascii="Times New Roman" w:eastAsia="Times New Roman" w:hAnsi="Times New Roman" w:cs="Times New Roman"/>
                <w:sz w:val="24"/>
                <w:szCs w:val="24"/>
              </w:rPr>
            </w:pPr>
            <w:r>
              <w:rPr>
                <w:rFonts w:ascii="Times New Roman" w:eastAsia="Times New Roman" w:hAnsi="Times New Roman" w:cs="Times New Roman"/>
                <w:i/>
                <w:color w:val="000000"/>
                <w:sz w:val="24"/>
                <w:szCs w:val="24"/>
              </w:rPr>
              <w:t>Loss of access</w:t>
            </w:r>
            <w:r>
              <w:rPr>
                <w:rFonts w:ascii="Times New Roman" w:eastAsia="Times New Roman" w:hAnsi="Times New Roman" w:cs="Times New Roman"/>
                <w:color w:val="000000"/>
                <w:sz w:val="24"/>
                <w:szCs w:val="24"/>
              </w:rPr>
              <w:t xml:space="preserve"> to ecological goods and services due to disruptions in natural processes producing them, or the absence of technological alternatives.</w:t>
            </w:r>
          </w:p>
        </w:tc>
      </w:tr>
      <w:tr w:rsidR="00EE6CE9" w14:paraId="36E1790A" w14:textId="77777777">
        <w:trPr>
          <w:trHeight w:val="1350"/>
        </w:trPr>
        <w:tc>
          <w:tcPr>
            <w:tcW w:w="1420"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tcPr>
          <w:p w14:paraId="000000E5" w14:textId="77777777" w:rsidR="00EE6CE9" w:rsidRDefault="00364A95">
            <w:pPr>
              <w:spacing w:before="240" w:after="240" w:line="240" w:lineRule="auto"/>
              <w:rPr>
                <w:rFonts w:ascii="Times New Roman" w:eastAsia="Times New Roman" w:hAnsi="Times New Roman" w:cs="Times New Roman"/>
                <w:sz w:val="24"/>
                <w:szCs w:val="24"/>
              </w:rPr>
            </w:pPr>
            <w:r>
              <w:rPr>
                <w:rFonts w:ascii="Times New Roman" w:eastAsia="Times New Roman" w:hAnsi="Times New Roman" w:cs="Times New Roman"/>
                <w:b/>
                <w:color w:val="000000"/>
                <w:sz w:val="24"/>
                <w:szCs w:val="24"/>
              </w:rPr>
              <w:t>Objectives and Outcomes</w:t>
            </w:r>
          </w:p>
        </w:tc>
        <w:tc>
          <w:tcPr>
            <w:tcW w:w="3560"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vAlign w:val="center"/>
          </w:tcPr>
          <w:p w14:paraId="000000E6" w14:textId="77777777" w:rsidR="00EE6CE9" w:rsidRDefault="00364A95">
            <w:pPr>
              <w:spacing w:before="120" w:after="120" w:line="240" w:lineRule="auto"/>
              <w:rPr>
                <w:rFonts w:ascii="Times New Roman" w:eastAsia="Times New Roman" w:hAnsi="Times New Roman" w:cs="Times New Roman"/>
                <w:sz w:val="24"/>
                <w:szCs w:val="24"/>
              </w:rPr>
            </w:pPr>
            <w:r>
              <w:rPr>
                <w:rFonts w:ascii="Times New Roman" w:eastAsia="Times New Roman" w:hAnsi="Times New Roman" w:cs="Times New Roman"/>
                <w:i/>
                <w:color w:val="000000"/>
                <w:sz w:val="24"/>
                <w:szCs w:val="24"/>
              </w:rPr>
              <w:t>Improving efficiency and competitiveness</w:t>
            </w:r>
            <w:r>
              <w:rPr>
                <w:rFonts w:ascii="Times New Roman" w:eastAsia="Times New Roman" w:hAnsi="Times New Roman" w:cs="Times New Roman"/>
                <w:color w:val="000000"/>
                <w:sz w:val="24"/>
                <w:szCs w:val="24"/>
              </w:rPr>
              <w:t xml:space="preserve"> eventually resulting in improved organizational performance.</w:t>
            </w:r>
          </w:p>
        </w:tc>
        <w:tc>
          <w:tcPr>
            <w:tcW w:w="4036"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vAlign w:val="center"/>
          </w:tcPr>
          <w:p w14:paraId="000000E7" w14:textId="77777777" w:rsidR="00EE6CE9" w:rsidRDefault="00364A95">
            <w:pPr>
              <w:spacing w:before="120" w:after="120" w:line="240" w:lineRule="auto"/>
              <w:rPr>
                <w:rFonts w:ascii="Times New Roman" w:eastAsia="Times New Roman" w:hAnsi="Times New Roman" w:cs="Times New Roman"/>
                <w:sz w:val="24"/>
                <w:szCs w:val="24"/>
              </w:rPr>
            </w:pPr>
            <w:r>
              <w:rPr>
                <w:rFonts w:ascii="Times New Roman" w:eastAsia="Times New Roman" w:hAnsi="Times New Roman" w:cs="Times New Roman"/>
                <w:i/>
                <w:color w:val="000000"/>
                <w:sz w:val="24"/>
                <w:szCs w:val="24"/>
              </w:rPr>
              <w:t>Reducing vulnerability</w:t>
            </w:r>
            <w:r>
              <w:rPr>
                <w:rFonts w:ascii="Times New Roman" w:eastAsia="Times New Roman" w:hAnsi="Times New Roman" w:cs="Times New Roman"/>
                <w:color w:val="000000"/>
                <w:sz w:val="24"/>
                <w:szCs w:val="24"/>
              </w:rPr>
              <w:t xml:space="preserve"> to the negative effects of climate change, resulting in greater resilience.</w:t>
            </w:r>
          </w:p>
        </w:tc>
      </w:tr>
      <w:tr w:rsidR="00EE6CE9" w14:paraId="02ED5392" w14:textId="77777777">
        <w:trPr>
          <w:trHeight w:val="1395"/>
        </w:trPr>
        <w:tc>
          <w:tcPr>
            <w:tcW w:w="1420"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tcPr>
          <w:p w14:paraId="000000E8" w14:textId="77777777" w:rsidR="00EE6CE9" w:rsidRDefault="00364A95">
            <w:pPr>
              <w:spacing w:before="240" w:after="240" w:line="240" w:lineRule="auto"/>
              <w:rPr>
                <w:rFonts w:ascii="Times New Roman" w:eastAsia="Times New Roman" w:hAnsi="Times New Roman" w:cs="Times New Roman"/>
                <w:sz w:val="24"/>
                <w:szCs w:val="24"/>
              </w:rPr>
            </w:pPr>
            <w:r>
              <w:rPr>
                <w:rFonts w:ascii="Times New Roman" w:eastAsia="Times New Roman" w:hAnsi="Times New Roman" w:cs="Times New Roman"/>
                <w:b/>
                <w:color w:val="000000"/>
                <w:sz w:val="24"/>
                <w:szCs w:val="24"/>
              </w:rPr>
              <w:t>Limits</w:t>
            </w:r>
          </w:p>
        </w:tc>
        <w:tc>
          <w:tcPr>
            <w:tcW w:w="3560"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vAlign w:val="center"/>
          </w:tcPr>
          <w:p w14:paraId="000000E9" w14:textId="77777777" w:rsidR="00EE6CE9" w:rsidRDefault="00364A95">
            <w:pPr>
              <w:spacing w:before="120" w:after="120" w:line="240" w:lineRule="auto"/>
              <w:rPr>
                <w:rFonts w:ascii="Times New Roman" w:eastAsia="Times New Roman" w:hAnsi="Times New Roman" w:cs="Times New Roman"/>
                <w:sz w:val="24"/>
                <w:szCs w:val="24"/>
              </w:rPr>
            </w:pPr>
            <w:r>
              <w:rPr>
                <w:rFonts w:ascii="Times New Roman" w:eastAsia="Times New Roman" w:hAnsi="Times New Roman" w:cs="Times New Roman"/>
                <w:i/>
                <w:color w:val="000000"/>
                <w:sz w:val="24"/>
                <w:szCs w:val="24"/>
              </w:rPr>
              <w:t xml:space="preserve">Within the direct control of the organization; </w:t>
            </w:r>
            <w:r>
              <w:rPr>
                <w:rFonts w:ascii="Times New Roman" w:eastAsia="Times New Roman" w:hAnsi="Times New Roman" w:cs="Times New Roman"/>
                <w:color w:val="000000"/>
                <w:sz w:val="24"/>
                <w:szCs w:val="24"/>
              </w:rPr>
              <w:t>technological and financial constraints, market dynamics and competition, and organizational structures and culture.</w:t>
            </w:r>
          </w:p>
        </w:tc>
        <w:tc>
          <w:tcPr>
            <w:tcW w:w="4036"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vAlign w:val="center"/>
          </w:tcPr>
          <w:p w14:paraId="000000EA" w14:textId="77777777" w:rsidR="00EE6CE9" w:rsidRDefault="00364A95">
            <w:pPr>
              <w:spacing w:before="120" w:after="120" w:line="240" w:lineRule="auto"/>
              <w:rPr>
                <w:rFonts w:ascii="Times New Roman" w:eastAsia="Times New Roman" w:hAnsi="Times New Roman" w:cs="Times New Roman"/>
                <w:sz w:val="24"/>
                <w:szCs w:val="24"/>
              </w:rPr>
            </w:pPr>
            <w:r>
              <w:rPr>
                <w:rFonts w:ascii="Times New Roman" w:eastAsia="Times New Roman" w:hAnsi="Times New Roman" w:cs="Times New Roman"/>
                <w:i/>
                <w:color w:val="000000"/>
                <w:sz w:val="24"/>
                <w:szCs w:val="24"/>
              </w:rPr>
              <w:t>Outside the control of the organization</w:t>
            </w:r>
            <w:r>
              <w:rPr>
                <w:rFonts w:ascii="Times New Roman" w:eastAsia="Times New Roman" w:hAnsi="Times New Roman" w:cs="Times New Roman"/>
                <w:color w:val="000000"/>
                <w:sz w:val="24"/>
                <w:szCs w:val="24"/>
              </w:rPr>
              <w:t>; absolute physical and ecological boundaries, societal and cultural barriers, and global governance constraints.</w:t>
            </w:r>
          </w:p>
        </w:tc>
      </w:tr>
      <w:tr w:rsidR="00EE6CE9" w14:paraId="65ABC0D5" w14:textId="77777777">
        <w:trPr>
          <w:trHeight w:val="2490"/>
        </w:trPr>
        <w:tc>
          <w:tcPr>
            <w:tcW w:w="1420"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tcPr>
          <w:p w14:paraId="000000EB" w14:textId="77777777" w:rsidR="00EE6CE9" w:rsidRDefault="00364A95">
            <w:pPr>
              <w:spacing w:before="240" w:after="240" w:line="240" w:lineRule="auto"/>
              <w:rPr>
                <w:rFonts w:ascii="Times New Roman" w:eastAsia="Times New Roman" w:hAnsi="Times New Roman" w:cs="Times New Roman"/>
                <w:sz w:val="24"/>
                <w:szCs w:val="24"/>
              </w:rPr>
            </w:pPr>
            <w:r>
              <w:rPr>
                <w:rFonts w:ascii="Times New Roman" w:eastAsia="Times New Roman" w:hAnsi="Times New Roman" w:cs="Times New Roman"/>
                <w:b/>
                <w:color w:val="000000"/>
                <w:sz w:val="24"/>
                <w:szCs w:val="24"/>
              </w:rPr>
              <w:t>Key Risks</w:t>
            </w:r>
          </w:p>
        </w:tc>
        <w:tc>
          <w:tcPr>
            <w:tcW w:w="3560"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vAlign w:val="center"/>
          </w:tcPr>
          <w:p w14:paraId="000000EC" w14:textId="77777777" w:rsidR="00EE6CE9" w:rsidRDefault="00364A95">
            <w:pPr>
              <w:spacing w:before="120" w:after="120" w:line="240" w:lineRule="auto"/>
              <w:rPr>
                <w:rFonts w:ascii="Times New Roman" w:eastAsia="Times New Roman" w:hAnsi="Times New Roman" w:cs="Times New Roman"/>
                <w:sz w:val="24"/>
                <w:szCs w:val="24"/>
              </w:rPr>
            </w:pPr>
            <w:r>
              <w:rPr>
                <w:rFonts w:ascii="Times New Roman" w:eastAsia="Times New Roman" w:hAnsi="Times New Roman" w:cs="Times New Roman"/>
                <w:i/>
                <w:color w:val="000000"/>
                <w:sz w:val="24"/>
                <w:szCs w:val="24"/>
              </w:rPr>
              <w:t>Reduced competitiveness</w:t>
            </w:r>
            <w:r>
              <w:rPr>
                <w:rFonts w:ascii="Times New Roman" w:eastAsia="Times New Roman" w:hAnsi="Times New Roman" w:cs="Times New Roman"/>
                <w:color w:val="000000"/>
                <w:sz w:val="24"/>
                <w:szCs w:val="24"/>
              </w:rPr>
              <w:t>, financial losses, or reputational damage due to misjudgments relating to market trends, technological developments, or stakeholder expectations.</w:t>
            </w:r>
          </w:p>
        </w:tc>
        <w:tc>
          <w:tcPr>
            <w:tcW w:w="4036" w:type="dxa"/>
            <w:tcBorders>
              <w:top w:val="single" w:sz="4" w:space="0" w:color="000000"/>
              <w:left w:val="single" w:sz="4" w:space="0" w:color="000000"/>
              <w:bottom w:val="single" w:sz="4" w:space="0" w:color="000000"/>
              <w:right w:val="single" w:sz="4" w:space="0" w:color="000000"/>
            </w:tcBorders>
            <w:tcMar>
              <w:top w:w="0" w:type="dxa"/>
              <w:left w:w="100" w:type="dxa"/>
              <w:bottom w:w="0" w:type="dxa"/>
              <w:right w:w="100" w:type="dxa"/>
            </w:tcMar>
            <w:vAlign w:val="center"/>
          </w:tcPr>
          <w:p w14:paraId="000000ED" w14:textId="77777777" w:rsidR="00EE6CE9" w:rsidRDefault="00364A95">
            <w:pPr>
              <w:spacing w:before="120" w:after="120" w:line="240" w:lineRule="auto"/>
              <w:rPr>
                <w:rFonts w:ascii="Times New Roman" w:eastAsia="Times New Roman" w:hAnsi="Times New Roman" w:cs="Times New Roman"/>
                <w:sz w:val="24"/>
                <w:szCs w:val="24"/>
              </w:rPr>
            </w:pPr>
            <w:r>
              <w:rPr>
                <w:rFonts w:ascii="Times New Roman" w:eastAsia="Times New Roman" w:hAnsi="Times New Roman" w:cs="Times New Roman"/>
                <w:i/>
                <w:color w:val="000000"/>
                <w:sz w:val="24"/>
                <w:szCs w:val="24"/>
              </w:rPr>
              <w:t>Exacerbate vulnerability to climate change</w:t>
            </w:r>
            <w:r>
              <w:rPr>
                <w:rFonts w:ascii="Times New Roman" w:eastAsia="Times New Roman" w:hAnsi="Times New Roman" w:cs="Times New Roman"/>
                <w:color w:val="000000"/>
                <w:sz w:val="24"/>
                <w:szCs w:val="24"/>
              </w:rPr>
              <w:t>, for example by focusing on short-term resilience without considering long-term climate trends or contributing to greenhouse gas emissions or ecological degradation to adapt, thus worsening the underlying problem of climate change.</w:t>
            </w:r>
          </w:p>
        </w:tc>
      </w:tr>
    </w:tbl>
    <w:p w14:paraId="000000EE" w14:textId="77777777" w:rsidR="00EE6CE9" w:rsidRDefault="00EE6CE9">
      <w:pPr>
        <w:pBdr>
          <w:top w:val="nil"/>
          <w:left w:val="nil"/>
          <w:bottom w:val="nil"/>
          <w:right w:val="nil"/>
          <w:between w:val="nil"/>
        </w:pBdr>
        <w:spacing w:after="0" w:line="480" w:lineRule="auto"/>
        <w:rPr>
          <w:rFonts w:ascii="Times New Roman" w:eastAsia="Times New Roman" w:hAnsi="Times New Roman" w:cs="Times New Roman"/>
          <w:color w:val="000000"/>
          <w:sz w:val="24"/>
          <w:szCs w:val="24"/>
        </w:rPr>
      </w:pPr>
    </w:p>
    <w:p w14:paraId="000000EF" w14:textId="77777777" w:rsidR="00EE6CE9" w:rsidRDefault="00EE6CE9">
      <w:pPr>
        <w:pBdr>
          <w:top w:val="nil"/>
          <w:left w:val="nil"/>
          <w:bottom w:val="nil"/>
          <w:right w:val="nil"/>
          <w:between w:val="nil"/>
        </w:pBdr>
        <w:spacing w:after="0" w:line="480" w:lineRule="auto"/>
        <w:rPr>
          <w:rFonts w:ascii="Times New Roman" w:eastAsia="Times New Roman" w:hAnsi="Times New Roman" w:cs="Times New Roman"/>
          <w:color w:val="000000"/>
          <w:sz w:val="24"/>
          <w:szCs w:val="24"/>
        </w:rPr>
      </w:pPr>
    </w:p>
    <w:p w14:paraId="000000F0" w14:textId="77777777" w:rsidR="00EE6CE9" w:rsidRDefault="00364A95">
      <w:pPr>
        <w:rPr>
          <w:rFonts w:ascii="Times New Roman" w:eastAsia="Times New Roman" w:hAnsi="Times New Roman" w:cs="Times New Roman"/>
          <w:sz w:val="24"/>
          <w:szCs w:val="24"/>
        </w:rPr>
      </w:pPr>
      <w:r>
        <w:br w:type="page"/>
      </w:r>
    </w:p>
    <w:p w14:paraId="000000F1" w14:textId="5D24B9AB" w:rsidR="00EE6CE9" w:rsidRDefault="00364A95">
      <w:pPr>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b/>
          <w:color w:val="000000"/>
          <w:sz w:val="24"/>
          <w:szCs w:val="24"/>
        </w:rPr>
        <w:lastRenderedPageBreak/>
        <w:t xml:space="preserve">Table </w:t>
      </w:r>
      <w:r w:rsidR="00B42C58">
        <w:rPr>
          <w:rFonts w:ascii="Times New Roman" w:eastAsia="Times New Roman" w:hAnsi="Times New Roman" w:cs="Times New Roman"/>
          <w:b/>
          <w:color w:val="000000"/>
          <w:sz w:val="24"/>
          <w:szCs w:val="24"/>
        </w:rPr>
        <w:t>II</w:t>
      </w:r>
      <w:r>
        <w:rPr>
          <w:rFonts w:ascii="Times New Roman" w:eastAsia="Times New Roman" w:hAnsi="Times New Roman" w:cs="Times New Roman"/>
          <w:color w:val="000000"/>
          <w:sz w:val="24"/>
          <w:szCs w:val="24"/>
        </w:rPr>
        <w:t>. Guiding questions for studying climate change adaptation.</w:t>
      </w:r>
    </w:p>
    <w:p w14:paraId="000000F2" w14:textId="77777777" w:rsidR="00EE6CE9" w:rsidRDefault="00EE6CE9">
      <w:pPr>
        <w:spacing w:after="0" w:line="240" w:lineRule="auto"/>
        <w:jc w:val="center"/>
        <w:rPr>
          <w:rFonts w:ascii="Times New Roman" w:eastAsia="Times New Roman" w:hAnsi="Times New Roman" w:cs="Times New Roman"/>
          <w:color w:val="000000"/>
          <w:sz w:val="24"/>
          <w:szCs w:val="24"/>
        </w:rPr>
      </w:pPr>
    </w:p>
    <w:tbl>
      <w:tblPr>
        <w:tblStyle w:val="a0"/>
        <w:tblW w:w="906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980"/>
        <w:gridCol w:w="7087"/>
      </w:tblGrid>
      <w:tr w:rsidR="00EE6CE9" w14:paraId="09119F73" w14:textId="77777777">
        <w:tc>
          <w:tcPr>
            <w:tcW w:w="1980" w:type="dxa"/>
          </w:tcPr>
          <w:p w14:paraId="000000F3" w14:textId="77777777" w:rsidR="00EE6CE9" w:rsidRDefault="00364A95">
            <w:pPr>
              <w:pBdr>
                <w:top w:val="nil"/>
                <w:left w:val="nil"/>
                <w:bottom w:val="nil"/>
                <w:right w:val="nil"/>
                <w:between w:val="nil"/>
              </w:pBd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Research agenda theme</w:t>
            </w:r>
          </w:p>
        </w:tc>
        <w:tc>
          <w:tcPr>
            <w:tcW w:w="7087" w:type="dxa"/>
          </w:tcPr>
          <w:p w14:paraId="000000F4" w14:textId="77777777" w:rsidR="00EE6CE9" w:rsidRDefault="00364A95">
            <w:pPr>
              <w:pBdr>
                <w:top w:val="nil"/>
                <w:left w:val="nil"/>
                <w:bottom w:val="nil"/>
                <w:right w:val="nil"/>
                <w:between w:val="nil"/>
              </w:pBd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Guiding research questions</w:t>
            </w:r>
          </w:p>
        </w:tc>
      </w:tr>
      <w:tr w:rsidR="00EE6CE9" w14:paraId="041EB0C2" w14:textId="77777777">
        <w:tc>
          <w:tcPr>
            <w:tcW w:w="1980" w:type="dxa"/>
          </w:tcPr>
          <w:p w14:paraId="000000F5" w14:textId="77777777" w:rsidR="00EE6CE9" w:rsidRDefault="00364A95">
            <w:pPr>
              <w:pBdr>
                <w:top w:val="nil"/>
                <w:left w:val="nil"/>
                <w:bottom w:val="nil"/>
                <w:right w:val="nil"/>
                <w:between w:val="nil"/>
              </w:pBdr>
              <w:rPr>
                <w:rFonts w:ascii="Times New Roman" w:eastAsia="Times New Roman" w:hAnsi="Times New Roman" w:cs="Times New Roman"/>
                <w:i/>
                <w:color w:val="000000"/>
                <w:sz w:val="24"/>
                <w:szCs w:val="24"/>
              </w:rPr>
            </w:pPr>
            <w:r>
              <w:rPr>
                <w:rFonts w:ascii="Times New Roman" w:eastAsia="Times New Roman" w:hAnsi="Times New Roman" w:cs="Times New Roman"/>
                <w:i/>
                <w:color w:val="000000"/>
                <w:sz w:val="24"/>
                <w:szCs w:val="24"/>
              </w:rPr>
              <w:t>How do climate change adaptation and mitigation interact? A view from a systems perspective</w:t>
            </w:r>
          </w:p>
          <w:p w14:paraId="000000F6" w14:textId="77777777" w:rsidR="00EE6CE9" w:rsidRDefault="00EE6CE9">
            <w:pPr>
              <w:pBdr>
                <w:top w:val="nil"/>
                <w:left w:val="nil"/>
                <w:bottom w:val="nil"/>
                <w:right w:val="nil"/>
                <w:between w:val="nil"/>
              </w:pBdr>
              <w:rPr>
                <w:rFonts w:ascii="Times New Roman" w:eastAsia="Times New Roman" w:hAnsi="Times New Roman" w:cs="Times New Roman"/>
                <w:i/>
                <w:color w:val="000000"/>
                <w:sz w:val="24"/>
                <w:szCs w:val="24"/>
              </w:rPr>
            </w:pPr>
          </w:p>
        </w:tc>
        <w:tc>
          <w:tcPr>
            <w:tcW w:w="7087" w:type="dxa"/>
          </w:tcPr>
          <w:p w14:paraId="000000F7" w14:textId="77777777" w:rsidR="00EE6CE9" w:rsidRDefault="00364A95">
            <w:pPr>
              <w:numPr>
                <w:ilvl w:val="0"/>
                <w:numId w:val="1"/>
              </w:num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What is the nature and scope of mitigation-adaptation relationship?</w:t>
            </w:r>
          </w:p>
          <w:p w14:paraId="000000F8" w14:textId="77777777" w:rsidR="00EE6CE9" w:rsidRDefault="00364A95">
            <w:pPr>
              <w:numPr>
                <w:ilvl w:val="0"/>
                <w:numId w:val="1"/>
              </w:num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What are the determinants and consequences of generative adaptation-mitigation relationship?</w:t>
            </w:r>
          </w:p>
          <w:p w14:paraId="000000F9" w14:textId="77777777" w:rsidR="00EE6CE9" w:rsidRDefault="00364A95">
            <w:pPr>
              <w:numPr>
                <w:ilvl w:val="0"/>
                <w:numId w:val="1"/>
              </w:num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How can organizations effectively combine adaptation and mitigation such that positive effects are reinforced and negative ones, including trade-offs, are avoided?</w:t>
            </w:r>
          </w:p>
          <w:p w14:paraId="000000FA" w14:textId="77777777" w:rsidR="00EE6CE9" w:rsidRDefault="00364A95">
            <w:pPr>
              <w:numPr>
                <w:ilvl w:val="0"/>
                <w:numId w:val="1"/>
              </w:num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How can organizations recognize and overcome maladaptation?</w:t>
            </w:r>
          </w:p>
          <w:p w14:paraId="000000FB" w14:textId="77777777" w:rsidR="00EE6CE9" w:rsidRDefault="00364A95">
            <w:pPr>
              <w:numPr>
                <w:ilvl w:val="0"/>
                <w:numId w:val="1"/>
              </w:num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How can a systems perspective inform the cross-scale nature of adaptation-mitigation relationship?</w:t>
            </w:r>
          </w:p>
        </w:tc>
      </w:tr>
      <w:tr w:rsidR="00EE6CE9" w14:paraId="286FBBE0" w14:textId="77777777">
        <w:tc>
          <w:tcPr>
            <w:tcW w:w="1980" w:type="dxa"/>
          </w:tcPr>
          <w:p w14:paraId="000000FC" w14:textId="77777777" w:rsidR="00EE6CE9" w:rsidRDefault="00364A95">
            <w:pPr>
              <w:pBdr>
                <w:top w:val="nil"/>
                <w:left w:val="nil"/>
                <w:bottom w:val="nil"/>
                <w:right w:val="nil"/>
                <w:between w:val="nil"/>
              </w:pBdr>
              <w:rPr>
                <w:rFonts w:ascii="Times New Roman" w:eastAsia="Times New Roman" w:hAnsi="Times New Roman" w:cs="Times New Roman"/>
                <w:i/>
                <w:color w:val="000000"/>
                <w:sz w:val="24"/>
                <w:szCs w:val="24"/>
              </w:rPr>
            </w:pPr>
            <w:r>
              <w:rPr>
                <w:rFonts w:ascii="Times New Roman" w:eastAsia="Times New Roman" w:hAnsi="Times New Roman" w:cs="Times New Roman"/>
                <w:i/>
                <w:color w:val="000000"/>
                <w:sz w:val="24"/>
                <w:szCs w:val="24"/>
              </w:rPr>
              <w:t>How to adapt proactively: Exploring the role of time and space in climate change adaptation</w:t>
            </w:r>
          </w:p>
          <w:p w14:paraId="000000FD" w14:textId="77777777" w:rsidR="00EE6CE9" w:rsidRDefault="00EE6CE9">
            <w:pPr>
              <w:pBdr>
                <w:top w:val="nil"/>
                <w:left w:val="nil"/>
                <w:bottom w:val="nil"/>
                <w:right w:val="nil"/>
                <w:between w:val="nil"/>
              </w:pBdr>
              <w:rPr>
                <w:rFonts w:ascii="Times New Roman" w:eastAsia="Times New Roman" w:hAnsi="Times New Roman" w:cs="Times New Roman"/>
                <w:i/>
                <w:color w:val="000000"/>
                <w:sz w:val="24"/>
                <w:szCs w:val="24"/>
              </w:rPr>
            </w:pPr>
          </w:p>
        </w:tc>
        <w:tc>
          <w:tcPr>
            <w:tcW w:w="7087" w:type="dxa"/>
          </w:tcPr>
          <w:p w14:paraId="000000FE" w14:textId="77777777" w:rsidR="00EE6CE9" w:rsidRDefault="00364A95">
            <w:pPr>
              <w:numPr>
                <w:ilvl w:val="0"/>
                <w:numId w:val="1"/>
              </w:num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How do organizational actors recognize and deal with the temporal and spatial properties of climate change adaptation?</w:t>
            </w:r>
          </w:p>
          <w:p w14:paraId="000000FF" w14:textId="77777777" w:rsidR="00EE6CE9" w:rsidRDefault="00364A95">
            <w:pPr>
              <w:numPr>
                <w:ilvl w:val="0"/>
                <w:numId w:val="1"/>
              </w:num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How do the properties of climate change adaptation change over time and space?</w:t>
            </w:r>
          </w:p>
          <w:p w14:paraId="00000100" w14:textId="77777777" w:rsidR="00EE6CE9" w:rsidRDefault="00364A95">
            <w:pPr>
              <w:numPr>
                <w:ilvl w:val="0"/>
                <w:numId w:val="1"/>
              </w:num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How do proactive and reactive climate change adaptation relate to each other?</w:t>
            </w:r>
          </w:p>
          <w:p w14:paraId="00000101" w14:textId="77777777" w:rsidR="00EE6CE9" w:rsidRDefault="00364A95">
            <w:pPr>
              <w:numPr>
                <w:ilvl w:val="0"/>
                <w:numId w:val="1"/>
              </w:num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How can proactive adaptation inform our current understanding of time in sustainability?</w:t>
            </w:r>
          </w:p>
          <w:p w14:paraId="00000102" w14:textId="77777777" w:rsidR="00EE6CE9" w:rsidRDefault="00364A95">
            <w:pPr>
              <w:numPr>
                <w:ilvl w:val="0"/>
                <w:numId w:val="1"/>
              </w:numPr>
              <w:pBdr>
                <w:top w:val="nil"/>
                <w:left w:val="nil"/>
                <w:bottom w:val="nil"/>
                <w:right w:val="nil"/>
                <w:between w:val="nil"/>
              </w:pBd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What role does AI and other advanced data management systems play in helping organizations adapt proactively to climate change? </w:t>
            </w:r>
          </w:p>
        </w:tc>
      </w:tr>
      <w:tr w:rsidR="00EE6CE9" w14:paraId="61873918" w14:textId="77777777">
        <w:tc>
          <w:tcPr>
            <w:tcW w:w="1980" w:type="dxa"/>
          </w:tcPr>
          <w:p w14:paraId="00000103" w14:textId="77777777" w:rsidR="00EE6CE9" w:rsidRDefault="00364A95">
            <w:pPr>
              <w:pBdr>
                <w:top w:val="nil"/>
                <w:left w:val="nil"/>
                <w:bottom w:val="nil"/>
                <w:right w:val="nil"/>
                <w:between w:val="nil"/>
              </w:pBdr>
              <w:rPr>
                <w:rFonts w:ascii="Times New Roman" w:eastAsia="Times New Roman" w:hAnsi="Times New Roman" w:cs="Times New Roman"/>
                <w:i/>
                <w:color w:val="000000"/>
                <w:sz w:val="24"/>
                <w:szCs w:val="24"/>
              </w:rPr>
            </w:pPr>
            <w:r>
              <w:rPr>
                <w:rFonts w:ascii="Times New Roman" w:eastAsia="Times New Roman" w:hAnsi="Times New Roman" w:cs="Times New Roman"/>
                <w:i/>
                <w:color w:val="000000"/>
                <w:sz w:val="24"/>
                <w:szCs w:val="24"/>
              </w:rPr>
              <w:t>How climate change adaptation can be both risk and opportunity</w:t>
            </w:r>
          </w:p>
          <w:p w14:paraId="00000104" w14:textId="77777777" w:rsidR="00EE6CE9" w:rsidRDefault="00EE6CE9">
            <w:pPr>
              <w:pBdr>
                <w:top w:val="nil"/>
                <w:left w:val="nil"/>
                <w:bottom w:val="nil"/>
                <w:right w:val="nil"/>
                <w:between w:val="nil"/>
              </w:pBdr>
              <w:rPr>
                <w:rFonts w:ascii="Times New Roman" w:eastAsia="Times New Roman" w:hAnsi="Times New Roman" w:cs="Times New Roman"/>
                <w:i/>
                <w:color w:val="000000"/>
                <w:sz w:val="24"/>
                <w:szCs w:val="24"/>
              </w:rPr>
            </w:pPr>
          </w:p>
        </w:tc>
        <w:tc>
          <w:tcPr>
            <w:tcW w:w="7087" w:type="dxa"/>
          </w:tcPr>
          <w:p w14:paraId="00000105" w14:textId="77777777" w:rsidR="00EE6CE9" w:rsidRDefault="00364A95">
            <w:pPr>
              <w:numPr>
                <w:ilvl w:val="0"/>
                <w:numId w:val="1"/>
              </w:num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How do actors recognize and deal with the double-edged sword of climate change adaptation-related risks and opportunities?</w:t>
            </w:r>
          </w:p>
          <w:p w14:paraId="00000106" w14:textId="77777777" w:rsidR="00EE6CE9" w:rsidRDefault="00364A95">
            <w:pPr>
              <w:numPr>
                <w:ilvl w:val="0"/>
                <w:numId w:val="1"/>
              </w:num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How might climate change adaptation-related risks turn into opportunities and vice-versa?</w:t>
            </w:r>
          </w:p>
          <w:p w14:paraId="00000107" w14:textId="77777777" w:rsidR="00EE6CE9" w:rsidRDefault="00364A95">
            <w:pPr>
              <w:numPr>
                <w:ilvl w:val="0"/>
                <w:numId w:val="1"/>
              </w:num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How can business models be designed to align with the formulation of climate change adaptation measures?</w:t>
            </w:r>
          </w:p>
          <w:p w14:paraId="00000108" w14:textId="77777777" w:rsidR="00EE6CE9" w:rsidRDefault="00364A95">
            <w:pPr>
              <w:numPr>
                <w:ilvl w:val="0"/>
                <w:numId w:val="1"/>
              </w:num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How can the involvement of multiple stakeholders in climate change adaptation create synergies that feed into the business’ value creation activities?</w:t>
            </w:r>
          </w:p>
        </w:tc>
      </w:tr>
    </w:tbl>
    <w:p w14:paraId="00000109" w14:textId="77777777" w:rsidR="00EE6CE9" w:rsidRDefault="00EE6CE9">
      <w:pPr>
        <w:pBdr>
          <w:top w:val="nil"/>
          <w:left w:val="nil"/>
          <w:bottom w:val="nil"/>
          <w:right w:val="nil"/>
          <w:between w:val="nil"/>
        </w:pBdr>
        <w:spacing w:after="0" w:line="480" w:lineRule="auto"/>
        <w:jc w:val="center"/>
        <w:rPr>
          <w:rFonts w:ascii="Times New Roman" w:eastAsia="Times New Roman" w:hAnsi="Times New Roman" w:cs="Times New Roman"/>
          <w:color w:val="000000"/>
          <w:sz w:val="20"/>
          <w:szCs w:val="20"/>
        </w:rPr>
      </w:pPr>
    </w:p>
    <w:p w14:paraId="0000010A" w14:textId="77777777" w:rsidR="00EE6CE9" w:rsidRDefault="00EE6CE9">
      <w:pPr>
        <w:pBdr>
          <w:top w:val="nil"/>
          <w:left w:val="nil"/>
          <w:bottom w:val="nil"/>
          <w:right w:val="nil"/>
          <w:between w:val="nil"/>
        </w:pBdr>
        <w:spacing w:after="0" w:line="480" w:lineRule="auto"/>
        <w:rPr>
          <w:rFonts w:ascii="Times New Roman" w:eastAsia="Times New Roman" w:hAnsi="Times New Roman" w:cs="Times New Roman"/>
          <w:color w:val="000000"/>
          <w:sz w:val="24"/>
          <w:szCs w:val="24"/>
        </w:rPr>
      </w:pPr>
    </w:p>
    <w:sectPr w:rsidR="00EE6CE9">
      <w:headerReference w:type="default" r:id="rId20"/>
      <w:footerReference w:type="default" r:id="rId21"/>
      <w:pgSz w:w="11906" w:h="16838"/>
      <w:pgMar w:top="1440" w:right="1440" w:bottom="1440" w:left="144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B23FC42" w14:textId="77777777" w:rsidR="00404F52" w:rsidRDefault="00404F52">
      <w:pPr>
        <w:spacing w:after="0" w:line="240" w:lineRule="auto"/>
      </w:pPr>
      <w:r>
        <w:separator/>
      </w:r>
    </w:p>
  </w:endnote>
  <w:endnote w:type="continuationSeparator" w:id="0">
    <w:p w14:paraId="31FE3FD2" w14:textId="77777777" w:rsidR="00404F52" w:rsidRDefault="00404F5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Noto Sans Symbols">
    <w:panose1 w:val="020B0604020202020204"/>
    <w:charset w:val="00"/>
    <w:family w:val="auto"/>
    <w:pitch w:val="default"/>
  </w:font>
  <w:font w:name="Courier New">
    <w:panose1 w:val="02070309020205020404"/>
    <w:charset w:val="00"/>
    <w:family w:val="modern"/>
    <w:pitch w:val="fixed"/>
    <w:sig w:usb0="E0002EFF" w:usb1="C0007843" w:usb2="00000009" w:usb3="00000000" w:csb0="000001FF" w:csb1="00000000"/>
    <w:embedRegular r:id="rId2" w:fontKey="{74D86AAE-5DC0-914E-A0FF-B54201530FA5}"/>
  </w:font>
  <w:font w:name="Aptos">
    <w:panose1 w:val="020B0004020202020204"/>
    <w:charset w:val="00"/>
    <w:family w:val="swiss"/>
    <w:pitch w:val="variable"/>
    <w:sig w:usb0="20000287" w:usb1="00000003" w:usb2="00000000" w:usb3="00000000" w:csb0="0000019F" w:csb1="00000000"/>
    <w:embedRegular r:id="rId3" w:fontKey="{2F90B442-D772-7048-AB98-FB9EF1B71959}"/>
    <w:embedBold r:id="rId4" w:fontKey="{BD7A5DD6-7C65-E445-82A1-9C601EA160B2}"/>
    <w:embedItalic r:id="rId5" w:fontKey="{B9DBEF13-B86B-8B44-A6E6-79145EEEBCFC}"/>
  </w:font>
  <w:font w:name="Aptos Display">
    <w:panose1 w:val="020B0004020202020204"/>
    <w:charset w:val="00"/>
    <w:family w:val="swiss"/>
    <w:pitch w:val="variable"/>
    <w:sig w:usb0="20000287" w:usb1="00000003" w:usb2="00000000" w:usb3="00000000" w:csb0="0000019F" w:csb1="00000000"/>
    <w:embedRegular r:id="rId6" w:fontKey="{179D9697-2484-974C-BC73-A867CB647712}"/>
  </w:font>
  <w:font w:name="Times New Roman">
    <w:panose1 w:val="02020603050405020304"/>
    <w:charset w:val="00"/>
    <w:family w:val="roman"/>
    <w:pitch w:val="variable"/>
    <w:sig w:usb0="E0002EFF" w:usb1="C000785B" w:usb2="00000009" w:usb3="00000000" w:csb0="000001FF" w:csb1="00000000"/>
    <w:embedRegular r:id="rId7" w:fontKey="{76B010E6-EBBD-E742-8AFC-B978A1B380D8}"/>
    <w:embedBold r:id="rId8" w:fontKey="{8CA2380E-3028-AE43-A1A3-0F6325FE9295}"/>
    <w:embedItalic r:id="rId9" w:fontKey="{F8489CF4-A6F4-544B-9D50-93B919D9C879}"/>
  </w:font>
  <w:font w:name="Arial">
    <w:panose1 w:val="020B0604020202020204"/>
    <w:charset w:val="00"/>
    <w:family w:val="swiss"/>
    <w:pitch w:val="variable"/>
    <w:sig w:usb0="E0002EFF" w:usb1="C000785B" w:usb2="00000009" w:usb3="00000000" w:csb0="000001FF" w:csb1="00000000"/>
    <w:embedRegular r:id="rId10" w:fontKey="{87E894B5-627D-0148-A7EF-6A9A0D426631}"/>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10C" w14:textId="3BF379EF" w:rsidR="00EE6CE9" w:rsidRDefault="00364A95">
    <w:pPr>
      <w:pBdr>
        <w:top w:val="nil"/>
        <w:left w:val="nil"/>
        <w:bottom w:val="nil"/>
        <w:right w:val="nil"/>
        <w:between w:val="nil"/>
      </w:pBdr>
      <w:tabs>
        <w:tab w:val="center" w:pos="4513"/>
        <w:tab w:val="right" w:pos="9026"/>
      </w:tabs>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fldChar w:fldCharType="begin"/>
    </w:r>
    <w:r>
      <w:rPr>
        <w:rFonts w:ascii="Times New Roman" w:eastAsia="Times New Roman" w:hAnsi="Times New Roman" w:cs="Times New Roman"/>
        <w:color w:val="000000"/>
      </w:rPr>
      <w:instrText>PAGE</w:instrText>
    </w:r>
    <w:r>
      <w:rPr>
        <w:rFonts w:ascii="Times New Roman" w:eastAsia="Times New Roman" w:hAnsi="Times New Roman" w:cs="Times New Roman"/>
        <w:color w:val="000000"/>
      </w:rPr>
      <w:fldChar w:fldCharType="separate"/>
    </w:r>
    <w:r w:rsidR="0002289D">
      <w:rPr>
        <w:rFonts w:ascii="Times New Roman" w:eastAsia="Times New Roman" w:hAnsi="Times New Roman" w:cs="Times New Roman"/>
        <w:noProof/>
        <w:color w:val="000000"/>
      </w:rPr>
      <w:t>1</w:t>
    </w:r>
    <w:r>
      <w:rPr>
        <w:rFonts w:ascii="Times New Roman" w:eastAsia="Times New Roman" w:hAnsi="Times New Roman" w:cs="Times New Roman"/>
        <w:color w:val="00000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DDCE5FF" w14:textId="77777777" w:rsidR="00404F52" w:rsidRDefault="00404F52">
      <w:pPr>
        <w:spacing w:after="0" w:line="240" w:lineRule="auto"/>
      </w:pPr>
      <w:r>
        <w:separator/>
      </w:r>
    </w:p>
  </w:footnote>
  <w:footnote w:type="continuationSeparator" w:id="0">
    <w:p w14:paraId="1167AFB2" w14:textId="77777777" w:rsidR="00404F52" w:rsidRDefault="00404F5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5E1B2D" w14:textId="7CF2DCC9" w:rsidR="00622FBE" w:rsidRPr="00622FBE" w:rsidRDefault="00622FBE">
    <w:pPr>
      <w:pStyle w:val="Header"/>
      <w:rPr>
        <w:rFonts w:ascii="Times New Roman" w:hAnsi="Times New Roman" w:cs="Times New Roman"/>
      </w:rPr>
    </w:pPr>
    <w:r>
      <w:rPr>
        <w:rFonts w:ascii="Times New Roman" w:hAnsi="Times New Roman" w:cs="Times New Roman"/>
      </w:rPr>
      <w:t xml:space="preserve">Editorial Journal of Management Studies, </w:t>
    </w:r>
    <w:r w:rsidRPr="00622FBE">
      <w:rPr>
        <w:rFonts w:ascii="Times New Roman" w:hAnsi="Times New Roman" w:cs="Times New Roman"/>
      </w:rPr>
      <w:t>Pre-print, 19.1.2025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CFE385D"/>
    <w:multiLevelType w:val="multilevel"/>
    <w:tmpl w:val="F83CA6B6"/>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num w:numId="1" w16cid:durableId="158264472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removePersonalInformation/>
  <w:removeDateAndTime/>
  <w:embedTrueTypeFonts/>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6CE9"/>
    <w:rsid w:val="00000BB1"/>
    <w:rsid w:val="00002F04"/>
    <w:rsid w:val="000105AE"/>
    <w:rsid w:val="0002289D"/>
    <w:rsid w:val="00036185"/>
    <w:rsid w:val="00042548"/>
    <w:rsid w:val="00052267"/>
    <w:rsid w:val="00053400"/>
    <w:rsid w:val="000661DE"/>
    <w:rsid w:val="0008099A"/>
    <w:rsid w:val="00097138"/>
    <w:rsid w:val="000A598E"/>
    <w:rsid w:val="000B0E2F"/>
    <w:rsid w:val="000C04A0"/>
    <w:rsid w:val="000C129C"/>
    <w:rsid w:val="000C7586"/>
    <w:rsid w:val="000D1517"/>
    <w:rsid w:val="000D4A63"/>
    <w:rsid w:val="000E4C54"/>
    <w:rsid w:val="00103DD3"/>
    <w:rsid w:val="001A34B8"/>
    <w:rsid w:val="001A5521"/>
    <w:rsid w:val="001E3C4C"/>
    <w:rsid w:val="002131C8"/>
    <w:rsid w:val="00233D23"/>
    <w:rsid w:val="00250B3E"/>
    <w:rsid w:val="0029001B"/>
    <w:rsid w:val="00293CB4"/>
    <w:rsid w:val="002B3F62"/>
    <w:rsid w:val="002D7275"/>
    <w:rsid w:val="002D7880"/>
    <w:rsid w:val="00314735"/>
    <w:rsid w:val="00364A95"/>
    <w:rsid w:val="003830F1"/>
    <w:rsid w:val="00392EE5"/>
    <w:rsid w:val="0039470A"/>
    <w:rsid w:val="00395910"/>
    <w:rsid w:val="00396A0E"/>
    <w:rsid w:val="003A5A03"/>
    <w:rsid w:val="003B1BE6"/>
    <w:rsid w:val="00404F52"/>
    <w:rsid w:val="00411DC2"/>
    <w:rsid w:val="00475687"/>
    <w:rsid w:val="00476434"/>
    <w:rsid w:val="0048323A"/>
    <w:rsid w:val="004A5C88"/>
    <w:rsid w:val="004E2088"/>
    <w:rsid w:val="004E55F8"/>
    <w:rsid w:val="00516675"/>
    <w:rsid w:val="00546819"/>
    <w:rsid w:val="00564B96"/>
    <w:rsid w:val="005C77D1"/>
    <w:rsid w:val="00622FBE"/>
    <w:rsid w:val="006265A2"/>
    <w:rsid w:val="00656BC8"/>
    <w:rsid w:val="0066699A"/>
    <w:rsid w:val="006B1F94"/>
    <w:rsid w:val="006C4823"/>
    <w:rsid w:val="00737FE2"/>
    <w:rsid w:val="00765364"/>
    <w:rsid w:val="00766A94"/>
    <w:rsid w:val="007A4D7D"/>
    <w:rsid w:val="007A5BF2"/>
    <w:rsid w:val="007B6AB5"/>
    <w:rsid w:val="007C0BB9"/>
    <w:rsid w:val="008023A8"/>
    <w:rsid w:val="00835C97"/>
    <w:rsid w:val="008B5F2F"/>
    <w:rsid w:val="008C64E2"/>
    <w:rsid w:val="0090305B"/>
    <w:rsid w:val="00905E67"/>
    <w:rsid w:val="00911455"/>
    <w:rsid w:val="009713C9"/>
    <w:rsid w:val="009763FD"/>
    <w:rsid w:val="009B3534"/>
    <w:rsid w:val="009B3749"/>
    <w:rsid w:val="009C5843"/>
    <w:rsid w:val="00A03609"/>
    <w:rsid w:val="00A6120A"/>
    <w:rsid w:val="00A642F9"/>
    <w:rsid w:val="00A70E26"/>
    <w:rsid w:val="00A91DAD"/>
    <w:rsid w:val="00AB179D"/>
    <w:rsid w:val="00AE56A3"/>
    <w:rsid w:val="00B14E26"/>
    <w:rsid w:val="00B42C58"/>
    <w:rsid w:val="00B66E89"/>
    <w:rsid w:val="00B87E63"/>
    <w:rsid w:val="00B92EE8"/>
    <w:rsid w:val="00BA704F"/>
    <w:rsid w:val="00BB029A"/>
    <w:rsid w:val="00BC22E7"/>
    <w:rsid w:val="00BD1046"/>
    <w:rsid w:val="00BE58D4"/>
    <w:rsid w:val="00C1349D"/>
    <w:rsid w:val="00C323B1"/>
    <w:rsid w:val="00C55D5D"/>
    <w:rsid w:val="00CA73CF"/>
    <w:rsid w:val="00CE3197"/>
    <w:rsid w:val="00CF22C3"/>
    <w:rsid w:val="00D02C52"/>
    <w:rsid w:val="00D26C17"/>
    <w:rsid w:val="00D33E59"/>
    <w:rsid w:val="00D36558"/>
    <w:rsid w:val="00D70F91"/>
    <w:rsid w:val="00D81945"/>
    <w:rsid w:val="00D85C37"/>
    <w:rsid w:val="00DF6887"/>
    <w:rsid w:val="00E0197E"/>
    <w:rsid w:val="00E02619"/>
    <w:rsid w:val="00E2335C"/>
    <w:rsid w:val="00E3281F"/>
    <w:rsid w:val="00E349DE"/>
    <w:rsid w:val="00E3655B"/>
    <w:rsid w:val="00E53E98"/>
    <w:rsid w:val="00E80403"/>
    <w:rsid w:val="00E93E97"/>
    <w:rsid w:val="00EE6CE9"/>
    <w:rsid w:val="00F21B74"/>
    <w:rsid w:val="00F35443"/>
    <w:rsid w:val="00F43FF4"/>
    <w:rsid w:val="00F83AB6"/>
    <w:rsid w:val="00FB7171"/>
  </w:rsids>
  <m:mathPr>
    <m:mathFont m:val="Cambria Math"/>
    <m:brkBin m:val="before"/>
    <m:brkBinSub m:val="--"/>
    <m:smallFrac m:val="0"/>
    <m:dispDef/>
    <m:lMargin m:val="0"/>
    <m:rMargin m:val="0"/>
    <m:defJc m:val="centerGroup"/>
    <m:wrapIndent m:val="1440"/>
    <m:intLim m:val="subSup"/>
    <m:naryLim m:val="undOvr"/>
  </m:mathPr>
  <w:themeFontLang w:val="de-DE"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0F14D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ptos" w:eastAsia="Aptos" w:hAnsi="Aptos" w:cs="Aptos"/>
        <w:sz w:val="22"/>
        <w:szCs w:val="22"/>
        <w:lang w:val="en-GB" w:eastAsia="de-DE"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7FE2"/>
  </w:style>
  <w:style w:type="paragraph" w:styleId="Heading1">
    <w:name w:val="heading 1"/>
    <w:basedOn w:val="Normal"/>
    <w:next w:val="Normal"/>
    <w:link w:val="Heading1Char"/>
    <w:uiPriority w:val="9"/>
    <w:qFormat/>
    <w:rsid w:val="009F54B8"/>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9F54B8"/>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9F54B8"/>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9F54B8"/>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9F54B8"/>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9F54B8"/>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9F54B8"/>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9F54B8"/>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9F54B8"/>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Normal1">
    <w:name w:val="Table Normal1"/>
    <w:tblPr>
      <w:tblCellMar>
        <w:top w:w="0" w:type="dxa"/>
        <w:left w:w="0" w:type="dxa"/>
        <w:bottom w:w="0" w:type="dxa"/>
        <w:right w:w="0" w:type="dxa"/>
      </w:tblCellMar>
    </w:tblPr>
  </w:style>
  <w:style w:type="paragraph" w:styleId="Title">
    <w:name w:val="Title"/>
    <w:basedOn w:val="Normal"/>
    <w:next w:val="Normal"/>
    <w:link w:val="TitleChar"/>
    <w:uiPriority w:val="10"/>
    <w:qFormat/>
    <w:rsid w:val="009F54B8"/>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9F54B8"/>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9F54B8"/>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9F54B8"/>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9F54B8"/>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9F54B8"/>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9F54B8"/>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9F54B8"/>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9F54B8"/>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9F54B8"/>
    <w:rPr>
      <w:rFonts w:eastAsiaTheme="majorEastAsia" w:cstheme="majorBidi"/>
      <w:color w:val="272727" w:themeColor="text1" w:themeTint="D8"/>
    </w:rPr>
  </w:style>
  <w:style w:type="character" w:customStyle="1" w:styleId="TitleChar">
    <w:name w:val="Title Char"/>
    <w:basedOn w:val="DefaultParagraphFont"/>
    <w:link w:val="Title"/>
    <w:uiPriority w:val="10"/>
    <w:rsid w:val="009F54B8"/>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Pr>
      <w:color w:val="595959"/>
      <w:sz w:val="28"/>
      <w:szCs w:val="28"/>
    </w:rPr>
  </w:style>
  <w:style w:type="character" w:customStyle="1" w:styleId="SubtitleChar">
    <w:name w:val="Subtitle Char"/>
    <w:basedOn w:val="DefaultParagraphFont"/>
    <w:link w:val="Subtitle"/>
    <w:uiPriority w:val="11"/>
    <w:rsid w:val="009F54B8"/>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9F54B8"/>
    <w:pPr>
      <w:spacing w:before="160"/>
      <w:jc w:val="center"/>
    </w:pPr>
    <w:rPr>
      <w:i/>
      <w:iCs/>
      <w:color w:val="404040" w:themeColor="text1" w:themeTint="BF"/>
    </w:rPr>
  </w:style>
  <w:style w:type="character" w:customStyle="1" w:styleId="QuoteChar">
    <w:name w:val="Quote Char"/>
    <w:basedOn w:val="DefaultParagraphFont"/>
    <w:link w:val="Quote"/>
    <w:uiPriority w:val="29"/>
    <w:rsid w:val="009F54B8"/>
    <w:rPr>
      <w:i/>
      <w:iCs/>
      <w:color w:val="404040" w:themeColor="text1" w:themeTint="BF"/>
    </w:rPr>
  </w:style>
  <w:style w:type="paragraph" w:styleId="ListParagraph">
    <w:name w:val="List Paragraph"/>
    <w:basedOn w:val="Normal"/>
    <w:uiPriority w:val="34"/>
    <w:qFormat/>
    <w:rsid w:val="009F54B8"/>
    <w:pPr>
      <w:ind w:left="720"/>
      <w:contextualSpacing/>
    </w:pPr>
  </w:style>
  <w:style w:type="character" w:styleId="IntenseEmphasis">
    <w:name w:val="Intense Emphasis"/>
    <w:basedOn w:val="DefaultParagraphFont"/>
    <w:uiPriority w:val="21"/>
    <w:qFormat/>
    <w:rsid w:val="009F54B8"/>
    <w:rPr>
      <w:i/>
      <w:iCs/>
      <w:color w:val="0F4761" w:themeColor="accent1" w:themeShade="BF"/>
    </w:rPr>
  </w:style>
  <w:style w:type="paragraph" w:styleId="IntenseQuote">
    <w:name w:val="Intense Quote"/>
    <w:basedOn w:val="Normal"/>
    <w:next w:val="Normal"/>
    <w:link w:val="IntenseQuoteChar"/>
    <w:uiPriority w:val="30"/>
    <w:qFormat/>
    <w:rsid w:val="009F54B8"/>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9F54B8"/>
    <w:rPr>
      <w:i/>
      <w:iCs/>
      <w:color w:val="0F4761" w:themeColor="accent1" w:themeShade="BF"/>
    </w:rPr>
  </w:style>
  <w:style w:type="character" w:styleId="IntenseReference">
    <w:name w:val="Intense Reference"/>
    <w:basedOn w:val="DefaultParagraphFont"/>
    <w:uiPriority w:val="32"/>
    <w:qFormat/>
    <w:rsid w:val="009F54B8"/>
    <w:rPr>
      <w:b/>
      <w:bCs/>
      <w:smallCaps/>
      <w:color w:val="0F4761" w:themeColor="accent1" w:themeShade="BF"/>
      <w:spacing w:val="5"/>
    </w:rPr>
  </w:style>
  <w:style w:type="paragraph" w:styleId="NormalWeb">
    <w:name w:val="Normal (Web)"/>
    <w:basedOn w:val="Normal"/>
    <w:uiPriority w:val="99"/>
    <w:unhideWhenUsed/>
    <w:rsid w:val="009F54B8"/>
    <w:pPr>
      <w:spacing w:before="100" w:beforeAutospacing="1" w:after="100" w:afterAutospacing="1" w:line="240" w:lineRule="auto"/>
    </w:pPr>
    <w:rPr>
      <w:rFonts w:ascii="Times New Roman" w:eastAsia="Times New Roman" w:hAnsi="Times New Roman" w:cs="Times New Roman"/>
      <w:sz w:val="24"/>
      <w:szCs w:val="24"/>
      <w:lang w:eastAsia="nl-NL"/>
    </w:rPr>
  </w:style>
  <w:style w:type="paragraph" w:styleId="Header">
    <w:name w:val="header"/>
    <w:basedOn w:val="Normal"/>
    <w:link w:val="HeaderChar"/>
    <w:uiPriority w:val="99"/>
    <w:unhideWhenUsed/>
    <w:rsid w:val="009F54B8"/>
    <w:pPr>
      <w:tabs>
        <w:tab w:val="center" w:pos="4513"/>
        <w:tab w:val="right" w:pos="9026"/>
      </w:tabs>
      <w:spacing w:after="0" w:line="240" w:lineRule="auto"/>
    </w:pPr>
  </w:style>
  <w:style w:type="character" w:customStyle="1" w:styleId="HeaderChar">
    <w:name w:val="Header Char"/>
    <w:basedOn w:val="DefaultParagraphFont"/>
    <w:link w:val="Header"/>
    <w:uiPriority w:val="99"/>
    <w:rsid w:val="009F54B8"/>
  </w:style>
  <w:style w:type="paragraph" w:styleId="Footer">
    <w:name w:val="footer"/>
    <w:basedOn w:val="Normal"/>
    <w:link w:val="FooterChar"/>
    <w:uiPriority w:val="99"/>
    <w:unhideWhenUsed/>
    <w:rsid w:val="009F54B8"/>
    <w:pPr>
      <w:tabs>
        <w:tab w:val="center" w:pos="4513"/>
        <w:tab w:val="right" w:pos="9026"/>
      </w:tabs>
      <w:spacing w:after="0" w:line="240" w:lineRule="auto"/>
    </w:pPr>
  </w:style>
  <w:style w:type="character" w:customStyle="1" w:styleId="FooterChar">
    <w:name w:val="Footer Char"/>
    <w:basedOn w:val="DefaultParagraphFont"/>
    <w:link w:val="Footer"/>
    <w:uiPriority w:val="99"/>
    <w:rsid w:val="009F54B8"/>
  </w:style>
  <w:style w:type="character" w:styleId="CommentReference">
    <w:name w:val="annotation reference"/>
    <w:basedOn w:val="DefaultParagraphFont"/>
    <w:uiPriority w:val="99"/>
    <w:semiHidden/>
    <w:unhideWhenUsed/>
    <w:rsid w:val="00D2074E"/>
    <w:rPr>
      <w:sz w:val="16"/>
      <w:szCs w:val="16"/>
    </w:rPr>
  </w:style>
  <w:style w:type="paragraph" w:styleId="CommentText">
    <w:name w:val="annotation text"/>
    <w:basedOn w:val="Normal"/>
    <w:link w:val="CommentTextChar"/>
    <w:uiPriority w:val="99"/>
    <w:unhideWhenUsed/>
    <w:rsid w:val="00D2074E"/>
    <w:pPr>
      <w:spacing w:line="240" w:lineRule="auto"/>
    </w:pPr>
    <w:rPr>
      <w:sz w:val="20"/>
      <w:szCs w:val="20"/>
    </w:rPr>
  </w:style>
  <w:style w:type="character" w:customStyle="1" w:styleId="CommentTextChar">
    <w:name w:val="Comment Text Char"/>
    <w:basedOn w:val="DefaultParagraphFont"/>
    <w:link w:val="CommentText"/>
    <w:uiPriority w:val="99"/>
    <w:rsid w:val="00D2074E"/>
    <w:rPr>
      <w:sz w:val="20"/>
      <w:szCs w:val="20"/>
    </w:rPr>
  </w:style>
  <w:style w:type="paragraph" w:styleId="CommentSubject">
    <w:name w:val="annotation subject"/>
    <w:basedOn w:val="CommentText"/>
    <w:next w:val="CommentText"/>
    <w:link w:val="CommentSubjectChar"/>
    <w:uiPriority w:val="99"/>
    <w:semiHidden/>
    <w:unhideWhenUsed/>
    <w:rsid w:val="00D2074E"/>
    <w:rPr>
      <w:b/>
      <w:bCs/>
    </w:rPr>
  </w:style>
  <w:style w:type="character" w:customStyle="1" w:styleId="CommentSubjectChar">
    <w:name w:val="Comment Subject Char"/>
    <w:basedOn w:val="CommentTextChar"/>
    <w:link w:val="CommentSubject"/>
    <w:uiPriority w:val="99"/>
    <w:semiHidden/>
    <w:rsid w:val="00D2074E"/>
    <w:rPr>
      <w:b/>
      <w:bCs/>
      <w:sz w:val="20"/>
      <w:szCs w:val="20"/>
    </w:rPr>
  </w:style>
  <w:style w:type="character" w:styleId="Hyperlink">
    <w:name w:val="Hyperlink"/>
    <w:basedOn w:val="DefaultParagraphFont"/>
    <w:uiPriority w:val="99"/>
    <w:unhideWhenUsed/>
    <w:rsid w:val="00B058AB"/>
    <w:rPr>
      <w:color w:val="0000FF"/>
      <w:u w:val="single"/>
    </w:rPr>
  </w:style>
  <w:style w:type="character" w:styleId="UnresolvedMention">
    <w:name w:val="Unresolved Mention"/>
    <w:basedOn w:val="DefaultParagraphFont"/>
    <w:uiPriority w:val="99"/>
    <w:semiHidden/>
    <w:unhideWhenUsed/>
    <w:rsid w:val="00B058AB"/>
    <w:rPr>
      <w:color w:val="605E5C"/>
      <w:shd w:val="clear" w:color="auto" w:fill="E1DFDD"/>
    </w:rPr>
  </w:style>
  <w:style w:type="paragraph" w:styleId="Revision">
    <w:name w:val="Revision"/>
    <w:hidden/>
    <w:uiPriority w:val="99"/>
    <w:semiHidden/>
    <w:rsid w:val="00885FED"/>
    <w:pPr>
      <w:spacing w:after="0" w:line="240" w:lineRule="auto"/>
    </w:pPr>
  </w:style>
  <w:style w:type="table" w:styleId="TableGrid">
    <w:name w:val="Table Grid"/>
    <w:basedOn w:val="TableNormal"/>
    <w:uiPriority w:val="39"/>
    <w:rsid w:val="006205A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E72DDE"/>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E72DDE"/>
    <w:rPr>
      <w:sz w:val="20"/>
      <w:szCs w:val="20"/>
    </w:rPr>
  </w:style>
  <w:style w:type="character" w:styleId="FootnoteReference">
    <w:name w:val="footnote reference"/>
    <w:basedOn w:val="DefaultParagraphFont"/>
    <w:uiPriority w:val="99"/>
    <w:semiHidden/>
    <w:unhideWhenUsed/>
    <w:rsid w:val="00E72DDE"/>
    <w:rPr>
      <w:vertAlign w:val="superscript"/>
    </w:rPr>
  </w:style>
  <w:style w:type="character" w:styleId="FollowedHyperlink">
    <w:name w:val="FollowedHyperlink"/>
    <w:basedOn w:val="DefaultParagraphFont"/>
    <w:uiPriority w:val="99"/>
    <w:semiHidden/>
    <w:unhideWhenUsed/>
    <w:rsid w:val="00A76E24"/>
    <w:rPr>
      <w:color w:val="96607D" w:themeColor="followedHyperlink"/>
      <w:u w:val="single"/>
    </w:rPr>
  </w:style>
  <w:style w:type="table" w:customStyle="1" w:styleId="a">
    <w:basedOn w:val="TableNormal"/>
    <w:tblPr>
      <w:tblStyleRowBandSize w:val="1"/>
      <w:tblStyleColBandSize w:val="1"/>
      <w:tblCellMar>
        <w:top w:w="15" w:type="dxa"/>
        <w:left w:w="15" w:type="dxa"/>
        <w:bottom w:w="15" w:type="dxa"/>
        <w:right w:w="15" w:type="dxa"/>
      </w:tblCellMar>
    </w:tblPr>
  </w:style>
  <w:style w:type="table" w:customStyle="1" w:styleId="a0">
    <w:basedOn w:val="TableNormal"/>
    <w:pPr>
      <w:spacing w:after="0" w:line="240" w:lineRule="auto"/>
    </w:pPr>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45648035">
      <w:bodyDiv w:val="1"/>
      <w:marLeft w:val="0"/>
      <w:marRight w:val="0"/>
      <w:marTop w:val="0"/>
      <w:marBottom w:val="0"/>
      <w:divBdr>
        <w:top w:val="none" w:sz="0" w:space="0" w:color="auto"/>
        <w:left w:val="none" w:sz="0" w:space="0" w:color="auto"/>
        <w:bottom w:val="none" w:sz="0" w:space="0" w:color="auto"/>
        <w:right w:val="none" w:sz="0" w:space="0" w:color="auto"/>
      </w:divBdr>
      <w:divsChild>
        <w:div w:id="1173688341">
          <w:marLeft w:val="0"/>
          <w:marRight w:val="0"/>
          <w:marTop w:val="0"/>
          <w:marBottom w:val="0"/>
          <w:divBdr>
            <w:top w:val="none" w:sz="0" w:space="0" w:color="auto"/>
            <w:left w:val="none" w:sz="0" w:space="0" w:color="auto"/>
            <w:bottom w:val="none" w:sz="0" w:space="0" w:color="auto"/>
            <w:right w:val="none" w:sz="0" w:space="0" w:color="auto"/>
          </w:divBdr>
        </w:div>
      </w:divsChild>
    </w:div>
    <w:div w:id="572665915">
      <w:bodyDiv w:val="1"/>
      <w:marLeft w:val="0"/>
      <w:marRight w:val="0"/>
      <w:marTop w:val="0"/>
      <w:marBottom w:val="0"/>
      <w:divBdr>
        <w:top w:val="none" w:sz="0" w:space="0" w:color="auto"/>
        <w:left w:val="none" w:sz="0" w:space="0" w:color="auto"/>
        <w:bottom w:val="none" w:sz="0" w:space="0" w:color="auto"/>
        <w:right w:val="none" w:sz="0" w:space="0" w:color="auto"/>
      </w:divBdr>
      <w:divsChild>
        <w:div w:id="409931671">
          <w:marLeft w:val="0"/>
          <w:marRight w:val="0"/>
          <w:marTop w:val="0"/>
          <w:marBottom w:val="0"/>
          <w:divBdr>
            <w:top w:val="none" w:sz="0" w:space="0" w:color="auto"/>
            <w:left w:val="none" w:sz="0" w:space="0" w:color="auto"/>
            <w:bottom w:val="none" w:sz="0" w:space="0" w:color="auto"/>
            <w:right w:val="none" w:sz="0" w:space="0" w:color="auto"/>
          </w:divBdr>
        </w:div>
      </w:divsChild>
    </w:div>
    <w:div w:id="613681191">
      <w:bodyDiv w:val="1"/>
      <w:marLeft w:val="0"/>
      <w:marRight w:val="0"/>
      <w:marTop w:val="0"/>
      <w:marBottom w:val="0"/>
      <w:divBdr>
        <w:top w:val="none" w:sz="0" w:space="0" w:color="auto"/>
        <w:left w:val="none" w:sz="0" w:space="0" w:color="auto"/>
        <w:bottom w:val="none" w:sz="0" w:space="0" w:color="auto"/>
        <w:right w:val="none" w:sz="0" w:space="0" w:color="auto"/>
      </w:divBdr>
      <w:divsChild>
        <w:div w:id="20709497">
          <w:marLeft w:val="0"/>
          <w:marRight w:val="0"/>
          <w:marTop w:val="0"/>
          <w:marBottom w:val="0"/>
          <w:divBdr>
            <w:top w:val="none" w:sz="0" w:space="0" w:color="auto"/>
            <w:left w:val="none" w:sz="0" w:space="0" w:color="auto"/>
            <w:bottom w:val="none" w:sz="0" w:space="0" w:color="auto"/>
            <w:right w:val="none" w:sz="0" w:space="0" w:color="auto"/>
          </w:divBdr>
          <w:divsChild>
            <w:div w:id="1607275128">
              <w:marLeft w:val="0"/>
              <w:marRight w:val="0"/>
              <w:marTop w:val="0"/>
              <w:marBottom w:val="0"/>
              <w:divBdr>
                <w:top w:val="none" w:sz="0" w:space="0" w:color="auto"/>
                <w:left w:val="none" w:sz="0" w:space="0" w:color="auto"/>
                <w:bottom w:val="none" w:sz="0" w:space="0" w:color="auto"/>
                <w:right w:val="none" w:sz="0" w:space="0" w:color="auto"/>
              </w:divBdr>
              <w:divsChild>
                <w:div w:id="2001421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9147539">
      <w:bodyDiv w:val="1"/>
      <w:marLeft w:val="0"/>
      <w:marRight w:val="0"/>
      <w:marTop w:val="0"/>
      <w:marBottom w:val="0"/>
      <w:divBdr>
        <w:top w:val="none" w:sz="0" w:space="0" w:color="auto"/>
        <w:left w:val="none" w:sz="0" w:space="0" w:color="auto"/>
        <w:bottom w:val="none" w:sz="0" w:space="0" w:color="auto"/>
        <w:right w:val="none" w:sz="0" w:space="0" w:color="auto"/>
      </w:divBdr>
      <w:divsChild>
        <w:div w:id="1611935960">
          <w:marLeft w:val="0"/>
          <w:marRight w:val="0"/>
          <w:marTop w:val="0"/>
          <w:marBottom w:val="0"/>
          <w:divBdr>
            <w:top w:val="none" w:sz="0" w:space="0" w:color="auto"/>
            <w:left w:val="none" w:sz="0" w:space="0" w:color="auto"/>
            <w:bottom w:val="none" w:sz="0" w:space="0" w:color="auto"/>
            <w:right w:val="none" w:sz="0" w:space="0" w:color="auto"/>
          </w:divBdr>
          <w:divsChild>
            <w:div w:id="426579261">
              <w:marLeft w:val="0"/>
              <w:marRight w:val="0"/>
              <w:marTop w:val="0"/>
              <w:marBottom w:val="0"/>
              <w:divBdr>
                <w:top w:val="none" w:sz="0" w:space="0" w:color="auto"/>
                <w:left w:val="none" w:sz="0" w:space="0" w:color="auto"/>
                <w:bottom w:val="none" w:sz="0" w:space="0" w:color="auto"/>
                <w:right w:val="none" w:sz="0" w:space="0" w:color="auto"/>
              </w:divBdr>
              <w:divsChild>
                <w:div w:id="1740202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www.osti.gov/etdeweb/servlets/purl/1010716" TargetMode="External"/><Relationship Id="rId18" Type="http://schemas.openxmlformats.org/officeDocument/2006/relationships/hyperlink" Target="https://doi.org/10.1111/joms.13114" TargetMode="External"/><Relationship Id="rId3" Type="http://schemas.openxmlformats.org/officeDocument/2006/relationships/numbering" Target="numbering.xml"/><Relationship Id="rId21" Type="http://schemas.openxmlformats.org/officeDocument/2006/relationships/footer" Target="footer1.xml"/><Relationship Id="rId7" Type="http://schemas.openxmlformats.org/officeDocument/2006/relationships/footnotes" Target="footnotes.xml"/><Relationship Id="rId12" Type="http://schemas.openxmlformats.org/officeDocument/2006/relationships/hyperlink" Target="https://www.nytimes.com/2024/07/10/climate/fema-flooding-construction-rules.html" TargetMode="External"/><Relationship Id="rId17" Type="http://schemas.openxmlformats.org/officeDocument/2006/relationships/hyperlink" Target="https://www.nytimes.com/2024/07/28/opinion/food-climate-crisis-prices.html" TargetMode="External"/><Relationship Id="rId2" Type="http://schemas.openxmlformats.org/officeDocument/2006/relationships/customXml" Target="../customXml/item2.xml"/><Relationship Id="rId16" Type="http://schemas.openxmlformats.org/officeDocument/2006/relationships/hyperlink" Target="https://unfccc.int/news/antonio-guterres-50-of-all-climate-finance-needed-for-adaptation"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doi.org/10.5465/amj.2022.0257" TargetMode="External"/><Relationship Id="rId5" Type="http://schemas.openxmlformats.org/officeDocument/2006/relationships/settings" Target="settings.xml"/><Relationship Id="rId15" Type="http://schemas.openxmlformats.org/officeDocument/2006/relationships/hyperlink" Target="https://www.ipcc.ch/report/ar6/wg3/downloads/report/IPCC_AR6_WGIII_FullReport.pdf" TargetMode="External"/><Relationship Id="rId23" Type="http://schemas.openxmlformats.org/officeDocument/2006/relationships/theme" Target="theme/theme1.xml"/><Relationship Id="rId10" Type="http://schemas.openxmlformats.org/officeDocument/2006/relationships/hyperlink" Target="https://journals.aom.org/doi/abs/10.5465/amp.2023.0169" TargetMode="External"/><Relationship Id="rId19" Type="http://schemas.openxmlformats.org/officeDocument/2006/relationships/hyperlink" Target="https://doi.org/10.1111/joms.13150" TargetMode="External"/><Relationship Id="rId4" Type="http://schemas.openxmlformats.org/officeDocument/2006/relationships/styles" Target="styles.xml"/><Relationship Id="rId9" Type="http://schemas.openxmlformats.org/officeDocument/2006/relationships/hyperlink" Target="https://doi.org/10.1111/joms.13088" TargetMode="External"/><Relationship Id="rId14" Type="http://schemas.openxmlformats.org/officeDocument/2006/relationships/hyperlink" Target="https://www.weforum.org/agenda/2022/11/climate-change-climate-adaptation-private-sector" TargetMode="External"/><Relationship Id="rId22" Type="http://schemas.openxmlformats.org/officeDocument/2006/relationships/fontTable" Target="fontTable.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X4hvCPUBjsImlHDy7+C3MFluHUA==">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</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C1BE51D4-EBC3-4F22-B9DF-8BA702C08F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33</Pages>
  <Words>11687</Words>
  <Characters>66618</Characters>
  <Application>Microsoft Office Word</Application>
  <DocSecurity>0</DocSecurity>
  <Lines>555</Lines>
  <Paragraphs>156</Paragraphs>
  <ScaleCrop>false</ScaleCrop>
  <Company/>
  <LinksUpToDate>false</LinksUpToDate>
  <CharactersWithSpaces>78149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2025-01-17T19:28:00Z</dcterms:created>
  <dcterms:modified xsi:type="dcterms:W3CDTF">2025-01-19T14:26:00Z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8772ba27-cab8-4042-a351-a31f6e4eacdc_Enabled">
    <vt:lpwstr>true</vt:lpwstr>
  </property>
  <property fmtid="{D5CDD505-2E9C-101B-9397-08002B2CF9AE}" pid="3" name="MSIP_Label_8772ba27-cab8-4042-a351-a31f6e4eacdc_SetDate">
    <vt:lpwstr>2025-01-17T19:29:06Z</vt:lpwstr>
  </property>
  <property fmtid="{D5CDD505-2E9C-101B-9397-08002B2CF9AE}" pid="4" name="MSIP_Label_8772ba27-cab8-4042-a351-a31f6e4eacdc_Method">
    <vt:lpwstr>Standard</vt:lpwstr>
  </property>
  <property fmtid="{D5CDD505-2E9C-101B-9397-08002B2CF9AE}" pid="5" name="MSIP_Label_8772ba27-cab8-4042-a351-a31f6e4eacdc_Name">
    <vt:lpwstr>Internal</vt:lpwstr>
  </property>
  <property fmtid="{D5CDD505-2E9C-101B-9397-08002B2CF9AE}" pid="6" name="MSIP_Label_8772ba27-cab8-4042-a351-a31f6e4eacdc_SiteId">
    <vt:lpwstr>715902d6-f63e-4b8d-929b-4bb170bad492</vt:lpwstr>
  </property>
  <property fmtid="{D5CDD505-2E9C-101B-9397-08002B2CF9AE}" pid="7" name="MSIP_Label_8772ba27-cab8-4042-a351-a31f6e4eacdc_ActionId">
    <vt:lpwstr>0a137fd0-cb3c-4259-8956-86423673fe21</vt:lpwstr>
  </property>
  <property fmtid="{D5CDD505-2E9C-101B-9397-08002B2CF9AE}" pid="8" name="MSIP_Label_8772ba27-cab8-4042-a351-a31f6e4eacdc_ContentBits">
    <vt:lpwstr>0</vt:lpwstr>
  </property>
</Properties>
</file>