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9F85B" w14:textId="5417FB09" w:rsidR="00FC5C56" w:rsidRPr="00E20635" w:rsidRDefault="00DF7E44" w:rsidP="00003A02">
      <w:pPr>
        <w:tabs>
          <w:tab w:val="left" w:pos="1072"/>
        </w:tabs>
        <w:spacing w:before="120" w:after="120"/>
        <w:jc w:val="both"/>
        <w:rPr>
          <w:rFonts w:cs="Arial"/>
          <w:b/>
          <w:bCs/>
          <w:sz w:val="28"/>
          <w:szCs w:val="28"/>
          <w:lang w:val="en-GB"/>
        </w:rPr>
      </w:pPr>
      <w:r w:rsidRPr="00E20635">
        <w:rPr>
          <w:rFonts w:cs="Arial"/>
          <w:b/>
          <w:bCs/>
          <w:sz w:val="28"/>
          <w:szCs w:val="28"/>
          <w:lang w:val="en-GB"/>
        </w:rPr>
        <w:t>Definition</w:t>
      </w:r>
    </w:p>
    <w:p w14:paraId="59D9AD98" w14:textId="0855571C" w:rsidR="00DF7E44" w:rsidRPr="00921BBB" w:rsidRDefault="00DF7E44" w:rsidP="00F17A06">
      <w:pPr>
        <w:numPr>
          <w:ilvl w:val="0"/>
          <w:numId w:val="5"/>
        </w:numPr>
        <w:tabs>
          <w:tab w:val="left" w:pos="284"/>
        </w:tabs>
        <w:ind w:left="284" w:hanging="284"/>
        <w:jc w:val="both"/>
        <w:rPr>
          <w:rFonts w:cs="Arial"/>
          <w:sz w:val="21"/>
          <w:szCs w:val="21"/>
          <w:lang w:val="en-GB"/>
        </w:rPr>
      </w:pPr>
      <w:r w:rsidRPr="00921BBB">
        <w:rPr>
          <w:rFonts w:cs="Arial"/>
          <w:sz w:val="21"/>
          <w:szCs w:val="21"/>
          <w:lang w:val="en-GB"/>
        </w:rPr>
        <w:t>SLAPP stands for Strategic Lawsuits (or Litigation) Against Public Participation.</w:t>
      </w:r>
    </w:p>
    <w:p w14:paraId="0EE592B6" w14:textId="7C2BF888" w:rsidR="00DF7E44" w:rsidRPr="00921BBB" w:rsidRDefault="00DF7E44" w:rsidP="00F17A06">
      <w:pPr>
        <w:numPr>
          <w:ilvl w:val="0"/>
          <w:numId w:val="5"/>
        </w:numPr>
        <w:tabs>
          <w:tab w:val="left" w:pos="284"/>
        </w:tabs>
        <w:ind w:left="284" w:hanging="284"/>
        <w:jc w:val="both"/>
        <w:rPr>
          <w:rFonts w:cs="Arial"/>
          <w:sz w:val="21"/>
          <w:szCs w:val="21"/>
          <w:lang w:val="en-GB"/>
        </w:rPr>
      </w:pPr>
      <w:r w:rsidRPr="00921BBB">
        <w:rPr>
          <w:rFonts w:cs="Arial"/>
          <w:sz w:val="21"/>
          <w:szCs w:val="21"/>
          <w:lang w:val="en-GB"/>
        </w:rPr>
        <w:t xml:space="preserve">Although anti-SLAPPs laws exist around the globe, we cannot speak of </w:t>
      </w:r>
      <w:r w:rsidR="001E3A8C">
        <w:rPr>
          <w:rFonts w:cs="Arial"/>
          <w:sz w:val="21"/>
          <w:szCs w:val="21"/>
          <w:lang w:val="en-GB"/>
        </w:rPr>
        <w:t xml:space="preserve">the term SLAPP </w:t>
      </w:r>
      <w:r w:rsidRPr="00921BBB">
        <w:rPr>
          <w:rFonts w:cs="Arial"/>
          <w:sz w:val="21"/>
          <w:szCs w:val="21"/>
          <w:lang w:val="en-GB"/>
        </w:rPr>
        <w:t xml:space="preserve">as if it were </w:t>
      </w:r>
      <w:r w:rsidR="001E3A8C">
        <w:rPr>
          <w:rFonts w:cs="Arial"/>
          <w:sz w:val="21"/>
          <w:szCs w:val="21"/>
          <w:lang w:val="en-GB"/>
        </w:rPr>
        <w:t xml:space="preserve">a set, </w:t>
      </w:r>
      <w:r w:rsidRPr="00921BBB">
        <w:rPr>
          <w:rFonts w:cs="Arial"/>
          <w:sz w:val="21"/>
          <w:szCs w:val="21"/>
          <w:lang w:val="en-GB"/>
        </w:rPr>
        <w:t>uncontested phenomena – there is too much definitional divergence.</w:t>
      </w:r>
    </w:p>
    <w:p w14:paraId="183A1893" w14:textId="2108AA42" w:rsidR="00DF7E44" w:rsidRPr="00921BBB" w:rsidRDefault="00DF7E44" w:rsidP="00F17A06">
      <w:pPr>
        <w:numPr>
          <w:ilvl w:val="0"/>
          <w:numId w:val="5"/>
        </w:numPr>
        <w:tabs>
          <w:tab w:val="left" w:pos="284"/>
        </w:tabs>
        <w:ind w:left="284" w:hanging="284"/>
        <w:jc w:val="both"/>
        <w:rPr>
          <w:rFonts w:cs="Arial"/>
          <w:sz w:val="21"/>
          <w:szCs w:val="21"/>
          <w:lang w:val="en-GB"/>
        </w:rPr>
      </w:pPr>
      <w:r w:rsidRPr="00921BBB">
        <w:rPr>
          <w:rFonts w:cs="Arial"/>
          <w:sz w:val="21"/>
          <w:szCs w:val="21"/>
          <w:lang w:val="en-GB"/>
        </w:rPr>
        <w:t>The definitions favoured by CASE (Coalition Against SLAPPs in Europe) and the UK anti-SLAPPs Coalition are unprincipled and impractical because they conflate these divergent definitions to produce something that overreaches and undermines legal rights to reputation and private life. To legalise these definitions is to replace one social harm with another.</w:t>
      </w:r>
    </w:p>
    <w:p w14:paraId="31A03123" w14:textId="6807C379" w:rsidR="000A5588" w:rsidRDefault="00921BBB" w:rsidP="00F63FBA">
      <w:pPr>
        <w:numPr>
          <w:ilvl w:val="0"/>
          <w:numId w:val="5"/>
        </w:numPr>
        <w:tabs>
          <w:tab w:val="left" w:pos="284"/>
        </w:tabs>
        <w:ind w:left="284" w:hanging="284"/>
        <w:jc w:val="both"/>
        <w:rPr>
          <w:rFonts w:cs="Arial"/>
          <w:sz w:val="21"/>
          <w:szCs w:val="21"/>
          <w:lang w:val="en-GB"/>
        </w:rPr>
      </w:pPr>
      <w:r w:rsidRPr="00921BBB">
        <w:rPr>
          <w:rFonts w:cs="Arial"/>
          <w:noProof/>
          <w:sz w:val="21"/>
          <w:szCs w:val="21"/>
        </w:rPr>
        <mc:AlternateContent>
          <mc:Choice Requires="wps">
            <w:drawing>
              <wp:anchor distT="0" distB="0" distL="114300" distR="114300" simplePos="0" relativeHeight="251657216" behindDoc="0" locked="0" layoutInCell="1" allowOverlap="1" wp14:anchorId="39E44785" wp14:editId="1EB7EFD6">
                <wp:simplePos x="0" y="0"/>
                <wp:positionH relativeFrom="column">
                  <wp:posOffset>34290</wp:posOffset>
                </wp:positionH>
                <wp:positionV relativeFrom="page">
                  <wp:posOffset>7529830</wp:posOffset>
                </wp:positionV>
                <wp:extent cx="6849745" cy="2061210"/>
                <wp:effectExtent l="0" t="0" r="8255" b="0"/>
                <wp:wrapSquare wrapText="bothSides"/>
                <wp:docPr id="7917860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2061210"/>
                        </a:xfrm>
                        <a:prstGeom prst="rect">
                          <a:avLst/>
                        </a:prstGeom>
                        <a:solidFill>
                          <a:srgbClr val="BD99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B503C" w14:textId="77777777" w:rsidR="00DF7E44" w:rsidRPr="00921BBB" w:rsidRDefault="00DF7E44" w:rsidP="00262BF5">
                            <w:pPr>
                              <w:spacing w:before="40" w:after="40"/>
                              <w:ind w:left="142"/>
                              <w:jc w:val="center"/>
                              <w:rPr>
                                <w:rFonts w:ascii="Sabon LT Std" w:hAnsi="Sabon LT Std"/>
                                <w:b/>
                                <w:bCs/>
                                <w:iCs/>
                                <w:color w:val="FFFFFF"/>
                                <w:sz w:val="28"/>
                                <w:szCs w:val="28"/>
                              </w:rPr>
                            </w:pPr>
                            <w:r w:rsidRPr="00921BBB">
                              <w:rPr>
                                <w:rFonts w:ascii="Sabon LT Std" w:hAnsi="Sabon LT Std"/>
                                <w:b/>
                                <w:bCs/>
                                <w:iCs/>
                                <w:color w:val="FFFFFF"/>
                                <w:sz w:val="28"/>
                                <w:szCs w:val="28"/>
                              </w:rPr>
                              <w:t>Key Points:</w:t>
                            </w:r>
                          </w:p>
                          <w:p w14:paraId="56B504F7" w14:textId="77777777" w:rsidR="00DF7E44" w:rsidRPr="00270646" w:rsidRDefault="00DF7E44" w:rsidP="00921BBB">
                            <w:pPr>
                              <w:numPr>
                                <w:ilvl w:val="0"/>
                                <w:numId w:val="4"/>
                              </w:numPr>
                              <w:spacing w:after="40"/>
                              <w:ind w:left="426" w:hanging="284"/>
                              <w:rPr>
                                <w:rFonts w:ascii="Sabon LT Std" w:hAnsi="Sabon LT Std"/>
                                <w:iCs/>
                                <w:color w:val="FFFFFF"/>
                              </w:rPr>
                            </w:pPr>
                            <w:r w:rsidRPr="00270646">
                              <w:rPr>
                                <w:rFonts w:ascii="Sabon LT Std" w:hAnsi="Sabon LT Std"/>
                                <w:iCs/>
                                <w:color w:val="FFFFFF"/>
                              </w:rPr>
                              <w:t xml:space="preserve">The case for legal reform to tackle Strategic Lawsuits Against Public Participation (SLAPPs) is one-sided and lacks independent corroboration. Valid legal actions will be </w:t>
                            </w:r>
                            <w:proofErr w:type="spellStart"/>
                            <w:r w:rsidRPr="00270646">
                              <w:rPr>
                                <w:rFonts w:ascii="Sabon LT Std" w:hAnsi="Sabon LT Std"/>
                                <w:iCs/>
                                <w:color w:val="FFFFFF"/>
                              </w:rPr>
                              <w:t>jeopardised</w:t>
                            </w:r>
                            <w:proofErr w:type="spellEnd"/>
                            <w:r w:rsidRPr="00270646">
                              <w:rPr>
                                <w:rFonts w:ascii="Sabon LT Std" w:hAnsi="Sabon LT Std"/>
                                <w:iCs/>
                                <w:color w:val="FFFFFF"/>
                              </w:rPr>
                              <w:t xml:space="preserve"> if the approach </w:t>
                            </w:r>
                            <w:proofErr w:type="spellStart"/>
                            <w:r w:rsidRPr="00270646">
                              <w:rPr>
                                <w:rFonts w:ascii="Sabon LT Std" w:hAnsi="Sabon LT Std"/>
                                <w:iCs/>
                                <w:color w:val="FFFFFF"/>
                              </w:rPr>
                              <w:t>favoured</w:t>
                            </w:r>
                            <w:proofErr w:type="spellEnd"/>
                            <w:r w:rsidRPr="00270646">
                              <w:rPr>
                                <w:rFonts w:ascii="Sabon LT Std" w:hAnsi="Sabon LT Std"/>
                                <w:iCs/>
                                <w:color w:val="FFFFFF"/>
                              </w:rPr>
                              <w:t xml:space="preserve"> by anti-SLAPPs lobbyists is accepted.</w:t>
                            </w:r>
                          </w:p>
                          <w:p w14:paraId="5A44C108" w14:textId="77777777" w:rsidR="00DF7E44" w:rsidRPr="00270646" w:rsidRDefault="00DF7E44" w:rsidP="00921BBB">
                            <w:pPr>
                              <w:numPr>
                                <w:ilvl w:val="0"/>
                                <w:numId w:val="4"/>
                              </w:numPr>
                              <w:spacing w:after="40"/>
                              <w:ind w:left="426" w:hanging="284"/>
                              <w:rPr>
                                <w:rFonts w:ascii="Sabon LT Std" w:hAnsi="Sabon LT Std"/>
                                <w:iCs/>
                                <w:color w:val="FFFFFF"/>
                              </w:rPr>
                            </w:pPr>
                            <w:r w:rsidRPr="00270646">
                              <w:rPr>
                                <w:rFonts w:ascii="Sabon LT Std" w:hAnsi="Sabon LT Std"/>
                                <w:iCs/>
                                <w:color w:val="FFFFFF"/>
                              </w:rPr>
                              <w:t>This approach is flawed for two reasons. First, the definition they rely upon is too broad. Rights to reputation and private life, under Article 8 European Convention on Human Rights, are undermined by it. Secondly, the evidence of a UK SLAPPs problem is inaccurate and misleading.</w:t>
                            </w:r>
                          </w:p>
                          <w:p w14:paraId="429CDAE7" w14:textId="1AFA797B" w:rsidR="004923B3" w:rsidRPr="00270646" w:rsidRDefault="00DF7E44" w:rsidP="00921BBB">
                            <w:pPr>
                              <w:numPr>
                                <w:ilvl w:val="0"/>
                                <w:numId w:val="4"/>
                              </w:numPr>
                              <w:spacing w:after="40"/>
                              <w:ind w:left="426" w:hanging="284"/>
                              <w:rPr>
                                <w:rFonts w:ascii="Sabon LT Std" w:hAnsi="Sabon LT Std"/>
                                <w:iCs/>
                                <w:color w:val="FFFFFF"/>
                              </w:rPr>
                            </w:pPr>
                            <w:r w:rsidRPr="00270646">
                              <w:rPr>
                                <w:rFonts w:ascii="Sabon LT Std" w:hAnsi="Sabon LT Std"/>
                                <w:iCs/>
                                <w:color w:val="FFFFFF"/>
                              </w:rPr>
                              <w:t xml:space="preserve">The government should ask the Law Commission to investigate and make recommendations upon whether, and to what extent, the UK has a SLAPPs problem and whether, and to what extent, legislative reform would </w:t>
                            </w:r>
                            <w:r w:rsidR="001E3A8C">
                              <w:rPr>
                                <w:rFonts w:ascii="Sabon LT Std" w:hAnsi="Sabon LT Std"/>
                                <w:iCs/>
                                <w:color w:val="FFFFFF"/>
                              </w:rPr>
                              <w:t xml:space="preserve">cure </w:t>
                            </w:r>
                            <w:r w:rsidRPr="00270646">
                              <w:rPr>
                                <w:rFonts w:ascii="Sabon LT Std" w:hAnsi="Sabon LT Std"/>
                                <w:iCs/>
                                <w:color w:val="FFFFFF"/>
                              </w:rPr>
                              <w:t xml:space="preserve">this problem </w:t>
                            </w:r>
                            <w:r w:rsidR="001E3A8C">
                              <w:rPr>
                                <w:rFonts w:ascii="Sabon LT Std" w:hAnsi="Sabon LT Std"/>
                                <w:iCs/>
                                <w:color w:val="FFFFFF"/>
                              </w:rPr>
                              <w:t xml:space="preserve">should </w:t>
                            </w:r>
                            <w:r w:rsidRPr="00270646">
                              <w:rPr>
                                <w:rFonts w:ascii="Sabon LT Std" w:hAnsi="Sabon LT Std"/>
                                <w:iCs/>
                                <w:color w:val="FFFFFF"/>
                              </w:rPr>
                              <w:t>it exist.</w:t>
                            </w:r>
                          </w:p>
                        </w:txbxContent>
                      </wps:txbx>
                      <wps:bodyPr rot="0" vert="horz" wrap="square" lIns="18000" tIns="18000" rIns="1800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E44785" id="_x0000_t202" coordsize="21600,21600" o:spt="202" path="m,l,21600r21600,l21600,xe">
                <v:stroke joinstyle="miter"/>
                <v:path gradientshapeok="t" o:connecttype="rect"/>
              </v:shapetype>
              <v:shape id="Text Box 4" o:spid="_x0000_s1026" type="#_x0000_t202" style="position:absolute;left:0;text-align:left;margin-left:2.7pt;margin-top:592.9pt;width:539.35pt;height:16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" fillcolor="#bd9965" stroked="f">
                <v:textbox inset=".5mm,.5mm,.5mm,.5mm">
                  <w:txbxContent>
                    <w:p w14:paraId="7A7B503C" w14:textId="77777777" w:rsidR="00DF7E44" w:rsidRPr="00921BBB" w:rsidRDefault="00DF7E44" w:rsidP="00262BF5">
                      <w:pPr>
                        <w:spacing w:before="40" w:after="40"/>
                        <w:ind w:left="142"/>
                        <w:jc w:val="center"/>
                        <w:rPr>
                          <w:rFonts w:ascii="Sabon LT Std" w:hAnsi="Sabon LT Std"/>
                          <w:b/>
                          <w:bCs/>
                          <w:iCs/>
                          <w:color w:val="FFFFFF"/>
                          <w:sz w:val="28"/>
                          <w:szCs w:val="28"/>
                        </w:rPr>
                      </w:pPr>
                      <w:r w:rsidRPr="00921BBB">
                        <w:rPr>
                          <w:rFonts w:ascii="Sabon LT Std" w:hAnsi="Sabon LT Std"/>
                          <w:b/>
                          <w:bCs/>
                          <w:iCs/>
                          <w:color w:val="FFFFFF"/>
                          <w:sz w:val="28"/>
                          <w:szCs w:val="28"/>
                        </w:rPr>
                        <w:t>Key Points:</w:t>
                      </w:r>
                    </w:p>
                    <w:p w14:paraId="56B504F7" w14:textId="77777777" w:rsidR="00DF7E44" w:rsidRPr="00270646" w:rsidRDefault="00DF7E44" w:rsidP="00921BBB">
                      <w:pPr>
                        <w:numPr>
                          <w:ilvl w:val="0"/>
                          <w:numId w:val="4"/>
                        </w:numPr>
                        <w:spacing w:after="40"/>
                        <w:ind w:left="426" w:hanging="284"/>
                        <w:rPr>
                          <w:rFonts w:ascii="Sabon LT Std" w:hAnsi="Sabon LT Std"/>
                          <w:iCs/>
                          <w:color w:val="FFFFFF"/>
                        </w:rPr>
                      </w:pPr>
                      <w:r w:rsidRPr="00270646">
                        <w:rPr>
                          <w:rFonts w:ascii="Sabon LT Std" w:hAnsi="Sabon LT Std"/>
                          <w:iCs/>
                          <w:color w:val="FFFFFF"/>
                        </w:rPr>
                        <w:t xml:space="preserve">The case for legal reform to tackle Strategic Lawsuits Against Public Participation (SLAPPs) is one-sided and lacks independent corroboration. Valid legal actions will be </w:t>
                      </w:r>
                      <w:proofErr w:type="spellStart"/>
                      <w:r w:rsidRPr="00270646">
                        <w:rPr>
                          <w:rFonts w:ascii="Sabon LT Std" w:hAnsi="Sabon LT Std"/>
                          <w:iCs/>
                          <w:color w:val="FFFFFF"/>
                        </w:rPr>
                        <w:t>jeopardised</w:t>
                      </w:r>
                      <w:proofErr w:type="spellEnd"/>
                      <w:r w:rsidRPr="00270646">
                        <w:rPr>
                          <w:rFonts w:ascii="Sabon LT Std" w:hAnsi="Sabon LT Std"/>
                          <w:iCs/>
                          <w:color w:val="FFFFFF"/>
                        </w:rPr>
                        <w:t xml:space="preserve"> if the approach </w:t>
                      </w:r>
                      <w:proofErr w:type="spellStart"/>
                      <w:r w:rsidRPr="00270646">
                        <w:rPr>
                          <w:rFonts w:ascii="Sabon LT Std" w:hAnsi="Sabon LT Std"/>
                          <w:iCs/>
                          <w:color w:val="FFFFFF"/>
                        </w:rPr>
                        <w:t>favoured</w:t>
                      </w:r>
                      <w:proofErr w:type="spellEnd"/>
                      <w:r w:rsidRPr="00270646">
                        <w:rPr>
                          <w:rFonts w:ascii="Sabon LT Std" w:hAnsi="Sabon LT Std"/>
                          <w:iCs/>
                          <w:color w:val="FFFFFF"/>
                        </w:rPr>
                        <w:t xml:space="preserve"> by anti-SLAPPs lobbyists is accepted.</w:t>
                      </w:r>
                    </w:p>
                    <w:p w14:paraId="5A44C108" w14:textId="77777777" w:rsidR="00DF7E44" w:rsidRPr="00270646" w:rsidRDefault="00DF7E44" w:rsidP="00921BBB">
                      <w:pPr>
                        <w:numPr>
                          <w:ilvl w:val="0"/>
                          <w:numId w:val="4"/>
                        </w:numPr>
                        <w:spacing w:after="40"/>
                        <w:ind w:left="426" w:hanging="284"/>
                        <w:rPr>
                          <w:rFonts w:ascii="Sabon LT Std" w:hAnsi="Sabon LT Std"/>
                          <w:iCs/>
                          <w:color w:val="FFFFFF"/>
                        </w:rPr>
                      </w:pPr>
                      <w:r w:rsidRPr="00270646">
                        <w:rPr>
                          <w:rFonts w:ascii="Sabon LT Std" w:hAnsi="Sabon LT Std"/>
                          <w:iCs/>
                          <w:color w:val="FFFFFF"/>
                        </w:rPr>
                        <w:t>This approach is flawed for two reasons. First, the definition they rely upon is too broad. Rights to reputation and private life, under Article 8 European Convention on Human Rights, are undermined by it. Secondly, the evidence of a UK SLAPPs problem is inaccurate and misleading.</w:t>
                      </w:r>
                    </w:p>
                    <w:p w14:paraId="429CDAE7" w14:textId="1AFA797B" w:rsidR="004923B3" w:rsidRPr="00270646" w:rsidRDefault="00DF7E44" w:rsidP="00921BBB">
                      <w:pPr>
                        <w:numPr>
                          <w:ilvl w:val="0"/>
                          <w:numId w:val="4"/>
                        </w:numPr>
                        <w:spacing w:after="40"/>
                        <w:ind w:left="426" w:hanging="284"/>
                        <w:rPr>
                          <w:rFonts w:ascii="Sabon LT Std" w:hAnsi="Sabon LT Std"/>
                          <w:iCs/>
                          <w:color w:val="FFFFFF"/>
                        </w:rPr>
                      </w:pPr>
                      <w:r w:rsidRPr="00270646">
                        <w:rPr>
                          <w:rFonts w:ascii="Sabon LT Std" w:hAnsi="Sabon LT Std"/>
                          <w:iCs/>
                          <w:color w:val="FFFFFF"/>
                        </w:rPr>
                        <w:t xml:space="preserve">The government should ask the Law Commission to investigate and make recommendations upon whether, and to what extent, the UK has a SLAPPs problem and whether, and to what extent, legislative reform would </w:t>
                      </w:r>
                      <w:r w:rsidR="001E3A8C">
                        <w:rPr>
                          <w:rFonts w:ascii="Sabon LT Std" w:hAnsi="Sabon LT Std"/>
                          <w:iCs/>
                          <w:color w:val="FFFFFF"/>
                        </w:rPr>
                        <w:t xml:space="preserve">cure </w:t>
                      </w:r>
                      <w:r w:rsidRPr="00270646">
                        <w:rPr>
                          <w:rFonts w:ascii="Sabon LT Std" w:hAnsi="Sabon LT Std"/>
                          <w:iCs/>
                          <w:color w:val="FFFFFF"/>
                        </w:rPr>
                        <w:t xml:space="preserve">this problem </w:t>
                      </w:r>
                      <w:r w:rsidR="001E3A8C">
                        <w:rPr>
                          <w:rFonts w:ascii="Sabon LT Std" w:hAnsi="Sabon LT Std"/>
                          <w:iCs/>
                          <w:color w:val="FFFFFF"/>
                        </w:rPr>
                        <w:t xml:space="preserve">should </w:t>
                      </w:r>
                      <w:r w:rsidRPr="00270646">
                        <w:rPr>
                          <w:rFonts w:ascii="Sabon LT Std" w:hAnsi="Sabon LT Std"/>
                          <w:iCs/>
                          <w:color w:val="FFFFFF"/>
                        </w:rPr>
                        <w:t>it exist.</w:t>
                      </w:r>
                    </w:p>
                  </w:txbxContent>
                </v:textbox>
                <w10:wrap type="square" anchory="page"/>
              </v:shape>
            </w:pict>
          </mc:Fallback>
        </mc:AlternateContent>
      </w:r>
      <w:r w:rsidR="00DF7E44" w:rsidRPr="000A5588">
        <w:rPr>
          <w:rFonts w:cs="Arial"/>
          <w:sz w:val="21"/>
          <w:szCs w:val="21"/>
          <w:lang w:val="en-GB"/>
        </w:rPr>
        <w:t>The difference between this mega-definition and its original form is stark. At its inception, public participation meant civic engagement, capturing the activity of civic-minded citizens whose complaints to elected officials and public institutions – usually in response to planning violations by aggressive property developers – were penalised by phony threats of legal action for, say, conspiracy or the intentional infliction of harm.</w:t>
      </w:r>
    </w:p>
    <w:p w14:paraId="7374689A" w14:textId="5B143774" w:rsidR="00DF7E44" w:rsidRPr="000A5588" w:rsidRDefault="00DF7E44" w:rsidP="00F63FBA">
      <w:pPr>
        <w:numPr>
          <w:ilvl w:val="0"/>
          <w:numId w:val="5"/>
        </w:numPr>
        <w:tabs>
          <w:tab w:val="left" w:pos="284"/>
        </w:tabs>
        <w:ind w:left="284" w:hanging="284"/>
        <w:jc w:val="both"/>
        <w:rPr>
          <w:rFonts w:cs="Arial"/>
          <w:sz w:val="21"/>
          <w:szCs w:val="21"/>
          <w:lang w:val="en-GB"/>
        </w:rPr>
      </w:pPr>
      <w:r w:rsidRPr="000A5588">
        <w:rPr>
          <w:rFonts w:cs="Arial"/>
          <w:sz w:val="21"/>
          <w:szCs w:val="21"/>
          <w:lang w:val="en-GB"/>
        </w:rPr>
        <w:t>Press freedom was not part of this original definition, not least because the press enjoyed (and enjoys) formidable protections in law already.</w:t>
      </w:r>
    </w:p>
    <w:p w14:paraId="53DDC658" w14:textId="7C69D9FB" w:rsidR="00DF7E44" w:rsidRPr="00921BBB" w:rsidRDefault="00DF7E44" w:rsidP="00F17A06">
      <w:pPr>
        <w:numPr>
          <w:ilvl w:val="0"/>
          <w:numId w:val="5"/>
        </w:numPr>
        <w:tabs>
          <w:tab w:val="left" w:pos="284"/>
        </w:tabs>
        <w:ind w:left="284" w:hanging="284"/>
        <w:jc w:val="both"/>
        <w:rPr>
          <w:rFonts w:cs="Arial"/>
          <w:sz w:val="21"/>
          <w:szCs w:val="21"/>
          <w:lang w:val="en-GB"/>
        </w:rPr>
      </w:pPr>
      <w:r w:rsidRPr="00921BBB">
        <w:rPr>
          <w:rFonts w:cs="Arial"/>
          <w:sz w:val="21"/>
          <w:szCs w:val="21"/>
          <w:lang w:val="en-GB"/>
        </w:rPr>
        <w:t>The European campaign for SLAPPs reform is driven by the continuing criminalisation of defamation</w:t>
      </w:r>
      <w:r w:rsidR="001E3A8C">
        <w:rPr>
          <w:rFonts w:cs="Arial"/>
          <w:sz w:val="21"/>
          <w:szCs w:val="21"/>
          <w:lang w:val="en-GB"/>
        </w:rPr>
        <w:t xml:space="preserve"> on the continent</w:t>
      </w:r>
      <w:r w:rsidRPr="00921BBB">
        <w:rPr>
          <w:rFonts w:cs="Arial"/>
          <w:sz w:val="21"/>
          <w:szCs w:val="21"/>
          <w:lang w:val="en-GB"/>
        </w:rPr>
        <w:t xml:space="preserve"> – something that does not </w:t>
      </w:r>
      <w:r w:rsidR="001E3A8C">
        <w:rPr>
          <w:rFonts w:cs="Arial"/>
          <w:sz w:val="21"/>
          <w:szCs w:val="21"/>
          <w:lang w:val="en-GB"/>
        </w:rPr>
        <w:t xml:space="preserve">exist in </w:t>
      </w:r>
      <w:r w:rsidRPr="00921BBB">
        <w:rPr>
          <w:rFonts w:cs="Arial"/>
          <w:sz w:val="21"/>
          <w:szCs w:val="21"/>
          <w:lang w:val="en-GB"/>
        </w:rPr>
        <w:t>the UK.</w:t>
      </w:r>
    </w:p>
    <w:p w14:paraId="7E0EF51B" w14:textId="77777777" w:rsidR="00DF7E44" w:rsidRPr="00921BBB" w:rsidRDefault="00DF7E44" w:rsidP="00F17A06">
      <w:pPr>
        <w:numPr>
          <w:ilvl w:val="0"/>
          <w:numId w:val="5"/>
        </w:numPr>
        <w:tabs>
          <w:tab w:val="left" w:pos="284"/>
        </w:tabs>
        <w:ind w:left="284" w:hanging="284"/>
        <w:jc w:val="both"/>
        <w:rPr>
          <w:rFonts w:cs="Arial"/>
          <w:sz w:val="21"/>
          <w:szCs w:val="21"/>
          <w:lang w:val="en-GB"/>
        </w:rPr>
      </w:pPr>
      <w:r w:rsidRPr="00921BBB">
        <w:rPr>
          <w:rFonts w:cs="Arial"/>
          <w:sz w:val="21"/>
          <w:szCs w:val="21"/>
          <w:lang w:val="en-GB"/>
        </w:rPr>
        <w:t>Properly understood, SLAPPs are vexatious claims. As such, they abuse the legal system. The threat to democracy arises because the civic-minded actors involved should not have to tolerate the interference to their legitimate actions which these bogus legal actions represent.</w:t>
      </w:r>
    </w:p>
    <w:p w14:paraId="24BB20E2" w14:textId="77777777" w:rsidR="00254F6A" w:rsidRPr="00775BA5" w:rsidRDefault="00DF7E44" w:rsidP="00F17A06">
      <w:pPr>
        <w:numPr>
          <w:ilvl w:val="0"/>
          <w:numId w:val="5"/>
        </w:numPr>
        <w:tabs>
          <w:tab w:val="left" w:pos="284"/>
        </w:tabs>
        <w:ind w:left="284" w:hanging="284"/>
        <w:jc w:val="both"/>
        <w:rPr>
          <w:rFonts w:cs="Arial"/>
          <w:sz w:val="21"/>
          <w:szCs w:val="21"/>
          <w:lang w:val="en-GB"/>
        </w:rPr>
      </w:pPr>
      <w:r w:rsidRPr="00921BBB">
        <w:rPr>
          <w:rFonts w:cs="Arial"/>
          <w:sz w:val="21"/>
          <w:szCs w:val="21"/>
          <w:lang w:val="en-GB"/>
        </w:rPr>
        <w:t>Arguable cases – that is, cases which require adjudication to settle them – are not SLAPPs, even if the defendant is a public participant (</w:t>
      </w:r>
      <w:proofErr w:type="spellStart"/>
      <w:r w:rsidRPr="00921BBB">
        <w:rPr>
          <w:rFonts w:cs="Arial"/>
          <w:sz w:val="21"/>
          <w:szCs w:val="21"/>
          <w:lang w:val="en-GB"/>
        </w:rPr>
        <w:t>ie</w:t>
      </w:r>
      <w:proofErr w:type="spellEnd"/>
      <w:r w:rsidRPr="00921BBB">
        <w:rPr>
          <w:rFonts w:cs="Arial"/>
          <w:sz w:val="21"/>
          <w:szCs w:val="21"/>
          <w:lang w:val="en-GB"/>
        </w:rPr>
        <w:t xml:space="preserve">, the press) and even if the claimant loses. Such litigation represents </w:t>
      </w:r>
      <w:r w:rsidRPr="00775BA5">
        <w:rPr>
          <w:rFonts w:cs="Arial"/>
          <w:sz w:val="21"/>
          <w:szCs w:val="21"/>
          <w:lang w:val="en-GB"/>
        </w:rPr>
        <w:t>the inalienable right of all to have legitimate grievances heard by the state</w:t>
      </w:r>
      <w:r w:rsidR="00254F6A" w:rsidRPr="00775BA5">
        <w:rPr>
          <w:rFonts w:cs="Arial"/>
          <w:sz w:val="21"/>
          <w:szCs w:val="21"/>
          <w:lang w:val="en-GB"/>
        </w:rPr>
        <w:t>.</w:t>
      </w:r>
    </w:p>
    <w:p w14:paraId="54D83654" w14:textId="77777777" w:rsidR="00B4794E" w:rsidRPr="00775BA5" w:rsidRDefault="00B4794E" w:rsidP="00B4794E">
      <w:pPr>
        <w:tabs>
          <w:tab w:val="left" w:pos="284"/>
        </w:tabs>
        <w:jc w:val="both"/>
        <w:rPr>
          <w:rFonts w:cs="Arial"/>
          <w:sz w:val="21"/>
          <w:szCs w:val="21"/>
          <w:lang w:val="en-GB"/>
        </w:rPr>
      </w:pPr>
    </w:p>
    <w:p w14:paraId="5F5721A3" w14:textId="77777777" w:rsidR="00254F6A" w:rsidRPr="00E20635" w:rsidRDefault="00254F6A" w:rsidP="00F01192">
      <w:pPr>
        <w:tabs>
          <w:tab w:val="left" w:pos="284"/>
        </w:tabs>
        <w:spacing w:before="120" w:after="120"/>
        <w:jc w:val="both"/>
        <w:rPr>
          <w:rFonts w:cs="Arial"/>
          <w:b/>
          <w:bCs/>
          <w:sz w:val="28"/>
          <w:szCs w:val="28"/>
          <w:lang w:val="en-GB"/>
        </w:rPr>
      </w:pPr>
      <w:r w:rsidRPr="00E20635">
        <w:rPr>
          <w:rFonts w:cs="Arial"/>
          <w:b/>
          <w:bCs/>
          <w:sz w:val="28"/>
          <w:szCs w:val="28"/>
          <w:lang w:val="en-GB"/>
        </w:rPr>
        <w:t>Evidence</w:t>
      </w:r>
    </w:p>
    <w:p w14:paraId="35F868C2" w14:textId="77777777" w:rsidR="008421A0" w:rsidRDefault="00254F6A" w:rsidP="008421A0">
      <w:pPr>
        <w:pStyle w:val="ListParagraph"/>
        <w:numPr>
          <w:ilvl w:val="0"/>
          <w:numId w:val="8"/>
        </w:numPr>
        <w:ind w:left="284" w:hanging="284"/>
        <w:jc w:val="both"/>
        <w:rPr>
          <w:sz w:val="21"/>
          <w:szCs w:val="21"/>
          <w:lang w:val="en-GB"/>
        </w:rPr>
      </w:pPr>
      <w:r w:rsidRPr="00921BBB">
        <w:rPr>
          <w:sz w:val="21"/>
          <w:szCs w:val="21"/>
          <w:lang w:val="en-GB"/>
        </w:rPr>
        <w:t>CASE’s latest figures say that there have been 33</w:t>
      </w:r>
      <w:r w:rsidR="00AF3238">
        <w:t xml:space="preserve"> </w:t>
      </w:r>
      <w:r w:rsidR="00AF3238" w:rsidRPr="00AF3238">
        <w:rPr>
          <w:sz w:val="21"/>
          <w:szCs w:val="21"/>
          <w:lang w:val="en-GB"/>
        </w:rPr>
        <w:t>reported SLAPPs in the period 2010-2023</w:t>
      </w:r>
      <w:r w:rsidR="008421A0">
        <w:rPr>
          <w:sz w:val="21"/>
          <w:szCs w:val="21"/>
          <w:lang w:val="en-GB"/>
        </w:rPr>
        <w:t>.</w:t>
      </w:r>
    </w:p>
    <w:p w14:paraId="30F97F9F" w14:textId="7B9DC28F" w:rsidR="008421A0" w:rsidRPr="008421A0" w:rsidRDefault="008421A0" w:rsidP="008421A0">
      <w:pPr>
        <w:pStyle w:val="ListParagraph"/>
        <w:numPr>
          <w:ilvl w:val="0"/>
          <w:numId w:val="8"/>
        </w:numPr>
        <w:ind w:left="284" w:hanging="284"/>
        <w:jc w:val="both"/>
        <w:rPr>
          <w:sz w:val="21"/>
          <w:szCs w:val="21"/>
          <w:lang w:val="en-GB"/>
        </w:rPr>
        <w:sectPr w:rsidR="008421A0" w:rsidRPr="008421A0" w:rsidSect="00D961FD">
          <w:headerReference w:type="default" r:id="rId8"/>
          <w:footerReference w:type="default" r:id="rId9"/>
          <w:headerReference w:type="first" r:id="rId10"/>
          <w:pgSz w:w="11900" w:h="16840"/>
          <w:pgMar w:top="5330" w:right="567" w:bottom="1985" w:left="567" w:header="2835" w:footer="708" w:gutter="0"/>
          <w:cols w:num="2" w:space="708"/>
          <w:titlePg/>
          <w:docGrid w:linePitch="360"/>
        </w:sectPr>
      </w:pPr>
      <w:r>
        <w:rPr>
          <w:sz w:val="21"/>
          <w:szCs w:val="21"/>
          <w:lang w:val="en-GB"/>
        </w:rPr>
        <w:t>The source of this figure is opaque</w:t>
      </w:r>
      <w:r w:rsidR="00A710B2">
        <w:rPr>
          <w:sz w:val="21"/>
          <w:szCs w:val="21"/>
          <w:lang w:val="en-GB"/>
        </w:rPr>
        <w:t xml:space="preserve">. The publicly available </w:t>
      </w:r>
      <w:r w:rsidR="001E7660" w:rsidRPr="001E7660">
        <w:rPr>
          <w:sz w:val="21"/>
          <w:szCs w:val="21"/>
          <w:lang w:val="en-GB"/>
        </w:rPr>
        <w:t xml:space="preserve">data-set that CASE provides contains 26 </w:t>
      </w:r>
    </w:p>
    <w:p w14:paraId="3C5ED93E" w14:textId="2CF91358" w:rsidR="00254F6A" w:rsidRPr="00106B63" w:rsidRDefault="00B4794E" w:rsidP="00E83AA9">
      <w:pPr>
        <w:ind w:left="284"/>
        <w:jc w:val="both"/>
        <w:rPr>
          <w:sz w:val="21"/>
          <w:szCs w:val="21"/>
          <w:lang w:val="en-GB"/>
        </w:rPr>
      </w:pPr>
      <w:r w:rsidRPr="001E7660">
        <w:rPr>
          <w:sz w:val="21"/>
          <w:szCs w:val="21"/>
          <w:lang w:val="en-GB"/>
        </w:rPr>
        <w:lastRenderedPageBreak/>
        <w:t>entries. Some</w:t>
      </w:r>
      <w:r>
        <w:rPr>
          <w:sz w:val="21"/>
          <w:szCs w:val="21"/>
          <w:lang w:val="en-GB"/>
        </w:rPr>
        <w:t xml:space="preserve"> of these entries are duplicates. Once </w:t>
      </w:r>
      <w:r w:rsidR="00F8761F">
        <w:rPr>
          <w:sz w:val="21"/>
          <w:szCs w:val="21"/>
          <w:lang w:val="en-GB"/>
        </w:rPr>
        <w:t>th</w:t>
      </w:r>
      <w:r w:rsidR="007338C3">
        <w:rPr>
          <w:sz w:val="21"/>
          <w:szCs w:val="21"/>
          <w:lang w:val="en-GB"/>
        </w:rPr>
        <w:t>o</w:t>
      </w:r>
      <w:r w:rsidR="00F8761F">
        <w:rPr>
          <w:sz w:val="21"/>
          <w:szCs w:val="21"/>
          <w:lang w:val="en-GB"/>
        </w:rPr>
        <w:t xml:space="preserve">se </w:t>
      </w:r>
      <w:r w:rsidR="00036566">
        <w:rPr>
          <w:sz w:val="21"/>
          <w:szCs w:val="21"/>
          <w:lang w:val="en-GB"/>
        </w:rPr>
        <w:t>are removed</w:t>
      </w:r>
      <w:r w:rsidR="00FE42DB" w:rsidRPr="00FE42DB">
        <w:rPr>
          <w:sz w:val="21"/>
          <w:szCs w:val="21"/>
          <w:lang w:val="en-GB"/>
        </w:rPr>
        <w:t>, the figure drops to 19.</w:t>
      </w:r>
    </w:p>
    <w:p w14:paraId="4C070CD9" w14:textId="77777777" w:rsidR="00E83AA9" w:rsidRDefault="00E83AA9" w:rsidP="00587297">
      <w:pPr>
        <w:numPr>
          <w:ilvl w:val="0"/>
          <w:numId w:val="6"/>
        </w:numPr>
        <w:ind w:left="284" w:hanging="284"/>
        <w:jc w:val="both"/>
        <w:rPr>
          <w:sz w:val="21"/>
          <w:szCs w:val="21"/>
          <w:lang w:val="en-GB"/>
        </w:rPr>
      </w:pPr>
      <w:r w:rsidRPr="00587297">
        <w:rPr>
          <w:sz w:val="21"/>
          <w:szCs w:val="21"/>
          <w:lang w:val="en-GB"/>
        </w:rPr>
        <w:t>13 of these resulted in publicly available judgments.</w:t>
      </w:r>
    </w:p>
    <w:p w14:paraId="612FA07E" w14:textId="54BDADDA" w:rsidR="00587297" w:rsidRDefault="00587297" w:rsidP="00587297">
      <w:pPr>
        <w:numPr>
          <w:ilvl w:val="0"/>
          <w:numId w:val="6"/>
        </w:numPr>
        <w:ind w:left="284" w:hanging="284"/>
        <w:jc w:val="both"/>
        <w:rPr>
          <w:sz w:val="21"/>
          <w:szCs w:val="21"/>
          <w:lang w:val="en-GB"/>
        </w:rPr>
      </w:pPr>
      <w:r w:rsidRPr="00587297">
        <w:rPr>
          <w:sz w:val="21"/>
          <w:szCs w:val="21"/>
          <w:lang w:val="en-GB"/>
        </w:rPr>
        <w:t xml:space="preserve">These judgments demonstrate two things. First, that the current system is working sufficiently to eliminate </w:t>
      </w:r>
      <w:r w:rsidRPr="00106B63">
        <w:rPr>
          <w:sz w:val="21"/>
          <w:szCs w:val="21"/>
          <w:lang w:val="en-GB"/>
        </w:rPr>
        <w:t xml:space="preserve">baseless claims. Secondly, that Parliament, both in this session and the last, often refers erroneously to several of these disputes as SLAPPs when, on a proper analysis, they </w:t>
      </w:r>
      <w:r w:rsidR="001E3A8C">
        <w:rPr>
          <w:sz w:val="21"/>
          <w:szCs w:val="21"/>
          <w:lang w:val="en-GB"/>
        </w:rPr>
        <w:t xml:space="preserve">constitute </w:t>
      </w:r>
      <w:r w:rsidRPr="00106B63">
        <w:rPr>
          <w:sz w:val="21"/>
          <w:szCs w:val="21"/>
          <w:lang w:val="en-GB"/>
        </w:rPr>
        <w:t>legitimate claims.</w:t>
      </w:r>
    </w:p>
    <w:p w14:paraId="2D9662A6" w14:textId="4EC11AD8" w:rsidR="00254F6A" w:rsidRPr="00106B63" w:rsidRDefault="00DF7E44" w:rsidP="00587297">
      <w:pPr>
        <w:numPr>
          <w:ilvl w:val="0"/>
          <w:numId w:val="6"/>
        </w:numPr>
        <w:ind w:left="284" w:hanging="284"/>
        <w:jc w:val="both"/>
        <w:rPr>
          <w:sz w:val="21"/>
          <w:szCs w:val="21"/>
          <w:lang w:val="en-GB"/>
        </w:rPr>
      </w:pPr>
      <w:r w:rsidRPr="00106B63">
        <w:rPr>
          <w:sz w:val="21"/>
          <w:szCs w:val="21"/>
          <w:lang w:val="en-GB"/>
        </w:rPr>
        <w:t xml:space="preserve">Of these misidentified disputes, </w:t>
      </w:r>
      <w:r w:rsidRPr="00793974">
        <w:rPr>
          <w:i/>
          <w:iCs/>
          <w:sz w:val="21"/>
          <w:szCs w:val="21"/>
          <w:lang w:val="en-GB"/>
        </w:rPr>
        <w:t>Banks v Cadwalladr</w:t>
      </w:r>
      <w:r w:rsidRPr="00106B63">
        <w:rPr>
          <w:sz w:val="21"/>
          <w:szCs w:val="21"/>
          <w:lang w:val="en-GB"/>
        </w:rPr>
        <w:t xml:space="preserve"> (2023) stands out. Given that Banks was awarded substantial damages on appeal, it cannot be said that his suit against Carol Cadwalladr was an abuse of the legal process. Moreover, the High Court was explicit that the case could not be described as a SLAPP.</w:t>
      </w:r>
    </w:p>
    <w:p w14:paraId="70F681FC" w14:textId="7AF288C7" w:rsidR="00254F6A" w:rsidRPr="00106B63" w:rsidRDefault="00DF7E44" w:rsidP="00F17A06">
      <w:pPr>
        <w:numPr>
          <w:ilvl w:val="0"/>
          <w:numId w:val="6"/>
        </w:numPr>
        <w:ind w:left="284" w:hanging="284"/>
        <w:jc w:val="both"/>
        <w:rPr>
          <w:sz w:val="21"/>
          <w:szCs w:val="21"/>
          <w:lang w:val="en-GB"/>
        </w:rPr>
      </w:pPr>
      <w:r w:rsidRPr="00106B63">
        <w:rPr>
          <w:sz w:val="21"/>
          <w:szCs w:val="21"/>
          <w:lang w:val="en-GB"/>
        </w:rPr>
        <w:t xml:space="preserve">Similarly, the litigation by various claimants against Harper Collins and Catherine Belton concerning the latter’s book </w:t>
      </w:r>
      <w:r w:rsidRPr="00793974">
        <w:rPr>
          <w:i/>
          <w:iCs/>
          <w:sz w:val="21"/>
          <w:szCs w:val="21"/>
          <w:lang w:val="en-GB"/>
        </w:rPr>
        <w:t>Putin’s People</w:t>
      </w:r>
      <w:r w:rsidRPr="00106B63">
        <w:rPr>
          <w:sz w:val="21"/>
          <w:szCs w:val="21"/>
          <w:lang w:val="en-GB"/>
        </w:rPr>
        <w:t xml:space="preserve"> (2020) is consistently </w:t>
      </w:r>
      <w:r w:rsidR="001E3A8C">
        <w:rPr>
          <w:sz w:val="21"/>
          <w:szCs w:val="21"/>
          <w:lang w:val="en-GB"/>
        </w:rPr>
        <w:t xml:space="preserve">but wrongly </w:t>
      </w:r>
      <w:r w:rsidRPr="00106B63">
        <w:rPr>
          <w:sz w:val="21"/>
          <w:szCs w:val="21"/>
          <w:lang w:val="en-GB"/>
        </w:rPr>
        <w:t>referred to as a SLAPP. Of the two reported judgments, concerning Roman Abramovich and a company called Rosneft, neither can be described as a SLAPP since the court found in favour of the claimant on the preliminary questions of defamation and harm.</w:t>
      </w:r>
    </w:p>
    <w:p w14:paraId="5E6BF8AD" w14:textId="77777777" w:rsidR="00254F6A" w:rsidRPr="00106B63" w:rsidRDefault="00DF7E44" w:rsidP="00F17A06">
      <w:pPr>
        <w:numPr>
          <w:ilvl w:val="0"/>
          <w:numId w:val="6"/>
        </w:numPr>
        <w:ind w:left="284" w:hanging="284"/>
        <w:jc w:val="both"/>
        <w:rPr>
          <w:sz w:val="21"/>
          <w:szCs w:val="21"/>
          <w:lang w:val="en-GB"/>
        </w:rPr>
      </w:pPr>
      <w:r w:rsidRPr="00106B63">
        <w:rPr>
          <w:sz w:val="21"/>
          <w:szCs w:val="21"/>
          <w:lang w:val="en-GB"/>
        </w:rPr>
        <w:t>Of the other claimants, Harper Collins admitted that there was no evidence linking Petr Aven and Mikhail Fridman to the KGB, as Belton had alleged, and amended the book accordingly. Given this admission, it cannot be said that the claims are SLAPPs.</w:t>
      </w:r>
    </w:p>
    <w:p w14:paraId="4904D196" w14:textId="158ABFC7" w:rsidR="00254F6A" w:rsidRPr="00106B63" w:rsidRDefault="00DF7E44" w:rsidP="00F17A06">
      <w:pPr>
        <w:numPr>
          <w:ilvl w:val="0"/>
          <w:numId w:val="6"/>
        </w:numPr>
        <w:ind w:left="284" w:hanging="284"/>
        <w:jc w:val="both"/>
        <w:rPr>
          <w:sz w:val="21"/>
          <w:szCs w:val="21"/>
          <w:lang w:val="en-GB"/>
        </w:rPr>
      </w:pPr>
      <w:r w:rsidRPr="00106B63">
        <w:rPr>
          <w:sz w:val="21"/>
          <w:szCs w:val="21"/>
          <w:lang w:val="en-GB"/>
        </w:rPr>
        <w:t>Anti-SLAPP campaigners have persuaded successive governments and backbenchers of increased SLAPPs activity in the UK. On CASE’s own evidence, though, no such threat is apparent, for several reasons.</w:t>
      </w:r>
    </w:p>
    <w:p w14:paraId="1FB29895" w14:textId="58A00091" w:rsidR="00254F6A" w:rsidRPr="00106B63" w:rsidRDefault="00DF7E44" w:rsidP="00F17A06">
      <w:pPr>
        <w:numPr>
          <w:ilvl w:val="0"/>
          <w:numId w:val="6"/>
        </w:numPr>
        <w:ind w:left="284" w:hanging="284"/>
        <w:jc w:val="both"/>
        <w:rPr>
          <w:sz w:val="21"/>
          <w:szCs w:val="21"/>
          <w:lang w:val="en-GB"/>
        </w:rPr>
      </w:pPr>
      <w:r w:rsidRPr="00106B63">
        <w:rPr>
          <w:sz w:val="21"/>
          <w:szCs w:val="21"/>
          <w:lang w:val="en-GB"/>
        </w:rPr>
        <w:t xml:space="preserve">First, if SLAPPs are an abuse of the legal system, then only one of </w:t>
      </w:r>
      <w:r w:rsidR="00EF0691">
        <w:rPr>
          <w:sz w:val="21"/>
          <w:szCs w:val="21"/>
          <w:lang w:val="en-GB"/>
        </w:rPr>
        <w:t xml:space="preserve">the </w:t>
      </w:r>
      <w:r w:rsidRPr="00106B63">
        <w:rPr>
          <w:sz w:val="21"/>
          <w:szCs w:val="21"/>
          <w:lang w:val="en-GB"/>
        </w:rPr>
        <w:t xml:space="preserve">CASE cases – </w:t>
      </w:r>
      <w:r w:rsidRPr="00793974">
        <w:rPr>
          <w:i/>
          <w:iCs/>
          <w:sz w:val="21"/>
          <w:szCs w:val="21"/>
          <w:lang w:val="en-GB"/>
        </w:rPr>
        <w:t>Subotic v Knezevic</w:t>
      </w:r>
      <w:r w:rsidRPr="00106B63">
        <w:rPr>
          <w:sz w:val="21"/>
          <w:szCs w:val="21"/>
          <w:lang w:val="en-GB"/>
        </w:rPr>
        <w:t xml:space="preserve"> (2013) – is properly classifiable as </w:t>
      </w:r>
      <w:r w:rsidR="00EF0691">
        <w:rPr>
          <w:sz w:val="21"/>
          <w:szCs w:val="21"/>
          <w:lang w:val="en-GB"/>
        </w:rPr>
        <w:t>such</w:t>
      </w:r>
      <w:r w:rsidRPr="00106B63">
        <w:rPr>
          <w:sz w:val="21"/>
          <w:szCs w:val="21"/>
          <w:lang w:val="en-GB"/>
        </w:rPr>
        <w:t>. Only in that case, it seems, did the application for strike out for abuse succeed.</w:t>
      </w:r>
      <w:r w:rsidR="00254F6A" w:rsidRPr="00106B63">
        <w:rPr>
          <w:sz w:val="21"/>
          <w:szCs w:val="21"/>
          <w:lang w:val="en-GB"/>
        </w:rPr>
        <w:t xml:space="preserve"> </w:t>
      </w:r>
      <w:r w:rsidRPr="00106B63">
        <w:rPr>
          <w:sz w:val="21"/>
          <w:szCs w:val="21"/>
          <w:lang w:val="en-GB"/>
        </w:rPr>
        <w:t xml:space="preserve">None of the defendants in the other reported cases issued such applications, which they could </w:t>
      </w:r>
      <w:r w:rsidR="00EF0691">
        <w:rPr>
          <w:sz w:val="21"/>
          <w:szCs w:val="21"/>
          <w:lang w:val="en-GB"/>
        </w:rPr>
        <w:t xml:space="preserve">have </w:t>
      </w:r>
      <w:r w:rsidRPr="00106B63">
        <w:rPr>
          <w:sz w:val="21"/>
          <w:szCs w:val="21"/>
          <w:lang w:val="en-GB"/>
        </w:rPr>
        <w:t>if the underlying claims were truly without merit.</w:t>
      </w:r>
    </w:p>
    <w:p w14:paraId="327E5182" w14:textId="0D4294AB" w:rsidR="00254F6A" w:rsidRPr="00106B63" w:rsidRDefault="00DF7E44" w:rsidP="00F17A06">
      <w:pPr>
        <w:numPr>
          <w:ilvl w:val="0"/>
          <w:numId w:val="6"/>
        </w:numPr>
        <w:ind w:left="284" w:hanging="284"/>
        <w:jc w:val="both"/>
        <w:rPr>
          <w:sz w:val="21"/>
          <w:szCs w:val="21"/>
          <w:lang w:val="en-GB"/>
        </w:rPr>
      </w:pPr>
      <w:r w:rsidRPr="00106B63">
        <w:rPr>
          <w:sz w:val="21"/>
          <w:szCs w:val="21"/>
          <w:lang w:val="en-GB"/>
        </w:rPr>
        <w:t>Second, if, as CASE also says, SLAPPs aim to ‘shut down criticism and efforts to advance accountability’ and are ‘a menace to societies’ right to know, to freedom of expression, and to the right to public participation,’ then two entries (concerning EDF Energy and INEOS Upstream) must be excluded given that they related to unlawful conduct (aggravated trespass). Another (</w:t>
      </w:r>
      <w:r w:rsidRPr="004D4FD7">
        <w:rPr>
          <w:i/>
          <w:iCs/>
          <w:sz w:val="21"/>
          <w:szCs w:val="21"/>
          <w:lang w:val="en-GB"/>
        </w:rPr>
        <w:t xml:space="preserve">ENRC v Serious </w:t>
      </w:r>
      <w:r w:rsidRPr="004D4FD7">
        <w:rPr>
          <w:i/>
          <w:iCs/>
          <w:sz w:val="21"/>
          <w:szCs w:val="21"/>
          <w:lang w:val="en-GB"/>
        </w:rPr>
        <w:t>Fraud Office and others</w:t>
      </w:r>
      <w:r w:rsidRPr="00106B63">
        <w:rPr>
          <w:sz w:val="21"/>
          <w:szCs w:val="21"/>
          <w:lang w:val="en-GB"/>
        </w:rPr>
        <w:t xml:space="preserve"> (2023)) must be excluded on the basis that freedom of expression, or any other type of public participation</w:t>
      </w:r>
      <w:r w:rsidR="00EF0691">
        <w:rPr>
          <w:sz w:val="21"/>
          <w:szCs w:val="21"/>
          <w:lang w:val="en-GB"/>
        </w:rPr>
        <w:t>,</w:t>
      </w:r>
      <w:r w:rsidRPr="00106B63">
        <w:rPr>
          <w:sz w:val="21"/>
          <w:szCs w:val="21"/>
          <w:lang w:val="en-GB"/>
        </w:rPr>
        <w:t xml:space="preserve"> was not involved.</w:t>
      </w:r>
    </w:p>
    <w:p w14:paraId="0D7EA3FE" w14:textId="77777777" w:rsidR="00254F6A" w:rsidRPr="00106B63" w:rsidRDefault="00DF7E44" w:rsidP="00F17A06">
      <w:pPr>
        <w:numPr>
          <w:ilvl w:val="0"/>
          <w:numId w:val="6"/>
        </w:numPr>
        <w:ind w:left="284" w:hanging="284"/>
        <w:jc w:val="both"/>
        <w:rPr>
          <w:sz w:val="21"/>
          <w:szCs w:val="21"/>
          <w:lang w:val="en-GB"/>
        </w:rPr>
      </w:pPr>
      <w:r w:rsidRPr="00106B63">
        <w:rPr>
          <w:sz w:val="21"/>
          <w:szCs w:val="21"/>
          <w:lang w:val="en-GB"/>
        </w:rPr>
        <w:t>Similarly, two other entries are dubious instances of public participation relating, as they do, to the peer review system in academic journals (</w:t>
      </w:r>
      <w:r w:rsidRPr="00793974">
        <w:rPr>
          <w:i/>
          <w:iCs/>
          <w:sz w:val="21"/>
          <w:szCs w:val="21"/>
          <w:lang w:val="en-GB"/>
        </w:rPr>
        <w:t xml:space="preserve">El </w:t>
      </w:r>
      <w:proofErr w:type="spellStart"/>
      <w:r w:rsidRPr="00793974">
        <w:rPr>
          <w:i/>
          <w:iCs/>
          <w:sz w:val="21"/>
          <w:szCs w:val="21"/>
          <w:lang w:val="en-GB"/>
        </w:rPr>
        <w:t>Naschie</w:t>
      </w:r>
      <w:proofErr w:type="spellEnd"/>
      <w:r w:rsidRPr="00793974">
        <w:rPr>
          <w:i/>
          <w:iCs/>
          <w:sz w:val="21"/>
          <w:szCs w:val="21"/>
          <w:lang w:val="en-GB"/>
        </w:rPr>
        <w:t xml:space="preserve"> v MacMillan</w:t>
      </w:r>
      <w:r w:rsidRPr="00106B63">
        <w:rPr>
          <w:sz w:val="21"/>
          <w:szCs w:val="21"/>
          <w:lang w:val="en-GB"/>
        </w:rPr>
        <w:t xml:space="preserve"> (2011)) and the real identity of Bitcoin’s inventor (</w:t>
      </w:r>
      <w:r w:rsidRPr="00793974">
        <w:rPr>
          <w:i/>
          <w:iCs/>
          <w:sz w:val="21"/>
          <w:szCs w:val="21"/>
          <w:lang w:val="en-GB"/>
        </w:rPr>
        <w:t>Wright v Ver</w:t>
      </w:r>
      <w:r w:rsidRPr="00106B63">
        <w:rPr>
          <w:sz w:val="21"/>
          <w:szCs w:val="21"/>
          <w:lang w:val="en-GB"/>
        </w:rPr>
        <w:t xml:space="preserve"> (2020)) – unless, that is, an especially generous notion of ‘public interest’ is applied.</w:t>
      </w:r>
    </w:p>
    <w:p w14:paraId="507B8D01" w14:textId="389FE33B" w:rsidR="00254F6A" w:rsidRPr="00106B63" w:rsidRDefault="00DF7E44" w:rsidP="00F17A06">
      <w:pPr>
        <w:numPr>
          <w:ilvl w:val="0"/>
          <w:numId w:val="6"/>
        </w:numPr>
        <w:ind w:left="284" w:hanging="284"/>
        <w:jc w:val="both"/>
        <w:rPr>
          <w:sz w:val="21"/>
          <w:szCs w:val="21"/>
          <w:lang w:val="en-GB"/>
        </w:rPr>
      </w:pPr>
      <w:r w:rsidRPr="00106B63">
        <w:rPr>
          <w:sz w:val="21"/>
          <w:szCs w:val="21"/>
          <w:lang w:val="en-GB"/>
        </w:rPr>
        <w:t xml:space="preserve">Thirdly, given the court’s findings in each of an arguable case (albeit, in </w:t>
      </w:r>
      <w:r w:rsidRPr="00793974">
        <w:rPr>
          <w:i/>
          <w:iCs/>
          <w:sz w:val="21"/>
          <w:szCs w:val="21"/>
          <w:lang w:val="en-GB"/>
        </w:rPr>
        <w:t>Subotic v Knezevic</w:t>
      </w:r>
      <w:r w:rsidRPr="00106B63">
        <w:rPr>
          <w:sz w:val="21"/>
          <w:szCs w:val="21"/>
          <w:lang w:val="en-GB"/>
        </w:rPr>
        <w:t xml:space="preserve"> not one that the court found would justify further court time and costs, etc), to apply the penalties that anti-SLAPPs campaigner</w:t>
      </w:r>
      <w:r w:rsidR="000D1F72">
        <w:rPr>
          <w:sz w:val="21"/>
          <w:szCs w:val="21"/>
          <w:lang w:val="en-GB"/>
        </w:rPr>
        <w:t>s</w:t>
      </w:r>
      <w:r w:rsidRPr="00106B63">
        <w:rPr>
          <w:sz w:val="21"/>
          <w:szCs w:val="21"/>
          <w:lang w:val="en-GB"/>
        </w:rPr>
        <w:t xml:space="preserve"> agitate for (including indemnity costs and exemplary damages against claimants for causing psychological damage to the defendants) replaces one social wrong with another in its jeopardization of the right of access to court, to hear legitimate grievances concerning, </w:t>
      </w:r>
      <w:proofErr w:type="spellStart"/>
      <w:r w:rsidRPr="00106B63">
        <w:rPr>
          <w:sz w:val="21"/>
          <w:szCs w:val="21"/>
          <w:lang w:val="en-GB"/>
        </w:rPr>
        <w:t>eg</w:t>
      </w:r>
      <w:proofErr w:type="spellEnd"/>
      <w:r w:rsidRPr="00106B63">
        <w:rPr>
          <w:sz w:val="21"/>
          <w:szCs w:val="21"/>
          <w:lang w:val="en-GB"/>
        </w:rPr>
        <w:t>, Article 8 rights to reputation.</w:t>
      </w:r>
    </w:p>
    <w:p w14:paraId="4CB08E19" w14:textId="0F94E906" w:rsidR="00DF7E44" w:rsidRDefault="00DF7E44" w:rsidP="00F17A06">
      <w:pPr>
        <w:numPr>
          <w:ilvl w:val="0"/>
          <w:numId w:val="6"/>
        </w:numPr>
        <w:ind w:left="284" w:hanging="284"/>
        <w:jc w:val="both"/>
        <w:rPr>
          <w:sz w:val="21"/>
          <w:szCs w:val="21"/>
          <w:lang w:val="en-GB"/>
        </w:rPr>
      </w:pPr>
      <w:r w:rsidRPr="00106B63">
        <w:rPr>
          <w:sz w:val="21"/>
          <w:szCs w:val="21"/>
          <w:lang w:val="en-GB"/>
        </w:rPr>
        <w:t>Finally, the first four of CASE’s 19 claims should be dismissed in any event relating, as they do, to the period prior to the Defamation Act 2013 coming into effect. Amongst other things, th</w:t>
      </w:r>
      <w:r w:rsidR="00EF0691">
        <w:rPr>
          <w:sz w:val="21"/>
          <w:szCs w:val="21"/>
          <w:lang w:val="en-GB"/>
        </w:rPr>
        <w:t>e</w:t>
      </w:r>
      <w:r w:rsidRPr="00106B63">
        <w:rPr>
          <w:sz w:val="21"/>
          <w:szCs w:val="21"/>
          <w:lang w:val="en-GB"/>
        </w:rPr>
        <w:t xml:space="preserve"> Act raised the threshold considerably for libel claims to be brought.</w:t>
      </w:r>
    </w:p>
    <w:p w14:paraId="0D43E547" w14:textId="77777777" w:rsidR="00003A02" w:rsidRPr="00106B63" w:rsidRDefault="00003A02" w:rsidP="00003A02">
      <w:pPr>
        <w:jc w:val="both"/>
        <w:rPr>
          <w:sz w:val="21"/>
          <w:szCs w:val="21"/>
          <w:lang w:val="en-GB"/>
        </w:rPr>
      </w:pPr>
    </w:p>
    <w:p w14:paraId="6AD4E788" w14:textId="77777777" w:rsidR="00DF7E44" w:rsidRPr="00E20635" w:rsidRDefault="00DF7E44" w:rsidP="00F01192">
      <w:pPr>
        <w:spacing w:before="120" w:after="120"/>
        <w:jc w:val="both"/>
        <w:rPr>
          <w:b/>
          <w:bCs/>
          <w:sz w:val="28"/>
          <w:szCs w:val="32"/>
          <w:lang w:val="en-GB"/>
        </w:rPr>
      </w:pPr>
      <w:r w:rsidRPr="00E20635">
        <w:rPr>
          <w:b/>
          <w:bCs/>
          <w:sz w:val="28"/>
          <w:szCs w:val="32"/>
          <w:lang w:val="en-GB"/>
        </w:rPr>
        <w:t>Resolution</w:t>
      </w:r>
    </w:p>
    <w:p w14:paraId="7BBBD3BF" w14:textId="77777777" w:rsidR="00254F6A" w:rsidRPr="00106B63" w:rsidRDefault="00DF7E44" w:rsidP="00F17A06">
      <w:pPr>
        <w:numPr>
          <w:ilvl w:val="0"/>
          <w:numId w:val="6"/>
        </w:numPr>
        <w:ind w:left="284" w:hanging="284"/>
        <w:jc w:val="both"/>
        <w:rPr>
          <w:sz w:val="21"/>
          <w:szCs w:val="21"/>
          <w:lang w:val="en-GB"/>
        </w:rPr>
      </w:pPr>
      <w:r w:rsidRPr="00106B63">
        <w:rPr>
          <w:sz w:val="21"/>
          <w:szCs w:val="21"/>
          <w:lang w:val="en-GB"/>
        </w:rPr>
        <w:t>The case for urgent legal reform is not made out. Change of the sort urged by CASE and the UK anti-SLAPPs coalition is precipitous. It will compromise the legal rights of others and cause injustice.</w:t>
      </w:r>
    </w:p>
    <w:p w14:paraId="0A28086F" w14:textId="3B3D5D10" w:rsidR="00254F6A" w:rsidRPr="00106B63" w:rsidRDefault="00DF7E44" w:rsidP="00F17A06">
      <w:pPr>
        <w:numPr>
          <w:ilvl w:val="0"/>
          <w:numId w:val="6"/>
        </w:numPr>
        <w:ind w:left="284" w:hanging="284"/>
        <w:jc w:val="both"/>
        <w:rPr>
          <w:sz w:val="21"/>
          <w:szCs w:val="21"/>
          <w:lang w:val="en-GB"/>
        </w:rPr>
      </w:pPr>
      <w:r w:rsidRPr="00106B63">
        <w:rPr>
          <w:sz w:val="21"/>
          <w:szCs w:val="21"/>
          <w:lang w:val="en-GB"/>
        </w:rPr>
        <w:t>The press enjoys formidable legal protections</w:t>
      </w:r>
      <w:r w:rsidR="00EF0691">
        <w:rPr>
          <w:sz w:val="21"/>
          <w:szCs w:val="21"/>
          <w:lang w:val="en-GB"/>
        </w:rPr>
        <w:t>, not least</w:t>
      </w:r>
      <w:r w:rsidRPr="00106B63">
        <w:rPr>
          <w:sz w:val="21"/>
          <w:szCs w:val="21"/>
          <w:lang w:val="en-GB"/>
        </w:rPr>
        <w:t xml:space="preserve"> through the change</w:t>
      </w:r>
      <w:r w:rsidR="00EF0691">
        <w:rPr>
          <w:sz w:val="21"/>
          <w:szCs w:val="21"/>
          <w:lang w:val="en-GB"/>
        </w:rPr>
        <w:t>s</w:t>
      </w:r>
      <w:r w:rsidRPr="00106B63">
        <w:rPr>
          <w:sz w:val="21"/>
          <w:szCs w:val="21"/>
          <w:lang w:val="en-GB"/>
        </w:rPr>
        <w:t xml:space="preserve"> brought about by the Defamation Act 2013 relating to the necessity for serious harm (especially for corporations) and the public interest defence. The case law shows that these changes are working.</w:t>
      </w:r>
    </w:p>
    <w:p w14:paraId="185A5B5E" w14:textId="3462307D" w:rsidR="00254F6A" w:rsidRPr="00106B63" w:rsidRDefault="00DF7E44" w:rsidP="00F17A06">
      <w:pPr>
        <w:numPr>
          <w:ilvl w:val="0"/>
          <w:numId w:val="6"/>
        </w:numPr>
        <w:ind w:left="284" w:hanging="284"/>
        <w:jc w:val="both"/>
        <w:rPr>
          <w:sz w:val="21"/>
          <w:szCs w:val="21"/>
          <w:lang w:val="en-GB"/>
        </w:rPr>
      </w:pPr>
      <w:r w:rsidRPr="00106B63">
        <w:rPr>
          <w:sz w:val="21"/>
          <w:szCs w:val="21"/>
          <w:lang w:val="en-GB"/>
        </w:rPr>
        <w:t xml:space="preserve">The Civil Procedure Rules already provide </w:t>
      </w:r>
      <w:r w:rsidR="00EF0691">
        <w:rPr>
          <w:sz w:val="21"/>
          <w:szCs w:val="21"/>
          <w:lang w:val="en-GB"/>
        </w:rPr>
        <w:t xml:space="preserve">plentiful </w:t>
      </w:r>
      <w:r w:rsidRPr="00106B63">
        <w:rPr>
          <w:sz w:val="21"/>
          <w:szCs w:val="21"/>
          <w:lang w:val="en-GB"/>
        </w:rPr>
        <w:t>early dismissal mechanisms, achieved through active case management, which gives the defendant ample opportunity to have vexatious claims struck out. This can be achieved before the defendant is put to the cost of filing a defence, for example.</w:t>
      </w:r>
    </w:p>
    <w:p w14:paraId="551683BD" w14:textId="2200EB94" w:rsidR="00AA3CA9" w:rsidRPr="00106B63" w:rsidRDefault="00DF7E44" w:rsidP="00F17A06">
      <w:pPr>
        <w:numPr>
          <w:ilvl w:val="0"/>
          <w:numId w:val="6"/>
        </w:numPr>
        <w:ind w:left="284" w:hanging="284"/>
        <w:jc w:val="both"/>
        <w:rPr>
          <w:sz w:val="21"/>
          <w:szCs w:val="21"/>
          <w:lang w:val="en-GB"/>
        </w:rPr>
        <w:sectPr w:rsidR="00AA3CA9" w:rsidRPr="00106B63" w:rsidSect="004644E4">
          <w:headerReference w:type="default" r:id="rId11"/>
          <w:headerReference w:type="first" r:id="rId12"/>
          <w:pgSz w:w="11900" w:h="16840"/>
          <w:pgMar w:top="1985" w:right="567" w:bottom="1843" w:left="567" w:header="567" w:footer="709" w:gutter="0"/>
          <w:cols w:num="2" w:space="708"/>
          <w:docGrid w:linePitch="360"/>
        </w:sectPr>
      </w:pPr>
      <w:r w:rsidRPr="00106B63">
        <w:rPr>
          <w:sz w:val="21"/>
          <w:szCs w:val="21"/>
          <w:lang w:val="en-GB"/>
        </w:rPr>
        <w:t>The government should not commence legislative action concerning SLAPPs unless and until the Law Commission has investigated, and made recommendations upon, whether, and to what extent, the UK has a SLAPPs problem and whether, and to what extent, legislative reform would address this problem should it exist.</w:t>
      </w:r>
    </w:p>
    <w:p w14:paraId="30BF5627" w14:textId="77777777" w:rsidR="009A7EBD" w:rsidRPr="00E20635" w:rsidRDefault="009A7EBD" w:rsidP="009A7EBD">
      <w:pPr>
        <w:tabs>
          <w:tab w:val="left" w:pos="1072"/>
        </w:tabs>
        <w:spacing w:before="80" w:after="80"/>
        <w:rPr>
          <w:rFonts w:cs="Arial"/>
          <w:sz w:val="28"/>
          <w:szCs w:val="28"/>
          <w:lang w:val="en-GB"/>
        </w:rPr>
      </w:pPr>
      <w:r w:rsidRPr="00E20635">
        <w:rPr>
          <w:rFonts w:cs="Arial"/>
          <w:b/>
          <w:bCs/>
          <w:sz w:val="28"/>
          <w:szCs w:val="28"/>
          <w:lang w:val="en-GB"/>
        </w:rPr>
        <w:lastRenderedPageBreak/>
        <w:t>References</w:t>
      </w:r>
    </w:p>
    <w:p w14:paraId="3758F57A" w14:textId="0A8473AE"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sz w:val="20"/>
          <w:szCs w:val="20"/>
          <w:lang w:val="en-GB"/>
        </w:rPr>
        <w:t>This paper</w:t>
      </w:r>
      <w:r w:rsidR="00E117B2">
        <w:rPr>
          <w:rFonts w:cs="Arial"/>
          <w:sz w:val="20"/>
          <w:szCs w:val="20"/>
          <w:lang w:val="en-GB"/>
        </w:rPr>
        <w:t xml:space="preserve"> </w:t>
      </w:r>
      <w:r w:rsidRPr="00CF47D8">
        <w:rPr>
          <w:rFonts w:cs="Arial"/>
          <w:sz w:val="20"/>
          <w:szCs w:val="20"/>
          <w:lang w:val="en-GB"/>
        </w:rPr>
        <w:t>summarises P Wragg, ‘SLAPPs in England and Wales: The Issues and the Evidence,’ (2024) Report, University of Leeds,</w:t>
      </w:r>
      <w:r w:rsidR="00412F49">
        <w:rPr>
          <w:rFonts w:cs="Arial"/>
          <w:sz w:val="20"/>
          <w:szCs w:val="20"/>
          <w:lang w:val="en-GB"/>
        </w:rPr>
        <w:t xml:space="preserve"> </w:t>
      </w:r>
      <w:hyperlink r:id="rId13" w:history="1">
        <w:r w:rsidR="00412F49" w:rsidRPr="00CF47D8">
          <w:rPr>
            <w:rStyle w:val="Hyperlink"/>
            <w:rFonts w:cs="Arial"/>
            <w:sz w:val="20"/>
            <w:szCs w:val="20"/>
            <w:lang w:val="en-GB"/>
          </w:rPr>
          <w:t>https://eprints.whiterose.ac.uk/221028/</w:t>
        </w:r>
      </w:hyperlink>
      <w:r w:rsidR="00412F49">
        <w:rPr>
          <w:rFonts w:cs="Arial"/>
          <w:sz w:val="20"/>
          <w:szCs w:val="20"/>
          <w:lang w:val="en-GB"/>
        </w:rPr>
        <w:t xml:space="preserve">, which </w:t>
      </w:r>
      <w:r w:rsidR="00412F49" w:rsidRPr="00E117B2">
        <w:rPr>
          <w:rFonts w:cs="Arial"/>
          <w:sz w:val="20"/>
          <w:szCs w:val="20"/>
        </w:rPr>
        <w:t xml:space="preserve">benefitted from generous funding by the Society of Media Lawyers, </w:t>
      </w:r>
      <w:r w:rsidR="00412F49">
        <w:rPr>
          <w:rFonts w:cs="Arial"/>
          <w:sz w:val="20"/>
          <w:szCs w:val="20"/>
        </w:rPr>
        <w:t xml:space="preserve">which comprises lawyers </w:t>
      </w:r>
      <w:r w:rsidR="00412F49" w:rsidRPr="00E117B2">
        <w:rPr>
          <w:rFonts w:cs="Arial"/>
          <w:sz w:val="20"/>
          <w:szCs w:val="20"/>
        </w:rPr>
        <w:t>act</w:t>
      </w:r>
      <w:r w:rsidR="00412F49">
        <w:rPr>
          <w:rFonts w:cs="Arial"/>
          <w:sz w:val="20"/>
          <w:szCs w:val="20"/>
        </w:rPr>
        <w:t>ing</w:t>
      </w:r>
      <w:r w:rsidR="00412F49" w:rsidRPr="00E117B2">
        <w:rPr>
          <w:rFonts w:cs="Arial"/>
          <w:sz w:val="20"/>
          <w:szCs w:val="20"/>
        </w:rPr>
        <w:t xml:space="preserve"> for both claimants and defendants in media law disputes.</w:t>
      </w:r>
    </w:p>
    <w:p w14:paraId="6ACE24F5"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Banks v Cadwalladr</w:t>
      </w:r>
      <w:r w:rsidRPr="00CF47D8">
        <w:rPr>
          <w:rFonts w:cs="Arial"/>
          <w:sz w:val="20"/>
          <w:szCs w:val="20"/>
          <w:lang w:val="en-GB"/>
        </w:rPr>
        <w:t xml:space="preserve"> [2019] EWHC 3451 (QB); [2022] EWHC 1417 (QB); [2023] EWCA </w:t>
      </w:r>
      <w:proofErr w:type="spellStart"/>
      <w:r w:rsidRPr="00CF47D8">
        <w:rPr>
          <w:rFonts w:cs="Arial"/>
          <w:sz w:val="20"/>
          <w:szCs w:val="20"/>
          <w:lang w:val="en-GB"/>
        </w:rPr>
        <w:t>Civ</w:t>
      </w:r>
      <w:proofErr w:type="spellEnd"/>
      <w:r w:rsidRPr="00CF47D8">
        <w:rPr>
          <w:rFonts w:cs="Arial"/>
          <w:sz w:val="20"/>
          <w:szCs w:val="20"/>
          <w:lang w:val="en-GB"/>
        </w:rPr>
        <w:t xml:space="preserve"> 219</w:t>
      </w:r>
    </w:p>
    <w:p w14:paraId="016CAA77"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Abramovich v HarperCollins &amp; Belton</w:t>
      </w:r>
      <w:r w:rsidRPr="00CF47D8">
        <w:rPr>
          <w:rFonts w:cs="Arial"/>
          <w:sz w:val="20"/>
          <w:szCs w:val="20"/>
          <w:lang w:val="en-GB"/>
        </w:rPr>
        <w:t xml:space="preserve"> [2021] EWHC 3154 (QB)</w:t>
      </w:r>
    </w:p>
    <w:p w14:paraId="40D45A97"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Rosneft v HarperCollins &amp; Belton</w:t>
      </w:r>
      <w:r w:rsidRPr="00CF47D8">
        <w:rPr>
          <w:rFonts w:cs="Arial"/>
          <w:sz w:val="20"/>
          <w:szCs w:val="20"/>
          <w:lang w:val="en-GB"/>
        </w:rPr>
        <w:t xml:space="preserve"> [2021] EWHC 3141 (QB)</w:t>
      </w:r>
    </w:p>
    <w:p w14:paraId="2DA43803"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sz w:val="20"/>
          <w:szCs w:val="20"/>
          <w:lang w:val="en-GB"/>
        </w:rPr>
        <w:t xml:space="preserve">J Thorburn, ‘Publisher HarperCollins apologises to Russian businessmen over claim they were connected to KGB as Roman Abramovich continues case against book that said he bought Chelsea on Putin’s orders,’ </w:t>
      </w:r>
      <w:r w:rsidRPr="00CF47D8">
        <w:rPr>
          <w:rFonts w:cs="Arial"/>
          <w:i/>
          <w:iCs/>
          <w:sz w:val="20"/>
          <w:szCs w:val="20"/>
          <w:lang w:val="en-GB"/>
        </w:rPr>
        <w:t>MailOnline</w:t>
      </w:r>
      <w:r w:rsidRPr="00CF47D8">
        <w:rPr>
          <w:rFonts w:cs="Arial"/>
          <w:sz w:val="20"/>
          <w:szCs w:val="20"/>
          <w:lang w:val="en-GB"/>
        </w:rPr>
        <w:t xml:space="preserve">, 4 August 2021, </w:t>
      </w:r>
      <w:hyperlink r:id="rId14" w:history="1">
        <w:r w:rsidRPr="00CF47D8">
          <w:rPr>
            <w:rStyle w:val="Hyperlink"/>
            <w:rFonts w:cs="Arial"/>
            <w:sz w:val="20"/>
            <w:szCs w:val="20"/>
            <w:lang w:val="en-GB"/>
          </w:rPr>
          <w:t>https://www.dailymail.co.uk/news/article-9861233/HarperCollins-apologises-businessmen-Roman-Abramovich-claim-connected-KGB.html</w:t>
        </w:r>
      </w:hyperlink>
    </w:p>
    <w:p w14:paraId="10059246"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Subotic v Knezevic</w:t>
      </w:r>
      <w:r w:rsidRPr="00CF47D8">
        <w:rPr>
          <w:rFonts w:cs="Arial"/>
          <w:sz w:val="20"/>
          <w:szCs w:val="20"/>
          <w:lang w:val="en-GB"/>
        </w:rPr>
        <w:t xml:space="preserve"> [2013] EWHC 3011 (QB)</w:t>
      </w:r>
    </w:p>
    <w:p w14:paraId="40C95056"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sz w:val="20"/>
          <w:szCs w:val="20"/>
          <w:lang w:val="en-GB"/>
        </w:rPr>
        <w:t xml:space="preserve">J Ball, ‘No Dash for Gas campaigners set up anti-EDF website,’ </w:t>
      </w:r>
      <w:r w:rsidRPr="00CF47D8">
        <w:rPr>
          <w:rFonts w:cs="Arial"/>
          <w:i/>
          <w:iCs/>
          <w:sz w:val="20"/>
          <w:szCs w:val="20"/>
          <w:lang w:val="en-GB"/>
        </w:rPr>
        <w:t>The Guardian</w:t>
      </w:r>
      <w:r w:rsidRPr="00CF47D8">
        <w:rPr>
          <w:rFonts w:cs="Arial"/>
          <w:sz w:val="20"/>
          <w:szCs w:val="20"/>
          <w:lang w:val="en-GB"/>
        </w:rPr>
        <w:t>, 10 March 2013</w:t>
      </w:r>
    </w:p>
    <w:p w14:paraId="061BC2F8"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INEOS Upstream v Boyd &amp; others</w:t>
      </w:r>
      <w:r w:rsidRPr="00CF47D8">
        <w:rPr>
          <w:rFonts w:cs="Arial"/>
          <w:sz w:val="20"/>
          <w:szCs w:val="20"/>
          <w:lang w:val="en-GB"/>
        </w:rPr>
        <w:t xml:space="preserve"> [2019] EWCA </w:t>
      </w:r>
      <w:proofErr w:type="spellStart"/>
      <w:r w:rsidRPr="00CF47D8">
        <w:rPr>
          <w:rFonts w:cs="Arial"/>
          <w:sz w:val="20"/>
          <w:szCs w:val="20"/>
          <w:lang w:val="en-GB"/>
        </w:rPr>
        <w:t>Civ</w:t>
      </w:r>
      <w:proofErr w:type="spellEnd"/>
      <w:r w:rsidRPr="00CF47D8">
        <w:rPr>
          <w:rFonts w:cs="Arial"/>
          <w:sz w:val="20"/>
          <w:szCs w:val="20"/>
          <w:lang w:val="en-GB"/>
        </w:rPr>
        <w:t xml:space="preserve"> 515</w:t>
      </w:r>
    </w:p>
    <w:p w14:paraId="721361C2"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Eurasian Natural Resources Corporation v Serious Fraud Office &amp; others</w:t>
      </w:r>
      <w:r w:rsidRPr="00CF47D8">
        <w:rPr>
          <w:rFonts w:cs="Arial"/>
          <w:sz w:val="20"/>
          <w:szCs w:val="20"/>
          <w:lang w:val="en-GB"/>
        </w:rPr>
        <w:t xml:space="preserve"> [2023] EWHC 2488 (Comm); [2024] EWHC 1244 (Comm)</w:t>
      </w:r>
    </w:p>
    <w:p w14:paraId="6C9A3C1F"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 xml:space="preserve">El </w:t>
      </w:r>
      <w:proofErr w:type="spellStart"/>
      <w:r w:rsidRPr="00CF47D8">
        <w:rPr>
          <w:rFonts w:cs="Arial"/>
          <w:i/>
          <w:iCs/>
          <w:sz w:val="20"/>
          <w:szCs w:val="20"/>
          <w:lang w:val="en-GB"/>
        </w:rPr>
        <w:t>Naschie</w:t>
      </w:r>
      <w:proofErr w:type="spellEnd"/>
      <w:r w:rsidRPr="00CF47D8">
        <w:rPr>
          <w:rFonts w:cs="Arial"/>
          <w:i/>
          <w:iCs/>
          <w:sz w:val="20"/>
          <w:szCs w:val="20"/>
          <w:lang w:val="en-GB"/>
        </w:rPr>
        <w:t xml:space="preserve"> v MacMillan &amp; others</w:t>
      </w:r>
      <w:r w:rsidRPr="00CF47D8">
        <w:rPr>
          <w:rFonts w:cs="Arial"/>
          <w:sz w:val="20"/>
          <w:szCs w:val="20"/>
          <w:lang w:val="en-GB"/>
        </w:rPr>
        <w:t xml:space="preserve"> [2011] EWHC 1468 (QB); [2012] EWHC 1809 (QB)</w:t>
      </w:r>
    </w:p>
    <w:p w14:paraId="740159C9" w14:textId="77777777" w:rsidR="009A7EBD" w:rsidRPr="00CF47D8" w:rsidRDefault="009A7EBD" w:rsidP="009A7EBD">
      <w:pPr>
        <w:numPr>
          <w:ilvl w:val="0"/>
          <w:numId w:val="7"/>
        </w:numPr>
        <w:tabs>
          <w:tab w:val="left" w:pos="284"/>
        </w:tabs>
        <w:ind w:left="284" w:hanging="284"/>
        <w:jc w:val="both"/>
        <w:rPr>
          <w:rFonts w:cs="Arial"/>
          <w:sz w:val="20"/>
          <w:szCs w:val="20"/>
          <w:lang w:val="en-GB"/>
        </w:rPr>
      </w:pPr>
      <w:r w:rsidRPr="00CF47D8">
        <w:rPr>
          <w:rFonts w:cs="Arial"/>
          <w:i/>
          <w:iCs/>
          <w:sz w:val="20"/>
          <w:szCs w:val="20"/>
          <w:lang w:val="en-GB"/>
        </w:rPr>
        <w:t>Wright v Ver</w:t>
      </w:r>
      <w:r w:rsidRPr="00CF47D8">
        <w:rPr>
          <w:rFonts w:cs="Arial"/>
          <w:sz w:val="20"/>
          <w:szCs w:val="20"/>
          <w:lang w:val="en-GB"/>
        </w:rPr>
        <w:t xml:space="preserve"> [2020] EWCA </w:t>
      </w:r>
      <w:proofErr w:type="spellStart"/>
      <w:r w:rsidRPr="00CF47D8">
        <w:rPr>
          <w:rFonts w:cs="Arial"/>
          <w:sz w:val="20"/>
          <w:szCs w:val="20"/>
          <w:lang w:val="en-GB"/>
        </w:rPr>
        <w:t>Civ</w:t>
      </w:r>
      <w:proofErr w:type="spellEnd"/>
      <w:r w:rsidRPr="00CF47D8">
        <w:rPr>
          <w:rFonts w:cs="Arial"/>
          <w:sz w:val="20"/>
          <w:szCs w:val="20"/>
          <w:lang w:val="en-GB"/>
        </w:rPr>
        <w:t xml:space="preserve"> 672</w:t>
      </w:r>
    </w:p>
    <w:p w14:paraId="72DE5CD7" w14:textId="77777777" w:rsidR="009A7EBD" w:rsidRDefault="009A7EBD" w:rsidP="009A7EBD">
      <w:pPr>
        <w:tabs>
          <w:tab w:val="left" w:pos="284"/>
        </w:tabs>
        <w:jc w:val="both"/>
        <w:rPr>
          <w:rFonts w:cs="Arial"/>
          <w:sz w:val="20"/>
          <w:szCs w:val="20"/>
          <w:lang w:val="en-GB"/>
        </w:rPr>
      </w:pPr>
    </w:p>
    <w:p w14:paraId="579CA8CD" w14:textId="77777777" w:rsidR="009A7EBD" w:rsidRDefault="009A7EBD" w:rsidP="009A7EBD">
      <w:pPr>
        <w:tabs>
          <w:tab w:val="left" w:pos="284"/>
        </w:tabs>
        <w:spacing w:before="80" w:after="80"/>
        <w:jc w:val="both"/>
        <w:rPr>
          <w:rFonts w:cs="Arial"/>
          <w:sz w:val="20"/>
          <w:szCs w:val="20"/>
          <w:lang w:val="en-GB"/>
        </w:rPr>
      </w:pPr>
      <w:r>
        <w:rPr>
          <w:rFonts w:cs="Arial"/>
          <w:b/>
          <w:bCs/>
          <w:sz w:val="28"/>
          <w:szCs w:val="28"/>
          <w:lang w:val="en-GB"/>
        </w:rPr>
        <w:t>Suggested citation</w:t>
      </w:r>
    </w:p>
    <w:p w14:paraId="3004B4B0" w14:textId="7DAB97D6" w:rsidR="009A7EBD" w:rsidRPr="00CF47D8" w:rsidRDefault="009A7EBD" w:rsidP="009A7EBD">
      <w:pPr>
        <w:tabs>
          <w:tab w:val="left" w:pos="284"/>
        </w:tabs>
        <w:jc w:val="both"/>
        <w:rPr>
          <w:rFonts w:cs="Arial"/>
          <w:sz w:val="20"/>
          <w:szCs w:val="20"/>
          <w:lang w:val="en-GB" w:eastAsia="en-GB"/>
        </w:rPr>
      </w:pPr>
      <w:r>
        <w:rPr>
          <w:rFonts w:cs="Arial"/>
          <w:sz w:val="20"/>
          <w:szCs w:val="20"/>
          <w:lang w:val="en-GB"/>
        </w:rPr>
        <w:t xml:space="preserve">P </w:t>
      </w:r>
      <w:r w:rsidRPr="00CF47D8">
        <w:rPr>
          <w:rFonts w:cs="Arial"/>
          <w:sz w:val="20"/>
          <w:szCs w:val="20"/>
          <w:lang w:val="en-GB"/>
        </w:rPr>
        <w:t xml:space="preserve">Wragg, </w:t>
      </w:r>
      <w:r>
        <w:rPr>
          <w:rFonts w:cs="Arial"/>
          <w:sz w:val="20"/>
          <w:szCs w:val="20"/>
          <w:lang w:val="en-GB"/>
        </w:rPr>
        <w:t>‘</w:t>
      </w:r>
      <w:r w:rsidRPr="00CF47D8">
        <w:rPr>
          <w:rFonts w:cs="Arial"/>
          <w:sz w:val="20"/>
          <w:szCs w:val="20"/>
          <w:lang w:val="en-GB"/>
        </w:rPr>
        <w:t>SLAPPs in England and Wales: The Issues and the Evidence</w:t>
      </w:r>
      <w:r>
        <w:rPr>
          <w:rFonts w:cs="Arial"/>
          <w:sz w:val="20"/>
          <w:szCs w:val="20"/>
          <w:lang w:val="en-GB"/>
        </w:rPr>
        <w:t>,’</w:t>
      </w:r>
      <w:r w:rsidRPr="00CF47D8">
        <w:rPr>
          <w:rFonts w:cs="Arial"/>
          <w:sz w:val="20"/>
          <w:szCs w:val="20"/>
          <w:lang w:val="en-GB"/>
        </w:rPr>
        <w:t xml:space="preserve"> University of </w:t>
      </w:r>
      <w:r w:rsidRPr="00CF47D8">
        <w:rPr>
          <w:rFonts w:cs="Arial"/>
          <w:sz w:val="20"/>
          <w:szCs w:val="20"/>
          <w:lang w:val="en-GB" w:eastAsia="en-GB"/>
        </w:rPr>
        <w:t>Leeds School of Law Briefing Paper Series, January 2025.</w:t>
      </w:r>
    </w:p>
    <w:p w14:paraId="3F949336" w14:textId="77777777" w:rsidR="009A7EBD" w:rsidRDefault="009A7EBD" w:rsidP="009A7EBD">
      <w:pPr>
        <w:tabs>
          <w:tab w:val="left" w:pos="284"/>
        </w:tabs>
        <w:jc w:val="both"/>
        <w:rPr>
          <w:rFonts w:cs="Arial"/>
          <w:sz w:val="20"/>
          <w:szCs w:val="20"/>
          <w:lang w:val="en-GB"/>
        </w:rPr>
      </w:pPr>
    </w:p>
    <w:p w14:paraId="0C69C549" w14:textId="77777777" w:rsidR="00FF4931" w:rsidRPr="00E20635" w:rsidRDefault="00FF4931" w:rsidP="00FF4931">
      <w:pPr>
        <w:tabs>
          <w:tab w:val="left" w:pos="1072"/>
        </w:tabs>
        <w:spacing w:after="80"/>
        <w:rPr>
          <w:rFonts w:cs="Arial"/>
          <w:sz w:val="28"/>
          <w:szCs w:val="28"/>
          <w:lang w:val="en-GB"/>
        </w:rPr>
      </w:pPr>
      <w:r w:rsidRPr="00E20635">
        <w:rPr>
          <w:rFonts w:cs="Arial"/>
          <w:b/>
          <w:bCs/>
          <w:sz w:val="28"/>
          <w:szCs w:val="28"/>
          <w:lang w:val="en-GB"/>
        </w:rPr>
        <w:t>Professor Paul Wragg</w:t>
      </w:r>
    </w:p>
    <w:p w14:paraId="50C22BB4" w14:textId="77777777" w:rsidR="00FF4931" w:rsidRDefault="00FF4931" w:rsidP="00FF4931">
      <w:pPr>
        <w:tabs>
          <w:tab w:val="left" w:pos="1072"/>
        </w:tabs>
        <w:spacing w:after="80"/>
        <w:jc w:val="both"/>
        <w:rPr>
          <w:rFonts w:cs="Arial"/>
          <w:sz w:val="20"/>
          <w:szCs w:val="20"/>
          <w:lang w:val="es-ES"/>
        </w:rPr>
      </w:pPr>
      <w:r w:rsidRPr="00CF47D8">
        <w:rPr>
          <w:rFonts w:cs="Arial"/>
          <w:sz w:val="20"/>
          <w:szCs w:val="20"/>
          <w:lang w:val="es-ES"/>
        </w:rPr>
        <w:t xml:space="preserve">Paul Wragg </w:t>
      </w:r>
      <w:proofErr w:type="spellStart"/>
      <w:r w:rsidRPr="00CF47D8">
        <w:rPr>
          <w:rFonts w:cs="Arial"/>
          <w:sz w:val="20"/>
          <w:szCs w:val="20"/>
          <w:lang w:val="es-ES"/>
        </w:rPr>
        <w:t>is</w:t>
      </w:r>
      <w:proofErr w:type="spellEnd"/>
      <w:r w:rsidRPr="00CF47D8">
        <w:rPr>
          <w:rFonts w:cs="Arial"/>
          <w:sz w:val="20"/>
          <w:szCs w:val="20"/>
          <w:lang w:val="es-ES"/>
        </w:rPr>
        <w:t xml:space="preserve"> a </w:t>
      </w:r>
      <w:proofErr w:type="spellStart"/>
      <w:r w:rsidRPr="00CF47D8">
        <w:rPr>
          <w:rFonts w:cs="Arial"/>
          <w:sz w:val="20"/>
          <w:szCs w:val="20"/>
          <w:lang w:val="es-ES"/>
        </w:rPr>
        <w:t>Professor</w:t>
      </w:r>
      <w:proofErr w:type="spellEnd"/>
      <w:r w:rsidRPr="00CF47D8">
        <w:rPr>
          <w:rFonts w:cs="Arial"/>
          <w:sz w:val="20"/>
          <w:szCs w:val="20"/>
          <w:lang w:val="es-ES"/>
        </w:rPr>
        <w:t xml:space="preserve"> of Media Law at the </w:t>
      </w:r>
      <w:proofErr w:type="spellStart"/>
      <w:r w:rsidRPr="00CF47D8">
        <w:rPr>
          <w:rFonts w:cs="Arial"/>
          <w:sz w:val="20"/>
          <w:szCs w:val="20"/>
          <w:lang w:val="es-ES"/>
        </w:rPr>
        <w:t>University</w:t>
      </w:r>
      <w:proofErr w:type="spellEnd"/>
      <w:r w:rsidRPr="00CF47D8">
        <w:rPr>
          <w:rFonts w:cs="Arial"/>
          <w:sz w:val="20"/>
          <w:szCs w:val="20"/>
          <w:lang w:val="es-ES"/>
        </w:rPr>
        <w:t xml:space="preserve"> of Leeds, </w:t>
      </w:r>
      <w:proofErr w:type="spellStart"/>
      <w:r w:rsidRPr="00CF47D8">
        <w:rPr>
          <w:rFonts w:cs="Arial"/>
          <w:sz w:val="20"/>
          <w:szCs w:val="20"/>
          <w:lang w:val="es-ES"/>
        </w:rPr>
        <w:t>an</w:t>
      </w:r>
      <w:proofErr w:type="spellEnd"/>
      <w:r w:rsidRPr="00CF47D8">
        <w:rPr>
          <w:rFonts w:cs="Arial"/>
          <w:sz w:val="20"/>
          <w:szCs w:val="20"/>
          <w:lang w:val="es-ES"/>
        </w:rPr>
        <w:t xml:space="preserve"> </w:t>
      </w:r>
      <w:proofErr w:type="spellStart"/>
      <w:r w:rsidRPr="00CF47D8">
        <w:rPr>
          <w:rFonts w:cs="Arial"/>
          <w:sz w:val="20"/>
          <w:szCs w:val="20"/>
          <w:lang w:val="es-ES"/>
        </w:rPr>
        <w:t>Associate</w:t>
      </w:r>
      <w:proofErr w:type="spellEnd"/>
      <w:r w:rsidRPr="00CF47D8">
        <w:rPr>
          <w:rFonts w:cs="Arial"/>
          <w:sz w:val="20"/>
          <w:szCs w:val="20"/>
          <w:lang w:val="es-ES"/>
        </w:rPr>
        <w:t xml:space="preserve"> </w:t>
      </w:r>
      <w:proofErr w:type="spellStart"/>
      <w:r w:rsidRPr="00CF47D8">
        <w:rPr>
          <w:rFonts w:cs="Arial"/>
          <w:sz w:val="20"/>
          <w:szCs w:val="20"/>
          <w:lang w:val="es-ES"/>
        </w:rPr>
        <w:t>Fellow</w:t>
      </w:r>
      <w:proofErr w:type="spellEnd"/>
      <w:r w:rsidRPr="00CF47D8">
        <w:rPr>
          <w:rFonts w:cs="Arial"/>
          <w:sz w:val="20"/>
          <w:szCs w:val="20"/>
          <w:lang w:val="es-ES"/>
        </w:rPr>
        <w:t xml:space="preserve"> of the </w:t>
      </w:r>
      <w:proofErr w:type="spellStart"/>
      <w:r w:rsidRPr="00CF47D8">
        <w:rPr>
          <w:rFonts w:cs="Arial"/>
          <w:sz w:val="20"/>
          <w:szCs w:val="20"/>
          <w:lang w:val="es-ES"/>
        </w:rPr>
        <w:t>Inner</w:t>
      </w:r>
      <w:proofErr w:type="spellEnd"/>
      <w:r w:rsidRPr="00CF47D8">
        <w:rPr>
          <w:rFonts w:cs="Arial"/>
          <w:sz w:val="20"/>
          <w:szCs w:val="20"/>
          <w:lang w:val="es-ES"/>
        </w:rPr>
        <w:t xml:space="preserve"> Temple, and a director at the </w:t>
      </w:r>
      <w:proofErr w:type="spellStart"/>
      <w:r w:rsidRPr="00CF47D8">
        <w:rPr>
          <w:rFonts w:cs="Arial"/>
          <w:sz w:val="20"/>
          <w:szCs w:val="20"/>
          <w:lang w:val="es-ES"/>
        </w:rPr>
        <w:t>campaign</w:t>
      </w:r>
      <w:proofErr w:type="spellEnd"/>
      <w:r w:rsidRPr="00CF47D8">
        <w:rPr>
          <w:rFonts w:cs="Arial"/>
          <w:sz w:val="20"/>
          <w:szCs w:val="20"/>
          <w:lang w:val="es-ES"/>
        </w:rPr>
        <w:t xml:space="preserve"> </w:t>
      </w:r>
      <w:proofErr w:type="spellStart"/>
      <w:r w:rsidRPr="00CF47D8">
        <w:rPr>
          <w:rFonts w:cs="Arial"/>
          <w:sz w:val="20"/>
          <w:szCs w:val="20"/>
          <w:lang w:val="es-ES"/>
        </w:rPr>
        <w:t>group</w:t>
      </w:r>
      <w:proofErr w:type="spellEnd"/>
      <w:r w:rsidRPr="00CF47D8">
        <w:rPr>
          <w:rFonts w:cs="Arial"/>
          <w:sz w:val="20"/>
          <w:szCs w:val="20"/>
          <w:lang w:val="es-ES"/>
        </w:rPr>
        <w:t xml:space="preserve">, </w:t>
      </w:r>
      <w:proofErr w:type="spellStart"/>
      <w:r w:rsidRPr="00CF47D8">
        <w:rPr>
          <w:rFonts w:cs="Arial"/>
          <w:sz w:val="20"/>
          <w:szCs w:val="20"/>
          <w:lang w:val="es-ES"/>
        </w:rPr>
        <w:t>Hacked</w:t>
      </w:r>
      <w:proofErr w:type="spellEnd"/>
      <w:r w:rsidRPr="00CF47D8">
        <w:rPr>
          <w:rFonts w:cs="Arial"/>
          <w:sz w:val="20"/>
          <w:szCs w:val="20"/>
          <w:lang w:val="es-ES"/>
        </w:rPr>
        <w:t xml:space="preserve"> Off. </w:t>
      </w:r>
      <w:proofErr w:type="spellStart"/>
      <w:r w:rsidRPr="00CF47D8">
        <w:rPr>
          <w:rFonts w:cs="Arial"/>
          <w:sz w:val="20"/>
          <w:szCs w:val="20"/>
          <w:lang w:val="es-ES"/>
        </w:rPr>
        <w:t>His</w:t>
      </w:r>
      <w:proofErr w:type="spellEnd"/>
      <w:r w:rsidRPr="00CF47D8">
        <w:rPr>
          <w:rFonts w:cs="Arial"/>
          <w:sz w:val="20"/>
          <w:szCs w:val="20"/>
          <w:lang w:val="es-ES"/>
        </w:rPr>
        <w:t xml:space="preserve"> </w:t>
      </w:r>
      <w:proofErr w:type="spellStart"/>
      <w:r w:rsidRPr="00CF47D8">
        <w:rPr>
          <w:rFonts w:cs="Arial"/>
          <w:sz w:val="20"/>
          <w:szCs w:val="20"/>
          <w:lang w:val="es-ES"/>
        </w:rPr>
        <w:t>expertise</w:t>
      </w:r>
      <w:proofErr w:type="spellEnd"/>
      <w:r w:rsidRPr="00CF47D8">
        <w:rPr>
          <w:rFonts w:cs="Arial"/>
          <w:sz w:val="20"/>
          <w:szCs w:val="20"/>
          <w:lang w:val="es-ES"/>
        </w:rPr>
        <w:t xml:space="preserve"> relates </w:t>
      </w:r>
      <w:proofErr w:type="spellStart"/>
      <w:r w:rsidRPr="00CF47D8">
        <w:rPr>
          <w:rFonts w:cs="Arial"/>
          <w:sz w:val="20"/>
          <w:szCs w:val="20"/>
          <w:lang w:val="es-ES"/>
        </w:rPr>
        <w:t>to</w:t>
      </w:r>
      <w:proofErr w:type="spellEnd"/>
      <w:r w:rsidRPr="00CF47D8">
        <w:rPr>
          <w:rFonts w:cs="Arial"/>
          <w:sz w:val="20"/>
          <w:szCs w:val="20"/>
          <w:lang w:val="es-ES"/>
        </w:rPr>
        <w:t xml:space="preserve"> </w:t>
      </w:r>
      <w:proofErr w:type="spellStart"/>
      <w:r w:rsidRPr="00CF47D8">
        <w:rPr>
          <w:rFonts w:cs="Arial"/>
          <w:sz w:val="20"/>
          <w:szCs w:val="20"/>
          <w:lang w:val="es-ES"/>
        </w:rPr>
        <w:t>freedom</w:t>
      </w:r>
      <w:proofErr w:type="spellEnd"/>
      <w:r w:rsidRPr="00CF47D8">
        <w:rPr>
          <w:rFonts w:cs="Arial"/>
          <w:sz w:val="20"/>
          <w:szCs w:val="20"/>
          <w:lang w:val="es-ES"/>
        </w:rPr>
        <w:t xml:space="preserve"> of </w:t>
      </w:r>
      <w:proofErr w:type="spellStart"/>
      <w:r w:rsidRPr="00CF47D8">
        <w:rPr>
          <w:rFonts w:cs="Arial"/>
          <w:sz w:val="20"/>
          <w:szCs w:val="20"/>
          <w:lang w:val="es-ES"/>
        </w:rPr>
        <w:t>speech</w:t>
      </w:r>
      <w:proofErr w:type="spellEnd"/>
      <w:r w:rsidRPr="00CF47D8">
        <w:rPr>
          <w:rFonts w:cs="Arial"/>
          <w:sz w:val="20"/>
          <w:szCs w:val="20"/>
          <w:lang w:val="es-ES"/>
        </w:rPr>
        <w:t xml:space="preserve">, </w:t>
      </w:r>
      <w:proofErr w:type="spellStart"/>
      <w:r w:rsidRPr="00CF47D8">
        <w:rPr>
          <w:rFonts w:cs="Arial"/>
          <w:sz w:val="20"/>
          <w:szCs w:val="20"/>
          <w:lang w:val="es-ES"/>
        </w:rPr>
        <w:t>privacy</w:t>
      </w:r>
      <w:proofErr w:type="spellEnd"/>
      <w:r w:rsidRPr="00CF47D8">
        <w:rPr>
          <w:rFonts w:cs="Arial"/>
          <w:sz w:val="20"/>
          <w:szCs w:val="20"/>
          <w:lang w:val="es-ES"/>
        </w:rPr>
        <w:t xml:space="preserve"> </w:t>
      </w:r>
      <w:proofErr w:type="spellStart"/>
      <w:r w:rsidRPr="00CF47D8">
        <w:rPr>
          <w:rFonts w:cs="Arial"/>
          <w:sz w:val="20"/>
          <w:szCs w:val="20"/>
          <w:lang w:val="es-ES"/>
        </w:rPr>
        <w:t>law</w:t>
      </w:r>
      <w:proofErr w:type="spellEnd"/>
      <w:r w:rsidRPr="00CF47D8">
        <w:rPr>
          <w:rFonts w:cs="Arial"/>
          <w:sz w:val="20"/>
          <w:szCs w:val="20"/>
          <w:lang w:val="es-ES"/>
        </w:rPr>
        <w:t xml:space="preserve">, </w:t>
      </w:r>
      <w:proofErr w:type="spellStart"/>
      <w:r w:rsidRPr="00CF47D8">
        <w:rPr>
          <w:rFonts w:cs="Arial"/>
          <w:sz w:val="20"/>
          <w:szCs w:val="20"/>
          <w:lang w:val="es-ES"/>
        </w:rPr>
        <w:t>press</w:t>
      </w:r>
      <w:proofErr w:type="spellEnd"/>
      <w:r w:rsidRPr="00CF47D8">
        <w:rPr>
          <w:rFonts w:cs="Arial"/>
          <w:sz w:val="20"/>
          <w:szCs w:val="20"/>
          <w:lang w:val="es-ES"/>
        </w:rPr>
        <w:t xml:space="preserve"> </w:t>
      </w:r>
      <w:proofErr w:type="spellStart"/>
      <w:r w:rsidRPr="00CF47D8">
        <w:rPr>
          <w:rFonts w:cs="Arial"/>
          <w:sz w:val="20"/>
          <w:szCs w:val="20"/>
          <w:lang w:val="es-ES"/>
        </w:rPr>
        <w:t>freedom</w:t>
      </w:r>
      <w:proofErr w:type="spellEnd"/>
      <w:r w:rsidRPr="00CF47D8">
        <w:rPr>
          <w:rFonts w:cs="Arial"/>
          <w:sz w:val="20"/>
          <w:szCs w:val="20"/>
          <w:lang w:val="es-ES"/>
        </w:rPr>
        <w:t xml:space="preserve"> and </w:t>
      </w:r>
      <w:proofErr w:type="spellStart"/>
      <w:r w:rsidRPr="00CF47D8">
        <w:rPr>
          <w:rFonts w:cs="Arial"/>
          <w:sz w:val="20"/>
          <w:szCs w:val="20"/>
          <w:lang w:val="es-ES"/>
        </w:rPr>
        <w:t>press</w:t>
      </w:r>
      <w:proofErr w:type="spellEnd"/>
      <w:r w:rsidRPr="00CF47D8">
        <w:rPr>
          <w:rFonts w:cs="Arial"/>
          <w:sz w:val="20"/>
          <w:szCs w:val="20"/>
          <w:lang w:val="es-ES"/>
        </w:rPr>
        <w:t xml:space="preserve"> </w:t>
      </w:r>
      <w:proofErr w:type="spellStart"/>
      <w:r w:rsidRPr="00CF47D8">
        <w:rPr>
          <w:rFonts w:cs="Arial"/>
          <w:sz w:val="20"/>
          <w:szCs w:val="20"/>
          <w:lang w:val="es-ES"/>
        </w:rPr>
        <w:t>regulation</w:t>
      </w:r>
      <w:proofErr w:type="spellEnd"/>
      <w:r w:rsidRPr="00CF47D8">
        <w:rPr>
          <w:rFonts w:cs="Arial"/>
          <w:sz w:val="20"/>
          <w:szCs w:val="20"/>
          <w:lang w:val="es-ES"/>
        </w:rPr>
        <w:t xml:space="preserve">. </w:t>
      </w:r>
      <w:proofErr w:type="spellStart"/>
      <w:r w:rsidRPr="00CF47D8">
        <w:rPr>
          <w:rFonts w:cs="Arial"/>
          <w:sz w:val="20"/>
          <w:szCs w:val="20"/>
          <w:lang w:val="es-ES"/>
        </w:rPr>
        <w:t>His</w:t>
      </w:r>
      <w:proofErr w:type="spellEnd"/>
      <w:r w:rsidRPr="00CF47D8">
        <w:rPr>
          <w:rFonts w:cs="Arial"/>
          <w:sz w:val="20"/>
          <w:szCs w:val="20"/>
          <w:lang w:val="es-ES"/>
        </w:rPr>
        <w:t xml:space="preserve"> </w:t>
      </w:r>
      <w:proofErr w:type="spellStart"/>
      <w:r w:rsidRPr="00CF47D8">
        <w:rPr>
          <w:rFonts w:cs="Arial"/>
          <w:sz w:val="20"/>
          <w:szCs w:val="20"/>
          <w:lang w:val="es-ES"/>
        </w:rPr>
        <w:t>work</w:t>
      </w:r>
      <w:proofErr w:type="spellEnd"/>
      <w:r w:rsidRPr="00CF47D8">
        <w:rPr>
          <w:rFonts w:cs="Arial"/>
          <w:sz w:val="20"/>
          <w:szCs w:val="20"/>
          <w:lang w:val="es-ES"/>
        </w:rPr>
        <w:t xml:space="preserve"> has </w:t>
      </w:r>
      <w:proofErr w:type="spellStart"/>
      <w:r w:rsidRPr="00CF47D8">
        <w:rPr>
          <w:rFonts w:cs="Arial"/>
          <w:sz w:val="20"/>
          <w:szCs w:val="20"/>
          <w:lang w:val="es-ES"/>
        </w:rPr>
        <w:t>been</w:t>
      </w:r>
      <w:proofErr w:type="spellEnd"/>
      <w:r w:rsidRPr="00CF47D8">
        <w:rPr>
          <w:rFonts w:cs="Arial"/>
          <w:sz w:val="20"/>
          <w:szCs w:val="20"/>
          <w:lang w:val="es-ES"/>
        </w:rPr>
        <w:t xml:space="preserve"> </w:t>
      </w:r>
      <w:proofErr w:type="spellStart"/>
      <w:r w:rsidRPr="00CF47D8">
        <w:rPr>
          <w:rFonts w:cs="Arial"/>
          <w:sz w:val="20"/>
          <w:szCs w:val="20"/>
          <w:lang w:val="es-ES"/>
        </w:rPr>
        <w:t>published</w:t>
      </w:r>
      <w:proofErr w:type="spellEnd"/>
      <w:r w:rsidRPr="00CF47D8">
        <w:rPr>
          <w:rFonts w:cs="Arial"/>
          <w:sz w:val="20"/>
          <w:szCs w:val="20"/>
          <w:lang w:val="es-ES"/>
        </w:rPr>
        <w:t xml:space="preserve"> </w:t>
      </w:r>
      <w:proofErr w:type="spellStart"/>
      <w:r w:rsidRPr="00CF47D8">
        <w:rPr>
          <w:rFonts w:cs="Arial"/>
          <w:sz w:val="20"/>
          <w:szCs w:val="20"/>
          <w:lang w:val="es-ES"/>
        </w:rPr>
        <w:t>extensively</w:t>
      </w:r>
      <w:proofErr w:type="spellEnd"/>
      <w:r w:rsidRPr="00CF47D8">
        <w:rPr>
          <w:rFonts w:cs="Arial"/>
          <w:sz w:val="20"/>
          <w:szCs w:val="20"/>
          <w:lang w:val="es-ES"/>
        </w:rPr>
        <w:t xml:space="preserve">, </w:t>
      </w:r>
      <w:proofErr w:type="spellStart"/>
      <w:r w:rsidRPr="00CF47D8">
        <w:rPr>
          <w:rFonts w:cs="Arial"/>
          <w:sz w:val="20"/>
          <w:szCs w:val="20"/>
          <w:lang w:val="es-ES"/>
        </w:rPr>
        <w:t>both</w:t>
      </w:r>
      <w:proofErr w:type="spellEnd"/>
      <w:r w:rsidRPr="00CF47D8">
        <w:rPr>
          <w:rFonts w:cs="Arial"/>
          <w:sz w:val="20"/>
          <w:szCs w:val="20"/>
          <w:lang w:val="es-ES"/>
        </w:rPr>
        <w:t xml:space="preserve"> </w:t>
      </w:r>
      <w:proofErr w:type="spellStart"/>
      <w:r w:rsidRPr="00CF47D8">
        <w:rPr>
          <w:rFonts w:cs="Arial"/>
          <w:sz w:val="20"/>
          <w:szCs w:val="20"/>
          <w:lang w:val="es-ES"/>
        </w:rPr>
        <w:t>nationally</w:t>
      </w:r>
      <w:proofErr w:type="spellEnd"/>
      <w:r w:rsidRPr="00CF47D8">
        <w:rPr>
          <w:rFonts w:cs="Arial"/>
          <w:sz w:val="20"/>
          <w:szCs w:val="20"/>
          <w:lang w:val="es-ES"/>
        </w:rPr>
        <w:t xml:space="preserve"> and </w:t>
      </w:r>
      <w:proofErr w:type="spellStart"/>
      <w:r w:rsidRPr="00CF47D8">
        <w:rPr>
          <w:rFonts w:cs="Arial"/>
          <w:sz w:val="20"/>
          <w:szCs w:val="20"/>
          <w:lang w:val="es-ES"/>
        </w:rPr>
        <w:t>internationally</w:t>
      </w:r>
      <w:proofErr w:type="spellEnd"/>
      <w:r w:rsidRPr="00CF47D8">
        <w:rPr>
          <w:rFonts w:cs="Arial"/>
          <w:sz w:val="20"/>
          <w:szCs w:val="20"/>
          <w:lang w:val="es-ES"/>
        </w:rPr>
        <w:t xml:space="preserve">. In </w:t>
      </w:r>
      <w:proofErr w:type="spellStart"/>
      <w:r w:rsidRPr="00CF47D8">
        <w:rPr>
          <w:rFonts w:cs="Arial"/>
          <w:sz w:val="20"/>
          <w:szCs w:val="20"/>
          <w:lang w:val="es-ES"/>
        </w:rPr>
        <w:t>addition</w:t>
      </w:r>
      <w:proofErr w:type="spellEnd"/>
      <w:r w:rsidRPr="00CF47D8">
        <w:rPr>
          <w:rFonts w:cs="Arial"/>
          <w:sz w:val="20"/>
          <w:szCs w:val="20"/>
          <w:lang w:val="es-ES"/>
        </w:rPr>
        <w:t xml:space="preserve"> </w:t>
      </w:r>
      <w:proofErr w:type="spellStart"/>
      <w:r w:rsidRPr="00CF47D8">
        <w:rPr>
          <w:rFonts w:cs="Arial"/>
          <w:sz w:val="20"/>
          <w:szCs w:val="20"/>
          <w:lang w:val="es-ES"/>
        </w:rPr>
        <w:t>to</w:t>
      </w:r>
      <w:proofErr w:type="spellEnd"/>
      <w:r w:rsidRPr="00CF47D8">
        <w:rPr>
          <w:rFonts w:cs="Arial"/>
          <w:sz w:val="20"/>
          <w:szCs w:val="20"/>
          <w:lang w:val="es-ES"/>
        </w:rPr>
        <w:t xml:space="preserve"> </w:t>
      </w:r>
      <w:proofErr w:type="spellStart"/>
      <w:r w:rsidRPr="00CF47D8">
        <w:rPr>
          <w:rFonts w:cs="Arial"/>
          <w:sz w:val="20"/>
          <w:szCs w:val="20"/>
          <w:lang w:val="es-ES"/>
        </w:rPr>
        <w:t>journal</w:t>
      </w:r>
      <w:proofErr w:type="spellEnd"/>
      <w:r w:rsidRPr="00CF47D8">
        <w:rPr>
          <w:rFonts w:cs="Arial"/>
          <w:sz w:val="20"/>
          <w:szCs w:val="20"/>
          <w:lang w:val="es-ES"/>
        </w:rPr>
        <w:t xml:space="preserve"> </w:t>
      </w:r>
      <w:proofErr w:type="spellStart"/>
      <w:r w:rsidRPr="00CF47D8">
        <w:rPr>
          <w:rFonts w:cs="Arial"/>
          <w:sz w:val="20"/>
          <w:szCs w:val="20"/>
          <w:lang w:val="es-ES"/>
        </w:rPr>
        <w:t>articles</w:t>
      </w:r>
      <w:proofErr w:type="spellEnd"/>
      <w:r w:rsidRPr="00CF47D8">
        <w:rPr>
          <w:rFonts w:cs="Arial"/>
          <w:sz w:val="20"/>
          <w:szCs w:val="20"/>
          <w:lang w:val="es-ES"/>
        </w:rPr>
        <w:t xml:space="preserve">, </w:t>
      </w:r>
      <w:proofErr w:type="spellStart"/>
      <w:r w:rsidRPr="00CF47D8">
        <w:rPr>
          <w:rFonts w:cs="Arial"/>
          <w:sz w:val="20"/>
          <w:szCs w:val="20"/>
          <w:lang w:val="es-ES"/>
        </w:rPr>
        <w:t>book</w:t>
      </w:r>
      <w:proofErr w:type="spellEnd"/>
      <w:r w:rsidRPr="00CF47D8">
        <w:rPr>
          <w:rFonts w:cs="Arial"/>
          <w:sz w:val="20"/>
          <w:szCs w:val="20"/>
          <w:lang w:val="es-ES"/>
        </w:rPr>
        <w:t xml:space="preserve"> </w:t>
      </w:r>
      <w:proofErr w:type="spellStart"/>
      <w:r w:rsidRPr="00CF47D8">
        <w:rPr>
          <w:rFonts w:cs="Arial"/>
          <w:sz w:val="20"/>
          <w:szCs w:val="20"/>
          <w:lang w:val="es-ES"/>
        </w:rPr>
        <w:t>chapters</w:t>
      </w:r>
      <w:proofErr w:type="spellEnd"/>
      <w:r w:rsidRPr="00CF47D8">
        <w:rPr>
          <w:rFonts w:cs="Arial"/>
          <w:sz w:val="20"/>
          <w:szCs w:val="20"/>
          <w:lang w:val="es-ES"/>
        </w:rPr>
        <w:t xml:space="preserve">, </w:t>
      </w:r>
      <w:proofErr w:type="spellStart"/>
      <w:r w:rsidRPr="00CF47D8">
        <w:rPr>
          <w:rFonts w:cs="Arial"/>
          <w:sz w:val="20"/>
          <w:szCs w:val="20"/>
          <w:lang w:val="es-ES"/>
        </w:rPr>
        <w:t>edited</w:t>
      </w:r>
      <w:proofErr w:type="spellEnd"/>
      <w:r w:rsidRPr="00CF47D8">
        <w:rPr>
          <w:rFonts w:cs="Arial"/>
          <w:sz w:val="20"/>
          <w:szCs w:val="20"/>
          <w:lang w:val="es-ES"/>
        </w:rPr>
        <w:t xml:space="preserve"> </w:t>
      </w:r>
      <w:proofErr w:type="spellStart"/>
      <w:r w:rsidRPr="00CF47D8">
        <w:rPr>
          <w:rFonts w:cs="Arial"/>
          <w:sz w:val="20"/>
          <w:szCs w:val="20"/>
          <w:lang w:val="es-ES"/>
        </w:rPr>
        <w:t>collections</w:t>
      </w:r>
      <w:proofErr w:type="spellEnd"/>
      <w:r w:rsidRPr="00CF47D8">
        <w:rPr>
          <w:rFonts w:cs="Arial"/>
          <w:sz w:val="20"/>
          <w:szCs w:val="20"/>
          <w:lang w:val="es-ES"/>
        </w:rPr>
        <w:t xml:space="preserve">, and </w:t>
      </w:r>
      <w:proofErr w:type="spellStart"/>
      <w:r w:rsidRPr="00CF47D8">
        <w:rPr>
          <w:rFonts w:cs="Arial"/>
          <w:sz w:val="20"/>
          <w:szCs w:val="20"/>
          <w:lang w:val="es-ES"/>
        </w:rPr>
        <w:t>blogposts</w:t>
      </w:r>
      <w:proofErr w:type="spellEnd"/>
      <w:r w:rsidRPr="00CF47D8">
        <w:rPr>
          <w:rFonts w:cs="Arial"/>
          <w:sz w:val="20"/>
          <w:szCs w:val="20"/>
          <w:lang w:val="es-ES"/>
        </w:rPr>
        <w:t xml:space="preserve">, he </w:t>
      </w:r>
      <w:proofErr w:type="spellStart"/>
      <w:r w:rsidRPr="00CF47D8">
        <w:rPr>
          <w:rFonts w:cs="Arial"/>
          <w:sz w:val="20"/>
          <w:szCs w:val="20"/>
          <w:lang w:val="es-ES"/>
        </w:rPr>
        <w:t>is</w:t>
      </w:r>
      <w:proofErr w:type="spellEnd"/>
      <w:r w:rsidRPr="00CF47D8">
        <w:rPr>
          <w:rFonts w:cs="Arial"/>
          <w:sz w:val="20"/>
          <w:szCs w:val="20"/>
          <w:lang w:val="es-ES"/>
        </w:rPr>
        <w:t xml:space="preserve"> the </w:t>
      </w:r>
      <w:proofErr w:type="spellStart"/>
      <w:r w:rsidRPr="00CF47D8">
        <w:rPr>
          <w:rFonts w:cs="Arial"/>
          <w:sz w:val="20"/>
          <w:szCs w:val="20"/>
          <w:lang w:val="es-ES"/>
        </w:rPr>
        <w:t>author</w:t>
      </w:r>
      <w:proofErr w:type="spellEnd"/>
      <w:r w:rsidRPr="00CF47D8">
        <w:rPr>
          <w:rFonts w:cs="Arial"/>
          <w:sz w:val="20"/>
          <w:szCs w:val="20"/>
          <w:lang w:val="es-ES"/>
        </w:rPr>
        <w:t xml:space="preserve"> of </w:t>
      </w:r>
      <w:r w:rsidRPr="00CF47D8">
        <w:rPr>
          <w:rFonts w:cs="Arial"/>
          <w:i/>
          <w:iCs/>
          <w:sz w:val="20"/>
          <w:szCs w:val="20"/>
          <w:lang w:val="es-ES"/>
        </w:rPr>
        <w:t xml:space="preserve">A Free and </w:t>
      </w:r>
      <w:proofErr w:type="spellStart"/>
      <w:r w:rsidRPr="00CF47D8">
        <w:rPr>
          <w:rFonts w:cs="Arial"/>
          <w:i/>
          <w:iCs/>
          <w:sz w:val="20"/>
          <w:szCs w:val="20"/>
          <w:lang w:val="es-ES"/>
        </w:rPr>
        <w:t>Regulated</w:t>
      </w:r>
      <w:proofErr w:type="spellEnd"/>
      <w:r w:rsidRPr="00CF47D8">
        <w:rPr>
          <w:rFonts w:cs="Arial"/>
          <w:i/>
          <w:iCs/>
          <w:sz w:val="20"/>
          <w:szCs w:val="20"/>
          <w:lang w:val="es-ES"/>
        </w:rPr>
        <w:t xml:space="preserve"> </w:t>
      </w:r>
      <w:proofErr w:type="spellStart"/>
      <w:r w:rsidRPr="00CF47D8">
        <w:rPr>
          <w:rFonts w:cs="Arial"/>
          <w:i/>
          <w:iCs/>
          <w:sz w:val="20"/>
          <w:szCs w:val="20"/>
          <w:lang w:val="es-ES"/>
        </w:rPr>
        <w:t>Press</w:t>
      </w:r>
      <w:proofErr w:type="spellEnd"/>
      <w:r w:rsidRPr="00CF47D8">
        <w:rPr>
          <w:rFonts w:cs="Arial"/>
          <w:i/>
          <w:iCs/>
          <w:sz w:val="20"/>
          <w:szCs w:val="20"/>
          <w:lang w:val="es-ES"/>
        </w:rPr>
        <w:t xml:space="preserve">: </w:t>
      </w:r>
      <w:proofErr w:type="spellStart"/>
      <w:r w:rsidRPr="00CF47D8">
        <w:rPr>
          <w:rFonts w:cs="Arial"/>
          <w:i/>
          <w:iCs/>
          <w:sz w:val="20"/>
          <w:szCs w:val="20"/>
          <w:lang w:val="es-ES"/>
        </w:rPr>
        <w:t>Defending</w:t>
      </w:r>
      <w:proofErr w:type="spellEnd"/>
      <w:r w:rsidRPr="00CF47D8">
        <w:rPr>
          <w:rFonts w:cs="Arial"/>
          <w:i/>
          <w:iCs/>
          <w:sz w:val="20"/>
          <w:szCs w:val="20"/>
          <w:lang w:val="es-ES"/>
        </w:rPr>
        <w:t xml:space="preserve"> </w:t>
      </w:r>
      <w:proofErr w:type="spellStart"/>
      <w:r w:rsidRPr="00CF47D8">
        <w:rPr>
          <w:rFonts w:cs="Arial"/>
          <w:i/>
          <w:iCs/>
          <w:sz w:val="20"/>
          <w:szCs w:val="20"/>
          <w:lang w:val="es-ES"/>
        </w:rPr>
        <w:t>Coercive</w:t>
      </w:r>
      <w:proofErr w:type="spellEnd"/>
      <w:r w:rsidRPr="00CF47D8">
        <w:rPr>
          <w:rFonts w:cs="Arial"/>
          <w:i/>
          <w:iCs/>
          <w:sz w:val="20"/>
          <w:szCs w:val="20"/>
          <w:lang w:val="es-ES"/>
        </w:rPr>
        <w:t xml:space="preserve"> </w:t>
      </w:r>
      <w:proofErr w:type="spellStart"/>
      <w:r w:rsidRPr="00CF47D8">
        <w:rPr>
          <w:rFonts w:cs="Arial"/>
          <w:i/>
          <w:iCs/>
          <w:sz w:val="20"/>
          <w:szCs w:val="20"/>
          <w:lang w:val="es-ES"/>
        </w:rPr>
        <w:t>Independent</w:t>
      </w:r>
      <w:proofErr w:type="spellEnd"/>
      <w:r w:rsidRPr="00CF47D8">
        <w:rPr>
          <w:rFonts w:cs="Arial"/>
          <w:i/>
          <w:iCs/>
          <w:sz w:val="20"/>
          <w:szCs w:val="20"/>
          <w:lang w:val="es-ES"/>
        </w:rPr>
        <w:t xml:space="preserve"> </w:t>
      </w:r>
      <w:proofErr w:type="spellStart"/>
      <w:r w:rsidRPr="00CF47D8">
        <w:rPr>
          <w:rFonts w:cs="Arial"/>
          <w:i/>
          <w:iCs/>
          <w:sz w:val="20"/>
          <w:szCs w:val="20"/>
          <w:lang w:val="es-ES"/>
        </w:rPr>
        <w:t>Press</w:t>
      </w:r>
      <w:proofErr w:type="spellEnd"/>
      <w:r w:rsidRPr="00CF47D8">
        <w:rPr>
          <w:rFonts w:cs="Arial"/>
          <w:i/>
          <w:iCs/>
          <w:sz w:val="20"/>
          <w:szCs w:val="20"/>
          <w:lang w:val="es-ES"/>
        </w:rPr>
        <w:t xml:space="preserve"> </w:t>
      </w:r>
      <w:proofErr w:type="spellStart"/>
      <w:r w:rsidRPr="00CF47D8">
        <w:rPr>
          <w:rFonts w:cs="Arial"/>
          <w:i/>
          <w:iCs/>
          <w:sz w:val="20"/>
          <w:szCs w:val="20"/>
          <w:lang w:val="es-ES"/>
        </w:rPr>
        <w:t>Regulation</w:t>
      </w:r>
      <w:proofErr w:type="spellEnd"/>
      <w:r w:rsidRPr="00CF47D8">
        <w:rPr>
          <w:rFonts w:cs="Arial"/>
          <w:sz w:val="20"/>
          <w:szCs w:val="20"/>
          <w:lang w:val="es-ES"/>
        </w:rPr>
        <w:t xml:space="preserve"> (Hart, 2020) and </w:t>
      </w:r>
      <w:r w:rsidRPr="00CF47D8">
        <w:rPr>
          <w:rFonts w:cs="Arial"/>
          <w:i/>
          <w:iCs/>
          <w:sz w:val="20"/>
          <w:szCs w:val="20"/>
          <w:lang w:val="es-ES"/>
        </w:rPr>
        <w:t xml:space="preserve">Free </w:t>
      </w:r>
      <w:proofErr w:type="spellStart"/>
      <w:r w:rsidRPr="00CF47D8">
        <w:rPr>
          <w:rFonts w:cs="Arial"/>
          <w:i/>
          <w:iCs/>
          <w:sz w:val="20"/>
          <w:szCs w:val="20"/>
          <w:lang w:val="es-ES"/>
        </w:rPr>
        <w:t>Speech</w:t>
      </w:r>
      <w:proofErr w:type="spellEnd"/>
      <w:r w:rsidRPr="00CF47D8">
        <w:rPr>
          <w:rFonts w:cs="Arial"/>
          <w:i/>
          <w:iCs/>
          <w:sz w:val="20"/>
          <w:szCs w:val="20"/>
          <w:lang w:val="es-ES"/>
        </w:rPr>
        <w:t xml:space="preserve"> </w:t>
      </w:r>
      <w:proofErr w:type="spellStart"/>
      <w:r w:rsidRPr="00CF47D8">
        <w:rPr>
          <w:rFonts w:cs="Arial"/>
          <w:i/>
          <w:iCs/>
          <w:sz w:val="20"/>
          <w:szCs w:val="20"/>
          <w:lang w:val="es-ES"/>
        </w:rPr>
        <w:t>Theory</w:t>
      </w:r>
      <w:proofErr w:type="spellEnd"/>
      <w:r w:rsidRPr="00CF47D8">
        <w:rPr>
          <w:rFonts w:cs="Arial"/>
          <w:i/>
          <w:iCs/>
          <w:sz w:val="20"/>
          <w:szCs w:val="20"/>
          <w:lang w:val="es-ES"/>
        </w:rPr>
        <w:t xml:space="preserve">: A Radical </w:t>
      </w:r>
      <w:proofErr w:type="spellStart"/>
      <w:r w:rsidRPr="00CF47D8">
        <w:rPr>
          <w:rFonts w:cs="Arial"/>
          <w:i/>
          <w:iCs/>
          <w:sz w:val="20"/>
          <w:szCs w:val="20"/>
          <w:lang w:val="es-ES"/>
        </w:rPr>
        <w:t>Restatement</w:t>
      </w:r>
      <w:proofErr w:type="spellEnd"/>
      <w:r w:rsidRPr="00CF47D8">
        <w:rPr>
          <w:rFonts w:cs="Arial"/>
          <w:sz w:val="20"/>
          <w:szCs w:val="20"/>
          <w:lang w:val="es-ES"/>
        </w:rPr>
        <w:t xml:space="preserve"> (Hart, 2025).</w:t>
      </w:r>
    </w:p>
    <w:p w14:paraId="44137C58" w14:textId="77777777" w:rsidR="00FF4931" w:rsidRPr="00CF47D8" w:rsidRDefault="00FF4931" w:rsidP="00FF4931">
      <w:pPr>
        <w:tabs>
          <w:tab w:val="left" w:pos="1072"/>
        </w:tabs>
        <w:spacing w:after="80"/>
        <w:jc w:val="both"/>
        <w:rPr>
          <w:rFonts w:cs="Arial"/>
          <w:sz w:val="20"/>
          <w:szCs w:val="20"/>
          <w:lang w:val="es-ES"/>
        </w:rPr>
      </w:pPr>
      <w:proofErr w:type="spellStart"/>
      <w:r w:rsidRPr="00CF47D8">
        <w:rPr>
          <w:rFonts w:cs="Arial"/>
          <w:sz w:val="20"/>
          <w:szCs w:val="20"/>
          <w:lang w:val="es-ES"/>
        </w:rPr>
        <w:t>Contact</w:t>
      </w:r>
      <w:proofErr w:type="spellEnd"/>
      <w:r w:rsidRPr="00CF47D8">
        <w:rPr>
          <w:rFonts w:cs="Arial"/>
          <w:sz w:val="20"/>
          <w:szCs w:val="20"/>
          <w:lang w:val="es-ES"/>
        </w:rPr>
        <w:t xml:space="preserve"> </w:t>
      </w:r>
      <w:proofErr w:type="spellStart"/>
      <w:r w:rsidRPr="00CF47D8">
        <w:rPr>
          <w:rFonts w:cs="Arial"/>
          <w:sz w:val="20"/>
          <w:szCs w:val="20"/>
          <w:lang w:val="es-ES"/>
        </w:rPr>
        <w:t>details</w:t>
      </w:r>
      <w:proofErr w:type="spellEnd"/>
      <w:r w:rsidRPr="00CF47D8">
        <w:rPr>
          <w:rFonts w:cs="Arial"/>
          <w:sz w:val="20"/>
          <w:szCs w:val="20"/>
          <w:lang w:val="es-ES"/>
        </w:rPr>
        <w:t xml:space="preserve">: </w:t>
      </w:r>
      <w:hyperlink r:id="rId15" w:history="1">
        <w:r w:rsidRPr="00CF47D8">
          <w:rPr>
            <w:rStyle w:val="Hyperlink"/>
            <w:rFonts w:cs="Arial"/>
            <w:sz w:val="20"/>
            <w:szCs w:val="20"/>
            <w:lang w:val="es-ES"/>
          </w:rPr>
          <w:t>p.m.wragg@leeds.ac.uk</w:t>
        </w:r>
      </w:hyperlink>
    </w:p>
    <w:p w14:paraId="3A9621A6" w14:textId="77777777" w:rsidR="00FF4931" w:rsidRDefault="00FF4931" w:rsidP="00FF4931">
      <w:pPr>
        <w:tabs>
          <w:tab w:val="left" w:pos="1072"/>
        </w:tabs>
        <w:jc w:val="both"/>
        <w:rPr>
          <w:rFonts w:cs="Arial"/>
          <w:sz w:val="20"/>
          <w:szCs w:val="20"/>
          <w:lang w:val="es-ES"/>
        </w:rPr>
      </w:pPr>
    </w:p>
    <w:p w14:paraId="41E05F33" w14:textId="77777777" w:rsidR="009A7EBD" w:rsidRPr="00E20635" w:rsidRDefault="009A7EBD" w:rsidP="009A7EBD">
      <w:pPr>
        <w:tabs>
          <w:tab w:val="left" w:pos="1072"/>
        </w:tabs>
        <w:spacing w:before="80" w:after="80"/>
        <w:rPr>
          <w:rFonts w:cs="Arial"/>
          <w:sz w:val="28"/>
          <w:szCs w:val="28"/>
          <w:lang w:val="en-GB"/>
        </w:rPr>
      </w:pPr>
      <w:r w:rsidRPr="00E20635">
        <w:rPr>
          <w:rFonts w:cs="Arial"/>
          <w:b/>
          <w:bCs/>
          <w:sz w:val="28"/>
          <w:szCs w:val="28"/>
          <w:lang w:val="en-GB"/>
        </w:rPr>
        <w:t xml:space="preserve">The School of Law at the University of Leeds </w:t>
      </w:r>
    </w:p>
    <w:p w14:paraId="57B10689" w14:textId="25EFBEB3" w:rsidR="009A7EBD" w:rsidRPr="00EB7E6E" w:rsidRDefault="009A7EBD" w:rsidP="009A7EBD">
      <w:pPr>
        <w:tabs>
          <w:tab w:val="left" w:pos="1072"/>
        </w:tabs>
        <w:spacing w:after="80"/>
        <w:jc w:val="both"/>
        <w:rPr>
          <w:rFonts w:cs="Arial"/>
          <w:sz w:val="20"/>
          <w:lang w:val="en-GB"/>
        </w:rPr>
      </w:pPr>
      <w:r w:rsidRPr="00EB7E6E">
        <w:rPr>
          <w:rFonts w:cs="Arial"/>
          <w:sz w:val="20"/>
          <w:lang w:val="en-GB"/>
        </w:rPr>
        <w:t xml:space="preserve">The School of Law at the University of Leeds is one of the leading law schools in the UK. </w:t>
      </w:r>
      <w:r w:rsidR="00E117B2" w:rsidRPr="00EB7E6E">
        <w:rPr>
          <w:rFonts w:cs="Arial"/>
          <w:sz w:val="20"/>
          <w:lang w:val="en-GB"/>
        </w:rPr>
        <w:t xml:space="preserve">The most recent Research Excellence Framework (REF 2021) recognised 92% of research activity entered by the School of Law as either ‘world-leading’ or ‘internationally excellent’. </w:t>
      </w:r>
      <w:r w:rsidRPr="00EB7E6E">
        <w:rPr>
          <w:rFonts w:cs="Arial"/>
          <w:sz w:val="20"/>
          <w:lang w:val="en-GB"/>
        </w:rPr>
        <w:t>Since its establishment in 1899, the School has grown into a vibrant and collegial community of over 100 academic members of staff with a breadth and diversity of expertise. Its four thriving research centres – the Centre for Business Law and Practice, the Centre for Criminal Justice Studies, the Centre for Innovation and Research in Legal Education, and the Centre for Law and Social Justice – share the same goal of producing impactful research that is conceptually rich, theoretically informed, and empirically rigorous.</w:t>
      </w:r>
    </w:p>
    <w:p w14:paraId="5D0F956C" w14:textId="291974F5" w:rsidR="00D83A98" w:rsidRPr="00EB7E6E" w:rsidRDefault="00E117B2" w:rsidP="009A7EBD">
      <w:pPr>
        <w:tabs>
          <w:tab w:val="left" w:pos="1072"/>
        </w:tabs>
        <w:spacing w:before="120"/>
        <w:jc w:val="both"/>
        <w:rPr>
          <w:rFonts w:cs="Arial"/>
          <w:sz w:val="20"/>
          <w:lang w:val="en-GB"/>
        </w:rPr>
      </w:pPr>
      <w:r>
        <w:rPr>
          <w:rFonts w:cs="Arial"/>
          <w:sz w:val="20"/>
          <w:lang w:val="en-GB"/>
        </w:rPr>
        <w:t xml:space="preserve">Professor Wragg belongs to the Centre for Business Law and Practice. </w:t>
      </w:r>
      <w:r w:rsidR="009A7EBD" w:rsidRPr="00EB7E6E">
        <w:rPr>
          <w:rFonts w:cs="Arial"/>
          <w:sz w:val="20"/>
          <w:lang w:val="en-GB"/>
        </w:rPr>
        <w:t xml:space="preserve">Established in 1996, the Centre </w:t>
      </w:r>
      <w:r w:rsidR="00D2654D">
        <w:rPr>
          <w:rFonts w:cs="Arial"/>
          <w:sz w:val="20"/>
          <w:lang w:val="en-GB"/>
        </w:rPr>
        <w:t xml:space="preserve">has </w:t>
      </w:r>
      <w:r>
        <w:rPr>
          <w:rFonts w:cs="Arial"/>
          <w:sz w:val="20"/>
          <w:lang w:val="en-GB"/>
        </w:rPr>
        <w:t xml:space="preserve">gained </w:t>
      </w:r>
      <w:r w:rsidR="009A7EBD" w:rsidRPr="00EB7E6E">
        <w:rPr>
          <w:rFonts w:cs="Arial"/>
          <w:sz w:val="20"/>
          <w:lang w:val="en-GB"/>
        </w:rPr>
        <w:t>an international reputation for high quality research and impact across key areas of business law, including corporate and financial law, competition law, environmental law, intellectual property law, tax, regulation, and contract, consumer and commercial law. The Centre is home to over 30 academic staff and a large postgraduate community, guided by an advisory board of national and international legal experts and practitioners. In September 2025 the Centre will host the annual conference of the Society of Legal Scholars, the oldest and largest learned society in the field of law in the UK.</w:t>
      </w:r>
    </w:p>
    <w:sectPr w:rsidR="00D83A98" w:rsidRPr="00EB7E6E" w:rsidSect="00B51439">
      <w:headerReference w:type="default" r:id="rId16"/>
      <w:footerReference w:type="default" r:id="rId17"/>
      <w:pgSz w:w="11900" w:h="16840"/>
      <w:pgMar w:top="1985" w:right="567" w:bottom="1985"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641F" w14:textId="77777777" w:rsidR="00C412FB" w:rsidRDefault="00C412FB" w:rsidP="008E7CF3">
      <w:r>
        <w:separator/>
      </w:r>
    </w:p>
  </w:endnote>
  <w:endnote w:type="continuationSeparator" w:id="0">
    <w:p w14:paraId="2860294C" w14:textId="77777777" w:rsidR="00C412FB" w:rsidRDefault="00C412FB" w:rsidP="008E7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auto"/>
    <w:pitch w:val="default"/>
    <w:sig w:usb0="00000000" w:usb1="00000000" w:usb2="00000000" w:usb3="00000000" w:csb0="000001BF" w:csb1="00000000"/>
  </w:font>
  <w:font w:name="Sabon LT Std">
    <w:altName w:val="Cambria"/>
    <w:panose1 w:val="00000000000000000000"/>
    <w:charset w:val="00"/>
    <w:family w:val="roman"/>
    <w:notTrueType/>
    <w:pitch w:val="variable"/>
    <w:sig w:usb0="00000003" w:usb1="5000204A" w:usb2="00000000" w:usb3="00000000" w:csb0="00000001" w:csb1="00000000"/>
  </w:font>
  <w:font w:name="TradeGothic Bold">
    <w:altName w:val="Calibri"/>
    <w:charset w:val="00"/>
    <w:family w:val="auto"/>
    <w:pitch w:val="variable"/>
    <w:sig w:usb0="00000003" w:usb1="00000000" w:usb2="00000000" w:usb3="00000000" w:csb0="00000001" w:csb1="00000000"/>
  </w:font>
  <w:font w:name="TradeGothic BoldTwo">
    <w:altName w:val="Calibri"/>
    <w:charset w:val="00"/>
    <w:family w:val="auto"/>
    <w:pitch w:val="variable"/>
    <w:sig w:usb0="00000003" w:usb1="00000000" w:usb2="00000000" w:usb3="00000000" w:csb0="00000001" w:csb1="00000000"/>
  </w:font>
  <w:font w:name="Trade Gothic Next Rounded">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F6A9" w14:textId="77777777" w:rsidR="004923B3" w:rsidRPr="00AA3CA9" w:rsidRDefault="004923B3" w:rsidP="00FC5674">
    <w:pPr>
      <w:pStyle w:val="Footer"/>
      <w:jc w:val="center"/>
      <w:rPr>
        <w:rFonts w:ascii="TradeGothic BoldTwo" w:hAnsi="TradeGothic BoldTwo"/>
        <w:color w:val="FFFFFF"/>
      </w:rPr>
    </w:pPr>
    <w:r w:rsidRPr="00AA3CA9">
      <w:rPr>
        <w:rStyle w:val="PageNumber"/>
        <w:rFonts w:ascii="TradeGothic BoldTwo" w:hAnsi="TradeGothic BoldTwo"/>
        <w:color w:val="FFFFFF"/>
      </w:rPr>
      <w:fldChar w:fldCharType="begin"/>
    </w:r>
    <w:r w:rsidRPr="00AA3CA9">
      <w:rPr>
        <w:rStyle w:val="PageNumber"/>
        <w:rFonts w:ascii="TradeGothic BoldTwo" w:hAnsi="TradeGothic BoldTwo"/>
        <w:color w:val="FFFFFF"/>
      </w:rPr>
      <w:instrText xml:space="preserve"> PAGE </w:instrText>
    </w:r>
    <w:r w:rsidRPr="00AA3CA9">
      <w:rPr>
        <w:rStyle w:val="PageNumber"/>
        <w:rFonts w:ascii="TradeGothic BoldTwo" w:hAnsi="TradeGothic BoldTwo"/>
        <w:color w:val="FFFFFF"/>
      </w:rPr>
      <w:fldChar w:fldCharType="separate"/>
    </w:r>
    <w:r w:rsidR="004B71B1">
      <w:rPr>
        <w:rStyle w:val="PageNumber"/>
        <w:rFonts w:ascii="TradeGothic BoldTwo" w:hAnsi="TradeGothic BoldTwo"/>
        <w:noProof/>
        <w:color w:val="FFFFFF"/>
      </w:rPr>
      <w:t>4</w:t>
    </w:r>
    <w:r w:rsidRPr="00AA3CA9">
      <w:rPr>
        <w:rStyle w:val="PageNumber"/>
        <w:rFonts w:ascii="TradeGothic BoldTwo" w:hAnsi="TradeGothic BoldTwo"/>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D759" w14:textId="77777777" w:rsidR="00121322" w:rsidRDefault="00121322" w:rsidP="00121322">
    <w:pPr>
      <w:pStyle w:val="Footer"/>
      <w:rPr>
        <w:rFonts w:ascii="Trade Gothic Next Rounded" w:hAnsi="Trade Gothic Next Rounded"/>
        <w:color w:val="FFFFFF"/>
      </w:rPr>
    </w:pPr>
    <w:r w:rsidRPr="00EC20B0">
      <w:rPr>
        <w:rFonts w:ascii="Trade Gothic Next Rounded" w:hAnsi="Trade Gothic Next Rounded"/>
        <w:color w:val="FFFFFF"/>
      </w:rPr>
      <w:t>Please contact us if you require this</w:t>
    </w:r>
  </w:p>
  <w:p w14:paraId="3E5FE6D5" w14:textId="25A24567" w:rsidR="004923B3" w:rsidRPr="00AA3CA9" w:rsidRDefault="00121322" w:rsidP="00121322">
    <w:pPr>
      <w:pStyle w:val="Footer"/>
      <w:rPr>
        <w:rFonts w:ascii="TradeGothic BoldTwo" w:hAnsi="TradeGothic BoldTwo"/>
        <w:color w:val="FFFFFF"/>
      </w:rPr>
    </w:pPr>
    <w:r w:rsidRPr="00EC20B0">
      <w:rPr>
        <w:rFonts w:ascii="Trade Gothic Next Rounded" w:hAnsi="Trade Gothic Next Rounded"/>
        <w:color w:val="FFFFFF"/>
      </w:rPr>
      <w:t>briefing paper</w:t>
    </w:r>
    <w:r>
      <w:rPr>
        <w:rFonts w:ascii="Trade Gothic Next Rounded" w:hAnsi="Trade Gothic Next Rounded"/>
        <w:color w:val="FFFFFF"/>
      </w:rPr>
      <w:t xml:space="preserve"> </w:t>
    </w:r>
    <w:r w:rsidRPr="00EC20B0">
      <w:rPr>
        <w:rFonts w:ascii="Trade Gothic Next Rounded" w:hAnsi="Trade Gothic Next Rounded"/>
        <w:color w:val="FFFFFF"/>
      </w:rPr>
      <w:t>in an alternative format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B838A" w14:textId="77777777" w:rsidR="00C412FB" w:rsidRDefault="00C412FB" w:rsidP="008E7CF3">
      <w:r>
        <w:separator/>
      </w:r>
    </w:p>
  </w:footnote>
  <w:footnote w:type="continuationSeparator" w:id="0">
    <w:p w14:paraId="51486EB9" w14:textId="77777777" w:rsidR="00C412FB" w:rsidRDefault="00C412FB" w:rsidP="008E7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D7E2" w14:textId="2FE01788" w:rsidR="004923B3" w:rsidRPr="001A18A1" w:rsidRDefault="005B4E36" w:rsidP="00C45DBB">
    <w:pPr>
      <w:tabs>
        <w:tab w:val="center" w:pos="5383"/>
      </w:tabs>
      <w:spacing w:line="600" w:lineRule="auto"/>
      <w:rPr>
        <w:rFonts w:ascii="TradeGothic Bold" w:hAnsi="TradeGothic Bold"/>
        <w:color w:val="BD9965"/>
        <w:sz w:val="32"/>
        <w:szCs w:val="32"/>
      </w:rPr>
    </w:pPr>
    <w:r>
      <w:rPr>
        <w:noProof/>
      </w:rPr>
      <w:drawing>
        <wp:anchor distT="0" distB="0" distL="114300" distR="114300" simplePos="0" relativeHeight="251655680" behindDoc="1" locked="1" layoutInCell="1" allowOverlap="1" wp14:anchorId="4BD0DA26" wp14:editId="159FD5F7">
          <wp:simplePos x="0" y="0"/>
          <wp:positionH relativeFrom="margin">
            <wp:posOffset>-379095</wp:posOffset>
          </wp:positionH>
          <wp:positionV relativeFrom="margin">
            <wp:posOffset>-1549400</wp:posOffset>
          </wp:positionV>
          <wp:extent cx="7594600" cy="10748010"/>
          <wp:effectExtent l="0" t="0" r="0" b="0"/>
          <wp:wrapNone/>
          <wp:docPr id="19481567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74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3B3">
      <w:rPr>
        <w:rFonts w:ascii="TradeGothic Bold" w:hAnsi="TradeGothic Bold"/>
        <w:color w:val="BD9965"/>
        <w:sz w:val="32"/>
        <w:szCs w:val="32"/>
      </w:rPr>
      <w:t>BRI</w:t>
    </w:r>
    <w:r w:rsidR="004923B3" w:rsidRPr="006C0EAA">
      <w:rPr>
        <w:rFonts w:ascii="TradeGothic Bold" w:hAnsi="TradeGothic Bold"/>
        <w:color w:val="BD9965"/>
        <w:sz w:val="32"/>
        <w:szCs w:val="32"/>
      </w:rPr>
      <w:t>EFING PAPER: 1</w:t>
    </w:r>
    <w:r w:rsidR="004923B3">
      <w:rPr>
        <w:rFonts w:ascii="TradeGothic Bold" w:hAnsi="TradeGothic Bold"/>
        <w:color w:val="BD9965"/>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C6A7" w14:textId="4A633ABC" w:rsidR="004923B3" w:rsidRPr="001F01C8" w:rsidRDefault="005B4E36" w:rsidP="002175FA">
    <w:pPr>
      <w:spacing w:line="276" w:lineRule="auto"/>
      <w:jc w:val="both"/>
      <w:rPr>
        <w:color w:val="BD9965"/>
        <w:sz w:val="32"/>
        <w:szCs w:val="32"/>
      </w:rPr>
    </w:pPr>
    <w:r w:rsidRPr="001C30C7">
      <w:rPr>
        <w:noProof/>
        <w:sz w:val="20"/>
      </w:rPr>
      <w:drawing>
        <wp:anchor distT="0" distB="0" distL="114300" distR="114300" simplePos="0" relativeHeight="251657728" behindDoc="1" locked="0" layoutInCell="1" allowOverlap="1" wp14:anchorId="264DC0CB" wp14:editId="4A7A217B">
          <wp:simplePos x="0" y="0"/>
          <wp:positionH relativeFrom="margin">
            <wp:posOffset>-377190</wp:posOffset>
          </wp:positionH>
          <wp:positionV relativeFrom="paragraph">
            <wp:posOffset>-1800225</wp:posOffset>
          </wp:positionV>
          <wp:extent cx="7591425" cy="10737850"/>
          <wp:effectExtent l="0" t="0" r="0" b="0"/>
          <wp:wrapNone/>
          <wp:docPr id="537606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3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3B3" w:rsidRPr="001C30C7">
      <w:rPr>
        <w:b/>
        <w:color w:val="BD9965"/>
        <w:sz w:val="28"/>
        <w:szCs w:val="32"/>
      </w:rPr>
      <w:t>BRIEFING PAPER</w:t>
    </w:r>
  </w:p>
  <w:p w14:paraId="6725D181" w14:textId="0F58924C" w:rsidR="004923B3" w:rsidRPr="00AA3CA9" w:rsidRDefault="00DF7E44" w:rsidP="00005AD7">
    <w:pPr>
      <w:tabs>
        <w:tab w:val="left" w:pos="9984"/>
      </w:tabs>
      <w:jc w:val="both"/>
      <w:rPr>
        <w:b/>
        <w:color w:val="FFFFFF"/>
        <w:sz w:val="44"/>
        <w:szCs w:val="44"/>
      </w:rPr>
    </w:pPr>
    <w:r w:rsidRPr="00DF7E44">
      <w:rPr>
        <w:b/>
        <w:color w:val="FFFFFF"/>
        <w:sz w:val="44"/>
        <w:szCs w:val="44"/>
      </w:rPr>
      <w:t>SLAPPs in England and Wales: The Issues and the Evidence</w:t>
    </w:r>
    <w:r w:rsidR="00005AD7" w:rsidRPr="00AA3CA9">
      <w:rPr>
        <w:b/>
        <w:color w:val="FFFFFF"/>
        <w:sz w:val="44"/>
        <w:szCs w:val="44"/>
      </w:rPr>
      <w:tab/>
    </w:r>
  </w:p>
  <w:p w14:paraId="30E31DBA" w14:textId="5716DD47" w:rsidR="004923B3" w:rsidRPr="0014291A" w:rsidRDefault="00DF7E44" w:rsidP="002175FA">
    <w:pPr>
      <w:pStyle w:val="Header"/>
      <w:rPr>
        <w:rFonts w:ascii="Sabon LT Std" w:hAnsi="Sabon LT Std"/>
      </w:rPr>
    </w:pPr>
    <w:r>
      <w:rPr>
        <w:rFonts w:ascii="Sabon LT Std" w:hAnsi="Sabon LT Std"/>
        <w:i/>
        <w:color w:val="FFFFFF"/>
        <w:sz w:val="40"/>
        <w:szCs w:val="40"/>
      </w:rPr>
      <w:t>Professor Paul Wragg</w:t>
    </w:r>
    <w:r w:rsidR="004923B3" w:rsidRPr="0014291A">
      <w:rPr>
        <w:rFonts w:ascii="Sabon LT Std" w:hAnsi="Sabon LT Std"/>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0F9D" w14:textId="29DB6449" w:rsidR="004923B3" w:rsidRPr="001F01C8" w:rsidRDefault="005B4E36" w:rsidP="00C45DBB">
    <w:pPr>
      <w:tabs>
        <w:tab w:val="center" w:pos="5383"/>
      </w:tabs>
      <w:spacing w:line="600" w:lineRule="auto"/>
      <w:rPr>
        <w:b/>
        <w:color w:val="BD9965"/>
        <w:sz w:val="32"/>
        <w:szCs w:val="32"/>
      </w:rPr>
    </w:pPr>
    <w:r>
      <w:rPr>
        <w:noProof/>
      </w:rPr>
      <w:drawing>
        <wp:anchor distT="0" distB="0" distL="114300" distR="114300" simplePos="0" relativeHeight="251659776" behindDoc="1" locked="1" layoutInCell="1" allowOverlap="1" wp14:anchorId="0FE9EF2F" wp14:editId="180C45B8">
          <wp:simplePos x="0" y="0"/>
          <wp:positionH relativeFrom="margin">
            <wp:posOffset>-379095</wp:posOffset>
          </wp:positionH>
          <wp:positionV relativeFrom="margin">
            <wp:align>center</wp:align>
          </wp:positionV>
          <wp:extent cx="7590790" cy="10742295"/>
          <wp:effectExtent l="0" t="0" r="0" b="0"/>
          <wp:wrapNone/>
          <wp:docPr id="223227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1074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3B3" w:rsidRPr="001F01C8">
      <w:rPr>
        <w:b/>
        <w:color w:val="BD9965"/>
        <w:sz w:val="32"/>
        <w:szCs w:val="32"/>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40FE" w14:textId="7DCBFBAA" w:rsidR="004923B3" w:rsidRDefault="005B4E36" w:rsidP="002175FA">
    <w:pPr>
      <w:pStyle w:val="Header"/>
    </w:pPr>
    <w:r>
      <w:rPr>
        <w:noProof/>
      </w:rPr>
      <w:drawing>
        <wp:anchor distT="0" distB="0" distL="114300" distR="114300" simplePos="0" relativeHeight="251656704" behindDoc="1" locked="0" layoutInCell="1" allowOverlap="1" wp14:anchorId="1C89A3D6" wp14:editId="66023584">
          <wp:simplePos x="0" y="0"/>
          <wp:positionH relativeFrom="margin">
            <wp:align>center</wp:align>
          </wp:positionH>
          <wp:positionV relativeFrom="margin">
            <wp:posOffset>-3230880</wp:posOffset>
          </wp:positionV>
          <wp:extent cx="7559675" cy="10698480"/>
          <wp:effectExtent l="0" t="0" r="0" b="0"/>
          <wp:wrapNone/>
          <wp:docPr id="9143010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4D2B" w14:textId="68E69B06" w:rsidR="004923B3" w:rsidRPr="002C6C1F" w:rsidRDefault="005B4E36" w:rsidP="00C45DBB">
    <w:pPr>
      <w:tabs>
        <w:tab w:val="center" w:pos="5383"/>
      </w:tabs>
      <w:spacing w:line="600" w:lineRule="auto"/>
      <w:rPr>
        <w:rFonts w:cs="Arial"/>
        <w:b/>
        <w:color w:val="BD9965"/>
        <w:sz w:val="32"/>
        <w:szCs w:val="32"/>
      </w:rPr>
    </w:pPr>
    <w:r>
      <w:rPr>
        <w:noProof/>
      </w:rPr>
      <w:drawing>
        <wp:anchor distT="0" distB="0" distL="114300" distR="114300" simplePos="0" relativeHeight="251658752" behindDoc="1" locked="0" layoutInCell="1" allowOverlap="1" wp14:anchorId="675F0056" wp14:editId="36BC17B7">
          <wp:simplePos x="0" y="0"/>
          <wp:positionH relativeFrom="margin">
            <wp:posOffset>-361315</wp:posOffset>
          </wp:positionH>
          <wp:positionV relativeFrom="margin">
            <wp:posOffset>-1260475</wp:posOffset>
          </wp:positionV>
          <wp:extent cx="7559675" cy="1069340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3B3" w:rsidRPr="002C6C1F">
      <w:rPr>
        <w:rFonts w:cs="Arial"/>
        <w:b/>
        <w:color w:val="BD9965"/>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9390E"/>
    <w:multiLevelType w:val="hybridMultilevel"/>
    <w:tmpl w:val="25E07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E4B79"/>
    <w:multiLevelType w:val="hybridMultilevel"/>
    <w:tmpl w:val="6F40662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432A7090"/>
    <w:multiLevelType w:val="hybridMultilevel"/>
    <w:tmpl w:val="1D0EF19A"/>
    <w:lvl w:ilvl="0" w:tplc="2D462082">
      <w:start w:val="1"/>
      <w:numFmt w:val="bullet"/>
      <w:lvlText w:val="•"/>
      <w:lvlJc w:val="left"/>
      <w:pPr>
        <w:tabs>
          <w:tab w:val="num" w:pos="720"/>
        </w:tabs>
        <w:ind w:left="720" w:hanging="360"/>
      </w:pPr>
      <w:rPr>
        <w:rFonts w:ascii="Arial" w:hAnsi="Arial" w:hint="default"/>
      </w:rPr>
    </w:lvl>
    <w:lvl w:ilvl="1" w:tplc="62D4D640" w:tentative="1">
      <w:start w:val="1"/>
      <w:numFmt w:val="bullet"/>
      <w:lvlText w:val="•"/>
      <w:lvlJc w:val="left"/>
      <w:pPr>
        <w:tabs>
          <w:tab w:val="num" w:pos="1440"/>
        </w:tabs>
        <w:ind w:left="1440" w:hanging="360"/>
      </w:pPr>
      <w:rPr>
        <w:rFonts w:ascii="Arial" w:hAnsi="Arial" w:hint="default"/>
      </w:rPr>
    </w:lvl>
    <w:lvl w:ilvl="2" w:tplc="01BCC54A" w:tentative="1">
      <w:start w:val="1"/>
      <w:numFmt w:val="bullet"/>
      <w:lvlText w:val="•"/>
      <w:lvlJc w:val="left"/>
      <w:pPr>
        <w:tabs>
          <w:tab w:val="num" w:pos="2160"/>
        </w:tabs>
        <w:ind w:left="2160" w:hanging="360"/>
      </w:pPr>
      <w:rPr>
        <w:rFonts w:ascii="Arial" w:hAnsi="Arial" w:hint="default"/>
      </w:rPr>
    </w:lvl>
    <w:lvl w:ilvl="3" w:tplc="1F10F1F6" w:tentative="1">
      <w:start w:val="1"/>
      <w:numFmt w:val="bullet"/>
      <w:lvlText w:val="•"/>
      <w:lvlJc w:val="left"/>
      <w:pPr>
        <w:tabs>
          <w:tab w:val="num" w:pos="2880"/>
        </w:tabs>
        <w:ind w:left="2880" w:hanging="360"/>
      </w:pPr>
      <w:rPr>
        <w:rFonts w:ascii="Arial" w:hAnsi="Arial" w:hint="default"/>
      </w:rPr>
    </w:lvl>
    <w:lvl w:ilvl="4" w:tplc="2B9099EA" w:tentative="1">
      <w:start w:val="1"/>
      <w:numFmt w:val="bullet"/>
      <w:lvlText w:val="•"/>
      <w:lvlJc w:val="left"/>
      <w:pPr>
        <w:tabs>
          <w:tab w:val="num" w:pos="3600"/>
        </w:tabs>
        <w:ind w:left="3600" w:hanging="360"/>
      </w:pPr>
      <w:rPr>
        <w:rFonts w:ascii="Arial" w:hAnsi="Arial" w:hint="default"/>
      </w:rPr>
    </w:lvl>
    <w:lvl w:ilvl="5" w:tplc="34724DF4" w:tentative="1">
      <w:start w:val="1"/>
      <w:numFmt w:val="bullet"/>
      <w:lvlText w:val="•"/>
      <w:lvlJc w:val="left"/>
      <w:pPr>
        <w:tabs>
          <w:tab w:val="num" w:pos="4320"/>
        </w:tabs>
        <w:ind w:left="4320" w:hanging="360"/>
      </w:pPr>
      <w:rPr>
        <w:rFonts w:ascii="Arial" w:hAnsi="Arial" w:hint="default"/>
      </w:rPr>
    </w:lvl>
    <w:lvl w:ilvl="6" w:tplc="E41A7AF2" w:tentative="1">
      <w:start w:val="1"/>
      <w:numFmt w:val="bullet"/>
      <w:lvlText w:val="•"/>
      <w:lvlJc w:val="left"/>
      <w:pPr>
        <w:tabs>
          <w:tab w:val="num" w:pos="5040"/>
        </w:tabs>
        <w:ind w:left="5040" w:hanging="360"/>
      </w:pPr>
      <w:rPr>
        <w:rFonts w:ascii="Arial" w:hAnsi="Arial" w:hint="default"/>
      </w:rPr>
    </w:lvl>
    <w:lvl w:ilvl="7" w:tplc="0AE8C3CE" w:tentative="1">
      <w:start w:val="1"/>
      <w:numFmt w:val="bullet"/>
      <w:lvlText w:val="•"/>
      <w:lvlJc w:val="left"/>
      <w:pPr>
        <w:tabs>
          <w:tab w:val="num" w:pos="5760"/>
        </w:tabs>
        <w:ind w:left="5760" w:hanging="360"/>
      </w:pPr>
      <w:rPr>
        <w:rFonts w:ascii="Arial" w:hAnsi="Arial" w:hint="default"/>
      </w:rPr>
    </w:lvl>
    <w:lvl w:ilvl="8" w:tplc="490CAF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E94601A"/>
    <w:multiLevelType w:val="hybridMultilevel"/>
    <w:tmpl w:val="01FA100C"/>
    <w:lvl w:ilvl="0" w:tplc="E63624B8">
      <w:numFmt w:val="bullet"/>
      <w:lvlText w:val=""/>
      <w:lvlJc w:val="left"/>
      <w:pPr>
        <w:ind w:left="502" w:hanging="360"/>
      </w:pPr>
      <w:rPr>
        <w:rFonts w:ascii="Symbol" w:eastAsia="MS Mincho" w:hAnsi="Symbol"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76377AC6"/>
    <w:multiLevelType w:val="hybridMultilevel"/>
    <w:tmpl w:val="8A9A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6311E2"/>
    <w:multiLevelType w:val="hybridMultilevel"/>
    <w:tmpl w:val="6DB663C2"/>
    <w:lvl w:ilvl="0" w:tplc="2340AA26">
      <w:start w:val="1"/>
      <w:numFmt w:val="bullet"/>
      <w:lvlText w:val=""/>
      <w:lvlJc w:val="left"/>
      <w:pPr>
        <w:ind w:left="425"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766653"/>
    <w:multiLevelType w:val="hybridMultilevel"/>
    <w:tmpl w:val="AC5840EE"/>
    <w:lvl w:ilvl="0" w:tplc="78527622">
      <w:start w:val="1"/>
      <w:numFmt w:val="bullet"/>
      <w:lvlText w:val="•"/>
      <w:lvlJc w:val="left"/>
      <w:pPr>
        <w:tabs>
          <w:tab w:val="num" w:pos="720"/>
        </w:tabs>
        <w:ind w:left="720" w:hanging="360"/>
      </w:pPr>
      <w:rPr>
        <w:rFonts w:ascii="Arial" w:hAnsi="Arial" w:hint="default"/>
      </w:rPr>
    </w:lvl>
    <w:lvl w:ilvl="1" w:tplc="83B42D90" w:tentative="1">
      <w:start w:val="1"/>
      <w:numFmt w:val="bullet"/>
      <w:lvlText w:val="•"/>
      <w:lvlJc w:val="left"/>
      <w:pPr>
        <w:tabs>
          <w:tab w:val="num" w:pos="1440"/>
        </w:tabs>
        <w:ind w:left="1440" w:hanging="360"/>
      </w:pPr>
      <w:rPr>
        <w:rFonts w:ascii="Arial" w:hAnsi="Arial" w:hint="default"/>
      </w:rPr>
    </w:lvl>
    <w:lvl w:ilvl="2" w:tplc="66CE7C5A" w:tentative="1">
      <w:start w:val="1"/>
      <w:numFmt w:val="bullet"/>
      <w:lvlText w:val="•"/>
      <w:lvlJc w:val="left"/>
      <w:pPr>
        <w:tabs>
          <w:tab w:val="num" w:pos="2160"/>
        </w:tabs>
        <w:ind w:left="2160" w:hanging="360"/>
      </w:pPr>
      <w:rPr>
        <w:rFonts w:ascii="Arial" w:hAnsi="Arial" w:hint="default"/>
      </w:rPr>
    </w:lvl>
    <w:lvl w:ilvl="3" w:tplc="2B68B9C2" w:tentative="1">
      <w:start w:val="1"/>
      <w:numFmt w:val="bullet"/>
      <w:lvlText w:val="•"/>
      <w:lvlJc w:val="left"/>
      <w:pPr>
        <w:tabs>
          <w:tab w:val="num" w:pos="2880"/>
        </w:tabs>
        <w:ind w:left="2880" w:hanging="360"/>
      </w:pPr>
      <w:rPr>
        <w:rFonts w:ascii="Arial" w:hAnsi="Arial" w:hint="default"/>
      </w:rPr>
    </w:lvl>
    <w:lvl w:ilvl="4" w:tplc="CE3EDEC0" w:tentative="1">
      <w:start w:val="1"/>
      <w:numFmt w:val="bullet"/>
      <w:lvlText w:val="•"/>
      <w:lvlJc w:val="left"/>
      <w:pPr>
        <w:tabs>
          <w:tab w:val="num" w:pos="3600"/>
        </w:tabs>
        <w:ind w:left="3600" w:hanging="360"/>
      </w:pPr>
      <w:rPr>
        <w:rFonts w:ascii="Arial" w:hAnsi="Arial" w:hint="default"/>
      </w:rPr>
    </w:lvl>
    <w:lvl w:ilvl="5" w:tplc="0D2CC6D8" w:tentative="1">
      <w:start w:val="1"/>
      <w:numFmt w:val="bullet"/>
      <w:lvlText w:val="•"/>
      <w:lvlJc w:val="left"/>
      <w:pPr>
        <w:tabs>
          <w:tab w:val="num" w:pos="4320"/>
        </w:tabs>
        <w:ind w:left="4320" w:hanging="360"/>
      </w:pPr>
      <w:rPr>
        <w:rFonts w:ascii="Arial" w:hAnsi="Arial" w:hint="default"/>
      </w:rPr>
    </w:lvl>
    <w:lvl w:ilvl="6" w:tplc="038A3D80" w:tentative="1">
      <w:start w:val="1"/>
      <w:numFmt w:val="bullet"/>
      <w:lvlText w:val="•"/>
      <w:lvlJc w:val="left"/>
      <w:pPr>
        <w:tabs>
          <w:tab w:val="num" w:pos="5040"/>
        </w:tabs>
        <w:ind w:left="5040" w:hanging="360"/>
      </w:pPr>
      <w:rPr>
        <w:rFonts w:ascii="Arial" w:hAnsi="Arial" w:hint="default"/>
      </w:rPr>
    </w:lvl>
    <w:lvl w:ilvl="7" w:tplc="DB9229D4" w:tentative="1">
      <w:start w:val="1"/>
      <w:numFmt w:val="bullet"/>
      <w:lvlText w:val="•"/>
      <w:lvlJc w:val="left"/>
      <w:pPr>
        <w:tabs>
          <w:tab w:val="num" w:pos="5760"/>
        </w:tabs>
        <w:ind w:left="5760" w:hanging="360"/>
      </w:pPr>
      <w:rPr>
        <w:rFonts w:ascii="Arial" w:hAnsi="Arial" w:hint="default"/>
      </w:rPr>
    </w:lvl>
    <w:lvl w:ilvl="8" w:tplc="14729D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C1B6CBC"/>
    <w:multiLevelType w:val="hybridMultilevel"/>
    <w:tmpl w:val="8638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1500914">
    <w:abstractNumId w:val="5"/>
  </w:num>
  <w:num w:numId="2" w16cid:durableId="392780326">
    <w:abstractNumId w:val="2"/>
  </w:num>
  <w:num w:numId="3" w16cid:durableId="811629939">
    <w:abstractNumId w:val="6"/>
  </w:num>
  <w:num w:numId="4" w16cid:durableId="1491826118">
    <w:abstractNumId w:val="3"/>
  </w:num>
  <w:num w:numId="5" w16cid:durableId="1749037065">
    <w:abstractNumId w:val="4"/>
  </w:num>
  <w:num w:numId="6" w16cid:durableId="1785735004">
    <w:abstractNumId w:val="0"/>
  </w:num>
  <w:num w:numId="7" w16cid:durableId="1041436178">
    <w:abstractNumId w:val="7"/>
  </w:num>
  <w:num w:numId="8" w16cid:durableId="811562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F3"/>
    <w:rsid w:val="00003A02"/>
    <w:rsid w:val="00005AD7"/>
    <w:rsid w:val="00036103"/>
    <w:rsid w:val="00036566"/>
    <w:rsid w:val="00056D48"/>
    <w:rsid w:val="000A5588"/>
    <w:rsid w:val="000B3842"/>
    <w:rsid w:val="000C4042"/>
    <w:rsid w:val="000D1F72"/>
    <w:rsid w:val="00106B63"/>
    <w:rsid w:val="00113379"/>
    <w:rsid w:val="00121322"/>
    <w:rsid w:val="00124219"/>
    <w:rsid w:val="00130362"/>
    <w:rsid w:val="00130D6C"/>
    <w:rsid w:val="0014291A"/>
    <w:rsid w:val="00150279"/>
    <w:rsid w:val="00167FDB"/>
    <w:rsid w:val="0019180F"/>
    <w:rsid w:val="001A18A1"/>
    <w:rsid w:val="001A7509"/>
    <w:rsid w:val="001B4BAC"/>
    <w:rsid w:val="001C30C7"/>
    <w:rsid w:val="001E1574"/>
    <w:rsid w:val="001E3A8C"/>
    <w:rsid w:val="001E7660"/>
    <w:rsid w:val="001F01C8"/>
    <w:rsid w:val="002175FA"/>
    <w:rsid w:val="002219F2"/>
    <w:rsid w:val="00254F6A"/>
    <w:rsid w:val="0026243A"/>
    <w:rsid w:val="00262BF5"/>
    <w:rsid w:val="00270646"/>
    <w:rsid w:val="002928D5"/>
    <w:rsid w:val="002A4941"/>
    <w:rsid w:val="002B61F8"/>
    <w:rsid w:val="002C500B"/>
    <w:rsid w:val="002C6C1F"/>
    <w:rsid w:val="0030075C"/>
    <w:rsid w:val="0035224C"/>
    <w:rsid w:val="003B6EAD"/>
    <w:rsid w:val="003C3011"/>
    <w:rsid w:val="003D7EF0"/>
    <w:rsid w:val="003F3A87"/>
    <w:rsid w:val="00412F49"/>
    <w:rsid w:val="0044406C"/>
    <w:rsid w:val="00446743"/>
    <w:rsid w:val="00447F85"/>
    <w:rsid w:val="004644E4"/>
    <w:rsid w:val="004923B3"/>
    <w:rsid w:val="004B1417"/>
    <w:rsid w:val="004B4187"/>
    <w:rsid w:val="004B71B1"/>
    <w:rsid w:val="004D4FD7"/>
    <w:rsid w:val="004D5FC6"/>
    <w:rsid w:val="004F7259"/>
    <w:rsid w:val="00501106"/>
    <w:rsid w:val="005143AD"/>
    <w:rsid w:val="00553333"/>
    <w:rsid w:val="00587297"/>
    <w:rsid w:val="005B4E36"/>
    <w:rsid w:val="005D7773"/>
    <w:rsid w:val="005D7E11"/>
    <w:rsid w:val="005F03E4"/>
    <w:rsid w:val="005F6E5F"/>
    <w:rsid w:val="00603EF2"/>
    <w:rsid w:val="00671113"/>
    <w:rsid w:val="006E14E6"/>
    <w:rsid w:val="006E2506"/>
    <w:rsid w:val="006F69AB"/>
    <w:rsid w:val="0070537F"/>
    <w:rsid w:val="00726BE6"/>
    <w:rsid w:val="007338C3"/>
    <w:rsid w:val="00765CF1"/>
    <w:rsid w:val="00775BA5"/>
    <w:rsid w:val="00791439"/>
    <w:rsid w:val="00793974"/>
    <w:rsid w:val="007B0A5E"/>
    <w:rsid w:val="008223F7"/>
    <w:rsid w:val="008421A0"/>
    <w:rsid w:val="00874419"/>
    <w:rsid w:val="00897F6C"/>
    <w:rsid w:val="008A3CC8"/>
    <w:rsid w:val="008E7CF3"/>
    <w:rsid w:val="009022DE"/>
    <w:rsid w:val="0091015A"/>
    <w:rsid w:val="0091386A"/>
    <w:rsid w:val="00921BBB"/>
    <w:rsid w:val="00933927"/>
    <w:rsid w:val="009551E3"/>
    <w:rsid w:val="0095554C"/>
    <w:rsid w:val="009715F6"/>
    <w:rsid w:val="009A7EBD"/>
    <w:rsid w:val="00A04846"/>
    <w:rsid w:val="00A260D1"/>
    <w:rsid w:val="00A710B2"/>
    <w:rsid w:val="00AA3CA9"/>
    <w:rsid w:val="00AC01CB"/>
    <w:rsid w:val="00AC25A7"/>
    <w:rsid w:val="00AE1D2D"/>
    <w:rsid w:val="00AF0194"/>
    <w:rsid w:val="00AF3238"/>
    <w:rsid w:val="00B17605"/>
    <w:rsid w:val="00B2089E"/>
    <w:rsid w:val="00B24D92"/>
    <w:rsid w:val="00B4794E"/>
    <w:rsid w:val="00B51439"/>
    <w:rsid w:val="00B8228B"/>
    <w:rsid w:val="00B92150"/>
    <w:rsid w:val="00B9456A"/>
    <w:rsid w:val="00C16C37"/>
    <w:rsid w:val="00C412FB"/>
    <w:rsid w:val="00C45DBB"/>
    <w:rsid w:val="00C77931"/>
    <w:rsid w:val="00CA50CF"/>
    <w:rsid w:val="00CA69F1"/>
    <w:rsid w:val="00CB7C32"/>
    <w:rsid w:val="00CD1B43"/>
    <w:rsid w:val="00CD5A94"/>
    <w:rsid w:val="00D2654D"/>
    <w:rsid w:val="00D800A1"/>
    <w:rsid w:val="00D836C0"/>
    <w:rsid w:val="00D83A98"/>
    <w:rsid w:val="00D961FD"/>
    <w:rsid w:val="00D97E67"/>
    <w:rsid w:val="00DB7AE4"/>
    <w:rsid w:val="00DE3FD2"/>
    <w:rsid w:val="00DF7937"/>
    <w:rsid w:val="00DF7E44"/>
    <w:rsid w:val="00E0391B"/>
    <w:rsid w:val="00E117B2"/>
    <w:rsid w:val="00E20635"/>
    <w:rsid w:val="00E83A4A"/>
    <w:rsid w:val="00E83AA9"/>
    <w:rsid w:val="00EB7E6E"/>
    <w:rsid w:val="00EC5433"/>
    <w:rsid w:val="00ED16C2"/>
    <w:rsid w:val="00EE4B66"/>
    <w:rsid w:val="00EF0691"/>
    <w:rsid w:val="00F01192"/>
    <w:rsid w:val="00F17A06"/>
    <w:rsid w:val="00F64620"/>
    <w:rsid w:val="00F7018B"/>
    <w:rsid w:val="00F8761F"/>
    <w:rsid w:val="00FC5674"/>
    <w:rsid w:val="00FC5C56"/>
    <w:rsid w:val="00FC7120"/>
    <w:rsid w:val="00FD4353"/>
    <w:rsid w:val="00FE42DB"/>
    <w:rsid w:val="00FF49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8CF4B5"/>
  <w14:defaultImageDpi w14:val="300"/>
  <w15:docId w15:val="{29AEE193-04BA-4B70-88AE-ADEA93C9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3B3"/>
    <w:rPr>
      <w:rFonts w:ascii="Arial" w:hAnsi="Arial"/>
      <w:sz w:val="24"/>
      <w:szCs w:val="24"/>
      <w:lang w:val="en-US" w:eastAsia="en-US"/>
    </w:rPr>
  </w:style>
  <w:style w:type="paragraph" w:styleId="Heading2">
    <w:name w:val="heading 2"/>
    <w:basedOn w:val="Normal"/>
    <w:next w:val="Normal"/>
    <w:link w:val="Heading2Char"/>
    <w:uiPriority w:val="9"/>
    <w:semiHidden/>
    <w:unhideWhenUsed/>
    <w:qFormat/>
    <w:rsid w:val="004923B3"/>
    <w:pPr>
      <w:keepNext/>
      <w:keepLines/>
      <w:spacing w:before="200"/>
      <w:outlineLvl w:val="1"/>
    </w:pPr>
    <w:rPr>
      <w:rFonts w:eastAsia="MS Gothic"/>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CF3"/>
    <w:pPr>
      <w:tabs>
        <w:tab w:val="center" w:pos="4320"/>
        <w:tab w:val="right" w:pos="8640"/>
      </w:tabs>
    </w:pPr>
  </w:style>
  <w:style w:type="character" w:customStyle="1" w:styleId="HeaderChar">
    <w:name w:val="Header Char"/>
    <w:basedOn w:val="DefaultParagraphFont"/>
    <w:link w:val="Header"/>
    <w:uiPriority w:val="99"/>
    <w:rsid w:val="008E7CF3"/>
  </w:style>
  <w:style w:type="paragraph" w:styleId="Footer">
    <w:name w:val="footer"/>
    <w:basedOn w:val="Normal"/>
    <w:link w:val="FooterChar"/>
    <w:uiPriority w:val="99"/>
    <w:unhideWhenUsed/>
    <w:rsid w:val="008E7CF3"/>
    <w:pPr>
      <w:tabs>
        <w:tab w:val="center" w:pos="4320"/>
        <w:tab w:val="right" w:pos="8640"/>
      </w:tabs>
    </w:pPr>
  </w:style>
  <w:style w:type="character" w:customStyle="1" w:styleId="FooterChar">
    <w:name w:val="Footer Char"/>
    <w:basedOn w:val="DefaultParagraphFont"/>
    <w:link w:val="Footer"/>
    <w:uiPriority w:val="99"/>
    <w:rsid w:val="008E7CF3"/>
  </w:style>
  <w:style w:type="paragraph" w:styleId="BalloonText">
    <w:name w:val="Balloon Text"/>
    <w:basedOn w:val="Normal"/>
    <w:link w:val="BalloonTextChar"/>
    <w:uiPriority w:val="99"/>
    <w:semiHidden/>
    <w:unhideWhenUsed/>
    <w:rsid w:val="008E7CF3"/>
    <w:rPr>
      <w:rFonts w:ascii="Lucida Grande" w:hAnsi="Lucida Grande" w:cs="Lucida Grande"/>
      <w:sz w:val="18"/>
      <w:szCs w:val="18"/>
    </w:rPr>
  </w:style>
  <w:style w:type="character" w:customStyle="1" w:styleId="BalloonTextChar">
    <w:name w:val="Balloon Text Char"/>
    <w:link w:val="BalloonText"/>
    <w:uiPriority w:val="99"/>
    <w:semiHidden/>
    <w:rsid w:val="008E7CF3"/>
    <w:rPr>
      <w:rFonts w:ascii="Lucida Grande" w:hAnsi="Lucida Grande" w:cs="Lucida Grande"/>
      <w:sz w:val="18"/>
      <w:szCs w:val="18"/>
    </w:rPr>
  </w:style>
  <w:style w:type="paragraph" w:styleId="ListParagraph">
    <w:name w:val="List Paragraph"/>
    <w:basedOn w:val="Normal"/>
    <w:uiPriority w:val="34"/>
    <w:qFormat/>
    <w:rsid w:val="004923B3"/>
    <w:pPr>
      <w:ind w:left="720"/>
      <w:contextualSpacing/>
    </w:pPr>
  </w:style>
  <w:style w:type="character" w:styleId="PageNumber">
    <w:name w:val="page number"/>
    <w:basedOn w:val="DefaultParagraphFont"/>
    <w:uiPriority w:val="99"/>
    <w:semiHidden/>
    <w:unhideWhenUsed/>
    <w:rsid w:val="00FC5674"/>
  </w:style>
  <w:style w:type="character" w:styleId="BookTitle">
    <w:name w:val="Book Title"/>
    <w:uiPriority w:val="33"/>
    <w:qFormat/>
    <w:rsid w:val="004923B3"/>
    <w:rPr>
      <w:rFonts w:ascii="Arial" w:hAnsi="Arial"/>
      <w:b/>
      <w:bCs/>
      <w:smallCaps/>
      <w:spacing w:val="5"/>
    </w:rPr>
  </w:style>
  <w:style w:type="paragraph" w:styleId="Quote">
    <w:name w:val="Quote"/>
    <w:basedOn w:val="Normal"/>
    <w:next w:val="Normal"/>
    <w:link w:val="QuoteChar"/>
    <w:uiPriority w:val="29"/>
    <w:qFormat/>
    <w:rsid w:val="004923B3"/>
    <w:rPr>
      <w:i/>
      <w:iCs/>
      <w:color w:val="000000"/>
    </w:rPr>
  </w:style>
  <w:style w:type="character" w:customStyle="1" w:styleId="QuoteChar">
    <w:name w:val="Quote Char"/>
    <w:link w:val="Quote"/>
    <w:uiPriority w:val="29"/>
    <w:rsid w:val="004923B3"/>
    <w:rPr>
      <w:rFonts w:ascii="Arial" w:hAnsi="Arial"/>
      <w:i/>
      <w:iCs/>
      <w:color w:val="000000"/>
    </w:rPr>
  </w:style>
  <w:style w:type="paragraph" w:styleId="IntenseQuote">
    <w:name w:val="Intense Quote"/>
    <w:basedOn w:val="Normal"/>
    <w:next w:val="Normal"/>
    <w:link w:val="IntenseQuoteChar"/>
    <w:uiPriority w:val="30"/>
    <w:qFormat/>
    <w:rsid w:val="004923B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923B3"/>
    <w:rPr>
      <w:rFonts w:ascii="Arial" w:hAnsi="Arial"/>
      <w:b/>
      <w:bCs/>
      <w:i/>
      <w:iCs/>
      <w:color w:val="4F81BD"/>
    </w:rPr>
  </w:style>
  <w:style w:type="character" w:styleId="SubtleReference">
    <w:name w:val="Subtle Reference"/>
    <w:uiPriority w:val="31"/>
    <w:qFormat/>
    <w:rsid w:val="004923B3"/>
    <w:rPr>
      <w:rFonts w:ascii="Arial" w:hAnsi="Arial"/>
      <w:smallCaps/>
      <w:color w:val="C0504D"/>
      <w:u w:val="single"/>
    </w:rPr>
  </w:style>
  <w:style w:type="character" w:styleId="IntenseReference">
    <w:name w:val="Intense Reference"/>
    <w:uiPriority w:val="32"/>
    <w:qFormat/>
    <w:rsid w:val="004923B3"/>
    <w:rPr>
      <w:rFonts w:ascii="Arial" w:hAnsi="Arial"/>
      <w:b/>
      <w:bCs/>
      <w:smallCaps/>
      <w:color w:val="C0504D"/>
      <w:spacing w:val="5"/>
      <w:u w:val="single"/>
    </w:rPr>
  </w:style>
  <w:style w:type="paragraph" w:styleId="NoSpacing">
    <w:name w:val="No Spacing"/>
    <w:uiPriority w:val="1"/>
    <w:qFormat/>
    <w:rsid w:val="004923B3"/>
    <w:rPr>
      <w:rFonts w:ascii="Arial" w:hAnsi="Arial"/>
      <w:sz w:val="24"/>
      <w:szCs w:val="24"/>
      <w:lang w:val="en-US" w:eastAsia="en-US"/>
    </w:rPr>
  </w:style>
  <w:style w:type="character" w:customStyle="1" w:styleId="Heading2Char">
    <w:name w:val="Heading 2 Char"/>
    <w:link w:val="Heading2"/>
    <w:uiPriority w:val="9"/>
    <w:semiHidden/>
    <w:rsid w:val="004923B3"/>
    <w:rPr>
      <w:rFonts w:ascii="Arial" w:eastAsia="MS Gothic" w:hAnsi="Arial" w:cs="Times New Roman"/>
      <w:b/>
      <w:bCs/>
      <w:color w:val="4F81BD"/>
      <w:sz w:val="26"/>
      <w:szCs w:val="26"/>
    </w:rPr>
  </w:style>
  <w:style w:type="character" w:styleId="CommentReference">
    <w:name w:val="annotation reference"/>
    <w:uiPriority w:val="99"/>
    <w:semiHidden/>
    <w:unhideWhenUsed/>
    <w:rsid w:val="005F6E5F"/>
    <w:rPr>
      <w:sz w:val="16"/>
      <w:szCs w:val="16"/>
    </w:rPr>
  </w:style>
  <w:style w:type="paragraph" w:styleId="CommentText">
    <w:name w:val="annotation text"/>
    <w:basedOn w:val="Normal"/>
    <w:link w:val="CommentTextChar"/>
    <w:uiPriority w:val="99"/>
    <w:semiHidden/>
    <w:unhideWhenUsed/>
    <w:rsid w:val="005F6E5F"/>
    <w:rPr>
      <w:sz w:val="20"/>
      <w:szCs w:val="20"/>
    </w:rPr>
  </w:style>
  <w:style w:type="character" w:customStyle="1" w:styleId="CommentTextChar">
    <w:name w:val="Comment Text Char"/>
    <w:link w:val="CommentText"/>
    <w:uiPriority w:val="99"/>
    <w:semiHidden/>
    <w:rsid w:val="005F6E5F"/>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5F6E5F"/>
    <w:rPr>
      <w:b/>
      <w:bCs/>
    </w:rPr>
  </w:style>
  <w:style w:type="character" w:customStyle="1" w:styleId="CommentSubjectChar">
    <w:name w:val="Comment Subject Char"/>
    <w:link w:val="CommentSubject"/>
    <w:uiPriority w:val="99"/>
    <w:semiHidden/>
    <w:rsid w:val="005F6E5F"/>
    <w:rPr>
      <w:rFonts w:ascii="Arial" w:hAnsi="Arial"/>
      <w:b/>
      <w:bCs/>
      <w:lang w:val="en-US" w:eastAsia="en-US"/>
    </w:rPr>
  </w:style>
  <w:style w:type="character" w:styleId="Hyperlink">
    <w:name w:val="Hyperlink"/>
    <w:basedOn w:val="DefaultParagraphFont"/>
    <w:uiPriority w:val="99"/>
    <w:unhideWhenUsed/>
    <w:rsid w:val="00254F6A"/>
    <w:rPr>
      <w:color w:val="0563C1" w:themeColor="hyperlink"/>
      <w:u w:val="single"/>
    </w:rPr>
  </w:style>
  <w:style w:type="character" w:styleId="UnresolvedMention">
    <w:name w:val="Unresolved Mention"/>
    <w:basedOn w:val="DefaultParagraphFont"/>
    <w:uiPriority w:val="99"/>
    <w:semiHidden/>
    <w:unhideWhenUsed/>
    <w:rsid w:val="00254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7904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prints.whiterose.ac.uk/22102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p.m.wragg@leeds.ac.uk"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ailymail.co.uk/news/article-9861233/HarperCollins-apologises-businessmen-Roman-Abramovich-claim-connected-KGB.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B4504-11CD-4333-A1AC-BE3EF3934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Ninnie Ljunggren</dc:creator>
  <cp:keywords/>
  <dc:description/>
  <cp:lastModifiedBy>Paul Wragg</cp:lastModifiedBy>
  <cp:revision>7</cp:revision>
  <cp:lastPrinted>2025-01-08T15:38:00Z</cp:lastPrinted>
  <dcterms:created xsi:type="dcterms:W3CDTF">2025-01-08T15:32:00Z</dcterms:created>
  <dcterms:modified xsi:type="dcterms:W3CDTF">2025-01-09T15:17:00Z</dcterms:modified>
</cp:coreProperties>
</file>