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17BFB" w14:textId="77777777" w:rsidR="00CD07CC" w:rsidRDefault="00CD07CC" w:rsidP="00CD07CC">
      <w:pPr>
        <w:jc w:val="center"/>
        <w:rPr>
          <w:b/>
          <w:color w:val="B45F06"/>
          <w:sz w:val="28"/>
          <w:szCs w:val="28"/>
        </w:rPr>
      </w:pPr>
      <w:r>
        <w:rPr>
          <w:b/>
          <w:color w:val="B45F06"/>
          <w:sz w:val="28"/>
          <w:szCs w:val="28"/>
        </w:rPr>
        <w:t>Analysis</w:t>
      </w:r>
    </w:p>
    <w:p w14:paraId="0DFDEAAF" w14:textId="77777777" w:rsidR="00CD07CC" w:rsidRDefault="00CD07CC" w:rsidP="00CD07CC"/>
    <w:p w14:paraId="552F9190" w14:textId="77777777" w:rsidR="00CD07CC" w:rsidRPr="00CD07CC" w:rsidRDefault="00CD07CC" w:rsidP="00CD07CC">
      <w:pPr>
        <w:jc w:val="center"/>
        <w:rPr>
          <w:b/>
          <w:sz w:val="28"/>
          <w:szCs w:val="28"/>
        </w:rPr>
      </w:pPr>
      <w:r w:rsidRPr="00CD07CC">
        <w:rPr>
          <w:b/>
          <w:sz w:val="28"/>
          <w:szCs w:val="28"/>
        </w:rPr>
        <w:t>Equity in medical devices: a socio-technical approach</w:t>
      </w:r>
    </w:p>
    <w:p w14:paraId="4715532F" w14:textId="77777777" w:rsidR="00CD07CC" w:rsidRDefault="00CD07CC" w:rsidP="00CD07CC">
      <w:pPr>
        <w:jc w:val="center"/>
      </w:pPr>
    </w:p>
    <w:p w14:paraId="1689355C" w14:textId="4E617DFD" w:rsidR="00CD07CC" w:rsidRDefault="00CD07CC" w:rsidP="00CD07CC">
      <w:pPr>
        <w:jc w:val="center"/>
        <w:rPr>
          <w:bCs/>
        </w:rPr>
      </w:pPr>
      <w:r w:rsidRPr="00CD07CC">
        <w:rPr>
          <w:bCs/>
        </w:rPr>
        <w:t>Jonathan Ensor</w:t>
      </w:r>
      <w:r w:rsidRPr="00CD07CC">
        <w:rPr>
          <w:bCs/>
          <w:vertAlign w:val="superscript"/>
        </w:rPr>
        <w:t>1,2</w:t>
      </w:r>
      <w:r w:rsidR="00DC05C2">
        <w:rPr>
          <w:bCs/>
          <w:vertAlign w:val="superscript"/>
        </w:rPr>
        <w:t>,3</w:t>
      </w:r>
    </w:p>
    <w:p w14:paraId="6DB853B4" w14:textId="3C0F21AB" w:rsidR="00CD07CC" w:rsidRDefault="00CD07CC" w:rsidP="00CD07CC">
      <w:pPr>
        <w:jc w:val="center"/>
        <w:rPr>
          <w:bCs/>
        </w:rPr>
      </w:pPr>
      <w:r w:rsidRPr="00CD07CC">
        <w:rPr>
          <w:bCs/>
        </w:rPr>
        <w:t>Robert Farnan</w:t>
      </w:r>
      <w:r w:rsidRPr="00CD07CC">
        <w:rPr>
          <w:bCs/>
          <w:vertAlign w:val="superscript"/>
        </w:rPr>
        <w:t>1</w:t>
      </w:r>
      <w:r>
        <w:rPr>
          <w:bCs/>
          <w:vertAlign w:val="superscript"/>
        </w:rPr>
        <w:t>,2</w:t>
      </w:r>
      <w:r w:rsidRPr="00CD07CC">
        <w:rPr>
          <w:bCs/>
        </w:rPr>
        <w:t xml:space="preserve"> </w:t>
      </w:r>
    </w:p>
    <w:p w14:paraId="7427FDAA" w14:textId="7DF53879" w:rsidR="00CD07CC" w:rsidRPr="00CD07CC" w:rsidRDefault="00CD07CC" w:rsidP="00CD07CC">
      <w:pPr>
        <w:jc w:val="center"/>
        <w:rPr>
          <w:bCs/>
          <w:vertAlign w:val="superscript"/>
        </w:rPr>
      </w:pPr>
      <w:r w:rsidRPr="00CD07CC">
        <w:rPr>
          <w:bCs/>
        </w:rPr>
        <w:t>Steven Johnson</w:t>
      </w:r>
      <w:r w:rsidRPr="00CD07CC">
        <w:rPr>
          <w:bCs/>
          <w:vertAlign w:val="superscript"/>
        </w:rPr>
        <w:t>2,</w:t>
      </w:r>
      <w:r w:rsidR="00DC05C2">
        <w:rPr>
          <w:bCs/>
          <w:vertAlign w:val="superscript"/>
        </w:rPr>
        <w:t>4</w:t>
      </w:r>
      <w:r>
        <w:rPr>
          <w:bCs/>
          <w:vertAlign w:val="superscript"/>
        </w:rPr>
        <w:t>,</w:t>
      </w:r>
      <w:r w:rsidR="00DC05C2">
        <w:rPr>
          <w:bCs/>
          <w:vertAlign w:val="superscript"/>
        </w:rPr>
        <w:t>5</w:t>
      </w:r>
    </w:p>
    <w:p w14:paraId="4BCAC0E8" w14:textId="782D1267" w:rsidR="00CD07CC" w:rsidRDefault="00CD07CC" w:rsidP="00CD07CC">
      <w:pPr>
        <w:rPr>
          <w:vertAlign w:val="superscript"/>
        </w:rPr>
      </w:pPr>
    </w:p>
    <w:p w14:paraId="3C576AC9" w14:textId="77777777" w:rsidR="00CD07CC" w:rsidRDefault="00CD07CC" w:rsidP="00CD07CC">
      <w:pPr>
        <w:jc w:val="center"/>
      </w:pPr>
    </w:p>
    <w:p w14:paraId="017A1DB7" w14:textId="77777777" w:rsidR="00CD07CC" w:rsidRPr="00AF114D" w:rsidRDefault="00CD07CC" w:rsidP="00CD07CC">
      <w:pPr>
        <w:jc w:val="both"/>
        <w:rPr>
          <w:bCs/>
        </w:rPr>
      </w:pPr>
      <w:r w:rsidRPr="002B3FAE">
        <w:rPr>
          <w:bCs/>
          <w:vertAlign w:val="superscript"/>
        </w:rPr>
        <w:t>1</w:t>
      </w:r>
      <w:r w:rsidRPr="00AF114D">
        <w:rPr>
          <w:bCs/>
        </w:rPr>
        <w:t>S</w:t>
      </w:r>
      <w:r>
        <w:rPr>
          <w:bCs/>
        </w:rPr>
        <w:t xml:space="preserve">tockholm Environment Institute at York, </w:t>
      </w:r>
      <w:r w:rsidRPr="00AF114D">
        <w:rPr>
          <w:bCs/>
        </w:rPr>
        <w:t>University of York, Heslington, York, YO10</w:t>
      </w:r>
      <w:r>
        <w:rPr>
          <w:bCs/>
        </w:rPr>
        <w:t xml:space="preserve"> </w:t>
      </w:r>
      <w:r w:rsidRPr="00AF114D">
        <w:rPr>
          <w:bCs/>
        </w:rPr>
        <w:t>5DD</w:t>
      </w:r>
    </w:p>
    <w:p w14:paraId="10B439DE" w14:textId="09D04DCE" w:rsidR="00CD07CC" w:rsidRDefault="00CD07CC" w:rsidP="00CD07CC">
      <w:pPr>
        <w:jc w:val="both"/>
        <w:rPr>
          <w:bCs/>
          <w:vertAlign w:val="superscript"/>
        </w:rPr>
      </w:pPr>
      <w:r>
        <w:rPr>
          <w:bCs/>
          <w:vertAlign w:val="superscript"/>
        </w:rPr>
        <w:t>2</w:t>
      </w:r>
      <w:r>
        <w:rPr>
          <w:bCs/>
        </w:rPr>
        <w:t>Equitable Technology Laboratory,</w:t>
      </w:r>
      <w:r w:rsidRPr="002B3FAE">
        <w:rPr>
          <w:bCs/>
          <w:vertAlign w:val="superscript"/>
        </w:rPr>
        <w:t xml:space="preserve"> </w:t>
      </w:r>
      <w:r w:rsidRPr="00AF114D">
        <w:rPr>
          <w:bCs/>
        </w:rPr>
        <w:t>University of York, Heslington, York, YO10</w:t>
      </w:r>
      <w:r>
        <w:rPr>
          <w:bCs/>
        </w:rPr>
        <w:t xml:space="preserve"> </w:t>
      </w:r>
      <w:r w:rsidRPr="00AF114D">
        <w:rPr>
          <w:bCs/>
        </w:rPr>
        <w:t>5DD</w:t>
      </w:r>
    </w:p>
    <w:p w14:paraId="56CABB11" w14:textId="5DDB6DC7" w:rsidR="00DC05C2" w:rsidRPr="00AF114D" w:rsidRDefault="00DC05C2" w:rsidP="00DC05C2">
      <w:pPr>
        <w:jc w:val="both"/>
        <w:rPr>
          <w:bCs/>
        </w:rPr>
      </w:pPr>
      <w:r>
        <w:rPr>
          <w:bCs/>
          <w:vertAlign w:val="superscript"/>
        </w:rPr>
        <w:t>3</w:t>
      </w:r>
      <w:r w:rsidRPr="00AF114D">
        <w:rPr>
          <w:bCs/>
        </w:rPr>
        <w:t>I</w:t>
      </w:r>
      <w:r>
        <w:rPr>
          <w:bCs/>
        </w:rPr>
        <w:t xml:space="preserve">nterdisciplinary Global Development Centre, </w:t>
      </w:r>
      <w:r w:rsidRPr="00AF114D">
        <w:rPr>
          <w:bCs/>
        </w:rPr>
        <w:t>University of York, Heslington, York, YO10</w:t>
      </w:r>
      <w:r>
        <w:rPr>
          <w:bCs/>
        </w:rPr>
        <w:t xml:space="preserve"> </w:t>
      </w:r>
      <w:r w:rsidRPr="00AF114D">
        <w:rPr>
          <w:bCs/>
        </w:rPr>
        <w:t>5DD</w:t>
      </w:r>
    </w:p>
    <w:p w14:paraId="61D942F7" w14:textId="56E10CB9" w:rsidR="00CD07CC" w:rsidRPr="00AF114D" w:rsidRDefault="00DC05C2" w:rsidP="00CD07CC">
      <w:pPr>
        <w:jc w:val="both"/>
        <w:rPr>
          <w:bCs/>
        </w:rPr>
      </w:pPr>
      <w:r>
        <w:rPr>
          <w:bCs/>
          <w:vertAlign w:val="superscript"/>
        </w:rPr>
        <w:t>4</w:t>
      </w:r>
      <w:r w:rsidR="00CD07CC" w:rsidRPr="00AF114D">
        <w:rPr>
          <w:bCs/>
        </w:rPr>
        <w:t>School of Physics, Engineering and Technology, University of York, Heslington, York, YO10</w:t>
      </w:r>
      <w:r w:rsidR="00CD07CC">
        <w:rPr>
          <w:bCs/>
        </w:rPr>
        <w:t xml:space="preserve"> </w:t>
      </w:r>
      <w:r w:rsidR="00CD07CC" w:rsidRPr="00AF114D">
        <w:rPr>
          <w:bCs/>
        </w:rPr>
        <w:t>5DD</w:t>
      </w:r>
    </w:p>
    <w:p w14:paraId="66EAFA1C" w14:textId="523A4DDB" w:rsidR="00CD07CC" w:rsidRDefault="00DC05C2" w:rsidP="00CD07CC">
      <w:pPr>
        <w:jc w:val="both"/>
        <w:rPr>
          <w:bCs/>
        </w:rPr>
      </w:pPr>
      <w:r>
        <w:rPr>
          <w:bCs/>
          <w:vertAlign w:val="superscript"/>
        </w:rPr>
        <w:t>5</w:t>
      </w:r>
      <w:r w:rsidR="00CD07CC" w:rsidRPr="00AF114D">
        <w:rPr>
          <w:bCs/>
        </w:rPr>
        <w:t>York Biomedical Research Institute, University of York, Heslington, York, YO105DD</w:t>
      </w:r>
    </w:p>
    <w:p w14:paraId="2614D7D5" w14:textId="77777777" w:rsidR="00CD07CC" w:rsidRDefault="00CD07CC" w:rsidP="00CD07CC"/>
    <w:p w14:paraId="08A8D32F" w14:textId="77777777" w:rsidR="00CD07CC" w:rsidRDefault="00CD07CC" w:rsidP="00CD07CC">
      <w:pPr>
        <w:rPr>
          <w:b/>
        </w:rPr>
      </w:pPr>
      <w:r>
        <w:rPr>
          <w:b/>
        </w:rPr>
        <w:t>Correspondence to:</w:t>
      </w:r>
    </w:p>
    <w:p w14:paraId="4FBA6C85" w14:textId="2F45AE36" w:rsidR="00CD07CC" w:rsidRDefault="00CD07CC" w:rsidP="00CD07CC">
      <w:r>
        <w:t>Jonathan Ensor</w:t>
      </w:r>
    </w:p>
    <w:p w14:paraId="20EED96A" w14:textId="63512A39" w:rsidR="00CD07CC" w:rsidRDefault="00CD07CC" w:rsidP="00CD07CC">
      <w:r w:rsidRPr="00AF114D">
        <w:rPr>
          <w:bCs/>
        </w:rPr>
        <w:t>S</w:t>
      </w:r>
      <w:r>
        <w:rPr>
          <w:bCs/>
        </w:rPr>
        <w:t xml:space="preserve">tockholm Environment Institute at York, </w:t>
      </w:r>
      <w:r w:rsidRPr="00AF114D">
        <w:rPr>
          <w:bCs/>
        </w:rPr>
        <w:t>University of York, Heslington, York, YO10</w:t>
      </w:r>
      <w:r>
        <w:rPr>
          <w:bCs/>
        </w:rPr>
        <w:t xml:space="preserve"> </w:t>
      </w:r>
      <w:r w:rsidRPr="00AF114D">
        <w:rPr>
          <w:bCs/>
        </w:rPr>
        <w:t>5DD</w:t>
      </w:r>
      <w:r>
        <w:t xml:space="preserve"> Email: jon.ensor@york.ac.uk</w:t>
      </w:r>
    </w:p>
    <w:p w14:paraId="06178237" w14:textId="6D116707" w:rsidR="00CD07CC" w:rsidRDefault="00CD07CC" w:rsidP="00CD07CC">
      <w:r>
        <w:t xml:space="preserve">Phone: </w:t>
      </w:r>
      <w:r w:rsidR="00DC05C2">
        <w:t>+44 1904 324817</w:t>
      </w:r>
    </w:p>
    <w:p w14:paraId="4EEB2F21" w14:textId="77777777" w:rsidR="00CD07CC" w:rsidRDefault="00CD07CC" w:rsidP="00CD07CC"/>
    <w:p w14:paraId="2F7BD2D7" w14:textId="314DFBDC" w:rsidR="00CD07CC" w:rsidRDefault="00CD07CC" w:rsidP="00CD07CC">
      <w:r>
        <w:t>Word count: (Target: 1800-2000 words)</w:t>
      </w:r>
      <w:r w:rsidR="00C90E6B">
        <w:t xml:space="preserve"> </w:t>
      </w:r>
      <w:r w:rsidR="00C90E6B" w:rsidRPr="00C90E6B">
        <w:rPr>
          <w:b/>
          <w:bCs/>
        </w:rPr>
        <w:t>2,088</w:t>
      </w:r>
    </w:p>
    <w:p w14:paraId="3C545161" w14:textId="25DBB6E4" w:rsidR="00CD07CC" w:rsidRDefault="00CD07CC" w:rsidP="00CD07CC">
      <w:pPr>
        <w:rPr>
          <w:i/>
        </w:rPr>
      </w:pPr>
      <w:r>
        <w:t>References: (up to 20 references, in Vancouver superscript style)</w:t>
      </w:r>
      <w:r w:rsidR="00C90E6B">
        <w:t xml:space="preserve"> </w:t>
      </w:r>
      <w:r w:rsidR="00C90E6B" w:rsidRPr="00C90E6B">
        <w:rPr>
          <w:b/>
          <w:bCs/>
        </w:rPr>
        <w:t>12</w:t>
      </w:r>
    </w:p>
    <w:p w14:paraId="6C4739CB" w14:textId="7BBEE002" w:rsidR="00CD07CC" w:rsidRDefault="00CD07CC" w:rsidP="004277F1"/>
    <w:p w14:paraId="0381102B" w14:textId="77777777" w:rsidR="00CD07CC" w:rsidRDefault="00CD07CC" w:rsidP="00CD07CC">
      <w:pPr>
        <w:spacing w:line="360" w:lineRule="auto"/>
      </w:pPr>
    </w:p>
    <w:p w14:paraId="0955F8FF" w14:textId="77777777" w:rsidR="00CD07CC" w:rsidRDefault="00CD07CC" w:rsidP="00CD07CC">
      <w:pPr>
        <w:spacing w:line="240" w:lineRule="auto"/>
        <w:rPr>
          <w:b/>
        </w:rPr>
      </w:pPr>
      <w:r>
        <w:rPr>
          <w:b/>
        </w:rPr>
        <w:t>Contributors and sources</w:t>
      </w:r>
    </w:p>
    <w:p w14:paraId="6ED2B532" w14:textId="17BCE73A" w:rsidR="008F0C08" w:rsidRDefault="008F0C08" w:rsidP="00CD07CC">
      <w:pPr>
        <w:spacing w:line="240" w:lineRule="auto"/>
      </w:pPr>
      <w:r>
        <w:t>This article arises from work undertaken within the York Equitable Technology Laboratory (ETL). The ETL</w:t>
      </w:r>
      <w:r w:rsidR="005039C2">
        <w:t xml:space="preserve"> is concerned with understanding how technology can be designed</w:t>
      </w:r>
      <w:r w:rsidR="005039C2" w:rsidRPr="005039C2">
        <w:t xml:space="preserve"> that respond</w:t>
      </w:r>
      <w:r w:rsidR="005039C2">
        <w:t>s</w:t>
      </w:r>
      <w:r w:rsidR="005039C2" w:rsidRPr="005039C2">
        <w:t xml:space="preserve"> to societal need, </w:t>
      </w:r>
      <w:r w:rsidR="005039C2">
        <w:t>is</w:t>
      </w:r>
      <w:r w:rsidR="005039C2" w:rsidRPr="005039C2">
        <w:t xml:space="preserve"> appropriate for the context of use, and actively contribute</w:t>
      </w:r>
      <w:r w:rsidR="005039C2">
        <w:t>s</w:t>
      </w:r>
      <w:r w:rsidR="005039C2" w:rsidRPr="005039C2">
        <w:t xml:space="preserve"> to transforming drivers of inequality</w:t>
      </w:r>
      <w:r w:rsidR="005039C2">
        <w:t xml:space="preserve">. The ETL is led by Ensor (a social scientist) and Johnson (a physicist and engineer) who have worked together to place equity at the centre of innovation since 2015. Ensor brings </w:t>
      </w:r>
      <w:r w:rsidR="0031390E">
        <w:t xml:space="preserve">nearly 20 years of </w:t>
      </w:r>
      <w:r w:rsidR="005039C2">
        <w:t xml:space="preserve">experience of participatory technology development from </w:t>
      </w:r>
      <w:r w:rsidR="0031390E">
        <w:t xml:space="preserve">within </w:t>
      </w:r>
      <w:r w:rsidR="005039C2">
        <w:t xml:space="preserve">critical social science </w:t>
      </w:r>
      <w:r w:rsidR="0031390E">
        <w:t xml:space="preserve">research </w:t>
      </w:r>
      <w:r w:rsidR="005039C2">
        <w:t xml:space="preserve">and international development practice. Johnson has </w:t>
      </w:r>
      <w:r w:rsidR="0061352E">
        <w:t xml:space="preserve">over 15 years </w:t>
      </w:r>
      <w:r w:rsidR="0031390E">
        <w:t xml:space="preserve">of </w:t>
      </w:r>
      <w:r w:rsidR="0061352E">
        <w:t xml:space="preserve">experience of </w:t>
      </w:r>
      <w:r w:rsidR="005039C2">
        <w:t>the design of medical devices</w:t>
      </w:r>
      <w:r w:rsidR="0061352E">
        <w:t>, particularly point of use diagnostic technologies</w:t>
      </w:r>
      <w:r w:rsidR="005039C2">
        <w:t xml:space="preserve">. </w:t>
      </w:r>
      <w:proofErr w:type="spellStart"/>
      <w:r w:rsidR="005039C2">
        <w:t>Farnan</w:t>
      </w:r>
      <w:proofErr w:type="spellEnd"/>
      <w:r w:rsidR="005039C2">
        <w:t xml:space="preserve"> is a</w:t>
      </w:r>
      <w:r w:rsidR="0061352E">
        <w:t>n early career,</w:t>
      </w:r>
      <w:r w:rsidR="005039C2">
        <w:t xml:space="preserve"> post-doctoral researcher working under the supervision of Ensor and Johnson, and undertook an extensive literature review and</w:t>
      </w:r>
      <w:r w:rsidR="0031390E">
        <w:t>,</w:t>
      </w:r>
      <w:r w:rsidR="005039C2">
        <w:t xml:space="preserve"> during 2023 and 2024</w:t>
      </w:r>
      <w:r w:rsidR="0031390E">
        <w:t>,</w:t>
      </w:r>
      <w:r w:rsidR="005039C2">
        <w:t xml:space="preserve"> held conversations with Type 1 Diabetes patients, grounding the illustrative example of continuous glucose monitoring technology that appears in the article.</w:t>
      </w:r>
      <w:r w:rsidR="0031390E">
        <w:t xml:space="preserve"> The authors made equal contributions to framing and drafting, and Ensor is the guarantor of this submission.</w:t>
      </w:r>
    </w:p>
    <w:p w14:paraId="0771D7A3" w14:textId="77777777" w:rsidR="00CD07CC" w:rsidRDefault="00CD07CC" w:rsidP="00CD07CC">
      <w:pPr>
        <w:spacing w:line="240" w:lineRule="auto"/>
      </w:pPr>
    </w:p>
    <w:p w14:paraId="1F472942" w14:textId="77777777" w:rsidR="0031390E" w:rsidRDefault="0031390E" w:rsidP="00CD07CC">
      <w:pPr>
        <w:spacing w:line="240" w:lineRule="auto"/>
      </w:pPr>
    </w:p>
    <w:p w14:paraId="356A364C" w14:textId="77777777" w:rsidR="00CD07CC" w:rsidRDefault="00CD07CC" w:rsidP="00CD07CC">
      <w:pPr>
        <w:spacing w:line="240" w:lineRule="auto"/>
        <w:rPr>
          <w:b/>
        </w:rPr>
      </w:pPr>
      <w:r>
        <w:rPr>
          <w:b/>
        </w:rPr>
        <w:t>Acknowledgements</w:t>
      </w:r>
    </w:p>
    <w:p w14:paraId="30FE97B3" w14:textId="77777777" w:rsidR="00166090" w:rsidRPr="00166090" w:rsidRDefault="00166090" w:rsidP="00166090">
      <w:pPr>
        <w:spacing w:line="240" w:lineRule="auto"/>
      </w:pPr>
      <w:r w:rsidRPr="00166090">
        <w:t xml:space="preserve">This work was funded by the United Kingdom Research and Innovation (UKRI) under Engineering and Physical Sciences Research Council (EPSRC) grant EP/P027571/1 and an institutional award (York Equitable Technology Lab) from the University of York. We express our gratitude to all research participants for their time and willingness to participate in this research. </w:t>
      </w:r>
    </w:p>
    <w:p w14:paraId="2E904FB8" w14:textId="77777777" w:rsidR="00CD07CC" w:rsidRDefault="00CD07CC" w:rsidP="00CD07CC">
      <w:pPr>
        <w:spacing w:line="240" w:lineRule="auto"/>
      </w:pPr>
    </w:p>
    <w:p w14:paraId="714F1F75" w14:textId="77777777" w:rsidR="00CD07CC" w:rsidRDefault="00CD07CC" w:rsidP="00CD07CC">
      <w:pPr>
        <w:spacing w:line="240" w:lineRule="auto"/>
      </w:pPr>
    </w:p>
    <w:p w14:paraId="0376AEA3" w14:textId="77777777" w:rsidR="00CD07CC" w:rsidRDefault="00CD07CC" w:rsidP="00CD07CC">
      <w:pPr>
        <w:spacing w:line="240" w:lineRule="auto"/>
        <w:rPr>
          <w:b/>
        </w:rPr>
      </w:pPr>
      <w:r>
        <w:rPr>
          <w:b/>
        </w:rPr>
        <w:t>Patient involvement</w:t>
      </w:r>
    </w:p>
    <w:p w14:paraId="56D266ED" w14:textId="7262F99C" w:rsidR="00A86A33" w:rsidRPr="00A86A33" w:rsidRDefault="00A86A33" w:rsidP="00CD07CC">
      <w:pPr>
        <w:spacing w:line="240" w:lineRule="auto"/>
      </w:pPr>
      <w:r>
        <w:t xml:space="preserve">Type 1 </w:t>
      </w:r>
      <w:r w:rsidR="0031390E">
        <w:t>d</w:t>
      </w:r>
      <w:r>
        <w:t xml:space="preserve">iabetes patients were involved in the preparation of this article, participating in a series of discussions about their experiences of living with continuous glucose monitoring technologies. These discussions complemented the literature review, in particular identifying and clarifying the three problem areas listed in the article. These conversations thus grounded the article in the lived experience of patients. </w:t>
      </w:r>
      <w:r w:rsidR="00167CF9">
        <w:t>T</w:t>
      </w:r>
      <w:r>
        <w:t xml:space="preserve">hey also provided an opportunity for those patients to express their concerns with medical devices; those concerns were then reflected in the emphasis placed on the three problem areas discussed below. </w:t>
      </w:r>
      <w:r w:rsidR="001F321E">
        <w:t>Patient involvement was undertaken with permission from the University of York Department of Environment and Geography Ethics Committee, application reference “Sensors for healthcare”</w:t>
      </w:r>
      <w:r w:rsidR="00760246">
        <w:t xml:space="preserve"> (May 2023)</w:t>
      </w:r>
      <w:r w:rsidR="001F321E">
        <w:t>.</w:t>
      </w:r>
      <w:r>
        <w:t xml:space="preserve"> </w:t>
      </w:r>
    </w:p>
    <w:p w14:paraId="24D48148" w14:textId="77777777" w:rsidR="00CD07CC" w:rsidRDefault="00CD07CC" w:rsidP="00CD07CC">
      <w:pPr>
        <w:spacing w:line="240" w:lineRule="auto"/>
      </w:pPr>
    </w:p>
    <w:p w14:paraId="0770795B" w14:textId="77777777" w:rsidR="00CD07CC" w:rsidRDefault="00CD07CC" w:rsidP="00CD07CC">
      <w:pPr>
        <w:spacing w:line="240" w:lineRule="auto"/>
      </w:pPr>
    </w:p>
    <w:p w14:paraId="00EC5581" w14:textId="77777777" w:rsidR="00CD07CC" w:rsidRDefault="00CD07CC" w:rsidP="00CD07CC">
      <w:pPr>
        <w:spacing w:line="240" w:lineRule="auto"/>
        <w:rPr>
          <w:b/>
        </w:rPr>
      </w:pPr>
      <w:r>
        <w:rPr>
          <w:b/>
        </w:rPr>
        <w:t>Conflicts of Interest</w:t>
      </w:r>
    </w:p>
    <w:p w14:paraId="0598E73F" w14:textId="77777777" w:rsidR="00CD07CC" w:rsidRDefault="00CD07CC" w:rsidP="00CD07CC">
      <w:pPr>
        <w:spacing w:line="240" w:lineRule="auto"/>
      </w:pPr>
      <w:r>
        <w:t xml:space="preserve">We have read and understood </w:t>
      </w:r>
      <w:hyperlink r:id="rId9">
        <w:r>
          <w:rPr>
            <w:color w:val="1155CC"/>
            <w:u w:val="single"/>
          </w:rPr>
          <w:t>BMJ policy on declaration of interests</w:t>
        </w:r>
      </w:hyperlink>
      <w:r>
        <w:t xml:space="preserve"> and have the following interests to declare: </w:t>
      </w:r>
    </w:p>
    <w:p w14:paraId="19D820BC" w14:textId="77777777" w:rsidR="00167CF9" w:rsidRDefault="00167CF9" w:rsidP="00CD07CC">
      <w:pPr>
        <w:spacing w:line="240" w:lineRule="auto"/>
      </w:pPr>
    </w:p>
    <w:p w14:paraId="655B9323" w14:textId="5DCF8564" w:rsidR="00167CF9" w:rsidRDefault="00167CF9" w:rsidP="00CD07CC">
      <w:pPr>
        <w:spacing w:line="240" w:lineRule="auto"/>
      </w:pPr>
      <w:r>
        <w:t>Nothing to declare.</w:t>
      </w:r>
    </w:p>
    <w:p w14:paraId="5A5E73BE" w14:textId="77777777" w:rsidR="00CD07CC" w:rsidRDefault="00CD07CC" w:rsidP="00CD07CC">
      <w:pPr>
        <w:spacing w:line="240" w:lineRule="auto"/>
      </w:pPr>
    </w:p>
    <w:p w14:paraId="748B38CE" w14:textId="77777777" w:rsidR="00CD07CC" w:rsidRDefault="00CD07CC" w:rsidP="00CD07CC">
      <w:pPr>
        <w:spacing w:line="240" w:lineRule="auto"/>
      </w:pPr>
    </w:p>
    <w:p w14:paraId="1C0F2F8C" w14:textId="77777777" w:rsidR="00CD07CC" w:rsidRDefault="00CD07CC" w:rsidP="00CD07CC">
      <w:pPr>
        <w:spacing w:line="240" w:lineRule="auto"/>
        <w:rPr>
          <w:b/>
        </w:rPr>
      </w:pPr>
      <w:r>
        <w:rPr>
          <w:b/>
        </w:rPr>
        <w:t>Licence</w:t>
      </w:r>
    </w:p>
    <w:p w14:paraId="0D9FD951" w14:textId="77777777" w:rsidR="00CD07CC" w:rsidRDefault="00CD07CC" w:rsidP="00CD07CC">
      <w:pPr>
        <w:spacing w:line="240" w:lineRule="auto"/>
      </w:pPr>
      <w:r>
        <w:t xml:space="preserve">The Corresponding Author has the right to grant on behalf of all authors and does grant on behalf of all authors, an exclusive licence (or non exclusive for government employees) on a worldwide basis to the BMJ Publishing Group Ltd ("BMJ"), and its Licensees to permit this article (if accepted) to be published in The BMJ's editions and any other BMJ products and to exploit all subsidiary rights, as set out in </w:t>
      </w:r>
      <w:hyperlink r:id="rId10">
        <w:r>
          <w:rPr>
            <w:color w:val="1155CC"/>
            <w:u w:val="single"/>
          </w:rPr>
          <w:t>The BMJ's licence</w:t>
        </w:r>
      </w:hyperlink>
      <w:r>
        <w:t>.</w:t>
      </w:r>
    </w:p>
    <w:p w14:paraId="4860A888" w14:textId="77777777" w:rsidR="00CD07CC" w:rsidRDefault="00CD07CC" w:rsidP="00CD07CC">
      <w:pPr>
        <w:spacing w:line="240" w:lineRule="auto"/>
      </w:pPr>
    </w:p>
    <w:p w14:paraId="77DC63CC" w14:textId="77777777" w:rsidR="00CD07CC" w:rsidRDefault="00CD07CC" w:rsidP="00CD07CC"/>
    <w:p w14:paraId="5CED7B13" w14:textId="77777777" w:rsidR="00CD07CC" w:rsidRDefault="00CD07CC" w:rsidP="00CD07CC">
      <w:r>
        <w:br w:type="page"/>
      </w:r>
    </w:p>
    <w:p w14:paraId="6D09AA3C" w14:textId="77777777" w:rsidR="009C2219" w:rsidRPr="009C2219" w:rsidRDefault="009C2219" w:rsidP="009C2219">
      <w:pPr>
        <w:jc w:val="center"/>
        <w:rPr>
          <w:bCs/>
          <w:sz w:val="28"/>
          <w:szCs w:val="28"/>
        </w:rPr>
      </w:pPr>
      <w:r w:rsidRPr="009C2219">
        <w:rPr>
          <w:bCs/>
          <w:sz w:val="28"/>
          <w:szCs w:val="28"/>
        </w:rPr>
        <w:lastRenderedPageBreak/>
        <w:t>Equity in medical devices: a socio-technical approach</w:t>
      </w:r>
    </w:p>
    <w:p w14:paraId="5525B554" w14:textId="77777777" w:rsidR="00CD07CC" w:rsidRDefault="00CD07CC" w:rsidP="00CD07CC">
      <w:pPr>
        <w:rPr>
          <w:b/>
        </w:rPr>
      </w:pPr>
    </w:p>
    <w:p w14:paraId="348570C0" w14:textId="687054BE" w:rsidR="00166090" w:rsidRPr="00166090" w:rsidRDefault="009C2219" w:rsidP="00166090">
      <w:pPr>
        <w:spacing w:line="360" w:lineRule="auto"/>
        <w:rPr>
          <w:bCs/>
          <w:i/>
        </w:rPr>
      </w:pPr>
      <w:r>
        <w:rPr>
          <w:i/>
        </w:rPr>
        <w:t>Medical devices risk reinforcing societal inequalities unless we rethink how they are designed, developed and deployed</w:t>
      </w:r>
      <w:r w:rsidR="00D90C8F" w:rsidRPr="00D90C8F">
        <w:rPr>
          <w:i/>
        </w:rPr>
        <w:t>, say</w:t>
      </w:r>
      <w:r w:rsidR="00D90C8F">
        <w:rPr>
          <w:bCs/>
          <w:i/>
        </w:rPr>
        <w:t xml:space="preserve"> Jonathan Ensor, Bobby Farnan and Steven Johnson.</w:t>
      </w:r>
      <w:r w:rsidR="00166090" w:rsidRPr="00166090">
        <w:rPr>
          <w:bCs/>
          <w:i/>
        </w:rPr>
        <w:t xml:space="preserve"> </w:t>
      </w:r>
    </w:p>
    <w:p w14:paraId="363A58D0" w14:textId="77777777" w:rsidR="00AF114D" w:rsidRDefault="00AF114D" w:rsidP="004F6263">
      <w:pPr>
        <w:jc w:val="both"/>
        <w:rPr>
          <w:b/>
        </w:rPr>
      </w:pPr>
    </w:p>
    <w:p w14:paraId="00000003" w14:textId="0AEC5BE4" w:rsidR="00A103C3" w:rsidRDefault="00E97DAF" w:rsidP="00E73BB7">
      <w:pPr>
        <w:spacing w:line="360" w:lineRule="auto"/>
        <w:jc w:val="both"/>
      </w:pPr>
      <w:r w:rsidRPr="009C2219">
        <w:rPr>
          <w:bCs/>
        </w:rPr>
        <w:t xml:space="preserve">The </w:t>
      </w:r>
      <w:r w:rsidR="005C4F0D">
        <w:rPr>
          <w:bCs/>
        </w:rPr>
        <w:t xml:space="preserve">UK government’s recent </w:t>
      </w:r>
      <w:r w:rsidRPr="009C2219">
        <w:rPr>
          <w:bCs/>
        </w:rPr>
        <w:t>independent review on Equity in Medical Devices</w:t>
      </w:r>
      <w:r w:rsidR="00460A27" w:rsidRPr="009C2219">
        <w:rPr>
          <w:rStyle w:val="EndnoteReference"/>
          <w:bCs/>
        </w:rPr>
        <w:endnoteReference w:id="1"/>
      </w:r>
      <w:r w:rsidRPr="009C2219">
        <w:rPr>
          <w:bCs/>
        </w:rPr>
        <w:t xml:space="preserve"> highlights how biases in the design and use of medical devices can lead to solutions that fail to equitably distribute benefits or can further exacerbate health inequalities.</w:t>
      </w:r>
      <w:r w:rsidR="00F33555">
        <w:rPr>
          <w:bCs/>
        </w:rPr>
        <w:t xml:space="preserve"> </w:t>
      </w:r>
      <w:r>
        <w:t>A notable example is optical devices, such as pulse oximeters. As the Independent Review points out, potential racial bias in performance and clinical impact have been reported emerg</w:t>
      </w:r>
      <w:r w:rsidR="000632DB">
        <w:t>ing</w:t>
      </w:r>
      <w:r>
        <w:t xml:space="preserve"> from </w:t>
      </w:r>
      <w:r w:rsidR="002B1E88">
        <w:t>differen</w:t>
      </w:r>
      <w:r w:rsidR="004D2511">
        <w:t>ces in optical</w:t>
      </w:r>
      <w:r w:rsidR="002B1E88">
        <w:t xml:space="preserve"> absorbance</w:t>
      </w:r>
      <w:r w:rsidR="004D2511">
        <w:t xml:space="preserve"> between light and </w:t>
      </w:r>
      <w:r w:rsidR="00DE72F3">
        <w:t>dark-skinned</w:t>
      </w:r>
      <w:r w:rsidR="004D2511">
        <w:t xml:space="preserve"> individuals</w:t>
      </w:r>
      <w:r>
        <w:t>. Similarly, the</w:t>
      </w:r>
      <w:r w:rsidR="000A7AC6">
        <w:t xml:space="preserve"> review highlights </w:t>
      </w:r>
      <w:r>
        <w:t>increasing evidence of biases embedded within AI-enabled medical devices associated with a lack of diversity in the patient data used to train AI models.</w:t>
      </w:r>
    </w:p>
    <w:p w14:paraId="08DDCC67" w14:textId="77777777" w:rsidR="00F33555" w:rsidRDefault="00F33555" w:rsidP="00E73BB7">
      <w:pPr>
        <w:spacing w:line="360" w:lineRule="auto"/>
        <w:jc w:val="both"/>
        <w:rPr>
          <w:bCs/>
        </w:rPr>
      </w:pPr>
    </w:p>
    <w:p w14:paraId="61D1BDC9" w14:textId="6FF0795C" w:rsidR="00F33555" w:rsidRPr="009C2219" w:rsidRDefault="00F33555" w:rsidP="00E73BB7">
      <w:pPr>
        <w:spacing w:line="360" w:lineRule="auto"/>
        <w:jc w:val="both"/>
        <w:rPr>
          <w:bCs/>
        </w:rPr>
      </w:pPr>
      <w:r w:rsidRPr="009C2219">
        <w:rPr>
          <w:bCs/>
        </w:rPr>
        <w:t xml:space="preserve">The </w:t>
      </w:r>
      <w:r>
        <w:rPr>
          <w:bCs/>
        </w:rPr>
        <w:t>independent review</w:t>
      </w:r>
      <w:r w:rsidRPr="009C2219">
        <w:rPr>
          <w:bCs/>
        </w:rPr>
        <w:t xml:space="preserve"> rightly focuses on bias in relation to defined social categories, such as ethnicity and gender. </w:t>
      </w:r>
      <w:r w:rsidR="00A12E15">
        <w:rPr>
          <w:bCs/>
        </w:rPr>
        <w:t>While these moves are welcome</w:t>
      </w:r>
      <w:r w:rsidR="00A12E15" w:rsidRPr="009C2219">
        <w:rPr>
          <w:bCs/>
        </w:rPr>
        <w:t xml:space="preserve">, it </w:t>
      </w:r>
      <w:r w:rsidR="007A0F16" w:rsidRPr="009C2219">
        <w:rPr>
          <w:bCs/>
        </w:rPr>
        <w:t>remains</w:t>
      </w:r>
      <w:r w:rsidR="00A12E15" w:rsidRPr="009C2219">
        <w:rPr>
          <w:bCs/>
        </w:rPr>
        <w:t xml:space="preserve"> important to recognise that wider social, cultural, political and economic factors shape the way medical devices are designed, developed and deployed, and how individuals can access or be </w:t>
      </w:r>
      <w:r w:rsidR="00A12E15">
        <w:rPr>
          <w:bCs/>
        </w:rPr>
        <w:t>excluded</w:t>
      </w:r>
      <w:r w:rsidR="00A12E15" w:rsidRPr="009C2219">
        <w:rPr>
          <w:bCs/>
        </w:rPr>
        <w:t xml:space="preserve"> from the associated benefits.</w:t>
      </w:r>
      <w:r w:rsidR="007A0F16">
        <w:rPr>
          <w:bCs/>
        </w:rPr>
        <w:t xml:space="preserve"> </w:t>
      </w:r>
      <w:r w:rsidR="007A0F16">
        <w:t>For example,</w:t>
      </w:r>
      <w:r w:rsidR="005C69AE">
        <w:t xml:space="preserve"> in</w:t>
      </w:r>
      <w:r w:rsidR="007A0F16">
        <w:t xml:space="preserve"> </w:t>
      </w:r>
      <w:r w:rsidR="009A3053">
        <w:t>recent years the NHS has not only started to recognise the uneven healthcare geographies that sustain the lack of medical device access amongst socially deprived communities, but has also signalled the need to better appreciate the social inequalities reproduced by medical devices themselves.</w:t>
      </w:r>
      <w:r w:rsidR="009A3053">
        <w:rPr>
          <w:rStyle w:val="EndnoteReference"/>
        </w:rPr>
        <w:endnoteReference w:id="2"/>
      </w:r>
      <w:r w:rsidR="009A3053">
        <w:t xml:space="preserve"> </w:t>
      </w:r>
      <w:r w:rsidR="009A3053">
        <w:rPr>
          <w:bCs/>
        </w:rPr>
        <w:t xml:space="preserve">Taking this wider and deeper view </w:t>
      </w:r>
      <w:r w:rsidRPr="009C2219">
        <w:rPr>
          <w:bCs/>
        </w:rPr>
        <w:t xml:space="preserve">suggests that the challenge of equity requires a rethinking of the innovation process, so that new medical devices better respond to longstanding societal biases and inequalities. </w:t>
      </w:r>
      <w:r w:rsidR="00AC6B20">
        <w:rPr>
          <w:bCs/>
        </w:rPr>
        <w:t xml:space="preserve">This is ultimately a systemic problem, requiring changes in </w:t>
      </w:r>
      <w:r w:rsidR="00AC6B20" w:rsidRPr="00AC6B20">
        <w:rPr>
          <w:bCs/>
        </w:rPr>
        <w:t>training</w:t>
      </w:r>
      <w:r w:rsidR="00AC6B20">
        <w:rPr>
          <w:bCs/>
        </w:rPr>
        <w:t xml:space="preserve">, </w:t>
      </w:r>
      <w:r w:rsidR="00AC6B20" w:rsidRPr="00AC6B20">
        <w:rPr>
          <w:bCs/>
        </w:rPr>
        <w:t>investment</w:t>
      </w:r>
      <w:r w:rsidR="00AC6B20">
        <w:rPr>
          <w:bCs/>
        </w:rPr>
        <w:t xml:space="preserve">, </w:t>
      </w:r>
      <w:r w:rsidR="00AC6B20" w:rsidRPr="00AC6B20">
        <w:rPr>
          <w:bCs/>
        </w:rPr>
        <w:t>regulation</w:t>
      </w:r>
      <w:r w:rsidR="00AC6B20">
        <w:rPr>
          <w:bCs/>
        </w:rPr>
        <w:t xml:space="preserve"> and</w:t>
      </w:r>
      <w:r w:rsidR="00AC6B20" w:rsidRPr="00AC6B20">
        <w:rPr>
          <w:bCs/>
        </w:rPr>
        <w:t xml:space="preserve"> commissioning</w:t>
      </w:r>
      <w:r w:rsidR="00AC6B20">
        <w:rPr>
          <w:bCs/>
        </w:rPr>
        <w:t xml:space="preserve">. At the centre, however, </w:t>
      </w:r>
      <w:r w:rsidR="002372B4">
        <w:rPr>
          <w:bCs/>
        </w:rPr>
        <w:t xml:space="preserve">is a question </w:t>
      </w:r>
      <w:r w:rsidR="009B626D">
        <w:rPr>
          <w:bCs/>
        </w:rPr>
        <w:t xml:space="preserve">of </w:t>
      </w:r>
      <w:r w:rsidR="002372B4">
        <w:rPr>
          <w:bCs/>
        </w:rPr>
        <w:t>whether we can expand the scope of technology development to consider the contextual constraints and opportunities faced by designers and users</w:t>
      </w:r>
      <w:r w:rsidR="00AC6B20">
        <w:rPr>
          <w:bCs/>
        </w:rPr>
        <w:t xml:space="preserve"> </w:t>
      </w:r>
      <w:r w:rsidR="002372B4">
        <w:rPr>
          <w:bCs/>
        </w:rPr>
        <w:t>as an essential component of the technical challenge.</w:t>
      </w:r>
      <w:r w:rsidR="0071349B">
        <w:rPr>
          <w:bCs/>
        </w:rPr>
        <w:t xml:space="preserve"> This in turn requires us </w:t>
      </w:r>
      <w:r w:rsidR="007F3FDD">
        <w:rPr>
          <w:bCs/>
        </w:rPr>
        <w:t xml:space="preserve">to </w:t>
      </w:r>
      <w:r w:rsidR="0071349B">
        <w:rPr>
          <w:bCs/>
        </w:rPr>
        <w:t xml:space="preserve">reflect </w:t>
      </w:r>
      <w:r w:rsidR="00AB5F3E">
        <w:rPr>
          <w:bCs/>
        </w:rPr>
        <w:t xml:space="preserve">critically </w:t>
      </w:r>
      <w:r w:rsidR="0071349B">
        <w:rPr>
          <w:bCs/>
        </w:rPr>
        <w:t xml:space="preserve">on </w:t>
      </w:r>
      <w:r w:rsidR="00AB5F3E">
        <w:rPr>
          <w:bCs/>
        </w:rPr>
        <w:t>enduring inequalities in knowledge, power and social influence</w:t>
      </w:r>
      <w:r w:rsidR="00E64E3B">
        <w:rPr>
          <w:bCs/>
        </w:rPr>
        <w:t xml:space="preserve"> and to ask, </w:t>
      </w:r>
      <w:r w:rsidR="009F48F9">
        <w:rPr>
          <w:bCs/>
        </w:rPr>
        <w:t xml:space="preserve">who </w:t>
      </w:r>
      <w:r w:rsidR="00AB5F3E">
        <w:rPr>
          <w:bCs/>
        </w:rPr>
        <w:t>is included</w:t>
      </w:r>
      <w:r w:rsidR="00076BFF">
        <w:rPr>
          <w:bCs/>
        </w:rPr>
        <w:t xml:space="preserve"> in </w:t>
      </w:r>
      <w:r w:rsidR="009F48F9">
        <w:rPr>
          <w:bCs/>
        </w:rPr>
        <w:t>technology development</w:t>
      </w:r>
      <w:r w:rsidR="00076BFF">
        <w:rPr>
          <w:bCs/>
        </w:rPr>
        <w:t>, and on what terms</w:t>
      </w:r>
      <w:r w:rsidR="00E64E3B">
        <w:rPr>
          <w:bCs/>
        </w:rPr>
        <w:t>?</w:t>
      </w:r>
    </w:p>
    <w:p w14:paraId="497D2A6F" w14:textId="77777777" w:rsidR="00F33555" w:rsidRDefault="00F33555" w:rsidP="00E73BB7">
      <w:pPr>
        <w:spacing w:line="360" w:lineRule="auto"/>
        <w:jc w:val="both"/>
      </w:pPr>
    </w:p>
    <w:p w14:paraId="00000004" w14:textId="045D32EE" w:rsidR="00A103C3" w:rsidRPr="009A3053" w:rsidRDefault="009A3053" w:rsidP="00E73BB7">
      <w:pPr>
        <w:spacing w:line="360" w:lineRule="auto"/>
        <w:rPr>
          <w:b/>
          <w:bCs/>
        </w:rPr>
      </w:pPr>
      <w:r>
        <w:rPr>
          <w:b/>
          <w:bCs/>
        </w:rPr>
        <w:t>Equity: a</w:t>
      </w:r>
      <w:r w:rsidRPr="009A3053">
        <w:rPr>
          <w:b/>
          <w:bCs/>
        </w:rPr>
        <w:t xml:space="preserve"> technical and social </w:t>
      </w:r>
      <w:r>
        <w:rPr>
          <w:b/>
          <w:bCs/>
        </w:rPr>
        <w:t>problem</w:t>
      </w:r>
    </w:p>
    <w:p w14:paraId="5181BDF1" w14:textId="77777777" w:rsidR="00F33555" w:rsidRDefault="00F33555" w:rsidP="00E73BB7">
      <w:pPr>
        <w:spacing w:line="360" w:lineRule="auto"/>
      </w:pPr>
    </w:p>
    <w:p w14:paraId="00000005" w14:textId="75C286F2" w:rsidR="00A103C3" w:rsidRDefault="00F33555" w:rsidP="00E73BB7">
      <w:pPr>
        <w:spacing w:line="360" w:lineRule="auto"/>
        <w:jc w:val="both"/>
      </w:pPr>
      <w:r>
        <w:t>Failure to attend to patient diversity in clinical samples, statistical models and training datasets are not the only drivers of inequitable outcomes. While frequently overlooked, two further considerations are central to how medical technologies are experienced in practice</w:t>
      </w:r>
      <w:r w:rsidR="00CD0DE8">
        <w:t xml:space="preserve"> (</w:t>
      </w:r>
      <w:r w:rsidR="00470C42">
        <w:t xml:space="preserve">Figure </w:t>
      </w:r>
      <w:r w:rsidR="00CD0DE8">
        <w:t>1)</w:t>
      </w:r>
      <w:r>
        <w:t xml:space="preserve">. </w:t>
      </w:r>
      <w:r>
        <w:lastRenderedPageBreak/>
        <w:t xml:space="preserve">First, decisions made by scientists and engineers in the design, development and validation of medical devices are shaped by their social context and the underlying opportunities, incentives, training and experiences afforded to them. </w:t>
      </w:r>
      <w:r w:rsidR="007F3FDD">
        <w:t xml:space="preserve">This in turn reinforces </w:t>
      </w:r>
      <w:proofErr w:type="gramStart"/>
      <w:r w:rsidR="007F3FDD">
        <w:t>particular ways</w:t>
      </w:r>
      <w:proofErr w:type="gramEnd"/>
      <w:r w:rsidR="007F3FDD">
        <w:t xml:space="preserve"> in which problems are understood, prioritised and resolved,</w:t>
      </w:r>
      <w:r w:rsidR="007F3FDD">
        <w:rPr>
          <w:rStyle w:val="EndnoteReference"/>
        </w:rPr>
        <w:endnoteReference w:id="3"/>
      </w:r>
      <w:r w:rsidR="007F3FDD">
        <w:t xml:space="preserve"> and </w:t>
      </w:r>
      <w:r>
        <w:t>raises significant questions around how new technologies should be developed</w:t>
      </w:r>
      <w:r w:rsidR="007F3FDD">
        <w:t xml:space="preserve">. We </w:t>
      </w:r>
      <w:r>
        <w:t xml:space="preserve">draw particular attention </w:t>
      </w:r>
      <w:r w:rsidR="007F3FDD">
        <w:t xml:space="preserve">here </w:t>
      </w:r>
      <w:r>
        <w:t xml:space="preserve">to whose knowledge and experience is legitimised or excluded at different stages of the innovation process. Second, while these factors illustrate how socio-political context regulates the production of new technology, it is equally important to recognise the role of context during the deployment and use of medical devices. At deployment, technology interacts with the context and circumstances of patients such that the outcomes and benefits of a medical device are uniquely experienced by different individuals in different settings and at </w:t>
      </w:r>
      <w:proofErr w:type="gramStart"/>
      <w:r>
        <w:t>particular times</w:t>
      </w:r>
      <w:proofErr w:type="gramEnd"/>
      <w:r>
        <w:t>.</w:t>
      </w:r>
      <w:r w:rsidR="00F751EF">
        <w:rPr>
          <w:rStyle w:val="EndnoteReference"/>
        </w:rPr>
        <w:endnoteReference w:id="4"/>
      </w:r>
      <w:r w:rsidR="003229F1">
        <w:t xml:space="preserve"> It is not enough to consider the innovation of medical devices as simply a technological challenge; innovation for equity is simultaneously technical and social.   </w:t>
      </w:r>
    </w:p>
    <w:p w14:paraId="5EA30F24" w14:textId="77777777" w:rsidR="0004163C" w:rsidRDefault="0004163C" w:rsidP="00E73BB7">
      <w:pPr>
        <w:spacing w:line="360" w:lineRule="auto"/>
        <w:jc w:val="both"/>
      </w:pPr>
    </w:p>
    <w:p w14:paraId="00000007" w14:textId="1CBF1D0D" w:rsidR="00A103C3" w:rsidRDefault="00E97DAF" w:rsidP="00E73BB7">
      <w:pPr>
        <w:spacing w:line="360" w:lineRule="auto"/>
        <w:jc w:val="both"/>
      </w:pPr>
      <w:r>
        <w:t xml:space="preserve">To illustrate the nuanced ways in which the outcomes of medical devices shape and are shaped by </w:t>
      </w:r>
      <w:r w:rsidR="008072E7">
        <w:t xml:space="preserve">institutions and </w:t>
      </w:r>
      <w:r>
        <w:t xml:space="preserve">socio-political context, it is </w:t>
      </w:r>
      <w:r w:rsidR="00B11260">
        <w:t>helpful</w:t>
      </w:r>
      <w:r>
        <w:t xml:space="preserve"> to consider an exemplar technology. Continuous glucose monitoring (CGM) devices have been available through the NHS since 2014 and have been deployed at scale, with over 69% of people living with Type 1 diabetes (T1D) in England having been prescribed access </w:t>
      </w:r>
      <w:r w:rsidR="00884ADE">
        <w:t>to a Libre CGM device</w:t>
      </w:r>
      <w:r w:rsidR="0030218A">
        <w:t>.</w:t>
      </w:r>
      <w:r w:rsidR="0030218A">
        <w:rPr>
          <w:rStyle w:val="EndnoteReference"/>
        </w:rPr>
        <w:endnoteReference w:id="5"/>
      </w:r>
      <w:r w:rsidR="00EE30A8">
        <w:t xml:space="preserve"> </w:t>
      </w:r>
      <w:r>
        <w:t>To attend to this problem of equitable technology in healthcare, we have explored, from the patient perspective, the positive and negative dimensions of CGM devices.</w:t>
      </w:r>
      <w:r w:rsidR="008772D0">
        <w:t xml:space="preserve"> </w:t>
      </w:r>
      <w:r w:rsidR="000A7AC6">
        <w:t xml:space="preserve">These perspectives were </w:t>
      </w:r>
      <w:r w:rsidR="00D03294">
        <w:t>explored</w:t>
      </w:r>
      <w:r w:rsidR="000A7AC6">
        <w:t xml:space="preserve"> through </w:t>
      </w:r>
      <w:r w:rsidR="008D7728">
        <w:t xml:space="preserve">a series of </w:t>
      </w:r>
      <w:r w:rsidR="00D03294">
        <w:t>one-to-one interviews</w:t>
      </w:r>
      <w:r w:rsidR="000A7AC6">
        <w:t xml:space="preserve"> with </w:t>
      </w:r>
      <w:r w:rsidR="008D7728">
        <w:t xml:space="preserve">a small cohort of consenting participants </w:t>
      </w:r>
      <w:r w:rsidR="00D03294">
        <w:t xml:space="preserve">who currently use CGM </w:t>
      </w:r>
      <w:r w:rsidR="003554C2">
        <w:t xml:space="preserve">devices </w:t>
      </w:r>
      <w:r w:rsidR="00D03294">
        <w:t>to manage T1D. These</w:t>
      </w:r>
      <w:r w:rsidR="008772D0">
        <w:t xml:space="preserve"> conversations, and a growing </w:t>
      </w:r>
      <w:r>
        <w:t>peer reviewed</w:t>
      </w:r>
      <w:r w:rsidR="00FF6F76">
        <w:t xml:space="preserve"> </w:t>
      </w:r>
      <w:r>
        <w:t>literature</w:t>
      </w:r>
      <w:r w:rsidR="0002528F">
        <w:t>,</w:t>
      </w:r>
      <w:r w:rsidR="00FF6F76">
        <w:rPr>
          <w:rStyle w:val="EndnoteReference"/>
        </w:rPr>
        <w:endnoteReference w:id="6"/>
      </w:r>
      <w:r w:rsidR="00FF6F76" w:rsidRPr="00E3541C">
        <w:rPr>
          <w:vertAlign w:val="superscript"/>
        </w:rPr>
        <w:t>,</w:t>
      </w:r>
      <w:r w:rsidR="00FF6F76">
        <w:rPr>
          <w:rStyle w:val="EndnoteReference"/>
        </w:rPr>
        <w:endnoteReference w:id="7"/>
      </w:r>
      <w:r w:rsidR="00FF6F76" w:rsidRPr="00E3541C">
        <w:rPr>
          <w:vertAlign w:val="superscript"/>
        </w:rPr>
        <w:t>,</w:t>
      </w:r>
      <w:r w:rsidR="00FF6F76">
        <w:rPr>
          <w:rStyle w:val="EndnoteReference"/>
        </w:rPr>
        <w:endnoteReference w:id="8"/>
      </w:r>
      <w:r w:rsidR="00FF6F76">
        <w:rPr>
          <w:vertAlign w:val="superscript"/>
        </w:rPr>
        <w:t>,</w:t>
      </w:r>
      <w:r w:rsidR="00FF6F76">
        <w:rPr>
          <w:rStyle w:val="EndnoteReference"/>
        </w:rPr>
        <w:endnoteReference w:id="9"/>
      </w:r>
      <w:r w:rsidR="00FF6F76">
        <w:rPr>
          <w:vertAlign w:val="superscript"/>
        </w:rPr>
        <w:t>,</w:t>
      </w:r>
      <w:r w:rsidR="00FF6F76">
        <w:rPr>
          <w:rStyle w:val="EndnoteReference"/>
        </w:rPr>
        <w:endnoteReference w:id="10"/>
      </w:r>
      <w:r w:rsidR="00B11260">
        <w:t xml:space="preserve"> </w:t>
      </w:r>
      <w:r w:rsidR="008772D0">
        <w:t xml:space="preserve">has helped to highlight </w:t>
      </w:r>
      <w:r w:rsidR="009254AF">
        <w:t xml:space="preserve">how </w:t>
      </w:r>
      <w:r w:rsidR="001E7ACD">
        <w:t xml:space="preserve">problems </w:t>
      </w:r>
      <w:r w:rsidR="009254AF">
        <w:t xml:space="preserve">have emerged from the ways that </w:t>
      </w:r>
      <w:r w:rsidR="001E7ACD">
        <w:t xml:space="preserve">technical </w:t>
      </w:r>
      <w:r w:rsidR="009254AF">
        <w:t xml:space="preserve">interventions </w:t>
      </w:r>
      <w:r w:rsidR="00B11260">
        <w:t xml:space="preserve">emerge from – and </w:t>
      </w:r>
      <w:r w:rsidR="009254AF">
        <w:t xml:space="preserve">play out in </w:t>
      </w:r>
      <w:r w:rsidR="00B11260">
        <w:t xml:space="preserve">– </w:t>
      </w:r>
      <w:r w:rsidR="001E7ACD">
        <w:t>social</w:t>
      </w:r>
      <w:r w:rsidR="00B11260">
        <w:t xml:space="preserve"> </w:t>
      </w:r>
      <w:r w:rsidR="009254AF">
        <w:t>contexts</w:t>
      </w:r>
      <w:r>
        <w:t>.</w:t>
      </w:r>
    </w:p>
    <w:p w14:paraId="00000008" w14:textId="77777777" w:rsidR="00A103C3" w:rsidRDefault="00A103C3" w:rsidP="00E73BB7">
      <w:pPr>
        <w:spacing w:line="360" w:lineRule="auto"/>
        <w:jc w:val="both"/>
        <w:rPr>
          <w:i/>
        </w:rPr>
      </w:pPr>
    </w:p>
    <w:p w14:paraId="00000009" w14:textId="780B4DE6" w:rsidR="00A103C3" w:rsidRPr="00963E29" w:rsidRDefault="001E7ACD" w:rsidP="00E73BB7">
      <w:pPr>
        <w:spacing w:line="360" w:lineRule="auto"/>
        <w:jc w:val="both"/>
      </w:pPr>
      <w:r>
        <w:rPr>
          <w:iCs/>
        </w:rPr>
        <w:t>Problem 1: m</w:t>
      </w:r>
      <w:r w:rsidRPr="008072E7">
        <w:rPr>
          <w:iCs/>
        </w:rPr>
        <w:t>edical devices can undermine patient wellbeing</w:t>
      </w:r>
      <w:r w:rsidR="008072E7">
        <w:rPr>
          <w:iCs/>
        </w:rPr>
        <w:t xml:space="preserve">. </w:t>
      </w:r>
      <w:r>
        <w:t xml:space="preserve">While CGM devices alleviate some of the uncertainties associated with diabetes management, patients report that the continuous monitoring and reporting of glucose levels, coupled with the associated responsibilities placed upon individuals, can contribute to unintended psychosocial effects. For clinicians and health policy makers, the high frequency, longitudinal data produced by CGM devices are viewed as essential for supporting self-management of T1D. </w:t>
      </w:r>
      <w:r w:rsidR="00A75543">
        <w:t>These</w:t>
      </w:r>
      <w:r w:rsidR="00494062">
        <w:t xml:space="preserve"> </w:t>
      </w:r>
      <w:r>
        <w:t xml:space="preserve">data, coupled with the decision support systems that are associated with CGM devices, help to inform diagnosis, treatment, and the prediction of future health complications. While </w:t>
      </w:r>
      <w:r w:rsidR="00947C68">
        <w:t xml:space="preserve">T1D patients report the use of CGM devices as </w:t>
      </w:r>
      <w:r>
        <w:t>empower</w:t>
      </w:r>
      <w:r w:rsidR="00947C68">
        <w:t>ing</w:t>
      </w:r>
      <w:r>
        <w:t>, for example by precipitating insulin dosing, raising clinical alerts or promoting certain behaviour</w:t>
      </w:r>
      <w:r w:rsidR="001279AA">
        <w:t xml:space="preserve">, </w:t>
      </w:r>
      <w:r w:rsidRPr="00385F8A">
        <w:t xml:space="preserve">patients often </w:t>
      </w:r>
      <w:r w:rsidR="00947C68">
        <w:t xml:space="preserve">also </w:t>
      </w:r>
      <w:r w:rsidRPr="00385F8A">
        <w:t xml:space="preserve">perceive disciplining </w:t>
      </w:r>
      <w:r w:rsidR="00385F8A" w:rsidRPr="00385F8A">
        <w:t>of</w:t>
      </w:r>
      <w:r w:rsidRPr="00385F8A">
        <w:t xml:space="preserve"> their behaviour and habits</w:t>
      </w:r>
      <w:r w:rsidR="006A64AD">
        <w:t>.</w:t>
      </w:r>
      <w:r w:rsidR="00D14734">
        <w:t xml:space="preserve"> </w:t>
      </w:r>
      <w:r>
        <w:t xml:space="preserve">As a result, the repetitive use of CGM technologies </w:t>
      </w:r>
      <w:r>
        <w:lastRenderedPageBreak/>
        <w:t>emerges as an exacerbating factor in diabetes</w:t>
      </w:r>
      <w:r w:rsidR="005E24E4">
        <w:t xml:space="preserve"> distress and</w:t>
      </w:r>
      <w:r>
        <w:t xml:space="preserve"> burnout (a generalised state of anxiety in which patients </w:t>
      </w:r>
      <w:r w:rsidR="005E24E4">
        <w:t>become “</w:t>
      </w:r>
      <w:r w:rsidR="00766768">
        <w:t>overwhelmed by the relentlessness of diabetes”)</w:t>
      </w:r>
      <w:r w:rsidR="005E24E4">
        <w:t>,</w:t>
      </w:r>
      <w:r w:rsidR="00963E29">
        <w:t xml:space="preserve"> which can often lead to </w:t>
      </w:r>
      <w:r>
        <w:t>depression and poor mental health outcomes</w:t>
      </w:r>
      <w:r w:rsidR="00963E29">
        <w:t>.</w:t>
      </w:r>
      <w:r w:rsidR="00963E29">
        <w:rPr>
          <w:rStyle w:val="EndnoteReference"/>
        </w:rPr>
        <w:endnoteReference w:id="11"/>
      </w:r>
    </w:p>
    <w:p w14:paraId="0000000A" w14:textId="77777777" w:rsidR="00A103C3" w:rsidRDefault="00A103C3" w:rsidP="00E73BB7">
      <w:pPr>
        <w:spacing w:line="360" w:lineRule="auto"/>
        <w:jc w:val="both"/>
      </w:pPr>
    </w:p>
    <w:p w14:paraId="0000000B" w14:textId="29823766" w:rsidR="00A103C3" w:rsidRDefault="001E7ACD" w:rsidP="00E73BB7">
      <w:pPr>
        <w:spacing w:line="360" w:lineRule="auto"/>
        <w:jc w:val="both"/>
      </w:pPr>
      <w:r>
        <w:rPr>
          <w:iCs/>
        </w:rPr>
        <w:t>Problem 2: m</w:t>
      </w:r>
      <w:r w:rsidRPr="008072E7">
        <w:rPr>
          <w:iCs/>
        </w:rPr>
        <w:t>edical devices can occlude patient expertise</w:t>
      </w:r>
      <w:r w:rsidR="008072E7">
        <w:rPr>
          <w:iCs/>
        </w:rPr>
        <w:t xml:space="preserve">. </w:t>
      </w:r>
      <w:r>
        <w:t>Data-driven</w:t>
      </w:r>
      <w:r w:rsidR="00E97DAF">
        <w:t>,</w:t>
      </w:r>
      <w:r>
        <w:t xml:space="preserve"> self-management of T1D enabled by CGM devices has also had the unintended social consequence of diminishing clinician-patient relations. The standardised algorithms and protocols underpinning </w:t>
      </w:r>
      <w:r w:rsidR="009254AF">
        <w:t>decision support systems reduces the space for</w:t>
      </w:r>
      <w:r>
        <w:t xml:space="preserve"> the patient voice</w:t>
      </w:r>
      <w:r w:rsidR="009254AF">
        <w:t>,</w:t>
      </w:r>
      <w:r>
        <w:t xml:space="preserve"> reinforc</w:t>
      </w:r>
      <w:r w:rsidR="009254AF">
        <w:t>ing</w:t>
      </w:r>
      <w:r>
        <w:t xml:space="preserve"> </w:t>
      </w:r>
      <w:r w:rsidR="009254AF">
        <w:t>a sense among patients of an “</w:t>
      </w:r>
      <w:r>
        <w:t>expert</w:t>
      </w:r>
      <w:r w:rsidR="009254AF">
        <w:t xml:space="preserve"> and patient”</w:t>
      </w:r>
      <w:r>
        <w:t xml:space="preserve"> binar</w:t>
      </w:r>
      <w:r w:rsidR="009254AF">
        <w:t>y</w:t>
      </w:r>
      <w:r>
        <w:t xml:space="preserve">. As one T1D patient noted, although the aim is for “us [patients] to become experts and proactive in dealing with our condition”, the clinical expertise that is privileged in CGM devices tends to under-value the highly individual experiences of people with diabetes, yielding representations of patients that are limited to clinical markers. As </w:t>
      </w:r>
      <w:r w:rsidR="009254AF">
        <w:t>patients have</w:t>
      </w:r>
      <w:r>
        <w:t xml:space="preserve"> explained</w:t>
      </w:r>
      <w:r w:rsidR="009254AF">
        <w:t xml:space="preserve"> to us</w:t>
      </w:r>
      <w:r>
        <w:t xml:space="preserve">, these representations are designed to serve “the needs of clinicians rather than our daily requirements”. Many patients we spoke to also expressed frustration over a deficit of social and clinical support in the use of CGM devices and interpretation of data. For example, one patient noted that, “they [doctors] are so pressed for time, they want information that’s digestible quickly – to know whether my levels are going up or down, not whether I’m managing to use my device effectively throughout the day”.  </w:t>
      </w:r>
    </w:p>
    <w:p w14:paraId="0000000C" w14:textId="77777777" w:rsidR="00A103C3" w:rsidRDefault="00E97DAF" w:rsidP="00E73BB7">
      <w:pPr>
        <w:spacing w:line="360" w:lineRule="auto"/>
        <w:jc w:val="both"/>
      </w:pPr>
      <w:r>
        <w:t xml:space="preserve"> </w:t>
      </w:r>
    </w:p>
    <w:p w14:paraId="0000000D" w14:textId="18F9D739" w:rsidR="00A103C3" w:rsidRPr="008072E7" w:rsidRDefault="001E7ACD" w:rsidP="00E73BB7">
      <w:pPr>
        <w:spacing w:line="360" w:lineRule="auto"/>
        <w:jc w:val="both"/>
        <w:rPr>
          <w:iCs/>
        </w:rPr>
      </w:pPr>
      <w:r>
        <w:rPr>
          <w:iCs/>
        </w:rPr>
        <w:t>Problem 3: m</w:t>
      </w:r>
      <w:r w:rsidRPr="008072E7">
        <w:rPr>
          <w:iCs/>
        </w:rPr>
        <w:t xml:space="preserve">edical devices </w:t>
      </w:r>
      <w:r w:rsidR="00F261A2">
        <w:rPr>
          <w:iCs/>
        </w:rPr>
        <w:t>will</w:t>
      </w:r>
      <w:r>
        <w:rPr>
          <w:iCs/>
        </w:rPr>
        <w:t xml:space="preserve"> </w:t>
      </w:r>
      <w:r w:rsidR="00F261A2">
        <w:rPr>
          <w:iCs/>
        </w:rPr>
        <w:t xml:space="preserve">(usually) </w:t>
      </w:r>
      <w:r w:rsidRPr="008072E7">
        <w:rPr>
          <w:iCs/>
        </w:rPr>
        <w:t>reflect political priorities</w:t>
      </w:r>
      <w:r w:rsidR="008072E7">
        <w:rPr>
          <w:iCs/>
        </w:rPr>
        <w:t xml:space="preserve">. </w:t>
      </w:r>
      <w:r>
        <w:t xml:space="preserve">For </w:t>
      </w:r>
      <w:r w:rsidR="009254AF">
        <w:t>the patients</w:t>
      </w:r>
      <w:r>
        <w:t xml:space="preserve"> we </w:t>
      </w:r>
      <w:r w:rsidR="009254AF">
        <w:t xml:space="preserve">have </w:t>
      </w:r>
      <w:r>
        <w:t>spoke</w:t>
      </w:r>
      <w:r w:rsidR="009254AF">
        <w:t>n</w:t>
      </w:r>
      <w:r>
        <w:t xml:space="preserve"> to, the use of CGM devices has allowed T1D patients to view themselves as meaningful actors capable of helping to alleviate institutional and economic strains within the NHS. The self-identification of CGM users as agents of public good reflects and sustains the dominance of an economic and political agenda in national healthcare policy, embedded in narratives around “saving the NHS” and through which responsibilities are shifted from public providers to private citizens. This direct association between national policy, medical devices and personal identity illustrates how technologies are more than simply practical tools: the choices that have led to the design, deployment and acceptance of CGM devices reflect and reinforce </w:t>
      </w:r>
      <w:r w:rsidR="009143E7">
        <w:t>the prevailing</w:t>
      </w:r>
      <w:r>
        <w:t xml:space="preserve"> economic rationality, meaning that alternative ways of understanding, living with and managing a long</w:t>
      </w:r>
      <w:r w:rsidR="0050091B">
        <w:t>-</w:t>
      </w:r>
      <w:r>
        <w:t xml:space="preserve">term condition like T1D, such as through the lens of solidarity or care, are implicitly deprioritised. The practical effect is that these alternative rationalities are neither fostered nor represented in patients’ experiences of using the technology.  </w:t>
      </w:r>
    </w:p>
    <w:p w14:paraId="0000000E" w14:textId="77777777" w:rsidR="00A103C3" w:rsidRDefault="00A103C3" w:rsidP="00E73BB7">
      <w:pPr>
        <w:spacing w:line="360" w:lineRule="auto"/>
        <w:jc w:val="both"/>
      </w:pPr>
    </w:p>
    <w:p w14:paraId="6F8354ED" w14:textId="20CB0A0A" w:rsidR="009143E7" w:rsidRDefault="009143E7" w:rsidP="00E73BB7">
      <w:pPr>
        <w:spacing w:line="360" w:lineRule="auto"/>
        <w:jc w:val="both"/>
        <w:rPr>
          <w:b/>
          <w:bCs/>
        </w:rPr>
      </w:pPr>
      <w:r>
        <w:rPr>
          <w:b/>
          <w:bCs/>
        </w:rPr>
        <w:t>Innovating differently</w:t>
      </w:r>
    </w:p>
    <w:p w14:paraId="27F9F4F0" w14:textId="77777777" w:rsidR="009143E7" w:rsidRPr="009143E7" w:rsidRDefault="009143E7" w:rsidP="00E73BB7">
      <w:pPr>
        <w:spacing w:line="360" w:lineRule="auto"/>
        <w:jc w:val="both"/>
        <w:rPr>
          <w:b/>
          <w:bCs/>
        </w:rPr>
      </w:pPr>
    </w:p>
    <w:p w14:paraId="63FD192D" w14:textId="77777777" w:rsidR="00B11260" w:rsidRDefault="00E97DAF" w:rsidP="00E73BB7">
      <w:pPr>
        <w:spacing w:line="360" w:lineRule="auto"/>
        <w:jc w:val="both"/>
      </w:pPr>
      <w:r>
        <w:t xml:space="preserve">These themes illustrate how the </w:t>
      </w:r>
      <w:r w:rsidR="00B11260">
        <w:t>outcomes of</w:t>
      </w:r>
      <w:r>
        <w:t xml:space="preserve"> medical devices </w:t>
      </w:r>
      <w:r w:rsidR="00B11260">
        <w:t>that are experienced by patients are</w:t>
      </w:r>
      <w:r>
        <w:t xml:space="preserve"> shaped by</w:t>
      </w:r>
      <w:r w:rsidR="00B11260">
        <w:t xml:space="preserve"> the</w:t>
      </w:r>
      <w:r>
        <w:t xml:space="preserve"> </w:t>
      </w:r>
      <w:r w:rsidR="00B11260">
        <w:t xml:space="preserve">institutional and </w:t>
      </w:r>
      <w:r>
        <w:t>socio-political</w:t>
      </w:r>
      <w:r w:rsidR="00B11260">
        <w:t xml:space="preserve"> environment</w:t>
      </w:r>
      <w:r>
        <w:t xml:space="preserve">, leading to the reproduction of </w:t>
      </w:r>
      <w:r>
        <w:lastRenderedPageBreak/>
        <w:t xml:space="preserve">particular norms, values, and biases that accrue at the individual, clinical/community and national scales. The outstanding challenge facing technology developers, commissioners and regulators is: how to innovate medical devices differently so that the benefits are distributed equitably? </w:t>
      </w:r>
    </w:p>
    <w:p w14:paraId="5DF87BB8" w14:textId="77777777" w:rsidR="00B11260" w:rsidRDefault="00B11260" w:rsidP="00E73BB7">
      <w:pPr>
        <w:spacing w:line="360" w:lineRule="auto"/>
        <w:jc w:val="both"/>
      </w:pPr>
    </w:p>
    <w:p w14:paraId="0000000F" w14:textId="2EB517E4" w:rsidR="00A103C3" w:rsidRDefault="00E97DAF" w:rsidP="00E73BB7">
      <w:pPr>
        <w:spacing w:line="360" w:lineRule="auto"/>
        <w:jc w:val="both"/>
      </w:pPr>
      <w:r>
        <w:t>Addressing this question necessitates</w:t>
      </w:r>
      <w:r w:rsidR="00B3393C">
        <w:t xml:space="preserve"> two fundamental changes to how we think about technology innovation (</w:t>
      </w:r>
      <w:r w:rsidR="00470C42">
        <w:t xml:space="preserve">Figure </w:t>
      </w:r>
      <w:r w:rsidR="00B3393C">
        <w:t>2).</w:t>
      </w:r>
      <w:r>
        <w:t xml:space="preserve"> </w:t>
      </w:r>
      <w:r w:rsidR="00B3393C">
        <w:t>F</w:t>
      </w:r>
      <w:r>
        <w:t>irst, an approach to innovation that moves beyond a superficial engagement with patients and their circumstances. Technology development cannot be based only on the expertise of engineers or the knowledge of healthcare professionals, but rather needs to be co-designed with (rather than for) patients and carers.</w:t>
      </w:r>
      <w:r w:rsidR="00F62F48">
        <w:rPr>
          <w:rStyle w:val="EndnoteReference"/>
        </w:rPr>
        <w:endnoteReference w:id="12"/>
      </w:r>
      <w:r>
        <w:t xml:space="preserve"> Understanding the priorities of patients, whether in terms of the support needed to understand and manage their condition, securing representation and acknowledgement of the complexity of their symptoms and context, or questioning the values that are embedded in the technologies they depend on, needs extended, carefully structured conversations with diverse patient groups. To be effective, this means placing greater value on the expertise and experiential knowledge of patients,</w:t>
      </w:r>
      <w:r w:rsidDel="00E97DAF">
        <w:t xml:space="preserve"> </w:t>
      </w:r>
      <w:r>
        <w:t>while</w:t>
      </w:r>
      <w:r w:rsidR="005F224C">
        <w:t xml:space="preserve"> recognising the breadth and depth </w:t>
      </w:r>
      <w:r>
        <w:t>of clinical</w:t>
      </w:r>
      <w:r w:rsidR="005F224C">
        <w:t xml:space="preserve"> </w:t>
      </w:r>
      <w:r>
        <w:t>understanding.</w:t>
      </w:r>
      <w:r w:rsidR="005F224C">
        <w:t xml:space="preserve"> </w:t>
      </w:r>
      <w:r>
        <w:t xml:space="preserve">This requires methods for engaging with patients in ways that are multidimensional, surfacing and engaging with their different social, cultural, technical and health needs and experiences. </w:t>
      </w:r>
      <w:r w:rsidR="005F224C">
        <w:t>Structured, qualitative engagement of this sort can reveal drivers of technology outcomes that are common across multiple individuals or within groups. A</w:t>
      </w:r>
      <w:r>
        <w:t>lso require</w:t>
      </w:r>
      <w:r w:rsidR="005F224C">
        <w:t xml:space="preserve">d is </w:t>
      </w:r>
      <w:r>
        <w:t xml:space="preserve">a </w:t>
      </w:r>
      <w:r w:rsidR="005F224C">
        <w:t>way of</w:t>
      </w:r>
      <w:r>
        <w:t xml:space="preserve"> working that actively support</w:t>
      </w:r>
      <w:r w:rsidR="00180575">
        <w:t>s</w:t>
      </w:r>
      <w:r>
        <w:t xml:space="preserve"> marginalised groups to represent themselves, anchored in an informed understanding of the power relationships between patients, technology developers and healthcare professionals, and the social, cultural and economic realities of different groups within and between these stakeholder communities. This understanding enables the development of engagement processes that disaggregate social groups, mediate between differences in knowledge and experience, and are sensitive to </w:t>
      </w:r>
      <w:r w:rsidR="00913A06">
        <w:t xml:space="preserve">(for example) </w:t>
      </w:r>
      <w:r>
        <w:t xml:space="preserve">the times, locations, media, language and </w:t>
      </w:r>
      <w:r w:rsidR="00913A06">
        <w:t>recompense</w:t>
      </w:r>
      <w:r>
        <w:t xml:space="preserve"> that are appropriate for diverse participants. </w:t>
      </w:r>
      <w:r w:rsidR="00B56A03">
        <w:t>Of course, there will always be limits</w:t>
      </w:r>
      <w:r w:rsidR="00B56A03" w:rsidRPr="00B56A03">
        <w:t xml:space="preserve"> </w:t>
      </w:r>
      <w:r w:rsidR="00B56A03">
        <w:t>to engagement: no realistic process can seek to work with all patients</w:t>
      </w:r>
      <w:r w:rsidR="004036B6">
        <w:t xml:space="preserve"> as individuals</w:t>
      </w:r>
      <w:r w:rsidR="00B56A03">
        <w:t xml:space="preserve">. What remains important is that </w:t>
      </w:r>
      <w:r w:rsidR="00B56A03" w:rsidRPr="00B56A03">
        <w:t xml:space="preserve">the terms of reference </w:t>
      </w:r>
      <w:r w:rsidR="00B56A03">
        <w:t xml:space="preserve">for patient recruitment </w:t>
      </w:r>
      <w:r>
        <w:t xml:space="preserve">and participation </w:t>
      </w:r>
      <w:r w:rsidR="00B56A03" w:rsidRPr="00B56A03">
        <w:t xml:space="preserve">are set in relation to the context </w:t>
      </w:r>
      <w:r w:rsidR="00B56A03">
        <w:t>in which</w:t>
      </w:r>
      <w:r w:rsidR="00B56A03" w:rsidRPr="00B56A03">
        <w:t xml:space="preserve"> </w:t>
      </w:r>
      <w:r w:rsidR="00B56A03">
        <w:t xml:space="preserve">it is anticipated that </w:t>
      </w:r>
      <w:r w:rsidR="00B56A03" w:rsidRPr="00B56A03">
        <w:t>the tech</w:t>
      </w:r>
      <w:r w:rsidR="00B56A03">
        <w:t>nology</w:t>
      </w:r>
      <w:r w:rsidR="00B56A03" w:rsidRPr="00B56A03">
        <w:t xml:space="preserve"> will be used</w:t>
      </w:r>
      <w:r w:rsidR="004036B6">
        <w:t xml:space="preserve"> (as described above), </w:t>
      </w:r>
      <w:r w:rsidR="00B56A03">
        <w:t>and that these limits</w:t>
      </w:r>
      <w:r w:rsidR="00B56A03" w:rsidRPr="00B56A03">
        <w:t xml:space="preserve"> are explicit</w:t>
      </w:r>
      <w:r w:rsidR="00B56A03">
        <w:t>ly</w:t>
      </w:r>
      <w:r w:rsidR="00B56A03" w:rsidRPr="00B56A03">
        <w:t xml:space="preserve"> and transparently communicated</w:t>
      </w:r>
      <w:r w:rsidR="00B56A03">
        <w:t xml:space="preserve"> to end users</w:t>
      </w:r>
      <w:r w:rsidR="00B56A03" w:rsidRPr="00B56A03">
        <w:t>.</w:t>
      </w:r>
    </w:p>
    <w:p w14:paraId="00000010" w14:textId="77777777" w:rsidR="00A103C3" w:rsidRDefault="00A103C3" w:rsidP="00E73BB7">
      <w:pPr>
        <w:spacing w:line="360" w:lineRule="auto"/>
        <w:jc w:val="both"/>
      </w:pPr>
    </w:p>
    <w:p w14:paraId="7C9CEE03" w14:textId="1E45AE70" w:rsidR="00B11260" w:rsidRDefault="00E97DAF" w:rsidP="00E73BB7">
      <w:pPr>
        <w:spacing w:line="360" w:lineRule="auto"/>
        <w:jc w:val="both"/>
      </w:pPr>
      <w:r>
        <w:t xml:space="preserve">Second, engineers and commissioners must recognise that the outcomes of medical technologies are not produced solely by the devices themselves – the nuts and bolts, algorithms, or reagents. How people interact with devices in the environments in which they live is equally important. Attention needs to be paid to how, for example, access to health </w:t>
      </w:r>
      <w:r>
        <w:lastRenderedPageBreak/>
        <w:t xml:space="preserve">professionals, or the cultural values associated with different social or religious groups, or the pressure of economic circumstances could alter whether and how medical devices are used and how benefits are distributed over time. It is insufficient to think of a medical device as an immutable ‘black box’ that will lead to the equitable distribution of benefits within communities and between different settings. Instead, it is necessary to consider how outcomes emerge from the combination of a material object and the rules, norms and practices associated with it. While devices may not change depending on context, the patient experience and clinical impact of their deployment will inevitably be defined by the particular combination of technical and social arrangements. </w:t>
      </w:r>
    </w:p>
    <w:p w14:paraId="3469A371" w14:textId="77777777" w:rsidR="00B11260" w:rsidRDefault="00B11260" w:rsidP="00E73BB7">
      <w:pPr>
        <w:spacing w:line="360" w:lineRule="auto"/>
        <w:jc w:val="both"/>
      </w:pPr>
    </w:p>
    <w:p w14:paraId="00000011" w14:textId="5F1A4A86" w:rsidR="00A103C3" w:rsidRDefault="00E97DAF" w:rsidP="00E73BB7">
      <w:pPr>
        <w:spacing w:line="360" w:lineRule="auto"/>
        <w:jc w:val="both"/>
      </w:pPr>
      <w:r>
        <w:t xml:space="preserve">We see evidence of this in techno-social solutions that are emerging from the collective action of T1D patients. In response to the perceived shortcomings of CGM technologies, patient groups have established peer-support networks which play a crucial role in helping them to better manage the use of CGM devices and to understand their condition, including the burnout or diminished well-being associated with T1D self-management. These platforms offer a valuable outlet for patients to disseminate, discuss and interpret health data in ways that they feel is generally unavailable in clinical settings. The patient-led data production fostered through these groups and networks has supported the representation of T1D patients </w:t>
      </w:r>
      <w:r w:rsidR="00F679CD">
        <w:t xml:space="preserve">as (in the words of one group member) </w:t>
      </w:r>
      <w:r>
        <w:t xml:space="preserve">“human beings rather than numbers or statistics”, acting as a forum for the sharing of personal experience and practical expertise. Rather than expecting institutions such as these platforms to emerge equitably and spontaneously across society, we suggest that the social arrangements that deliver, mediate and support the use of medical devices should be considered explicitly and deliberately as part of technology design.  </w:t>
      </w:r>
    </w:p>
    <w:p w14:paraId="00000012" w14:textId="77777777" w:rsidR="00A103C3" w:rsidRDefault="00A103C3" w:rsidP="00E73BB7">
      <w:pPr>
        <w:spacing w:line="360" w:lineRule="auto"/>
        <w:jc w:val="both"/>
      </w:pPr>
    </w:p>
    <w:p w14:paraId="00000013" w14:textId="35BDBF89" w:rsidR="00A103C3" w:rsidRDefault="00E97DAF" w:rsidP="00E73BB7">
      <w:pPr>
        <w:spacing w:line="360" w:lineRule="auto"/>
        <w:jc w:val="both"/>
      </w:pPr>
      <w:r>
        <w:t>A socio-technical approach to technology co-design would enable us to ask, at the outset, how a given piece of hardware might manifest as a specific techno-social configuration that delivers equitable outcomes in a particular context. We suggest that this means</w:t>
      </w:r>
      <w:r w:rsidR="00BA67D4">
        <w:t xml:space="preserve">: </w:t>
      </w:r>
      <w:r>
        <w:t xml:space="preserve">first, understanding the social complexity that defines the context in which patients live; second, designing a process of engagement </w:t>
      </w:r>
      <w:r w:rsidR="00B11260">
        <w:t xml:space="preserve">with patients </w:t>
      </w:r>
      <w:r>
        <w:t xml:space="preserve">that responds to this context and enables equitable and meaningful participation in techno-social design; third, </w:t>
      </w:r>
      <w:r w:rsidR="00B11260">
        <w:t xml:space="preserve">these </w:t>
      </w:r>
      <w:r>
        <w:t xml:space="preserve">patients and clinicians </w:t>
      </w:r>
      <w:r w:rsidR="00B11260">
        <w:t xml:space="preserve">are supported to </w:t>
      </w:r>
      <w:r>
        <w:t>develop a shared understanding of the healthcare challenge; and finally, brin</w:t>
      </w:r>
      <w:r w:rsidR="006C5819">
        <w:t>g</w:t>
      </w:r>
      <w:r>
        <w:t>ing technology developers together with patients, clinicians and wider stakeholders into the co-design of equitable solutions delivered through new technical and institutional arrangements.</w:t>
      </w:r>
      <w:r w:rsidR="008A3545">
        <w:t xml:space="preserve"> These four steps are </w:t>
      </w:r>
      <w:r w:rsidR="007A0860">
        <w:t xml:space="preserve">indivisible and </w:t>
      </w:r>
      <w:r w:rsidR="008A3545">
        <w:t>interdependent, yet</w:t>
      </w:r>
      <w:r>
        <w:t>,</w:t>
      </w:r>
      <w:r w:rsidR="008A3545">
        <w:t xml:space="preserve"> in our experience</w:t>
      </w:r>
      <w:r>
        <w:t>,</w:t>
      </w:r>
      <w:r w:rsidR="008A3545">
        <w:t xml:space="preserve"> </w:t>
      </w:r>
      <w:r>
        <w:t>are rarely</w:t>
      </w:r>
      <w:r w:rsidR="008A3545">
        <w:t xml:space="preserve"> </w:t>
      </w:r>
      <w:r w:rsidR="00A04C08">
        <w:t>systematically applied</w:t>
      </w:r>
      <w:r w:rsidR="008A3545">
        <w:t xml:space="preserve"> in </w:t>
      </w:r>
      <w:r w:rsidR="00A04C08">
        <w:t xml:space="preserve">technology development. While doing so requires the investment of time and money over and above business as usual, </w:t>
      </w:r>
      <w:r w:rsidR="00A04C08" w:rsidRPr="008A3545">
        <w:t>manufacturers</w:t>
      </w:r>
      <w:r w:rsidR="00A04C08">
        <w:t xml:space="preserve"> and </w:t>
      </w:r>
      <w:r w:rsidR="00A04C08" w:rsidRPr="008A3545">
        <w:t xml:space="preserve">regulatory bodies </w:t>
      </w:r>
      <w:r w:rsidR="00A04C08">
        <w:t xml:space="preserve">must, in the words of the </w:t>
      </w:r>
      <w:r w:rsidR="008A3545">
        <w:t>government’s</w:t>
      </w:r>
      <w:r w:rsidR="007A0860">
        <w:t xml:space="preserve"> own</w:t>
      </w:r>
      <w:r w:rsidR="008A3545">
        <w:t xml:space="preserve"> independent review</w:t>
      </w:r>
      <w:r w:rsidR="00A04C08">
        <w:t>,</w:t>
      </w:r>
      <w:r w:rsidR="008A3545">
        <w:t xml:space="preserve"> “</w:t>
      </w:r>
      <w:r w:rsidR="00075F50" w:rsidRPr="00075F50">
        <w:t>keep in mind their socio-</w:t>
      </w:r>
      <w:r w:rsidR="00075F50" w:rsidRPr="00075F50">
        <w:lastRenderedPageBreak/>
        <w:t>economic responsibilities to reduce inequalities of outcome which result from socio-economic disadvantage – and ensure that new medical devices do not exacerbate these already wide inequities</w:t>
      </w:r>
      <w:r w:rsidR="008A3545" w:rsidRPr="008A3545">
        <w:t>.</w:t>
      </w:r>
      <w:r w:rsidR="00A04C08">
        <w:t>”</w:t>
      </w:r>
      <w:r w:rsidR="00075F50" w:rsidRPr="00EC0EEE">
        <w:rPr>
          <w:vertAlign w:val="superscript"/>
        </w:rPr>
        <w:t>1</w:t>
      </w:r>
    </w:p>
    <w:p w14:paraId="26EAFDEB" w14:textId="77777777" w:rsidR="007A0860" w:rsidRDefault="007A0860" w:rsidP="00470C42">
      <w:pPr>
        <w:keepNext/>
        <w:spacing w:line="360" w:lineRule="auto"/>
      </w:pPr>
    </w:p>
    <w:p w14:paraId="0000006E" w14:textId="1E093817" w:rsidR="00A103C3" w:rsidRDefault="00A103C3" w:rsidP="00470C42">
      <w:pPr>
        <w:spacing w:line="360" w:lineRule="auto"/>
        <w:jc w:val="center"/>
      </w:pPr>
    </w:p>
    <w:p w14:paraId="231058B4" w14:textId="77777777" w:rsidR="0004163C" w:rsidRDefault="0004163C" w:rsidP="00E73BB7">
      <w:pPr>
        <w:spacing w:line="360" w:lineRule="auto"/>
      </w:pPr>
    </w:p>
    <w:p w14:paraId="0C661C81" w14:textId="77777777" w:rsidR="00BF3375" w:rsidRPr="00BF3375" w:rsidRDefault="00BF3375" w:rsidP="00BF3375">
      <w:pPr>
        <w:spacing w:line="480" w:lineRule="auto"/>
      </w:pPr>
      <w:r w:rsidRPr="00BF3375">
        <w:rPr>
          <w:rFonts w:eastAsia="Times New Roman"/>
          <w:b/>
        </w:rPr>
        <w:t>References</w:t>
      </w:r>
    </w:p>
    <w:p w14:paraId="44603517" w14:textId="7BD24DD9" w:rsidR="00BF3375" w:rsidRPr="00BF3375" w:rsidRDefault="00BF3375" w:rsidP="0027277D">
      <w:pPr>
        <w:pStyle w:val="EndnoteText"/>
        <w:numPr>
          <w:ilvl w:val="0"/>
          <w:numId w:val="3"/>
        </w:numPr>
        <w:ind w:hanging="720"/>
        <w:rPr>
          <w:sz w:val="22"/>
          <w:szCs w:val="22"/>
        </w:rPr>
      </w:pPr>
      <w:r w:rsidRPr="00BF3375">
        <w:rPr>
          <w:sz w:val="22"/>
          <w:szCs w:val="22"/>
        </w:rPr>
        <w:t xml:space="preserve">Equity in Medical Devices: Independent Review, Department of Health and Social Care, </w:t>
      </w:r>
      <w:hyperlink r:id="rId11">
        <w:r w:rsidRPr="00BF3375">
          <w:rPr>
            <w:rStyle w:val="Hyperlink"/>
            <w:sz w:val="22"/>
            <w:szCs w:val="22"/>
          </w:rPr>
          <w:t>https://www.gov.uk/government/publications/equity-in-medical-devices-independent-review-final-report</w:t>
        </w:r>
      </w:hyperlink>
    </w:p>
    <w:p w14:paraId="39E17DFC" w14:textId="77777777" w:rsidR="00BF3375" w:rsidRPr="00BF3375" w:rsidRDefault="00BF3375" w:rsidP="0027277D">
      <w:pPr>
        <w:pStyle w:val="EndnoteText"/>
        <w:ind w:hanging="720"/>
        <w:rPr>
          <w:sz w:val="22"/>
          <w:szCs w:val="22"/>
        </w:rPr>
      </w:pPr>
    </w:p>
    <w:p w14:paraId="1AAB0317" w14:textId="2C14A756" w:rsidR="00BF3375" w:rsidRPr="0027277D" w:rsidRDefault="00BF3375" w:rsidP="0027277D">
      <w:pPr>
        <w:pStyle w:val="ListParagraph"/>
        <w:numPr>
          <w:ilvl w:val="0"/>
          <w:numId w:val="3"/>
        </w:numPr>
        <w:spacing w:line="240" w:lineRule="auto"/>
        <w:ind w:hanging="720"/>
        <w:rPr>
          <w:rFonts w:eastAsia="Times New Roman"/>
        </w:rPr>
      </w:pPr>
      <w:r w:rsidRPr="0027277D">
        <w:rPr>
          <w:rFonts w:eastAsia="Times New Roman"/>
        </w:rPr>
        <w:t xml:space="preserve">NHS England » Inclusive digital healthcare: a framework for NHS action on digital inclusion. </w:t>
      </w:r>
      <w:hyperlink r:id="rId12" w:history="1">
        <w:r w:rsidRPr="0027277D">
          <w:rPr>
            <w:rFonts w:eastAsia="Times New Roman"/>
            <w:color w:val="0000FF"/>
            <w:u w:val="single"/>
          </w:rPr>
          <w:t>https://www.england.nhs.uk/long-read/inclusive-digital-healthcare-a-framework-for-nhs-action-on-digital-inclusion/</w:t>
        </w:r>
      </w:hyperlink>
      <w:r w:rsidRPr="0027277D">
        <w:rPr>
          <w:rFonts w:eastAsia="Times New Roman"/>
        </w:rPr>
        <w:t>.</w:t>
      </w:r>
    </w:p>
    <w:p w14:paraId="4AABB744" w14:textId="77777777" w:rsidR="00BF3375" w:rsidRDefault="00BF3375" w:rsidP="0027277D">
      <w:pPr>
        <w:pStyle w:val="EndnoteText"/>
        <w:ind w:hanging="720"/>
        <w:rPr>
          <w:sz w:val="22"/>
          <w:szCs w:val="22"/>
        </w:rPr>
      </w:pPr>
    </w:p>
    <w:p w14:paraId="4896746A" w14:textId="48F50783" w:rsidR="00BF3375" w:rsidRPr="00BF3375" w:rsidRDefault="00BF3375" w:rsidP="0027277D">
      <w:pPr>
        <w:pStyle w:val="EndnoteText"/>
        <w:numPr>
          <w:ilvl w:val="0"/>
          <w:numId w:val="3"/>
        </w:numPr>
        <w:ind w:hanging="720"/>
        <w:rPr>
          <w:sz w:val="22"/>
          <w:szCs w:val="22"/>
        </w:rPr>
      </w:pPr>
      <w:proofErr w:type="spellStart"/>
      <w:r w:rsidRPr="00BF3375">
        <w:rPr>
          <w:sz w:val="22"/>
          <w:szCs w:val="22"/>
        </w:rPr>
        <w:t>Jasanoff</w:t>
      </w:r>
      <w:proofErr w:type="spellEnd"/>
      <w:r w:rsidRPr="00BF3375">
        <w:rPr>
          <w:sz w:val="22"/>
          <w:szCs w:val="22"/>
        </w:rPr>
        <w:t xml:space="preserve">, S. (ed) </w:t>
      </w:r>
      <w:r w:rsidRPr="00BF3375">
        <w:rPr>
          <w:i/>
          <w:iCs/>
          <w:sz w:val="22"/>
          <w:szCs w:val="22"/>
        </w:rPr>
        <w:t>States of Knowledge, The Co-Production of Science and Social Order</w:t>
      </w:r>
      <w:r w:rsidRPr="00BF3375">
        <w:rPr>
          <w:sz w:val="22"/>
          <w:szCs w:val="22"/>
        </w:rPr>
        <w:t>. (Routledge, New York, 2004).</w:t>
      </w:r>
    </w:p>
    <w:p w14:paraId="4EFCEA9D" w14:textId="77777777" w:rsidR="00BF3375" w:rsidRPr="00BF3375" w:rsidRDefault="00BF3375" w:rsidP="0027277D">
      <w:pPr>
        <w:pStyle w:val="EndnoteText"/>
        <w:ind w:hanging="720"/>
        <w:rPr>
          <w:sz w:val="22"/>
          <w:szCs w:val="22"/>
        </w:rPr>
      </w:pPr>
    </w:p>
    <w:p w14:paraId="57C15649" w14:textId="3BF6803D" w:rsidR="00BF3375" w:rsidRPr="00BF3375" w:rsidRDefault="00BF3375" w:rsidP="0027277D">
      <w:pPr>
        <w:pStyle w:val="EndnoteText"/>
        <w:numPr>
          <w:ilvl w:val="0"/>
          <w:numId w:val="3"/>
        </w:numPr>
        <w:ind w:hanging="720"/>
        <w:rPr>
          <w:sz w:val="22"/>
          <w:szCs w:val="22"/>
        </w:rPr>
      </w:pPr>
      <w:r w:rsidRPr="00BF3375">
        <w:rPr>
          <w:sz w:val="22"/>
          <w:szCs w:val="22"/>
        </w:rPr>
        <w:t xml:space="preserve">Jansen, K. &amp; </w:t>
      </w:r>
      <w:proofErr w:type="spellStart"/>
      <w:r w:rsidRPr="00BF3375">
        <w:rPr>
          <w:sz w:val="22"/>
          <w:szCs w:val="22"/>
        </w:rPr>
        <w:t>Vellema</w:t>
      </w:r>
      <w:proofErr w:type="spellEnd"/>
      <w:r w:rsidRPr="00BF3375">
        <w:rPr>
          <w:sz w:val="22"/>
          <w:szCs w:val="22"/>
        </w:rPr>
        <w:t xml:space="preserve">, S. What is technography? </w:t>
      </w:r>
      <w:r w:rsidRPr="00BF3375">
        <w:rPr>
          <w:i/>
          <w:iCs/>
          <w:sz w:val="22"/>
          <w:szCs w:val="22"/>
        </w:rPr>
        <w:t xml:space="preserve">NJAS: </w:t>
      </w:r>
      <w:proofErr w:type="spellStart"/>
      <w:r w:rsidRPr="00BF3375">
        <w:rPr>
          <w:i/>
          <w:iCs/>
          <w:sz w:val="22"/>
          <w:szCs w:val="22"/>
        </w:rPr>
        <w:t>Wagening</w:t>
      </w:r>
      <w:proofErr w:type="spellEnd"/>
      <w:r w:rsidRPr="00BF3375">
        <w:rPr>
          <w:i/>
          <w:iCs/>
          <w:sz w:val="22"/>
          <w:szCs w:val="22"/>
        </w:rPr>
        <w:t>. J. Life Sci.</w:t>
      </w:r>
      <w:r w:rsidRPr="00BF3375">
        <w:rPr>
          <w:sz w:val="22"/>
          <w:szCs w:val="22"/>
        </w:rPr>
        <w:t xml:space="preserve"> </w:t>
      </w:r>
      <w:r w:rsidRPr="00BF3375">
        <w:rPr>
          <w:b/>
          <w:bCs/>
          <w:sz w:val="22"/>
          <w:szCs w:val="22"/>
        </w:rPr>
        <w:t>57</w:t>
      </w:r>
      <w:r w:rsidRPr="00BF3375">
        <w:rPr>
          <w:sz w:val="22"/>
          <w:szCs w:val="22"/>
        </w:rPr>
        <w:t>, 169–177 (2011).</w:t>
      </w:r>
    </w:p>
    <w:p w14:paraId="2F1812C6" w14:textId="77777777" w:rsidR="00BF3375" w:rsidRPr="00BF3375" w:rsidRDefault="00BF3375" w:rsidP="0027277D">
      <w:pPr>
        <w:pStyle w:val="EndnoteText"/>
        <w:ind w:hanging="720"/>
        <w:rPr>
          <w:sz w:val="22"/>
          <w:szCs w:val="22"/>
        </w:rPr>
      </w:pPr>
    </w:p>
    <w:p w14:paraId="4995111E" w14:textId="54E51A01" w:rsidR="00BF3375" w:rsidRPr="0027277D" w:rsidRDefault="00BF3375" w:rsidP="0027277D">
      <w:pPr>
        <w:pStyle w:val="ListParagraph"/>
        <w:numPr>
          <w:ilvl w:val="0"/>
          <w:numId w:val="3"/>
        </w:numPr>
        <w:spacing w:line="240" w:lineRule="auto"/>
        <w:ind w:hanging="720"/>
        <w:rPr>
          <w:rFonts w:eastAsia="Times New Roman"/>
        </w:rPr>
      </w:pPr>
      <w:r w:rsidRPr="0027277D">
        <w:rPr>
          <w:rFonts w:eastAsia="Times New Roman"/>
        </w:rPr>
        <w:t xml:space="preserve">Lipscomb, D. &amp; </w:t>
      </w:r>
      <w:proofErr w:type="spellStart"/>
      <w:r w:rsidRPr="0027277D">
        <w:rPr>
          <w:rFonts w:eastAsia="Times New Roman"/>
        </w:rPr>
        <w:t>Perraudin</w:t>
      </w:r>
      <w:proofErr w:type="spellEnd"/>
      <w:r w:rsidRPr="0027277D">
        <w:rPr>
          <w:rFonts w:eastAsia="Times New Roman"/>
        </w:rPr>
        <w:t xml:space="preserve">, L. Levelling up: should all continuous glucose monitoring systems be available on prescription in the NHS? </w:t>
      </w:r>
      <w:r w:rsidRPr="0027277D">
        <w:rPr>
          <w:rFonts w:eastAsia="Times New Roman"/>
          <w:i/>
          <w:iCs/>
        </w:rPr>
        <w:t>Practical Diabetes</w:t>
      </w:r>
      <w:r w:rsidRPr="0027277D">
        <w:rPr>
          <w:rFonts w:eastAsia="Times New Roman"/>
        </w:rPr>
        <w:t xml:space="preserve"> </w:t>
      </w:r>
      <w:r w:rsidRPr="0027277D">
        <w:rPr>
          <w:rFonts w:eastAsia="Times New Roman"/>
          <w:b/>
          <w:bCs/>
        </w:rPr>
        <w:t>40</w:t>
      </w:r>
      <w:r w:rsidRPr="0027277D">
        <w:rPr>
          <w:rFonts w:eastAsia="Times New Roman"/>
        </w:rPr>
        <w:t>, 32–32 (2023).</w:t>
      </w:r>
    </w:p>
    <w:p w14:paraId="76BE87E8" w14:textId="77777777" w:rsidR="00BF3375" w:rsidRPr="00BF3375" w:rsidRDefault="00BF3375" w:rsidP="0027277D">
      <w:pPr>
        <w:pStyle w:val="EndnoteText"/>
        <w:ind w:hanging="720"/>
        <w:rPr>
          <w:sz w:val="22"/>
          <w:szCs w:val="22"/>
        </w:rPr>
      </w:pPr>
    </w:p>
    <w:p w14:paraId="0670D196" w14:textId="01EC83C8" w:rsidR="00BF3375" w:rsidRPr="00BF3375" w:rsidRDefault="00BF3375" w:rsidP="0027277D">
      <w:pPr>
        <w:pStyle w:val="EndnoteText"/>
        <w:numPr>
          <w:ilvl w:val="0"/>
          <w:numId w:val="3"/>
        </w:numPr>
        <w:ind w:hanging="720"/>
        <w:rPr>
          <w:rStyle w:val="csl-right-inline"/>
          <w:sz w:val="22"/>
          <w:szCs w:val="22"/>
        </w:rPr>
      </w:pPr>
      <w:r w:rsidRPr="00BF3375">
        <w:rPr>
          <w:rStyle w:val="csl-right-inline"/>
          <w:sz w:val="22"/>
          <w:szCs w:val="22"/>
        </w:rPr>
        <w:t xml:space="preserve">Speight, J. </w:t>
      </w:r>
      <w:r w:rsidRPr="00BF3375">
        <w:rPr>
          <w:rStyle w:val="csl-right-inline"/>
          <w:i/>
          <w:iCs/>
          <w:sz w:val="22"/>
          <w:szCs w:val="22"/>
        </w:rPr>
        <w:t>et al.</w:t>
      </w:r>
      <w:r w:rsidRPr="00BF3375">
        <w:rPr>
          <w:rStyle w:val="csl-right-inline"/>
          <w:sz w:val="22"/>
          <w:szCs w:val="22"/>
        </w:rPr>
        <w:t xml:space="preserve"> Impact of glycaemic technologies on quality of life and related outcomes in adults with type 1 diabetes: A narrative review. </w:t>
      </w:r>
      <w:proofErr w:type="spellStart"/>
      <w:r w:rsidRPr="00BF3375">
        <w:rPr>
          <w:rStyle w:val="csl-right-inline"/>
          <w:i/>
          <w:iCs/>
          <w:sz w:val="22"/>
          <w:szCs w:val="22"/>
        </w:rPr>
        <w:t>Diabet</w:t>
      </w:r>
      <w:proofErr w:type="spellEnd"/>
      <w:r w:rsidRPr="00BF3375">
        <w:rPr>
          <w:rStyle w:val="csl-right-inline"/>
          <w:i/>
          <w:iCs/>
          <w:sz w:val="22"/>
          <w:szCs w:val="22"/>
        </w:rPr>
        <w:t>. Med.</w:t>
      </w:r>
      <w:r w:rsidRPr="00BF3375">
        <w:rPr>
          <w:rStyle w:val="csl-right-inline"/>
          <w:sz w:val="22"/>
          <w:szCs w:val="22"/>
        </w:rPr>
        <w:t xml:space="preserve"> </w:t>
      </w:r>
      <w:r w:rsidRPr="00BF3375">
        <w:rPr>
          <w:rStyle w:val="csl-right-inline"/>
          <w:b/>
          <w:bCs/>
          <w:sz w:val="22"/>
          <w:szCs w:val="22"/>
        </w:rPr>
        <w:t>40</w:t>
      </w:r>
      <w:r w:rsidRPr="00BF3375">
        <w:rPr>
          <w:rStyle w:val="csl-right-inline"/>
          <w:sz w:val="22"/>
          <w:szCs w:val="22"/>
        </w:rPr>
        <w:t>, e14944 (2023).</w:t>
      </w:r>
    </w:p>
    <w:p w14:paraId="3125162C" w14:textId="77777777" w:rsidR="00BF3375" w:rsidRPr="00BF3375" w:rsidRDefault="00BF3375" w:rsidP="0027277D">
      <w:pPr>
        <w:pStyle w:val="EndnoteText"/>
        <w:ind w:hanging="720"/>
        <w:rPr>
          <w:sz w:val="22"/>
          <w:szCs w:val="22"/>
        </w:rPr>
      </w:pPr>
    </w:p>
    <w:p w14:paraId="76D0760A" w14:textId="721168C7" w:rsidR="00BF3375" w:rsidRPr="00BF3375" w:rsidRDefault="00BF3375" w:rsidP="0027277D">
      <w:pPr>
        <w:pStyle w:val="EndnoteText"/>
        <w:numPr>
          <w:ilvl w:val="0"/>
          <w:numId w:val="3"/>
        </w:numPr>
        <w:ind w:hanging="720"/>
        <w:rPr>
          <w:rStyle w:val="csl-right-inline"/>
          <w:sz w:val="22"/>
          <w:szCs w:val="22"/>
        </w:rPr>
      </w:pPr>
      <w:proofErr w:type="spellStart"/>
      <w:r w:rsidRPr="00BF3375">
        <w:rPr>
          <w:rStyle w:val="csl-right-inline"/>
          <w:sz w:val="22"/>
          <w:szCs w:val="22"/>
        </w:rPr>
        <w:t>Alshatti</w:t>
      </w:r>
      <w:proofErr w:type="spellEnd"/>
      <w:r w:rsidRPr="00BF3375">
        <w:rPr>
          <w:rStyle w:val="csl-right-inline"/>
          <w:sz w:val="22"/>
          <w:szCs w:val="22"/>
        </w:rPr>
        <w:t xml:space="preserve">, A. &amp; Bishop, K. Overcoming barriers to technology in special groups. </w:t>
      </w:r>
      <w:r w:rsidRPr="00BF3375">
        <w:rPr>
          <w:rStyle w:val="csl-right-inline"/>
          <w:i/>
          <w:iCs/>
          <w:sz w:val="22"/>
          <w:szCs w:val="22"/>
        </w:rPr>
        <w:t>Pr. Diabetes</w:t>
      </w:r>
      <w:r w:rsidRPr="00BF3375">
        <w:rPr>
          <w:rStyle w:val="csl-right-inline"/>
          <w:sz w:val="22"/>
          <w:szCs w:val="22"/>
        </w:rPr>
        <w:t xml:space="preserve"> </w:t>
      </w:r>
      <w:r w:rsidRPr="00BF3375">
        <w:rPr>
          <w:rStyle w:val="csl-right-inline"/>
          <w:b/>
          <w:bCs/>
          <w:sz w:val="22"/>
          <w:szCs w:val="22"/>
        </w:rPr>
        <w:t>40</w:t>
      </w:r>
      <w:r w:rsidRPr="00BF3375">
        <w:rPr>
          <w:rStyle w:val="csl-right-inline"/>
          <w:sz w:val="22"/>
          <w:szCs w:val="22"/>
        </w:rPr>
        <w:t>, 35–39a (2023).</w:t>
      </w:r>
    </w:p>
    <w:p w14:paraId="364D5897" w14:textId="77777777" w:rsidR="00BF3375" w:rsidRPr="00BF3375" w:rsidRDefault="00BF3375" w:rsidP="0027277D">
      <w:pPr>
        <w:pStyle w:val="EndnoteText"/>
        <w:ind w:hanging="720"/>
        <w:rPr>
          <w:sz w:val="22"/>
          <w:szCs w:val="22"/>
        </w:rPr>
      </w:pPr>
    </w:p>
    <w:p w14:paraId="504C758B" w14:textId="6130A613" w:rsidR="00BF3375" w:rsidRPr="00BF3375" w:rsidRDefault="00BF3375" w:rsidP="0027277D">
      <w:pPr>
        <w:pStyle w:val="EndnoteText"/>
        <w:numPr>
          <w:ilvl w:val="0"/>
          <w:numId w:val="3"/>
        </w:numPr>
        <w:ind w:hanging="720"/>
        <w:rPr>
          <w:rStyle w:val="csl-right-inline"/>
          <w:sz w:val="22"/>
          <w:szCs w:val="22"/>
        </w:rPr>
      </w:pPr>
      <w:r w:rsidRPr="00BF3375">
        <w:rPr>
          <w:rStyle w:val="csl-right-inline"/>
          <w:sz w:val="22"/>
          <w:szCs w:val="22"/>
        </w:rPr>
        <w:t xml:space="preserve">Naranjo, D. </w:t>
      </w:r>
      <w:r w:rsidRPr="00BF3375">
        <w:rPr>
          <w:rStyle w:val="csl-right-inline"/>
          <w:i/>
          <w:iCs/>
          <w:sz w:val="22"/>
          <w:szCs w:val="22"/>
        </w:rPr>
        <w:t>et al.</w:t>
      </w:r>
      <w:r w:rsidRPr="00BF3375">
        <w:rPr>
          <w:rStyle w:val="csl-right-inline"/>
          <w:sz w:val="22"/>
          <w:szCs w:val="22"/>
        </w:rPr>
        <w:t xml:space="preserve"> What End Users and Stakeholders Want </w:t>
      </w:r>
      <w:proofErr w:type="gramStart"/>
      <w:r w:rsidRPr="00BF3375">
        <w:rPr>
          <w:rStyle w:val="csl-right-inline"/>
          <w:sz w:val="22"/>
          <w:szCs w:val="22"/>
        </w:rPr>
        <w:t>From</w:t>
      </w:r>
      <w:proofErr w:type="gramEnd"/>
      <w:r w:rsidRPr="00BF3375">
        <w:rPr>
          <w:rStyle w:val="csl-right-inline"/>
          <w:sz w:val="22"/>
          <w:szCs w:val="22"/>
        </w:rPr>
        <w:t xml:space="preserve"> Automated Insulin Delivery Systems. </w:t>
      </w:r>
      <w:r w:rsidRPr="00BF3375">
        <w:rPr>
          <w:rStyle w:val="csl-right-inline"/>
          <w:i/>
          <w:iCs/>
          <w:sz w:val="22"/>
          <w:szCs w:val="22"/>
        </w:rPr>
        <w:t>Diabetes Care</w:t>
      </w:r>
      <w:r w:rsidRPr="00BF3375">
        <w:rPr>
          <w:rStyle w:val="csl-right-inline"/>
          <w:sz w:val="22"/>
          <w:szCs w:val="22"/>
        </w:rPr>
        <w:t xml:space="preserve"> </w:t>
      </w:r>
      <w:r w:rsidRPr="00BF3375">
        <w:rPr>
          <w:rStyle w:val="csl-right-inline"/>
          <w:b/>
          <w:bCs/>
          <w:sz w:val="22"/>
          <w:szCs w:val="22"/>
        </w:rPr>
        <w:t>40</w:t>
      </w:r>
      <w:r w:rsidRPr="00BF3375">
        <w:rPr>
          <w:rStyle w:val="csl-right-inline"/>
          <w:sz w:val="22"/>
          <w:szCs w:val="22"/>
        </w:rPr>
        <w:t>, 1453–1461 (2017).</w:t>
      </w:r>
    </w:p>
    <w:p w14:paraId="2046236C" w14:textId="77777777" w:rsidR="00BF3375" w:rsidRPr="00BF3375" w:rsidRDefault="00BF3375" w:rsidP="0027277D">
      <w:pPr>
        <w:pStyle w:val="EndnoteText"/>
        <w:ind w:hanging="720"/>
        <w:rPr>
          <w:sz w:val="22"/>
          <w:szCs w:val="22"/>
        </w:rPr>
      </w:pPr>
    </w:p>
    <w:p w14:paraId="3DC9BC7A" w14:textId="3329FCF3" w:rsidR="00BF3375" w:rsidRPr="00BF3375" w:rsidRDefault="00BF3375" w:rsidP="0027277D">
      <w:pPr>
        <w:pStyle w:val="EndnoteText"/>
        <w:numPr>
          <w:ilvl w:val="0"/>
          <w:numId w:val="3"/>
        </w:numPr>
        <w:ind w:hanging="720"/>
        <w:rPr>
          <w:rStyle w:val="csl-right-inline"/>
          <w:color w:val="212529"/>
          <w:sz w:val="22"/>
          <w:szCs w:val="22"/>
          <w:shd w:val="clear" w:color="auto" w:fill="FFFFFF"/>
        </w:rPr>
      </w:pPr>
      <w:r w:rsidRPr="00BF3375">
        <w:rPr>
          <w:rStyle w:val="csl-right-inline"/>
          <w:color w:val="212529"/>
          <w:sz w:val="22"/>
          <w:szCs w:val="22"/>
          <w:shd w:val="clear" w:color="auto" w:fill="FFFFFF"/>
        </w:rPr>
        <w:t>Kilvert, A. &amp; Fox, C. The impact of diabetes technology advances on quality of life: addressing the barriers to uptake. </w:t>
      </w:r>
      <w:r w:rsidRPr="00BF3375">
        <w:rPr>
          <w:rStyle w:val="csl-right-inline"/>
          <w:i/>
          <w:iCs/>
          <w:color w:val="212529"/>
          <w:sz w:val="22"/>
          <w:szCs w:val="22"/>
          <w:shd w:val="clear" w:color="auto" w:fill="FFFFFF"/>
        </w:rPr>
        <w:t>Pr. Diabetes</w:t>
      </w:r>
      <w:r w:rsidRPr="00BF3375">
        <w:rPr>
          <w:rStyle w:val="csl-right-inline"/>
          <w:color w:val="212529"/>
          <w:sz w:val="22"/>
          <w:szCs w:val="22"/>
          <w:shd w:val="clear" w:color="auto" w:fill="FFFFFF"/>
        </w:rPr>
        <w:t> </w:t>
      </w:r>
      <w:r w:rsidRPr="00BF3375">
        <w:rPr>
          <w:rStyle w:val="csl-right-inline"/>
          <w:b/>
          <w:bCs/>
          <w:color w:val="212529"/>
          <w:sz w:val="22"/>
          <w:szCs w:val="22"/>
          <w:shd w:val="clear" w:color="auto" w:fill="FFFFFF"/>
        </w:rPr>
        <w:t>40</w:t>
      </w:r>
      <w:r w:rsidRPr="00BF3375">
        <w:rPr>
          <w:rStyle w:val="csl-right-inline"/>
          <w:color w:val="212529"/>
          <w:sz w:val="22"/>
          <w:szCs w:val="22"/>
          <w:shd w:val="clear" w:color="auto" w:fill="FFFFFF"/>
        </w:rPr>
        <w:t>, 23–28 (2023).</w:t>
      </w:r>
    </w:p>
    <w:p w14:paraId="7F5070C7" w14:textId="77777777" w:rsidR="00BF3375" w:rsidRPr="00BF3375" w:rsidRDefault="00BF3375" w:rsidP="0027277D">
      <w:pPr>
        <w:pStyle w:val="EndnoteText"/>
        <w:ind w:hanging="720"/>
        <w:rPr>
          <w:sz w:val="22"/>
          <w:szCs w:val="22"/>
        </w:rPr>
      </w:pPr>
    </w:p>
    <w:p w14:paraId="4C03880A" w14:textId="299B5A83" w:rsidR="00BF3375" w:rsidRPr="00BF3375" w:rsidRDefault="00BF3375" w:rsidP="0027277D">
      <w:pPr>
        <w:pStyle w:val="EndnoteText"/>
        <w:numPr>
          <w:ilvl w:val="0"/>
          <w:numId w:val="3"/>
        </w:numPr>
        <w:ind w:hanging="720"/>
        <w:rPr>
          <w:rFonts w:eastAsia="Times New Roman"/>
          <w:sz w:val="22"/>
          <w:szCs w:val="22"/>
        </w:rPr>
      </w:pPr>
      <w:r w:rsidRPr="00BF3375">
        <w:rPr>
          <w:rFonts w:eastAsia="Times New Roman"/>
          <w:sz w:val="22"/>
          <w:szCs w:val="22"/>
        </w:rPr>
        <w:t xml:space="preserve">Mackenzie, S. C., Sainsbury, C. A. R. &amp; Wake, D. J. Diabetes and artificial intelligence beyond the closed loop: a review of the landscape, promise and challenges. </w:t>
      </w:r>
      <w:proofErr w:type="spellStart"/>
      <w:r w:rsidRPr="00BF3375">
        <w:rPr>
          <w:rFonts w:eastAsia="Times New Roman"/>
          <w:i/>
          <w:iCs/>
          <w:sz w:val="22"/>
          <w:szCs w:val="22"/>
        </w:rPr>
        <w:t>Diabetologia</w:t>
      </w:r>
      <w:proofErr w:type="spellEnd"/>
      <w:r w:rsidRPr="00BF3375">
        <w:rPr>
          <w:rFonts w:eastAsia="Times New Roman"/>
          <w:sz w:val="22"/>
          <w:szCs w:val="22"/>
        </w:rPr>
        <w:t xml:space="preserve"> </w:t>
      </w:r>
      <w:r w:rsidRPr="00BF3375">
        <w:rPr>
          <w:rFonts w:eastAsia="Times New Roman"/>
          <w:b/>
          <w:bCs/>
          <w:sz w:val="22"/>
          <w:szCs w:val="22"/>
        </w:rPr>
        <w:t>67</w:t>
      </w:r>
      <w:r w:rsidRPr="00BF3375">
        <w:rPr>
          <w:rFonts w:eastAsia="Times New Roman"/>
          <w:sz w:val="22"/>
          <w:szCs w:val="22"/>
        </w:rPr>
        <w:t>, 223–235 (2024).</w:t>
      </w:r>
    </w:p>
    <w:p w14:paraId="3E86CA50" w14:textId="77777777" w:rsidR="00BF3375" w:rsidRPr="00BF3375" w:rsidRDefault="00BF3375" w:rsidP="0027277D">
      <w:pPr>
        <w:pStyle w:val="EndnoteText"/>
        <w:ind w:hanging="720"/>
        <w:rPr>
          <w:sz w:val="22"/>
          <w:szCs w:val="22"/>
        </w:rPr>
      </w:pPr>
    </w:p>
    <w:p w14:paraId="540C415E" w14:textId="2EC40BC1" w:rsidR="00BF3375" w:rsidRPr="0027277D" w:rsidRDefault="00BF3375" w:rsidP="0027277D">
      <w:pPr>
        <w:pStyle w:val="ListParagraph"/>
        <w:numPr>
          <w:ilvl w:val="0"/>
          <w:numId w:val="3"/>
        </w:numPr>
        <w:spacing w:line="240" w:lineRule="auto"/>
        <w:ind w:hanging="720"/>
        <w:rPr>
          <w:rFonts w:eastAsia="Times New Roman"/>
        </w:rPr>
      </w:pPr>
      <w:r w:rsidRPr="0027277D">
        <w:rPr>
          <w:rFonts w:eastAsia="Times New Roman"/>
        </w:rPr>
        <w:t xml:space="preserve">What is diabetes distress and burnout? </w:t>
      </w:r>
      <w:r w:rsidRPr="0027277D">
        <w:rPr>
          <w:rFonts w:eastAsia="Times New Roman"/>
          <w:i/>
          <w:iCs/>
        </w:rPr>
        <w:t>Diabetes UK</w:t>
      </w:r>
      <w:r w:rsidRPr="0027277D">
        <w:rPr>
          <w:rFonts w:eastAsia="Times New Roman"/>
        </w:rPr>
        <w:t xml:space="preserve"> </w:t>
      </w:r>
      <w:hyperlink r:id="rId13" w:history="1">
        <w:r w:rsidRPr="0027277D">
          <w:rPr>
            <w:rStyle w:val="Hyperlink"/>
            <w:rFonts w:eastAsia="Times New Roman"/>
          </w:rPr>
          <w:t>https://www.diabetes.org.uk/guide-to-diabetes/emotions/diabetes-burnout</w:t>
        </w:r>
      </w:hyperlink>
      <w:r w:rsidRPr="0027277D">
        <w:rPr>
          <w:rFonts w:eastAsia="Times New Roman"/>
        </w:rPr>
        <w:t>.</w:t>
      </w:r>
    </w:p>
    <w:p w14:paraId="753498F9" w14:textId="77777777" w:rsidR="00BF3375" w:rsidRPr="00BF3375" w:rsidRDefault="00BF3375" w:rsidP="0027277D">
      <w:pPr>
        <w:pStyle w:val="EndnoteText"/>
        <w:ind w:hanging="720"/>
        <w:rPr>
          <w:sz w:val="22"/>
          <w:szCs w:val="22"/>
        </w:rPr>
      </w:pPr>
    </w:p>
    <w:p w14:paraId="7DDD82E3" w14:textId="5A67887C" w:rsidR="00BF3375" w:rsidRPr="00BF3375" w:rsidRDefault="00BF3375" w:rsidP="0027277D">
      <w:pPr>
        <w:pStyle w:val="EndnoteText"/>
        <w:numPr>
          <w:ilvl w:val="0"/>
          <w:numId w:val="3"/>
        </w:numPr>
        <w:ind w:hanging="720"/>
        <w:rPr>
          <w:sz w:val="22"/>
          <w:szCs w:val="22"/>
        </w:rPr>
      </w:pPr>
      <w:r w:rsidRPr="00BF3375">
        <w:rPr>
          <w:sz w:val="22"/>
          <w:szCs w:val="22"/>
        </w:rPr>
        <w:t xml:space="preserve">Naranjo, D., </w:t>
      </w:r>
      <w:proofErr w:type="spellStart"/>
      <w:r w:rsidRPr="00BF3375">
        <w:rPr>
          <w:sz w:val="22"/>
          <w:szCs w:val="22"/>
        </w:rPr>
        <w:t>Suttiratana</w:t>
      </w:r>
      <w:proofErr w:type="spellEnd"/>
      <w:r w:rsidRPr="00BF3375">
        <w:rPr>
          <w:sz w:val="22"/>
          <w:szCs w:val="22"/>
        </w:rPr>
        <w:t xml:space="preserve">, S. C., </w:t>
      </w:r>
      <w:proofErr w:type="spellStart"/>
      <w:r w:rsidRPr="00BF3375">
        <w:rPr>
          <w:sz w:val="22"/>
          <w:szCs w:val="22"/>
        </w:rPr>
        <w:t>Iturralde</w:t>
      </w:r>
      <w:proofErr w:type="spellEnd"/>
      <w:r w:rsidRPr="00BF3375">
        <w:rPr>
          <w:sz w:val="22"/>
          <w:szCs w:val="22"/>
        </w:rPr>
        <w:t>, E., Barnard, K. D., Weissberg-</w:t>
      </w:r>
      <w:proofErr w:type="spellStart"/>
      <w:r w:rsidRPr="00BF3375">
        <w:rPr>
          <w:sz w:val="22"/>
          <w:szCs w:val="22"/>
        </w:rPr>
        <w:t>Benchell</w:t>
      </w:r>
      <w:proofErr w:type="spellEnd"/>
      <w:r w:rsidRPr="00BF3375">
        <w:rPr>
          <w:sz w:val="22"/>
          <w:szCs w:val="22"/>
        </w:rPr>
        <w:t xml:space="preserve">, J., </w:t>
      </w:r>
      <w:proofErr w:type="spellStart"/>
      <w:r w:rsidRPr="00BF3375">
        <w:rPr>
          <w:sz w:val="22"/>
          <w:szCs w:val="22"/>
        </w:rPr>
        <w:t>Laffel</w:t>
      </w:r>
      <w:proofErr w:type="spellEnd"/>
      <w:r w:rsidRPr="00BF3375">
        <w:rPr>
          <w:sz w:val="22"/>
          <w:szCs w:val="22"/>
        </w:rPr>
        <w:t xml:space="preserve">, L., Hood, K. K. What End Users and Stakeholders Want </w:t>
      </w:r>
      <w:proofErr w:type="gramStart"/>
      <w:r w:rsidRPr="00BF3375">
        <w:rPr>
          <w:sz w:val="22"/>
          <w:szCs w:val="22"/>
        </w:rPr>
        <w:t>From</w:t>
      </w:r>
      <w:proofErr w:type="gramEnd"/>
      <w:r w:rsidRPr="00BF3375">
        <w:rPr>
          <w:sz w:val="22"/>
          <w:szCs w:val="22"/>
        </w:rPr>
        <w:t xml:space="preserve"> Automated Insulin Delivery Systems. </w:t>
      </w:r>
      <w:r w:rsidRPr="00BF3375">
        <w:rPr>
          <w:i/>
          <w:iCs/>
          <w:sz w:val="22"/>
          <w:szCs w:val="22"/>
        </w:rPr>
        <w:t>Diabetes Care</w:t>
      </w:r>
      <w:r w:rsidRPr="00BF3375">
        <w:rPr>
          <w:sz w:val="22"/>
          <w:szCs w:val="22"/>
        </w:rPr>
        <w:t xml:space="preserve"> 40, 1453–1461 (2023). </w:t>
      </w:r>
    </w:p>
    <w:p w14:paraId="35F33707" w14:textId="77777777" w:rsidR="00BF3375" w:rsidRPr="00BF3375" w:rsidRDefault="00BF3375" w:rsidP="00BF3375">
      <w:pPr>
        <w:pStyle w:val="EndnoteText"/>
        <w:rPr>
          <w:sz w:val="22"/>
          <w:szCs w:val="22"/>
        </w:rPr>
      </w:pPr>
    </w:p>
    <w:p w14:paraId="78B5BF4F" w14:textId="77777777" w:rsidR="0004163C" w:rsidRDefault="0004163C" w:rsidP="00E73BB7">
      <w:pPr>
        <w:spacing w:line="360" w:lineRule="auto"/>
      </w:pPr>
    </w:p>
    <w:p w14:paraId="2E6C99ED" w14:textId="1677422C" w:rsidR="00470C42" w:rsidRPr="00680D2A" w:rsidRDefault="00680D2A" w:rsidP="00470C42">
      <w:pPr>
        <w:spacing w:line="360" w:lineRule="auto"/>
        <w:rPr>
          <w:b/>
          <w:bCs/>
        </w:rPr>
      </w:pPr>
      <w:r w:rsidRPr="003847F2">
        <w:rPr>
          <w:b/>
          <w:bCs/>
        </w:rPr>
        <w:lastRenderedPageBreak/>
        <w:t>Figure Caption</w:t>
      </w:r>
      <w:r>
        <w:rPr>
          <w:b/>
          <w:bCs/>
        </w:rPr>
        <w:t>s</w:t>
      </w:r>
    </w:p>
    <w:p w14:paraId="1759D245" w14:textId="77777777" w:rsidR="00470C42" w:rsidRDefault="00470C42" w:rsidP="00470C42">
      <w:pPr>
        <w:spacing w:line="360" w:lineRule="auto"/>
      </w:pPr>
    </w:p>
    <w:p w14:paraId="6BE46B3E" w14:textId="77777777" w:rsidR="00470C42" w:rsidRDefault="00470C42" w:rsidP="00470C42">
      <w:pPr>
        <w:spacing w:line="360" w:lineRule="auto"/>
        <w:jc w:val="both"/>
      </w:pPr>
      <w:r>
        <w:rPr>
          <w:b/>
          <w:bCs/>
        </w:rPr>
        <w:t xml:space="preserve">Figure </w:t>
      </w:r>
      <w:r w:rsidRPr="0004163C">
        <w:rPr>
          <w:b/>
          <w:bCs/>
        </w:rPr>
        <w:t>1</w:t>
      </w:r>
      <w:r w:rsidRPr="00280871">
        <w:rPr>
          <w:b/>
          <w:bCs/>
        </w:rPr>
        <w:t>: Institutions and social context shape how medical devices are experienced by patients.</w:t>
      </w:r>
      <w:r>
        <w:t xml:space="preserve"> I</w:t>
      </w:r>
      <w:r w:rsidRPr="0004163C">
        <w:t xml:space="preserve">nteractions with institutions and the wider </w:t>
      </w:r>
      <w:r>
        <w:t xml:space="preserve">social </w:t>
      </w:r>
      <w:r w:rsidRPr="0004163C">
        <w:t xml:space="preserve">context </w:t>
      </w:r>
      <w:r>
        <w:t>mean that i</w:t>
      </w:r>
      <w:r w:rsidRPr="0004163C">
        <w:t xml:space="preserve">nequitable outcomes can </w:t>
      </w:r>
      <w:r>
        <w:t>emerge</w:t>
      </w:r>
      <w:r w:rsidRPr="0004163C">
        <w:t xml:space="preserve"> </w:t>
      </w:r>
      <w:r>
        <w:t>during</w:t>
      </w:r>
      <w:r w:rsidRPr="0004163C">
        <w:t xml:space="preserve"> both </w:t>
      </w:r>
      <w:r>
        <w:t xml:space="preserve">the </w:t>
      </w:r>
      <w:r w:rsidRPr="0004163C">
        <w:t xml:space="preserve">development and deployment </w:t>
      </w:r>
      <w:r>
        <w:t>of medical devices</w:t>
      </w:r>
      <w:r w:rsidRPr="0004163C">
        <w:t xml:space="preserve">. </w:t>
      </w:r>
      <w:r>
        <w:t>Here, i</w:t>
      </w:r>
      <w:r w:rsidRPr="0004163C">
        <w:t xml:space="preserve">nstitutions refer to the formal and informal rules and arrangements that shape human interaction, </w:t>
      </w:r>
      <w:r>
        <w:t xml:space="preserve">including </w:t>
      </w:r>
      <w:r w:rsidRPr="0004163C">
        <w:t xml:space="preserve">those embedded </w:t>
      </w:r>
      <w:r>
        <w:t xml:space="preserve">in </w:t>
      </w:r>
      <w:r w:rsidRPr="0004163C">
        <w:t xml:space="preserve">settings such as the market, healthcare systems, or socially regulated conventions and practices. For example, </w:t>
      </w:r>
      <w:r>
        <w:t>during the design phase</w:t>
      </w:r>
      <w:r w:rsidRPr="0004163C">
        <w:t>, developer choices may be constrained by the requirements of funding bodies or professional development</w:t>
      </w:r>
      <w:r>
        <w:t xml:space="preserve"> </w:t>
      </w:r>
      <w:proofErr w:type="gramStart"/>
      <w:r>
        <w:t>incentives</w:t>
      </w:r>
      <w:r w:rsidRPr="0004163C">
        <w:t xml:space="preserve">, </w:t>
      </w:r>
      <w:r>
        <w:t>or</w:t>
      </w:r>
      <w:proofErr w:type="gramEnd"/>
      <w:r w:rsidRPr="0004163C">
        <w:t xml:space="preserve"> </w:t>
      </w:r>
      <w:r>
        <w:t>influenced</w:t>
      </w:r>
      <w:r w:rsidRPr="0004163C">
        <w:t xml:space="preserve"> by their wider social </w:t>
      </w:r>
      <w:r>
        <w:t xml:space="preserve">networks and </w:t>
      </w:r>
      <w:r w:rsidRPr="0004163C">
        <w:t xml:space="preserve">experiences or exposure to dominant political and economic discourse. At deployment, institutional arrangements </w:t>
      </w:r>
      <w:r>
        <w:t>will</w:t>
      </w:r>
      <w:r w:rsidRPr="0004163C">
        <w:t xml:space="preserve"> regulate </w:t>
      </w:r>
      <w:r>
        <w:t>(</w:t>
      </w:r>
      <w:r w:rsidRPr="0004163C">
        <w:t>for example</w:t>
      </w:r>
      <w:r>
        <w:t>)</w:t>
      </w:r>
      <w:r w:rsidRPr="0004163C">
        <w:t xml:space="preserve"> </w:t>
      </w:r>
      <w:r>
        <w:t xml:space="preserve">device </w:t>
      </w:r>
      <w:r w:rsidRPr="0004163C">
        <w:t xml:space="preserve">access and support, producing outcomes experienced by patients who themselves differ in terms of their context and background. These processes not only lead to the production of medical devices that may fail to address patient </w:t>
      </w:r>
      <w:proofErr w:type="gramStart"/>
      <w:r w:rsidRPr="0004163C">
        <w:t>need, but</w:t>
      </w:r>
      <w:proofErr w:type="gramEnd"/>
      <w:r w:rsidRPr="0004163C">
        <w:t xml:space="preserve"> are also consequential for both science and society</w:t>
      </w:r>
      <w:r>
        <w:t xml:space="preserve"> (as illustrated by the vertical feedback arrows on the left and right side of the picture). For example, medical devices that fail to recognise ill-health in a particular social group may lead to group members losing trust in healthcare providers, driving future health inequalities. During technology development, similar feedback loops can perpetuate the ways in which medical device developers and research funders prioritise or overlook healthcare problems. </w:t>
      </w:r>
    </w:p>
    <w:p w14:paraId="34F322FC" w14:textId="77777777" w:rsidR="00470C42" w:rsidRDefault="00470C42" w:rsidP="00470C42">
      <w:pPr>
        <w:spacing w:line="360" w:lineRule="auto"/>
        <w:jc w:val="both"/>
      </w:pPr>
    </w:p>
    <w:p w14:paraId="6E91E1F4" w14:textId="77777777" w:rsidR="00470C42" w:rsidRDefault="00470C42" w:rsidP="00470C42">
      <w:pPr>
        <w:spacing w:line="360" w:lineRule="auto"/>
        <w:jc w:val="both"/>
      </w:pPr>
    </w:p>
    <w:p w14:paraId="6D96479F" w14:textId="77777777" w:rsidR="00470C42" w:rsidRDefault="00470C42" w:rsidP="00470C42">
      <w:pPr>
        <w:keepNext/>
        <w:spacing w:line="360" w:lineRule="auto"/>
      </w:pPr>
      <w:r>
        <w:rPr>
          <w:b/>
          <w:bCs/>
        </w:rPr>
        <w:t xml:space="preserve">Figure </w:t>
      </w:r>
      <w:r w:rsidRPr="0004163C">
        <w:rPr>
          <w:b/>
          <w:bCs/>
        </w:rPr>
        <w:t>2</w:t>
      </w:r>
      <w:r w:rsidRPr="00E73BB7">
        <w:rPr>
          <w:b/>
          <w:bCs/>
        </w:rPr>
        <w:t>: Equitable socio-technical design.</w:t>
      </w:r>
      <w:r>
        <w:t xml:space="preserve"> </w:t>
      </w:r>
      <w:r w:rsidRPr="0004163C">
        <w:t>The development of equitable medical devices requires reframing of technology as linked, co-designed institutional and technical (socio-technical) solutions that are appropriate for diverse patient groups. Co-development engages patients, scientists</w:t>
      </w:r>
      <w:r>
        <w:t>, medical professionals,</w:t>
      </w:r>
      <w:r w:rsidRPr="0004163C">
        <w:t xml:space="preserve"> and </w:t>
      </w:r>
      <w:r>
        <w:t xml:space="preserve">wider </w:t>
      </w:r>
      <w:r w:rsidRPr="0004163C">
        <w:t>stakeholders in a process that iterates between consideration of technical and institutional needs and requirements, and is designed to respond to inequitable power, experience and knowledge production practices embedded in the social and institutional context.</w:t>
      </w:r>
    </w:p>
    <w:p w14:paraId="394693E0" w14:textId="77777777" w:rsidR="00470C42" w:rsidRDefault="00470C42" w:rsidP="00470C42">
      <w:pPr>
        <w:keepNext/>
        <w:spacing w:line="360" w:lineRule="auto"/>
      </w:pPr>
    </w:p>
    <w:p w14:paraId="63A3CE9E" w14:textId="77777777" w:rsidR="00470C42" w:rsidRDefault="00470C42" w:rsidP="00470C42">
      <w:pPr>
        <w:spacing w:line="360" w:lineRule="auto"/>
      </w:pPr>
    </w:p>
    <w:p w14:paraId="4157E3CF" w14:textId="77777777" w:rsidR="00470C42" w:rsidRDefault="00470C42" w:rsidP="00E73BB7">
      <w:pPr>
        <w:spacing w:line="360" w:lineRule="auto"/>
      </w:pPr>
    </w:p>
    <w:sectPr w:rsidR="00470C42" w:rsidSect="00A72D6E">
      <w:endnotePr>
        <w:numFmt w:val="decimal"/>
      </w:endnotePr>
      <w:pgSz w:w="11909" w:h="16834"/>
      <w:pgMar w:top="1440" w:right="1440" w:bottom="1440" w:left="1440" w:header="720" w:footer="72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11FD1" w14:textId="77777777" w:rsidR="00C36A38" w:rsidRDefault="00C36A38" w:rsidP="0030218A">
      <w:pPr>
        <w:spacing w:line="240" w:lineRule="auto"/>
      </w:pPr>
      <w:r>
        <w:separator/>
      </w:r>
    </w:p>
  </w:endnote>
  <w:endnote w:type="continuationSeparator" w:id="0">
    <w:p w14:paraId="312009E8" w14:textId="77777777" w:rsidR="00C36A38" w:rsidRDefault="00C36A38" w:rsidP="0030218A">
      <w:pPr>
        <w:spacing w:line="240" w:lineRule="auto"/>
      </w:pPr>
      <w:r>
        <w:continuationSeparator/>
      </w:r>
    </w:p>
  </w:endnote>
  <w:endnote w:id="1">
    <w:p w14:paraId="53AFD4C4" w14:textId="2600A313" w:rsidR="00460A27" w:rsidRPr="00377C52" w:rsidRDefault="00460A27" w:rsidP="00E3541C">
      <w:pPr>
        <w:pStyle w:val="EndnoteText"/>
        <w:rPr>
          <w:rFonts w:asciiTheme="minorHAnsi" w:hAnsiTheme="minorHAnsi"/>
        </w:rPr>
      </w:pPr>
    </w:p>
  </w:endnote>
  <w:endnote w:id="2">
    <w:p w14:paraId="44162F89" w14:textId="4A7ADE77" w:rsidR="009A3053" w:rsidRPr="00E3541C" w:rsidRDefault="009A3053" w:rsidP="009A3053">
      <w:pPr>
        <w:spacing w:line="240" w:lineRule="auto"/>
        <w:rPr>
          <w:rFonts w:asciiTheme="minorHAnsi" w:eastAsia="Times New Roman" w:hAnsiTheme="minorHAnsi" w:cs="Times New Roman"/>
          <w:sz w:val="20"/>
          <w:szCs w:val="20"/>
        </w:rPr>
      </w:pPr>
    </w:p>
    <w:p w14:paraId="222A7330" w14:textId="77777777" w:rsidR="009A3053" w:rsidRPr="00E3541C" w:rsidRDefault="009A3053" w:rsidP="009A3053">
      <w:pPr>
        <w:pStyle w:val="EndnoteText"/>
        <w:rPr>
          <w:rFonts w:asciiTheme="minorHAnsi" w:hAnsiTheme="minorHAnsi"/>
        </w:rPr>
      </w:pPr>
    </w:p>
  </w:endnote>
  <w:endnote w:id="3">
    <w:p w14:paraId="583EB209" w14:textId="77777777" w:rsidR="007F3FDD" w:rsidRPr="00347135" w:rsidRDefault="007F3FDD" w:rsidP="007F3FDD">
      <w:pPr>
        <w:pStyle w:val="EndnoteText"/>
        <w:rPr>
          <w:rFonts w:asciiTheme="minorHAnsi" w:hAnsiTheme="minorHAnsi"/>
        </w:rPr>
      </w:pPr>
    </w:p>
  </w:endnote>
  <w:endnote w:id="4">
    <w:p w14:paraId="21EC6726" w14:textId="77777777" w:rsidR="00F751EF" w:rsidRPr="00347135" w:rsidRDefault="00F751EF">
      <w:pPr>
        <w:pStyle w:val="EndnoteText"/>
        <w:rPr>
          <w:rFonts w:asciiTheme="minorHAnsi" w:hAnsiTheme="minorHAnsi"/>
        </w:rPr>
      </w:pPr>
    </w:p>
  </w:endnote>
  <w:endnote w:id="5">
    <w:p w14:paraId="79358BED" w14:textId="4B132051" w:rsidR="0030218A" w:rsidRPr="00E3541C" w:rsidRDefault="0030218A" w:rsidP="00E3541C">
      <w:pPr>
        <w:pStyle w:val="EndnoteText"/>
        <w:rPr>
          <w:rFonts w:asciiTheme="minorHAnsi" w:hAnsiTheme="minorHAnsi"/>
        </w:rPr>
      </w:pPr>
    </w:p>
  </w:endnote>
  <w:endnote w:id="6">
    <w:p w14:paraId="16335D1B" w14:textId="77777777" w:rsidR="00FF6F76" w:rsidRPr="00E3541C" w:rsidRDefault="00FF6F76" w:rsidP="00FF6F76">
      <w:pPr>
        <w:pStyle w:val="EndnoteText"/>
        <w:rPr>
          <w:rFonts w:asciiTheme="minorHAnsi" w:hAnsiTheme="minorHAnsi"/>
        </w:rPr>
      </w:pPr>
    </w:p>
  </w:endnote>
  <w:endnote w:id="7">
    <w:p w14:paraId="2BBA70B7" w14:textId="77777777" w:rsidR="00FF6F76" w:rsidRPr="00E3541C" w:rsidRDefault="00FF6F76" w:rsidP="00FF6F76">
      <w:pPr>
        <w:pStyle w:val="EndnoteText"/>
        <w:rPr>
          <w:rFonts w:asciiTheme="minorHAnsi" w:hAnsiTheme="minorHAnsi"/>
        </w:rPr>
      </w:pPr>
    </w:p>
  </w:endnote>
  <w:endnote w:id="8">
    <w:p w14:paraId="7C30A4F8" w14:textId="77777777" w:rsidR="00FF6F76" w:rsidRPr="00E3541C" w:rsidRDefault="00FF6F76" w:rsidP="00FF6F76">
      <w:pPr>
        <w:pStyle w:val="EndnoteText"/>
        <w:rPr>
          <w:rFonts w:asciiTheme="minorHAnsi" w:hAnsiTheme="minorHAnsi"/>
        </w:rPr>
      </w:pPr>
    </w:p>
  </w:endnote>
  <w:endnote w:id="9">
    <w:p w14:paraId="333A3928" w14:textId="77777777" w:rsidR="00FF6F76" w:rsidRPr="00E3541C" w:rsidRDefault="00FF6F76" w:rsidP="00FF6F76">
      <w:pPr>
        <w:pStyle w:val="EndnoteText"/>
        <w:rPr>
          <w:rFonts w:asciiTheme="minorHAnsi" w:hAnsiTheme="minorHAnsi"/>
        </w:rPr>
      </w:pPr>
    </w:p>
  </w:endnote>
  <w:endnote w:id="10">
    <w:p w14:paraId="77AFD41D" w14:textId="77777777" w:rsidR="00FF6F76" w:rsidRPr="00E3541C" w:rsidRDefault="00FF6F76" w:rsidP="00FF6F76">
      <w:pPr>
        <w:pStyle w:val="EndnoteText"/>
        <w:rPr>
          <w:rFonts w:asciiTheme="minorHAnsi" w:hAnsiTheme="minorHAnsi"/>
        </w:rPr>
      </w:pPr>
    </w:p>
  </w:endnote>
  <w:endnote w:id="11">
    <w:p w14:paraId="1C64EFBE" w14:textId="764A09E5" w:rsidR="00963E29" w:rsidRPr="00E3541C" w:rsidRDefault="00963E29" w:rsidP="00E3541C">
      <w:pPr>
        <w:pStyle w:val="EndnoteText"/>
        <w:rPr>
          <w:rFonts w:asciiTheme="minorHAnsi" w:hAnsiTheme="minorHAnsi"/>
        </w:rPr>
      </w:pPr>
    </w:p>
  </w:endnote>
  <w:endnote w:id="12">
    <w:p w14:paraId="45014A7E" w14:textId="77777777" w:rsidR="00295F75" w:rsidRPr="00E3541C" w:rsidRDefault="00295F75" w:rsidP="00E3541C">
      <w:pPr>
        <w:pStyle w:val="EndnoteText"/>
        <w:rPr>
          <w:rFonts w:asciiTheme="minorHAnsi" w:hAnsiTheme="minorHAnsi"/>
        </w:rPr>
      </w:pPr>
    </w:p>
    <w:p w14:paraId="3FFA07F0" w14:textId="7D8D272C" w:rsidR="00295F75" w:rsidRDefault="00295F7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7AB1A" w14:textId="77777777" w:rsidR="00C36A38" w:rsidRDefault="00C36A38" w:rsidP="0030218A">
      <w:pPr>
        <w:spacing w:line="240" w:lineRule="auto"/>
      </w:pPr>
      <w:r>
        <w:separator/>
      </w:r>
    </w:p>
  </w:footnote>
  <w:footnote w:type="continuationSeparator" w:id="0">
    <w:p w14:paraId="61A40DF4" w14:textId="77777777" w:rsidR="00C36A38" w:rsidRDefault="00C36A38" w:rsidP="003021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64C0"/>
    <w:multiLevelType w:val="multilevel"/>
    <w:tmpl w:val="ACB2A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EA76E5"/>
    <w:multiLevelType w:val="hybridMultilevel"/>
    <w:tmpl w:val="205E353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D92F5C"/>
    <w:multiLevelType w:val="multilevel"/>
    <w:tmpl w:val="438CD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0229367">
    <w:abstractNumId w:val="0"/>
  </w:num>
  <w:num w:numId="2" w16cid:durableId="344596622">
    <w:abstractNumId w:val="2"/>
  </w:num>
  <w:num w:numId="3" w16cid:durableId="60715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3C3"/>
    <w:rsid w:val="0000326C"/>
    <w:rsid w:val="0002528F"/>
    <w:rsid w:val="0004163C"/>
    <w:rsid w:val="000632DB"/>
    <w:rsid w:val="00075F50"/>
    <w:rsid w:val="00076BFF"/>
    <w:rsid w:val="000A7AC6"/>
    <w:rsid w:val="000C68D5"/>
    <w:rsid w:val="000E739B"/>
    <w:rsid w:val="00122217"/>
    <w:rsid w:val="001279AA"/>
    <w:rsid w:val="00132418"/>
    <w:rsid w:val="00134FC1"/>
    <w:rsid w:val="00166090"/>
    <w:rsid w:val="00167CF9"/>
    <w:rsid w:val="00171160"/>
    <w:rsid w:val="00180575"/>
    <w:rsid w:val="001876CB"/>
    <w:rsid w:val="001A29F5"/>
    <w:rsid w:val="001E7ACD"/>
    <w:rsid w:val="001F321E"/>
    <w:rsid w:val="002300CA"/>
    <w:rsid w:val="00236CAE"/>
    <w:rsid w:val="002372B4"/>
    <w:rsid w:val="0027277D"/>
    <w:rsid w:val="00276817"/>
    <w:rsid w:val="00280871"/>
    <w:rsid w:val="00285F76"/>
    <w:rsid w:val="00295F75"/>
    <w:rsid w:val="002B1E88"/>
    <w:rsid w:val="002D7CC4"/>
    <w:rsid w:val="002E0C64"/>
    <w:rsid w:val="0030218A"/>
    <w:rsid w:val="00303616"/>
    <w:rsid w:val="0031390E"/>
    <w:rsid w:val="0031616A"/>
    <w:rsid w:val="003229F1"/>
    <w:rsid w:val="00347135"/>
    <w:rsid w:val="003554C2"/>
    <w:rsid w:val="003753EE"/>
    <w:rsid w:val="0037671E"/>
    <w:rsid w:val="00377C52"/>
    <w:rsid w:val="00385F8A"/>
    <w:rsid w:val="003A79B2"/>
    <w:rsid w:val="003A7D17"/>
    <w:rsid w:val="003D067F"/>
    <w:rsid w:val="004036B6"/>
    <w:rsid w:val="004115C3"/>
    <w:rsid w:val="004277F1"/>
    <w:rsid w:val="00431615"/>
    <w:rsid w:val="004457F2"/>
    <w:rsid w:val="00460A27"/>
    <w:rsid w:val="00470C42"/>
    <w:rsid w:val="00485498"/>
    <w:rsid w:val="00494062"/>
    <w:rsid w:val="00497063"/>
    <w:rsid w:val="004C2E81"/>
    <w:rsid w:val="004D2511"/>
    <w:rsid w:val="004E2C53"/>
    <w:rsid w:val="004F6263"/>
    <w:rsid w:val="0050091B"/>
    <w:rsid w:val="005039C2"/>
    <w:rsid w:val="0052096D"/>
    <w:rsid w:val="00521468"/>
    <w:rsid w:val="00521D29"/>
    <w:rsid w:val="005377AE"/>
    <w:rsid w:val="0054577D"/>
    <w:rsid w:val="00551D00"/>
    <w:rsid w:val="00557042"/>
    <w:rsid w:val="005575E1"/>
    <w:rsid w:val="00596E8D"/>
    <w:rsid w:val="005A2B9D"/>
    <w:rsid w:val="005C4F0D"/>
    <w:rsid w:val="005C69AE"/>
    <w:rsid w:val="005E24E4"/>
    <w:rsid w:val="005F1A44"/>
    <w:rsid w:val="005F224C"/>
    <w:rsid w:val="005F65FE"/>
    <w:rsid w:val="0061352E"/>
    <w:rsid w:val="00617C22"/>
    <w:rsid w:val="0062181E"/>
    <w:rsid w:val="006615A3"/>
    <w:rsid w:val="00673C40"/>
    <w:rsid w:val="00676D1D"/>
    <w:rsid w:val="00680D2A"/>
    <w:rsid w:val="006A64AD"/>
    <w:rsid w:val="006C50B7"/>
    <w:rsid w:val="006C5819"/>
    <w:rsid w:val="006D2BC9"/>
    <w:rsid w:val="006D69F0"/>
    <w:rsid w:val="0071349B"/>
    <w:rsid w:val="00760246"/>
    <w:rsid w:val="00762FFC"/>
    <w:rsid w:val="00763BFF"/>
    <w:rsid w:val="00766768"/>
    <w:rsid w:val="00794269"/>
    <w:rsid w:val="007A0860"/>
    <w:rsid w:val="007A0F16"/>
    <w:rsid w:val="007A2B3B"/>
    <w:rsid w:val="007C2EA4"/>
    <w:rsid w:val="007D2414"/>
    <w:rsid w:val="007E1F6F"/>
    <w:rsid w:val="007E378B"/>
    <w:rsid w:val="007E6639"/>
    <w:rsid w:val="007F3FDD"/>
    <w:rsid w:val="008072E7"/>
    <w:rsid w:val="00826173"/>
    <w:rsid w:val="008772D0"/>
    <w:rsid w:val="00884ADE"/>
    <w:rsid w:val="008A0B01"/>
    <w:rsid w:val="008A3545"/>
    <w:rsid w:val="008D7728"/>
    <w:rsid w:val="008F0C08"/>
    <w:rsid w:val="008F2D76"/>
    <w:rsid w:val="00913A06"/>
    <w:rsid w:val="009143E7"/>
    <w:rsid w:val="00915ACE"/>
    <w:rsid w:val="009254AF"/>
    <w:rsid w:val="0092583C"/>
    <w:rsid w:val="00947C68"/>
    <w:rsid w:val="00954F00"/>
    <w:rsid w:val="00963E29"/>
    <w:rsid w:val="0098730F"/>
    <w:rsid w:val="00993850"/>
    <w:rsid w:val="009A06E2"/>
    <w:rsid w:val="009A3053"/>
    <w:rsid w:val="009B626D"/>
    <w:rsid w:val="009C2219"/>
    <w:rsid w:val="009F48F9"/>
    <w:rsid w:val="00A04C08"/>
    <w:rsid w:val="00A103C3"/>
    <w:rsid w:val="00A12E15"/>
    <w:rsid w:val="00A443EF"/>
    <w:rsid w:val="00A66349"/>
    <w:rsid w:val="00A72D6E"/>
    <w:rsid w:val="00A75543"/>
    <w:rsid w:val="00A86A33"/>
    <w:rsid w:val="00A907E8"/>
    <w:rsid w:val="00AB5F3E"/>
    <w:rsid w:val="00AC6B20"/>
    <w:rsid w:val="00AE5CE7"/>
    <w:rsid w:val="00AF114D"/>
    <w:rsid w:val="00B11260"/>
    <w:rsid w:val="00B3393C"/>
    <w:rsid w:val="00B42292"/>
    <w:rsid w:val="00B56A03"/>
    <w:rsid w:val="00B6456D"/>
    <w:rsid w:val="00BA67D4"/>
    <w:rsid w:val="00BB785B"/>
    <w:rsid w:val="00BD0595"/>
    <w:rsid w:val="00BE2537"/>
    <w:rsid w:val="00BF3375"/>
    <w:rsid w:val="00C13215"/>
    <w:rsid w:val="00C13508"/>
    <w:rsid w:val="00C31E55"/>
    <w:rsid w:val="00C36A38"/>
    <w:rsid w:val="00C422D4"/>
    <w:rsid w:val="00C81709"/>
    <w:rsid w:val="00C90E6B"/>
    <w:rsid w:val="00CA421F"/>
    <w:rsid w:val="00CB3914"/>
    <w:rsid w:val="00CB43C0"/>
    <w:rsid w:val="00CD07CC"/>
    <w:rsid w:val="00CD0DE8"/>
    <w:rsid w:val="00CD1E53"/>
    <w:rsid w:val="00CD7059"/>
    <w:rsid w:val="00D03294"/>
    <w:rsid w:val="00D064C1"/>
    <w:rsid w:val="00D14734"/>
    <w:rsid w:val="00D466A1"/>
    <w:rsid w:val="00D54B61"/>
    <w:rsid w:val="00D90C8F"/>
    <w:rsid w:val="00D95266"/>
    <w:rsid w:val="00DA12FD"/>
    <w:rsid w:val="00DC05C2"/>
    <w:rsid w:val="00DC63E6"/>
    <w:rsid w:val="00DE4DD0"/>
    <w:rsid w:val="00DE72F3"/>
    <w:rsid w:val="00DF2587"/>
    <w:rsid w:val="00E04DB0"/>
    <w:rsid w:val="00E12A4E"/>
    <w:rsid w:val="00E21F32"/>
    <w:rsid w:val="00E23645"/>
    <w:rsid w:val="00E23E14"/>
    <w:rsid w:val="00E3541C"/>
    <w:rsid w:val="00E40E90"/>
    <w:rsid w:val="00E4654A"/>
    <w:rsid w:val="00E521F3"/>
    <w:rsid w:val="00E53E71"/>
    <w:rsid w:val="00E64E3B"/>
    <w:rsid w:val="00E73BB7"/>
    <w:rsid w:val="00E944FA"/>
    <w:rsid w:val="00E97DAF"/>
    <w:rsid w:val="00EA1C9E"/>
    <w:rsid w:val="00EC0BD5"/>
    <w:rsid w:val="00EC0EEE"/>
    <w:rsid w:val="00ED050D"/>
    <w:rsid w:val="00EE30A8"/>
    <w:rsid w:val="00EE48D3"/>
    <w:rsid w:val="00EE6A2D"/>
    <w:rsid w:val="00F261A2"/>
    <w:rsid w:val="00F33555"/>
    <w:rsid w:val="00F35660"/>
    <w:rsid w:val="00F62F48"/>
    <w:rsid w:val="00F679CD"/>
    <w:rsid w:val="00F751EF"/>
    <w:rsid w:val="00FF2344"/>
    <w:rsid w:val="00FF6F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5DCD"/>
    <w:pPr>
      <w:spacing w:line="240" w:lineRule="auto"/>
    </w:pPr>
  </w:style>
  <w:style w:type="paragraph" w:styleId="CommentSubject">
    <w:name w:val="annotation subject"/>
    <w:basedOn w:val="CommentText"/>
    <w:next w:val="CommentText"/>
    <w:link w:val="CommentSubjectChar"/>
    <w:uiPriority w:val="99"/>
    <w:semiHidden/>
    <w:unhideWhenUsed/>
    <w:rsid w:val="00DC5CBD"/>
    <w:rPr>
      <w:b/>
      <w:bCs/>
    </w:rPr>
  </w:style>
  <w:style w:type="character" w:customStyle="1" w:styleId="CommentSubjectChar">
    <w:name w:val="Comment Subject Char"/>
    <w:basedOn w:val="CommentTextChar"/>
    <w:link w:val="CommentSubject"/>
    <w:uiPriority w:val="99"/>
    <w:semiHidden/>
    <w:rsid w:val="00DC5CBD"/>
    <w:rPr>
      <w:b/>
      <w:bCs/>
      <w:sz w:val="20"/>
      <w:szCs w:val="20"/>
    </w:rPr>
  </w:style>
  <w:style w:type="paragraph" w:styleId="EndnoteText">
    <w:name w:val="endnote text"/>
    <w:basedOn w:val="Normal"/>
    <w:link w:val="EndnoteTextChar"/>
    <w:uiPriority w:val="99"/>
    <w:semiHidden/>
    <w:unhideWhenUsed/>
    <w:rsid w:val="0030218A"/>
    <w:pPr>
      <w:spacing w:line="240" w:lineRule="auto"/>
    </w:pPr>
    <w:rPr>
      <w:sz w:val="20"/>
      <w:szCs w:val="20"/>
    </w:rPr>
  </w:style>
  <w:style w:type="character" w:customStyle="1" w:styleId="EndnoteTextChar">
    <w:name w:val="Endnote Text Char"/>
    <w:basedOn w:val="DefaultParagraphFont"/>
    <w:link w:val="EndnoteText"/>
    <w:uiPriority w:val="99"/>
    <w:semiHidden/>
    <w:rsid w:val="0030218A"/>
    <w:rPr>
      <w:sz w:val="20"/>
      <w:szCs w:val="20"/>
    </w:rPr>
  </w:style>
  <w:style w:type="character" w:styleId="EndnoteReference">
    <w:name w:val="endnote reference"/>
    <w:basedOn w:val="DefaultParagraphFont"/>
    <w:uiPriority w:val="99"/>
    <w:semiHidden/>
    <w:unhideWhenUsed/>
    <w:rsid w:val="0030218A"/>
    <w:rPr>
      <w:vertAlign w:val="superscript"/>
    </w:rPr>
  </w:style>
  <w:style w:type="character" w:styleId="Hyperlink">
    <w:name w:val="Hyperlink"/>
    <w:basedOn w:val="DefaultParagraphFont"/>
    <w:uiPriority w:val="99"/>
    <w:unhideWhenUsed/>
    <w:rsid w:val="00CB43C0"/>
    <w:rPr>
      <w:color w:val="0000FF"/>
      <w:u w:val="single"/>
    </w:rPr>
  </w:style>
  <w:style w:type="paragraph" w:styleId="FootnoteText">
    <w:name w:val="footnote text"/>
    <w:basedOn w:val="Normal"/>
    <w:link w:val="FootnoteTextChar"/>
    <w:uiPriority w:val="99"/>
    <w:semiHidden/>
    <w:unhideWhenUsed/>
    <w:rsid w:val="00F62F48"/>
    <w:pPr>
      <w:spacing w:line="240" w:lineRule="auto"/>
    </w:pPr>
    <w:rPr>
      <w:sz w:val="20"/>
      <w:szCs w:val="20"/>
    </w:rPr>
  </w:style>
  <w:style w:type="character" w:customStyle="1" w:styleId="FootnoteTextChar">
    <w:name w:val="Footnote Text Char"/>
    <w:basedOn w:val="DefaultParagraphFont"/>
    <w:link w:val="FootnoteText"/>
    <w:uiPriority w:val="99"/>
    <w:semiHidden/>
    <w:rsid w:val="00F62F48"/>
    <w:rPr>
      <w:sz w:val="20"/>
      <w:szCs w:val="20"/>
    </w:rPr>
  </w:style>
  <w:style w:type="character" w:styleId="FootnoteReference">
    <w:name w:val="footnote reference"/>
    <w:basedOn w:val="DefaultParagraphFont"/>
    <w:uiPriority w:val="99"/>
    <w:semiHidden/>
    <w:unhideWhenUsed/>
    <w:rsid w:val="00F62F48"/>
    <w:rPr>
      <w:vertAlign w:val="superscript"/>
    </w:rPr>
  </w:style>
  <w:style w:type="character" w:styleId="UnresolvedMention">
    <w:name w:val="Unresolved Mention"/>
    <w:basedOn w:val="DefaultParagraphFont"/>
    <w:uiPriority w:val="99"/>
    <w:semiHidden/>
    <w:unhideWhenUsed/>
    <w:rsid w:val="00460A27"/>
    <w:rPr>
      <w:color w:val="605E5C"/>
      <w:shd w:val="clear" w:color="auto" w:fill="E1DFDD"/>
    </w:rPr>
  </w:style>
  <w:style w:type="character" w:customStyle="1" w:styleId="csl-left-margin">
    <w:name w:val="csl-left-margin"/>
    <w:basedOn w:val="DefaultParagraphFont"/>
    <w:rsid w:val="00295F75"/>
  </w:style>
  <w:style w:type="character" w:customStyle="1" w:styleId="csl-right-inline">
    <w:name w:val="csl-right-inline"/>
    <w:basedOn w:val="DefaultParagraphFont"/>
    <w:rsid w:val="00295F75"/>
  </w:style>
  <w:style w:type="paragraph" w:styleId="NormalWeb">
    <w:name w:val="Normal (Web)"/>
    <w:basedOn w:val="Normal"/>
    <w:uiPriority w:val="99"/>
    <w:semiHidden/>
    <w:unhideWhenUsed/>
    <w:rsid w:val="0004163C"/>
    <w:rPr>
      <w:rFonts w:ascii="Times New Roman" w:hAnsi="Times New Roman" w:cs="Times New Roman"/>
      <w:sz w:val="24"/>
      <w:szCs w:val="24"/>
    </w:rPr>
  </w:style>
  <w:style w:type="paragraph" w:styleId="ListParagraph">
    <w:name w:val="List Paragraph"/>
    <w:basedOn w:val="Normal"/>
    <w:uiPriority w:val="34"/>
    <w:qFormat/>
    <w:rsid w:val="00AF114D"/>
    <w:pPr>
      <w:ind w:left="720"/>
      <w:contextualSpacing/>
    </w:pPr>
  </w:style>
  <w:style w:type="character" w:styleId="Strong">
    <w:name w:val="Strong"/>
    <w:basedOn w:val="DefaultParagraphFont"/>
    <w:uiPriority w:val="22"/>
    <w:qFormat/>
    <w:rsid w:val="00CD07CC"/>
    <w:rPr>
      <w:b/>
      <w:bCs/>
    </w:rPr>
  </w:style>
  <w:style w:type="character" w:styleId="LineNumber">
    <w:name w:val="line number"/>
    <w:basedOn w:val="DefaultParagraphFont"/>
    <w:uiPriority w:val="99"/>
    <w:semiHidden/>
    <w:unhideWhenUsed/>
    <w:rsid w:val="00A72D6E"/>
  </w:style>
  <w:style w:type="character" w:styleId="FollowedHyperlink">
    <w:name w:val="FollowedHyperlink"/>
    <w:basedOn w:val="DefaultParagraphFont"/>
    <w:uiPriority w:val="99"/>
    <w:semiHidden/>
    <w:unhideWhenUsed/>
    <w:rsid w:val="00A907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7230">
      <w:bodyDiv w:val="1"/>
      <w:marLeft w:val="0"/>
      <w:marRight w:val="0"/>
      <w:marTop w:val="0"/>
      <w:marBottom w:val="0"/>
      <w:divBdr>
        <w:top w:val="none" w:sz="0" w:space="0" w:color="auto"/>
        <w:left w:val="none" w:sz="0" w:space="0" w:color="auto"/>
        <w:bottom w:val="none" w:sz="0" w:space="0" w:color="auto"/>
        <w:right w:val="none" w:sz="0" w:space="0" w:color="auto"/>
      </w:divBdr>
      <w:divsChild>
        <w:div w:id="374161603">
          <w:marLeft w:val="0"/>
          <w:marRight w:val="0"/>
          <w:marTop w:val="0"/>
          <w:marBottom w:val="0"/>
          <w:divBdr>
            <w:top w:val="none" w:sz="0" w:space="0" w:color="auto"/>
            <w:left w:val="none" w:sz="0" w:space="0" w:color="auto"/>
            <w:bottom w:val="none" w:sz="0" w:space="0" w:color="auto"/>
            <w:right w:val="none" w:sz="0" w:space="0" w:color="auto"/>
          </w:divBdr>
          <w:divsChild>
            <w:div w:id="1599170047">
              <w:marLeft w:val="0"/>
              <w:marRight w:val="0"/>
              <w:marTop w:val="0"/>
              <w:marBottom w:val="0"/>
              <w:divBdr>
                <w:top w:val="none" w:sz="0" w:space="0" w:color="auto"/>
                <w:left w:val="none" w:sz="0" w:space="0" w:color="auto"/>
                <w:bottom w:val="none" w:sz="0" w:space="0" w:color="auto"/>
                <w:right w:val="none" w:sz="0" w:space="0" w:color="auto"/>
              </w:divBdr>
              <w:divsChild>
                <w:div w:id="80755006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3061179">
      <w:bodyDiv w:val="1"/>
      <w:marLeft w:val="0"/>
      <w:marRight w:val="0"/>
      <w:marTop w:val="0"/>
      <w:marBottom w:val="0"/>
      <w:divBdr>
        <w:top w:val="none" w:sz="0" w:space="0" w:color="auto"/>
        <w:left w:val="none" w:sz="0" w:space="0" w:color="auto"/>
        <w:bottom w:val="none" w:sz="0" w:space="0" w:color="auto"/>
        <w:right w:val="none" w:sz="0" w:space="0" w:color="auto"/>
      </w:divBdr>
    </w:div>
    <w:div w:id="270741783">
      <w:bodyDiv w:val="1"/>
      <w:marLeft w:val="0"/>
      <w:marRight w:val="0"/>
      <w:marTop w:val="0"/>
      <w:marBottom w:val="0"/>
      <w:divBdr>
        <w:top w:val="none" w:sz="0" w:space="0" w:color="auto"/>
        <w:left w:val="none" w:sz="0" w:space="0" w:color="auto"/>
        <w:bottom w:val="none" w:sz="0" w:space="0" w:color="auto"/>
        <w:right w:val="none" w:sz="0" w:space="0" w:color="auto"/>
      </w:divBdr>
      <w:divsChild>
        <w:div w:id="240456342">
          <w:marLeft w:val="0"/>
          <w:marRight w:val="0"/>
          <w:marTop w:val="0"/>
          <w:marBottom w:val="0"/>
          <w:divBdr>
            <w:top w:val="none" w:sz="0" w:space="0" w:color="auto"/>
            <w:left w:val="none" w:sz="0" w:space="0" w:color="auto"/>
            <w:bottom w:val="none" w:sz="0" w:space="0" w:color="auto"/>
            <w:right w:val="none" w:sz="0" w:space="0" w:color="auto"/>
          </w:divBdr>
          <w:divsChild>
            <w:div w:id="1383285128">
              <w:marLeft w:val="0"/>
              <w:marRight w:val="0"/>
              <w:marTop w:val="0"/>
              <w:marBottom w:val="0"/>
              <w:divBdr>
                <w:top w:val="none" w:sz="0" w:space="0" w:color="auto"/>
                <w:left w:val="none" w:sz="0" w:space="0" w:color="auto"/>
                <w:bottom w:val="none" w:sz="0" w:space="0" w:color="auto"/>
                <w:right w:val="none" w:sz="0" w:space="0" w:color="auto"/>
              </w:divBdr>
              <w:divsChild>
                <w:div w:id="125955615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05430004">
      <w:bodyDiv w:val="1"/>
      <w:marLeft w:val="0"/>
      <w:marRight w:val="0"/>
      <w:marTop w:val="0"/>
      <w:marBottom w:val="0"/>
      <w:divBdr>
        <w:top w:val="none" w:sz="0" w:space="0" w:color="auto"/>
        <w:left w:val="none" w:sz="0" w:space="0" w:color="auto"/>
        <w:bottom w:val="none" w:sz="0" w:space="0" w:color="auto"/>
        <w:right w:val="none" w:sz="0" w:space="0" w:color="auto"/>
      </w:divBdr>
      <w:divsChild>
        <w:div w:id="1612664704">
          <w:marLeft w:val="0"/>
          <w:marRight w:val="0"/>
          <w:marTop w:val="0"/>
          <w:marBottom w:val="0"/>
          <w:divBdr>
            <w:top w:val="none" w:sz="0" w:space="0" w:color="auto"/>
            <w:left w:val="none" w:sz="0" w:space="0" w:color="auto"/>
            <w:bottom w:val="none" w:sz="0" w:space="0" w:color="auto"/>
            <w:right w:val="none" w:sz="0" w:space="0" w:color="auto"/>
          </w:divBdr>
          <w:divsChild>
            <w:div w:id="388967169">
              <w:marLeft w:val="0"/>
              <w:marRight w:val="0"/>
              <w:marTop w:val="0"/>
              <w:marBottom w:val="0"/>
              <w:divBdr>
                <w:top w:val="none" w:sz="0" w:space="0" w:color="auto"/>
                <w:left w:val="none" w:sz="0" w:space="0" w:color="auto"/>
                <w:bottom w:val="none" w:sz="0" w:space="0" w:color="auto"/>
                <w:right w:val="none" w:sz="0" w:space="0" w:color="auto"/>
              </w:divBdr>
              <w:divsChild>
                <w:div w:id="5092733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99644840">
      <w:bodyDiv w:val="1"/>
      <w:marLeft w:val="0"/>
      <w:marRight w:val="0"/>
      <w:marTop w:val="0"/>
      <w:marBottom w:val="0"/>
      <w:divBdr>
        <w:top w:val="none" w:sz="0" w:space="0" w:color="auto"/>
        <w:left w:val="none" w:sz="0" w:space="0" w:color="auto"/>
        <w:bottom w:val="none" w:sz="0" w:space="0" w:color="auto"/>
        <w:right w:val="none" w:sz="0" w:space="0" w:color="auto"/>
      </w:divBdr>
    </w:div>
    <w:div w:id="1066759761">
      <w:bodyDiv w:val="1"/>
      <w:marLeft w:val="0"/>
      <w:marRight w:val="0"/>
      <w:marTop w:val="0"/>
      <w:marBottom w:val="0"/>
      <w:divBdr>
        <w:top w:val="none" w:sz="0" w:space="0" w:color="auto"/>
        <w:left w:val="none" w:sz="0" w:space="0" w:color="auto"/>
        <w:bottom w:val="none" w:sz="0" w:space="0" w:color="auto"/>
        <w:right w:val="none" w:sz="0" w:space="0" w:color="auto"/>
      </w:divBdr>
      <w:divsChild>
        <w:div w:id="2003969061">
          <w:marLeft w:val="0"/>
          <w:marRight w:val="0"/>
          <w:marTop w:val="0"/>
          <w:marBottom w:val="0"/>
          <w:divBdr>
            <w:top w:val="none" w:sz="0" w:space="0" w:color="auto"/>
            <w:left w:val="none" w:sz="0" w:space="0" w:color="auto"/>
            <w:bottom w:val="none" w:sz="0" w:space="0" w:color="auto"/>
            <w:right w:val="none" w:sz="0" w:space="0" w:color="auto"/>
          </w:divBdr>
          <w:divsChild>
            <w:div w:id="316880025">
              <w:marLeft w:val="0"/>
              <w:marRight w:val="0"/>
              <w:marTop w:val="0"/>
              <w:marBottom w:val="0"/>
              <w:divBdr>
                <w:top w:val="none" w:sz="0" w:space="0" w:color="auto"/>
                <w:left w:val="none" w:sz="0" w:space="0" w:color="auto"/>
                <w:bottom w:val="none" w:sz="0" w:space="0" w:color="auto"/>
                <w:right w:val="none" w:sz="0" w:space="0" w:color="auto"/>
              </w:divBdr>
              <w:divsChild>
                <w:div w:id="11242276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83526618">
      <w:bodyDiv w:val="1"/>
      <w:marLeft w:val="0"/>
      <w:marRight w:val="0"/>
      <w:marTop w:val="0"/>
      <w:marBottom w:val="0"/>
      <w:divBdr>
        <w:top w:val="none" w:sz="0" w:space="0" w:color="auto"/>
        <w:left w:val="none" w:sz="0" w:space="0" w:color="auto"/>
        <w:bottom w:val="none" w:sz="0" w:space="0" w:color="auto"/>
        <w:right w:val="none" w:sz="0" w:space="0" w:color="auto"/>
      </w:divBdr>
    </w:div>
    <w:div w:id="1684044225">
      <w:bodyDiv w:val="1"/>
      <w:marLeft w:val="0"/>
      <w:marRight w:val="0"/>
      <w:marTop w:val="0"/>
      <w:marBottom w:val="0"/>
      <w:divBdr>
        <w:top w:val="none" w:sz="0" w:space="0" w:color="auto"/>
        <w:left w:val="none" w:sz="0" w:space="0" w:color="auto"/>
        <w:bottom w:val="none" w:sz="0" w:space="0" w:color="auto"/>
        <w:right w:val="none" w:sz="0" w:space="0" w:color="auto"/>
      </w:divBdr>
      <w:divsChild>
        <w:div w:id="1664697398">
          <w:marLeft w:val="0"/>
          <w:marRight w:val="0"/>
          <w:marTop w:val="0"/>
          <w:marBottom w:val="0"/>
          <w:divBdr>
            <w:top w:val="none" w:sz="0" w:space="0" w:color="auto"/>
            <w:left w:val="none" w:sz="0" w:space="0" w:color="auto"/>
            <w:bottom w:val="none" w:sz="0" w:space="0" w:color="auto"/>
            <w:right w:val="none" w:sz="0" w:space="0" w:color="auto"/>
          </w:divBdr>
          <w:divsChild>
            <w:div w:id="35278642">
              <w:marLeft w:val="0"/>
              <w:marRight w:val="0"/>
              <w:marTop w:val="0"/>
              <w:marBottom w:val="0"/>
              <w:divBdr>
                <w:top w:val="none" w:sz="0" w:space="0" w:color="auto"/>
                <w:left w:val="none" w:sz="0" w:space="0" w:color="auto"/>
                <w:bottom w:val="none" w:sz="0" w:space="0" w:color="auto"/>
                <w:right w:val="none" w:sz="0" w:space="0" w:color="auto"/>
              </w:divBdr>
              <w:divsChild>
                <w:div w:id="137122116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iabetes.org.uk/guide-to-diabetes/emotions/diabetes-burnou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ngland.nhs.uk/long-read/inclusive-digital-healthcare-a-framework-for-nhs-action-on-digital-in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equity-in-medical-devices-independent-review-final-repor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mj.com/about-bmj/resources-authors/forms-policies-and-checklists/copyright-open-access-and-permission-reuse" TargetMode="External"/><Relationship Id="rId4" Type="http://schemas.openxmlformats.org/officeDocument/2006/relationships/styles" Target="styles.xml"/><Relationship Id="rId9" Type="http://schemas.openxmlformats.org/officeDocument/2006/relationships/hyperlink" Target="http://static.www.bmj.com/sites/default/files/attachments/resources/2011/07/bmjpolicyondeclarationofinterestsmarch201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waVDKbUjZkHLQlpsO3UaHDrkaQ==">CgMxLjAikAIKC0FBQUJNQ1dheG9rEtsBCgtBQUFCTUNXYXhvaxILQUFBQk1DV2F4b2saDQoJdGV4dC9odG1sEgAiDgoKdGV4dC9wbGFpbhIAKhsiFTEwNzc3NjcyMDMzMTY2MjU1NDc2OSgAOAAw5N+Ise4xOL71iLHuMUo8CiRhcHBsaWNhdGlvbi92bmQuZ29vZ2xlLWFwcHMuZG9jcy5tZHMaFMLX2uQBDhoMCggKAmF0EAEYABABWgw2OTA5OHZseHZmdHJyAiAAeACCARNzdWdnZXN0LnZvdTVhdHZlY3N4mgEGCAAQABgAsAEAuAEAGOTfiLHuMSC+9Yix7jEwAEITc3VnZ2VzdC52b3U1YXR2ZWNzeDgAaiEKFHN1Z2dlc3QuNTllYmw3YW5lMjdiEglKb24gRW5zb3JqJgoUc3VnZ2VzdC5xOGtldm5ycGx5MmYSDlN0ZXZlbiBKb2huc29uaiYKFHN1Z2dlc3QuMmtnOGIzYXd2azJvEg5TdGV2ZW4gSm9obnNvbmohChRzdWdnZXN0LjR1a2dkbXoybHJsaRIJSm9uIEVuc29yaiYKFHN1Z2dlc3Qua29lY2lkdzA4cWw5Eg5TdGV2ZW4gSm9obnNvbmohChRzdWdnZXN0Lms2em9iYXVzMzNieRIJSm9uIEVuc29yaiEKFHN1Z2dlc3QuanM5MjU4OGliYW1pEglKb24gRW5zb3JqJgoUc3VnZ2VzdC55enJ4bzJ3bWN5ZzESDlN0ZXZlbiBKb2huc29uaiYKFHN1Z2dlc3QuNXlqcGxnbGJoZGc3Eg5TdGV2ZW4gSm9obnNvbmomChRzdWdnZXN0LjF6ODA5cGN3ZjRkahIOU3RldmVuIEpvaG5zb25qIQoUc3VnZ2VzdC5na3QwbWhjajV3cjQSCUpvbiBFbnNvcmomChRzdWdnZXN0Lm1iM3dvM3RjdHQ1ZhIOU3RldmVuIEpvaG5zb25qJgoUc3VnZ2VzdC5wMW15NWt0emFuMWMSDlN0ZXZlbiBKb2huc29uaiEKFHN1Z2dlc3QuaGZwcDd5aGtiemJvEglKb24gRW5zb3JqJQoTc3VnZ2VzdC5pcncxaXNyb2JydBIOU3RldmVuIEpvaG5zb25qIQoUc3VnZ2VzdC5maXYzbzlzOTkxeHcSCUpvbiBFbnNvcmogChNzdWdnZXN0LjFtdzZvaDFnY2NnEglKb24gRW5zb3JqIQoUc3VnZ2VzdC41eTN0MnloY2QzYmsSCUpvbiBFbnNvcmohChRzdWdnZXN0LmFiejhsOXpoeXZnYhIJSm9uIEVuc29yaiEKFHN1Z2dlc3QubzF2aHR0aG5zc3g1EglKb24gRW5zb3JqIQoUc3VnZ2VzdC52NjZpdjdyeXh2Y2ESCUpvbiBFbnNvcmomChRzdWdnZXN0LmthMGs4ajV1NjJmeBIOU3RldmVuIEpvaG5zb25qJgoUc3VnZ2VzdC50NTN2NWM3bmRheHESDlN0ZXZlbiBKb2huc29uaiEKFHN1Z2dlc3QudG9jeHMxdmw2aGs3EglKb24gRW5zb3JqIQoUc3VnZ2VzdC4ydGRqbXhjMjFjejESCUpvbiBFbnNvcmohChRzdWdnZXN0LjV6bjRpNzJ1cmQ0axIJSm9uIEVuc29yaiEKFHN1Z2dlc3Qucmg5Zmt5a3Nib2dtEglKb24gRW5zb3JqIQoUc3VnZ2VzdC50bmltNWk5ZzFvODUSCUpvbiBFbnNvcmohChRzdWdnZXN0LnVxeXo0bmFvOXZjZxIJSm9uIEVuc29yaiEKFHN1Z2dlc3QubmwxbTFnY2NvcDd2EglKb24gRW5zb3JqIQoUc3VnZ2VzdC5rcjhmcnhrbzE4aGESCUpvbiBFbnNvcmomChRzdWdnZXN0Lndqb3l4dXJobzI4cRIOU3RldmVuIEpvaG5zb25qIQoUc3VnZ2VzdC53MWZ6eXJzcTF6dTcSCUpvbiBFbnNvcmohChRzdWdnZXN0Lmxid2VlOGsybmpobxIJSm9uIEVuc29yaiYKFHN1Z2dlc3QuOXl2aGg1NGszdm0zEg5TdGV2ZW4gSm9obnNvbmohChRzdWdnZXN0LjRwamlzOWo5eDByMxIJSm9uIEVuc29yaiEKFHN1Z2dlc3QuZmIyNWU5dWlvNzV1EglKb24gRW5zb3JqIQoUc3VnZ2VzdC50Mnh2cGUxbzh0dzYSCUpvbiBFbnNvcmomChRzdWdnZXN0LjlkbmM1dTZ5bHJweBIOU3RldmVuIEpvaG5zb25qIQoUc3VnZ2VzdC5na2tyeml3Zzd5MDISCUpvbiBFbnNvcmohChRzdWdnZXN0Lnc2NXYxc2p3aXF4dxIJSm9uIEVuc29yaiYKFHN1Z2dlc3QuM2NhYzd3aDFjc293Eg5TdGV2ZW4gSm9obnNvbmohChRzdWdnZXN0LmN1dnF5NmI1bnZ6dxIJSm9uIEVuc29yaiEKFHN1Z2dlc3QuNW5jNzVjaWNzM2FhEglKb24gRW5zb3JqIQoUc3VnZ2VzdC54aTI0MnhhdjYyZWISCUpvbiBFbnNvcmohChRzdWdnZXN0LjFwZGNuMDFtMGF4MBIJSm9uIEVuc29yaiEKFHN1Z2dlc3Quc2N2cjdtaGs5ajI3EglKb24gRW5zb3JqIQoUc3VnZ2VzdC44cG1nb3U2dHpobGUSCUpvbiBFbnNvcmohChRzdWdnZXN0Lm82YzByZnc5bnk1ZhIJSm9uIEVuc29yaiEKFHN1Z2dlc3QuN2I1enpscWZ4dGk3EglKb24gRW5zb3JqIQoUc3VnZ2VzdC53YjdyNXNob2VhMzkSCUpvbiBFbnNvcmohChRzdWdnZXN0LnJyODE0b2FvcWoxbRIJSm9uIEVuc29yaiEKFHN1Z2dlc3QuODJsenJicTdvdGs3EglKb24gRW5zb3JqIQoUc3VnZ2VzdC5jNzZjN3dyaDBlaGISCUpvbiBFbnNvcmomChRzdWdnZXN0Lmg0YXZ4OHh0a2pxchIOU3RldmVuIEpvaG5zb25qIQoUc3VnZ2VzdC41ZGxscHQxNmFiOWQSCUpvbiBFbnNvcmohChRzdWdnZXN0LmRpZmd0ODNjODR6ehIJSm9uIEVuc29yaiYKFHN1Z2dlc3QuNWQ5d2p4dWF1cGUxEg5TdGV2ZW4gSm9obnNvbmohChRzdWdnZXN0LnN3azVhdnVsdHNiMhIJSm9uIEVuc29yaiEKFHN1Z2dlc3QuazBhbjd6YWpqY3BqEglKb24gRW5zb3JqIQoUc3VnZ2VzdC5qYnN2N2l2OXZ6MmISCUpvbiBFbnNvcmohChRzdWdnZXN0LmlqMWZ3aDZ0aDB3dBIJSm9uIEVuc29yaiYKFHN1Z2dlc3QuZG1sbnk1ZmFqZDV1Eg5TdGV2ZW4gSm9obnNvbmohChRzdWdnZXN0LnJxa2FzYXY5MXlubBIJSm9uIEVuc29yaiEKFHN1Z2dlc3QueWljcWZudHIyb2p4EglKb24gRW5zb3JqIQoUc3VnZ2VzdC43cHhnamFna3ZnNWYSCUpvbiBFbnNvcmohChRzdWdnZXN0LnZ6ZzI4dW50bnM5chIJSm9uIEVuc29yaiEKFHN1Z2dlc3Qub2RjdHN3bnJiOGNkEglKb24gRW5zb3JqJgoUc3VnZ2VzdC5mZDgzcHpsamQwbmgSDlN0ZXZlbiBKb2huc29uaiEKFHN1Z2dlc3QuMTYzNzRub2NhN2J0EglKb24gRW5zb3JqIQoUc3VnZ2VzdC5maG1mN3l4MzdxbmESCUpvbiBFbnNvcmohChRzdWdnZXN0LmZmZXEwejY0NnVnaBIJSm9uIEVuc29yaiAKE3N1Z2dlc3QudTA1enZ4a3FobGQSCUpvbiBFbnNvcmohChRzdWdnZXN0Lm1lYnI5ZnJvaGNuahIJSm9uIEVuc29yaiYKFHN1Z2dlc3QuZ3UzdDM3b21iYWo2Eg5TdGV2ZW4gSm9obnNvbmohChRzdWdnZXN0LjV0YmVtZWg3YjlnORIJSm9uIEVuc29yaiEKFHN1Z2dlc3QucXUyc3JkOXI1NTB3EglKb24gRW5zb3JqIQoUc3VnZ2VzdC5qcXJnbnVybmhtZzkSCUpvbiBFbnNvcmohChRzdWdnZXN0LmFoYmhhamJtc2ZudBIJSm9uIEVuc29yaiEKFHN1Z2dlc3Qud242NmdvbGxod2EwEglKb24gRW5zb3JqIQoUc3VnZ2VzdC5nejY1cHN1NzRoaWgSCUpvbiBFbnNvcmohChRzdWdnZXN0LjgxZXBycDY1bWhmdxIJSm9uIEVuc29yaiEKFHN1Z2dlc3QuZW9kZ3dvcDdvanU4EglKb24gRW5zb3JqJgoUc3VnZ2VzdC5penNqenljbmJtZXESDlN0ZXZlbiBKb2huc29uaiEKFHN1Z2dlc3Quc2V0NjRmaGgzMDMzEglKb24gRW5zb3JqIQoUc3VnZ2VzdC45azF4NThhZWxmZTASCUpvbiBFbnNvcmohChRzdWdnZXN0LnlxazJweTltNTZrNBIJSm9uIEVuc29yaiYKFHN1Z2dlc3QueWpoMzcybWsxaTRpEg5TdGV2ZW4gSm9obnNvbmohChRzdWdnZXN0LjZoZWc5YnRkbHRzdBIJSm9uIEVuc29yaiEKFHN1Z2dlc3QubDY1ZGw5YndkOGl5EglKb24gRW5zb3JqIQoUc3VnZ2VzdC5jaDVvaHZkcW95YjESCUpvbiBFbnNvcmomChRzdWdnZXN0LjIxZnR1eHc1a2wxbBIOU3RldmVuIEpvaG5zb25qJgoUc3VnZ2VzdC4ycmpvOGpybDBxNXoSDlN0ZXZlbiBKb2huc29uaiEKFHN1Z2dlc3QuaHZ4c3NiMW9hdWwxEglKb24gRW5zb3JqJgoUc3VnZ2VzdC5mbDY1eDdtaHYyaWISDlN0ZXZlbiBKb2huc29uaiAKE3N1Z2dlc3QuczhrMDBtYzg5MGYSCUpvbiBFbnNvcmohChRzdWdnZXN0Lmk0dDlqamptYTk4ORIJSm9uIEVuc29yaiYKFHN1Z2dlc3QubDd0eGYybHpoMWE2Eg5TdGV2ZW4gSm9obnNvbmohChRzdWdnZXN0Ljg2cXNzYmF0NDNqbRIJSm9uIEVuc29yaiYKFHN1Z2dlc3QubjczbWw4cDh4MzR0Eg5TdGV2ZW4gSm9obnNvbmohChRzdWdnZXN0LjI4cWZqaTliOWI4dRIJSm9uIEVuc29yaiEKFHN1Z2dlc3Quc2l6NGNsdGJjemZjEglKb24gRW5zb3JqIQoUc3VnZ2VzdC53ODFodm95ZzQ4OHgSCUpvbiBFbnNvcmohChRzdWdnZXN0LnQ3ZXpzeHE1Zmx1MRIJSm9uIEVuc29yaiYKFHN1Z2dlc3QueGFkMHQ2eDBvNGtnEg5TdGV2ZW4gSm9obnNvbmomChRzdWdnZXN0LmF5MjVoYWNzOHE1MhIOU3RldmVuIEpvaG5zb25qIQoUc3VnZ2VzdC41dDhqeDFhMGZmYTASCUpvbiBFbnNvcmohChRzdWdnZXN0LmFiOTVmc25vZHlhbRIJSm9uIEVuc29yaiEKFHN1Z2dlc3QubHVnZTIxZGc4NThjEglKb24gRW5zb3JqJgoUc3VnZ2VzdC53c3kyZmFzdW11dWQSDlN0ZXZlbiBKb2huc29uaiAKE3N1Z2dlc3QuN2JqejY2ZGhpcmUSCUpvbiBFbnNvcmohChRzdWdnZXN0LmhzcG1haWphMzE2dRIJSm9uIEVuc29yaiEKFHN1Z2dlc3QuM2VvMGZlZXE5YmYwEglKb24gRW5zb3JqIQoUc3VnZ2VzdC5pa2xlbmUxMzJ5MHISCUpvbiBFbnNvcmomChRzdWdnZXN0LndscXJmMHdjbTE5aBIOU3RldmVuIEpvaG5zb25qIQoUc3VnZ2VzdC5oejR1bHBhd203eGUSCUpvbiBFbnNvcmomChRzdWdnZXN0LjVtaHFsYnBnaGEyaxIOU3RldmVuIEpvaG5zb25qIQoUc3VnZ2VzdC5zY3RjM2N4b2syd3oSCUpvbiBFbnNvcmomChRzdWdnZXN0LjlibmhxZWNzc3VtZxIOU3RldmVuIEpvaG5zb25qJgoUc3VnZ2VzdC5ybWZxa2Z3bm9zamESDlN0ZXZlbiBKb2huc29uaiYKFHN1Z2dlc3QuZDYyOTYxOTBob3J2Eg5TdGV2ZW4gSm9obnNvbmomChRzdWdnZXN0LnZ2Y2xjZm10aHM3ORIOU3RldmVuIEpvaG5zb25qJgoUc3VnZ2VzdC4xbHIwYTU1aW5ycTUSDlN0ZXZlbiBKb2huc29uaiEKFHN1Z2dlc3QuZGxrbGkxejMzNzJhEglKb24gRW5zb3JqJgoUc3VnZ2VzdC5sd242MGU1OG1xMjgSDlN0ZXZlbiBKb2huc29uaiYKFHN1Z2dlc3QuZGt3bDNwODk4N29uEg5TdGV2ZW4gSm9obnNvbmohChRzdWdnZXN0LjVjbGd2dXhjamFiNBIJSm9uIEVuc29yaiUKE3N1Z2dlc3QudHprYnVmMHcxZzcSDlN0ZXZlbiBKb2huc29uaiYKFHN1Z2dlc3QuZDJ4bjJqbXpyMzJwEg5TdGV2ZW4gSm9obnNvbmomChRzdWdnZXN0LmMxbGR6dzdrNTZxNhIOU3RldmVuIEpvaG5zb25qJgoUc3VnZ2VzdC53d3d4azd3eHJkMXgSDlN0ZXZlbiBKb2huc29uaiEKFHN1Z2dlc3Qudm5vZjIzaGJ6MHo2EglKb24gRW5zb3JqIQoUc3VnZ2VzdC5xYnpuZWNtcWMwZHASCUpvbiBFbnNvcmohChRzdWdnZXN0LjdvbHFnZWUwdnpldxIJSm9uIEVuc29yaiEKFHN1Z2dlc3QudjE1YW8wN29pa25nEglKb24gRW5zb3JqIQoUc3VnZ2VzdC5nM3h3bThtNnlvczASCUpvbiBFbnNvcmohChRzdWdnZXN0LnhrdGRkM3RoMTk4NRIJSm9uIEVuc29yaiAKE3N1Z2dlc3QubjJtZmZmdTZoNjASCUpvbiBFbnNvcmogChNzdWdnZXN0LmduZGN3NGY2Z3p3EglKb24gRW5zb3JqIQoUc3VnZ2VzdC5vYzF4bzF0MzhhY24SCUpvbiBFbnNvcmohChRzdWdnZXN0LmRjMjlqaW90enltYRIJSm9uIEVuc29yaiEKFHN1Z2dlc3QuYjRuMW5oZnZ2NzI5EglKb24gRW5zb3JqJQoTc3VnZ2VzdC5jdXBoM3p0Z3RkehIOU3RldmVuIEpvaG5zb25qIQoUc3VnZ2VzdC53NWMydGYzNHJzcnMSCUpvbiBFbnNvcmohChRzdWdnZXN0LnZ4aG1hOXRwZW1sdRIJSm9uIEVuc29yaiEKFHN1Z2dlc3QubjE0ODdwaG5nams4EglKb24gRW5zb3JqIQoUc3VnZ2VzdC5jcXMydzYyMzdtbWYSCUpvbiBFbnNvcmohChRzdWdnZXN0LnMxd2FydXJtMWp0ahIJSm9uIEVuc29yaiEKFHN1Z2dlc3QuNzk1MTdwYnJvd3B6EglKb24gRW5zb3JqJQoTc3VnZ2VzdC52b3U1YXR2ZWNzeBIOU3RldmVuIEpvaG5zb25qIQoUc3VnZ2VzdC5wMGU2Njh5OXFlZXUSCUpvbiBFbnNvcmohChRzdWdnZXN0LjN4M3FnbWZvZTU4YxIJSm9uIEVuc29yaiYKFHN1Z2dlc3Qucmd0a3c0OXZhN3YyEg5TdGV2ZW4gSm9obnNvbmohChRzdWdnZXN0LnAxYzJpbmtteTR6bhIJSm9uIEVuc29yaiEKFHN1Z2dlc3QucGZyb3k3Z3d1bDNuEglKb24gRW5zb3JqJgoUc3VnZ2VzdC4xZzk0NnEycmE5NnISDlN0ZXZlbiBKb2huc29uaiEKFHN1Z2dlc3QuN2RuOHpnZnJvb24zEglKb24gRW5zb3JqIQoUc3VnZ2VzdC44Y2t3NDZraGRwMXkSCUpvbiBFbnNvcmohChRzdWdnZXN0LnJ1NDNwZ2JkYjI5aRIJSm9uIEVuc29yaiYKFHN1Z2dlc3QubDFuY3Vib3p3cTZmEg5TdGV2ZW4gSm9obnNvbmohChRzdWdnZXN0Lmw2bnN3NG5lMXo1cRIJSm9uIEVuc29yaiEKFHN1Z2dlc3QudmR1dGw2eHZzdXZyEglKb24gRW5zb3JqIQoUc3VnZ2VzdC5wdms4ZWR5MHRjamsSCUpvbiBFbnNvcmohChRzdWdnZXN0Lm83MnFneWFmbjJsMRIJSm9uIEVuc29yaiEKFHN1Z2dlc3QuYmc3ZzYxNnZyMzl6EglKb24gRW5zb3JqIQoUc3VnZ2VzdC5iaHJtMGpiMG45NnQSCUpvbiBFbnNvcmohChRzdWdnZXN0Lnc0OW9jNm0zYnpsYRIJSm9uIEVuc29yaiEKFHN1Z2dlc3QuOTRwa2dpMmptZjFtEglKb24gRW5zb3JqIQoUc3VnZ2VzdC5keGZiYzhiMXJtMW4SCUpvbiBFbnNvcmomChRzdWdnZXN0LnJhYWlpN3FmM2dycBIOU3RldmVuIEpvaG5zb25qIQoUc3VnZ2VzdC5mMGRmZWRhd3dpd3MSCUpvbiBFbnNvcmogChNzdWdnZXN0Lms3a3BjMmlhdHRxEglKb24gRW5zb3JqJgoUc3VnZ2VzdC5kNW40NGYyenZwcHASDlN0ZXZlbiBKb2huc29uaiYKFHN1Z2dlc3QuczM5eGd3OHd1ZHFqEg5TdGV2ZW4gSm9obnNvbmohChRzdWdnZXN0Lmk5bjRxcTQ1d2piZhIJSm9uIEVuc29yaiYKFHN1Z2dlc3Quajk3cXptc2V5bGhpEg5TdGV2ZW4gSm9obnNvbmohChRzdWdnZXN0LmFocXh5ZXZpYTRlaBIJSm9uIEVuc29yaiEKFHN1Z2dlc3QuYWZ2MWNreW56angyEglKb24gRW5zb3JqIQoUc3VnZ2VzdC5lYXNmMGxrYXI3aWcSCUpvbiBFbnNvcmomChRzdWdnZXN0Lmt3cXRqaGZwdHN4NxIOU3RldmVuIEpvaG5zb25qIQoUc3VnZ2VzdC5vNm91aXlhZm1mcm4SCUpvbiBFbnNvcmohChRzdWdnZXN0LjYxaXFkM3JpbjMzYxIJSm9uIEVuc29yaiEKFHN1Z2dlc3QuZGtocHdieGFzdnZhEglKb24gRW5zb3JqJgoUc3VnZ2VzdC5jbXZoeXVnYnhwemQSDlN0ZXZlbiBKb2huc29uaiEKFHN1Z2dlc3QubDB2NGlteWo3MG5kEglKb24gRW5zb3JqIQoUc3VnZ2VzdC5jaDJ1bDRwYzdlbHcSCUpvbiBFbnNvcmomChRzdWdnZXN0LmZxaTFsZTRvNThldxIOU3RldmVuIEpvaG5zb25qJgoUc3VnZ2VzdC51M2Z3YXI4OXVxNjASDlN0ZXZlbiBKb2huc29uaiEKFHN1Z2dlc3QudHpqbmRxNXc2azB1EglKb24gRW5zb3JqJgoUc3VnZ2VzdC50NjVucjE5b3RvbTMSDlN0ZXZlbiBKb2huc29uaiEKFHN1Z2dlc3QuM3o3NWdzb3B4dzQzEglKb24gRW5zb3JqIQoUc3VnZ2VzdC53djAxNTVmbXphY3kSCUpvbiBFbnNvcmohChRzdWdnZXN0LmE0MjJiY24wYjc3ORIJSm9uIEVuc29yaiEKFHN1Z2dlc3QuODVya3F3ZzNxM3EyEglKb24gRW5zb3JqJQoTc3VnZ2VzdC45dm5lOTY2eGQxYhIOU3RldmVuIEpvaG5zb25qIAoTc3VnZ2VzdC5yeGpnZ3R3dDd4bBIJSm9uIEVuc29yaiEKFHN1Z2dlc3QueW5sbnNtMW9mbnpnEglKb24gRW5zb3JqIQoUc3VnZ2VzdC40aGVjcnJzMHR1ZmoSCUpvbiBFbnNvcmomChRzdWdnZXN0LmlvaXVqaGpzaHg0ZRIOU3RldmVuIEpvaG5zb25qJgoUc3VnZ2VzdC5jZDVrb2Nnb3U5cmISDlN0ZXZlbiBKb2huc29uaiYKFHN1Z2dlc3QuNGYxY2d2OWo3b3N5Eg5TdGV2ZW4gSm9obnNvbmohChRzdWdnZXN0LjRuaDJzdWNmYXpyYRIJSm9uIEVuc29yaiEKFHN1Z2dlc3QuZ3pmdWhuaTluMGd5EglKb24gRW5zb3JqIQoUc3VnZ2VzdC43Z201aGVsZnFtNHYSCUpvbiBFbnNvcmohChRzdWdnZXN0Lmdtd3FmbmlndWZ4bRIJSm9uIEVuc29yaiYKFHN1Z2dlc3QuYjBvMTNwaHFidnUwEg5TdGV2ZW4gSm9obnNvbmohChRzdWdnZXN0LmIwMDU0ajVhNXZzahIJSm9uIEVuc29yaiYKFHN1Z2dlc3QucXR3Z2dva2I0dDQ0Eg5TdGV2ZW4gSm9obnNvbmohChRzdWdnZXN0LngwcGp4cm9rbGNtMxIJSm9uIEVuc29yaiEKFHN1Z2dlc3QuZTVlcXJsbGMyMmNvEglKb24gRW5zb3JqIQoUc3VnZ2VzdC41MXpoZWJrc2c1ZXASCUpvbiBFbnNvcmohChRzdWdnZXN0Lm1sZmhyZWltc24xNxIJSm9uIEVuc29yaiEKFHN1Z2dlc3QuMnRrbjgxcnMyeTRtEglKb24gRW5zb3JqIQoUc3VnZ2VzdC5ncHdxeTh5dmc1emwSCUpvbiBFbnNvcmohChRzdWdnZXN0LjVqaGl3bjdtOW05aRIJSm9uIEVuc29yaiEKFHN1Z2dlc3QueWVsOGY0ZjVmZHprEglKb24gRW5zb3JqIQoUc3VnZ2VzdC4xNTd1MHIzanhjZGoSCUpvbiBFbnNvcmomChRzdWdnZXN0LngyeWp0eWhmdGlyZBIOU3RldmVuIEpvaG5zb25qIQoUc3VnZ2VzdC5weXpwYXppZ3dnaGcSCUpvbiBFbnNvcmohChRzdWdnZXN0LmRtYnY0dm51aDEzdRIJSm9uIEVuc29yaiEKFHN1Z2dlc3QudjE0ZTRheGh1N3Z6EglKb24gRW5zb3JqIQoUc3VnZ2VzdC5uMHJ1ZXM1MWJoeTUSCUpvbiBFbnNvcmohChRzdWdnZXN0LmUzZTJtZmM0emV6bhIJSm9uIEVuc29yaiEKFHN1Z2dlc3QuMjA1eGU3bWMzbmY4EglKb24gRW5zb3JqJgoUc3VnZ2VzdC5laW9kdjFpcGN0b3USDlN0ZXZlbiBKb2huc29uaiUKE3N1Z2dlc3QubnBtNXA2aDN5eWwSDlN0ZXZlbiBKb2huc29uaiYKFHN1Z2dlc3QuMmZnczZpdTBtbW0zEg5TdGV2ZW4gSm9obnNvbmomChRzdWdnZXN0LnlscWY5b2ttYm9lYxIOU3RldmVuIEpvaG5zb25qJgoUc3VnZ2VzdC5rYjI2emkyNGZsamoSDlN0ZXZlbiBKb2huc29uaiYKFHN1Z2dlc3QuaHF2NndiYWduYXBqEg5TdGV2ZW4gSm9obnNvbmohChRzdWdnZXN0LjNnNnQ1bXU3Z3Z6ehIJSm9uIEVuc29yaiEKFHN1Z2dlc3QueTNrcGphcWR2bno5EglKb24gRW5zb3JqJgoUc3VnZ2VzdC5sYzl5bmF0c3dyb3cSDlN0ZXZlbiBKb2huc29uaiYKFHN1Z2dlc3QuZG5wazBndjh3d3ZpEg5TdGV2ZW4gSm9obnNvbmomChRzdWdnZXN0LnJpdWM5MDV1c2ZlZRIOU3RldmVuIEpvaG5zb25qJgoUc3VnZ2VzdC44dnd5N2RpNnlwY2wSDlN0ZXZlbiBKb2huc29uaiEKFHN1Z2dlc3QuM3BqcTVxaG5uamZpEglKb24gRW5zb3JqJgoUc3VnZ2VzdC5iZ2RwbzlncHZmN3oSDlN0ZXZlbiBKb2huc29uaiEKFHN1Z2dlc3QubDNyNXZoNWcwaWtjEglKb24gRW5zb3JqIQoUc3VnZ2VzdC5vdzU1dDZrNXpzemMSCUpvbiBFbnNvcmomChRzdWdnZXN0LnZ0NWQxZTl3NW5jeBIOU3RldmVuIEpvaG5zb25qJgoUc3VnZ2VzdC43YnM3cjFndjBybDASDlN0ZXZlbiBKb2huc29uaiEKFHN1Z2dlc3Qud2Z6bmVpNWFoZXNuEglKb24gRW5zb3JqJgoUc3VnZ2VzdC55ZnVld25xb2NyNWYSDlN0ZXZlbiBKb2huc29uaiEKFHN1Z2dlc3Qud2xxcmhoODMxZzlxEglKb24gRW5zb3JqIQoUc3VnZ2VzdC4yNjg0dXE4dGQzeTUSCUpvbiBFbnNvcmomChRzdWdnZXN0LnF1c2lmMjJpN3I4ehIOU3RldmVuIEpvaG5zb25qJgoUc3VnZ2VzdC52N3JmM3d1Y3B2ZWgSDlN0ZXZlbiBKb2huc29uaiEKFHN1Z2dlc3QuajljZnEzM3JpZ3lpEglKb24gRW5zb3JyITFaUmFfcldDLWRnLThMd1RWUEs1X0FId3dyTVJ4M2I3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C1F0C3-8660-6449-AB4E-C381C266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3564</Words>
  <Characters>20316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2024-12-30T15:20:00Z</dcterms:created>
  <dcterms:modified xsi:type="dcterms:W3CDTF">2024-12-30T15:20:00Z</dcterms:modified>
</cp:coreProperties>
</file>