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97889" w14:textId="378402F3" w:rsidR="00A5203B" w:rsidRPr="0026120A" w:rsidRDefault="00A5203B" w:rsidP="00A5203B">
      <w:pPr>
        <w:rPr>
          <w:rFonts w:ascii="Arial" w:hAnsi="Arial" w:cs="Arial"/>
          <w:b/>
          <w:bCs/>
          <w:szCs w:val="24"/>
        </w:rPr>
      </w:pPr>
      <w:bookmarkStart w:id="0" w:name="_Hlk156558806"/>
      <w:r w:rsidRPr="0026120A">
        <w:rPr>
          <w:rFonts w:ascii="Arial" w:hAnsi="Arial" w:cs="Arial"/>
          <w:b/>
          <w:bCs/>
          <w:szCs w:val="24"/>
        </w:rPr>
        <w:t xml:space="preserve">Collagenase </w:t>
      </w:r>
      <w:r w:rsidR="008F5DDD">
        <w:rPr>
          <w:rFonts w:ascii="Arial" w:hAnsi="Arial" w:cs="Arial"/>
          <w:b/>
          <w:bCs/>
          <w:szCs w:val="24"/>
        </w:rPr>
        <w:t>I</w:t>
      </w:r>
      <w:r w:rsidRPr="0026120A">
        <w:rPr>
          <w:rFonts w:ascii="Arial" w:hAnsi="Arial" w:cs="Arial"/>
          <w:b/>
          <w:bCs/>
          <w:szCs w:val="24"/>
        </w:rPr>
        <w:t xml:space="preserve">njection </w:t>
      </w:r>
      <w:r w:rsidR="0075404A" w:rsidRPr="0026120A">
        <w:rPr>
          <w:rFonts w:ascii="Arial" w:hAnsi="Arial" w:cs="Arial"/>
          <w:b/>
          <w:bCs/>
          <w:szCs w:val="24"/>
        </w:rPr>
        <w:t xml:space="preserve">versus </w:t>
      </w:r>
      <w:r w:rsidR="008F5DDD">
        <w:rPr>
          <w:rFonts w:ascii="Arial" w:hAnsi="Arial" w:cs="Arial"/>
          <w:b/>
          <w:bCs/>
          <w:szCs w:val="24"/>
        </w:rPr>
        <w:t>L</w:t>
      </w:r>
      <w:r w:rsidRPr="0026120A">
        <w:rPr>
          <w:rFonts w:ascii="Arial" w:hAnsi="Arial" w:cs="Arial"/>
          <w:b/>
          <w:bCs/>
          <w:szCs w:val="24"/>
        </w:rPr>
        <w:t xml:space="preserve">imited </w:t>
      </w:r>
      <w:r w:rsidR="008F5DDD">
        <w:rPr>
          <w:rFonts w:ascii="Arial" w:hAnsi="Arial" w:cs="Arial"/>
          <w:b/>
          <w:bCs/>
          <w:szCs w:val="24"/>
        </w:rPr>
        <w:t>F</w:t>
      </w:r>
      <w:r w:rsidRPr="0026120A">
        <w:rPr>
          <w:rFonts w:ascii="Arial" w:hAnsi="Arial" w:cs="Arial"/>
          <w:b/>
          <w:bCs/>
          <w:szCs w:val="24"/>
        </w:rPr>
        <w:t>asciectomy for Dupuytren’s Contracture</w:t>
      </w:r>
    </w:p>
    <w:p w14:paraId="1E61A86E" w14:textId="77777777" w:rsidR="008E183B" w:rsidRPr="00882ACB" w:rsidRDefault="008E183B" w:rsidP="008F1915">
      <w:pPr>
        <w:pStyle w:val="NormalWeb"/>
        <w:spacing w:before="0" w:beforeAutospacing="0" w:after="165" w:afterAutospacing="0" w:line="360" w:lineRule="auto"/>
        <w:rPr>
          <w:rFonts w:ascii="Arial" w:hAnsi="Arial" w:cs="Arial"/>
          <w:b/>
          <w:color w:val="000000"/>
        </w:rPr>
      </w:pPr>
      <w:bookmarkStart w:id="1" w:name="_Hlk156558854"/>
      <w:bookmarkEnd w:id="0"/>
      <w:r w:rsidRPr="00882ACB">
        <w:rPr>
          <w:rFonts w:ascii="Arial" w:hAnsi="Arial" w:cs="Arial"/>
          <w:b/>
          <w:color w:val="000000"/>
        </w:rPr>
        <w:t>Author list</w:t>
      </w:r>
    </w:p>
    <w:p w14:paraId="29DD349D" w14:textId="167BE844" w:rsidR="008E183B" w:rsidRPr="0026120A" w:rsidRDefault="008E183B" w:rsidP="008F1915">
      <w:pPr>
        <w:pStyle w:val="NormalWeb"/>
        <w:spacing w:before="0" w:beforeAutospacing="0" w:after="165" w:afterAutospacing="0" w:line="360" w:lineRule="auto"/>
        <w:rPr>
          <w:rFonts w:ascii="Arial" w:hAnsi="Arial" w:cs="Arial"/>
          <w:bCs/>
          <w:color w:val="000000"/>
          <w:vertAlign w:val="superscript"/>
        </w:rPr>
      </w:pPr>
      <w:r w:rsidRPr="0026120A">
        <w:rPr>
          <w:rFonts w:ascii="Arial" w:hAnsi="Arial" w:cs="Arial"/>
          <w:bCs/>
          <w:color w:val="000000"/>
        </w:rPr>
        <w:t>Joseph Dias, M</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D11CE5" w:rsidRPr="0026120A">
        <w:rPr>
          <w:rFonts w:ascii="Arial" w:hAnsi="Arial" w:cs="Arial"/>
          <w:bCs/>
          <w:color w:val="000000"/>
          <w:vertAlign w:val="superscript"/>
        </w:rPr>
        <w:t>1</w:t>
      </w:r>
      <w:r w:rsidR="0026120A">
        <w:rPr>
          <w:rStyle w:val="apple-converted-space"/>
          <w:rFonts w:ascii="Arial" w:hAnsi="Arial" w:cs="Arial"/>
          <w:bCs/>
          <w:color w:val="000000"/>
        </w:rPr>
        <w:t xml:space="preserve">, </w:t>
      </w:r>
      <w:r w:rsidRPr="0026120A">
        <w:rPr>
          <w:rFonts w:ascii="Arial" w:hAnsi="Arial" w:cs="Arial"/>
          <w:bCs/>
          <w:color w:val="000000"/>
        </w:rPr>
        <w:t xml:space="preserve">Puvanendran </w:t>
      </w:r>
      <w:proofErr w:type="spellStart"/>
      <w:r w:rsidRPr="0026120A">
        <w:rPr>
          <w:rFonts w:ascii="Arial" w:hAnsi="Arial" w:cs="Arial"/>
          <w:bCs/>
          <w:color w:val="000000"/>
        </w:rPr>
        <w:t>Tharmanathan</w:t>
      </w:r>
      <w:proofErr w:type="spellEnd"/>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D11CE5" w:rsidRPr="0026120A">
        <w:rPr>
          <w:rFonts w:ascii="Arial" w:hAnsi="Arial" w:cs="Arial"/>
          <w:bCs/>
          <w:color w:val="000000"/>
          <w:vertAlign w:val="superscript"/>
        </w:rPr>
        <w:t>2</w:t>
      </w:r>
      <w:r w:rsidR="0026120A">
        <w:rPr>
          <w:rFonts w:ascii="Arial" w:hAnsi="Arial" w:cs="Arial"/>
          <w:bCs/>
          <w:color w:val="000000"/>
        </w:rPr>
        <w:t>,</w:t>
      </w:r>
      <w:r w:rsidRPr="0026120A">
        <w:rPr>
          <w:rStyle w:val="apple-converted-space"/>
          <w:rFonts w:ascii="Arial" w:hAnsi="Arial" w:cs="Arial"/>
          <w:bCs/>
          <w:color w:val="000000"/>
        </w:rPr>
        <w:t> </w:t>
      </w:r>
      <w:r w:rsidRPr="0026120A">
        <w:rPr>
          <w:rFonts w:ascii="Arial" w:hAnsi="Arial" w:cs="Arial"/>
          <w:bCs/>
          <w:color w:val="000000"/>
        </w:rPr>
        <w:t>Catherine Arundel, M</w:t>
      </w:r>
      <w:r w:rsidR="0026120A">
        <w:rPr>
          <w:rFonts w:ascii="Arial" w:hAnsi="Arial" w:cs="Arial"/>
          <w:bCs/>
          <w:color w:val="000000"/>
        </w:rPr>
        <w:t>.</w:t>
      </w:r>
      <w:r w:rsidRPr="0026120A">
        <w:rPr>
          <w:rFonts w:ascii="Arial" w:hAnsi="Arial" w:cs="Arial"/>
          <w:bCs/>
          <w:color w:val="000000"/>
        </w:rPr>
        <w:t>Sc</w:t>
      </w:r>
      <w:r w:rsidR="0026120A">
        <w:rPr>
          <w:rFonts w:ascii="Arial" w:hAnsi="Arial" w:cs="Arial"/>
          <w:bCs/>
          <w:color w:val="000000"/>
        </w:rPr>
        <w:t>.</w:t>
      </w:r>
      <w:r w:rsidR="00D11CE5"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Charlie Welch, M</w:t>
      </w:r>
      <w:r w:rsidR="0026120A">
        <w:rPr>
          <w:rFonts w:ascii="Arial" w:hAnsi="Arial" w:cs="Arial"/>
          <w:bCs/>
          <w:color w:val="000000"/>
        </w:rPr>
        <w:t>.</w:t>
      </w:r>
      <w:r w:rsidRPr="0026120A">
        <w:rPr>
          <w:rFonts w:ascii="Arial" w:hAnsi="Arial" w:cs="Arial"/>
          <w:bCs/>
          <w:color w:val="000000"/>
        </w:rPr>
        <w:t>Math</w:t>
      </w:r>
      <w:r w:rsidR="0026120A">
        <w:rPr>
          <w:rFonts w:ascii="Arial" w:hAnsi="Arial" w:cs="Arial"/>
          <w:bCs/>
          <w:color w:val="000000"/>
        </w:rPr>
        <w:t>.</w:t>
      </w:r>
      <w:r w:rsidR="00D11CE5"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Qi Wu, M</w:t>
      </w:r>
      <w:r w:rsidR="0026120A">
        <w:rPr>
          <w:rFonts w:ascii="Arial" w:hAnsi="Arial" w:cs="Arial"/>
          <w:bCs/>
          <w:color w:val="000000"/>
        </w:rPr>
        <w:t>.</w:t>
      </w:r>
      <w:r w:rsidRPr="0026120A">
        <w:rPr>
          <w:rFonts w:ascii="Arial" w:hAnsi="Arial" w:cs="Arial"/>
          <w:bCs/>
          <w:color w:val="000000"/>
        </w:rPr>
        <w:t>Sc</w:t>
      </w:r>
      <w:r w:rsidR="0026120A">
        <w:rPr>
          <w:rFonts w:ascii="Arial" w:hAnsi="Arial" w:cs="Arial"/>
          <w:bCs/>
          <w:color w:val="000000"/>
        </w:rPr>
        <w:t>.</w:t>
      </w:r>
      <w:r w:rsidR="00D11CE5" w:rsidRPr="0026120A">
        <w:rPr>
          <w:rFonts w:ascii="Arial" w:hAnsi="Arial" w:cs="Arial"/>
          <w:bCs/>
          <w:color w:val="000000"/>
          <w:vertAlign w:val="superscript"/>
        </w:rPr>
        <w:t>3</w:t>
      </w:r>
      <w:r w:rsidR="0026120A">
        <w:rPr>
          <w:rFonts w:ascii="Arial" w:hAnsi="Arial" w:cs="Arial"/>
          <w:bCs/>
          <w:color w:val="000000"/>
        </w:rPr>
        <w:t>,</w:t>
      </w:r>
      <w:r w:rsidRPr="0026120A">
        <w:rPr>
          <w:rFonts w:ascii="Arial" w:hAnsi="Arial" w:cs="Arial"/>
          <w:bCs/>
          <w:color w:val="000000"/>
        </w:rPr>
        <w:t xml:space="preserve"> Paul Leighton</w:t>
      </w:r>
      <w:r w:rsidRPr="0026120A">
        <w:rPr>
          <w:rStyle w:val="apple-converted-space"/>
          <w:rFonts w:ascii="Arial" w:hAnsi="Arial" w:cs="Arial"/>
          <w:bCs/>
          <w:color w:val="000000"/>
        </w:rPr>
        <w:t xml:space="preserve">, </w:t>
      </w:r>
      <w:r w:rsidRPr="0026120A">
        <w:rPr>
          <w:rFonts w:ascii="Arial" w:hAnsi="Arial" w:cs="Arial"/>
          <w:bCs/>
          <w:color w:val="000000"/>
        </w:rPr>
        <w:t>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D11CE5" w:rsidRPr="0026120A">
        <w:rPr>
          <w:rFonts w:ascii="Arial" w:hAnsi="Arial" w:cs="Arial"/>
          <w:bCs/>
          <w:color w:val="000000"/>
          <w:vertAlign w:val="superscript"/>
        </w:rPr>
        <w:t>4</w:t>
      </w:r>
      <w:r w:rsidR="0026120A">
        <w:rPr>
          <w:rFonts w:ascii="Arial" w:hAnsi="Arial" w:cs="Arial"/>
          <w:bCs/>
          <w:color w:val="000000"/>
        </w:rPr>
        <w:t>,</w:t>
      </w:r>
      <w:r w:rsidRPr="0026120A">
        <w:rPr>
          <w:rFonts w:ascii="Arial" w:hAnsi="Arial" w:cs="Arial"/>
          <w:bCs/>
          <w:color w:val="000000"/>
        </w:rPr>
        <w:t xml:space="preserve"> Maria </w:t>
      </w:r>
      <w:proofErr w:type="spellStart"/>
      <w:r w:rsidRPr="0026120A">
        <w:rPr>
          <w:rFonts w:ascii="Arial" w:hAnsi="Arial" w:cs="Arial"/>
          <w:bCs/>
          <w:color w:val="000000"/>
        </w:rPr>
        <w:t>Armaou</w:t>
      </w:r>
      <w:proofErr w:type="spellEnd"/>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D11CE5" w:rsidRPr="0026120A">
        <w:rPr>
          <w:rFonts w:ascii="Arial" w:hAnsi="Arial" w:cs="Arial"/>
          <w:bCs/>
          <w:color w:val="000000"/>
          <w:vertAlign w:val="superscript"/>
        </w:rPr>
        <w:t>5</w:t>
      </w:r>
      <w:r w:rsidR="0026120A">
        <w:rPr>
          <w:rFonts w:ascii="Arial" w:hAnsi="Arial" w:cs="Arial"/>
          <w:bCs/>
          <w:color w:val="000000"/>
        </w:rPr>
        <w:t>,</w:t>
      </w:r>
      <w:r w:rsidRPr="0026120A">
        <w:rPr>
          <w:rFonts w:ascii="Arial" w:hAnsi="Arial" w:cs="Arial"/>
          <w:bCs/>
          <w:color w:val="000000"/>
        </w:rPr>
        <w:t xml:space="preserve"> </w:t>
      </w:r>
      <w:r w:rsidR="0026120A">
        <w:rPr>
          <w:rFonts w:ascii="Arial" w:hAnsi="Arial" w:cs="Arial"/>
          <w:bCs/>
          <w:color w:val="000000"/>
        </w:rPr>
        <w:t>,</w:t>
      </w:r>
      <w:r w:rsidRPr="0026120A">
        <w:rPr>
          <w:rFonts w:ascii="Arial" w:hAnsi="Arial" w:cs="Arial"/>
          <w:bCs/>
          <w:color w:val="000000"/>
        </w:rPr>
        <w:t xml:space="preserve"> Nick Johnson,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D11CE5" w:rsidRPr="0026120A">
        <w:rPr>
          <w:rFonts w:ascii="Arial" w:hAnsi="Arial" w:cs="Arial"/>
          <w:bCs/>
          <w:color w:val="000000"/>
          <w:vertAlign w:val="superscript"/>
        </w:rPr>
        <w:t>6</w:t>
      </w:r>
      <w:r w:rsidR="0026120A">
        <w:rPr>
          <w:rFonts w:ascii="Arial" w:hAnsi="Arial" w:cs="Arial"/>
          <w:bCs/>
          <w:color w:val="000000"/>
        </w:rPr>
        <w:t>,</w:t>
      </w:r>
      <w:r w:rsidRPr="0026120A">
        <w:rPr>
          <w:rFonts w:ascii="Arial" w:hAnsi="Arial" w:cs="Arial"/>
          <w:bCs/>
          <w:color w:val="000000"/>
        </w:rPr>
        <w:t xml:space="preserve"> Sophie James, M</w:t>
      </w:r>
      <w:r w:rsidR="0026120A">
        <w:rPr>
          <w:rFonts w:ascii="Arial" w:hAnsi="Arial" w:cs="Arial"/>
          <w:bCs/>
          <w:color w:val="000000"/>
        </w:rPr>
        <w:t>.</w:t>
      </w:r>
      <w:r w:rsidRPr="0026120A">
        <w:rPr>
          <w:rFonts w:ascii="Arial" w:hAnsi="Arial" w:cs="Arial"/>
          <w:bCs/>
          <w:color w:val="000000"/>
        </w:rPr>
        <w:t>Sc</w:t>
      </w:r>
      <w:r w:rsidR="0026120A">
        <w:rPr>
          <w:rFonts w:ascii="Arial" w:hAnsi="Arial" w:cs="Arial"/>
          <w:bCs/>
          <w:color w:val="000000"/>
        </w:rPr>
        <w:t>.</w:t>
      </w:r>
      <w:r w:rsidR="00D11CE5"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John Cooke</w:t>
      </w:r>
      <w:r w:rsidR="0070537B">
        <w:rPr>
          <w:rFonts w:ascii="Arial" w:hAnsi="Arial" w:cs="Arial"/>
          <w:bCs/>
          <w:color w:val="000000"/>
        </w:rPr>
        <w:t>, B.A.(Hons.)</w:t>
      </w:r>
      <w:r w:rsidR="006D6997" w:rsidRPr="0026120A">
        <w:rPr>
          <w:rFonts w:ascii="Arial" w:hAnsi="Arial" w:cs="Arial"/>
          <w:bCs/>
          <w:color w:val="000000"/>
          <w:vertAlign w:val="superscript"/>
        </w:rPr>
        <w:t>5</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Lionel Bainbridge</w:t>
      </w:r>
      <w:r w:rsidRPr="0026120A">
        <w:rPr>
          <w:rFonts w:cs="Arial"/>
          <w:bCs/>
          <w:color w:val="222222"/>
          <w:shd w:val="clear" w:color="auto" w:fill="FFFFFF"/>
        </w:rPr>
        <w:t xml:space="preserve">, </w:t>
      </w:r>
      <w:r w:rsidRPr="0026120A">
        <w:rPr>
          <w:rFonts w:ascii="Arial" w:hAnsi="Arial" w:cs="Arial"/>
          <w:bCs/>
          <w:color w:val="222222"/>
          <w:shd w:val="clear" w:color="auto" w:fill="FFFFFF"/>
        </w:rPr>
        <w:t>M</w:t>
      </w:r>
      <w:r w:rsidR="0026120A">
        <w:rPr>
          <w:rFonts w:ascii="Arial" w:hAnsi="Arial" w:cs="Arial"/>
          <w:bCs/>
          <w:color w:val="222222"/>
          <w:shd w:val="clear" w:color="auto" w:fill="FFFFFF"/>
        </w:rPr>
        <w:t>.</w:t>
      </w:r>
      <w:r w:rsidRPr="0026120A">
        <w:rPr>
          <w:rFonts w:ascii="Arial" w:hAnsi="Arial" w:cs="Arial"/>
          <w:bCs/>
          <w:color w:val="222222"/>
          <w:shd w:val="clear" w:color="auto" w:fill="FFFFFF"/>
        </w:rPr>
        <w:t>B</w:t>
      </w:r>
      <w:r w:rsidR="0026120A">
        <w:rPr>
          <w:rFonts w:ascii="Arial" w:hAnsi="Arial" w:cs="Arial"/>
          <w:bCs/>
          <w:color w:val="222222"/>
          <w:shd w:val="clear" w:color="auto" w:fill="FFFFFF"/>
        </w:rPr>
        <w:t>.,</w:t>
      </w:r>
      <w:r w:rsidRPr="0026120A">
        <w:rPr>
          <w:rFonts w:ascii="Arial" w:hAnsi="Arial" w:cs="Arial"/>
          <w:bCs/>
          <w:color w:val="222222"/>
          <w:shd w:val="clear" w:color="auto" w:fill="FFFFFF"/>
        </w:rPr>
        <w:t xml:space="preserve"> Ch</w:t>
      </w:r>
      <w:r w:rsidR="0026120A">
        <w:rPr>
          <w:rFonts w:ascii="Arial" w:hAnsi="Arial" w:cs="Arial"/>
          <w:bCs/>
          <w:color w:val="222222"/>
          <w:shd w:val="clear" w:color="auto" w:fill="FFFFFF"/>
        </w:rPr>
        <w:t>.</w:t>
      </w:r>
      <w:r w:rsidRPr="0026120A">
        <w:rPr>
          <w:rFonts w:ascii="Arial" w:hAnsi="Arial" w:cs="Arial"/>
          <w:bCs/>
          <w:color w:val="222222"/>
          <w:shd w:val="clear" w:color="auto" w:fill="FFFFFF"/>
        </w:rPr>
        <w:t>B</w:t>
      </w:r>
      <w:r w:rsidR="0026120A">
        <w:rPr>
          <w:rFonts w:ascii="Arial" w:hAnsi="Arial" w:cs="Arial"/>
          <w:bCs/>
          <w:color w:val="222222"/>
          <w:shd w:val="clear" w:color="auto" w:fill="FFFFFF"/>
        </w:rPr>
        <w:t>.</w:t>
      </w:r>
      <w:r w:rsidR="006D6997" w:rsidRPr="0026120A">
        <w:rPr>
          <w:rFonts w:ascii="Arial" w:hAnsi="Arial" w:cs="Arial"/>
          <w:bCs/>
          <w:color w:val="222222"/>
          <w:shd w:val="clear" w:color="auto" w:fill="FFFFFF"/>
          <w:vertAlign w:val="superscript"/>
        </w:rPr>
        <w:t>6</w:t>
      </w:r>
      <w:r w:rsidR="0026120A">
        <w:rPr>
          <w:rFonts w:cs="Arial"/>
          <w:bCs/>
          <w:color w:val="222222"/>
          <w:shd w:val="clear" w:color="auto" w:fill="FFFFFF"/>
        </w:rPr>
        <w:t>,</w:t>
      </w:r>
      <w:r w:rsidRPr="0026120A">
        <w:rPr>
          <w:rFonts w:cs="Arial"/>
          <w:bCs/>
          <w:color w:val="222222"/>
          <w:shd w:val="clear" w:color="auto" w:fill="FFFFFF"/>
        </w:rPr>
        <w:t xml:space="preserve"> </w:t>
      </w:r>
      <w:r w:rsidRPr="0026120A">
        <w:rPr>
          <w:rFonts w:ascii="Arial" w:hAnsi="Arial" w:cs="Arial"/>
          <w:bCs/>
          <w:color w:val="222222"/>
          <w:shd w:val="clear" w:color="auto" w:fill="FFFFFF"/>
        </w:rPr>
        <w:t>Michael Craigen</w:t>
      </w:r>
      <w:r w:rsidRPr="0026120A">
        <w:rPr>
          <w:rFonts w:cs="Arial"/>
          <w:bCs/>
          <w:color w:val="222222"/>
          <w:shd w:val="clear" w:color="auto" w:fill="FFFFFF"/>
        </w:rPr>
        <w:t xml:space="preserve">, </w:t>
      </w:r>
      <w:r w:rsidRPr="0026120A">
        <w:rPr>
          <w:rFonts w:ascii="Arial" w:hAnsi="Arial" w:cs="Arial"/>
          <w:bCs/>
          <w:color w:val="222222"/>
          <w:shd w:val="clear" w:color="auto" w:fill="FFFFFF"/>
        </w:rPr>
        <w:t>M</w:t>
      </w:r>
      <w:r w:rsidR="0026120A">
        <w:rPr>
          <w:rFonts w:ascii="Arial" w:hAnsi="Arial" w:cs="Arial"/>
          <w:bCs/>
          <w:color w:val="222222"/>
          <w:shd w:val="clear" w:color="auto" w:fill="FFFFFF"/>
        </w:rPr>
        <w:t>.</w:t>
      </w:r>
      <w:r w:rsidRPr="0026120A">
        <w:rPr>
          <w:rFonts w:ascii="Arial" w:hAnsi="Arial" w:cs="Arial"/>
          <w:bCs/>
          <w:color w:val="222222"/>
          <w:shd w:val="clear" w:color="auto" w:fill="FFFFFF"/>
        </w:rPr>
        <w:t>B</w:t>
      </w:r>
      <w:r w:rsidR="0026120A">
        <w:rPr>
          <w:rFonts w:ascii="Arial" w:hAnsi="Arial" w:cs="Arial"/>
          <w:bCs/>
          <w:color w:val="222222"/>
          <w:shd w:val="clear" w:color="auto" w:fill="FFFFFF"/>
        </w:rPr>
        <w:t>.</w:t>
      </w:r>
      <w:r w:rsidRPr="0026120A">
        <w:rPr>
          <w:rFonts w:ascii="Arial" w:hAnsi="Arial" w:cs="Arial"/>
          <w:bCs/>
          <w:color w:val="222222"/>
          <w:shd w:val="clear" w:color="auto" w:fill="FFFFFF"/>
        </w:rPr>
        <w:t>B</w:t>
      </w:r>
      <w:r w:rsidR="0026120A">
        <w:rPr>
          <w:rFonts w:ascii="Arial" w:hAnsi="Arial" w:cs="Arial"/>
          <w:bCs/>
          <w:color w:val="222222"/>
          <w:shd w:val="clear" w:color="auto" w:fill="FFFFFF"/>
        </w:rPr>
        <w:t>.</w:t>
      </w:r>
      <w:r w:rsidRPr="0026120A">
        <w:rPr>
          <w:rFonts w:ascii="Arial" w:hAnsi="Arial" w:cs="Arial"/>
          <w:bCs/>
          <w:color w:val="222222"/>
          <w:shd w:val="clear" w:color="auto" w:fill="FFFFFF"/>
        </w:rPr>
        <w:t>S</w:t>
      </w:r>
      <w:r w:rsidR="0026120A">
        <w:rPr>
          <w:rFonts w:ascii="Arial" w:hAnsi="Arial" w:cs="Arial"/>
          <w:bCs/>
          <w:color w:val="222222"/>
          <w:shd w:val="clear" w:color="auto" w:fill="FFFFFF"/>
        </w:rPr>
        <w:t>.</w:t>
      </w:r>
      <w:r w:rsidR="006D6997" w:rsidRPr="0026120A">
        <w:rPr>
          <w:rFonts w:ascii="Arial" w:hAnsi="Arial" w:cs="Arial"/>
          <w:bCs/>
          <w:color w:val="222222"/>
          <w:shd w:val="clear" w:color="auto" w:fill="FFFFFF"/>
          <w:vertAlign w:val="superscript"/>
        </w:rPr>
        <w:t>7</w:t>
      </w:r>
      <w:r w:rsidR="0026120A">
        <w:rPr>
          <w:rFonts w:cs="Arial"/>
          <w:bCs/>
          <w:color w:val="222222"/>
          <w:shd w:val="clear" w:color="auto" w:fill="FFFFFF"/>
        </w:rPr>
        <w:t>,</w:t>
      </w:r>
      <w:r w:rsidRPr="0026120A">
        <w:rPr>
          <w:rFonts w:cs="Arial"/>
          <w:bCs/>
          <w:color w:val="222222"/>
          <w:shd w:val="clear" w:color="auto" w:fill="FFFFFF"/>
        </w:rPr>
        <w:t xml:space="preserve"> </w:t>
      </w:r>
      <w:r w:rsidRPr="0026120A">
        <w:rPr>
          <w:rFonts w:ascii="Arial" w:hAnsi="Arial" w:cs="Arial"/>
          <w:bCs/>
          <w:color w:val="222222"/>
          <w:shd w:val="clear" w:color="auto" w:fill="FFFFFF"/>
        </w:rPr>
        <w:t>David Warwick</w:t>
      </w:r>
      <w:r w:rsidRPr="0026120A">
        <w:rPr>
          <w:rFonts w:ascii="Arial" w:hAnsi="Arial" w:cs="Arial"/>
          <w:bCs/>
          <w:color w:val="000000"/>
        </w:rPr>
        <w:t>, M</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6D6997" w:rsidRPr="0026120A">
        <w:rPr>
          <w:rFonts w:ascii="Arial" w:hAnsi="Arial" w:cs="Arial"/>
          <w:bCs/>
          <w:color w:val="000000"/>
          <w:vertAlign w:val="superscript"/>
        </w:rPr>
        <w:t>8</w:t>
      </w:r>
      <w:r w:rsidR="0026120A">
        <w:rPr>
          <w:rStyle w:val="apple-converted-space"/>
          <w:rFonts w:ascii="Arial" w:hAnsi="Arial" w:cs="Arial"/>
          <w:bCs/>
          <w:color w:val="000000"/>
        </w:rPr>
        <w:t>,</w:t>
      </w:r>
      <w:r w:rsidRPr="0026120A">
        <w:rPr>
          <w:rStyle w:val="apple-converted-space"/>
          <w:rFonts w:ascii="Arial" w:hAnsi="Arial" w:cs="Arial"/>
          <w:bCs/>
          <w:color w:val="000000"/>
        </w:rPr>
        <w:t xml:space="preserve"> </w:t>
      </w:r>
      <w:r w:rsidRPr="0026120A">
        <w:rPr>
          <w:rFonts w:ascii="Arial" w:hAnsi="Arial" w:cs="Arial"/>
          <w:bCs/>
          <w:color w:val="222222"/>
          <w:shd w:val="clear" w:color="auto" w:fill="FFFFFF"/>
        </w:rPr>
        <w:t>Samantha Brady</w:t>
      </w:r>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Lydia G</w:t>
      </w:r>
      <w:r w:rsidR="0026120A">
        <w:rPr>
          <w:rFonts w:ascii="Arial" w:hAnsi="Arial" w:cs="Arial"/>
          <w:bCs/>
          <w:color w:val="222222"/>
          <w:shd w:val="clear" w:color="auto" w:fill="FFFFFF"/>
        </w:rPr>
        <w:t>.</w:t>
      </w:r>
      <w:r w:rsidRPr="0026120A">
        <w:rPr>
          <w:rFonts w:ascii="Arial" w:hAnsi="Arial" w:cs="Arial"/>
          <w:bCs/>
          <w:color w:val="222222"/>
          <w:shd w:val="clear" w:color="auto" w:fill="FFFFFF"/>
        </w:rPr>
        <w:t xml:space="preserve"> Flett</w:t>
      </w:r>
      <w:r w:rsidRPr="0026120A">
        <w:rPr>
          <w:rFonts w:cs="Arial"/>
          <w:bCs/>
          <w:color w:val="222222"/>
          <w:shd w:val="clear" w:color="auto" w:fill="FFFFFF"/>
        </w:rPr>
        <w:t xml:space="preserve">, </w:t>
      </w:r>
      <w:r w:rsidRPr="0026120A">
        <w:rPr>
          <w:rFonts w:ascii="Arial" w:hAnsi="Arial" w:cs="Arial"/>
          <w:bCs/>
          <w:color w:val="000000"/>
        </w:rPr>
        <w:t>M</w:t>
      </w:r>
      <w:r w:rsidR="0026120A">
        <w:rPr>
          <w:rFonts w:ascii="Arial" w:hAnsi="Arial" w:cs="Arial"/>
          <w:bCs/>
          <w:color w:val="000000"/>
        </w:rPr>
        <w:t>.</w:t>
      </w:r>
      <w:r w:rsidRPr="0026120A">
        <w:rPr>
          <w:rFonts w:ascii="Arial" w:hAnsi="Arial" w:cs="Arial"/>
          <w:bCs/>
          <w:color w:val="000000"/>
        </w:rPr>
        <w:t>P</w:t>
      </w:r>
      <w:r w:rsidR="0026120A">
        <w:rPr>
          <w:rFonts w:ascii="Arial" w:hAnsi="Arial" w:cs="Arial"/>
          <w:bCs/>
          <w:color w:val="000000"/>
        </w:rPr>
        <w:t>.</w:t>
      </w:r>
      <w:r w:rsidRPr="0026120A">
        <w:rPr>
          <w:rFonts w:ascii="Arial" w:hAnsi="Arial" w:cs="Arial"/>
          <w:bCs/>
          <w:color w:val="000000"/>
        </w:rPr>
        <w:t>H</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cs="Arial"/>
          <w:bCs/>
          <w:color w:val="000000"/>
        </w:rPr>
        <w:t>,</w:t>
      </w:r>
      <w:r w:rsidRPr="0026120A">
        <w:rPr>
          <w:rFonts w:cs="Arial"/>
          <w:bCs/>
          <w:color w:val="000000"/>
        </w:rPr>
        <w:t xml:space="preserve"> </w:t>
      </w:r>
      <w:r w:rsidRPr="0026120A">
        <w:rPr>
          <w:rFonts w:ascii="Arial" w:hAnsi="Arial" w:cs="Arial"/>
          <w:bCs/>
          <w:color w:val="222222"/>
          <w:shd w:val="clear" w:color="auto" w:fill="FFFFFF"/>
        </w:rPr>
        <w:t>Judy Jones</w:t>
      </w:r>
      <w:r w:rsidR="006D6997" w:rsidRPr="0026120A">
        <w:rPr>
          <w:rFonts w:ascii="Arial" w:hAnsi="Arial" w:cs="Arial"/>
          <w:bCs/>
          <w:color w:val="222222"/>
          <w:shd w:val="clear" w:color="auto" w:fill="FFFFFF"/>
          <w:vertAlign w:val="superscript"/>
        </w:rPr>
        <w:t>5</w:t>
      </w:r>
      <w:r w:rsidR="0026120A">
        <w:rPr>
          <w:rFonts w:ascii="Arial" w:hAnsi="Arial" w:cs="Arial"/>
          <w:bCs/>
          <w:color w:val="222222"/>
          <w:shd w:val="clear" w:color="auto" w:fill="FFFFFF"/>
        </w:rPr>
        <w:t>,</w:t>
      </w:r>
      <w:r w:rsidRPr="0026120A">
        <w:rPr>
          <w:rFonts w:ascii="Arial" w:hAnsi="Arial" w:cs="Arial"/>
          <w:bCs/>
          <w:color w:val="222222"/>
          <w:shd w:val="clear" w:color="auto" w:fill="FFFFFF"/>
        </w:rPr>
        <w:t xml:space="preserve"> Catherine N</w:t>
      </w:r>
      <w:r w:rsidR="0026120A">
        <w:rPr>
          <w:rFonts w:ascii="Arial" w:hAnsi="Arial" w:cs="Arial"/>
          <w:bCs/>
          <w:color w:val="222222"/>
          <w:shd w:val="clear" w:color="auto" w:fill="FFFFFF"/>
        </w:rPr>
        <w:t>.</w:t>
      </w:r>
      <w:r w:rsidRPr="0026120A">
        <w:rPr>
          <w:rFonts w:ascii="Arial" w:hAnsi="Arial" w:cs="Arial"/>
          <w:bCs/>
          <w:color w:val="222222"/>
          <w:shd w:val="clear" w:color="auto" w:fill="FFFFFF"/>
        </w:rPr>
        <w:t xml:space="preserve"> Knowlson</w:t>
      </w:r>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Michelle Watson</w:t>
      </w:r>
      <w:r w:rsidRPr="0026120A">
        <w:rPr>
          <w:rFonts w:ascii="Arial" w:hAnsi="Arial" w:cs="Arial"/>
          <w:bCs/>
          <w:color w:val="000000"/>
        </w:rPr>
        <w:t>, M</w:t>
      </w:r>
      <w:r w:rsidR="0026120A">
        <w:rPr>
          <w:rFonts w:ascii="Arial" w:hAnsi="Arial" w:cs="Arial"/>
          <w:bCs/>
          <w:color w:val="000000"/>
        </w:rPr>
        <w:t>.</w:t>
      </w:r>
      <w:r w:rsidRPr="0026120A">
        <w:rPr>
          <w:rFonts w:ascii="Arial" w:hAnsi="Arial" w:cs="Arial"/>
          <w:bCs/>
          <w:color w:val="000000"/>
        </w:rPr>
        <w:t>Sc</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Ada Keding</w:t>
      </w:r>
      <w:r w:rsidRPr="0026120A">
        <w:rPr>
          <w:rFonts w:ascii="Arial" w:hAnsi="Arial" w:cs="Arial"/>
          <w:bCs/>
          <w:color w:val="000000"/>
        </w:rPr>
        <w:t>, M</w:t>
      </w:r>
      <w:r w:rsidR="0026120A">
        <w:rPr>
          <w:rFonts w:ascii="Arial" w:hAnsi="Arial" w:cs="Arial"/>
          <w:bCs/>
          <w:color w:val="000000"/>
        </w:rPr>
        <w:t>.</w:t>
      </w:r>
      <w:r w:rsidRPr="0026120A">
        <w:rPr>
          <w:rFonts w:ascii="Arial" w:hAnsi="Arial" w:cs="Arial"/>
          <w:bCs/>
          <w:color w:val="000000"/>
        </w:rPr>
        <w:t>Sc</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Catherine E</w:t>
      </w:r>
      <w:r w:rsidR="0026120A">
        <w:rPr>
          <w:rFonts w:ascii="Arial" w:hAnsi="Arial" w:cs="Arial"/>
          <w:bCs/>
          <w:color w:val="222222"/>
          <w:shd w:val="clear" w:color="auto" w:fill="FFFFFF"/>
        </w:rPr>
        <w:t>.</w:t>
      </w:r>
      <w:r w:rsidRPr="0026120A">
        <w:rPr>
          <w:rFonts w:ascii="Arial" w:hAnsi="Arial" w:cs="Arial"/>
          <w:bCs/>
          <w:color w:val="222222"/>
          <w:shd w:val="clear" w:color="auto" w:fill="FFFFFF"/>
        </w:rPr>
        <w:t xml:space="preserve"> Hewitt</w:t>
      </w:r>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6D6997" w:rsidRPr="0026120A">
        <w:rPr>
          <w:rFonts w:ascii="Arial" w:hAnsi="Arial" w:cs="Arial"/>
          <w:bCs/>
          <w:color w:val="000000"/>
          <w:vertAlign w:val="superscript"/>
        </w:rPr>
        <w:t>2</w:t>
      </w:r>
      <w:r w:rsidR="0026120A">
        <w:rPr>
          <w:rFonts w:ascii="Arial" w:hAnsi="Arial" w:cs="Arial"/>
          <w:bCs/>
          <w:color w:val="000000"/>
        </w:rPr>
        <w:t>,</w:t>
      </w:r>
      <w:r w:rsidRPr="0026120A">
        <w:rPr>
          <w:rFonts w:ascii="Arial" w:hAnsi="Arial" w:cs="Arial"/>
          <w:bCs/>
          <w:color w:val="000000"/>
        </w:rPr>
        <w:t xml:space="preserve"> </w:t>
      </w:r>
      <w:r w:rsidRPr="0026120A">
        <w:rPr>
          <w:rFonts w:ascii="Arial" w:hAnsi="Arial" w:cs="Arial"/>
          <w:bCs/>
          <w:color w:val="222222"/>
          <w:shd w:val="clear" w:color="auto" w:fill="FFFFFF"/>
        </w:rPr>
        <w:t>David Torgerson</w:t>
      </w:r>
      <w:r w:rsidRPr="0026120A">
        <w:rPr>
          <w:rFonts w:ascii="Arial" w:hAnsi="Arial" w:cs="Arial"/>
          <w:bCs/>
          <w:color w:val="000000"/>
        </w:rPr>
        <w:t>, Ph</w:t>
      </w:r>
      <w:r w:rsidR="0026120A">
        <w:rPr>
          <w:rFonts w:ascii="Arial" w:hAnsi="Arial" w:cs="Arial"/>
          <w:bCs/>
          <w:color w:val="000000"/>
        </w:rPr>
        <w:t>.</w:t>
      </w:r>
      <w:r w:rsidRPr="0026120A">
        <w:rPr>
          <w:rFonts w:ascii="Arial" w:hAnsi="Arial" w:cs="Arial"/>
          <w:bCs/>
          <w:color w:val="000000"/>
        </w:rPr>
        <w:t>D</w:t>
      </w:r>
      <w:r w:rsidR="0026120A">
        <w:rPr>
          <w:rFonts w:ascii="Arial" w:hAnsi="Arial" w:cs="Arial"/>
          <w:bCs/>
          <w:color w:val="000000"/>
        </w:rPr>
        <w:t>.</w:t>
      </w:r>
      <w:r w:rsidR="006D6997" w:rsidRPr="0026120A">
        <w:rPr>
          <w:rFonts w:ascii="Arial" w:hAnsi="Arial" w:cs="Arial"/>
          <w:bCs/>
          <w:color w:val="000000"/>
          <w:vertAlign w:val="superscript"/>
        </w:rPr>
        <w:t>2</w:t>
      </w:r>
    </w:p>
    <w:p w14:paraId="6F7AB413" w14:textId="77777777" w:rsidR="008E183B" w:rsidRPr="00882ACB" w:rsidRDefault="008E183B" w:rsidP="008F1915">
      <w:pPr>
        <w:pStyle w:val="NormalWeb"/>
        <w:spacing w:before="0" w:beforeAutospacing="0" w:after="165" w:afterAutospacing="0" w:line="360" w:lineRule="auto"/>
        <w:rPr>
          <w:rFonts w:ascii="Arial" w:hAnsi="Arial" w:cs="Arial"/>
          <w:b/>
          <w:color w:val="000000"/>
        </w:rPr>
      </w:pPr>
      <w:r w:rsidRPr="00882ACB">
        <w:rPr>
          <w:rFonts w:ascii="Arial" w:hAnsi="Arial" w:cs="Arial"/>
          <w:b/>
          <w:color w:val="000000"/>
        </w:rPr>
        <w:t>Affiliations</w:t>
      </w:r>
    </w:p>
    <w:p w14:paraId="20AEF8F9" w14:textId="74290375" w:rsidR="008F1915" w:rsidRPr="00882ACB" w:rsidRDefault="00D11CE5" w:rsidP="008F1915">
      <w:pPr>
        <w:pStyle w:val="NormalWeb"/>
        <w:spacing w:before="0" w:beforeAutospacing="0" w:after="165" w:afterAutospacing="0" w:line="360" w:lineRule="auto"/>
        <w:rPr>
          <w:rFonts w:ascii="Arial" w:hAnsi="Arial" w:cs="Arial"/>
          <w:color w:val="000000"/>
        </w:rPr>
      </w:pPr>
      <w:r w:rsidRPr="00882ACB">
        <w:rPr>
          <w:rFonts w:ascii="Arial" w:hAnsi="Arial" w:cs="Arial"/>
          <w:color w:val="222222"/>
          <w:shd w:val="clear" w:color="auto" w:fill="FFFFFF"/>
          <w:vertAlign w:val="superscript"/>
        </w:rPr>
        <w:t>1</w:t>
      </w:r>
      <w:r w:rsidR="008F1915" w:rsidRPr="00882ACB">
        <w:rPr>
          <w:rFonts w:ascii="Arial" w:hAnsi="Arial" w:cs="Arial"/>
        </w:rPr>
        <w:t xml:space="preserve">Academic Team of Musculoskeletal Surgery, </w:t>
      </w:r>
      <w:proofErr w:type="spellStart"/>
      <w:r w:rsidR="008F1915" w:rsidRPr="00882ACB">
        <w:rPr>
          <w:rFonts w:ascii="Arial" w:hAnsi="Arial" w:cs="Arial"/>
        </w:rPr>
        <w:t>Undercroft</w:t>
      </w:r>
      <w:proofErr w:type="spellEnd"/>
      <w:r w:rsidR="008F1915" w:rsidRPr="00882ACB">
        <w:rPr>
          <w:rFonts w:ascii="Arial" w:hAnsi="Arial" w:cs="Arial"/>
        </w:rPr>
        <w:t>, Leicester General Hospital,</w:t>
      </w:r>
      <w:r w:rsidR="008F1915" w:rsidRPr="00882ACB">
        <w:rPr>
          <w:rFonts w:ascii="Arial" w:hAnsi="Arial" w:cs="Arial"/>
          <w:color w:val="222222"/>
          <w:shd w:val="clear" w:color="auto" w:fill="FFFFFF"/>
        </w:rPr>
        <w:t xml:space="preserve"> University Hospitals of Leicester NHS Trust, Leicester, LE5 4PW, UK; 0116 258 4702</w:t>
      </w:r>
    </w:p>
    <w:p w14:paraId="739219AF" w14:textId="358EF7DD" w:rsidR="008F1915" w:rsidRPr="00882ACB" w:rsidRDefault="00D11CE5" w:rsidP="008F1915">
      <w:pPr>
        <w:pStyle w:val="NormalWeb"/>
        <w:spacing w:before="0" w:beforeAutospacing="0" w:after="165" w:afterAutospacing="0" w:line="360" w:lineRule="auto"/>
        <w:rPr>
          <w:rFonts w:ascii="Arial" w:hAnsi="Arial" w:cs="Arial"/>
          <w:color w:val="000000"/>
        </w:rPr>
      </w:pPr>
      <w:r w:rsidRPr="00882ACB">
        <w:rPr>
          <w:rStyle w:val="apple-converted-space"/>
          <w:rFonts w:ascii="Arial" w:hAnsi="Arial" w:cs="Arial"/>
          <w:color w:val="000000"/>
          <w:vertAlign w:val="superscript"/>
        </w:rPr>
        <w:t>2</w:t>
      </w:r>
      <w:r w:rsidR="008F1915" w:rsidRPr="00882ACB">
        <w:rPr>
          <w:rFonts w:ascii="Arial" w:hAnsi="Arial" w:cs="Arial"/>
          <w:color w:val="000000"/>
        </w:rPr>
        <w:t>York Trials Unit, Department of Health Sciences, University of York, York, YO10 5DD, UK.</w:t>
      </w:r>
    </w:p>
    <w:p w14:paraId="14E61930" w14:textId="65F43247" w:rsidR="008F1915" w:rsidRPr="00882ACB" w:rsidRDefault="00D11CE5" w:rsidP="008F1915">
      <w:pPr>
        <w:pStyle w:val="NormalWeb"/>
        <w:spacing w:before="0" w:beforeAutospacing="0" w:after="165" w:afterAutospacing="0" w:line="360" w:lineRule="auto"/>
        <w:rPr>
          <w:rFonts w:ascii="Arial" w:hAnsi="Arial" w:cs="Arial"/>
          <w:color w:val="000000"/>
        </w:rPr>
      </w:pPr>
      <w:r w:rsidRPr="00882ACB">
        <w:rPr>
          <w:rFonts w:ascii="Arial" w:hAnsi="Arial" w:cs="Arial"/>
          <w:color w:val="000000"/>
          <w:vertAlign w:val="superscript"/>
        </w:rPr>
        <w:t>3</w:t>
      </w:r>
      <w:r w:rsidR="008F1915" w:rsidRPr="00882ACB">
        <w:rPr>
          <w:rFonts w:ascii="Arial" w:hAnsi="Arial" w:cs="Arial"/>
          <w:color w:val="000000"/>
        </w:rPr>
        <w:t>Department of Health Sciences, University of York, York, YO10 5DD, UK.</w:t>
      </w:r>
    </w:p>
    <w:p w14:paraId="5A6108BF" w14:textId="10A134C3" w:rsidR="008F1915" w:rsidRPr="00882ACB" w:rsidRDefault="00D11CE5" w:rsidP="008F1915">
      <w:pPr>
        <w:pStyle w:val="NormalWeb"/>
        <w:spacing w:before="0" w:beforeAutospacing="0" w:after="165" w:afterAutospacing="0" w:line="360" w:lineRule="auto"/>
        <w:rPr>
          <w:rFonts w:ascii="Arial" w:hAnsi="Arial" w:cs="Arial"/>
          <w:color w:val="000000"/>
        </w:rPr>
      </w:pPr>
      <w:r w:rsidRPr="00882ACB">
        <w:rPr>
          <w:rStyle w:val="apple-converted-space"/>
          <w:rFonts w:ascii="Arial" w:hAnsi="Arial" w:cs="Arial"/>
          <w:color w:val="000000"/>
          <w:vertAlign w:val="superscript"/>
        </w:rPr>
        <w:t>4</w:t>
      </w:r>
      <w:r w:rsidR="008F1915" w:rsidRPr="00882ACB">
        <w:rPr>
          <w:rStyle w:val="apple-converted-space"/>
          <w:rFonts w:ascii="Arial" w:hAnsi="Arial" w:cs="Arial"/>
          <w:color w:val="000000"/>
        </w:rPr>
        <w:t>University of Nottingham, Nottingham, NG7 2RD, UK</w:t>
      </w:r>
    </w:p>
    <w:p w14:paraId="57997E12" w14:textId="12D84801" w:rsidR="008F1915" w:rsidRPr="00882ACB" w:rsidRDefault="00D11CE5" w:rsidP="008F1915">
      <w:pPr>
        <w:pStyle w:val="NormalWeb"/>
        <w:spacing w:before="0" w:beforeAutospacing="0" w:after="165" w:afterAutospacing="0" w:line="360" w:lineRule="auto"/>
        <w:rPr>
          <w:rFonts w:ascii="Arial" w:hAnsi="Arial" w:cs="Arial"/>
          <w:b/>
          <w:color w:val="000000"/>
        </w:rPr>
      </w:pPr>
      <w:r w:rsidRPr="00882ACB">
        <w:rPr>
          <w:rFonts w:ascii="Arial" w:hAnsi="Arial" w:cs="Arial"/>
          <w:bCs/>
          <w:color w:val="000000"/>
          <w:vertAlign w:val="superscript"/>
        </w:rPr>
        <w:t>5</w:t>
      </w:r>
      <w:r w:rsidR="008F1915" w:rsidRPr="00882ACB">
        <w:rPr>
          <w:rFonts w:ascii="Arial" w:hAnsi="Arial" w:cs="Arial"/>
          <w:color w:val="222222"/>
          <w:shd w:val="clear" w:color="auto" w:fill="FFFFFF"/>
        </w:rPr>
        <w:t>University Hospitals of Leicester NHS Trust, Leicester, LE5 4PW, UK</w:t>
      </w:r>
    </w:p>
    <w:p w14:paraId="5E34F551" w14:textId="2BD63EC0" w:rsidR="008F1915" w:rsidRPr="00882ACB" w:rsidRDefault="00D11CE5" w:rsidP="008F1915">
      <w:pPr>
        <w:pStyle w:val="NormalWeb"/>
        <w:spacing w:before="0" w:beforeAutospacing="0" w:after="165" w:afterAutospacing="0" w:line="360" w:lineRule="auto"/>
        <w:rPr>
          <w:rFonts w:ascii="Arial" w:hAnsi="Arial" w:cs="Arial"/>
          <w:color w:val="000000"/>
        </w:rPr>
      </w:pPr>
      <w:r w:rsidRPr="00882ACB">
        <w:rPr>
          <w:rStyle w:val="apple-converted-space"/>
          <w:rFonts w:ascii="Arial" w:hAnsi="Arial" w:cs="Arial"/>
          <w:color w:val="000000"/>
          <w:vertAlign w:val="superscript"/>
        </w:rPr>
        <w:t>6</w:t>
      </w:r>
      <w:r w:rsidR="008F1915" w:rsidRPr="00882ACB">
        <w:rPr>
          <w:rStyle w:val="apple-converted-space"/>
          <w:rFonts w:ascii="Arial" w:hAnsi="Arial" w:cs="Arial"/>
          <w:color w:val="000000"/>
        </w:rPr>
        <w:t>University Hospitals of Derby and Burton NHS Trust, Derby, DE22 3NE, UK</w:t>
      </w:r>
    </w:p>
    <w:p w14:paraId="2E23A261" w14:textId="171F3052" w:rsidR="008F1915" w:rsidRPr="00882ACB" w:rsidRDefault="006D6997" w:rsidP="008F1915">
      <w:pPr>
        <w:rPr>
          <w:rFonts w:ascii="Arial" w:hAnsi="Arial" w:cs="Arial"/>
          <w:color w:val="222222"/>
          <w:szCs w:val="24"/>
          <w:shd w:val="clear" w:color="auto" w:fill="FFFFFF"/>
        </w:rPr>
      </w:pPr>
      <w:r w:rsidRPr="00882ACB">
        <w:rPr>
          <w:rFonts w:ascii="Arial" w:hAnsi="Arial" w:cs="Arial"/>
          <w:color w:val="222222"/>
          <w:szCs w:val="24"/>
          <w:shd w:val="clear" w:color="auto" w:fill="FFFFFF"/>
          <w:vertAlign w:val="superscript"/>
        </w:rPr>
        <w:t>7</w:t>
      </w:r>
      <w:r w:rsidR="008F1915" w:rsidRPr="00882ACB">
        <w:rPr>
          <w:rFonts w:ascii="Arial" w:hAnsi="Arial" w:cs="Arial"/>
          <w:color w:val="222222"/>
          <w:szCs w:val="24"/>
          <w:shd w:val="clear" w:color="auto" w:fill="FFFFFF"/>
        </w:rPr>
        <w:t>Royal Orthopaedic Hospital NHS Foundation Trust, Birmingham, B31 2AP, UK</w:t>
      </w:r>
    </w:p>
    <w:p w14:paraId="28191C8F" w14:textId="20940D95" w:rsidR="008F1915" w:rsidRPr="00882ACB" w:rsidRDefault="006D6997" w:rsidP="008F1915">
      <w:pPr>
        <w:rPr>
          <w:rFonts w:ascii="Arial" w:hAnsi="Arial" w:cs="Arial"/>
          <w:color w:val="222222"/>
          <w:szCs w:val="24"/>
          <w:shd w:val="clear" w:color="auto" w:fill="FFFFFF"/>
        </w:rPr>
      </w:pPr>
      <w:r w:rsidRPr="00882ACB">
        <w:rPr>
          <w:rFonts w:ascii="Arial" w:hAnsi="Arial" w:cs="Arial"/>
          <w:color w:val="222222"/>
          <w:szCs w:val="24"/>
          <w:shd w:val="clear" w:color="auto" w:fill="FFFFFF"/>
          <w:vertAlign w:val="superscript"/>
        </w:rPr>
        <w:t>8</w:t>
      </w:r>
      <w:r w:rsidR="008F1915" w:rsidRPr="00882ACB">
        <w:rPr>
          <w:rFonts w:ascii="Arial" w:hAnsi="Arial" w:cs="Arial"/>
          <w:color w:val="222222"/>
          <w:szCs w:val="24"/>
          <w:shd w:val="clear" w:color="auto" w:fill="FFFFFF"/>
        </w:rPr>
        <w:t>University Hospital Southampton NHS Foundation Trust, Southampton, SO16 6YD, UK</w:t>
      </w:r>
    </w:p>
    <w:bookmarkEnd w:id="1"/>
    <w:p w14:paraId="0FF5E041" w14:textId="77777777" w:rsidR="008F1915" w:rsidRPr="00882ACB" w:rsidRDefault="008F1915" w:rsidP="00A5203B">
      <w:pPr>
        <w:rPr>
          <w:rFonts w:ascii="Arial" w:hAnsi="Arial" w:cs="Arial"/>
          <w:szCs w:val="24"/>
        </w:rPr>
      </w:pPr>
    </w:p>
    <w:p w14:paraId="4FB3B0AA" w14:textId="1A220764" w:rsidR="00EC5B35" w:rsidRPr="00882ACB" w:rsidRDefault="00A5203B" w:rsidP="00A5203B">
      <w:pPr>
        <w:rPr>
          <w:rFonts w:ascii="Arial" w:hAnsi="Arial" w:cs="Arial"/>
          <w:szCs w:val="24"/>
        </w:rPr>
      </w:pPr>
      <w:r w:rsidRPr="00882ACB">
        <w:rPr>
          <w:rFonts w:ascii="Arial" w:hAnsi="Arial" w:cs="Arial"/>
          <w:szCs w:val="24"/>
        </w:rPr>
        <w:t xml:space="preserve">Contact information for corresponding author: Professor Joseph Dias – Academic Team of Musculoskeletal Surgery, </w:t>
      </w:r>
      <w:proofErr w:type="spellStart"/>
      <w:r w:rsidRPr="00882ACB">
        <w:rPr>
          <w:rFonts w:ascii="Arial" w:hAnsi="Arial" w:cs="Arial"/>
          <w:szCs w:val="24"/>
        </w:rPr>
        <w:t>Undercroft</w:t>
      </w:r>
      <w:proofErr w:type="spellEnd"/>
      <w:r w:rsidRPr="00882ACB">
        <w:rPr>
          <w:rFonts w:ascii="Arial" w:hAnsi="Arial" w:cs="Arial"/>
          <w:szCs w:val="24"/>
        </w:rPr>
        <w:t xml:space="preserve">, Leicester General Hospital, University Hospitals of Leicester NHS Trust, Leicester, LE5 4PW, UK; 0116 258 4702; </w:t>
      </w:r>
      <w:r w:rsidRPr="008F5DDD">
        <w:rPr>
          <w:rFonts w:ascii="Arial" w:hAnsi="Arial" w:cs="Arial"/>
          <w:szCs w:val="24"/>
        </w:rPr>
        <w:t>jd96@leicester.ac.uk</w:t>
      </w:r>
    </w:p>
    <w:p w14:paraId="46AC532A" w14:textId="6AD81B1B" w:rsidR="008F1915" w:rsidRPr="00882ACB" w:rsidRDefault="008F1915" w:rsidP="00A5203B">
      <w:pPr>
        <w:rPr>
          <w:rFonts w:ascii="Arial" w:hAnsi="Arial" w:cs="Arial"/>
          <w:szCs w:val="24"/>
        </w:rPr>
      </w:pPr>
    </w:p>
    <w:p w14:paraId="4D2D47F5" w14:textId="77777777" w:rsidR="00CF36AB" w:rsidRDefault="00CF36AB">
      <w:pPr>
        <w:spacing w:line="259" w:lineRule="auto"/>
        <w:rPr>
          <w:rFonts w:ascii="Arial" w:hAnsi="Arial" w:cs="Arial"/>
          <w:b/>
          <w:bCs/>
          <w:szCs w:val="24"/>
        </w:rPr>
      </w:pPr>
      <w:r>
        <w:rPr>
          <w:rFonts w:ascii="Arial" w:hAnsi="Arial" w:cs="Arial"/>
          <w:b/>
          <w:bCs/>
          <w:szCs w:val="24"/>
        </w:rPr>
        <w:br w:type="page"/>
      </w:r>
    </w:p>
    <w:p w14:paraId="015BADA8" w14:textId="1C0028E3" w:rsidR="005027B7" w:rsidRPr="008F5DDD" w:rsidRDefault="005027B7" w:rsidP="005027B7">
      <w:pPr>
        <w:rPr>
          <w:rFonts w:ascii="Arial" w:hAnsi="Arial" w:cs="Arial"/>
          <w:szCs w:val="24"/>
        </w:rPr>
      </w:pPr>
      <w:r w:rsidRPr="00882ACB">
        <w:rPr>
          <w:rFonts w:ascii="Arial" w:hAnsi="Arial" w:cs="Arial"/>
          <w:b/>
          <w:bCs/>
          <w:szCs w:val="24"/>
        </w:rPr>
        <w:lastRenderedPageBreak/>
        <w:t>Abstract</w:t>
      </w:r>
    </w:p>
    <w:p w14:paraId="55E5046B" w14:textId="77777777" w:rsidR="00435124" w:rsidRPr="00882ACB" w:rsidRDefault="00435124" w:rsidP="005027B7">
      <w:pPr>
        <w:rPr>
          <w:rFonts w:ascii="Arial" w:hAnsi="Arial" w:cs="Arial"/>
          <w:szCs w:val="24"/>
        </w:rPr>
      </w:pPr>
      <w:bookmarkStart w:id="2" w:name="_Hlk156401614"/>
      <w:r w:rsidRPr="00882ACB">
        <w:rPr>
          <w:rFonts w:ascii="Arial" w:hAnsi="Arial" w:cs="Arial"/>
          <w:szCs w:val="24"/>
        </w:rPr>
        <w:t>Background</w:t>
      </w:r>
    </w:p>
    <w:p w14:paraId="3521AD12" w14:textId="5F6E6AC4" w:rsidR="005027B7" w:rsidRPr="00882ACB" w:rsidRDefault="00BE45B2" w:rsidP="005027B7">
      <w:pPr>
        <w:rPr>
          <w:rFonts w:ascii="Arial" w:hAnsi="Arial" w:cs="Arial"/>
          <w:szCs w:val="24"/>
        </w:rPr>
      </w:pPr>
      <w:r w:rsidRPr="00882ACB">
        <w:rPr>
          <w:rFonts w:ascii="Arial" w:hAnsi="Arial" w:cs="Arial"/>
          <w:szCs w:val="24"/>
        </w:rPr>
        <w:t xml:space="preserve">Treatments for </w:t>
      </w:r>
      <w:r w:rsidR="005027B7" w:rsidRPr="00882ACB">
        <w:rPr>
          <w:rFonts w:ascii="Arial" w:hAnsi="Arial" w:cs="Arial"/>
          <w:szCs w:val="24"/>
        </w:rPr>
        <w:t xml:space="preserve">Dupuytren’s contracture include limited fasciectomy </w:t>
      </w:r>
      <w:r w:rsidR="00B36C9A" w:rsidRPr="00882ACB">
        <w:rPr>
          <w:rFonts w:ascii="Arial" w:hAnsi="Arial" w:cs="Arial"/>
          <w:szCs w:val="24"/>
        </w:rPr>
        <w:t>and</w:t>
      </w:r>
      <w:r w:rsidR="005027B7" w:rsidRPr="00882ACB">
        <w:rPr>
          <w:rFonts w:ascii="Arial" w:hAnsi="Arial" w:cs="Arial"/>
          <w:szCs w:val="24"/>
        </w:rPr>
        <w:t xml:space="preserve"> collagenase injection</w:t>
      </w:r>
      <w:r w:rsidRPr="00882ACB">
        <w:rPr>
          <w:rFonts w:ascii="Arial" w:hAnsi="Arial" w:cs="Arial"/>
          <w:szCs w:val="24"/>
        </w:rPr>
        <w:t xml:space="preserve">. </w:t>
      </w:r>
      <w:r w:rsidR="009F07ED" w:rsidRPr="00882ACB">
        <w:rPr>
          <w:rFonts w:ascii="Arial" w:hAnsi="Arial" w:cs="Arial"/>
          <w:szCs w:val="24"/>
        </w:rPr>
        <w:t xml:space="preserve"> </w:t>
      </w:r>
      <w:r w:rsidRPr="00882ACB">
        <w:rPr>
          <w:rFonts w:ascii="Arial" w:hAnsi="Arial" w:cs="Arial"/>
          <w:szCs w:val="24"/>
        </w:rPr>
        <w:t>E</w:t>
      </w:r>
      <w:r w:rsidR="009F07ED" w:rsidRPr="00882ACB">
        <w:rPr>
          <w:rFonts w:ascii="Arial" w:hAnsi="Arial" w:cs="Arial"/>
          <w:szCs w:val="24"/>
        </w:rPr>
        <w:t>vidence</w:t>
      </w:r>
      <w:r w:rsidR="005027B7" w:rsidRPr="00882ACB">
        <w:rPr>
          <w:rFonts w:ascii="Arial" w:hAnsi="Arial" w:cs="Arial"/>
          <w:szCs w:val="24"/>
        </w:rPr>
        <w:t xml:space="preserve"> comparing </w:t>
      </w:r>
      <w:r w:rsidR="009F07ED" w:rsidRPr="00882ACB">
        <w:rPr>
          <w:rFonts w:ascii="Arial" w:hAnsi="Arial" w:cs="Arial"/>
          <w:szCs w:val="24"/>
        </w:rPr>
        <w:t>these treatments</w:t>
      </w:r>
      <w:r w:rsidR="00AB027D" w:rsidRPr="00882ACB">
        <w:rPr>
          <w:rFonts w:ascii="Arial" w:hAnsi="Arial" w:cs="Arial"/>
          <w:szCs w:val="24"/>
        </w:rPr>
        <w:t xml:space="preserve"> is limited</w:t>
      </w:r>
      <w:r w:rsidR="005027B7" w:rsidRPr="00882ACB">
        <w:rPr>
          <w:rFonts w:ascii="Arial" w:hAnsi="Arial" w:cs="Arial"/>
          <w:szCs w:val="24"/>
        </w:rPr>
        <w:t>.</w:t>
      </w:r>
    </w:p>
    <w:p w14:paraId="1EBDBAED" w14:textId="77777777" w:rsidR="00435124" w:rsidRPr="00882ACB" w:rsidRDefault="00435124" w:rsidP="005027B7">
      <w:pPr>
        <w:rPr>
          <w:rFonts w:ascii="Arial" w:hAnsi="Arial" w:cs="Arial"/>
          <w:szCs w:val="24"/>
        </w:rPr>
      </w:pPr>
      <w:r w:rsidRPr="00882ACB">
        <w:rPr>
          <w:rFonts w:ascii="Arial" w:hAnsi="Arial" w:cs="Arial"/>
          <w:szCs w:val="24"/>
        </w:rPr>
        <w:t>Methods</w:t>
      </w:r>
    </w:p>
    <w:p w14:paraId="67F9575E" w14:textId="456AB35E" w:rsidR="005027B7" w:rsidRPr="00882ACB" w:rsidRDefault="00D42C95" w:rsidP="005027B7">
      <w:pPr>
        <w:rPr>
          <w:rFonts w:ascii="Arial" w:hAnsi="Arial" w:cs="Arial"/>
          <w:szCs w:val="24"/>
        </w:rPr>
      </w:pPr>
      <w:r w:rsidRPr="00882ACB">
        <w:rPr>
          <w:rFonts w:ascii="Arial" w:hAnsi="Arial" w:cs="Arial"/>
          <w:szCs w:val="24"/>
        </w:rPr>
        <w:t>We performed a</w:t>
      </w:r>
      <w:r w:rsidR="001363BD" w:rsidRPr="00882ACB">
        <w:rPr>
          <w:rFonts w:ascii="Arial" w:hAnsi="Arial" w:cs="Arial"/>
          <w:szCs w:val="24"/>
        </w:rPr>
        <w:t>n unblinded,</w:t>
      </w:r>
      <w:r w:rsidRPr="00882ACB">
        <w:rPr>
          <w:rFonts w:ascii="Arial" w:hAnsi="Arial" w:cs="Arial"/>
          <w:szCs w:val="24"/>
        </w:rPr>
        <w:t xml:space="preserve"> </w:t>
      </w:r>
      <w:proofErr w:type="spellStart"/>
      <w:r w:rsidRPr="00882ACB">
        <w:rPr>
          <w:rFonts w:ascii="Arial" w:hAnsi="Arial" w:cs="Arial"/>
          <w:szCs w:val="24"/>
        </w:rPr>
        <w:t>m</w:t>
      </w:r>
      <w:r w:rsidR="00806579" w:rsidRPr="00882ACB">
        <w:rPr>
          <w:rFonts w:ascii="Arial" w:hAnsi="Arial" w:cs="Arial"/>
          <w:szCs w:val="24"/>
        </w:rPr>
        <w:t>ulticente</w:t>
      </w:r>
      <w:r w:rsidR="00A26BC4" w:rsidRPr="00882ACB">
        <w:rPr>
          <w:rFonts w:ascii="Arial" w:hAnsi="Arial" w:cs="Arial"/>
          <w:szCs w:val="24"/>
        </w:rPr>
        <w:t>r</w:t>
      </w:r>
      <w:proofErr w:type="spellEnd"/>
      <w:r w:rsidR="00806579" w:rsidRPr="00882ACB">
        <w:rPr>
          <w:rFonts w:ascii="Arial" w:hAnsi="Arial" w:cs="Arial"/>
          <w:szCs w:val="24"/>
        </w:rPr>
        <w:t>, p</w:t>
      </w:r>
      <w:r w:rsidR="005027B7" w:rsidRPr="00882ACB">
        <w:rPr>
          <w:rFonts w:ascii="Arial" w:hAnsi="Arial" w:cs="Arial"/>
          <w:szCs w:val="24"/>
        </w:rPr>
        <w:t>ragmatic, two-</w:t>
      </w:r>
      <w:r w:rsidR="00542C0E" w:rsidRPr="00882ACB">
        <w:rPr>
          <w:rFonts w:ascii="Arial" w:hAnsi="Arial" w:cs="Arial"/>
          <w:szCs w:val="24"/>
        </w:rPr>
        <w:t>arm, randomized</w:t>
      </w:r>
      <w:r w:rsidR="005027B7" w:rsidRPr="00882ACB">
        <w:rPr>
          <w:rFonts w:ascii="Arial" w:hAnsi="Arial" w:cs="Arial"/>
          <w:szCs w:val="24"/>
        </w:rPr>
        <w:t xml:space="preserve"> controlled non-inferiority trial compar</w:t>
      </w:r>
      <w:r w:rsidR="00D65EC5" w:rsidRPr="00882ACB">
        <w:rPr>
          <w:rFonts w:ascii="Arial" w:hAnsi="Arial" w:cs="Arial"/>
          <w:szCs w:val="24"/>
        </w:rPr>
        <w:t>ing</w:t>
      </w:r>
      <w:r w:rsidR="005027B7" w:rsidRPr="00882ACB">
        <w:rPr>
          <w:rFonts w:ascii="Arial" w:hAnsi="Arial" w:cs="Arial"/>
          <w:szCs w:val="24"/>
        </w:rPr>
        <w:t xml:space="preserve"> collagenase injection </w:t>
      </w:r>
      <w:r w:rsidR="00A11F74" w:rsidRPr="00882ACB">
        <w:rPr>
          <w:rFonts w:ascii="Arial" w:hAnsi="Arial" w:cs="Arial"/>
          <w:szCs w:val="24"/>
        </w:rPr>
        <w:t>to</w:t>
      </w:r>
      <w:r w:rsidR="005027B7" w:rsidRPr="00882ACB">
        <w:rPr>
          <w:rFonts w:ascii="Arial" w:hAnsi="Arial" w:cs="Arial"/>
          <w:szCs w:val="24"/>
        </w:rPr>
        <w:t xml:space="preserve"> </w:t>
      </w:r>
      <w:r w:rsidR="00CB2FEC" w:rsidRPr="00882ACB">
        <w:rPr>
          <w:rFonts w:ascii="Arial" w:hAnsi="Arial" w:cs="Arial"/>
          <w:szCs w:val="24"/>
        </w:rPr>
        <w:t>limited fasciectomy</w:t>
      </w:r>
      <w:r w:rsidR="00C73E05" w:rsidRPr="00882ACB">
        <w:rPr>
          <w:rFonts w:ascii="Arial" w:hAnsi="Arial" w:cs="Arial"/>
          <w:szCs w:val="24"/>
        </w:rPr>
        <w:t xml:space="preserve"> </w:t>
      </w:r>
      <w:r w:rsidR="00BE45B2" w:rsidRPr="00882ACB">
        <w:rPr>
          <w:rFonts w:ascii="Arial" w:hAnsi="Arial" w:cs="Arial"/>
          <w:szCs w:val="24"/>
        </w:rPr>
        <w:t xml:space="preserve">in persons </w:t>
      </w:r>
      <w:r w:rsidR="0080059C" w:rsidRPr="00882ACB">
        <w:rPr>
          <w:rFonts w:ascii="Arial" w:hAnsi="Arial" w:cs="Arial"/>
          <w:szCs w:val="24"/>
        </w:rPr>
        <w:t xml:space="preserve">with moderate </w:t>
      </w:r>
      <w:r w:rsidR="00BE45B2" w:rsidRPr="00882ACB">
        <w:rPr>
          <w:rFonts w:ascii="Arial" w:hAnsi="Arial" w:cs="Arial"/>
          <w:szCs w:val="24"/>
        </w:rPr>
        <w:t>Dupuytren’s contracture.</w:t>
      </w:r>
      <w:r w:rsidR="0080059C" w:rsidRPr="00882ACB">
        <w:rPr>
          <w:rFonts w:ascii="Arial" w:hAnsi="Arial" w:cs="Arial"/>
          <w:szCs w:val="24"/>
        </w:rPr>
        <w:t xml:space="preserve"> </w:t>
      </w:r>
      <w:r w:rsidR="005027B7" w:rsidRPr="00882ACB">
        <w:rPr>
          <w:rFonts w:ascii="Arial" w:hAnsi="Arial" w:cs="Arial"/>
          <w:szCs w:val="24"/>
        </w:rPr>
        <w:t xml:space="preserve">The primary outcome </w:t>
      </w:r>
      <w:r w:rsidR="00E2001E" w:rsidRPr="00882ACB">
        <w:rPr>
          <w:rFonts w:ascii="Arial" w:hAnsi="Arial" w:cs="Arial"/>
          <w:szCs w:val="24"/>
        </w:rPr>
        <w:t>was</w:t>
      </w:r>
      <w:r w:rsidR="00856D2B" w:rsidRPr="00882ACB">
        <w:rPr>
          <w:rFonts w:ascii="Arial" w:hAnsi="Arial" w:cs="Arial"/>
          <w:szCs w:val="24"/>
        </w:rPr>
        <w:t xml:space="preserve"> </w:t>
      </w:r>
      <w:r w:rsidR="005027B7" w:rsidRPr="00882ACB">
        <w:rPr>
          <w:rFonts w:ascii="Arial" w:hAnsi="Arial" w:cs="Arial"/>
          <w:szCs w:val="24"/>
        </w:rPr>
        <w:t xml:space="preserve">the </w:t>
      </w:r>
      <w:r w:rsidR="002B31CB" w:rsidRPr="00882ACB">
        <w:rPr>
          <w:rFonts w:ascii="Arial" w:hAnsi="Arial" w:cs="Arial"/>
          <w:szCs w:val="24"/>
        </w:rPr>
        <w:t xml:space="preserve">score on the </w:t>
      </w:r>
      <w:r w:rsidR="005027B7" w:rsidRPr="00882ACB">
        <w:rPr>
          <w:rFonts w:ascii="Arial" w:hAnsi="Arial" w:cs="Arial"/>
          <w:szCs w:val="24"/>
        </w:rPr>
        <w:t xml:space="preserve">Patient Evaluation Measure </w:t>
      </w:r>
      <w:r w:rsidR="00E04CAA" w:rsidRPr="00882ACB">
        <w:rPr>
          <w:rFonts w:ascii="Arial" w:hAnsi="Arial" w:cs="Arial"/>
          <w:szCs w:val="24"/>
        </w:rPr>
        <w:t xml:space="preserve">Hand Health Questionnaire </w:t>
      </w:r>
      <w:r w:rsidR="00565280" w:rsidRPr="00882ACB">
        <w:rPr>
          <w:rFonts w:ascii="Arial" w:hAnsi="Arial" w:cs="Arial"/>
        </w:rPr>
        <w:t>(range 0 to 100, higher scores indicating worse outcome)</w:t>
      </w:r>
      <w:r w:rsidR="00577055" w:rsidRPr="00882ACB">
        <w:rPr>
          <w:rFonts w:ascii="Arial" w:hAnsi="Arial" w:cs="Arial"/>
        </w:rPr>
        <w:t xml:space="preserve"> </w:t>
      </w:r>
      <w:r w:rsidR="005027B7" w:rsidRPr="00882ACB">
        <w:rPr>
          <w:rFonts w:ascii="Arial" w:hAnsi="Arial" w:cs="Arial"/>
          <w:szCs w:val="24"/>
        </w:rPr>
        <w:t xml:space="preserve">1-year </w:t>
      </w:r>
      <w:r w:rsidR="00967D0F" w:rsidRPr="00882ACB">
        <w:rPr>
          <w:rFonts w:ascii="Arial" w:hAnsi="Arial" w:cs="Arial"/>
          <w:szCs w:val="24"/>
        </w:rPr>
        <w:t>post-</w:t>
      </w:r>
      <w:r w:rsidR="005027B7" w:rsidRPr="00882ACB">
        <w:rPr>
          <w:rFonts w:ascii="Arial" w:hAnsi="Arial" w:cs="Arial"/>
          <w:szCs w:val="24"/>
        </w:rPr>
        <w:t>treatment</w:t>
      </w:r>
      <w:r w:rsidR="00806579" w:rsidRPr="00882ACB">
        <w:rPr>
          <w:rFonts w:ascii="Arial" w:hAnsi="Arial" w:cs="Arial"/>
          <w:szCs w:val="24"/>
        </w:rPr>
        <w:t xml:space="preserve">. The </w:t>
      </w:r>
      <w:r w:rsidR="007E0D3C" w:rsidRPr="00882ACB">
        <w:rPr>
          <w:rFonts w:ascii="Arial" w:hAnsi="Arial" w:cs="Arial"/>
          <w:szCs w:val="24"/>
        </w:rPr>
        <w:t xml:space="preserve">pre-specified </w:t>
      </w:r>
      <w:r w:rsidR="00806579" w:rsidRPr="00882ACB">
        <w:rPr>
          <w:rFonts w:ascii="Arial" w:hAnsi="Arial" w:cs="Arial"/>
          <w:szCs w:val="24"/>
        </w:rPr>
        <w:t>non-inferior</w:t>
      </w:r>
      <w:r w:rsidR="007E0D3C" w:rsidRPr="00882ACB">
        <w:rPr>
          <w:rFonts w:ascii="Arial" w:hAnsi="Arial" w:cs="Arial"/>
          <w:szCs w:val="24"/>
        </w:rPr>
        <w:t>ity margin was 6 points</w:t>
      </w:r>
      <w:r w:rsidR="005027B7" w:rsidRPr="00882ACB">
        <w:rPr>
          <w:rFonts w:ascii="Arial" w:hAnsi="Arial" w:cs="Arial"/>
          <w:szCs w:val="24"/>
        </w:rPr>
        <w:t xml:space="preserve">. </w:t>
      </w:r>
    </w:p>
    <w:p w14:paraId="42E031A9" w14:textId="77777777" w:rsidR="00435124" w:rsidRPr="00882ACB" w:rsidRDefault="005027B7" w:rsidP="005027B7">
      <w:pPr>
        <w:rPr>
          <w:rFonts w:ascii="Arial" w:hAnsi="Arial" w:cs="Arial"/>
          <w:szCs w:val="24"/>
        </w:rPr>
      </w:pPr>
      <w:r w:rsidRPr="00882ACB">
        <w:rPr>
          <w:rFonts w:ascii="Arial" w:hAnsi="Arial" w:cs="Arial"/>
          <w:szCs w:val="24"/>
        </w:rPr>
        <w:t>Results</w:t>
      </w:r>
    </w:p>
    <w:p w14:paraId="61DD549F" w14:textId="4A9AA6E8" w:rsidR="002E1FA0" w:rsidRPr="00882ACB" w:rsidRDefault="005027B7" w:rsidP="005027B7">
      <w:pPr>
        <w:rPr>
          <w:rFonts w:ascii="Arial" w:hAnsi="Arial" w:cs="Arial"/>
          <w:szCs w:val="24"/>
        </w:rPr>
      </w:pPr>
      <w:r w:rsidRPr="00882ACB">
        <w:rPr>
          <w:rFonts w:ascii="Arial" w:hAnsi="Arial" w:cs="Arial"/>
          <w:szCs w:val="24"/>
        </w:rPr>
        <w:t xml:space="preserve">672 participants were </w:t>
      </w:r>
      <w:r w:rsidR="007E0D3C" w:rsidRPr="00882ACB">
        <w:rPr>
          <w:rFonts w:ascii="Arial" w:hAnsi="Arial" w:cs="Arial"/>
          <w:szCs w:val="24"/>
        </w:rPr>
        <w:t>randomi</w:t>
      </w:r>
      <w:r w:rsidR="00F5510B" w:rsidRPr="00882ACB">
        <w:rPr>
          <w:rFonts w:ascii="Arial" w:hAnsi="Arial" w:cs="Arial"/>
          <w:szCs w:val="24"/>
        </w:rPr>
        <w:t>z</w:t>
      </w:r>
      <w:r w:rsidR="007E0D3C" w:rsidRPr="00882ACB">
        <w:rPr>
          <w:rFonts w:ascii="Arial" w:hAnsi="Arial" w:cs="Arial"/>
          <w:szCs w:val="24"/>
        </w:rPr>
        <w:t xml:space="preserve">ed </w:t>
      </w:r>
      <w:r w:rsidRPr="00882ACB">
        <w:rPr>
          <w:rFonts w:ascii="Arial" w:hAnsi="Arial" w:cs="Arial"/>
          <w:szCs w:val="24"/>
        </w:rPr>
        <w:t>(n=336 per group)</w:t>
      </w:r>
      <w:r w:rsidR="002E1FA0" w:rsidRPr="00882ACB">
        <w:rPr>
          <w:rFonts w:ascii="Arial" w:hAnsi="Arial" w:cs="Arial"/>
          <w:szCs w:val="24"/>
        </w:rPr>
        <w:t>.</w:t>
      </w:r>
      <w:r w:rsidRPr="00882ACB">
        <w:rPr>
          <w:rFonts w:ascii="Arial" w:hAnsi="Arial" w:cs="Arial"/>
          <w:szCs w:val="24"/>
        </w:rPr>
        <w:t xml:space="preserve"> </w:t>
      </w:r>
      <w:r w:rsidR="00932CD1" w:rsidRPr="00882ACB">
        <w:rPr>
          <w:rFonts w:ascii="Arial" w:hAnsi="Arial" w:cs="Arial"/>
          <w:szCs w:val="24"/>
        </w:rPr>
        <w:t>P</w:t>
      </w:r>
      <w:r w:rsidRPr="00882ACB">
        <w:rPr>
          <w:rFonts w:ascii="Arial" w:hAnsi="Arial" w:cs="Arial"/>
          <w:szCs w:val="24"/>
        </w:rPr>
        <w:t>rimary analysis</w:t>
      </w:r>
      <w:r w:rsidR="00E1625D" w:rsidRPr="00882ACB">
        <w:rPr>
          <w:rFonts w:ascii="Arial" w:hAnsi="Arial" w:cs="Arial"/>
          <w:szCs w:val="24"/>
        </w:rPr>
        <w:t xml:space="preserve"> included 599 </w:t>
      </w:r>
      <w:r w:rsidRPr="00882ACB">
        <w:rPr>
          <w:rFonts w:ascii="Arial" w:hAnsi="Arial" w:cs="Arial"/>
          <w:szCs w:val="24"/>
        </w:rPr>
        <w:t>(314 collagenase</w:t>
      </w:r>
      <w:r w:rsidR="00A249E9">
        <w:rPr>
          <w:rFonts w:ascii="Arial" w:hAnsi="Arial" w:cs="Arial"/>
          <w:szCs w:val="24"/>
        </w:rPr>
        <w:t xml:space="preserve">; </w:t>
      </w:r>
      <w:r w:rsidR="00A249E9" w:rsidRPr="00882ACB">
        <w:rPr>
          <w:rFonts w:ascii="Arial" w:hAnsi="Arial" w:cs="Arial"/>
          <w:szCs w:val="24"/>
        </w:rPr>
        <w:t>285 limited fasciectomy</w:t>
      </w:r>
      <w:r w:rsidRPr="00882ACB">
        <w:rPr>
          <w:rFonts w:ascii="Arial" w:hAnsi="Arial" w:cs="Arial"/>
          <w:szCs w:val="24"/>
        </w:rPr>
        <w:t xml:space="preserve">). </w:t>
      </w:r>
    </w:p>
    <w:p w14:paraId="63998F98" w14:textId="5E1E06A3" w:rsidR="005027B7" w:rsidRPr="00882ACB" w:rsidRDefault="005027B7" w:rsidP="005027B7">
      <w:pPr>
        <w:rPr>
          <w:rFonts w:ascii="Arial" w:hAnsi="Arial" w:cs="Arial"/>
          <w:szCs w:val="24"/>
        </w:rPr>
      </w:pPr>
      <w:r w:rsidRPr="00882ACB">
        <w:rPr>
          <w:rFonts w:ascii="Arial" w:hAnsi="Arial" w:cs="Arial"/>
          <w:szCs w:val="24"/>
        </w:rPr>
        <w:t>At 1-year</w:t>
      </w:r>
      <w:r w:rsidR="00842803" w:rsidRPr="00882ACB">
        <w:rPr>
          <w:rFonts w:ascii="Arial" w:hAnsi="Arial" w:cs="Arial"/>
          <w:szCs w:val="24"/>
        </w:rPr>
        <w:t>,</w:t>
      </w:r>
      <w:r w:rsidRPr="00882ACB">
        <w:rPr>
          <w:rFonts w:ascii="Arial" w:hAnsi="Arial" w:cs="Arial"/>
          <w:szCs w:val="24"/>
        </w:rPr>
        <w:t xml:space="preserve"> </w:t>
      </w:r>
      <w:r w:rsidR="00652671" w:rsidRPr="00882ACB">
        <w:rPr>
          <w:rFonts w:ascii="Arial" w:hAnsi="Arial" w:cs="Arial"/>
          <w:szCs w:val="24"/>
        </w:rPr>
        <w:t xml:space="preserve">the </w:t>
      </w:r>
      <w:r w:rsidR="002B31CB" w:rsidRPr="00882ACB">
        <w:rPr>
          <w:rFonts w:ascii="Arial" w:hAnsi="Arial" w:cs="Arial"/>
          <w:szCs w:val="24"/>
        </w:rPr>
        <w:t xml:space="preserve">mean </w:t>
      </w:r>
      <w:r w:rsidR="00BE45B2" w:rsidRPr="00882ACB">
        <w:rPr>
          <w:rFonts w:ascii="Arial" w:hAnsi="Arial" w:cs="Arial"/>
          <w:szCs w:val="24"/>
        </w:rPr>
        <w:t xml:space="preserve">score on the </w:t>
      </w:r>
      <w:r w:rsidR="002B31CB" w:rsidRPr="00882ACB">
        <w:rPr>
          <w:rFonts w:ascii="Arial" w:hAnsi="Arial" w:cs="Arial"/>
          <w:szCs w:val="24"/>
        </w:rPr>
        <w:t>Hand Health questionnaire w</w:t>
      </w:r>
      <w:r w:rsidR="00652671" w:rsidRPr="00882ACB">
        <w:rPr>
          <w:rFonts w:ascii="Arial" w:hAnsi="Arial" w:cs="Arial"/>
          <w:szCs w:val="24"/>
        </w:rPr>
        <w:t xml:space="preserve">as </w:t>
      </w:r>
      <w:r w:rsidR="002B31CB" w:rsidRPr="00882ACB">
        <w:rPr>
          <w:rFonts w:ascii="Arial" w:hAnsi="Arial" w:cs="Arial"/>
          <w:szCs w:val="24"/>
        </w:rPr>
        <w:t>17.8 in the c</w:t>
      </w:r>
      <w:r w:rsidR="009D233E" w:rsidRPr="00882ACB">
        <w:rPr>
          <w:rFonts w:ascii="Arial" w:hAnsi="Arial" w:cs="Arial"/>
          <w:szCs w:val="24"/>
        </w:rPr>
        <w:t xml:space="preserve">ollagenase </w:t>
      </w:r>
      <w:r w:rsidR="002B31CB" w:rsidRPr="00882ACB">
        <w:rPr>
          <w:rFonts w:ascii="Arial" w:hAnsi="Arial" w:cs="Arial"/>
          <w:szCs w:val="24"/>
        </w:rPr>
        <w:t>group</w:t>
      </w:r>
      <w:r w:rsidR="00F11A51" w:rsidRPr="00882ACB">
        <w:rPr>
          <w:rFonts w:ascii="Arial" w:hAnsi="Arial" w:cs="Arial"/>
          <w:szCs w:val="24"/>
        </w:rPr>
        <w:t xml:space="preserve"> (n = 284)</w:t>
      </w:r>
      <w:r w:rsidR="002B31CB" w:rsidRPr="00882ACB">
        <w:rPr>
          <w:rFonts w:ascii="Arial" w:hAnsi="Arial" w:cs="Arial"/>
          <w:szCs w:val="24"/>
        </w:rPr>
        <w:t xml:space="preserve"> and 11.9 in the </w:t>
      </w:r>
      <w:r w:rsidR="00CB2FEC" w:rsidRPr="00882ACB">
        <w:rPr>
          <w:rFonts w:ascii="Arial" w:hAnsi="Arial" w:cs="Arial"/>
          <w:szCs w:val="24"/>
        </w:rPr>
        <w:t>limited fasciectomy</w:t>
      </w:r>
      <w:r w:rsidR="009D233E" w:rsidRPr="00882ACB">
        <w:rPr>
          <w:rFonts w:ascii="Arial" w:hAnsi="Arial" w:cs="Arial"/>
          <w:szCs w:val="24"/>
        </w:rPr>
        <w:t xml:space="preserve"> </w:t>
      </w:r>
      <w:r w:rsidR="002B31CB" w:rsidRPr="00882ACB">
        <w:rPr>
          <w:rFonts w:ascii="Arial" w:hAnsi="Arial" w:cs="Arial"/>
          <w:szCs w:val="24"/>
        </w:rPr>
        <w:t>group</w:t>
      </w:r>
      <w:r w:rsidR="00F11A51" w:rsidRPr="00882ACB">
        <w:rPr>
          <w:rFonts w:ascii="Arial" w:hAnsi="Arial" w:cs="Arial"/>
          <w:szCs w:val="24"/>
        </w:rPr>
        <w:t xml:space="preserve"> (n = 250); </w:t>
      </w:r>
      <w:r w:rsidR="002B31CB" w:rsidRPr="00882ACB">
        <w:rPr>
          <w:rFonts w:ascii="Arial" w:hAnsi="Arial" w:cs="Arial"/>
          <w:szCs w:val="24"/>
        </w:rPr>
        <w:t>between group</w:t>
      </w:r>
      <w:r w:rsidR="009D233E" w:rsidRPr="00882ACB">
        <w:rPr>
          <w:rFonts w:ascii="Arial" w:hAnsi="Arial" w:cs="Arial"/>
          <w:szCs w:val="24"/>
        </w:rPr>
        <w:t xml:space="preserve"> </w:t>
      </w:r>
      <w:r w:rsidRPr="00882ACB">
        <w:rPr>
          <w:rFonts w:ascii="Arial" w:hAnsi="Arial" w:cs="Arial"/>
          <w:szCs w:val="24"/>
        </w:rPr>
        <w:t xml:space="preserve">difference </w:t>
      </w:r>
      <w:r w:rsidR="009D233E" w:rsidRPr="00882ACB">
        <w:rPr>
          <w:rFonts w:ascii="Arial" w:hAnsi="Arial" w:cs="Arial"/>
          <w:szCs w:val="24"/>
        </w:rPr>
        <w:t xml:space="preserve">= </w:t>
      </w:r>
      <w:r w:rsidRPr="00882ACB">
        <w:rPr>
          <w:rFonts w:ascii="Arial" w:hAnsi="Arial" w:cs="Arial"/>
          <w:szCs w:val="24"/>
        </w:rPr>
        <w:t>5.9 (95%CI: 3.1</w:t>
      </w:r>
      <w:r w:rsidR="00577055" w:rsidRPr="00882ACB">
        <w:rPr>
          <w:rFonts w:ascii="Arial" w:hAnsi="Arial" w:cs="Arial"/>
          <w:szCs w:val="24"/>
        </w:rPr>
        <w:t xml:space="preserve"> </w:t>
      </w:r>
      <w:r w:rsidR="00D505E9" w:rsidRPr="00882ACB">
        <w:rPr>
          <w:rFonts w:ascii="Arial" w:hAnsi="Arial" w:cs="Arial"/>
          <w:szCs w:val="24"/>
        </w:rPr>
        <w:t xml:space="preserve">to </w:t>
      </w:r>
      <w:r w:rsidRPr="00882ACB">
        <w:rPr>
          <w:rFonts w:ascii="Arial" w:hAnsi="Arial" w:cs="Arial"/>
          <w:szCs w:val="24"/>
        </w:rPr>
        <w:t>8.</w:t>
      </w:r>
      <w:r w:rsidR="00652671" w:rsidRPr="00882ACB">
        <w:rPr>
          <w:rFonts w:ascii="Arial" w:hAnsi="Arial" w:cs="Arial"/>
          <w:szCs w:val="24"/>
        </w:rPr>
        <w:t>8</w:t>
      </w:r>
      <w:r w:rsidR="007E0D3C" w:rsidRPr="00882ACB">
        <w:rPr>
          <w:rFonts w:ascii="Arial" w:hAnsi="Arial" w:cs="Arial"/>
          <w:szCs w:val="24"/>
        </w:rPr>
        <w:t xml:space="preserve">, </w:t>
      </w:r>
      <w:r w:rsidR="00C47455">
        <w:rPr>
          <w:rFonts w:ascii="Arial" w:hAnsi="Arial" w:cs="Arial"/>
          <w:szCs w:val="24"/>
        </w:rPr>
        <w:t xml:space="preserve">one sided </w:t>
      </w:r>
      <w:r w:rsidR="007E0D3C" w:rsidRPr="00882ACB">
        <w:rPr>
          <w:rFonts w:ascii="Arial" w:hAnsi="Arial" w:cs="Arial"/>
          <w:szCs w:val="24"/>
        </w:rPr>
        <w:t>p</w:t>
      </w:r>
      <w:r w:rsidR="00C47455">
        <w:rPr>
          <w:rFonts w:ascii="Arial" w:hAnsi="Arial" w:cs="Arial"/>
          <w:szCs w:val="24"/>
        </w:rPr>
        <w:t xml:space="preserve"> value for non-inferiority </w:t>
      </w:r>
      <w:r w:rsidR="00FB2743" w:rsidRPr="00882ACB">
        <w:rPr>
          <w:rFonts w:ascii="Arial" w:hAnsi="Arial" w:cs="Arial"/>
          <w:szCs w:val="24"/>
        </w:rPr>
        <w:t>0.49</w:t>
      </w:r>
      <w:r w:rsidRPr="00882ACB">
        <w:rPr>
          <w:rFonts w:ascii="Arial" w:hAnsi="Arial" w:cs="Arial"/>
          <w:szCs w:val="24"/>
        </w:rPr>
        <w:t>)</w:t>
      </w:r>
      <w:r w:rsidR="00F11A51" w:rsidRPr="00882ACB">
        <w:rPr>
          <w:rFonts w:ascii="Arial" w:hAnsi="Arial" w:cs="Arial"/>
          <w:szCs w:val="24"/>
        </w:rPr>
        <w:t>.</w:t>
      </w:r>
      <w:r w:rsidR="00652671" w:rsidRPr="00882ACB">
        <w:rPr>
          <w:rFonts w:ascii="Arial" w:hAnsi="Arial" w:cs="Arial"/>
          <w:szCs w:val="24"/>
        </w:rPr>
        <w:t xml:space="preserve"> </w:t>
      </w:r>
      <w:r w:rsidR="000A7C7F" w:rsidRPr="00882ACB">
        <w:rPr>
          <w:rFonts w:ascii="Arial" w:hAnsi="Arial" w:cs="Arial"/>
          <w:szCs w:val="24"/>
        </w:rPr>
        <w:t>A</w:t>
      </w:r>
      <w:r w:rsidR="00652671" w:rsidRPr="00882ACB">
        <w:rPr>
          <w:rFonts w:ascii="Arial" w:hAnsi="Arial" w:cs="Arial"/>
          <w:szCs w:val="24"/>
        </w:rPr>
        <w:t>t 2 years</w:t>
      </w:r>
      <w:r w:rsidR="00E208DB" w:rsidRPr="00882ACB">
        <w:rPr>
          <w:rFonts w:ascii="Arial" w:hAnsi="Arial" w:cs="Arial"/>
          <w:szCs w:val="24"/>
        </w:rPr>
        <w:t xml:space="preserve"> (n = </w:t>
      </w:r>
      <w:r w:rsidR="00A249E9">
        <w:rPr>
          <w:rFonts w:ascii="Arial" w:hAnsi="Arial" w:cs="Arial"/>
          <w:szCs w:val="24"/>
        </w:rPr>
        <w:t>229</w:t>
      </w:r>
      <w:r w:rsidR="00A249E9" w:rsidRPr="00882ACB">
        <w:rPr>
          <w:rFonts w:ascii="Arial" w:hAnsi="Arial" w:cs="Arial"/>
          <w:szCs w:val="24"/>
        </w:rPr>
        <w:t xml:space="preserve"> </w:t>
      </w:r>
      <w:r w:rsidR="00E208DB" w:rsidRPr="00882ACB">
        <w:rPr>
          <w:rFonts w:ascii="Arial" w:hAnsi="Arial" w:cs="Arial"/>
          <w:szCs w:val="24"/>
        </w:rPr>
        <w:t xml:space="preserve">and n = </w:t>
      </w:r>
      <w:r w:rsidR="00A249E9">
        <w:rPr>
          <w:rFonts w:ascii="Arial" w:hAnsi="Arial" w:cs="Arial"/>
          <w:szCs w:val="24"/>
        </w:rPr>
        <w:t xml:space="preserve">197 </w:t>
      </w:r>
      <w:r w:rsidR="00E208DB" w:rsidRPr="00882ACB">
        <w:rPr>
          <w:rFonts w:ascii="Arial" w:hAnsi="Arial" w:cs="Arial"/>
          <w:szCs w:val="24"/>
        </w:rPr>
        <w:t xml:space="preserve">in </w:t>
      </w:r>
      <w:r w:rsidR="00A249E9">
        <w:rPr>
          <w:rFonts w:ascii="Arial" w:hAnsi="Arial" w:cs="Arial"/>
          <w:szCs w:val="24"/>
        </w:rPr>
        <w:t>col</w:t>
      </w:r>
      <w:r w:rsidR="00E208DB" w:rsidRPr="00882ACB">
        <w:rPr>
          <w:rFonts w:ascii="Arial" w:hAnsi="Arial" w:cs="Arial"/>
          <w:szCs w:val="24"/>
        </w:rPr>
        <w:t xml:space="preserve">lagenase </w:t>
      </w:r>
      <w:r w:rsidR="00A249E9">
        <w:rPr>
          <w:rFonts w:ascii="Arial" w:hAnsi="Arial" w:cs="Arial"/>
          <w:szCs w:val="24"/>
        </w:rPr>
        <w:t xml:space="preserve">and limited fasciectomy </w:t>
      </w:r>
      <w:r w:rsidR="00E208DB" w:rsidRPr="00882ACB">
        <w:rPr>
          <w:rFonts w:ascii="Arial" w:hAnsi="Arial" w:cs="Arial"/>
          <w:szCs w:val="24"/>
        </w:rPr>
        <w:t>groups</w:t>
      </w:r>
      <w:r w:rsidR="00A249E9">
        <w:rPr>
          <w:rFonts w:ascii="Arial" w:hAnsi="Arial" w:cs="Arial"/>
          <w:szCs w:val="24"/>
        </w:rPr>
        <w:t xml:space="preserve">, </w:t>
      </w:r>
      <w:r w:rsidR="00E208DB" w:rsidRPr="00882ACB">
        <w:rPr>
          <w:rFonts w:ascii="Arial" w:hAnsi="Arial" w:cs="Arial"/>
          <w:szCs w:val="24"/>
        </w:rPr>
        <w:t>respectively)</w:t>
      </w:r>
      <w:r w:rsidR="00652671" w:rsidRPr="00882ACB">
        <w:rPr>
          <w:rFonts w:ascii="Arial" w:hAnsi="Arial" w:cs="Arial"/>
          <w:szCs w:val="24"/>
        </w:rPr>
        <w:t xml:space="preserve">, the between group difference was </w:t>
      </w:r>
      <w:r w:rsidRPr="00882ACB">
        <w:rPr>
          <w:rFonts w:ascii="Arial" w:hAnsi="Arial" w:cs="Arial"/>
          <w:szCs w:val="24"/>
        </w:rPr>
        <w:t>7.</w:t>
      </w:r>
      <w:r w:rsidR="00652671" w:rsidRPr="00882ACB">
        <w:rPr>
          <w:rFonts w:ascii="Arial" w:hAnsi="Arial" w:cs="Arial"/>
          <w:szCs w:val="24"/>
        </w:rPr>
        <w:t xml:space="preserve">2 </w:t>
      </w:r>
      <w:r w:rsidRPr="00882ACB">
        <w:rPr>
          <w:rFonts w:ascii="Arial" w:hAnsi="Arial" w:cs="Arial"/>
          <w:szCs w:val="24"/>
        </w:rPr>
        <w:t>(95%CI: 4.</w:t>
      </w:r>
      <w:r w:rsidR="00652671" w:rsidRPr="00882ACB">
        <w:rPr>
          <w:rFonts w:ascii="Arial" w:hAnsi="Arial" w:cs="Arial"/>
          <w:szCs w:val="24"/>
        </w:rPr>
        <w:t>2</w:t>
      </w:r>
      <w:r w:rsidR="00573301">
        <w:rPr>
          <w:rFonts w:ascii="Arial" w:hAnsi="Arial" w:cs="Arial"/>
          <w:szCs w:val="24"/>
        </w:rPr>
        <w:t xml:space="preserve"> </w:t>
      </w:r>
      <w:r w:rsidR="00D505E9" w:rsidRPr="00882ACB">
        <w:rPr>
          <w:rFonts w:ascii="Arial" w:hAnsi="Arial" w:cs="Arial"/>
          <w:szCs w:val="24"/>
        </w:rPr>
        <w:t>to</w:t>
      </w:r>
      <w:r w:rsidR="00BC71BF" w:rsidRPr="00882ACB">
        <w:rPr>
          <w:rFonts w:ascii="Arial" w:hAnsi="Arial" w:cs="Arial"/>
          <w:szCs w:val="24"/>
        </w:rPr>
        <w:t xml:space="preserve"> </w:t>
      </w:r>
      <w:r w:rsidRPr="00882ACB">
        <w:rPr>
          <w:rFonts w:ascii="Arial" w:hAnsi="Arial" w:cs="Arial"/>
          <w:szCs w:val="24"/>
        </w:rPr>
        <w:t>10.</w:t>
      </w:r>
      <w:r w:rsidR="00652671" w:rsidRPr="00882ACB">
        <w:rPr>
          <w:rFonts w:ascii="Arial" w:hAnsi="Arial" w:cs="Arial"/>
          <w:szCs w:val="24"/>
        </w:rPr>
        <w:t>9</w:t>
      </w:r>
      <w:r w:rsidRPr="00882ACB">
        <w:rPr>
          <w:rFonts w:ascii="Arial" w:hAnsi="Arial" w:cs="Arial"/>
          <w:szCs w:val="24"/>
        </w:rPr>
        <w:t xml:space="preserve">). </w:t>
      </w:r>
      <w:r w:rsidR="00AC2389">
        <w:rPr>
          <w:rFonts w:ascii="Arial" w:hAnsi="Arial" w:cs="Arial"/>
          <w:szCs w:val="24"/>
        </w:rPr>
        <w:t>The percentage of persons with moderate to  severe complications was 2% in the collagenase group and 5% in the</w:t>
      </w:r>
      <w:r w:rsidR="00652671" w:rsidRPr="00882ACB">
        <w:rPr>
          <w:rFonts w:ascii="Arial" w:hAnsi="Arial" w:cs="Arial"/>
          <w:szCs w:val="24"/>
        </w:rPr>
        <w:t xml:space="preserve"> limited </w:t>
      </w:r>
      <w:r w:rsidR="00CB2FEC" w:rsidRPr="00882ACB">
        <w:rPr>
          <w:rFonts w:ascii="Arial" w:hAnsi="Arial" w:cs="Arial"/>
          <w:szCs w:val="24"/>
        </w:rPr>
        <w:t xml:space="preserve">fasciectomy </w:t>
      </w:r>
      <w:r w:rsidR="00652671" w:rsidRPr="00882ACB">
        <w:rPr>
          <w:rFonts w:ascii="Arial" w:hAnsi="Arial" w:cs="Arial"/>
          <w:szCs w:val="24"/>
        </w:rPr>
        <w:t>group</w:t>
      </w:r>
      <w:r w:rsidRPr="00882ACB">
        <w:rPr>
          <w:rFonts w:ascii="Arial" w:hAnsi="Arial" w:cs="Arial"/>
          <w:szCs w:val="24"/>
        </w:rPr>
        <w:t xml:space="preserve">. </w:t>
      </w:r>
      <w:r w:rsidR="00652671" w:rsidRPr="00882ACB">
        <w:rPr>
          <w:rFonts w:ascii="Arial" w:hAnsi="Arial" w:cs="Arial"/>
          <w:szCs w:val="24"/>
        </w:rPr>
        <w:t>Recurrent c</w:t>
      </w:r>
      <w:r w:rsidR="00B54783" w:rsidRPr="00882ACB">
        <w:rPr>
          <w:rFonts w:ascii="Arial" w:hAnsi="Arial" w:cs="Arial"/>
          <w:szCs w:val="24"/>
        </w:rPr>
        <w:t>ontracture</w:t>
      </w:r>
      <w:r w:rsidRPr="00882ACB">
        <w:rPr>
          <w:rFonts w:ascii="Arial" w:hAnsi="Arial" w:cs="Arial"/>
          <w:szCs w:val="24"/>
        </w:rPr>
        <w:t xml:space="preserve"> </w:t>
      </w:r>
      <w:r w:rsidR="00652671" w:rsidRPr="00882ACB">
        <w:rPr>
          <w:rFonts w:ascii="Arial" w:hAnsi="Arial" w:cs="Arial"/>
          <w:szCs w:val="24"/>
        </w:rPr>
        <w:t xml:space="preserve">requiring </w:t>
      </w:r>
      <w:r w:rsidR="00652671" w:rsidRPr="00573301">
        <w:rPr>
          <w:rFonts w:ascii="Arial" w:hAnsi="Arial" w:cs="Arial"/>
          <w:szCs w:val="24"/>
        </w:rPr>
        <w:t xml:space="preserve">re-intervention </w:t>
      </w:r>
      <w:r w:rsidR="00902FD7">
        <w:rPr>
          <w:rFonts w:ascii="Arial" w:hAnsi="Arial" w:cs="Arial"/>
          <w:szCs w:val="24"/>
        </w:rPr>
        <w:t>occurred</w:t>
      </w:r>
      <w:r w:rsidR="00902FD7" w:rsidRPr="00573301">
        <w:rPr>
          <w:rFonts w:ascii="Arial" w:hAnsi="Arial" w:cs="Arial"/>
          <w:szCs w:val="24"/>
        </w:rPr>
        <w:t xml:space="preserve"> </w:t>
      </w:r>
      <w:r w:rsidR="00652671" w:rsidRPr="00573301">
        <w:rPr>
          <w:rFonts w:ascii="Arial" w:hAnsi="Arial" w:cs="Arial"/>
          <w:szCs w:val="24"/>
        </w:rPr>
        <w:t xml:space="preserve">in </w:t>
      </w:r>
      <w:r w:rsidR="00A249E9">
        <w:rPr>
          <w:rFonts w:ascii="Arial" w:hAnsi="Arial" w:cs="Arial"/>
          <w:szCs w:val="24"/>
        </w:rPr>
        <w:t xml:space="preserve">8% after collagenase versus </w:t>
      </w:r>
      <w:r w:rsidR="00E67FE1" w:rsidRPr="00573301">
        <w:rPr>
          <w:rFonts w:ascii="Arial" w:hAnsi="Arial" w:cs="Arial"/>
          <w:szCs w:val="24"/>
        </w:rPr>
        <w:t>1.7</w:t>
      </w:r>
      <w:r w:rsidR="00652671" w:rsidRPr="00573301">
        <w:rPr>
          <w:rFonts w:ascii="Arial" w:hAnsi="Arial" w:cs="Arial"/>
          <w:szCs w:val="24"/>
        </w:rPr>
        <w:t>%</w:t>
      </w:r>
      <w:r w:rsidR="00E67FE1" w:rsidRPr="00573301">
        <w:rPr>
          <w:rFonts w:ascii="Arial" w:hAnsi="Arial" w:cs="Arial"/>
          <w:szCs w:val="24"/>
        </w:rPr>
        <w:t xml:space="preserve"> </w:t>
      </w:r>
      <w:r w:rsidR="00B54783" w:rsidRPr="00573301">
        <w:rPr>
          <w:rFonts w:ascii="Arial" w:hAnsi="Arial" w:cs="Arial"/>
          <w:szCs w:val="24"/>
        </w:rPr>
        <w:t xml:space="preserve">after </w:t>
      </w:r>
      <w:r w:rsidR="00673A49" w:rsidRPr="00573301">
        <w:rPr>
          <w:rFonts w:ascii="Arial" w:hAnsi="Arial" w:cs="Arial"/>
          <w:szCs w:val="24"/>
        </w:rPr>
        <w:t>limited fasciectomy.</w:t>
      </w:r>
      <w:r w:rsidR="00652671" w:rsidRPr="00882ACB">
        <w:rPr>
          <w:rFonts w:ascii="Arial" w:hAnsi="Arial" w:cs="Arial"/>
          <w:szCs w:val="24"/>
        </w:rPr>
        <w:t xml:space="preserve"> </w:t>
      </w:r>
      <w:r w:rsidR="00B54783" w:rsidRPr="00882ACB">
        <w:rPr>
          <w:rFonts w:ascii="Arial" w:hAnsi="Arial" w:cs="Arial"/>
          <w:szCs w:val="24"/>
        </w:rPr>
        <w:t xml:space="preserve"> </w:t>
      </w:r>
      <w:r w:rsidR="00BC71BF" w:rsidRPr="00882ACB">
        <w:rPr>
          <w:rFonts w:ascii="Arial" w:hAnsi="Arial" w:cs="Arial"/>
          <w:szCs w:val="24"/>
        </w:rPr>
        <w:t xml:space="preserve"> </w:t>
      </w:r>
    </w:p>
    <w:p w14:paraId="1D4474A9" w14:textId="77777777" w:rsidR="00435124" w:rsidRPr="00882ACB" w:rsidRDefault="00435124" w:rsidP="005027B7">
      <w:pPr>
        <w:rPr>
          <w:rFonts w:ascii="Arial" w:hAnsi="Arial" w:cs="Arial"/>
          <w:szCs w:val="24"/>
        </w:rPr>
      </w:pPr>
      <w:r w:rsidRPr="00882ACB">
        <w:rPr>
          <w:rFonts w:ascii="Arial" w:hAnsi="Arial" w:cs="Arial"/>
          <w:szCs w:val="24"/>
        </w:rPr>
        <w:t>Conclusions</w:t>
      </w:r>
    </w:p>
    <w:p w14:paraId="1526A5AB" w14:textId="31E6AD4F" w:rsidR="005027B7" w:rsidRPr="00882ACB" w:rsidRDefault="00503BD2" w:rsidP="005027B7">
      <w:pPr>
        <w:rPr>
          <w:rFonts w:ascii="Arial" w:hAnsi="Arial" w:cs="Arial"/>
          <w:szCs w:val="24"/>
        </w:rPr>
      </w:pPr>
      <w:r w:rsidRPr="00882ACB">
        <w:rPr>
          <w:rFonts w:ascii="Arial" w:hAnsi="Arial" w:cs="Arial"/>
          <w:szCs w:val="24"/>
        </w:rPr>
        <w:t>C</w:t>
      </w:r>
      <w:r w:rsidR="005027B7" w:rsidRPr="00882ACB">
        <w:rPr>
          <w:rFonts w:ascii="Arial" w:hAnsi="Arial" w:cs="Arial"/>
          <w:szCs w:val="24"/>
        </w:rPr>
        <w:t xml:space="preserve">ollagenase </w:t>
      </w:r>
      <w:r w:rsidR="00652671" w:rsidRPr="00882ACB">
        <w:rPr>
          <w:rFonts w:ascii="Arial" w:hAnsi="Arial" w:cs="Arial"/>
          <w:szCs w:val="24"/>
        </w:rPr>
        <w:t xml:space="preserve">was not </w:t>
      </w:r>
      <w:r w:rsidR="001363BD" w:rsidRPr="00882ACB">
        <w:rPr>
          <w:rFonts w:ascii="Arial" w:hAnsi="Arial" w:cs="Arial"/>
          <w:szCs w:val="24"/>
        </w:rPr>
        <w:t xml:space="preserve">non-inferior to </w:t>
      </w:r>
      <w:r w:rsidR="00CB2FEC" w:rsidRPr="00882ACB">
        <w:rPr>
          <w:rFonts w:ascii="Arial" w:hAnsi="Arial" w:cs="Arial"/>
          <w:szCs w:val="24"/>
        </w:rPr>
        <w:t>limited fasciectomy</w:t>
      </w:r>
      <w:r w:rsidR="001363BD" w:rsidRPr="00882ACB">
        <w:rPr>
          <w:rFonts w:ascii="Arial" w:hAnsi="Arial" w:cs="Arial"/>
          <w:szCs w:val="24"/>
        </w:rPr>
        <w:t xml:space="preserve"> with </w:t>
      </w:r>
      <w:r w:rsidR="00652671" w:rsidRPr="00882ACB">
        <w:rPr>
          <w:rFonts w:ascii="Arial" w:hAnsi="Arial" w:cs="Arial"/>
          <w:szCs w:val="24"/>
        </w:rPr>
        <w:t xml:space="preserve">respect </w:t>
      </w:r>
      <w:r w:rsidR="001363BD" w:rsidRPr="00882ACB">
        <w:rPr>
          <w:rFonts w:ascii="Arial" w:hAnsi="Arial" w:cs="Arial"/>
          <w:szCs w:val="24"/>
        </w:rPr>
        <w:t xml:space="preserve">to </w:t>
      </w:r>
      <w:r w:rsidR="00CB2FEC" w:rsidRPr="00882ACB">
        <w:rPr>
          <w:rFonts w:ascii="Arial" w:hAnsi="Arial" w:cs="Arial"/>
          <w:szCs w:val="24"/>
        </w:rPr>
        <w:t>the Patient Evaluation Measure</w:t>
      </w:r>
      <w:r w:rsidR="001363BD" w:rsidRPr="00882ACB">
        <w:rPr>
          <w:rFonts w:ascii="Arial" w:hAnsi="Arial" w:cs="Arial"/>
          <w:szCs w:val="24"/>
        </w:rPr>
        <w:t xml:space="preserve"> hand health questionnaire score at </w:t>
      </w:r>
      <w:r w:rsidR="009F07ED" w:rsidRPr="00882ACB">
        <w:rPr>
          <w:rFonts w:ascii="Arial" w:hAnsi="Arial" w:cs="Arial"/>
          <w:szCs w:val="24"/>
        </w:rPr>
        <w:t>1-year</w:t>
      </w:r>
      <w:r w:rsidR="001363BD" w:rsidRPr="00882ACB">
        <w:rPr>
          <w:rFonts w:ascii="Arial" w:hAnsi="Arial" w:cs="Arial"/>
          <w:szCs w:val="24"/>
        </w:rPr>
        <w:t xml:space="preserve"> post-treatment</w:t>
      </w:r>
      <w:r w:rsidR="005027B7" w:rsidRPr="00882ACB">
        <w:rPr>
          <w:rFonts w:ascii="Arial" w:hAnsi="Arial" w:cs="Arial"/>
          <w:szCs w:val="24"/>
        </w:rPr>
        <w:t xml:space="preserve">. </w:t>
      </w:r>
    </w:p>
    <w:bookmarkEnd w:id="2"/>
    <w:p w14:paraId="06AE56BC" w14:textId="0C974CC9" w:rsidR="005027B7" w:rsidRPr="00882ACB" w:rsidRDefault="00CD1E80" w:rsidP="005027B7">
      <w:pPr>
        <w:rPr>
          <w:rFonts w:ascii="Arial" w:hAnsi="Arial" w:cs="Arial"/>
          <w:szCs w:val="24"/>
        </w:rPr>
      </w:pPr>
      <w:r w:rsidRPr="00882ACB">
        <w:rPr>
          <w:rFonts w:ascii="Arial" w:hAnsi="Arial" w:cs="Arial"/>
          <w:szCs w:val="24"/>
        </w:rPr>
        <w:t xml:space="preserve">(Supported by NIHR Health Technology Assessment programme; </w:t>
      </w:r>
      <w:r w:rsidR="005027B7" w:rsidRPr="00882ACB">
        <w:rPr>
          <w:rFonts w:ascii="Arial" w:hAnsi="Arial" w:cs="Arial"/>
          <w:szCs w:val="24"/>
        </w:rPr>
        <w:t>Trial registration: ISRCTN18254597</w:t>
      </w:r>
      <w:r w:rsidRPr="00882ACB">
        <w:rPr>
          <w:rFonts w:ascii="Arial" w:hAnsi="Arial" w:cs="Arial"/>
          <w:szCs w:val="24"/>
        </w:rPr>
        <w:t>)</w:t>
      </w:r>
    </w:p>
    <w:p w14:paraId="546A50CD" w14:textId="77777777" w:rsidR="008F5DDD" w:rsidRDefault="008F5DDD">
      <w:pPr>
        <w:rPr>
          <w:rFonts w:ascii="Arial" w:hAnsi="Arial" w:cs="Arial"/>
          <w:szCs w:val="24"/>
        </w:rPr>
      </w:pPr>
    </w:p>
    <w:p w14:paraId="13A5B4E9" w14:textId="30EECE3A" w:rsidR="002D53DB" w:rsidRPr="00882ACB" w:rsidRDefault="002D53DB">
      <w:pPr>
        <w:rPr>
          <w:rFonts w:ascii="Arial" w:hAnsi="Arial" w:cs="Arial"/>
          <w:b/>
          <w:bCs/>
        </w:rPr>
      </w:pPr>
      <w:r w:rsidRPr="00882ACB">
        <w:rPr>
          <w:rFonts w:ascii="Arial" w:hAnsi="Arial" w:cs="Arial"/>
          <w:b/>
          <w:bCs/>
        </w:rPr>
        <w:lastRenderedPageBreak/>
        <w:t>Introduction</w:t>
      </w:r>
    </w:p>
    <w:p w14:paraId="595C2EF4" w14:textId="1C1488A7" w:rsidR="00C77635" w:rsidRPr="00882ACB" w:rsidRDefault="00C77635">
      <w:pPr>
        <w:rPr>
          <w:rFonts w:ascii="Arial" w:hAnsi="Arial" w:cs="Arial"/>
        </w:rPr>
      </w:pPr>
      <w:r w:rsidRPr="00882ACB">
        <w:rPr>
          <w:rFonts w:ascii="Arial" w:hAnsi="Arial" w:cs="Arial"/>
        </w:rPr>
        <w:t xml:space="preserve">Dupuytren’s </w:t>
      </w:r>
      <w:r w:rsidR="00C73E05" w:rsidRPr="00882ACB">
        <w:rPr>
          <w:rFonts w:ascii="Arial" w:hAnsi="Arial" w:cs="Arial"/>
        </w:rPr>
        <w:t>c</w:t>
      </w:r>
      <w:r w:rsidRPr="00882ACB">
        <w:rPr>
          <w:rFonts w:ascii="Arial" w:hAnsi="Arial" w:cs="Arial"/>
        </w:rPr>
        <w:t xml:space="preserve">ontracture is caused by a fibro-proliferative disease which forms </w:t>
      </w:r>
      <w:r w:rsidR="00B36C9A" w:rsidRPr="00882ACB">
        <w:rPr>
          <w:rFonts w:ascii="Arial" w:hAnsi="Arial" w:cs="Arial"/>
        </w:rPr>
        <w:t>fibrous</w:t>
      </w:r>
      <w:r w:rsidRPr="00882ACB">
        <w:rPr>
          <w:rFonts w:ascii="Arial" w:hAnsi="Arial" w:cs="Arial"/>
        </w:rPr>
        <w:t xml:space="preserve"> cords in the hand.</w:t>
      </w:r>
      <w:r w:rsidR="00573FFA" w:rsidRPr="00882ACB">
        <w:rPr>
          <w:rFonts w:ascii="Arial" w:hAnsi="Arial" w:cs="Arial"/>
          <w:vertAlign w:val="superscript"/>
        </w:rPr>
        <w:t>1-3</w:t>
      </w:r>
      <w:r w:rsidRPr="00882ACB">
        <w:rPr>
          <w:rFonts w:ascii="Arial" w:hAnsi="Arial" w:cs="Arial"/>
        </w:rPr>
        <w:t xml:space="preserve"> </w:t>
      </w:r>
      <w:r w:rsidR="004B1986" w:rsidRPr="00882ACB">
        <w:rPr>
          <w:rFonts w:ascii="Arial" w:hAnsi="Arial" w:cs="Arial"/>
        </w:rPr>
        <w:t>T</w:t>
      </w:r>
      <w:r w:rsidRPr="00882ACB">
        <w:rPr>
          <w:rFonts w:ascii="Arial" w:hAnsi="Arial" w:cs="Arial"/>
        </w:rPr>
        <w:t>hese cords</w:t>
      </w:r>
      <w:r w:rsidR="004B1986" w:rsidRPr="00882ACB">
        <w:rPr>
          <w:rFonts w:ascii="Arial" w:hAnsi="Arial" w:cs="Arial"/>
        </w:rPr>
        <w:t xml:space="preserve"> progressively</w:t>
      </w:r>
      <w:r w:rsidRPr="00882ACB">
        <w:rPr>
          <w:rFonts w:ascii="Arial" w:hAnsi="Arial" w:cs="Arial"/>
        </w:rPr>
        <w:t xml:space="preserve"> shorten</w:t>
      </w:r>
      <w:r w:rsidR="003258AF" w:rsidRPr="00882ACB">
        <w:rPr>
          <w:rFonts w:ascii="Arial" w:hAnsi="Arial" w:cs="Arial"/>
        </w:rPr>
        <w:t>,</w:t>
      </w:r>
      <w:r w:rsidRPr="00882ACB">
        <w:rPr>
          <w:rFonts w:ascii="Arial" w:hAnsi="Arial" w:cs="Arial"/>
        </w:rPr>
        <w:t xml:space="preserve"> pulling one or more fingers into a bent position and increasingly interfere with hand function</w:t>
      </w:r>
      <w:r w:rsidR="003D0CDF" w:rsidRPr="00882ACB">
        <w:rPr>
          <w:rFonts w:ascii="Arial" w:hAnsi="Arial" w:cs="Arial"/>
        </w:rPr>
        <w:t>,</w:t>
      </w:r>
      <w:r w:rsidR="00BE34CB" w:rsidRPr="00882ACB">
        <w:rPr>
          <w:rFonts w:ascii="Arial" w:hAnsi="Arial" w:cs="Arial"/>
        </w:rPr>
        <w:t xml:space="preserve"> potentially</w:t>
      </w:r>
      <w:r w:rsidRPr="00882ACB">
        <w:rPr>
          <w:rFonts w:ascii="Arial" w:hAnsi="Arial" w:cs="Arial"/>
        </w:rPr>
        <w:t xml:space="preserve"> impair</w:t>
      </w:r>
      <w:r w:rsidR="00BE34CB" w:rsidRPr="00882ACB">
        <w:rPr>
          <w:rFonts w:ascii="Arial" w:hAnsi="Arial" w:cs="Arial"/>
        </w:rPr>
        <w:t>ing</w:t>
      </w:r>
      <w:r w:rsidRPr="00882ACB">
        <w:rPr>
          <w:rFonts w:ascii="Arial" w:hAnsi="Arial" w:cs="Arial"/>
        </w:rPr>
        <w:t xml:space="preserve"> quality of life. There is no cure for Dupuytren’s disease</w:t>
      </w:r>
      <w:r w:rsidR="00AC2D3E" w:rsidRPr="00882ACB">
        <w:rPr>
          <w:rFonts w:ascii="Arial" w:hAnsi="Arial" w:cs="Arial"/>
        </w:rPr>
        <w:t>,</w:t>
      </w:r>
      <w:r w:rsidRPr="00882ACB">
        <w:rPr>
          <w:rFonts w:ascii="Arial" w:hAnsi="Arial" w:cs="Arial"/>
        </w:rPr>
        <w:t xml:space="preserve"> and despite intervention, contractures </w:t>
      </w:r>
      <w:r w:rsidR="00B36C9A" w:rsidRPr="00882ACB">
        <w:rPr>
          <w:rFonts w:ascii="Arial" w:hAnsi="Arial" w:cs="Arial"/>
        </w:rPr>
        <w:t xml:space="preserve">may </w:t>
      </w:r>
      <w:r w:rsidRPr="00882ACB">
        <w:rPr>
          <w:rFonts w:ascii="Arial" w:hAnsi="Arial" w:cs="Arial"/>
        </w:rPr>
        <w:t xml:space="preserve">recur and need further treatment. </w:t>
      </w:r>
    </w:p>
    <w:p w14:paraId="5DBCE27B" w14:textId="20A28D35" w:rsidR="00C77635" w:rsidRPr="00882ACB" w:rsidRDefault="00BC71BF">
      <w:pPr>
        <w:rPr>
          <w:rFonts w:ascii="Arial" w:hAnsi="Arial" w:cs="Arial"/>
        </w:rPr>
      </w:pPr>
      <w:r w:rsidRPr="00882ACB">
        <w:rPr>
          <w:rFonts w:ascii="Arial" w:hAnsi="Arial" w:cs="Arial"/>
        </w:rPr>
        <w:t xml:space="preserve">In Western countries, </w:t>
      </w:r>
      <w:r w:rsidR="00DC6254" w:rsidRPr="00882ACB">
        <w:rPr>
          <w:rFonts w:ascii="Arial" w:hAnsi="Arial" w:cs="Arial"/>
        </w:rPr>
        <w:t xml:space="preserve">the prevalence of </w:t>
      </w:r>
      <w:r w:rsidRPr="00882ACB">
        <w:rPr>
          <w:rFonts w:ascii="Arial" w:hAnsi="Arial" w:cs="Arial"/>
        </w:rPr>
        <w:t xml:space="preserve">Dupuytren’s </w:t>
      </w:r>
      <w:r w:rsidR="00DC6254" w:rsidRPr="00882ACB">
        <w:rPr>
          <w:rFonts w:ascii="Arial" w:hAnsi="Arial" w:cs="Arial"/>
        </w:rPr>
        <w:t>contracture</w:t>
      </w:r>
      <w:r w:rsidRPr="00882ACB">
        <w:rPr>
          <w:rFonts w:ascii="Arial" w:hAnsi="Arial" w:cs="Arial"/>
        </w:rPr>
        <w:t xml:space="preserve"> ranges from 0.6 to 31.6% with </w:t>
      </w:r>
      <w:r w:rsidR="00C73E05" w:rsidRPr="00882ACB">
        <w:rPr>
          <w:rFonts w:ascii="Arial" w:hAnsi="Arial" w:cs="Arial"/>
        </w:rPr>
        <w:t xml:space="preserve">higher </w:t>
      </w:r>
      <w:r w:rsidRPr="00882ACB">
        <w:rPr>
          <w:rFonts w:ascii="Arial" w:hAnsi="Arial" w:cs="Arial"/>
        </w:rPr>
        <w:t>prevalence</w:t>
      </w:r>
      <w:r w:rsidR="00C77635" w:rsidRPr="00882ACB">
        <w:rPr>
          <w:rFonts w:ascii="Arial" w:hAnsi="Arial" w:cs="Arial"/>
        </w:rPr>
        <w:t xml:space="preserve"> in </w:t>
      </w:r>
      <w:r w:rsidR="009179F4" w:rsidRPr="00882ACB">
        <w:rPr>
          <w:rFonts w:ascii="Arial" w:hAnsi="Arial" w:cs="Arial"/>
        </w:rPr>
        <w:t>men</w:t>
      </w:r>
      <w:r w:rsidR="00C77635" w:rsidRPr="00882ACB">
        <w:rPr>
          <w:rFonts w:ascii="Arial" w:hAnsi="Arial" w:cs="Arial"/>
        </w:rPr>
        <w:t xml:space="preserve">, </w:t>
      </w:r>
      <w:r w:rsidR="00C73E05" w:rsidRPr="00882ACB">
        <w:rPr>
          <w:rFonts w:ascii="Arial" w:hAnsi="Arial" w:cs="Arial"/>
        </w:rPr>
        <w:t xml:space="preserve">those </w:t>
      </w:r>
      <w:r w:rsidR="00C77635" w:rsidRPr="00882ACB">
        <w:rPr>
          <w:rFonts w:ascii="Arial" w:hAnsi="Arial" w:cs="Arial"/>
        </w:rPr>
        <w:t>over</w:t>
      </w:r>
      <w:r w:rsidR="00C73E05" w:rsidRPr="00882ACB">
        <w:rPr>
          <w:rFonts w:ascii="Arial" w:hAnsi="Arial" w:cs="Arial"/>
        </w:rPr>
        <w:t xml:space="preserve"> age </w:t>
      </w:r>
      <w:r w:rsidR="00C77635" w:rsidRPr="00882ACB">
        <w:rPr>
          <w:rFonts w:ascii="Arial" w:hAnsi="Arial" w:cs="Arial"/>
        </w:rPr>
        <w:t>50 years, and</w:t>
      </w:r>
      <w:r w:rsidR="00C73E05" w:rsidRPr="00882ACB">
        <w:rPr>
          <w:rFonts w:ascii="Arial" w:hAnsi="Arial" w:cs="Arial"/>
        </w:rPr>
        <w:t xml:space="preserve"> those </w:t>
      </w:r>
      <w:r w:rsidR="00C77635" w:rsidRPr="00882ACB">
        <w:rPr>
          <w:rFonts w:ascii="Arial" w:hAnsi="Arial" w:cs="Arial"/>
        </w:rPr>
        <w:t xml:space="preserve">of </w:t>
      </w:r>
      <w:r w:rsidR="00B51AB0" w:rsidRPr="00882ACB">
        <w:rPr>
          <w:rFonts w:ascii="Arial" w:hAnsi="Arial" w:cs="Arial"/>
        </w:rPr>
        <w:t xml:space="preserve">Northern </w:t>
      </w:r>
      <w:r w:rsidR="00C77635" w:rsidRPr="00882ACB">
        <w:rPr>
          <w:rFonts w:ascii="Arial" w:hAnsi="Arial" w:cs="Arial"/>
        </w:rPr>
        <w:t>European descent.</w:t>
      </w:r>
      <w:r w:rsidR="0081081A" w:rsidRPr="00882ACB">
        <w:rPr>
          <w:rFonts w:ascii="Arial" w:hAnsi="Arial" w:cs="Arial"/>
          <w:vertAlign w:val="superscript"/>
        </w:rPr>
        <w:t>4</w:t>
      </w:r>
      <w:r w:rsidR="00C77635" w:rsidRPr="00882ACB">
        <w:rPr>
          <w:rFonts w:ascii="Arial" w:hAnsi="Arial" w:cs="Arial"/>
        </w:rPr>
        <w:t xml:space="preserve"> Smoking and occupations that involve manual </w:t>
      </w:r>
      <w:proofErr w:type="spellStart"/>
      <w:r w:rsidR="001E4CB9" w:rsidRPr="00882ACB">
        <w:rPr>
          <w:rFonts w:ascii="Arial" w:hAnsi="Arial" w:cs="Arial"/>
        </w:rPr>
        <w:t>labor</w:t>
      </w:r>
      <w:proofErr w:type="spellEnd"/>
      <w:r w:rsidR="00C77635" w:rsidRPr="00882ACB">
        <w:rPr>
          <w:rFonts w:ascii="Arial" w:hAnsi="Arial" w:cs="Arial"/>
        </w:rPr>
        <w:t xml:space="preserve"> or forceful stretching of the fascia are associated with increased risk of developing </w:t>
      </w:r>
      <w:r w:rsidR="00CB2FEC" w:rsidRPr="00882ACB">
        <w:rPr>
          <w:rFonts w:ascii="Arial" w:hAnsi="Arial" w:cs="Arial"/>
        </w:rPr>
        <w:t xml:space="preserve">Dupuytren’s </w:t>
      </w:r>
      <w:r w:rsidR="00C73E05" w:rsidRPr="00882ACB">
        <w:rPr>
          <w:rFonts w:ascii="Arial" w:hAnsi="Arial" w:cs="Arial"/>
        </w:rPr>
        <w:t>c</w:t>
      </w:r>
      <w:r w:rsidR="00CB2FEC" w:rsidRPr="00882ACB">
        <w:rPr>
          <w:rFonts w:ascii="Arial" w:hAnsi="Arial" w:cs="Arial"/>
        </w:rPr>
        <w:t>ontracture</w:t>
      </w:r>
      <w:r w:rsidR="00C77635" w:rsidRPr="00882ACB">
        <w:rPr>
          <w:rFonts w:ascii="Arial" w:hAnsi="Arial" w:cs="Arial"/>
        </w:rPr>
        <w:t>.</w:t>
      </w:r>
      <w:r w:rsidR="0081081A" w:rsidRPr="00882ACB">
        <w:rPr>
          <w:rFonts w:ascii="Arial" w:hAnsi="Arial" w:cs="Arial"/>
          <w:vertAlign w:val="superscript"/>
        </w:rPr>
        <w:t>4</w:t>
      </w:r>
    </w:p>
    <w:p w14:paraId="75A4A65A" w14:textId="0493CDC0" w:rsidR="00C77635" w:rsidRPr="00882ACB" w:rsidRDefault="00C77635">
      <w:pPr>
        <w:rPr>
          <w:rFonts w:ascii="Arial" w:hAnsi="Arial" w:cs="Arial"/>
        </w:rPr>
      </w:pPr>
      <w:r w:rsidRPr="00882ACB">
        <w:rPr>
          <w:rFonts w:ascii="Arial" w:hAnsi="Arial" w:cs="Arial"/>
        </w:rPr>
        <w:t xml:space="preserve">Limited fasciectomy is the most frequently used method to correct </w:t>
      </w:r>
      <w:r w:rsidR="00CB2FEC" w:rsidRPr="00882ACB">
        <w:rPr>
          <w:rFonts w:ascii="Arial" w:hAnsi="Arial" w:cs="Arial"/>
        </w:rPr>
        <w:t xml:space="preserve">Dupuytren’s </w:t>
      </w:r>
      <w:r w:rsidR="00C9003A">
        <w:rPr>
          <w:rFonts w:ascii="Arial" w:hAnsi="Arial" w:cs="Arial"/>
        </w:rPr>
        <w:t>c</w:t>
      </w:r>
      <w:r w:rsidR="00CB2FEC" w:rsidRPr="00882ACB">
        <w:rPr>
          <w:rFonts w:ascii="Arial" w:hAnsi="Arial" w:cs="Arial"/>
        </w:rPr>
        <w:t xml:space="preserve">ontracture </w:t>
      </w:r>
      <w:r w:rsidRPr="00882ACB">
        <w:rPr>
          <w:rFonts w:ascii="Arial" w:hAnsi="Arial" w:cs="Arial"/>
        </w:rPr>
        <w:t>in Europe</w:t>
      </w:r>
      <w:r w:rsidR="00BF1535" w:rsidRPr="00882ACB">
        <w:rPr>
          <w:rFonts w:ascii="Arial" w:hAnsi="Arial" w:cs="Arial"/>
        </w:rPr>
        <w:t xml:space="preserve"> and the USA</w:t>
      </w:r>
      <w:r w:rsidRPr="00882ACB">
        <w:rPr>
          <w:rFonts w:ascii="Arial" w:hAnsi="Arial" w:cs="Arial"/>
        </w:rPr>
        <w:t>.</w:t>
      </w:r>
      <w:r w:rsidR="0081081A" w:rsidRPr="00882ACB">
        <w:rPr>
          <w:rFonts w:ascii="Arial" w:hAnsi="Arial" w:cs="Arial"/>
          <w:vertAlign w:val="superscript"/>
        </w:rPr>
        <w:t>5, 6</w:t>
      </w:r>
      <w:r w:rsidR="00124AB0" w:rsidRPr="00882ACB">
        <w:rPr>
          <w:rFonts w:ascii="Arial" w:hAnsi="Arial" w:cs="Arial"/>
          <w:vertAlign w:val="superscript"/>
        </w:rPr>
        <w:t>,</w:t>
      </w:r>
      <w:r w:rsidR="00E479E7" w:rsidRPr="00882ACB">
        <w:rPr>
          <w:rFonts w:ascii="Arial" w:hAnsi="Arial" w:cs="Arial"/>
        </w:rPr>
        <w:t xml:space="preserve"> </w:t>
      </w:r>
      <w:r w:rsidR="004C0A31" w:rsidRPr="00C9003A">
        <w:rPr>
          <w:rFonts w:ascii="Arial" w:hAnsi="Arial" w:cs="Arial"/>
          <w:noProof/>
          <w:vertAlign w:val="superscript"/>
        </w:rPr>
        <w:t>7</w:t>
      </w:r>
      <w:r w:rsidRPr="00882ACB">
        <w:rPr>
          <w:rFonts w:ascii="Arial" w:hAnsi="Arial" w:cs="Arial"/>
        </w:rPr>
        <w:t xml:space="preserve"> </w:t>
      </w:r>
      <w:r w:rsidR="008E3C7B" w:rsidRPr="00882ACB">
        <w:rPr>
          <w:rFonts w:ascii="Arial" w:hAnsi="Arial" w:cs="Arial"/>
        </w:rPr>
        <w:t>Another treatment involves injection of</w:t>
      </w:r>
      <w:r w:rsidR="008E3C7B">
        <w:rPr>
          <w:rFonts w:ascii="Arial" w:hAnsi="Arial" w:cs="Arial"/>
        </w:rPr>
        <w:t xml:space="preserve"> </w:t>
      </w:r>
      <w:r w:rsidR="008E3C7B" w:rsidRPr="00882ACB">
        <w:rPr>
          <w:rFonts w:ascii="Arial" w:hAnsi="Arial" w:cs="Arial"/>
        </w:rPr>
        <w:t>an enzyme</w:t>
      </w:r>
      <w:r w:rsidR="008E3C7B">
        <w:rPr>
          <w:rFonts w:ascii="Arial" w:hAnsi="Arial" w:cs="Arial"/>
        </w:rPr>
        <w:t>,</w:t>
      </w:r>
      <w:r w:rsidR="008E3C7B" w:rsidRPr="00882ACB">
        <w:rPr>
          <w:rFonts w:ascii="Arial" w:hAnsi="Arial" w:cs="Arial"/>
        </w:rPr>
        <w:t xml:space="preserve"> Collagenase clostridium histolyticum (Collagenase)</w:t>
      </w:r>
      <w:r w:rsidR="008E3C7B">
        <w:rPr>
          <w:rFonts w:ascii="Arial" w:hAnsi="Arial" w:cs="Arial"/>
        </w:rPr>
        <w:t>,</w:t>
      </w:r>
      <w:r w:rsidR="008E3C7B" w:rsidRPr="00882ACB">
        <w:rPr>
          <w:rFonts w:ascii="Arial" w:hAnsi="Arial" w:cs="Arial"/>
        </w:rPr>
        <w:t xml:space="preserve"> into the cord</w:t>
      </w:r>
      <w:r w:rsidR="004658AB">
        <w:rPr>
          <w:rFonts w:ascii="Arial" w:hAnsi="Arial" w:cs="Arial"/>
        </w:rPr>
        <w:t>,</w:t>
      </w:r>
      <w:r w:rsidR="008E3C7B">
        <w:rPr>
          <w:rFonts w:ascii="Arial" w:hAnsi="Arial" w:cs="Arial"/>
        </w:rPr>
        <w:t xml:space="preserve"> which </w:t>
      </w:r>
      <w:r w:rsidR="008E3C7B" w:rsidRPr="00882ACB">
        <w:rPr>
          <w:rFonts w:ascii="Arial" w:hAnsi="Arial" w:cs="Arial"/>
        </w:rPr>
        <w:t xml:space="preserve">weakens </w:t>
      </w:r>
      <w:r w:rsidR="008E3C7B">
        <w:rPr>
          <w:rFonts w:ascii="Arial" w:hAnsi="Arial" w:cs="Arial"/>
        </w:rPr>
        <w:t>it</w:t>
      </w:r>
      <w:r w:rsidR="008E3C7B" w:rsidRPr="00882ACB">
        <w:rPr>
          <w:rFonts w:ascii="Arial" w:hAnsi="Arial" w:cs="Arial"/>
        </w:rPr>
        <w:t xml:space="preserve"> by breaking down collagen</w:t>
      </w:r>
      <w:r w:rsidR="004658AB">
        <w:rPr>
          <w:rFonts w:ascii="Arial" w:hAnsi="Arial" w:cs="Arial"/>
        </w:rPr>
        <w:t>; a few days after injection,</w:t>
      </w:r>
      <w:r w:rsidR="008E3C7B" w:rsidRPr="00882ACB">
        <w:rPr>
          <w:rFonts w:ascii="Arial" w:hAnsi="Arial" w:cs="Arial"/>
        </w:rPr>
        <w:t xml:space="preserve"> the weakened cord </w:t>
      </w:r>
      <w:r w:rsidR="008E3C7B">
        <w:rPr>
          <w:rFonts w:ascii="Arial" w:hAnsi="Arial" w:cs="Arial"/>
        </w:rPr>
        <w:t>is</w:t>
      </w:r>
      <w:r w:rsidR="008E3C7B" w:rsidRPr="00882ACB">
        <w:rPr>
          <w:rFonts w:ascii="Arial" w:hAnsi="Arial" w:cs="Arial"/>
        </w:rPr>
        <w:t xml:space="preserve"> manipulat</w:t>
      </w:r>
      <w:r w:rsidR="008E3C7B">
        <w:rPr>
          <w:rFonts w:ascii="Arial" w:hAnsi="Arial" w:cs="Arial"/>
        </w:rPr>
        <w:t>ed</w:t>
      </w:r>
      <w:r w:rsidR="008E3C7B" w:rsidRPr="00882ACB">
        <w:rPr>
          <w:rFonts w:ascii="Arial" w:hAnsi="Arial" w:cs="Arial"/>
        </w:rPr>
        <w:t xml:space="preserve"> to</w:t>
      </w:r>
      <w:r w:rsidR="008E3C7B">
        <w:rPr>
          <w:rFonts w:ascii="Arial" w:hAnsi="Arial" w:cs="Arial"/>
        </w:rPr>
        <w:t xml:space="preserve"> rupture it and</w:t>
      </w:r>
      <w:r w:rsidR="008E3C7B" w:rsidRPr="00882ACB">
        <w:rPr>
          <w:rFonts w:ascii="Arial" w:hAnsi="Arial" w:cs="Arial"/>
        </w:rPr>
        <w:t xml:space="preserve"> straighten the contracted joint. Collagenase was shown to be better than placebo </w:t>
      </w:r>
      <w:r w:rsidR="008E3C7B">
        <w:rPr>
          <w:rFonts w:ascii="Arial" w:hAnsi="Arial" w:cs="Arial"/>
        </w:rPr>
        <w:t xml:space="preserve">in correcting the contracture </w:t>
      </w:r>
      <w:r w:rsidR="008E3C7B" w:rsidRPr="00882ACB">
        <w:rPr>
          <w:rFonts w:ascii="Arial" w:hAnsi="Arial" w:cs="Arial"/>
        </w:rPr>
        <w:t>to 0-5 degrees at 30 days.</w:t>
      </w:r>
      <w:r w:rsidR="008E3C7B" w:rsidRPr="00C9003A">
        <w:rPr>
          <w:rFonts w:ascii="Arial" w:hAnsi="Arial" w:cs="Arial"/>
          <w:noProof/>
          <w:vertAlign w:val="superscript"/>
        </w:rPr>
        <w:t>8</w:t>
      </w:r>
      <w:r w:rsidR="008E3C7B">
        <w:rPr>
          <w:rFonts w:ascii="Arial" w:hAnsi="Arial" w:cs="Arial"/>
        </w:rPr>
        <w:t xml:space="preserve"> </w:t>
      </w:r>
      <w:r w:rsidRPr="00882ACB">
        <w:rPr>
          <w:rFonts w:ascii="Arial" w:hAnsi="Arial" w:cs="Arial"/>
        </w:rPr>
        <w:t xml:space="preserve"> The benefit</w:t>
      </w:r>
      <w:r w:rsidR="001B182B" w:rsidRPr="00882ACB">
        <w:rPr>
          <w:rFonts w:ascii="Arial" w:hAnsi="Arial" w:cs="Arial"/>
        </w:rPr>
        <w:t xml:space="preserve">s </w:t>
      </w:r>
      <w:r w:rsidRPr="00882ACB">
        <w:rPr>
          <w:rFonts w:ascii="Arial" w:hAnsi="Arial" w:cs="Arial"/>
        </w:rPr>
        <w:t>of collagenase treatment</w:t>
      </w:r>
      <w:r w:rsidR="001B182B" w:rsidRPr="00882ACB">
        <w:rPr>
          <w:rFonts w:ascii="Arial" w:hAnsi="Arial" w:cs="Arial"/>
        </w:rPr>
        <w:t xml:space="preserve"> </w:t>
      </w:r>
      <w:r w:rsidR="005429EE" w:rsidRPr="00882ACB">
        <w:rPr>
          <w:rFonts w:ascii="Arial" w:hAnsi="Arial" w:cs="Arial"/>
        </w:rPr>
        <w:t xml:space="preserve">include its administration in a clinic instead of an operating </w:t>
      </w:r>
      <w:r w:rsidR="00324A26" w:rsidRPr="00882ACB">
        <w:rPr>
          <w:rFonts w:ascii="Arial" w:hAnsi="Arial" w:cs="Arial"/>
        </w:rPr>
        <w:t>room</w:t>
      </w:r>
      <w:r w:rsidR="005429EE" w:rsidRPr="00882ACB">
        <w:rPr>
          <w:rFonts w:ascii="Arial" w:hAnsi="Arial" w:cs="Arial"/>
        </w:rPr>
        <w:t xml:space="preserve">, potential cost </w:t>
      </w:r>
      <w:r w:rsidR="008A285F" w:rsidRPr="00882ACB">
        <w:rPr>
          <w:rFonts w:ascii="Arial" w:hAnsi="Arial" w:cs="Arial"/>
        </w:rPr>
        <w:t>saving</w:t>
      </w:r>
      <w:r w:rsidR="005429EE" w:rsidRPr="00882ACB">
        <w:rPr>
          <w:rFonts w:ascii="Arial" w:hAnsi="Arial" w:cs="Arial"/>
        </w:rPr>
        <w:t>s</w:t>
      </w:r>
      <w:r w:rsidR="004C0A31" w:rsidRPr="00C9003A">
        <w:rPr>
          <w:rFonts w:ascii="Arial" w:hAnsi="Arial" w:cs="Arial"/>
          <w:noProof/>
          <w:vertAlign w:val="superscript"/>
        </w:rPr>
        <w:t>8-10</w:t>
      </w:r>
      <w:r w:rsidRPr="00882ACB">
        <w:rPr>
          <w:rFonts w:ascii="Arial" w:hAnsi="Arial" w:cs="Arial"/>
        </w:rPr>
        <w:t xml:space="preserve"> and </w:t>
      </w:r>
      <w:r w:rsidR="001B182B" w:rsidRPr="00882ACB">
        <w:rPr>
          <w:rFonts w:ascii="Arial" w:hAnsi="Arial" w:cs="Arial"/>
        </w:rPr>
        <w:t>a quicker</w:t>
      </w:r>
      <w:r w:rsidR="007A6C39" w:rsidRPr="00882ACB">
        <w:rPr>
          <w:rFonts w:ascii="Arial" w:hAnsi="Arial" w:cs="Arial"/>
        </w:rPr>
        <w:t xml:space="preserve"> </w:t>
      </w:r>
      <w:r w:rsidRPr="00882ACB">
        <w:rPr>
          <w:rFonts w:ascii="Arial" w:hAnsi="Arial" w:cs="Arial"/>
        </w:rPr>
        <w:t xml:space="preserve">recovery time </w:t>
      </w:r>
      <w:r w:rsidR="004658AB">
        <w:rPr>
          <w:rFonts w:ascii="Arial" w:hAnsi="Arial" w:cs="Arial"/>
        </w:rPr>
        <w:t xml:space="preserve">compared </w:t>
      </w:r>
      <w:r w:rsidR="00902FD7">
        <w:rPr>
          <w:rFonts w:ascii="Arial" w:hAnsi="Arial" w:cs="Arial"/>
        </w:rPr>
        <w:t>to</w:t>
      </w:r>
      <w:r w:rsidR="00902FD7" w:rsidRPr="00882ACB">
        <w:rPr>
          <w:rFonts w:ascii="Arial" w:hAnsi="Arial" w:cs="Arial"/>
        </w:rPr>
        <w:t xml:space="preserve"> </w:t>
      </w:r>
      <w:r w:rsidR="00CB2FEC" w:rsidRPr="00882ACB">
        <w:rPr>
          <w:rFonts w:ascii="Arial" w:hAnsi="Arial" w:cs="Arial"/>
        </w:rPr>
        <w:t>limited fasciectomy</w:t>
      </w:r>
      <w:r w:rsidRPr="00882ACB">
        <w:rPr>
          <w:rFonts w:ascii="Arial" w:hAnsi="Arial" w:cs="Arial"/>
        </w:rPr>
        <w:t xml:space="preserve">. </w:t>
      </w:r>
    </w:p>
    <w:p w14:paraId="287DE09F" w14:textId="252E5CA8" w:rsidR="00BE0F5F" w:rsidRPr="00882ACB" w:rsidRDefault="00C77635" w:rsidP="005027B7">
      <w:pPr>
        <w:rPr>
          <w:rFonts w:ascii="Arial" w:hAnsi="Arial" w:cs="Arial"/>
          <w:szCs w:val="24"/>
        </w:rPr>
      </w:pPr>
      <w:r w:rsidRPr="00882ACB">
        <w:rPr>
          <w:rFonts w:ascii="Arial" w:hAnsi="Arial" w:cs="Arial"/>
        </w:rPr>
        <w:t>The DISC trial</w:t>
      </w:r>
      <w:r w:rsidR="00060DB0" w:rsidRPr="00882ACB">
        <w:rPr>
          <w:rFonts w:ascii="Arial" w:hAnsi="Arial" w:cs="Arial"/>
        </w:rPr>
        <w:t xml:space="preserve"> </w:t>
      </w:r>
      <w:r w:rsidRPr="00882ACB">
        <w:rPr>
          <w:rFonts w:ascii="Arial" w:hAnsi="Arial" w:cs="Arial"/>
        </w:rPr>
        <w:t>compared</w:t>
      </w:r>
      <w:r w:rsidR="00324A26" w:rsidRPr="00882ACB">
        <w:rPr>
          <w:rFonts w:ascii="Arial" w:hAnsi="Arial" w:cs="Arial"/>
        </w:rPr>
        <w:t xml:space="preserve"> the effectiveness and safety of </w:t>
      </w:r>
      <w:r w:rsidRPr="00882ACB">
        <w:rPr>
          <w:rFonts w:ascii="Arial" w:hAnsi="Arial" w:cs="Arial"/>
        </w:rPr>
        <w:t xml:space="preserve">collagenase injection </w:t>
      </w:r>
      <w:r w:rsidR="008E3C7B">
        <w:rPr>
          <w:rFonts w:ascii="Arial" w:hAnsi="Arial" w:cs="Arial"/>
        </w:rPr>
        <w:t>to</w:t>
      </w:r>
      <w:r w:rsidRPr="00882ACB">
        <w:rPr>
          <w:rFonts w:ascii="Arial" w:hAnsi="Arial" w:cs="Arial"/>
        </w:rPr>
        <w:t xml:space="preserve"> limited fasciectomy to treat</w:t>
      </w:r>
      <w:r w:rsidR="004C1548" w:rsidRPr="00882ACB">
        <w:rPr>
          <w:rFonts w:ascii="Arial" w:hAnsi="Arial" w:cs="Arial"/>
        </w:rPr>
        <w:t xml:space="preserve"> moderate</w:t>
      </w:r>
      <w:r w:rsidRPr="00882ACB">
        <w:rPr>
          <w:rFonts w:ascii="Arial" w:hAnsi="Arial" w:cs="Arial"/>
        </w:rPr>
        <w:t xml:space="preserve"> </w:t>
      </w:r>
      <w:r w:rsidR="00CB2FEC" w:rsidRPr="00882ACB">
        <w:rPr>
          <w:rFonts w:ascii="Arial" w:hAnsi="Arial" w:cs="Arial"/>
        </w:rPr>
        <w:t xml:space="preserve">Dupuytren’s Contracture </w:t>
      </w:r>
      <w:r w:rsidRPr="00882ACB">
        <w:rPr>
          <w:rFonts w:ascii="Arial" w:hAnsi="Arial" w:cs="Arial"/>
        </w:rPr>
        <w:t>of ≥30°.</w:t>
      </w:r>
      <w:r w:rsidR="004C0A31" w:rsidRPr="00C9003A">
        <w:rPr>
          <w:rFonts w:ascii="Arial" w:hAnsi="Arial" w:cs="Arial"/>
          <w:noProof/>
          <w:vertAlign w:val="superscript"/>
        </w:rPr>
        <w:t>11</w:t>
      </w:r>
    </w:p>
    <w:p w14:paraId="2A94734A" w14:textId="31C0A180" w:rsidR="00197968" w:rsidRPr="00882ACB" w:rsidRDefault="00BE0F5F" w:rsidP="005027B7">
      <w:pPr>
        <w:rPr>
          <w:rFonts w:ascii="Arial" w:hAnsi="Arial" w:cs="Arial"/>
          <w:b/>
          <w:szCs w:val="24"/>
        </w:rPr>
      </w:pPr>
      <w:r w:rsidRPr="00882ACB">
        <w:rPr>
          <w:rFonts w:ascii="Arial" w:hAnsi="Arial" w:cs="Arial"/>
          <w:b/>
          <w:szCs w:val="24"/>
        </w:rPr>
        <w:t>Methods</w:t>
      </w:r>
    </w:p>
    <w:p w14:paraId="460080B2" w14:textId="718D48B0" w:rsidR="00BE0F5F" w:rsidRPr="00882ACB" w:rsidRDefault="002D53DB" w:rsidP="005027B7">
      <w:pPr>
        <w:rPr>
          <w:rFonts w:ascii="Arial" w:hAnsi="Arial" w:cs="Arial"/>
          <w:szCs w:val="24"/>
          <w:u w:val="single"/>
        </w:rPr>
      </w:pPr>
      <w:r w:rsidRPr="00882ACB">
        <w:rPr>
          <w:rFonts w:ascii="Arial" w:hAnsi="Arial" w:cs="Arial"/>
          <w:szCs w:val="24"/>
          <w:u w:val="single"/>
        </w:rPr>
        <w:t>Trial Design and Oversight</w:t>
      </w:r>
    </w:p>
    <w:p w14:paraId="69CFBD1A" w14:textId="54888DF0" w:rsidR="00696E91" w:rsidRPr="00882ACB" w:rsidRDefault="0042526F">
      <w:pPr>
        <w:rPr>
          <w:rFonts w:ascii="Arial" w:hAnsi="Arial" w:cs="Arial"/>
          <w:shd w:val="clear" w:color="auto" w:fill="FFFFFF"/>
        </w:rPr>
      </w:pPr>
      <w:r w:rsidRPr="00882ACB">
        <w:rPr>
          <w:rFonts w:ascii="Arial" w:hAnsi="Arial" w:cs="Arial"/>
          <w:shd w:val="clear" w:color="auto" w:fill="FFFFFF"/>
        </w:rPr>
        <w:t>The DISC trial</w:t>
      </w:r>
      <w:r w:rsidR="00BB1CEB" w:rsidRPr="00882ACB">
        <w:rPr>
          <w:rFonts w:ascii="Arial" w:hAnsi="Arial" w:cs="Arial"/>
          <w:shd w:val="clear" w:color="auto" w:fill="FFFFFF"/>
        </w:rPr>
        <w:t xml:space="preserve"> was a </w:t>
      </w:r>
      <w:proofErr w:type="spellStart"/>
      <w:r w:rsidR="007F5547" w:rsidRPr="00882ACB">
        <w:rPr>
          <w:rFonts w:ascii="Arial" w:hAnsi="Arial" w:cs="Arial"/>
          <w:shd w:val="clear" w:color="auto" w:fill="FFFFFF"/>
        </w:rPr>
        <w:t>multicente</w:t>
      </w:r>
      <w:r w:rsidR="007B623D" w:rsidRPr="00882ACB">
        <w:rPr>
          <w:rFonts w:ascii="Arial" w:hAnsi="Arial" w:cs="Arial"/>
          <w:shd w:val="clear" w:color="auto" w:fill="FFFFFF"/>
        </w:rPr>
        <w:t>r</w:t>
      </w:r>
      <w:proofErr w:type="spellEnd"/>
      <w:r w:rsidR="00BB1CEB" w:rsidRPr="00882ACB">
        <w:rPr>
          <w:rFonts w:ascii="Arial" w:hAnsi="Arial" w:cs="Arial"/>
          <w:shd w:val="clear" w:color="auto" w:fill="FFFFFF"/>
        </w:rPr>
        <w:t xml:space="preserve">, </w:t>
      </w:r>
      <w:r w:rsidR="00CF64F7" w:rsidRPr="00882ACB">
        <w:rPr>
          <w:rFonts w:ascii="Arial" w:hAnsi="Arial" w:cs="Arial"/>
          <w:shd w:val="clear" w:color="auto" w:fill="FFFFFF"/>
        </w:rPr>
        <w:t xml:space="preserve">open-label, pragmatic, parallel two-arm </w:t>
      </w:r>
      <w:r w:rsidR="00F5510B" w:rsidRPr="00882ACB">
        <w:rPr>
          <w:rFonts w:ascii="Arial" w:hAnsi="Arial" w:cs="Arial"/>
          <w:shd w:val="clear" w:color="auto" w:fill="FFFFFF"/>
        </w:rPr>
        <w:t xml:space="preserve">randomized </w:t>
      </w:r>
      <w:r w:rsidR="00CF64F7" w:rsidRPr="00882ACB">
        <w:rPr>
          <w:rFonts w:ascii="Arial" w:hAnsi="Arial" w:cs="Arial"/>
          <w:shd w:val="clear" w:color="auto" w:fill="FFFFFF"/>
        </w:rPr>
        <w:t>controlled non-</w:t>
      </w:r>
      <w:r w:rsidR="00CF64F7" w:rsidRPr="00882ACB">
        <w:rPr>
          <w:rFonts w:ascii="Arial" w:hAnsi="Arial" w:cs="Arial"/>
          <w:szCs w:val="24"/>
        </w:rPr>
        <w:t>inferiority</w:t>
      </w:r>
      <w:r w:rsidR="00CF64F7" w:rsidRPr="00882ACB">
        <w:rPr>
          <w:rFonts w:ascii="Arial" w:hAnsi="Arial" w:cs="Arial"/>
          <w:shd w:val="clear" w:color="auto" w:fill="FFFFFF"/>
        </w:rPr>
        <w:t xml:space="preserve"> trial</w:t>
      </w:r>
      <w:r w:rsidR="00586A08" w:rsidRPr="00882ACB">
        <w:rPr>
          <w:rFonts w:ascii="Arial" w:hAnsi="Arial" w:cs="Arial"/>
          <w:shd w:val="clear" w:color="auto" w:fill="FFFFFF"/>
        </w:rPr>
        <w:t xml:space="preserve">. </w:t>
      </w:r>
      <w:r w:rsidR="00290ECE" w:rsidRPr="00882ACB">
        <w:rPr>
          <w:rFonts w:ascii="Arial" w:hAnsi="Arial" w:cs="Arial"/>
          <w:shd w:val="clear" w:color="auto" w:fill="FFFFFF"/>
        </w:rPr>
        <w:t xml:space="preserve">The </w:t>
      </w:r>
      <w:r w:rsidR="00586A08" w:rsidRPr="00882ACB">
        <w:rPr>
          <w:rFonts w:ascii="Arial" w:hAnsi="Arial" w:cs="Arial"/>
          <w:shd w:val="clear" w:color="auto" w:fill="FFFFFF"/>
        </w:rPr>
        <w:t>31</w:t>
      </w:r>
      <w:r w:rsidR="00BB1CEB" w:rsidRPr="00882ACB">
        <w:rPr>
          <w:rFonts w:ascii="Arial" w:hAnsi="Arial" w:cs="Arial"/>
          <w:shd w:val="clear" w:color="auto" w:fill="FFFFFF"/>
        </w:rPr>
        <w:t xml:space="preserve"> recruiting sites were</w:t>
      </w:r>
      <w:r w:rsidR="00A82CC8" w:rsidRPr="00882ACB">
        <w:rPr>
          <w:rFonts w:ascii="Arial" w:hAnsi="Arial" w:cs="Arial"/>
          <w:shd w:val="clear" w:color="auto" w:fill="FFFFFF"/>
        </w:rPr>
        <w:t xml:space="preserve"> UK</w:t>
      </w:r>
      <w:r w:rsidR="00BB1CEB" w:rsidRPr="00882ACB">
        <w:rPr>
          <w:rFonts w:ascii="Arial" w:hAnsi="Arial" w:cs="Arial"/>
          <w:shd w:val="clear" w:color="auto" w:fill="FFFFFF"/>
        </w:rPr>
        <w:t xml:space="preserve"> </w:t>
      </w:r>
      <w:r w:rsidR="00586A08" w:rsidRPr="00882ACB">
        <w:rPr>
          <w:rFonts w:ascii="Arial" w:hAnsi="Arial" w:cs="Arial"/>
          <w:shd w:val="clear" w:color="auto" w:fill="FFFFFF"/>
        </w:rPr>
        <w:t xml:space="preserve">National Health Service </w:t>
      </w:r>
      <w:r w:rsidR="00BB1CEB" w:rsidRPr="00882ACB">
        <w:rPr>
          <w:rFonts w:ascii="Arial" w:hAnsi="Arial" w:cs="Arial"/>
          <w:shd w:val="clear" w:color="auto" w:fill="FFFFFF"/>
        </w:rPr>
        <w:t>h</w:t>
      </w:r>
      <w:r w:rsidR="00586A08" w:rsidRPr="00882ACB">
        <w:rPr>
          <w:rFonts w:ascii="Arial" w:hAnsi="Arial" w:cs="Arial"/>
          <w:shd w:val="clear" w:color="auto" w:fill="FFFFFF"/>
        </w:rPr>
        <w:t>and unit</w:t>
      </w:r>
      <w:r w:rsidR="00A26BC4" w:rsidRPr="00882ACB">
        <w:rPr>
          <w:rFonts w:ascii="Arial" w:hAnsi="Arial" w:cs="Arial"/>
          <w:shd w:val="clear" w:color="auto" w:fill="FFFFFF"/>
        </w:rPr>
        <w:t>s</w:t>
      </w:r>
      <w:r w:rsidR="00BB1CEB" w:rsidRPr="00882ACB">
        <w:rPr>
          <w:rFonts w:ascii="Arial" w:hAnsi="Arial" w:cs="Arial"/>
          <w:shd w:val="clear" w:color="auto" w:fill="FFFFFF"/>
        </w:rPr>
        <w:t xml:space="preserve"> </w:t>
      </w:r>
      <w:r w:rsidR="00060DB0" w:rsidRPr="00882ACB">
        <w:rPr>
          <w:rFonts w:ascii="Arial" w:hAnsi="Arial" w:cs="Arial"/>
          <w:shd w:val="clear" w:color="auto" w:fill="FFFFFF"/>
        </w:rPr>
        <w:t>(</w:t>
      </w:r>
      <w:r w:rsidR="004728A2" w:rsidRPr="00882ACB">
        <w:rPr>
          <w:rFonts w:ascii="Arial" w:hAnsi="Arial" w:cs="Arial"/>
          <w:shd w:val="clear" w:color="auto" w:fill="FFFFFF"/>
        </w:rPr>
        <w:t>Appendix S</w:t>
      </w:r>
      <w:r w:rsidR="00FB1B34" w:rsidRPr="00882ACB">
        <w:rPr>
          <w:rFonts w:ascii="Arial" w:hAnsi="Arial" w:cs="Arial"/>
          <w:shd w:val="clear" w:color="auto" w:fill="FFFFFF"/>
        </w:rPr>
        <w:t>1</w:t>
      </w:r>
      <w:r w:rsidR="00BB1CEB" w:rsidRPr="00882ACB">
        <w:rPr>
          <w:rFonts w:ascii="Arial" w:hAnsi="Arial" w:cs="Arial"/>
          <w:shd w:val="clear" w:color="auto" w:fill="FFFFFF"/>
        </w:rPr>
        <w:t>)</w:t>
      </w:r>
      <w:r w:rsidR="00586A08" w:rsidRPr="00882ACB">
        <w:rPr>
          <w:rFonts w:ascii="Arial" w:hAnsi="Arial" w:cs="Arial"/>
          <w:shd w:val="clear" w:color="auto" w:fill="FFFFFF"/>
        </w:rPr>
        <w:t>.</w:t>
      </w:r>
      <w:r w:rsidR="00777BDD" w:rsidRPr="00882ACB">
        <w:rPr>
          <w:rFonts w:ascii="Arial" w:hAnsi="Arial" w:cs="Arial"/>
          <w:shd w:val="clear" w:color="auto" w:fill="FFFFFF"/>
        </w:rPr>
        <w:t xml:space="preserve"> Data collection, monitoring and analysis </w:t>
      </w:r>
      <w:r w:rsidR="00696E91" w:rsidRPr="00882ACB">
        <w:rPr>
          <w:rFonts w:ascii="Arial" w:hAnsi="Arial" w:cs="Arial"/>
          <w:shd w:val="clear" w:color="auto" w:fill="FFFFFF"/>
        </w:rPr>
        <w:t xml:space="preserve">were </w:t>
      </w:r>
      <w:r w:rsidR="00777BDD" w:rsidRPr="00882ACB">
        <w:rPr>
          <w:rFonts w:ascii="Arial" w:hAnsi="Arial" w:cs="Arial"/>
          <w:shd w:val="clear" w:color="auto" w:fill="FFFFFF"/>
        </w:rPr>
        <w:t xml:space="preserve">completed by the Academic Team of </w:t>
      </w:r>
      <w:r w:rsidR="00E46867" w:rsidRPr="00882ACB">
        <w:rPr>
          <w:rFonts w:ascii="Arial" w:hAnsi="Arial" w:cs="Arial"/>
          <w:shd w:val="clear" w:color="auto" w:fill="FFFFFF"/>
        </w:rPr>
        <w:t xml:space="preserve">Musculoskeletal </w:t>
      </w:r>
      <w:r w:rsidR="00777BDD" w:rsidRPr="00882ACB">
        <w:rPr>
          <w:rFonts w:ascii="Arial" w:hAnsi="Arial" w:cs="Arial"/>
          <w:shd w:val="clear" w:color="auto" w:fill="FFFFFF"/>
        </w:rPr>
        <w:t>Surgery (University of Leicester</w:t>
      </w:r>
      <w:r w:rsidR="008E765D" w:rsidRPr="00882ACB">
        <w:rPr>
          <w:rFonts w:ascii="Arial" w:hAnsi="Arial" w:cs="Arial"/>
          <w:shd w:val="clear" w:color="auto" w:fill="FFFFFF"/>
        </w:rPr>
        <w:t>, UK</w:t>
      </w:r>
      <w:r w:rsidR="00D765B6" w:rsidRPr="00882ACB">
        <w:rPr>
          <w:rFonts w:ascii="Arial" w:hAnsi="Arial" w:cs="Arial"/>
          <w:shd w:val="clear" w:color="auto" w:fill="FFFFFF"/>
        </w:rPr>
        <w:t>)</w:t>
      </w:r>
      <w:r w:rsidR="00777BDD" w:rsidRPr="00882ACB">
        <w:rPr>
          <w:rFonts w:ascii="Arial" w:hAnsi="Arial" w:cs="Arial"/>
          <w:shd w:val="clear" w:color="auto" w:fill="FFFFFF"/>
        </w:rPr>
        <w:t xml:space="preserve"> and York Trials Unit</w:t>
      </w:r>
      <w:r w:rsidR="002D53DB" w:rsidRPr="00882ACB">
        <w:rPr>
          <w:rFonts w:ascii="Arial" w:hAnsi="Arial" w:cs="Arial"/>
          <w:shd w:val="clear" w:color="auto" w:fill="FFFFFF"/>
        </w:rPr>
        <w:t xml:space="preserve"> </w:t>
      </w:r>
      <w:r w:rsidR="00D765B6" w:rsidRPr="00882ACB">
        <w:rPr>
          <w:rFonts w:ascii="Arial" w:hAnsi="Arial" w:cs="Arial"/>
          <w:shd w:val="clear" w:color="auto" w:fill="FFFFFF"/>
        </w:rPr>
        <w:t>(</w:t>
      </w:r>
      <w:r w:rsidR="00777BDD" w:rsidRPr="00882ACB">
        <w:rPr>
          <w:rFonts w:ascii="Arial" w:hAnsi="Arial" w:cs="Arial"/>
          <w:shd w:val="clear" w:color="auto" w:fill="FFFFFF"/>
        </w:rPr>
        <w:t>University of York</w:t>
      </w:r>
      <w:r w:rsidR="008E765D" w:rsidRPr="00882ACB">
        <w:rPr>
          <w:rFonts w:ascii="Arial" w:hAnsi="Arial" w:cs="Arial"/>
          <w:shd w:val="clear" w:color="auto" w:fill="FFFFFF"/>
        </w:rPr>
        <w:t>, UK</w:t>
      </w:r>
      <w:r w:rsidR="00D765B6" w:rsidRPr="00882ACB">
        <w:rPr>
          <w:rFonts w:ascii="Arial" w:hAnsi="Arial" w:cs="Arial"/>
          <w:shd w:val="clear" w:color="auto" w:fill="FFFFFF"/>
        </w:rPr>
        <w:t xml:space="preserve">) </w:t>
      </w:r>
      <w:r w:rsidR="00CF64F7" w:rsidRPr="00882ACB">
        <w:rPr>
          <w:rFonts w:ascii="Arial" w:hAnsi="Arial" w:cs="Arial"/>
          <w:shd w:val="clear" w:color="auto" w:fill="FFFFFF"/>
        </w:rPr>
        <w:t>with oversight from independent Trial Steering and Data Monitoring</w:t>
      </w:r>
      <w:r w:rsidR="00E237F2" w:rsidRPr="00882ACB">
        <w:rPr>
          <w:rFonts w:ascii="Arial" w:hAnsi="Arial" w:cs="Arial"/>
          <w:shd w:val="clear" w:color="auto" w:fill="FFFFFF"/>
        </w:rPr>
        <w:t xml:space="preserve"> and Ethics</w:t>
      </w:r>
      <w:r w:rsidR="00BD5FA2" w:rsidRPr="00882ACB">
        <w:rPr>
          <w:rFonts w:ascii="Arial" w:hAnsi="Arial" w:cs="Arial"/>
          <w:shd w:val="clear" w:color="auto" w:fill="FFFFFF"/>
        </w:rPr>
        <w:t xml:space="preserve"> </w:t>
      </w:r>
      <w:r w:rsidR="00CF64F7" w:rsidRPr="00882ACB">
        <w:rPr>
          <w:rFonts w:ascii="Arial" w:hAnsi="Arial" w:cs="Arial"/>
          <w:shd w:val="clear" w:color="auto" w:fill="FFFFFF"/>
        </w:rPr>
        <w:t>Committees</w:t>
      </w:r>
      <w:r w:rsidR="00F44ED7" w:rsidRPr="00882ACB">
        <w:rPr>
          <w:rFonts w:ascii="Arial" w:hAnsi="Arial" w:cs="Arial"/>
          <w:shd w:val="clear" w:color="auto" w:fill="FFFFFF"/>
        </w:rPr>
        <w:t xml:space="preserve">. </w:t>
      </w:r>
    </w:p>
    <w:p w14:paraId="5C4E847E" w14:textId="0748F7AC" w:rsidR="005505FA" w:rsidRPr="00882ACB" w:rsidRDefault="00DF012B" w:rsidP="005505FA">
      <w:pPr>
        <w:rPr>
          <w:rFonts w:ascii="Arial" w:hAnsi="Arial" w:cs="Arial"/>
        </w:rPr>
      </w:pPr>
      <w:r w:rsidRPr="00882ACB">
        <w:rPr>
          <w:rFonts w:ascii="Arial" w:hAnsi="Arial" w:cs="Arial"/>
          <w:shd w:val="clear" w:color="auto" w:fill="FFFFFF"/>
        </w:rPr>
        <w:lastRenderedPageBreak/>
        <w:t xml:space="preserve">The </w:t>
      </w:r>
      <w:r w:rsidR="00361ED1">
        <w:rPr>
          <w:rFonts w:ascii="Arial" w:hAnsi="Arial" w:cs="Arial"/>
          <w:shd w:val="clear" w:color="auto" w:fill="FFFFFF"/>
        </w:rPr>
        <w:t xml:space="preserve">study and amendments were approved by </w:t>
      </w:r>
      <w:r w:rsidR="00A86214">
        <w:rPr>
          <w:rFonts w:ascii="Arial" w:hAnsi="Arial" w:cs="Arial"/>
          <w:shd w:val="clear" w:color="auto" w:fill="FFFFFF"/>
        </w:rPr>
        <w:t xml:space="preserve">the </w:t>
      </w:r>
      <w:r w:rsidRPr="00882ACB">
        <w:rPr>
          <w:rFonts w:ascii="Arial" w:hAnsi="Arial" w:cs="Arial"/>
          <w:shd w:val="clear" w:color="auto" w:fill="FFFFFF"/>
        </w:rPr>
        <w:t>Leeds West Research Ethics Committee, UK Health Research Authority and UK Medicines and Healthcare products Regulatory Authority</w:t>
      </w:r>
      <w:r w:rsidR="005526FE" w:rsidRPr="00882ACB">
        <w:rPr>
          <w:rFonts w:ascii="Arial" w:hAnsi="Arial" w:cs="Arial"/>
        </w:rPr>
        <w:t>.</w:t>
      </w:r>
      <w:r w:rsidR="005526FE" w:rsidRPr="00882ACB">
        <w:rPr>
          <w:rFonts w:asciiTheme="minorBidi" w:hAnsiTheme="minorBidi"/>
        </w:rPr>
        <w:t xml:space="preserve"> </w:t>
      </w:r>
      <w:r w:rsidR="005505FA">
        <w:rPr>
          <w:rFonts w:ascii="Arial" w:hAnsi="Arial" w:cs="Arial"/>
        </w:rPr>
        <w:t>JD and CW</w:t>
      </w:r>
      <w:r w:rsidR="005505FA" w:rsidRPr="00882ACB">
        <w:rPr>
          <w:rFonts w:ascii="Arial" w:hAnsi="Arial" w:cs="Arial"/>
        </w:rPr>
        <w:t xml:space="preserve"> </w:t>
      </w:r>
      <w:r w:rsidR="005505FA" w:rsidRPr="00882ACB">
        <w:rPr>
          <w:rFonts w:ascii="Arial" w:eastAsia="Times New Roman" w:hAnsi="Arial" w:cs="Arial"/>
          <w:color w:val="222222"/>
          <w:szCs w:val="24"/>
        </w:rPr>
        <w:t>take responsibility for the accuracy and completeness of reporting and for fidelity of the report to the study protocol.</w:t>
      </w:r>
    </w:p>
    <w:p w14:paraId="04540F25" w14:textId="4B3DC365" w:rsidR="004769C6" w:rsidRPr="00882ACB" w:rsidRDefault="004769C6" w:rsidP="005027B7">
      <w:pPr>
        <w:rPr>
          <w:rFonts w:asciiTheme="minorBidi" w:hAnsiTheme="minorBidi"/>
        </w:rPr>
      </w:pPr>
    </w:p>
    <w:p w14:paraId="40629540" w14:textId="0AF025A1" w:rsidR="00BE0F5F" w:rsidRPr="00882ACB" w:rsidRDefault="00AD1FBA" w:rsidP="006B60BA">
      <w:pPr>
        <w:keepNext/>
        <w:keepLines/>
        <w:rPr>
          <w:rFonts w:ascii="Arial" w:hAnsi="Arial" w:cs="Arial"/>
          <w:szCs w:val="24"/>
          <w:u w:val="single"/>
        </w:rPr>
      </w:pPr>
      <w:r w:rsidRPr="00882ACB">
        <w:rPr>
          <w:rFonts w:ascii="Arial" w:hAnsi="Arial" w:cs="Arial"/>
          <w:szCs w:val="24"/>
          <w:u w:val="single"/>
        </w:rPr>
        <w:t>Population</w:t>
      </w:r>
      <w:r w:rsidR="00777BDD" w:rsidRPr="00882ACB">
        <w:rPr>
          <w:rFonts w:ascii="Arial" w:hAnsi="Arial" w:cs="Arial"/>
          <w:szCs w:val="24"/>
          <w:u w:val="single"/>
        </w:rPr>
        <w:t xml:space="preserve"> </w:t>
      </w:r>
    </w:p>
    <w:p w14:paraId="3B40C63F" w14:textId="20EC90F0" w:rsidR="00586A08" w:rsidRPr="00882ACB" w:rsidRDefault="00BE34CB" w:rsidP="00FE2FBC">
      <w:pPr>
        <w:rPr>
          <w:rFonts w:ascii="Arial" w:hAnsi="Arial" w:cs="Arial"/>
        </w:rPr>
      </w:pPr>
      <w:r w:rsidRPr="00882ACB">
        <w:rPr>
          <w:rFonts w:ascii="Arial" w:hAnsi="Arial" w:cs="Arial"/>
        </w:rPr>
        <w:t>Adult p</w:t>
      </w:r>
      <w:r w:rsidR="009334B3" w:rsidRPr="00882ACB">
        <w:rPr>
          <w:rFonts w:ascii="Arial" w:hAnsi="Arial" w:cs="Arial"/>
        </w:rPr>
        <w:t>atients with a discrete, palpable Dupuytren’s cord causing contracture of ≥30°</w:t>
      </w:r>
      <w:r w:rsidR="00861EAE" w:rsidRPr="00882ACB">
        <w:rPr>
          <w:rFonts w:ascii="Arial" w:hAnsi="Arial" w:cs="Arial"/>
        </w:rPr>
        <w:t>,</w:t>
      </w:r>
      <w:r w:rsidR="006949D3" w:rsidRPr="00C9003A">
        <w:rPr>
          <w:rFonts w:ascii="Arial" w:hAnsi="Arial" w:cs="Arial"/>
          <w:vertAlign w:val="superscript"/>
        </w:rPr>
        <w:t>3, 8</w:t>
      </w:r>
      <w:r w:rsidR="007B623D" w:rsidRPr="00882ACB">
        <w:rPr>
          <w:rFonts w:ascii="Arial" w:hAnsi="Arial" w:cs="Arial"/>
        </w:rPr>
        <w:t xml:space="preserve"> </w:t>
      </w:r>
      <w:r w:rsidR="009334B3" w:rsidRPr="00882ACB">
        <w:rPr>
          <w:rFonts w:ascii="Arial" w:hAnsi="Arial" w:cs="Arial"/>
        </w:rPr>
        <w:t>appropriate for both study treatments were eligible. Patients were excluded if they had</w:t>
      </w:r>
      <w:r w:rsidR="001B182B" w:rsidRPr="00882ACB">
        <w:rPr>
          <w:rFonts w:ascii="Arial" w:hAnsi="Arial" w:cs="Arial"/>
        </w:rPr>
        <w:t>:</w:t>
      </w:r>
      <w:r w:rsidR="009334B3" w:rsidRPr="00882ACB">
        <w:rPr>
          <w:rFonts w:ascii="Arial" w:hAnsi="Arial" w:cs="Arial"/>
        </w:rPr>
        <w:t xml:space="preserve"> severe contractures (&gt;135°); </w:t>
      </w:r>
      <w:r w:rsidR="00A26BC4" w:rsidRPr="00882ACB">
        <w:rPr>
          <w:rFonts w:ascii="Arial" w:hAnsi="Arial" w:cs="Arial"/>
        </w:rPr>
        <w:t xml:space="preserve">previous </w:t>
      </w:r>
      <w:r w:rsidR="009334B3" w:rsidRPr="00882ACB">
        <w:rPr>
          <w:rFonts w:ascii="Arial" w:hAnsi="Arial" w:cs="Arial"/>
        </w:rPr>
        <w:t xml:space="preserve">treatment </w:t>
      </w:r>
      <w:r w:rsidR="0024526A" w:rsidRPr="00882ACB">
        <w:rPr>
          <w:rFonts w:ascii="Arial" w:hAnsi="Arial" w:cs="Arial"/>
        </w:rPr>
        <w:t xml:space="preserve">on </w:t>
      </w:r>
      <w:r w:rsidR="009334B3" w:rsidRPr="00882ACB">
        <w:rPr>
          <w:rFonts w:ascii="Arial" w:hAnsi="Arial" w:cs="Arial"/>
        </w:rPr>
        <w:t xml:space="preserve">the study </w:t>
      </w:r>
      <w:r w:rsidRPr="00882ACB">
        <w:rPr>
          <w:rFonts w:ascii="Arial" w:hAnsi="Arial" w:cs="Arial"/>
        </w:rPr>
        <w:t xml:space="preserve">reference </w:t>
      </w:r>
      <w:r w:rsidR="009334B3" w:rsidRPr="00882ACB">
        <w:rPr>
          <w:rFonts w:ascii="Arial" w:hAnsi="Arial" w:cs="Arial"/>
        </w:rPr>
        <w:t>digit; pre-existing disorders affecting hand function</w:t>
      </w:r>
      <w:r w:rsidR="00861EAE" w:rsidRPr="00882ACB">
        <w:rPr>
          <w:rFonts w:ascii="Arial" w:hAnsi="Arial" w:cs="Arial"/>
        </w:rPr>
        <w:t xml:space="preserve"> or </w:t>
      </w:r>
      <w:r w:rsidR="005035D4" w:rsidRPr="00882ACB">
        <w:rPr>
          <w:rFonts w:ascii="Arial" w:hAnsi="Arial" w:cs="Arial"/>
        </w:rPr>
        <w:t xml:space="preserve">where </w:t>
      </w:r>
      <w:r w:rsidR="00540C73" w:rsidRPr="00882ACB">
        <w:rPr>
          <w:rFonts w:ascii="Arial" w:hAnsi="Arial" w:cs="Arial"/>
        </w:rPr>
        <w:t>participati</w:t>
      </w:r>
      <w:r w:rsidR="005035D4" w:rsidRPr="00882ACB">
        <w:rPr>
          <w:rFonts w:ascii="Arial" w:hAnsi="Arial" w:cs="Arial"/>
        </w:rPr>
        <w:t>on</w:t>
      </w:r>
      <w:r w:rsidR="00540C73" w:rsidRPr="00882ACB">
        <w:rPr>
          <w:rFonts w:ascii="Arial" w:hAnsi="Arial" w:cs="Arial"/>
        </w:rPr>
        <w:t xml:space="preserve"> </w:t>
      </w:r>
      <w:r w:rsidR="00861EAE" w:rsidRPr="00882ACB">
        <w:rPr>
          <w:rFonts w:ascii="Arial" w:hAnsi="Arial" w:cs="Arial"/>
        </w:rPr>
        <w:t xml:space="preserve">would put them at risk </w:t>
      </w:r>
      <w:r w:rsidR="009334B3" w:rsidRPr="00882ACB">
        <w:rPr>
          <w:rFonts w:ascii="Arial" w:hAnsi="Arial" w:cs="Arial"/>
        </w:rPr>
        <w:t>; a coagulation disorder</w:t>
      </w:r>
      <w:r w:rsidR="00861EAE" w:rsidRPr="00882ACB">
        <w:rPr>
          <w:rFonts w:ascii="Arial" w:hAnsi="Arial" w:cs="Arial"/>
        </w:rPr>
        <w:t xml:space="preserve">; </w:t>
      </w:r>
      <w:r w:rsidR="009334B3" w:rsidRPr="00882ACB">
        <w:rPr>
          <w:rFonts w:ascii="Arial" w:hAnsi="Arial" w:cs="Arial"/>
        </w:rPr>
        <w:t xml:space="preserve">participated in another investigational medicinal product </w:t>
      </w:r>
      <w:r w:rsidR="00861EAE" w:rsidRPr="00882ACB">
        <w:rPr>
          <w:rFonts w:ascii="Arial" w:hAnsi="Arial" w:cs="Arial"/>
        </w:rPr>
        <w:t xml:space="preserve">study </w:t>
      </w:r>
      <w:r w:rsidR="009334B3" w:rsidRPr="00882ACB">
        <w:rPr>
          <w:rFonts w:ascii="Arial" w:hAnsi="Arial" w:cs="Arial"/>
        </w:rPr>
        <w:t>within 12 weeks</w:t>
      </w:r>
      <w:r w:rsidR="0024526A" w:rsidRPr="00882ACB">
        <w:rPr>
          <w:rFonts w:ascii="Arial" w:hAnsi="Arial" w:cs="Arial"/>
        </w:rPr>
        <w:t>;</w:t>
      </w:r>
      <w:r w:rsidR="00D855EF" w:rsidRPr="00882ACB">
        <w:rPr>
          <w:rFonts w:ascii="Arial" w:hAnsi="Arial" w:cs="Arial"/>
        </w:rPr>
        <w:t xml:space="preserve"> </w:t>
      </w:r>
      <w:r w:rsidR="0024526A" w:rsidRPr="00882ACB">
        <w:rPr>
          <w:rFonts w:ascii="Arial" w:hAnsi="Arial" w:cs="Arial"/>
        </w:rPr>
        <w:t>or were pregnant or breastfeeding</w:t>
      </w:r>
      <w:r w:rsidR="00410BEE" w:rsidRPr="00882ACB">
        <w:rPr>
          <w:rFonts w:ascii="Arial" w:hAnsi="Arial" w:cs="Arial"/>
        </w:rPr>
        <w:t xml:space="preserve">. </w:t>
      </w:r>
      <w:r w:rsidR="006949D3" w:rsidRPr="00C9003A">
        <w:rPr>
          <w:rFonts w:ascii="Arial" w:hAnsi="Arial" w:cs="Arial"/>
          <w:vertAlign w:val="superscript"/>
        </w:rPr>
        <w:t>12</w:t>
      </w:r>
      <w:r w:rsidR="00586A08" w:rsidRPr="00882ACB">
        <w:rPr>
          <w:rFonts w:ascii="Arial" w:hAnsi="Arial" w:cs="Arial"/>
        </w:rPr>
        <w:t xml:space="preserve"> </w:t>
      </w:r>
      <w:r w:rsidR="006949D3" w:rsidRPr="00C9003A">
        <w:rPr>
          <w:rFonts w:ascii="Arial" w:hAnsi="Arial" w:cs="Arial"/>
          <w:vertAlign w:val="superscript"/>
        </w:rPr>
        <w:t>13</w:t>
      </w:r>
      <w:r w:rsidR="00361ED1">
        <w:rPr>
          <w:rFonts w:ascii="Arial" w:hAnsi="Arial" w:cs="Arial"/>
        </w:rPr>
        <w:t xml:space="preserve"> Participants provided w</w:t>
      </w:r>
      <w:r w:rsidR="00361ED1" w:rsidRPr="00525256">
        <w:rPr>
          <w:rFonts w:ascii="Arial" w:hAnsi="Arial" w:cs="Arial"/>
        </w:rPr>
        <w:t>ritten informed consent prior to randomi</w:t>
      </w:r>
      <w:r w:rsidR="00361ED1">
        <w:rPr>
          <w:rFonts w:ascii="Arial" w:hAnsi="Arial" w:cs="Arial"/>
        </w:rPr>
        <w:t>z</w:t>
      </w:r>
      <w:r w:rsidR="00361ED1" w:rsidRPr="00525256">
        <w:rPr>
          <w:rFonts w:ascii="Arial" w:hAnsi="Arial" w:cs="Arial"/>
        </w:rPr>
        <w:t>ation.</w:t>
      </w:r>
    </w:p>
    <w:p w14:paraId="73B88B26" w14:textId="60B36DB3" w:rsidR="00CF64F7" w:rsidRPr="00882ACB" w:rsidRDefault="00CF64F7" w:rsidP="005027B7">
      <w:pPr>
        <w:rPr>
          <w:rFonts w:ascii="Arial" w:hAnsi="Arial" w:cs="Arial"/>
          <w:szCs w:val="24"/>
          <w:u w:val="single"/>
        </w:rPr>
      </w:pPr>
      <w:r w:rsidRPr="00882ACB">
        <w:rPr>
          <w:rFonts w:ascii="Arial" w:hAnsi="Arial" w:cs="Arial"/>
          <w:szCs w:val="24"/>
          <w:u w:val="single"/>
        </w:rPr>
        <w:t>T</w:t>
      </w:r>
      <w:r w:rsidR="00AD1FBA" w:rsidRPr="00882ACB">
        <w:rPr>
          <w:rFonts w:ascii="Arial" w:hAnsi="Arial" w:cs="Arial"/>
          <w:szCs w:val="24"/>
          <w:u w:val="single"/>
        </w:rPr>
        <w:t>reatment</w:t>
      </w:r>
      <w:r w:rsidR="00875122" w:rsidRPr="00882ACB">
        <w:rPr>
          <w:rFonts w:ascii="Arial" w:hAnsi="Arial" w:cs="Arial"/>
          <w:szCs w:val="24"/>
          <w:u w:val="single"/>
        </w:rPr>
        <w:t>s</w:t>
      </w:r>
      <w:r w:rsidR="00AD1FBA" w:rsidRPr="00882ACB">
        <w:rPr>
          <w:rFonts w:ascii="Arial" w:hAnsi="Arial" w:cs="Arial"/>
          <w:szCs w:val="24"/>
          <w:u w:val="single"/>
        </w:rPr>
        <w:t xml:space="preserve"> </w:t>
      </w:r>
    </w:p>
    <w:p w14:paraId="09D5474D" w14:textId="51AFC344" w:rsidR="00861EAE" w:rsidRPr="00882ACB" w:rsidRDefault="004658AB" w:rsidP="005027B7">
      <w:pPr>
        <w:rPr>
          <w:rFonts w:ascii="Arial" w:hAnsi="Arial" w:cs="Arial"/>
        </w:rPr>
      </w:pPr>
      <w:r>
        <w:rPr>
          <w:rFonts w:ascii="Arial" w:hAnsi="Arial" w:cs="Arial"/>
        </w:rPr>
        <w:t xml:space="preserve">Collagenase </w:t>
      </w:r>
      <w:r w:rsidR="00CF64F7" w:rsidRPr="00882ACB">
        <w:rPr>
          <w:rFonts w:ascii="Arial" w:hAnsi="Arial" w:cs="Arial"/>
        </w:rPr>
        <w:t xml:space="preserve">was injected as three aliquots at set points </w:t>
      </w:r>
      <w:r w:rsidR="00614EDC" w:rsidRPr="00882ACB">
        <w:rPr>
          <w:rFonts w:ascii="Arial" w:hAnsi="Arial" w:cs="Arial"/>
        </w:rPr>
        <w:t>following</w:t>
      </w:r>
      <w:r w:rsidR="00CF64F7" w:rsidRPr="00882ACB">
        <w:rPr>
          <w:rFonts w:ascii="Arial" w:hAnsi="Arial" w:cs="Arial"/>
        </w:rPr>
        <w:t xml:space="preserve"> </w:t>
      </w:r>
      <w:r w:rsidR="00D765B6" w:rsidRPr="00882ACB">
        <w:rPr>
          <w:rFonts w:ascii="Arial" w:hAnsi="Arial" w:cs="Arial"/>
        </w:rPr>
        <w:t xml:space="preserve">the </w:t>
      </w:r>
      <w:r w:rsidR="00CF64F7" w:rsidRPr="00882ACB">
        <w:rPr>
          <w:rFonts w:ascii="Arial" w:hAnsi="Arial" w:cs="Arial"/>
        </w:rPr>
        <w:t>current approved Summary of Product Characteristics.</w:t>
      </w:r>
      <w:r w:rsidR="004C0A31" w:rsidRPr="00C9003A">
        <w:rPr>
          <w:rFonts w:ascii="Arial" w:hAnsi="Arial" w:cs="Arial"/>
          <w:vertAlign w:val="superscript"/>
        </w:rPr>
        <w:t>10</w:t>
      </w:r>
      <w:r w:rsidR="00CF64F7" w:rsidRPr="00882ACB">
        <w:rPr>
          <w:rFonts w:ascii="Arial" w:hAnsi="Arial" w:cs="Arial"/>
        </w:rPr>
        <w:t xml:space="preserve"> After 1-7 days</w:t>
      </w:r>
      <w:r w:rsidR="005A176F" w:rsidRPr="00882ACB">
        <w:rPr>
          <w:rFonts w:ascii="Arial" w:hAnsi="Arial" w:cs="Arial"/>
        </w:rPr>
        <w:t>,</w:t>
      </w:r>
      <w:r w:rsidR="00CF64F7" w:rsidRPr="00882ACB">
        <w:rPr>
          <w:rFonts w:ascii="Arial" w:hAnsi="Arial" w:cs="Arial"/>
        </w:rPr>
        <w:t xml:space="preserve"> </w:t>
      </w:r>
      <w:r w:rsidR="00112542" w:rsidRPr="00882ACB">
        <w:rPr>
          <w:rFonts w:ascii="Arial" w:hAnsi="Arial" w:cs="Arial"/>
        </w:rPr>
        <w:t xml:space="preserve">the cord was </w:t>
      </w:r>
      <w:r w:rsidR="00673A49" w:rsidRPr="00882ACB">
        <w:rPr>
          <w:rFonts w:ascii="Arial" w:hAnsi="Arial" w:cs="Arial"/>
        </w:rPr>
        <w:t xml:space="preserve">ruptured by manipulation </w:t>
      </w:r>
      <w:r w:rsidR="00D765B6" w:rsidRPr="00882ACB">
        <w:rPr>
          <w:rFonts w:ascii="Arial" w:hAnsi="Arial" w:cs="Arial"/>
        </w:rPr>
        <w:t>in clinic</w:t>
      </w:r>
      <w:r w:rsidR="00D765B6" w:rsidRPr="00882ACB" w:rsidDel="00112542">
        <w:rPr>
          <w:rFonts w:ascii="Arial" w:hAnsi="Arial" w:cs="Arial"/>
        </w:rPr>
        <w:t xml:space="preserve"> </w:t>
      </w:r>
      <w:r w:rsidR="00CF64F7" w:rsidRPr="00882ACB">
        <w:rPr>
          <w:rFonts w:ascii="Arial" w:hAnsi="Arial" w:cs="Arial"/>
        </w:rPr>
        <w:t xml:space="preserve">under local </w:t>
      </w:r>
      <w:proofErr w:type="spellStart"/>
      <w:r w:rsidR="00875122" w:rsidRPr="00882ACB">
        <w:rPr>
          <w:rFonts w:ascii="Arial" w:hAnsi="Arial" w:cs="Arial"/>
        </w:rPr>
        <w:t>anesthetic</w:t>
      </w:r>
      <w:proofErr w:type="spellEnd"/>
      <w:r w:rsidR="00CF64F7" w:rsidRPr="00882ACB">
        <w:rPr>
          <w:rFonts w:ascii="Arial" w:hAnsi="Arial" w:cs="Arial"/>
        </w:rPr>
        <w:t xml:space="preserve"> correct</w:t>
      </w:r>
      <w:r w:rsidR="00540C73" w:rsidRPr="00882ACB">
        <w:rPr>
          <w:rFonts w:ascii="Arial" w:hAnsi="Arial" w:cs="Arial"/>
        </w:rPr>
        <w:t>ing</w:t>
      </w:r>
      <w:r w:rsidR="00CF64F7" w:rsidRPr="00882ACB">
        <w:rPr>
          <w:rFonts w:ascii="Arial" w:hAnsi="Arial" w:cs="Arial"/>
        </w:rPr>
        <w:t xml:space="preserve"> the contracture.</w:t>
      </w:r>
      <w:r w:rsidR="00673A49" w:rsidRPr="00C9003A">
        <w:rPr>
          <w:rFonts w:ascii="Arial" w:hAnsi="Arial" w:cs="Arial"/>
          <w:vertAlign w:val="superscript"/>
        </w:rPr>
        <w:t>8</w:t>
      </w:r>
      <w:r w:rsidR="00673A49" w:rsidRPr="00882ACB">
        <w:rPr>
          <w:rFonts w:ascii="Arial" w:hAnsi="Arial" w:cs="Arial"/>
        </w:rPr>
        <w:t xml:space="preserve"> </w:t>
      </w:r>
      <w:r w:rsidR="00CF64F7" w:rsidRPr="00882ACB">
        <w:rPr>
          <w:rFonts w:ascii="Arial" w:hAnsi="Arial" w:cs="Arial"/>
        </w:rPr>
        <w:t xml:space="preserve"> </w:t>
      </w:r>
    </w:p>
    <w:p w14:paraId="49CC99C1" w14:textId="6A687811" w:rsidR="00CF64F7" w:rsidRPr="00882ACB" w:rsidRDefault="00861EAE" w:rsidP="005027B7">
      <w:pPr>
        <w:rPr>
          <w:rFonts w:ascii="Arial" w:hAnsi="Arial" w:cs="Arial"/>
        </w:rPr>
      </w:pPr>
      <w:r w:rsidRPr="00882ACB">
        <w:rPr>
          <w:rFonts w:ascii="Arial" w:hAnsi="Arial" w:cs="Arial"/>
        </w:rPr>
        <w:t>L</w:t>
      </w:r>
      <w:r w:rsidR="00CF64F7" w:rsidRPr="00882ACB">
        <w:rPr>
          <w:rFonts w:ascii="Arial" w:hAnsi="Arial" w:cs="Arial"/>
        </w:rPr>
        <w:t xml:space="preserve">imited fasciectomy </w:t>
      </w:r>
      <w:r w:rsidR="005A176F" w:rsidRPr="00882ACB">
        <w:rPr>
          <w:rFonts w:ascii="Arial" w:hAnsi="Arial" w:cs="Arial"/>
        </w:rPr>
        <w:t xml:space="preserve">was performed </w:t>
      </w:r>
      <w:r w:rsidR="00565280" w:rsidRPr="00882ACB">
        <w:rPr>
          <w:rFonts w:ascii="Arial" w:hAnsi="Arial" w:cs="Arial"/>
        </w:rPr>
        <w:t xml:space="preserve">as day surgery </w:t>
      </w:r>
      <w:r w:rsidR="001F4267" w:rsidRPr="00882ACB">
        <w:rPr>
          <w:rFonts w:ascii="Arial" w:hAnsi="Arial" w:cs="Arial"/>
        </w:rPr>
        <w:t xml:space="preserve">and involved removal of </w:t>
      </w:r>
      <w:r w:rsidR="00CF64F7" w:rsidRPr="00882ACB">
        <w:rPr>
          <w:rFonts w:ascii="Arial" w:hAnsi="Arial" w:cs="Arial"/>
        </w:rPr>
        <w:t>diseased cord</w:t>
      </w:r>
      <w:r w:rsidR="0024526A" w:rsidRPr="00882ACB">
        <w:rPr>
          <w:rFonts w:ascii="Arial" w:hAnsi="Arial" w:cs="Arial"/>
        </w:rPr>
        <w:t>s</w:t>
      </w:r>
      <w:r w:rsidR="001F4267" w:rsidRPr="00882ACB">
        <w:rPr>
          <w:rFonts w:ascii="Arial" w:hAnsi="Arial" w:cs="Arial"/>
        </w:rPr>
        <w:t xml:space="preserve"> to </w:t>
      </w:r>
      <w:r w:rsidR="00CF64F7" w:rsidRPr="00882ACB">
        <w:rPr>
          <w:rFonts w:ascii="Arial" w:hAnsi="Arial" w:cs="Arial"/>
        </w:rPr>
        <w:t>correct the contracture</w:t>
      </w:r>
      <w:r w:rsidR="00A8189F" w:rsidRPr="00882ACB">
        <w:rPr>
          <w:rFonts w:ascii="Arial" w:hAnsi="Arial" w:cs="Arial"/>
        </w:rPr>
        <w:t xml:space="preserve">. </w:t>
      </w:r>
      <w:r w:rsidR="005A176F" w:rsidRPr="00882ACB">
        <w:rPr>
          <w:rFonts w:ascii="Arial" w:hAnsi="Arial" w:cs="Arial"/>
        </w:rPr>
        <w:t xml:space="preserve">Surgery was </w:t>
      </w:r>
      <w:r w:rsidR="008628EF" w:rsidRPr="00882ACB">
        <w:rPr>
          <w:rFonts w:ascii="Arial" w:hAnsi="Arial" w:cs="Arial"/>
        </w:rPr>
        <w:t>followed by</w:t>
      </w:r>
      <w:r w:rsidR="00953E06" w:rsidRPr="00882ACB">
        <w:rPr>
          <w:rFonts w:ascii="Arial" w:hAnsi="Arial" w:cs="Arial"/>
        </w:rPr>
        <w:t xml:space="preserve"> </w:t>
      </w:r>
      <w:r w:rsidR="00CF64F7" w:rsidRPr="00882ACB">
        <w:rPr>
          <w:rFonts w:ascii="Arial" w:hAnsi="Arial" w:cs="Arial"/>
        </w:rPr>
        <w:t>routine wound check appointments</w:t>
      </w:r>
      <w:r w:rsidR="00067FAB">
        <w:rPr>
          <w:rFonts w:ascii="Arial" w:hAnsi="Arial" w:cs="Arial"/>
        </w:rPr>
        <w:t xml:space="preserve"> one to two weeks later</w:t>
      </w:r>
      <w:r w:rsidR="00336202" w:rsidRPr="00882ACB">
        <w:rPr>
          <w:rFonts w:ascii="Arial" w:hAnsi="Arial" w:cs="Arial"/>
        </w:rPr>
        <w:t>.</w:t>
      </w:r>
    </w:p>
    <w:p w14:paraId="46AB40CA" w14:textId="183D8DDC" w:rsidR="00BE0F5F" w:rsidRPr="00882ACB" w:rsidRDefault="00BE0F5F" w:rsidP="005027B7">
      <w:pPr>
        <w:rPr>
          <w:rFonts w:ascii="Arial" w:hAnsi="Arial" w:cs="Arial"/>
          <w:szCs w:val="24"/>
          <w:u w:val="single"/>
        </w:rPr>
      </w:pPr>
      <w:r w:rsidRPr="00882ACB">
        <w:rPr>
          <w:rFonts w:ascii="Arial" w:hAnsi="Arial" w:cs="Arial"/>
          <w:szCs w:val="24"/>
          <w:u w:val="single"/>
        </w:rPr>
        <w:t>O</w:t>
      </w:r>
      <w:r w:rsidR="00AD1FBA" w:rsidRPr="00882ACB">
        <w:rPr>
          <w:rFonts w:ascii="Arial" w:hAnsi="Arial" w:cs="Arial"/>
          <w:szCs w:val="24"/>
          <w:u w:val="single"/>
        </w:rPr>
        <w:t>utcomes</w:t>
      </w:r>
    </w:p>
    <w:p w14:paraId="0219380E" w14:textId="7E3D4930" w:rsidR="00BE2EBB" w:rsidRPr="00882ACB" w:rsidRDefault="00BE2EBB" w:rsidP="00FE2FBC">
      <w:pPr>
        <w:rPr>
          <w:rFonts w:ascii="Arial" w:hAnsi="Arial" w:cs="Arial"/>
        </w:rPr>
      </w:pPr>
      <w:r w:rsidRPr="00882ACB">
        <w:rPr>
          <w:rFonts w:ascii="Arial" w:hAnsi="Arial" w:cs="Arial"/>
        </w:rPr>
        <w:t xml:space="preserve">The primary </w:t>
      </w:r>
      <w:r w:rsidR="006B0CCB" w:rsidRPr="00882ACB">
        <w:rPr>
          <w:rFonts w:ascii="Arial" w:hAnsi="Arial" w:cs="Arial"/>
        </w:rPr>
        <w:t xml:space="preserve">endpoint </w:t>
      </w:r>
      <w:r w:rsidRPr="00882ACB">
        <w:rPr>
          <w:rFonts w:ascii="Arial" w:hAnsi="Arial" w:cs="Arial"/>
        </w:rPr>
        <w:t xml:space="preserve">was the Patient Evaluation Measure </w:t>
      </w:r>
      <w:r w:rsidR="008C2A5D" w:rsidRPr="00882ACB">
        <w:rPr>
          <w:rFonts w:ascii="Arial" w:hAnsi="Arial" w:cs="Arial"/>
        </w:rPr>
        <w:t xml:space="preserve">Hand Health Questionnaire </w:t>
      </w:r>
      <w:r w:rsidRPr="00882ACB">
        <w:rPr>
          <w:rFonts w:ascii="Arial" w:hAnsi="Arial" w:cs="Arial"/>
        </w:rPr>
        <w:t>score (</w:t>
      </w:r>
      <w:r w:rsidR="00781B82" w:rsidRPr="00882ACB">
        <w:rPr>
          <w:rFonts w:ascii="Arial" w:hAnsi="Arial" w:cs="Arial"/>
        </w:rPr>
        <w:t xml:space="preserve">range </w:t>
      </w:r>
      <w:r w:rsidRPr="00882ACB">
        <w:rPr>
          <w:rFonts w:ascii="Arial" w:hAnsi="Arial" w:cs="Arial"/>
        </w:rPr>
        <w:t>0</w:t>
      </w:r>
      <w:r w:rsidR="00781B82" w:rsidRPr="00882ACB">
        <w:rPr>
          <w:rFonts w:ascii="Arial" w:hAnsi="Arial" w:cs="Arial"/>
        </w:rPr>
        <w:t xml:space="preserve"> to </w:t>
      </w:r>
      <w:r w:rsidRPr="00882ACB">
        <w:rPr>
          <w:rFonts w:ascii="Arial" w:hAnsi="Arial" w:cs="Arial"/>
        </w:rPr>
        <w:t>100</w:t>
      </w:r>
      <w:r w:rsidR="008C2A5D" w:rsidRPr="00882ACB">
        <w:rPr>
          <w:rFonts w:ascii="Arial" w:hAnsi="Arial" w:cs="Arial"/>
        </w:rPr>
        <w:t>,</w:t>
      </w:r>
      <w:r w:rsidR="00DF012B" w:rsidRPr="00882ACB">
        <w:rPr>
          <w:rFonts w:ascii="Arial" w:hAnsi="Arial" w:cs="Arial"/>
        </w:rPr>
        <w:t xml:space="preserve"> </w:t>
      </w:r>
      <w:r w:rsidRPr="00882ACB">
        <w:rPr>
          <w:rFonts w:ascii="Arial" w:hAnsi="Arial" w:cs="Arial"/>
        </w:rPr>
        <w:t xml:space="preserve">higher scores indicating worse outcome) at </w:t>
      </w:r>
      <w:proofErr w:type="gramStart"/>
      <w:r w:rsidRPr="00882ACB">
        <w:rPr>
          <w:rFonts w:ascii="Arial" w:hAnsi="Arial" w:cs="Arial"/>
        </w:rPr>
        <w:t>1 year</w:t>
      </w:r>
      <w:proofErr w:type="gramEnd"/>
      <w:r w:rsidRPr="00882ACB">
        <w:rPr>
          <w:rFonts w:ascii="Arial" w:hAnsi="Arial" w:cs="Arial"/>
        </w:rPr>
        <w:t xml:space="preserve"> </w:t>
      </w:r>
      <w:r w:rsidR="001B264B" w:rsidRPr="00882ACB">
        <w:rPr>
          <w:rFonts w:ascii="Arial" w:hAnsi="Arial" w:cs="Arial"/>
        </w:rPr>
        <w:t>post-</w:t>
      </w:r>
      <w:r w:rsidRPr="00882ACB">
        <w:rPr>
          <w:rFonts w:ascii="Arial" w:hAnsi="Arial" w:cs="Arial"/>
        </w:rPr>
        <w:t>treatment.</w:t>
      </w:r>
      <w:r w:rsidR="006949D3" w:rsidRPr="00C9003A">
        <w:rPr>
          <w:rFonts w:ascii="Arial" w:hAnsi="Arial" w:cs="Arial"/>
          <w:vertAlign w:val="superscript"/>
        </w:rPr>
        <w:t>14</w:t>
      </w:r>
      <w:r w:rsidR="008E765D" w:rsidRPr="00882ACB">
        <w:rPr>
          <w:rFonts w:ascii="Arial" w:hAnsi="Arial" w:cs="Arial"/>
        </w:rPr>
        <w:t xml:space="preserve"> </w:t>
      </w:r>
      <w:r w:rsidRPr="00882ACB">
        <w:rPr>
          <w:rFonts w:ascii="Arial" w:hAnsi="Arial" w:cs="Arial"/>
        </w:rPr>
        <w:t xml:space="preserve">The </w:t>
      </w:r>
      <w:r w:rsidR="00CB2FEC" w:rsidRPr="00882ACB">
        <w:rPr>
          <w:rFonts w:ascii="Arial" w:hAnsi="Arial" w:cs="Arial"/>
        </w:rPr>
        <w:t xml:space="preserve">Patient Evaluation Measure </w:t>
      </w:r>
      <w:r w:rsidRPr="00882ACB">
        <w:rPr>
          <w:rFonts w:ascii="Arial" w:hAnsi="Arial" w:cs="Arial"/>
        </w:rPr>
        <w:t xml:space="preserve">was also completed at </w:t>
      </w:r>
      <w:r w:rsidR="00861EAE" w:rsidRPr="00882ACB">
        <w:rPr>
          <w:rFonts w:ascii="Arial" w:hAnsi="Arial" w:cs="Arial"/>
        </w:rPr>
        <w:t xml:space="preserve">baseline, before treatment delivery, </w:t>
      </w:r>
      <w:r w:rsidRPr="00882ACB">
        <w:rPr>
          <w:rFonts w:ascii="Arial" w:hAnsi="Arial" w:cs="Arial"/>
        </w:rPr>
        <w:t xml:space="preserve">3 months, 6 months, and 2 years </w:t>
      </w:r>
      <w:r w:rsidR="00FC3C29" w:rsidRPr="00882ACB">
        <w:rPr>
          <w:rFonts w:ascii="Arial" w:hAnsi="Arial" w:cs="Arial"/>
        </w:rPr>
        <w:t>post-</w:t>
      </w:r>
      <w:r w:rsidRPr="00882ACB">
        <w:rPr>
          <w:rFonts w:ascii="Arial" w:hAnsi="Arial" w:cs="Arial"/>
        </w:rPr>
        <w:t>treatment</w:t>
      </w:r>
      <w:r w:rsidR="006B0CCB" w:rsidRPr="00882ACB">
        <w:rPr>
          <w:rFonts w:ascii="Arial" w:hAnsi="Arial" w:cs="Arial"/>
        </w:rPr>
        <w:t>, with the additional post-treatment measurements serving as secondary endpoints</w:t>
      </w:r>
      <w:r w:rsidRPr="00882ACB">
        <w:rPr>
          <w:rFonts w:ascii="Arial" w:hAnsi="Arial" w:cs="Arial"/>
        </w:rPr>
        <w:t>.</w:t>
      </w:r>
    </w:p>
    <w:p w14:paraId="1548131F" w14:textId="5CD4DFE7" w:rsidR="008F3415" w:rsidRPr="00BB2840" w:rsidRDefault="00BE2EBB" w:rsidP="00BB2840">
      <w:pPr>
        <w:rPr>
          <w:rFonts w:ascii="Helvetica" w:eastAsia="Times New Roman" w:hAnsi="Helvetica" w:cs="Times New Roman"/>
          <w:szCs w:val="24"/>
          <w:lang w:val="en-US"/>
        </w:rPr>
      </w:pPr>
      <w:r w:rsidRPr="008F3415">
        <w:rPr>
          <w:rFonts w:ascii="Arial" w:hAnsi="Arial" w:cs="Arial"/>
          <w:szCs w:val="24"/>
        </w:rPr>
        <w:t>Seco</w:t>
      </w:r>
      <w:r w:rsidR="008F3415" w:rsidRPr="008F3415">
        <w:rPr>
          <w:rFonts w:ascii="Arial" w:hAnsi="Arial" w:cs="Arial"/>
          <w:szCs w:val="24"/>
        </w:rPr>
        <w:t>n</w:t>
      </w:r>
      <w:r w:rsidRPr="008F3415">
        <w:rPr>
          <w:rFonts w:ascii="Arial" w:hAnsi="Arial" w:cs="Arial"/>
          <w:szCs w:val="24"/>
        </w:rPr>
        <w:t xml:space="preserve">dary outcomes included the </w:t>
      </w:r>
      <w:proofErr w:type="spellStart"/>
      <w:r w:rsidRPr="008F3415">
        <w:rPr>
          <w:rFonts w:ascii="Arial" w:hAnsi="Arial" w:cs="Arial"/>
          <w:szCs w:val="24"/>
        </w:rPr>
        <w:t>Unité</w:t>
      </w:r>
      <w:proofErr w:type="spellEnd"/>
      <w:r w:rsidRPr="008F3415">
        <w:rPr>
          <w:rFonts w:ascii="Arial" w:hAnsi="Arial" w:cs="Arial"/>
          <w:szCs w:val="24"/>
        </w:rPr>
        <w:t xml:space="preserve"> </w:t>
      </w:r>
      <w:proofErr w:type="spellStart"/>
      <w:r w:rsidRPr="008F3415">
        <w:rPr>
          <w:rFonts w:ascii="Arial" w:hAnsi="Arial" w:cs="Arial"/>
          <w:szCs w:val="24"/>
        </w:rPr>
        <w:t>Rhumatologique</w:t>
      </w:r>
      <w:proofErr w:type="spellEnd"/>
      <w:r w:rsidRPr="008F3415">
        <w:rPr>
          <w:rFonts w:ascii="Arial" w:hAnsi="Arial" w:cs="Arial"/>
          <w:szCs w:val="24"/>
        </w:rPr>
        <w:t xml:space="preserve"> des Affections de la Main scale</w:t>
      </w:r>
      <w:r w:rsidR="006949D3" w:rsidRPr="008F3415">
        <w:rPr>
          <w:rFonts w:ascii="Arial" w:hAnsi="Arial" w:cs="Arial"/>
          <w:noProof/>
          <w:szCs w:val="24"/>
          <w:vertAlign w:val="superscript"/>
        </w:rPr>
        <w:t>15</w:t>
      </w:r>
      <w:r w:rsidR="00D42C95" w:rsidRPr="008F3415">
        <w:rPr>
          <w:rFonts w:ascii="Arial" w:hAnsi="Arial" w:cs="Arial"/>
          <w:szCs w:val="24"/>
        </w:rPr>
        <w:t xml:space="preserve"> (Range 0-45, higher scores indicate greater difficulties)</w:t>
      </w:r>
      <w:r w:rsidR="00A82CC8" w:rsidRPr="008F3415">
        <w:rPr>
          <w:rFonts w:ascii="Arial" w:hAnsi="Arial" w:cs="Arial"/>
          <w:szCs w:val="24"/>
        </w:rPr>
        <w:t>,</w:t>
      </w:r>
      <w:r w:rsidRPr="008F3415">
        <w:rPr>
          <w:rFonts w:ascii="Arial" w:hAnsi="Arial" w:cs="Arial"/>
          <w:szCs w:val="24"/>
        </w:rPr>
        <w:t xml:space="preserve"> Michigan Hand Questionnaire </w:t>
      </w:r>
      <w:r w:rsidR="006949D3" w:rsidRPr="008F3415">
        <w:rPr>
          <w:rFonts w:ascii="Arial" w:hAnsi="Arial" w:cs="Arial"/>
          <w:noProof/>
          <w:szCs w:val="24"/>
          <w:vertAlign w:val="superscript"/>
        </w:rPr>
        <w:t>16, 17</w:t>
      </w:r>
      <w:r w:rsidR="00D42C95" w:rsidRPr="008F3415">
        <w:rPr>
          <w:rFonts w:ascii="Arial" w:hAnsi="Arial" w:cs="Arial"/>
          <w:szCs w:val="24"/>
        </w:rPr>
        <w:t xml:space="preserve"> (Range 0-100, higher scores indicate better function, less pain, greater satisfaction),</w:t>
      </w:r>
      <w:r w:rsidRPr="008F3415">
        <w:rPr>
          <w:rFonts w:ascii="Arial" w:hAnsi="Arial" w:cs="Arial"/>
          <w:szCs w:val="24"/>
        </w:rPr>
        <w:t xml:space="preserve"> recurrence, extension deficit and total active movement, re-</w:t>
      </w:r>
      <w:r w:rsidRPr="008F3415">
        <w:rPr>
          <w:rFonts w:ascii="Arial" w:hAnsi="Arial" w:cs="Arial"/>
          <w:szCs w:val="24"/>
        </w:rPr>
        <w:lastRenderedPageBreak/>
        <w:t>intervention</w:t>
      </w:r>
      <w:r w:rsidR="00252022" w:rsidRPr="008F3415">
        <w:rPr>
          <w:rFonts w:ascii="Arial" w:hAnsi="Arial" w:cs="Arial"/>
          <w:szCs w:val="24"/>
        </w:rPr>
        <w:t xml:space="preserve"> (further treatment of the reference digit using Collagenase </w:t>
      </w:r>
      <w:r w:rsidR="00781B82" w:rsidRPr="008F3415">
        <w:rPr>
          <w:rFonts w:ascii="Arial" w:hAnsi="Arial" w:cs="Arial"/>
          <w:szCs w:val="24"/>
        </w:rPr>
        <w:t>i</w:t>
      </w:r>
      <w:r w:rsidR="00252022" w:rsidRPr="008F3415">
        <w:rPr>
          <w:rFonts w:ascii="Arial" w:hAnsi="Arial" w:cs="Arial"/>
          <w:szCs w:val="24"/>
        </w:rPr>
        <w:t xml:space="preserve">njection, </w:t>
      </w:r>
      <w:r w:rsidR="00781B82" w:rsidRPr="008F3415">
        <w:rPr>
          <w:rFonts w:ascii="Arial" w:hAnsi="Arial" w:cs="Arial"/>
          <w:szCs w:val="24"/>
        </w:rPr>
        <w:t>l</w:t>
      </w:r>
      <w:r w:rsidR="00252022" w:rsidRPr="008F3415">
        <w:rPr>
          <w:rFonts w:ascii="Arial" w:hAnsi="Arial" w:cs="Arial"/>
          <w:szCs w:val="24"/>
        </w:rPr>
        <w:t xml:space="preserve">imited </w:t>
      </w:r>
      <w:r w:rsidR="00781B82" w:rsidRPr="008F3415">
        <w:rPr>
          <w:rFonts w:ascii="Arial" w:hAnsi="Arial" w:cs="Arial"/>
          <w:szCs w:val="24"/>
        </w:rPr>
        <w:t>f</w:t>
      </w:r>
      <w:r w:rsidR="00252022" w:rsidRPr="008F3415">
        <w:rPr>
          <w:rFonts w:ascii="Arial" w:hAnsi="Arial" w:cs="Arial"/>
          <w:szCs w:val="24"/>
        </w:rPr>
        <w:t xml:space="preserve">asciectomy, </w:t>
      </w:r>
      <w:r w:rsidR="00781B82" w:rsidRPr="008F3415">
        <w:rPr>
          <w:rFonts w:ascii="Arial" w:hAnsi="Arial" w:cs="Arial"/>
          <w:szCs w:val="24"/>
        </w:rPr>
        <w:t>p</w:t>
      </w:r>
      <w:r w:rsidR="00252022" w:rsidRPr="008F3415">
        <w:rPr>
          <w:rFonts w:ascii="Arial" w:hAnsi="Arial" w:cs="Arial"/>
          <w:szCs w:val="24"/>
        </w:rPr>
        <w:t xml:space="preserve">ercutaneous </w:t>
      </w:r>
      <w:r w:rsidR="00781B82" w:rsidRPr="008F3415">
        <w:rPr>
          <w:rFonts w:ascii="Arial" w:hAnsi="Arial" w:cs="Arial"/>
          <w:szCs w:val="24"/>
        </w:rPr>
        <w:t>n</w:t>
      </w:r>
      <w:r w:rsidR="00252022" w:rsidRPr="008F3415">
        <w:rPr>
          <w:rFonts w:ascii="Arial" w:hAnsi="Arial" w:cs="Arial"/>
          <w:szCs w:val="24"/>
        </w:rPr>
        <w:t xml:space="preserve">eedle </w:t>
      </w:r>
      <w:r w:rsidR="00781B82" w:rsidRPr="008F3415">
        <w:rPr>
          <w:rFonts w:ascii="Arial" w:hAnsi="Arial" w:cs="Arial"/>
          <w:szCs w:val="24"/>
        </w:rPr>
        <w:t>f</w:t>
      </w:r>
      <w:r w:rsidR="00252022" w:rsidRPr="008F3415">
        <w:rPr>
          <w:rFonts w:ascii="Arial" w:hAnsi="Arial" w:cs="Arial"/>
          <w:szCs w:val="24"/>
        </w:rPr>
        <w:t xml:space="preserve">asciotomy or </w:t>
      </w:r>
      <w:proofErr w:type="spellStart"/>
      <w:r w:rsidR="00781B82" w:rsidRPr="008F3415">
        <w:rPr>
          <w:rFonts w:ascii="Arial" w:hAnsi="Arial" w:cs="Arial"/>
          <w:szCs w:val="24"/>
        </w:rPr>
        <w:t>d</w:t>
      </w:r>
      <w:r w:rsidR="00252022" w:rsidRPr="008F3415">
        <w:rPr>
          <w:rFonts w:ascii="Arial" w:hAnsi="Arial" w:cs="Arial"/>
          <w:szCs w:val="24"/>
        </w:rPr>
        <w:t>ermofasciectomy</w:t>
      </w:r>
      <w:proofErr w:type="spellEnd"/>
      <w:r w:rsidR="00252022" w:rsidRPr="008F3415">
        <w:rPr>
          <w:rFonts w:ascii="Arial" w:hAnsi="Arial" w:cs="Arial"/>
          <w:szCs w:val="24"/>
        </w:rPr>
        <w:t>)</w:t>
      </w:r>
      <w:r w:rsidRPr="008F3415">
        <w:rPr>
          <w:rFonts w:ascii="Arial" w:hAnsi="Arial" w:cs="Arial"/>
          <w:szCs w:val="24"/>
        </w:rPr>
        <w:t xml:space="preserve">, time to </w:t>
      </w:r>
      <w:r w:rsidR="00FC3C29" w:rsidRPr="008F3415">
        <w:rPr>
          <w:rFonts w:ascii="Arial" w:hAnsi="Arial" w:cs="Arial"/>
          <w:szCs w:val="24"/>
        </w:rPr>
        <w:t xml:space="preserve">function </w:t>
      </w:r>
      <w:r w:rsidRPr="008F3415">
        <w:rPr>
          <w:rFonts w:ascii="Arial" w:hAnsi="Arial" w:cs="Arial"/>
          <w:szCs w:val="24"/>
        </w:rPr>
        <w:t>recovery (using a single assessment numeric evaluation</w:t>
      </w:r>
      <w:r w:rsidR="00DF012B" w:rsidRPr="008F3415">
        <w:rPr>
          <w:rFonts w:ascii="Arial" w:hAnsi="Arial" w:cs="Arial"/>
          <w:szCs w:val="24"/>
        </w:rPr>
        <w:t xml:space="preserve"> </w:t>
      </w:r>
      <w:r w:rsidRPr="008F3415">
        <w:rPr>
          <w:rFonts w:ascii="Arial" w:hAnsi="Arial" w:cs="Arial"/>
          <w:szCs w:val="24"/>
        </w:rPr>
        <w:t>measure)</w:t>
      </w:r>
      <w:r w:rsidR="00067FAB" w:rsidRPr="008F3415">
        <w:rPr>
          <w:rFonts w:ascii="Arial" w:hAnsi="Arial" w:cs="Arial"/>
          <w:szCs w:val="24"/>
        </w:rPr>
        <w:t>,</w:t>
      </w:r>
      <w:r w:rsidRPr="008F3415">
        <w:rPr>
          <w:rFonts w:ascii="Arial" w:hAnsi="Arial" w:cs="Arial"/>
          <w:szCs w:val="24"/>
        </w:rPr>
        <w:t>overall hand assessment</w:t>
      </w:r>
      <w:r w:rsidR="00067FAB" w:rsidRPr="008F3415">
        <w:rPr>
          <w:rFonts w:ascii="Arial" w:hAnsi="Arial" w:cs="Arial"/>
          <w:szCs w:val="24"/>
        </w:rPr>
        <w:t xml:space="preserve"> and </w:t>
      </w:r>
      <w:r w:rsidR="008F3415" w:rsidRPr="00BB2840">
        <w:rPr>
          <w:rFonts w:ascii="Helvetica" w:eastAsia="Times New Roman" w:hAnsi="Helvetica" w:cs="Times New Roman"/>
          <w:szCs w:val="24"/>
          <w:lang w:val="en-US"/>
        </w:rPr>
        <w:t>and complications relating to study treatments or to the reference hand, regardless of whether related to study treatment  (Table S1 further describes all outcomes).  We also collected information on other serious adverse events regardless of relation to study treatment.</w:t>
      </w:r>
    </w:p>
    <w:p w14:paraId="73236A00" w14:textId="6017DB81" w:rsidR="003362AB" w:rsidRPr="00882ACB" w:rsidRDefault="008C2A5D" w:rsidP="005027B7">
      <w:pPr>
        <w:rPr>
          <w:rFonts w:asciiTheme="minorBidi" w:eastAsia="AvenirNextLTPro-Regular" w:hAnsiTheme="minorBidi"/>
        </w:rPr>
      </w:pPr>
      <w:r w:rsidRPr="00882ACB">
        <w:rPr>
          <w:rFonts w:ascii="Arial" w:hAnsi="Arial" w:cs="Arial"/>
        </w:rPr>
        <w:t>Secondary patient reported outcomes were collected at baseline, and</w:t>
      </w:r>
      <w:r w:rsidR="00E1024E" w:rsidRPr="00882ACB">
        <w:rPr>
          <w:rFonts w:ascii="Arial" w:hAnsi="Arial" w:cs="Arial"/>
        </w:rPr>
        <w:t xml:space="preserve"> the same</w:t>
      </w:r>
      <w:r w:rsidRPr="00882ACB">
        <w:rPr>
          <w:rFonts w:ascii="Arial" w:hAnsi="Arial" w:cs="Arial"/>
        </w:rPr>
        <w:t xml:space="preserve"> post-treatment time points as</w:t>
      </w:r>
      <w:r w:rsidR="00E1024E" w:rsidRPr="00882ACB">
        <w:rPr>
          <w:rFonts w:ascii="Arial" w:hAnsi="Arial" w:cs="Arial"/>
        </w:rPr>
        <w:t xml:space="preserve"> the</w:t>
      </w:r>
      <w:r w:rsidRPr="00882ACB">
        <w:rPr>
          <w:rFonts w:ascii="Arial" w:hAnsi="Arial" w:cs="Arial"/>
        </w:rPr>
        <w:t xml:space="preserve"> </w:t>
      </w:r>
      <w:r w:rsidR="00CB2FEC" w:rsidRPr="00882ACB">
        <w:rPr>
          <w:rFonts w:ascii="Arial" w:hAnsi="Arial" w:cs="Arial"/>
        </w:rPr>
        <w:t>Patient Evaluation Measure</w:t>
      </w:r>
      <w:r w:rsidR="00E1024E" w:rsidRPr="00882ACB">
        <w:rPr>
          <w:rFonts w:ascii="Arial" w:hAnsi="Arial" w:cs="Arial"/>
        </w:rPr>
        <w:t xml:space="preserve">, except for </w:t>
      </w:r>
      <w:r w:rsidR="00CB2FEC" w:rsidRPr="00882ACB">
        <w:rPr>
          <w:rFonts w:ascii="Arial" w:hAnsi="Arial" w:cs="Arial"/>
        </w:rPr>
        <w:t xml:space="preserve">Single Assessment Numeric Evaluation </w:t>
      </w:r>
      <w:r w:rsidR="00E1024E" w:rsidRPr="00882ACB">
        <w:rPr>
          <w:rFonts w:ascii="Arial" w:hAnsi="Arial" w:cs="Arial"/>
        </w:rPr>
        <w:t>(</w:t>
      </w:r>
      <w:r w:rsidR="00112542" w:rsidRPr="00882ACB">
        <w:rPr>
          <w:rFonts w:ascii="Arial" w:hAnsi="Arial" w:cs="Arial"/>
        </w:rPr>
        <w:t xml:space="preserve">also </w:t>
      </w:r>
      <w:r w:rsidR="00BE2EBB" w:rsidRPr="00882ACB">
        <w:rPr>
          <w:rFonts w:ascii="Arial" w:hAnsi="Arial" w:cs="Arial"/>
        </w:rPr>
        <w:t>collected at 2- and 6-weeks</w:t>
      </w:r>
      <w:r w:rsidR="00E1024E" w:rsidRPr="00882ACB">
        <w:rPr>
          <w:rFonts w:ascii="Arial" w:hAnsi="Arial" w:cs="Arial"/>
        </w:rPr>
        <w:t xml:space="preserve">) and </w:t>
      </w:r>
      <w:r w:rsidR="00CB2FEC" w:rsidRPr="00882ACB">
        <w:rPr>
          <w:rFonts w:ascii="Arial" w:hAnsi="Arial" w:cs="Arial"/>
        </w:rPr>
        <w:t xml:space="preserve">the Michigan Hand Questionnaire </w:t>
      </w:r>
      <w:r w:rsidR="00E1024E" w:rsidRPr="00882ACB">
        <w:rPr>
          <w:rFonts w:ascii="Arial" w:hAnsi="Arial" w:cs="Arial"/>
        </w:rPr>
        <w:t>(only</w:t>
      </w:r>
      <w:r w:rsidR="00D86B53" w:rsidRPr="00882ACB">
        <w:rPr>
          <w:rFonts w:ascii="Arial" w:hAnsi="Arial" w:cs="Arial"/>
        </w:rPr>
        <w:t xml:space="preserve"> collected</w:t>
      </w:r>
      <w:r w:rsidR="00E1024E" w:rsidRPr="00882ACB">
        <w:rPr>
          <w:rFonts w:ascii="Arial" w:hAnsi="Arial" w:cs="Arial"/>
        </w:rPr>
        <w:t xml:space="preserve"> at 1 and 2-years)</w:t>
      </w:r>
      <w:r w:rsidR="00BE2EBB" w:rsidRPr="00882ACB">
        <w:rPr>
          <w:rFonts w:ascii="Arial" w:hAnsi="Arial" w:cs="Arial"/>
        </w:rPr>
        <w:t xml:space="preserve">. Outcomes were collected in hospital clinics, with some participants followed up </w:t>
      </w:r>
      <w:r w:rsidR="00112542" w:rsidRPr="00882ACB">
        <w:rPr>
          <w:rFonts w:ascii="Arial" w:hAnsi="Arial" w:cs="Arial"/>
        </w:rPr>
        <w:t xml:space="preserve">by </w:t>
      </w:r>
      <w:r w:rsidR="00BE2EBB" w:rsidRPr="00882ACB">
        <w:rPr>
          <w:rFonts w:ascii="Arial" w:hAnsi="Arial" w:cs="Arial"/>
        </w:rPr>
        <w:t>post, telephone or video</w:t>
      </w:r>
      <w:r w:rsidR="00112542" w:rsidRPr="00882ACB">
        <w:rPr>
          <w:rFonts w:ascii="Arial" w:hAnsi="Arial" w:cs="Arial"/>
        </w:rPr>
        <w:t xml:space="preserve">-call </w:t>
      </w:r>
      <w:r w:rsidR="00BE2EBB" w:rsidRPr="00882ACB">
        <w:rPr>
          <w:rFonts w:ascii="Arial" w:hAnsi="Arial" w:cs="Arial"/>
        </w:rPr>
        <w:t>during the COVID 19 pandemic.</w:t>
      </w:r>
      <w:r w:rsidR="006949D3" w:rsidRPr="00C9003A">
        <w:rPr>
          <w:rFonts w:ascii="Arial" w:hAnsi="Arial" w:cs="Arial"/>
          <w:noProof/>
          <w:vertAlign w:val="superscript"/>
        </w:rPr>
        <w:t>18</w:t>
      </w:r>
      <w:r w:rsidR="00336202" w:rsidRPr="00882ACB">
        <w:rPr>
          <w:rFonts w:asciiTheme="minorBidi" w:eastAsia="AvenirNextLTPro-Regular" w:hAnsiTheme="minorBidi"/>
        </w:rPr>
        <w:t xml:space="preserve"> </w:t>
      </w:r>
    </w:p>
    <w:p w14:paraId="4AA1224F" w14:textId="77777777" w:rsidR="008F1915" w:rsidRPr="00882ACB" w:rsidRDefault="008F1915" w:rsidP="00456ECB">
      <w:pPr>
        <w:jc w:val="both"/>
        <w:rPr>
          <w:rFonts w:ascii="Arial" w:hAnsi="Arial" w:cs="Arial"/>
          <w:u w:val="single"/>
        </w:rPr>
      </w:pPr>
    </w:p>
    <w:p w14:paraId="0F12BB0E" w14:textId="463C7BA6" w:rsidR="008A1149" w:rsidRPr="00882ACB" w:rsidRDefault="00F1415F" w:rsidP="00456ECB">
      <w:pPr>
        <w:jc w:val="both"/>
        <w:rPr>
          <w:rFonts w:ascii="Arial" w:hAnsi="Arial" w:cs="Arial"/>
          <w:u w:val="single"/>
        </w:rPr>
      </w:pPr>
      <w:r w:rsidRPr="00882ACB">
        <w:rPr>
          <w:rFonts w:ascii="Arial" w:hAnsi="Arial" w:cs="Arial"/>
          <w:u w:val="single"/>
        </w:rPr>
        <w:t xml:space="preserve">Randomization </w:t>
      </w:r>
      <w:r w:rsidR="008A1149" w:rsidRPr="00882ACB">
        <w:rPr>
          <w:rFonts w:ascii="Arial" w:hAnsi="Arial" w:cs="Arial"/>
          <w:u w:val="single"/>
        </w:rPr>
        <w:t>and Blinding</w:t>
      </w:r>
    </w:p>
    <w:p w14:paraId="7A9AB610" w14:textId="43113602" w:rsidR="008A1149" w:rsidRPr="00882ACB" w:rsidRDefault="008A1149" w:rsidP="008A1149">
      <w:pPr>
        <w:rPr>
          <w:rFonts w:ascii="Arial" w:hAnsi="Arial" w:cs="Arial"/>
        </w:rPr>
      </w:pPr>
      <w:r w:rsidRPr="00882ACB">
        <w:rPr>
          <w:rFonts w:ascii="Arial" w:hAnsi="Arial" w:cs="Arial"/>
        </w:rPr>
        <w:t xml:space="preserve">Participants were </w:t>
      </w:r>
      <w:r w:rsidR="00F1415F" w:rsidRPr="00882ACB">
        <w:rPr>
          <w:rFonts w:ascii="Arial" w:hAnsi="Arial" w:cs="Arial"/>
        </w:rPr>
        <w:t xml:space="preserve">randomized </w:t>
      </w:r>
      <w:r w:rsidRPr="00882ACB">
        <w:rPr>
          <w:rFonts w:ascii="Arial" w:hAnsi="Arial" w:cs="Arial"/>
        </w:rPr>
        <w:t xml:space="preserve">1:1 to </w:t>
      </w:r>
      <w:r w:rsidR="003D0AE3" w:rsidRPr="00882ACB">
        <w:rPr>
          <w:rFonts w:ascii="Arial" w:hAnsi="Arial" w:cs="Arial"/>
        </w:rPr>
        <w:t xml:space="preserve">receive </w:t>
      </w:r>
      <w:r w:rsidRPr="00882ACB">
        <w:rPr>
          <w:rFonts w:ascii="Arial" w:hAnsi="Arial" w:cs="Arial"/>
        </w:rPr>
        <w:t xml:space="preserve">collagenase injection or </w:t>
      </w:r>
      <w:r w:rsidR="006839F1" w:rsidRPr="00882ACB">
        <w:rPr>
          <w:rFonts w:ascii="Arial" w:hAnsi="Arial" w:cs="Arial"/>
        </w:rPr>
        <w:t>limited fasciectomy</w:t>
      </w:r>
      <w:r w:rsidRPr="00882ACB">
        <w:rPr>
          <w:rFonts w:ascii="Arial" w:hAnsi="Arial" w:cs="Arial"/>
        </w:rPr>
        <w:t>, using randomly varying block sizes</w:t>
      </w:r>
      <w:r w:rsidR="00666E3F" w:rsidRPr="00882ACB">
        <w:rPr>
          <w:rFonts w:ascii="Arial" w:hAnsi="Arial" w:cs="Arial"/>
        </w:rPr>
        <w:t xml:space="preserve"> (Sizes 4 and 6)</w:t>
      </w:r>
      <w:r w:rsidRPr="00882ACB">
        <w:rPr>
          <w:rFonts w:ascii="Arial" w:hAnsi="Arial" w:cs="Arial"/>
        </w:rPr>
        <w:t xml:space="preserve"> and stratification by the reference joint (</w:t>
      </w:r>
      <w:r w:rsidR="00794562" w:rsidRPr="00882ACB">
        <w:rPr>
          <w:rFonts w:ascii="Arial" w:hAnsi="Arial" w:cs="Arial"/>
        </w:rPr>
        <w:t>m</w:t>
      </w:r>
      <w:r w:rsidR="00EE572F" w:rsidRPr="00882ACB">
        <w:rPr>
          <w:rFonts w:ascii="Arial" w:hAnsi="Arial" w:cs="Arial"/>
        </w:rPr>
        <w:t xml:space="preserve">etacarpophalangeal or </w:t>
      </w:r>
      <w:r w:rsidR="00794562" w:rsidRPr="00882ACB">
        <w:rPr>
          <w:rFonts w:ascii="Arial" w:hAnsi="Arial" w:cs="Arial"/>
        </w:rPr>
        <w:t>p</w:t>
      </w:r>
      <w:r w:rsidR="00EE572F" w:rsidRPr="00882ACB">
        <w:rPr>
          <w:rFonts w:ascii="Arial" w:hAnsi="Arial" w:cs="Arial"/>
        </w:rPr>
        <w:t>roximal interphalangeal joint</w:t>
      </w:r>
      <w:r w:rsidRPr="00882ACB">
        <w:rPr>
          <w:rFonts w:ascii="Arial" w:hAnsi="Arial" w:cs="Arial"/>
        </w:rPr>
        <w:t xml:space="preserve">). </w:t>
      </w:r>
      <w:r w:rsidR="00D004AE" w:rsidRPr="00882ACB">
        <w:rPr>
          <w:rFonts w:ascii="Arial" w:hAnsi="Arial" w:cs="Arial"/>
        </w:rPr>
        <w:t>T</w:t>
      </w:r>
      <w:r w:rsidRPr="00882ACB">
        <w:rPr>
          <w:rFonts w:ascii="Arial" w:hAnsi="Arial" w:cs="Arial"/>
        </w:rPr>
        <w:t xml:space="preserve">he </w:t>
      </w:r>
      <w:r w:rsidR="00F1415F" w:rsidRPr="00882ACB">
        <w:rPr>
          <w:rFonts w:ascii="Arial" w:hAnsi="Arial" w:cs="Arial"/>
        </w:rPr>
        <w:t xml:space="preserve">randomization </w:t>
      </w:r>
      <w:r w:rsidRPr="00882ACB">
        <w:rPr>
          <w:rFonts w:ascii="Arial" w:hAnsi="Arial" w:cs="Arial"/>
        </w:rPr>
        <w:t>sequence was amended, from 21</w:t>
      </w:r>
      <w:r w:rsidRPr="00882ACB">
        <w:rPr>
          <w:rFonts w:ascii="Arial" w:hAnsi="Arial" w:cs="Arial"/>
          <w:vertAlign w:val="superscript"/>
        </w:rPr>
        <w:t>st</w:t>
      </w:r>
      <w:r w:rsidRPr="00882ACB">
        <w:rPr>
          <w:rFonts w:ascii="Arial" w:hAnsi="Arial" w:cs="Arial"/>
        </w:rPr>
        <w:t xml:space="preserve"> January 2020, to include stratification by </w:t>
      </w:r>
      <w:proofErr w:type="spellStart"/>
      <w:r w:rsidR="00F1415F" w:rsidRPr="00882ACB">
        <w:rPr>
          <w:rFonts w:ascii="Arial" w:hAnsi="Arial" w:cs="Arial"/>
        </w:rPr>
        <w:t>center</w:t>
      </w:r>
      <w:proofErr w:type="spellEnd"/>
      <w:r w:rsidRPr="00882ACB">
        <w:rPr>
          <w:rFonts w:ascii="Arial" w:hAnsi="Arial" w:cs="Arial"/>
        </w:rPr>
        <w:t>.</w:t>
      </w:r>
    </w:p>
    <w:p w14:paraId="72B056C0" w14:textId="07875EEB" w:rsidR="008A1149" w:rsidRPr="00882ACB" w:rsidRDefault="008A1149" w:rsidP="008A1149">
      <w:pPr>
        <w:rPr>
          <w:rFonts w:ascii="Arial" w:hAnsi="Arial" w:cs="Arial"/>
        </w:rPr>
      </w:pPr>
      <w:r w:rsidRPr="00882ACB">
        <w:rPr>
          <w:rFonts w:ascii="Arial" w:eastAsia="Arial" w:hAnsi="Arial" w:cs="Arial"/>
        </w:rPr>
        <w:t xml:space="preserve">The allocation sequence was generated by the trial statistician, independent of the recruiting sites, and a </w:t>
      </w:r>
      <w:r w:rsidRPr="00882ACB">
        <w:rPr>
          <w:rFonts w:ascii="Arial" w:hAnsi="Arial" w:cs="Arial"/>
        </w:rPr>
        <w:t xml:space="preserve">secure central online </w:t>
      </w:r>
      <w:r w:rsidR="00F1415F" w:rsidRPr="00882ACB">
        <w:rPr>
          <w:rFonts w:ascii="Arial" w:hAnsi="Arial" w:cs="Arial"/>
        </w:rPr>
        <w:t xml:space="preserve">randomization </w:t>
      </w:r>
      <w:r w:rsidRPr="00882ACB">
        <w:rPr>
          <w:rFonts w:ascii="Arial" w:hAnsi="Arial" w:cs="Arial"/>
        </w:rPr>
        <w:t xml:space="preserve">service </w:t>
      </w:r>
      <w:r w:rsidR="003C7096" w:rsidRPr="00882ACB">
        <w:rPr>
          <w:rFonts w:ascii="Arial" w:hAnsi="Arial" w:cs="Arial"/>
        </w:rPr>
        <w:t>(</w:t>
      </w:r>
      <w:r w:rsidRPr="00882ACB">
        <w:rPr>
          <w:rFonts w:ascii="Arial" w:hAnsi="Arial" w:cs="Arial"/>
        </w:rPr>
        <w:t>Sealed Envelope Ltd</w:t>
      </w:r>
      <w:r w:rsidR="003C7096" w:rsidRPr="00882ACB">
        <w:rPr>
          <w:rFonts w:ascii="Arial" w:hAnsi="Arial" w:cs="Arial"/>
        </w:rPr>
        <w:t>)</w:t>
      </w:r>
      <w:r w:rsidR="00D004AE" w:rsidRPr="00882ACB">
        <w:rPr>
          <w:rFonts w:ascii="Arial" w:hAnsi="Arial" w:cs="Arial"/>
        </w:rPr>
        <w:t xml:space="preserve"> </w:t>
      </w:r>
      <w:r w:rsidR="00666E3F" w:rsidRPr="00882ACB">
        <w:rPr>
          <w:rFonts w:ascii="Arial" w:eastAsia="Arial" w:hAnsi="Arial" w:cs="Arial"/>
        </w:rPr>
        <w:t>was used</w:t>
      </w:r>
      <w:r w:rsidRPr="00882ACB">
        <w:rPr>
          <w:rFonts w:ascii="Arial" w:hAnsi="Arial" w:cs="Arial"/>
        </w:rPr>
        <w:t xml:space="preserve">. </w:t>
      </w:r>
    </w:p>
    <w:p w14:paraId="3253E8CB" w14:textId="7F9234EC" w:rsidR="008A1149" w:rsidRPr="00BD7D23" w:rsidRDefault="00E06B29" w:rsidP="008A1149">
      <w:pPr>
        <w:rPr>
          <w:rFonts w:ascii="Arial" w:hAnsi="Arial" w:cs="Arial"/>
        </w:rPr>
      </w:pPr>
      <w:r w:rsidRPr="00882ACB">
        <w:rPr>
          <w:rFonts w:ascii="Arial" w:hAnsi="Arial" w:cs="Arial"/>
        </w:rPr>
        <w:t>Clinicians and participants could not be blinded d</w:t>
      </w:r>
      <w:r w:rsidR="008A1149" w:rsidRPr="00882ACB">
        <w:rPr>
          <w:rFonts w:ascii="Arial" w:hAnsi="Arial" w:cs="Arial"/>
        </w:rPr>
        <w:t>ue to the</w:t>
      </w:r>
      <w:r w:rsidRPr="00882ACB">
        <w:rPr>
          <w:rFonts w:ascii="Arial" w:hAnsi="Arial" w:cs="Arial"/>
        </w:rPr>
        <w:t xml:space="preserve"> nature of</w:t>
      </w:r>
      <w:r w:rsidR="008A1149" w:rsidRPr="00882ACB">
        <w:rPr>
          <w:rFonts w:ascii="Arial" w:hAnsi="Arial" w:cs="Arial"/>
        </w:rPr>
        <w:t xml:space="preserve"> </w:t>
      </w:r>
      <w:r w:rsidRPr="00882ACB">
        <w:rPr>
          <w:rFonts w:ascii="Arial" w:hAnsi="Arial" w:cs="Arial"/>
        </w:rPr>
        <w:t>trial</w:t>
      </w:r>
      <w:r w:rsidR="008A1149" w:rsidRPr="00882ACB">
        <w:rPr>
          <w:rFonts w:ascii="Arial" w:hAnsi="Arial" w:cs="Arial"/>
        </w:rPr>
        <w:t xml:space="preserve"> interventions. </w:t>
      </w:r>
      <w:r w:rsidRPr="00874869">
        <w:rPr>
          <w:rFonts w:ascii="Arial" w:hAnsi="Arial" w:cs="Arial"/>
        </w:rPr>
        <w:t>T</w:t>
      </w:r>
      <w:r w:rsidRPr="00874869">
        <w:rPr>
          <w:rFonts w:ascii="Arial" w:hAnsi="Arial" w:cs="Arial"/>
          <w:iCs/>
        </w:rPr>
        <w:t xml:space="preserve">he </w:t>
      </w:r>
      <w:proofErr w:type="spellStart"/>
      <w:r w:rsidRPr="00BD7D23">
        <w:rPr>
          <w:rFonts w:ascii="Arial" w:hAnsi="Arial" w:cs="Arial"/>
          <w:iCs/>
        </w:rPr>
        <w:t>analyzing</w:t>
      </w:r>
      <w:proofErr w:type="spellEnd"/>
      <w:r w:rsidRPr="00BD7D23">
        <w:rPr>
          <w:rFonts w:ascii="Arial" w:hAnsi="Arial" w:cs="Arial"/>
          <w:iCs/>
        </w:rPr>
        <w:t xml:space="preserve"> statistician</w:t>
      </w:r>
      <w:r w:rsidR="003362AB" w:rsidRPr="00BD7D23">
        <w:rPr>
          <w:rFonts w:ascii="Arial" w:hAnsi="Arial" w:cs="Arial"/>
          <w:iCs/>
        </w:rPr>
        <w:t xml:space="preserve"> </w:t>
      </w:r>
      <w:r w:rsidRPr="00BD7D23">
        <w:rPr>
          <w:rFonts w:ascii="Arial" w:hAnsi="Arial" w:cs="Arial"/>
          <w:iCs/>
        </w:rPr>
        <w:t xml:space="preserve">(CW) </w:t>
      </w:r>
      <w:r w:rsidR="00A249E9">
        <w:rPr>
          <w:rFonts w:ascii="Arial" w:hAnsi="Arial" w:cs="Arial"/>
          <w:iCs/>
        </w:rPr>
        <w:t xml:space="preserve">was </w:t>
      </w:r>
      <w:r w:rsidR="001B0376">
        <w:rPr>
          <w:rFonts w:ascii="Arial" w:hAnsi="Arial" w:cs="Arial"/>
          <w:iCs/>
        </w:rPr>
        <w:t xml:space="preserve">not </w:t>
      </w:r>
      <w:r w:rsidR="00A249E9">
        <w:rPr>
          <w:rFonts w:ascii="Arial" w:hAnsi="Arial" w:cs="Arial"/>
          <w:iCs/>
        </w:rPr>
        <w:t>blinded when performing the</w:t>
      </w:r>
      <w:r w:rsidR="00874869" w:rsidRPr="00BD7D23">
        <w:rPr>
          <w:rFonts w:ascii="Arial" w:hAnsi="Arial" w:cs="Arial"/>
        </w:rPr>
        <w:t xml:space="preserve"> final analyses according to the pre-specified analysis plan.</w:t>
      </w:r>
      <w:r w:rsidR="00874869" w:rsidRPr="00874869" w:rsidDel="000D5C4D">
        <w:rPr>
          <w:rFonts w:ascii="Arial" w:hAnsi="Arial" w:cs="Arial"/>
          <w:iCs/>
        </w:rPr>
        <w:t xml:space="preserve"> </w:t>
      </w:r>
    </w:p>
    <w:p w14:paraId="76A89C25" w14:textId="77777777" w:rsidR="00882AE6" w:rsidRPr="00882ACB" w:rsidRDefault="00882AE6" w:rsidP="00882AE6">
      <w:pPr>
        <w:rPr>
          <w:rFonts w:ascii="Arial" w:hAnsi="Arial" w:cs="Arial"/>
          <w:szCs w:val="24"/>
          <w:u w:val="single"/>
        </w:rPr>
      </w:pPr>
      <w:r w:rsidRPr="00882ACB">
        <w:rPr>
          <w:rFonts w:ascii="Arial" w:hAnsi="Arial" w:cs="Arial"/>
          <w:szCs w:val="24"/>
          <w:u w:val="single"/>
        </w:rPr>
        <w:t>Sample Size</w:t>
      </w:r>
    </w:p>
    <w:p w14:paraId="3D7B3E77" w14:textId="5D8866BF" w:rsidR="00882AE6" w:rsidRPr="00882ACB" w:rsidRDefault="00882AE6" w:rsidP="00882AE6">
      <w:pPr>
        <w:jc w:val="both"/>
      </w:pPr>
      <w:r w:rsidRPr="00882ACB">
        <w:rPr>
          <w:rFonts w:ascii="Arial" w:hAnsi="Arial" w:cs="Arial"/>
        </w:rPr>
        <w:t>Previous survey data suggested a D</w:t>
      </w:r>
      <w:r w:rsidR="00794562" w:rsidRPr="00882ACB">
        <w:rPr>
          <w:rFonts w:ascii="Arial" w:hAnsi="Arial" w:cs="Arial"/>
        </w:rPr>
        <w:t>upuytren</w:t>
      </w:r>
      <w:r w:rsidR="00A8189F" w:rsidRPr="00882ACB">
        <w:rPr>
          <w:rFonts w:ascii="Arial" w:hAnsi="Arial" w:cs="Arial"/>
        </w:rPr>
        <w:t>’</w:t>
      </w:r>
      <w:r w:rsidR="00794562" w:rsidRPr="00882ACB">
        <w:rPr>
          <w:rFonts w:ascii="Arial" w:hAnsi="Arial" w:cs="Arial"/>
        </w:rPr>
        <w:t>s contracture</w:t>
      </w:r>
      <w:r w:rsidRPr="00882ACB">
        <w:rPr>
          <w:rFonts w:ascii="Arial" w:hAnsi="Arial" w:cs="Arial"/>
        </w:rPr>
        <w:t xml:space="preserve"> population standard deviation of ~22 points P</w:t>
      </w:r>
      <w:r w:rsidR="00CB2FEC" w:rsidRPr="00882ACB">
        <w:rPr>
          <w:rFonts w:ascii="Arial" w:hAnsi="Arial" w:cs="Arial"/>
        </w:rPr>
        <w:t>atient Evaluation Measure</w:t>
      </w:r>
      <w:r w:rsidR="00DF37C9" w:rsidRPr="00882ACB">
        <w:rPr>
          <w:rFonts w:ascii="Arial" w:hAnsi="Arial" w:cs="Arial"/>
        </w:rPr>
        <w:t xml:space="preserve"> Hand Health</w:t>
      </w:r>
      <w:r w:rsidRPr="00882ACB">
        <w:rPr>
          <w:rFonts w:ascii="Arial" w:hAnsi="Arial" w:cs="Arial"/>
        </w:rPr>
        <w:t xml:space="preserve"> Scores.</w:t>
      </w:r>
      <w:r w:rsidR="006949D3" w:rsidRPr="00C9003A">
        <w:rPr>
          <w:rFonts w:ascii="Arial" w:hAnsi="Arial" w:cs="Arial"/>
          <w:noProof/>
          <w:vertAlign w:val="superscript"/>
        </w:rPr>
        <w:t>19</w:t>
      </w:r>
      <w:r w:rsidRPr="00882ACB">
        <w:t xml:space="preserve"> </w:t>
      </w:r>
      <w:r w:rsidR="00A8189F" w:rsidRPr="00882ACB">
        <w:rPr>
          <w:rFonts w:ascii="Arial" w:hAnsi="Arial" w:cs="Arial"/>
        </w:rPr>
        <w:t xml:space="preserve">In </w:t>
      </w:r>
      <w:r w:rsidR="00A82CC8" w:rsidRPr="00882ACB">
        <w:rPr>
          <w:rFonts w:ascii="Arial" w:hAnsi="Arial" w:cs="Arial"/>
        </w:rPr>
        <w:t xml:space="preserve">the absence of </w:t>
      </w:r>
      <w:r w:rsidRPr="00882ACB">
        <w:rPr>
          <w:rFonts w:ascii="Arial" w:hAnsi="Arial" w:cs="Arial"/>
        </w:rPr>
        <w:t xml:space="preserve">published consensus regarding an appropriate non-inferiority margin, we used previous </w:t>
      </w:r>
      <w:r w:rsidRPr="00882ACB">
        <w:rPr>
          <w:rFonts w:ascii="Arial" w:hAnsi="Arial" w:cs="Arial"/>
        </w:rPr>
        <w:lastRenderedPageBreak/>
        <w:t>data collected pre- and post-treatment and an anchor question regarding overall hand function to estimate the mean difference in P</w:t>
      </w:r>
      <w:r w:rsidR="00CB2FEC" w:rsidRPr="00882ACB">
        <w:rPr>
          <w:rFonts w:ascii="Arial" w:hAnsi="Arial" w:cs="Arial"/>
        </w:rPr>
        <w:t>atient Evaluation Measure</w:t>
      </w:r>
      <w:r w:rsidRPr="00882ACB">
        <w:rPr>
          <w:rFonts w:ascii="Arial" w:hAnsi="Arial" w:cs="Arial"/>
        </w:rPr>
        <w:t xml:space="preserve"> score associated with a minimal change in qualitative assessment of hand function. We assume</w:t>
      </w:r>
      <w:r w:rsidR="00A8189F" w:rsidRPr="00882ACB">
        <w:rPr>
          <w:rFonts w:ascii="Arial" w:hAnsi="Arial" w:cs="Arial"/>
        </w:rPr>
        <w:t>d</w:t>
      </w:r>
      <w:r w:rsidRPr="00882ACB">
        <w:rPr>
          <w:rFonts w:ascii="Arial" w:hAnsi="Arial" w:cs="Arial"/>
        </w:rPr>
        <w:t xml:space="preserve"> that this difference in score</w:t>
      </w:r>
      <w:r w:rsidR="00A8189F" w:rsidRPr="00882ACB">
        <w:rPr>
          <w:rFonts w:ascii="Arial" w:hAnsi="Arial" w:cs="Arial"/>
        </w:rPr>
        <w:t xml:space="preserve"> (6 points) </w:t>
      </w:r>
      <w:r w:rsidRPr="00882ACB">
        <w:rPr>
          <w:rFonts w:ascii="Arial" w:hAnsi="Arial" w:cs="Arial"/>
        </w:rPr>
        <w:t xml:space="preserve">represents the minimum threshold at which </w:t>
      </w:r>
      <w:r w:rsidR="005344D5" w:rsidRPr="00882ACB">
        <w:rPr>
          <w:rFonts w:ascii="Arial" w:hAnsi="Arial" w:cs="Arial"/>
        </w:rPr>
        <w:t>changes</w:t>
      </w:r>
      <w:r w:rsidRPr="00882ACB">
        <w:rPr>
          <w:rFonts w:ascii="Arial" w:hAnsi="Arial" w:cs="Arial"/>
        </w:rPr>
        <w:t xml:space="preserve"> in hand function become </w:t>
      </w:r>
      <w:r w:rsidR="005344D5" w:rsidRPr="00882ACB">
        <w:rPr>
          <w:rFonts w:ascii="Arial" w:hAnsi="Arial" w:cs="Arial"/>
        </w:rPr>
        <w:t>appreciated by</w:t>
      </w:r>
      <w:r w:rsidRPr="00882ACB">
        <w:rPr>
          <w:rFonts w:ascii="Arial" w:hAnsi="Arial" w:cs="Arial"/>
        </w:rPr>
        <w:t xml:space="preserve"> patients</w:t>
      </w:r>
      <w:r w:rsidR="005344D5" w:rsidRPr="00882ACB">
        <w:rPr>
          <w:rFonts w:ascii="Arial" w:hAnsi="Arial" w:cs="Arial"/>
        </w:rPr>
        <w:t>.</w:t>
      </w:r>
    </w:p>
    <w:p w14:paraId="3C1828C8" w14:textId="53A569D1" w:rsidR="00882AE6" w:rsidRPr="00C9003A" w:rsidRDefault="00882AE6" w:rsidP="00882AE6">
      <w:pPr>
        <w:pStyle w:val="Default"/>
        <w:spacing w:line="360" w:lineRule="auto"/>
      </w:pPr>
      <w:r w:rsidRPr="00C9003A">
        <w:t xml:space="preserve">Using these parameters, </w:t>
      </w:r>
      <w:r w:rsidR="00B45E0B" w:rsidRPr="00C9003A">
        <w:t>a</w:t>
      </w:r>
      <w:r w:rsidRPr="00C9003A">
        <w:t xml:space="preserve"> sample size of 568 participants (284 per arm) was required to obtain 90% power </w:t>
      </w:r>
      <w:r w:rsidR="00956B3F">
        <w:t>to test</w:t>
      </w:r>
      <w:r w:rsidRPr="00C9003A">
        <w:t xml:space="preserve"> </w:t>
      </w:r>
      <m:oMath>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 δ≥6</m:t>
        </m:r>
      </m:oMath>
      <w:r w:rsidRPr="00C9003A">
        <w:t xml:space="preserve"> vs </w:t>
      </w:r>
      <m:oMath>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 δ&lt;6</m:t>
        </m:r>
      </m:oMath>
      <w:r w:rsidR="001B0376">
        <w:t xml:space="preserve"> with one sided p &lt; 0.025</w:t>
      </w:r>
      <w:r w:rsidRPr="00C9003A">
        <w:t>. Assuming 20% attrition at the 1-year follow-up, the total target sample size was 710.</w:t>
      </w:r>
    </w:p>
    <w:p w14:paraId="281C0FF8" w14:textId="77777777" w:rsidR="00882AE6" w:rsidRPr="00882ACB" w:rsidRDefault="00882AE6" w:rsidP="00456ECB">
      <w:pPr>
        <w:jc w:val="both"/>
        <w:rPr>
          <w:rFonts w:ascii="Arial" w:hAnsi="Arial" w:cs="Arial"/>
          <w:highlight w:val="cyan"/>
        </w:rPr>
      </w:pPr>
    </w:p>
    <w:p w14:paraId="46D4C169" w14:textId="46EE873C" w:rsidR="00BE0F5F" w:rsidRPr="00882ACB" w:rsidRDefault="00611AE7" w:rsidP="005027B7">
      <w:pPr>
        <w:rPr>
          <w:rFonts w:ascii="Arial" w:hAnsi="Arial" w:cs="Arial"/>
          <w:szCs w:val="24"/>
          <w:u w:val="single"/>
        </w:rPr>
      </w:pPr>
      <w:r w:rsidRPr="00882ACB">
        <w:rPr>
          <w:rFonts w:ascii="Arial" w:hAnsi="Arial" w:cs="Arial"/>
          <w:szCs w:val="24"/>
          <w:u w:val="single"/>
        </w:rPr>
        <w:t>D</w:t>
      </w:r>
      <w:r w:rsidR="00AD1FBA" w:rsidRPr="00882ACB">
        <w:rPr>
          <w:rFonts w:ascii="Arial" w:hAnsi="Arial" w:cs="Arial"/>
          <w:szCs w:val="24"/>
          <w:u w:val="single"/>
        </w:rPr>
        <w:t>ata Analysis</w:t>
      </w:r>
    </w:p>
    <w:p w14:paraId="6166D078" w14:textId="1D9D1F1D" w:rsidR="00A70069" w:rsidRPr="00882ACB" w:rsidRDefault="00A70069" w:rsidP="00FE2FBC">
      <w:pPr>
        <w:rPr>
          <w:rFonts w:ascii="Arial" w:hAnsi="Arial" w:cs="Arial"/>
        </w:rPr>
      </w:pPr>
      <w:r w:rsidRPr="00882ACB">
        <w:rPr>
          <w:rFonts w:ascii="Arial" w:hAnsi="Arial" w:cs="Arial"/>
        </w:rPr>
        <w:t xml:space="preserve">A </w:t>
      </w:r>
      <w:r w:rsidR="00F2533E" w:rsidRPr="00882ACB">
        <w:rPr>
          <w:rFonts w:ascii="Arial" w:hAnsi="Arial" w:cs="Arial"/>
        </w:rPr>
        <w:t xml:space="preserve">statistical </w:t>
      </w:r>
      <w:r w:rsidRPr="00882ACB">
        <w:rPr>
          <w:rFonts w:ascii="Arial" w:hAnsi="Arial" w:cs="Arial"/>
        </w:rPr>
        <w:t xml:space="preserve">analysis plan was </w:t>
      </w:r>
      <w:r w:rsidR="00513D7C" w:rsidRPr="00882ACB">
        <w:rPr>
          <w:rFonts w:ascii="Arial" w:hAnsi="Arial" w:cs="Arial"/>
        </w:rPr>
        <w:t>approved by</w:t>
      </w:r>
      <w:r w:rsidRPr="00882ACB">
        <w:rPr>
          <w:rFonts w:ascii="Arial" w:hAnsi="Arial" w:cs="Arial"/>
        </w:rPr>
        <w:t xml:space="preserve"> the </w:t>
      </w:r>
      <w:r w:rsidR="00CB2FEC" w:rsidRPr="00882ACB">
        <w:rPr>
          <w:rFonts w:ascii="Arial" w:hAnsi="Arial" w:cs="Arial"/>
        </w:rPr>
        <w:t>independent data monitoring committee</w:t>
      </w:r>
      <w:r w:rsidRPr="00882ACB">
        <w:rPr>
          <w:rFonts w:ascii="Arial" w:hAnsi="Arial" w:cs="Arial"/>
        </w:rPr>
        <w:t>, prior to completion of recruitment.</w:t>
      </w:r>
      <w:r w:rsidR="006949D3" w:rsidRPr="00C9003A">
        <w:rPr>
          <w:rFonts w:ascii="Arial" w:hAnsi="Arial" w:cs="Arial"/>
          <w:noProof/>
          <w:vertAlign w:val="superscript"/>
        </w:rPr>
        <w:t>20</w:t>
      </w:r>
      <w:r w:rsidRPr="00882ACB">
        <w:rPr>
          <w:rFonts w:ascii="Arial" w:hAnsi="Arial" w:cs="Arial"/>
        </w:rPr>
        <w:t xml:space="preserve"> All analyses were undertaken at the end of the follow-up period </w:t>
      </w:r>
      <w:r w:rsidR="0082092A" w:rsidRPr="00882ACB">
        <w:rPr>
          <w:rFonts w:ascii="Arial" w:hAnsi="Arial" w:cs="Arial"/>
        </w:rPr>
        <w:t>using Stata/SE</w:t>
      </w:r>
      <w:r w:rsidR="00BB300D" w:rsidRPr="00882ACB">
        <w:rPr>
          <w:rFonts w:ascii="Arial" w:hAnsi="Arial" w:cs="Arial"/>
        </w:rPr>
        <w:t>-</w:t>
      </w:r>
      <w:r w:rsidR="00B435D3" w:rsidRPr="00882ACB">
        <w:rPr>
          <w:rFonts w:ascii="Arial" w:hAnsi="Arial" w:cs="Arial"/>
        </w:rPr>
        <w:t>v17.0.</w:t>
      </w:r>
      <w:r w:rsidR="006F4479" w:rsidRPr="00882ACB">
        <w:rPr>
          <w:rFonts w:ascii="Arial" w:hAnsi="Arial" w:cs="Arial"/>
        </w:rPr>
        <w:t xml:space="preserve"> For all outcomes</w:t>
      </w:r>
      <w:r w:rsidR="00E06B29" w:rsidRPr="00882ACB">
        <w:rPr>
          <w:rFonts w:ascii="Arial" w:hAnsi="Arial" w:cs="Arial"/>
        </w:rPr>
        <w:t>,</w:t>
      </w:r>
      <w:r w:rsidR="006F4479" w:rsidRPr="00882ACB">
        <w:rPr>
          <w:rFonts w:ascii="Arial" w:hAnsi="Arial" w:cs="Arial"/>
        </w:rPr>
        <w:t xml:space="preserve"> the unit of analysis was the patient (rather than digits or joints). Where participants had multiple joints affected</w:t>
      </w:r>
      <w:r w:rsidR="00E06B29" w:rsidRPr="00882ACB">
        <w:rPr>
          <w:rFonts w:ascii="Arial" w:hAnsi="Arial" w:cs="Arial"/>
        </w:rPr>
        <w:t>,</w:t>
      </w:r>
      <w:r w:rsidR="006F4479" w:rsidRPr="00882ACB">
        <w:rPr>
          <w:rFonts w:ascii="Arial" w:hAnsi="Arial" w:cs="Arial"/>
        </w:rPr>
        <w:t xml:space="preserve"> a single joint was selected </w:t>
      </w:r>
      <w:r w:rsidR="00AD40E1" w:rsidRPr="00882ACB">
        <w:rPr>
          <w:rFonts w:ascii="Arial" w:hAnsi="Arial" w:cs="Arial"/>
        </w:rPr>
        <w:t>before</w:t>
      </w:r>
      <w:r w:rsidR="006F4479" w:rsidRPr="00882ACB">
        <w:rPr>
          <w:rFonts w:ascii="Arial" w:hAnsi="Arial" w:cs="Arial"/>
        </w:rPr>
        <w:t xml:space="preserve"> randomi</w:t>
      </w:r>
      <w:r w:rsidR="00F2533E" w:rsidRPr="00882ACB">
        <w:rPr>
          <w:rFonts w:ascii="Arial" w:hAnsi="Arial" w:cs="Arial"/>
        </w:rPr>
        <w:t>z</w:t>
      </w:r>
      <w:r w:rsidR="006F4479" w:rsidRPr="00882ACB">
        <w:rPr>
          <w:rFonts w:ascii="Arial" w:hAnsi="Arial" w:cs="Arial"/>
        </w:rPr>
        <w:t xml:space="preserve">ation as the study reference joint, with analyses being based on the measurements obtained for the designated digit </w:t>
      </w:r>
      <w:r w:rsidR="00D9174B" w:rsidRPr="00882ACB">
        <w:rPr>
          <w:rFonts w:ascii="Arial" w:hAnsi="Arial" w:cs="Arial"/>
        </w:rPr>
        <w:t>and</w:t>
      </w:r>
      <w:r w:rsidR="006F4479" w:rsidRPr="00882ACB">
        <w:rPr>
          <w:rFonts w:ascii="Arial" w:hAnsi="Arial" w:cs="Arial"/>
        </w:rPr>
        <w:t xml:space="preserve"> joint.</w:t>
      </w:r>
    </w:p>
    <w:p w14:paraId="1C20CF03" w14:textId="325D82FE" w:rsidR="00A70069" w:rsidRPr="00882ACB" w:rsidRDefault="00A70069" w:rsidP="00FE2FBC">
      <w:pPr>
        <w:rPr>
          <w:rFonts w:ascii="Arial" w:hAnsi="Arial" w:cs="Arial"/>
        </w:rPr>
      </w:pPr>
      <w:r w:rsidRPr="00882ACB">
        <w:rPr>
          <w:rFonts w:ascii="Arial" w:hAnsi="Arial" w:cs="Arial"/>
        </w:rPr>
        <w:t xml:space="preserve">Baseline data were </w:t>
      </w:r>
      <w:r w:rsidR="00151A8E" w:rsidRPr="00882ACB">
        <w:rPr>
          <w:rFonts w:ascii="Arial" w:hAnsi="Arial" w:cs="Arial"/>
        </w:rPr>
        <w:t>summarized</w:t>
      </w:r>
      <w:r w:rsidRPr="00882ACB">
        <w:rPr>
          <w:rFonts w:ascii="Arial" w:hAnsi="Arial" w:cs="Arial"/>
        </w:rPr>
        <w:t xml:space="preserve"> by allocation. A Consolidated Standards of Reporting Trials (CONSORT) diagram </w:t>
      </w:r>
      <w:r w:rsidR="00151A8E" w:rsidRPr="00882ACB">
        <w:rPr>
          <w:rFonts w:ascii="Arial" w:hAnsi="Arial" w:cs="Arial"/>
        </w:rPr>
        <w:t>summarized</w:t>
      </w:r>
      <w:r w:rsidRPr="00882ACB">
        <w:rPr>
          <w:rFonts w:ascii="Arial" w:hAnsi="Arial" w:cs="Arial"/>
        </w:rPr>
        <w:t xml:space="preserve"> participant flow and data completeness</w:t>
      </w:r>
      <w:r w:rsidR="00224FEE" w:rsidRPr="00882ACB">
        <w:rPr>
          <w:rFonts w:ascii="Arial" w:hAnsi="Arial" w:cs="Arial"/>
        </w:rPr>
        <w:t>.</w:t>
      </w:r>
      <w:r w:rsidR="006949D3" w:rsidRPr="00C9003A">
        <w:rPr>
          <w:rFonts w:ascii="Arial" w:hAnsi="Arial" w:cs="Arial"/>
          <w:noProof/>
          <w:vertAlign w:val="superscript"/>
        </w:rPr>
        <w:t>21</w:t>
      </w:r>
      <w:r w:rsidR="00F61B0A" w:rsidRPr="00882ACB">
        <w:rPr>
          <w:rFonts w:ascii="Arial" w:hAnsi="Arial" w:cs="Arial"/>
        </w:rPr>
        <w:t xml:space="preserve"> </w:t>
      </w:r>
      <w:r w:rsidR="00B5633E" w:rsidRPr="00882ACB">
        <w:rPr>
          <w:rFonts w:ascii="Arial" w:hAnsi="Arial" w:cs="Arial"/>
        </w:rPr>
        <w:t>No adjustment for multiple outcomes was pre-specified</w:t>
      </w:r>
      <w:r w:rsidR="00F2533E" w:rsidRPr="00882ACB">
        <w:rPr>
          <w:rFonts w:ascii="Arial" w:hAnsi="Arial" w:cs="Arial"/>
        </w:rPr>
        <w:t>;</w:t>
      </w:r>
      <w:r w:rsidR="00B5633E" w:rsidRPr="00882ACB">
        <w:rPr>
          <w:rFonts w:ascii="Arial" w:hAnsi="Arial" w:cs="Arial"/>
        </w:rPr>
        <w:t xml:space="preserve"> hence </w:t>
      </w:r>
      <w:r w:rsidR="00A67DFD" w:rsidRPr="00882ACB">
        <w:rPr>
          <w:rFonts w:ascii="Arial" w:hAnsi="Arial" w:cs="Arial"/>
        </w:rPr>
        <w:t>a p value is reported</w:t>
      </w:r>
      <w:r w:rsidR="00B5633E" w:rsidRPr="00882ACB">
        <w:rPr>
          <w:rFonts w:ascii="Arial" w:hAnsi="Arial" w:cs="Arial"/>
        </w:rPr>
        <w:t xml:space="preserve"> </w:t>
      </w:r>
      <w:r w:rsidR="00A67DFD" w:rsidRPr="00882ACB">
        <w:rPr>
          <w:rFonts w:ascii="Arial" w:hAnsi="Arial" w:cs="Arial"/>
        </w:rPr>
        <w:t xml:space="preserve">only </w:t>
      </w:r>
      <w:r w:rsidR="00B5633E" w:rsidRPr="00882ACB">
        <w:rPr>
          <w:rFonts w:ascii="Arial" w:hAnsi="Arial" w:cs="Arial"/>
        </w:rPr>
        <w:t>for the primary endpoint</w:t>
      </w:r>
      <w:r w:rsidR="00F2533E" w:rsidRPr="00882ACB">
        <w:rPr>
          <w:rFonts w:ascii="Arial" w:hAnsi="Arial" w:cs="Arial"/>
        </w:rPr>
        <w:t xml:space="preserve">. </w:t>
      </w:r>
      <w:r w:rsidR="00A67DFD" w:rsidRPr="00882ACB">
        <w:rPr>
          <w:rFonts w:ascii="Arial" w:hAnsi="Arial" w:cs="Arial"/>
        </w:rPr>
        <w:t xml:space="preserve">For secondary outcomes, </w:t>
      </w:r>
      <w:r w:rsidR="00F2533E" w:rsidRPr="00882ACB">
        <w:rPr>
          <w:rFonts w:ascii="Arial" w:hAnsi="Arial" w:cs="Arial"/>
        </w:rPr>
        <w:t xml:space="preserve">95% confidence intervals were </w:t>
      </w:r>
      <w:r w:rsidR="00224FEE" w:rsidRPr="00882ACB">
        <w:rPr>
          <w:rFonts w:ascii="Arial" w:hAnsi="Arial" w:cs="Arial"/>
        </w:rPr>
        <w:t>not adjusted for multiplicity</w:t>
      </w:r>
      <w:r w:rsidR="005D6EE0" w:rsidRPr="00882ACB">
        <w:rPr>
          <w:rFonts w:ascii="Arial" w:hAnsi="Arial" w:cs="Arial"/>
        </w:rPr>
        <w:t>.</w:t>
      </w:r>
    </w:p>
    <w:p w14:paraId="5E0DCEFD" w14:textId="7C98705A" w:rsidR="003C17C1" w:rsidRPr="00882ACB" w:rsidRDefault="004450CE" w:rsidP="00FE2FBC">
      <w:pPr>
        <w:rPr>
          <w:rFonts w:ascii="Arial" w:hAnsi="Arial" w:cs="Arial"/>
        </w:rPr>
      </w:pPr>
      <w:r w:rsidRPr="00882ACB">
        <w:rPr>
          <w:rFonts w:ascii="Arial" w:hAnsi="Arial" w:cs="Arial"/>
        </w:rPr>
        <w:t>For the primary analysis, a</w:t>
      </w:r>
      <w:r w:rsidR="00A70069" w:rsidRPr="00882ACB">
        <w:rPr>
          <w:rFonts w:ascii="Arial" w:hAnsi="Arial" w:cs="Arial"/>
        </w:rPr>
        <w:t xml:space="preserve"> </w:t>
      </w:r>
      <w:r w:rsidR="00CE7E52" w:rsidRPr="00882ACB">
        <w:rPr>
          <w:rFonts w:ascii="Arial" w:hAnsi="Arial" w:cs="Arial"/>
        </w:rPr>
        <w:t>longitudinal</w:t>
      </w:r>
      <w:r w:rsidR="00A70069" w:rsidRPr="00882ACB">
        <w:rPr>
          <w:rFonts w:ascii="Arial" w:hAnsi="Arial" w:cs="Arial"/>
        </w:rPr>
        <w:t xml:space="preserve"> model, </w:t>
      </w:r>
      <w:r w:rsidR="004B4E83" w:rsidRPr="00882ACB">
        <w:rPr>
          <w:rFonts w:ascii="Arial" w:hAnsi="Arial" w:cs="Arial"/>
        </w:rPr>
        <w:t xml:space="preserve">incorporating </w:t>
      </w:r>
      <w:r w:rsidR="00A70069" w:rsidRPr="00882ACB">
        <w:rPr>
          <w:rFonts w:ascii="Arial" w:hAnsi="Arial" w:cs="Arial"/>
        </w:rPr>
        <w:t>all</w:t>
      </w:r>
      <w:r w:rsidR="00B05E39" w:rsidRPr="00882ACB">
        <w:rPr>
          <w:rFonts w:ascii="Arial" w:hAnsi="Arial" w:cs="Arial"/>
        </w:rPr>
        <w:t xml:space="preserve"> available</w:t>
      </w:r>
      <w:r w:rsidR="00A70069" w:rsidRPr="00882ACB">
        <w:rPr>
          <w:rFonts w:ascii="Arial" w:hAnsi="Arial" w:cs="Arial"/>
        </w:rPr>
        <w:t xml:space="preserve"> post</w:t>
      </w:r>
      <w:r w:rsidR="00036951" w:rsidRPr="00882ACB">
        <w:rPr>
          <w:rFonts w:ascii="Arial" w:hAnsi="Arial" w:cs="Arial"/>
        </w:rPr>
        <w:t>-</w:t>
      </w:r>
      <w:r w:rsidR="00A70069" w:rsidRPr="00882ACB">
        <w:rPr>
          <w:rFonts w:ascii="Arial" w:hAnsi="Arial" w:cs="Arial"/>
        </w:rPr>
        <w:t xml:space="preserve">treatment </w:t>
      </w:r>
      <w:r w:rsidR="00CB2FEC" w:rsidRPr="00882ACB">
        <w:rPr>
          <w:rFonts w:ascii="Arial" w:hAnsi="Arial" w:cs="Arial"/>
        </w:rPr>
        <w:t>Patient Evaluation Measure scores</w:t>
      </w:r>
      <w:r w:rsidR="00A70069" w:rsidRPr="00882ACB">
        <w:rPr>
          <w:rFonts w:ascii="Arial" w:hAnsi="Arial" w:cs="Arial"/>
        </w:rPr>
        <w:t xml:space="preserve">, </w:t>
      </w:r>
      <w:r w:rsidRPr="00882ACB">
        <w:rPr>
          <w:rFonts w:ascii="Arial" w:hAnsi="Arial" w:cs="Arial"/>
        </w:rPr>
        <w:t xml:space="preserve">was used to </w:t>
      </w:r>
      <w:r w:rsidR="00A70069" w:rsidRPr="00882ACB">
        <w:rPr>
          <w:rFonts w:ascii="Arial" w:hAnsi="Arial" w:cs="Arial"/>
        </w:rPr>
        <w:t>estimate differences in score</w:t>
      </w:r>
      <w:r w:rsidR="00B05E39" w:rsidRPr="00882ACB">
        <w:rPr>
          <w:rFonts w:ascii="Arial" w:hAnsi="Arial" w:cs="Arial"/>
        </w:rPr>
        <w:t>s</w:t>
      </w:r>
      <w:r w:rsidR="00A70069" w:rsidRPr="00882ACB">
        <w:rPr>
          <w:rFonts w:ascii="Arial" w:hAnsi="Arial" w:cs="Arial"/>
        </w:rPr>
        <w:t xml:space="preserve"> at each timepoint</w:t>
      </w:r>
      <w:r w:rsidRPr="00882ACB">
        <w:rPr>
          <w:rFonts w:ascii="Arial" w:hAnsi="Arial" w:cs="Arial"/>
        </w:rPr>
        <w:t xml:space="preserve">. </w:t>
      </w:r>
      <w:r w:rsidR="00E41864" w:rsidRPr="00882ACB">
        <w:rPr>
          <w:rFonts w:ascii="Arial" w:hAnsi="Arial" w:cs="Arial"/>
        </w:rPr>
        <w:t>A</w:t>
      </w:r>
      <w:r w:rsidR="00513D7C" w:rsidRPr="00882ACB">
        <w:rPr>
          <w:rFonts w:ascii="Arial" w:hAnsi="Arial" w:cs="Arial"/>
        </w:rPr>
        <w:t>ll participant</w:t>
      </w:r>
      <w:r w:rsidR="004B4E83" w:rsidRPr="00882ACB">
        <w:rPr>
          <w:rFonts w:ascii="Arial" w:hAnsi="Arial" w:cs="Arial"/>
        </w:rPr>
        <w:t>s</w:t>
      </w:r>
      <w:r w:rsidR="00513D7C" w:rsidRPr="00882ACB">
        <w:rPr>
          <w:rFonts w:ascii="Arial" w:hAnsi="Arial" w:cs="Arial"/>
        </w:rPr>
        <w:t xml:space="preserve"> with at least one </w:t>
      </w:r>
      <w:r w:rsidR="00B05E39" w:rsidRPr="00882ACB">
        <w:rPr>
          <w:rFonts w:ascii="Arial" w:hAnsi="Arial" w:cs="Arial"/>
        </w:rPr>
        <w:t xml:space="preserve">post-treatment </w:t>
      </w:r>
      <w:r w:rsidR="00513D7C" w:rsidRPr="00882ACB">
        <w:rPr>
          <w:rFonts w:ascii="Arial" w:hAnsi="Arial" w:cs="Arial"/>
        </w:rPr>
        <w:t>measurement available</w:t>
      </w:r>
      <w:r w:rsidR="00E41864" w:rsidRPr="00882ACB">
        <w:rPr>
          <w:rFonts w:ascii="Arial" w:hAnsi="Arial" w:cs="Arial"/>
        </w:rPr>
        <w:t xml:space="preserve"> were included in this analysis as part of their allocated treatment group</w:t>
      </w:r>
      <w:r w:rsidRPr="00882ACB">
        <w:rPr>
          <w:rFonts w:ascii="Arial" w:hAnsi="Arial" w:cs="Arial"/>
        </w:rPr>
        <w:t xml:space="preserve"> in accordance with the statistical analysis plan</w:t>
      </w:r>
      <w:r w:rsidR="00A70069" w:rsidRPr="00882ACB">
        <w:rPr>
          <w:rFonts w:ascii="Arial" w:hAnsi="Arial" w:cs="Arial"/>
        </w:rPr>
        <w:t>. Treatment group</w:t>
      </w:r>
      <w:r w:rsidR="00E06B29" w:rsidRPr="00882ACB">
        <w:rPr>
          <w:rFonts w:ascii="Arial" w:hAnsi="Arial" w:cs="Arial"/>
        </w:rPr>
        <w:t>,</w:t>
      </w:r>
      <w:r w:rsidR="00A70069" w:rsidRPr="00882ACB">
        <w:rPr>
          <w:rFonts w:ascii="Arial" w:hAnsi="Arial" w:cs="Arial"/>
        </w:rPr>
        <w:t xml:space="preserve"> </w:t>
      </w:r>
      <w:r w:rsidR="00201DDE" w:rsidRPr="00882ACB">
        <w:rPr>
          <w:rFonts w:ascii="Arial" w:hAnsi="Arial" w:cs="Arial"/>
        </w:rPr>
        <w:t>timepoint</w:t>
      </w:r>
      <w:r w:rsidR="00A70069" w:rsidRPr="00882ACB">
        <w:rPr>
          <w:rFonts w:ascii="Arial" w:hAnsi="Arial" w:cs="Arial"/>
        </w:rPr>
        <w:t xml:space="preserve"> and their interaction were included as fixed effects</w:t>
      </w:r>
      <w:r w:rsidR="00DC0225" w:rsidRPr="00882ACB">
        <w:rPr>
          <w:rFonts w:ascii="Arial" w:hAnsi="Arial" w:cs="Arial"/>
        </w:rPr>
        <w:t>, along with</w:t>
      </w:r>
      <w:r w:rsidR="00A70069" w:rsidRPr="00882ACB">
        <w:rPr>
          <w:rFonts w:ascii="Arial" w:hAnsi="Arial" w:cs="Arial"/>
        </w:rPr>
        <w:t xml:space="preserve"> study reference joint </w:t>
      </w:r>
      <w:r w:rsidR="004F1099" w:rsidRPr="00882ACB">
        <w:rPr>
          <w:rFonts w:ascii="Arial" w:hAnsi="Arial" w:cs="Arial"/>
        </w:rPr>
        <w:t xml:space="preserve">type </w:t>
      </w:r>
      <w:r w:rsidR="00A70069" w:rsidRPr="00882ACB">
        <w:rPr>
          <w:rFonts w:ascii="Arial" w:hAnsi="Arial" w:cs="Arial"/>
        </w:rPr>
        <w:t>(the stratification factor)</w:t>
      </w:r>
      <w:r w:rsidR="003C17C1" w:rsidRPr="00882ACB">
        <w:rPr>
          <w:rFonts w:ascii="Arial" w:hAnsi="Arial" w:cs="Arial"/>
        </w:rPr>
        <w:t>,</w:t>
      </w:r>
      <w:r w:rsidR="00A70069" w:rsidRPr="00882ACB">
        <w:rPr>
          <w:rFonts w:ascii="Arial" w:hAnsi="Arial" w:cs="Arial"/>
        </w:rPr>
        <w:t xml:space="preserve"> baseline </w:t>
      </w:r>
      <w:r w:rsidR="00CB2FEC" w:rsidRPr="00882ACB">
        <w:rPr>
          <w:rFonts w:ascii="Arial" w:hAnsi="Arial" w:cs="Arial"/>
        </w:rPr>
        <w:t xml:space="preserve">primary outcome </w:t>
      </w:r>
      <w:r w:rsidR="00A70069" w:rsidRPr="00882ACB">
        <w:rPr>
          <w:rFonts w:ascii="Arial" w:hAnsi="Arial" w:cs="Arial"/>
        </w:rPr>
        <w:t xml:space="preserve">score and a random intercept for </w:t>
      </w:r>
      <w:proofErr w:type="spellStart"/>
      <w:r w:rsidR="00955B34" w:rsidRPr="00882ACB">
        <w:rPr>
          <w:rFonts w:ascii="Arial" w:hAnsi="Arial" w:cs="Arial"/>
        </w:rPr>
        <w:t>center</w:t>
      </w:r>
      <w:proofErr w:type="spellEnd"/>
      <w:r w:rsidR="00A70069" w:rsidRPr="00882ACB">
        <w:rPr>
          <w:rFonts w:ascii="Arial" w:hAnsi="Arial" w:cs="Arial"/>
        </w:rPr>
        <w:t xml:space="preserve">. </w:t>
      </w:r>
      <w:r w:rsidR="003C17C1" w:rsidRPr="00882ACB">
        <w:rPr>
          <w:rFonts w:ascii="Arial" w:hAnsi="Arial" w:cs="Arial"/>
        </w:rPr>
        <w:t xml:space="preserve">An unstructured covariance matrix </w:t>
      </w:r>
      <w:r w:rsidR="004B4E83" w:rsidRPr="00882ACB">
        <w:rPr>
          <w:rFonts w:ascii="Arial" w:hAnsi="Arial" w:cs="Arial"/>
        </w:rPr>
        <w:t>modelled</w:t>
      </w:r>
      <w:r w:rsidR="003C17C1" w:rsidRPr="00882ACB">
        <w:rPr>
          <w:rFonts w:ascii="Arial" w:hAnsi="Arial" w:cs="Arial"/>
        </w:rPr>
        <w:t xml:space="preserve"> c</w:t>
      </w:r>
      <w:r w:rsidR="00A70069" w:rsidRPr="00882ACB">
        <w:rPr>
          <w:rFonts w:ascii="Arial" w:hAnsi="Arial" w:cs="Arial"/>
        </w:rPr>
        <w:t xml:space="preserve">orrelation between repeated measurements. </w:t>
      </w:r>
    </w:p>
    <w:p w14:paraId="0E09CEDD" w14:textId="011205FF" w:rsidR="00A70069" w:rsidRPr="00882ACB" w:rsidRDefault="00A70069" w:rsidP="00FE2FBC">
      <w:pPr>
        <w:rPr>
          <w:rFonts w:ascii="Arial" w:hAnsi="Arial" w:cs="Arial"/>
          <w:u w:val="single"/>
        </w:rPr>
      </w:pPr>
      <w:r w:rsidRPr="00882ACB">
        <w:rPr>
          <w:rFonts w:ascii="Arial" w:hAnsi="Arial" w:cs="Arial"/>
        </w:rPr>
        <w:t xml:space="preserve">The null hypothesis that collagenase is inferior to </w:t>
      </w:r>
      <w:r w:rsidR="00CB2FEC" w:rsidRPr="00882ACB">
        <w:rPr>
          <w:rFonts w:ascii="Arial" w:hAnsi="Arial" w:cs="Arial"/>
        </w:rPr>
        <w:t xml:space="preserve">limited fasciectomy </w:t>
      </w:r>
      <w:r w:rsidRPr="00882ACB">
        <w:rPr>
          <w:rFonts w:ascii="Arial" w:hAnsi="Arial" w:cs="Arial"/>
        </w:rPr>
        <w:t xml:space="preserve">was rejected if the upper bound of the two-sided </w:t>
      </w:r>
      <w:r w:rsidR="004A5335" w:rsidRPr="00882ACB">
        <w:rPr>
          <w:rFonts w:ascii="Arial" w:hAnsi="Arial" w:cs="Arial"/>
        </w:rPr>
        <w:t>95%</w:t>
      </w:r>
      <w:r w:rsidR="00CB2FEC" w:rsidRPr="00882ACB">
        <w:rPr>
          <w:rFonts w:ascii="Arial" w:hAnsi="Arial" w:cs="Arial"/>
        </w:rPr>
        <w:t xml:space="preserve">confidence interval </w:t>
      </w:r>
      <w:r w:rsidRPr="00882ACB">
        <w:rPr>
          <w:rFonts w:ascii="Arial" w:hAnsi="Arial" w:cs="Arial"/>
        </w:rPr>
        <w:t xml:space="preserve">for the difference at 1 year was </w:t>
      </w:r>
      <w:r w:rsidRPr="00882ACB">
        <w:rPr>
          <w:rFonts w:ascii="Arial" w:hAnsi="Arial" w:cs="Arial"/>
        </w:rPr>
        <w:lastRenderedPageBreak/>
        <w:t>less than the non-inferiority margin of six points.</w:t>
      </w:r>
      <w:r w:rsidR="00AD1FBA" w:rsidRPr="00882ACB">
        <w:rPr>
          <w:rFonts w:ascii="Arial" w:hAnsi="Arial" w:cs="Arial"/>
        </w:rPr>
        <w:t xml:space="preserve"> </w:t>
      </w:r>
      <w:r w:rsidR="005505FA">
        <w:rPr>
          <w:rFonts w:ascii="Arial" w:hAnsi="Arial" w:cs="Arial"/>
        </w:rPr>
        <w:t>P</w:t>
      </w:r>
      <w:r w:rsidR="00B05E39" w:rsidRPr="00882ACB">
        <w:rPr>
          <w:rFonts w:ascii="Arial" w:hAnsi="Arial" w:cs="Arial"/>
        </w:rPr>
        <w:t xml:space="preserve">re-specified </w:t>
      </w:r>
      <w:r w:rsidRPr="00882ACB">
        <w:rPr>
          <w:rFonts w:ascii="Arial" w:hAnsi="Arial" w:cs="Arial"/>
        </w:rPr>
        <w:t>sensitivity analyses investigate</w:t>
      </w:r>
      <w:r w:rsidR="00F05040" w:rsidRPr="00882ACB">
        <w:rPr>
          <w:rFonts w:ascii="Arial" w:hAnsi="Arial" w:cs="Arial"/>
        </w:rPr>
        <w:t>d</w:t>
      </w:r>
      <w:r w:rsidRPr="00882ACB">
        <w:rPr>
          <w:rFonts w:ascii="Arial" w:hAnsi="Arial" w:cs="Arial"/>
        </w:rPr>
        <w:t xml:space="preserve"> the robustness of the </w:t>
      </w:r>
      <w:r w:rsidR="00F05040" w:rsidRPr="00882ACB">
        <w:rPr>
          <w:rFonts w:ascii="Arial" w:hAnsi="Arial" w:cs="Arial"/>
        </w:rPr>
        <w:t xml:space="preserve">primary analysis </w:t>
      </w:r>
      <w:r w:rsidRPr="00882ACB">
        <w:rPr>
          <w:rFonts w:ascii="Arial" w:hAnsi="Arial" w:cs="Arial"/>
        </w:rPr>
        <w:t xml:space="preserve">results to </w:t>
      </w:r>
      <w:r w:rsidR="00B05E39" w:rsidRPr="00882ACB">
        <w:rPr>
          <w:rFonts w:ascii="Arial" w:hAnsi="Arial" w:cs="Arial"/>
        </w:rPr>
        <w:t xml:space="preserve">departures from the planned timing of treatment delivery and follow-up assessments, and </w:t>
      </w:r>
      <w:r w:rsidRPr="00882ACB">
        <w:rPr>
          <w:rFonts w:ascii="Arial" w:hAnsi="Arial" w:cs="Arial"/>
        </w:rPr>
        <w:t>different assumptions about the missing outcome data</w:t>
      </w:r>
      <w:r w:rsidR="00B05E39" w:rsidRPr="00882ACB">
        <w:rPr>
          <w:rFonts w:ascii="Arial" w:hAnsi="Arial" w:cs="Arial"/>
        </w:rPr>
        <w:t>, including several multiply imputed data analyses including all randomi</w:t>
      </w:r>
      <w:r w:rsidR="005505FA">
        <w:rPr>
          <w:rFonts w:ascii="Arial" w:hAnsi="Arial" w:cs="Arial"/>
        </w:rPr>
        <w:t>z</w:t>
      </w:r>
      <w:r w:rsidR="00B05E39" w:rsidRPr="00882ACB">
        <w:rPr>
          <w:rFonts w:ascii="Arial" w:hAnsi="Arial" w:cs="Arial"/>
        </w:rPr>
        <w:t>ed participants</w:t>
      </w:r>
      <w:r w:rsidRPr="00882ACB">
        <w:rPr>
          <w:rFonts w:ascii="Arial" w:hAnsi="Arial" w:cs="Arial"/>
        </w:rPr>
        <w:t>.</w:t>
      </w:r>
    </w:p>
    <w:p w14:paraId="0DD88E89" w14:textId="6A39C488" w:rsidR="00EC37A3" w:rsidRPr="00882ACB" w:rsidRDefault="00B7534D" w:rsidP="00FE2FBC">
      <w:pPr>
        <w:rPr>
          <w:rFonts w:ascii="Arial" w:hAnsi="Arial" w:cs="Arial"/>
        </w:rPr>
      </w:pPr>
      <w:r w:rsidRPr="00882ACB">
        <w:rPr>
          <w:rFonts w:ascii="Arial" w:hAnsi="Arial" w:cs="Arial"/>
        </w:rPr>
        <w:t xml:space="preserve">To assess the potential impact of </w:t>
      </w:r>
      <w:r w:rsidR="007D065F" w:rsidRPr="00882ACB">
        <w:rPr>
          <w:rFonts w:ascii="Arial" w:hAnsi="Arial" w:cs="Arial"/>
        </w:rPr>
        <w:t>non-adherence to the allocated treatment</w:t>
      </w:r>
      <w:r w:rsidRPr="00882ACB">
        <w:rPr>
          <w:rFonts w:ascii="Arial" w:hAnsi="Arial" w:cs="Arial"/>
        </w:rPr>
        <w:t>, we used a</w:t>
      </w:r>
      <w:r w:rsidR="000C4E31" w:rsidRPr="00882ACB">
        <w:rPr>
          <w:rFonts w:ascii="Arial" w:hAnsi="Arial" w:cs="Arial"/>
        </w:rPr>
        <w:t>n</w:t>
      </w:r>
      <w:r w:rsidR="00A70069" w:rsidRPr="00882ACB">
        <w:rPr>
          <w:rFonts w:ascii="Arial" w:hAnsi="Arial" w:cs="Arial"/>
        </w:rPr>
        <w:t xml:space="preserve"> instrumental variable estimator (with random allocation as the instrument) to estimate the Complier Average Causal Effect</w:t>
      </w:r>
      <w:r w:rsidR="006949D3" w:rsidRPr="00882ACB">
        <w:rPr>
          <w:rFonts w:ascii="Arial" w:hAnsi="Arial" w:cs="Arial"/>
        </w:rPr>
        <w:t xml:space="preserve"> </w:t>
      </w:r>
      <w:r w:rsidR="004B4E83" w:rsidRPr="00882ACB">
        <w:rPr>
          <w:rFonts w:ascii="Arial" w:hAnsi="Arial" w:cs="Arial"/>
        </w:rPr>
        <w:t>at 1 year</w:t>
      </w:r>
      <w:r w:rsidR="00A82CC8" w:rsidRPr="00882ACB">
        <w:rPr>
          <w:rFonts w:ascii="Arial" w:hAnsi="Arial" w:cs="Arial"/>
        </w:rPr>
        <w:t xml:space="preserve"> (Appendix </w:t>
      </w:r>
      <w:r w:rsidR="001B17CA" w:rsidRPr="00882ACB">
        <w:rPr>
          <w:rFonts w:ascii="Arial" w:hAnsi="Arial" w:cs="Arial"/>
        </w:rPr>
        <w:t>S</w:t>
      </w:r>
      <w:r w:rsidR="001B17CA">
        <w:rPr>
          <w:rFonts w:ascii="Arial" w:hAnsi="Arial" w:cs="Arial"/>
        </w:rPr>
        <w:t>2</w:t>
      </w:r>
      <w:r w:rsidR="00A82CC8" w:rsidRPr="00882ACB">
        <w:rPr>
          <w:rFonts w:ascii="Arial" w:hAnsi="Arial" w:cs="Arial"/>
        </w:rPr>
        <w:t>).</w:t>
      </w:r>
      <w:r w:rsidR="006949D3" w:rsidRPr="00C9003A">
        <w:rPr>
          <w:rFonts w:ascii="Arial" w:hAnsi="Arial" w:cs="Arial"/>
          <w:noProof/>
          <w:vertAlign w:val="superscript"/>
        </w:rPr>
        <w:t>22, 23</w:t>
      </w:r>
    </w:p>
    <w:p w14:paraId="6CA941A1" w14:textId="3F5AFE5B" w:rsidR="00EC37A3" w:rsidRPr="00882ACB" w:rsidRDefault="00EC37A3" w:rsidP="00EC37A3">
      <w:pPr>
        <w:rPr>
          <w:rFonts w:ascii="Arial" w:hAnsi="Arial" w:cs="Arial"/>
        </w:rPr>
      </w:pPr>
      <w:r w:rsidRPr="00882ACB">
        <w:rPr>
          <w:rFonts w:ascii="Arial" w:hAnsi="Arial" w:cs="Arial"/>
        </w:rPr>
        <w:t xml:space="preserve">Two subgroup analyses investigated variation in treatment effects across subgroups </w:t>
      </w:r>
      <w:r w:rsidR="00274A62" w:rsidRPr="00882ACB">
        <w:rPr>
          <w:rFonts w:ascii="Arial" w:hAnsi="Arial" w:cs="Arial"/>
        </w:rPr>
        <w:t>associated with</w:t>
      </w:r>
      <w:r w:rsidRPr="00882ACB">
        <w:rPr>
          <w:rFonts w:ascii="Arial" w:hAnsi="Arial" w:cs="Arial"/>
        </w:rPr>
        <w:t xml:space="preserve"> baseline characteristics, one </w:t>
      </w:r>
      <w:r w:rsidR="000A7C7F" w:rsidRPr="00882ACB">
        <w:rPr>
          <w:rFonts w:ascii="Arial" w:hAnsi="Arial" w:cs="Arial"/>
        </w:rPr>
        <w:t xml:space="preserve">prespecified </w:t>
      </w:r>
      <w:r w:rsidR="00F2533E" w:rsidRPr="00882ACB">
        <w:rPr>
          <w:rFonts w:ascii="Arial" w:hAnsi="Arial" w:cs="Arial"/>
        </w:rPr>
        <w:t>analysis according to</w:t>
      </w:r>
      <w:r w:rsidR="006000A8">
        <w:rPr>
          <w:rFonts w:ascii="Arial" w:hAnsi="Arial" w:cs="Arial"/>
        </w:rPr>
        <w:t xml:space="preserve"> </w:t>
      </w:r>
      <w:r w:rsidRPr="00882ACB">
        <w:rPr>
          <w:rFonts w:ascii="Arial" w:hAnsi="Arial" w:cs="Arial"/>
        </w:rPr>
        <w:t>baseline treatment preference (</w:t>
      </w:r>
      <w:r w:rsidR="005505FA">
        <w:rPr>
          <w:rFonts w:ascii="Arial" w:hAnsi="Arial" w:cs="Arial"/>
        </w:rPr>
        <w:t>p</w:t>
      </w:r>
      <w:r w:rsidRPr="00882ACB">
        <w:rPr>
          <w:rFonts w:ascii="Arial" w:hAnsi="Arial" w:cs="Arial"/>
        </w:rPr>
        <w:t xml:space="preserve">referred collagenase, </w:t>
      </w:r>
      <w:r w:rsidR="005505FA">
        <w:rPr>
          <w:rFonts w:ascii="Arial" w:hAnsi="Arial" w:cs="Arial"/>
        </w:rPr>
        <w:t>p</w:t>
      </w:r>
      <w:r w:rsidRPr="00882ACB">
        <w:rPr>
          <w:rFonts w:ascii="Arial" w:hAnsi="Arial" w:cs="Arial"/>
        </w:rPr>
        <w:t xml:space="preserve">referred </w:t>
      </w:r>
      <w:r w:rsidR="005505FA">
        <w:rPr>
          <w:rFonts w:ascii="Arial" w:hAnsi="Arial" w:cs="Arial"/>
        </w:rPr>
        <w:t>l</w:t>
      </w:r>
      <w:r w:rsidR="00CB2FEC" w:rsidRPr="00882ACB">
        <w:rPr>
          <w:rFonts w:ascii="Arial" w:hAnsi="Arial" w:cs="Arial"/>
        </w:rPr>
        <w:t>imited fasciectomy</w:t>
      </w:r>
      <w:r w:rsidRPr="00882ACB">
        <w:rPr>
          <w:rFonts w:ascii="Arial" w:hAnsi="Arial" w:cs="Arial"/>
        </w:rPr>
        <w:t xml:space="preserve">, or </w:t>
      </w:r>
      <w:r w:rsidR="005505FA">
        <w:rPr>
          <w:rFonts w:ascii="Arial" w:hAnsi="Arial" w:cs="Arial"/>
        </w:rPr>
        <w:t>n</w:t>
      </w:r>
      <w:r w:rsidRPr="00882ACB">
        <w:rPr>
          <w:rFonts w:ascii="Arial" w:hAnsi="Arial" w:cs="Arial"/>
        </w:rPr>
        <w:t>o preference) and one post-hoc</w:t>
      </w:r>
      <w:r w:rsidR="00F2533E" w:rsidRPr="00882ACB">
        <w:rPr>
          <w:rFonts w:ascii="Arial" w:hAnsi="Arial" w:cs="Arial"/>
        </w:rPr>
        <w:t xml:space="preserve"> analysis according to</w:t>
      </w:r>
      <w:r w:rsidRPr="00882ACB">
        <w:rPr>
          <w:rFonts w:ascii="Arial" w:hAnsi="Arial" w:cs="Arial"/>
        </w:rPr>
        <w:t xml:space="preserve"> study reference joint (</w:t>
      </w:r>
      <w:r w:rsidR="005505FA">
        <w:rPr>
          <w:rFonts w:ascii="Arial" w:hAnsi="Arial" w:cs="Arial"/>
        </w:rPr>
        <w:t>m</w:t>
      </w:r>
      <w:r w:rsidR="00CB2FEC" w:rsidRPr="00882ACB">
        <w:rPr>
          <w:rFonts w:ascii="Arial" w:hAnsi="Arial" w:cs="Arial"/>
        </w:rPr>
        <w:t xml:space="preserve">etacarpophalangeal or </w:t>
      </w:r>
      <w:r w:rsidR="005505FA">
        <w:rPr>
          <w:rFonts w:ascii="Arial" w:hAnsi="Arial" w:cs="Arial"/>
        </w:rPr>
        <w:t>p</w:t>
      </w:r>
      <w:r w:rsidR="00CB2FEC" w:rsidRPr="00882ACB">
        <w:rPr>
          <w:rFonts w:ascii="Arial" w:hAnsi="Arial" w:cs="Arial"/>
        </w:rPr>
        <w:t>roximal interphalangeal joint</w:t>
      </w:r>
      <w:r w:rsidRPr="00882ACB">
        <w:rPr>
          <w:rFonts w:ascii="Arial" w:hAnsi="Arial" w:cs="Arial"/>
        </w:rPr>
        <w:t>).</w:t>
      </w:r>
    </w:p>
    <w:p w14:paraId="163ED2E8" w14:textId="0ACC3D00" w:rsidR="00A15B37" w:rsidRPr="00882ACB" w:rsidRDefault="00CE7E52" w:rsidP="00FE2FBC">
      <w:pPr>
        <w:rPr>
          <w:rFonts w:ascii="Arial" w:hAnsi="Arial" w:cs="Arial"/>
        </w:rPr>
      </w:pPr>
      <w:r w:rsidRPr="00882ACB">
        <w:rPr>
          <w:rFonts w:ascii="Arial" w:hAnsi="Arial" w:cs="Arial"/>
        </w:rPr>
        <w:t>C</w:t>
      </w:r>
      <w:r w:rsidR="00A70069" w:rsidRPr="00882ACB">
        <w:rPr>
          <w:rFonts w:ascii="Arial" w:hAnsi="Arial" w:cs="Arial"/>
        </w:rPr>
        <w:t xml:space="preserve">ontinuous secondary outcomes </w:t>
      </w:r>
      <w:r w:rsidRPr="00882ACB">
        <w:rPr>
          <w:rFonts w:ascii="Arial" w:hAnsi="Arial" w:cs="Arial"/>
        </w:rPr>
        <w:t xml:space="preserve">were </w:t>
      </w:r>
      <w:proofErr w:type="spellStart"/>
      <w:r w:rsidR="00C148F4" w:rsidRPr="00882ACB">
        <w:rPr>
          <w:rFonts w:ascii="Arial" w:hAnsi="Arial" w:cs="Arial"/>
        </w:rPr>
        <w:t>analyzed</w:t>
      </w:r>
      <w:proofErr w:type="spellEnd"/>
      <w:r w:rsidRPr="00882ACB">
        <w:rPr>
          <w:rFonts w:ascii="Arial" w:hAnsi="Arial" w:cs="Arial"/>
        </w:rPr>
        <w:t xml:space="preserve"> in a </w:t>
      </w:r>
      <w:r w:rsidR="0068673B" w:rsidRPr="00882ACB">
        <w:rPr>
          <w:rFonts w:ascii="Arial" w:hAnsi="Arial" w:cs="Arial"/>
        </w:rPr>
        <w:t xml:space="preserve">manner </w:t>
      </w:r>
      <w:proofErr w:type="gramStart"/>
      <w:r w:rsidRPr="00882ACB">
        <w:rPr>
          <w:rFonts w:ascii="Arial" w:hAnsi="Arial" w:cs="Arial"/>
        </w:rPr>
        <w:t>similar to</w:t>
      </w:r>
      <w:proofErr w:type="gramEnd"/>
      <w:r w:rsidRPr="00882ACB">
        <w:rPr>
          <w:rFonts w:ascii="Arial" w:hAnsi="Arial" w:cs="Arial"/>
        </w:rPr>
        <w:t xml:space="preserve"> the primary outcome</w:t>
      </w:r>
      <w:r w:rsidR="00A70069" w:rsidRPr="00882ACB">
        <w:rPr>
          <w:rFonts w:ascii="Arial" w:hAnsi="Arial" w:cs="Arial"/>
        </w:rPr>
        <w:t xml:space="preserve">. </w:t>
      </w:r>
      <w:r w:rsidRPr="00882ACB">
        <w:rPr>
          <w:rFonts w:ascii="Arial" w:hAnsi="Arial" w:cs="Arial"/>
        </w:rPr>
        <w:t>C</w:t>
      </w:r>
      <w:r w:rsidR="00A70069" w:rsidRPr="00882ACB">
        <w:rPr>
          <w:rFonts w:ascii="Arial" w:hAnsi="Arial" w:cs="Arial"/>
        </w:rPr>
        <w:t>ategorical</w:t>
      </w:r>
      <w:r w:rsidRPr="00882ACB">
        <w:rPr>
          <w:rFonts w:ascii="Arial" w:hAnsi="Arial" w:cs="Arial"/>
        </w:rPr>
        <w:t xml:space="preserve"> secondary</w:t>
      </w:r>
      <w:r w:rsidR="00A70069" w:rsidRPr="00882ACB">
        <w:rPr>
          <w:rFonts w:ascii="Arial" w:hAnsi="Arial" w:cs="Arial"/>
        </w:rPr>
        <w:t xml:space="preserve"> outcomes </w:t>
      </w:r>
      <w:r w:rsidRPr="00882ACB">
        <w:rPr>
          <w:rFonts w:ascii="Arial" w:hAnsi="Arial" w:cs="Arial"/>
        </w:rPr>
        <w:t xml:space="preserve">were </w:t>
      </w:r>
      <w:proofErr w:type="spellStart"/>
      <w:r w:rsidR="00C148F4" w:rsidRPr="00882ACB">
        <w:rPr>
          <w:rFonts w:ascii="Arial" w:hAnsi="Arial" w:cs="Arial"/>
        </w:rPr>
        <w:t>analyzed</w:t>
      </w:r>
      <w:proofErr w:type="spellEnd"/>
      <w:r w:rsidRPr="00882ACB">
        <w:rPr>
          <w:rFonts w:ascii="Arial" w:hAnsi="Arial" w:cs="Arial"/>
        </w:rPr>
        <w:t xml:space="preserve"> using appropriate binary or ordinal logistic regression models</w:t>
      </w:r>
      <w:r w:rsidR="00F61B0A" w:rsidRPr="00882ACB">
        <w:rPr>
          <w:rFonts w:ascii="Arial" w:hAnsi="Arial" w:cs="Arial"/>
        </w:rPr>
        <w:t xml:space="preserve">, with treatment effects reported </w:t>
      </w:r>
      <w:r w:rsidR="00CD6A6E" w:rsidRPr="00882ACB">
        <w:rPr>
          <w:rFonts w:ascii="Arial" w:hAnsi="Arial" w:cs="Arial"/>
        </w:rPr>
        <w:t>as</w:t>
      </w:r>
      <w:r w:rsidR="00F61B0A" w:rsidRPr="00882ACB">
        <w:rPr>
          <w:rFonts w:ascii="Arial" w:hAnsi="Arial" w:cs="Arial"/>
        </w:rPr>
        <w:t xml:space="preserve"> odds ratios or risk difference</w:t>
      </w:r>
      <w:r w:rsidR="00A70069" w:rsidRPr="00882ACB">
        <w:rPr>
          <w:rFonts w:ascii="Arial" w:hAnsi="Arial" w:cs="Arial"/>
        </w:rPr>
        <w:t>.</w:t>
      </w:r>
      <w:r w:rsidRPr="00882ACB">
        <w:rPr>
          <w:rFonts w:ascii="Arial" w:hAnsi="Arial" w:cs="Arial"/>
        </w:rPr>
        <w:t xml:space="preserve"> </w:t>
      </w:r>
      <w:r w:rsidR="00A70069" w:rsidRPr="00882ACB">
        <w:rPr>
          <w:rFonts w:ascii="Arial" w:hAnsi="Arial" w:cs="Arial"/>
        </w:rPr>
        <w:t xml:space="preserve">A Cox </w:t>
      </w:r>
      <w:r w:rsidRPr="00882ACB">
        <w:rPr>
          <w:rFonts w:ascii="Arial" w:hAnsi="Arial" w:cs="Arial"/>
        </w:rPr>
        <w:t>p</w:t>
      </w:r>
      <w:r w:rsidR="00A70069" w:rsidRPr="00882ACB">
        <w:rPr>
          <w:rFonts w:ascii="Arial" w:hAnsi="Arial" w:cs="Arial"/>
        </w:rPr>
        <w:t xml:space="preserve">roportional </w:t>
      </w:r>
      <w:r w:rsidRPr="00882ACB">
        <w:rPr>
          <w:rFonts w:ascii="Arial" w:hAnsi="Arial" w:cs="Arial"/>
        </w:rPr>
        <w:t>h</w:t>
      </w:r>
      <w:r w:rsidR="00A70069" w:rsidRPr="00882ACB">
        <w:rPr>
          <w:rFonts w:ascii="Arial" w:hAnsi="Arial" w:cs="Arial"/>
        </w:rPr>
        <w:t xml:space="preserve">azards </w:t>
      </w:r>
      <w:r w:rsidRPr="00882ACB">
        <w:rPr>
          <w:rFonts w:ascii="Arial" w:hAnsi="Arial" w:cs="Arial"/>
        </w:rPr>
        <w:t>m</w:t>
      </w:r>
      <w:r w:rsidR="00A70069" w:rsidRPr="00882ACB">
        <w:rPr>
          <w:rFonts w:ascii="Arial" w:hAnsi="Arial" w:cs="Arial"/>
        </w:rPr>
        <w:t xml:space="preserve">odel </w:t>
      </w:r>
      <w:r w:rsidR="00FC1753" w:rsidRPr="00882ACB">
        <w:rPr>
          <w:rFonts w:ascii="Arial" w:hAnsi="Arial" w:cs="Arial"/>
        </w:rPr>
        <w:t>estimate</w:t>
      </w:r>
      <w:r w:rsidR="00CD6A6E" w:rsidRPr="00882ACB">
        <w:rPr>
          <w:rFonts w:ascii="Arial" w:hAnsi="Arial" w:cs="Arial"/>
        </w:rPr>
        <w:t>d</w:t>
      </w:r>
      <w:r w:rsidR="00A70069" w:rsidRPr="00882ACB">
        <w:rPr>
          <w:rFonts w:ascii="Arial" w:hAnsi="Arial" w:cs="Arial"/>
        </w:rPr>
        <w:t xml:space="preserve"> the relative hazard of re-intervention</w:t>
      </w:r>
      <w:r w:rsidRPr="00882ACB">
        <w:rPr>
          <w:rFonts w:ascii="Arial" w:hAnsi="Arial" w:cs="Arial"/>
        </w:rPr>
        <w:t xml:space="preserve"> </w:t>
      </w:r>
      <w:r w:rsidR="00A70069" w:rsidRPr="00882ACB">
        <w:rPr>
          <w:rFonts w:ascii="Arial" w:hAnsi="Arial" w:cs="Arial"/>
        </w:rPr>
        <w:t xml:space="preserve">to the reference digit and the absolute differences in risk of </w:t>
      </w:r>
      <w:r w:rsidRPr="00882ACB">
        <w:rPr>
          <w:rFonts w:ascii="Arial" w:hAnsi="Arial" w:cs="Arial"/>
        </w:rPr>
        <w:t>re-intervention</w:t>
      </w:r>
      <w:r w:rsidR="00A70069" w:rsidRPr="00882ACB">
        <w:rPr>
          <w:rFonts w:ascii="Arial" w:hAnsi="Arial" w:cs="Arial"/>
        </w:rPr>
        <w:t xml:space="preserve"> by 2 years.</w:t>
      </w:r>
    </w:p>
    <w:p w14:paraId="0A1B2D24" w14:textId="77777777" w:rsidR="00304FF4" w:rsidRDefault="00304FF4" w:rsidP="00FE2FBC">
      <w:pPr>
        <w:rPr>
          <w:rFonts w:ascii="Arial" w:hAnsi="Arial" w:cs="Arial"/>
        </w:rPr>
      </w:pPr>
    </w:p>
    <w:p w14:paraId="5F86917D" w14:textId="67F2421B" w:rsidR="00BE0F5F" w:rsidRPr="00882ACB" w:rsidRDefault="00BE0F5F" w:rsidP="005027B7">
      <w:pPr>
        <w:rPr>
          <w:rFonts w:ascii="Arial" w:hAnsi="Arial" w:cs="Arial"/>
          <w:b/>
          <w:szCs w:val="24"/>
        </w:rPr>
      </w:pPr>
      <w:r w:rsidRPr="00882ACB">
        <w:rPr>
          <w:rFonts w:ascii="Arial" w:hAnsi="Arial" w:cs="Arial"/>
          <w:b/>
          <w:szCs w:val="24"/>
        </w:rPr>
        <w:t>Results</w:t>
      </w:r>
    </w:p>
    <w:p w14:paraId="4C6D81CC" w14:textId="21BB07C9" w:rsidR="00BE0F5F" w:rsidRPr="00882ACB" w:rsidRDefault="00336202" w:rsidP="005027B7">
      <w:pPr>
        <w:rPr>
          <w:rFonts w:ascii="Arial" w:hAnsi="Arial" w:cs="Arial"/>
          <w:szCs w:val="24"/>
          <w:u w:val="single"/>
        </w:rPr>
      </w:pPr>
      <w:r w:rsidRPr="00882ACB">
        <w:rPr>
          <w:rFonts w:ascii="Arial" w:hAnsi="Arial" w:cs="Arial"/>
          <w:szCs w:val="24"/>
          <w:u w:val="single"/>
        </w:rPr>
        <w:t>Patient Characteristics</w:t>
      </w:r>
    </w:p>
    <w:p w14:paraId="503D6424" w14:textId="5F4F0CF2" w:rsidR="00336202" w:rsidRPr="00882ACB" w:rsidRDefault="008A1149" w:rsidP="00A15B37">
      <w:pPr>
        <w:rPr>
          <w:rFonts w:ascii="Arial" w:hAnsi="Arial" w:cs="Arial"/>
        </w:rPr>
      </w:pPr>
      <w:r w:rsidRPr="00882ACB">
        <w:rPr>
          <w:rFonts w:ascii="Arial" w:hAnsi="Arial" w:cs="Arial"/>
          <w:bCs/>
          <w:szCs w:val="24"/>
        </w:rPr>
        <w:t>Participants were recruited from 31</w:t>
      </w:r>
      <w:r w:rsidRPr="00882ACB">
        <w:rPr>
          <w:rFonts w:ascii="Arial" w:hAnsi="Arial" w:cs="Arial"/>
          <w:bCs/>
          <w:szCs w:val="24"/>
          <w:vertAlign w:val="superscript"/>
        </w:rPr>
        <w:t xml:space="preserve">st </w:t>
      </w:r>
      <w:r w:rsidRPr="00882ACB">
        <w:rPr>
          <w:rFonts w:ascii="Arial" w:hAnsi="Arial" w:cs="Arial"/>
          <w:bCs/>
          <w:szCs w:val="24"/>
        </w:rPr>
        <w:t xml:space="preserve">July 2017 </w:t>
      </w:r>
      <w:r w:rsidR="00666E3F" w:rsidRPr="00882ACB">
        <w:rPr>
          <w:rFonts w:ascii="Arial" w:hAnsi="Arial" w:cs="Arial"/>
          <w:bCs/>
          <w:szCs w:val="24"/>
        </w:rPr>
        <w:t>to</w:t>
      </w:r>
      <w:r w:rsidRPr="00882ACB">
        <w:rPr>
          <w:rFonts w:ascii="Arial" w:hAnsi="Arial" w:cs="Arial"/>
          <w:bCs/>
          <w:szCs w:val="24"/>
        </w:rPr>
        <w:t xml:space="preserve"> 28</w:t>
      </w:r>
      <w:r w:rsidRPr="00882ACB">
        <w:rPr>
          <w:rFonts w:ascii="Arial" w:hAnsi="Arial" w:cs="Arial"/>
          <w:bCs/>
          <w:szCs w:val="24"/>
          <w:vertAlign w:val="superscript"/>
        </w:rPr>
        <w:t>th</w:t>
      </w:r>
      <w:r w:rsidRPr="00882ACB">
        <w:rPr>
          <w:rFonts w:ascii="Arial" w:hAnsi="Arial" w:cs="Arial"/>
          <w:bCs/>
          <w:szCs w:val="24"/>
        </w:rPr>
        <w:t xml:space="preserve"> September 2021, with follow up</w:t>
      </w:r>
      <w:r w:rsidR="000A7C7F" w:rsidRPr="00882ACB">
        <w:rPr>
          <w:rFonts w:ascii="Arial" w:hAnsi="Arial" w:cs="Arial"/>
          <w:bCs/>
          <w:szCs w:val="24"/>
        </w:rPr>
        <w:t xml:space="preserve"> planned </w:t>
      </w:r>
      <w:r w:rsidRPr="00882ACB">
        <w:rPr>
          <w:rFonts w:ascii="Arial" w:hAnsi="Arial" w:cs="Arial"/>
          <w:bCs/>
          <w:szCs w:val="24"/>
        </w:rPr>
        <w:t xml:space="preserve">for </w:t>
      </w:r>
      <w:r w:rsidR="000A7C7F" w:rsidRPr="00882ACB">
        <w:rPr>
          <w:rFonts w:ascii="Arial" w:hAnsi="Arial" w:cs="Arial"/>
          <w:bCs/>
          <w:szCs w:val="24"/>
        </w:rPr>
        <w:t>a</w:t>
      </w:r>
      <w:r w:rsidRPr="00882ACB">
        <w:rPr>
          <w:rFonts w:ascii="Arial" w:hAnsi="Arial" w:cs="Arial"/>
          <w:bCs/>
          <w:szCs w:val="24"/>
        </w:rPr>
        <w:t xml:space="preserve"> minimum of 1 year from </w:t>
      </w:r>
      <w:r w:rsidR="00C0000E" w:rsidRPr="00882ACB">
        <w:rPr>
          <w:rFonts w:ascii="Arial" w:hAnsi="Arial" w:cs="Arial"/>
          <w:bCs/>
          <w:szCs w:val="24"/>
        </w:rPr>
        <w:t>treatment</w:t>
      </w:r>
      <w:r w:rsidRPr="00882ACB">
        <w:rPr>
          <w:rFonts w:ascii="Arial" w:hAnsi="Arial" w:cs="Arial"/>
          <w:bCs/>
          <w:szCs w:val="24"/>
        </w:rPr>
        <w:t>.</w:t>
      </w:r>
      <w:r w:rsidR="005E2EC7" w:rsidRPr="00882ACB">
        <w:rPr>
          <w:rFonts w:ascii="Arial" w:hAnsi="Arial" w:cs="Arial"/>
        </w:rPr>
        <w:t xml:space="preserve"> </w:t>
      </w:r>
      <w:r w:rsidR="00ED47C2" w:rsidRPr="00882ACB">
        <w:rPr>
          <w:rFonts w:ascii="Arial" w:hAnsi="Arial" w:cs="Arial"/>
        </w:rPr>
        <w:t>We randomized</w:t>
      </w:r>
      <w:r w:rsidR="00412AF0" w:rsidRPr="00882ACB">
        <w:rPr>
          <w:rFonts w:ascii="Arial" w:hAnsi="Arial" w:cs="Arial"/>
        </w:rPr>
        <w:t xml:space="preserve"> 672 participants</w:t>
      </w:r>
      <w:r w:rsidR="003B6198" w:rsidRPr="00882ACB">
        <w:rPr>
          <w:rFonts w:ascii="Arial" w:hAnsi="Arial" w:cs="Arial"/>
        </w:rPr>
        <w:t>, with</w:t>
      </w:r>
      <w:r w:rsidR="00412AF0" w:rsidRPr="00882ACB">
        <w:rPr>
          <w:rFonts w:ascii="Arial" w:hAnsi="Arial" w:cs="Arial"/>
        </w:rPr>
        <w:t xml:space="preserve"> 336 </w:t>
      </w:r>
      <w:r w:rsidR="00E51C42" w:rsidRPr="00882ACB">
        <w:rPr>
          <w:rFonts w:ascii="Arial" w:hAnsi="Arial" w:cs="Arial"/>
        </w:rPr>
        <w:t xml:space="preserve">allocated to </w:t>
      </w:r>
      <w:r w:rsidR="00412AF0" w:rsidRPr="00882ACB">
        <w:rPr>
          <w:rFonts w:ascii="Arial" w:hAnsi="Arial" w:cs="Arial"/>
        </w:rPr>
        <w:t xml:space="preserve">collagenase injection and 336 </w:t>
      </w:r>
      <w:r w:rsidR="00E51C42" w:rsidRPr="00882ACB">
        <w:rPr>
          <w:rFonts w:ascii="Arial" w:hAnsi="Arial" w:cs="Arial"/>
        </w:rPr>
        <w:t xml:space="preserve">to </w:t>
      </w:r>
      <w:r w:rsidR="00CB2FEC" w:rsidRPr="00882ACB">
        <w:rPr>
          <w:rFonts w:ascii="Arial" w:hAnsi="Arial" w:cs="Arial"/>
        </w:rPr>
        <w:t>limited fasciectomy</w:t>
      </w:r>
      <w:r w:rsidR="00412AF0" w:rsidRPr="00882ACB">
        <w:rPr>
          <w:rFonts w:ascii="Arial" w:hAnsi="Arial" w:cs="Arial"/>
        </w:rPr>
        <w:t xml:space="preserve">. </w:t>
      </w:r>
      <w:r w:rsidR="00874869" w:rsidRPr="001B17CA">
        <w:rPr>
          <w:rStyle w:val="ui-provider"/>
          <w:rFonts w:ascii="Arial" w:hAnsi="Arial" w:cs="Arial"/>
        </w:rPr>
        <w:t>This was below the target sample size of 710, but larger than the effective sample size of 568 targeted for the primary analysis</w:t>
      </w:r>
      <w:r w:rsidR="001B17CA">
        <w:rPr>
          <w:rStyle w:val="ui-provider"/>
          <w:rFonts w:ascii="Arial" w:hAnsi="Arial" w:cs="Arial"/>
        </w:rPr>
        <w:t xml:space="preserve"> (Appendix S3)</w:t>
      </w:r>
      <w:r w:rsidR="00874869" w:rsidRPr="001B17CA">
        <w:rPr>
          <w:rStyle w:val="ui-provider"/>
          <w:rFonts w:ascii="Arial" w:hAnsi="Arial" w:cs="Arial"/>
        </w:rPr>
        <w:t>.</w:t>
      </w:r>
      <w:r w:rsidR="00874869">
        <w:rPr>
          <w:rStyle w:val="ui-provider"/>
        </w:rPr>
        <w:t xml:space="preserve"> </w:t>
      </w:r>
      <w:r w:rsidR="00412AF0" w:rsidRPr="00882ACB">
        <w:rPr>
          <w:rFonts w:ascii="Arial" w:hAnsi="Arial" w:cs="Arial"/>
        </w:rPr>
        <w:t xml:space="preserve">Baseline characteristics were similar </w:t>
      </w:r>
      <w:r w:rsidR="00BD247F" w:rsidRPr="00882ACB">
        <w:rPr>
          <w:rFonts w:ascii="Arial" w:hAnsi="Arial" w:cs="Arial"/>
        </w:rPr>
        <w:t xml:space="preserve">between </w:t>
      </w:r>
      <w:r w:rsidR="00412AF0" w:rsidRPr="00882ACB">
        <w:rPr>
          <w:rFonts w:ascii="Arial" w:hAnsi="Arial" w:cs="Arial"/>
        </w:rPr>
        <w:t>groups</w:t>
      </w:r>
      <w:r w:rsidR="00C75280" w:rsidRPr="00882ACB">
        <w:rPr>
          <w:rFonts w:ascii="Arial" w:hAnsi="Arial" w:cs="Arial"/>
        </w:rPr>
        <w:t xml:space="preserve"> (Table 1)</w:t>
      </w:r>
      <w:r w:rsidR="00412AF0" w:rsidRPr="00882ACB">
        <w:rPr>
          <w:rFonts w:ascii="Arial" w:hAnsi="Arial" w:cs="Arial"/>
        </w:rPr>
        <w:t>.</w:t>
      </w:r>
      <w:r w:rsidR="00AD1FBA" w:rsidRPr="00882ACB">
        <w:rPr>
          <w:rFonts w:ascii="Arial" w:hAnsi="Arial" w:cs="Arial"/>
        </w:rPr>
        <w:t xml:space="preserve"> </w:t>
      </w:r>
    </w:p>
    <w:p w14:paraId="541F4F21" w14:textId="77777777" w:rsidR="001F40B7" w:rsidRPr="00882ACB" w:rsidRDefault="001F40B7" w:rsidP="00A15B37">
      <w:pPr>
        <w:rPr>
          <w:rFonts w:ascii="Arial" w:hAnsi="Arial" w:cs="Arial"/>
        </w:rPr>
      </w:pPr>
    </w:p>
    <w:p w14:paraId="38D60C68" w14:textId="77777777" w:rsidR="00336202" w:rsidRPr="00882ACB" w:rsidRDefault="00BE0F5F" w:rsidP="005027B7">
      <w:pPr>
        <w:rPr>
          <w:rFonts w:ascii="Arial" w:hAnsi="Arial" w:cs="Arial"/>
          <w:szCs w:val="24"/>
          <w:u w:val="single"/>
        </w:rPr>
      </w:pPr>
      <w:r w:rsidRPr="00882ACB">
        <w:rPr>
          <w:rFonts w:ascii="Arial" w:hAnsi="Arial" w:cs="Arial"/>
          <w:szCs w:val="24"/>
          <w:u w:val="single"/>
        </w:rPr>
        <w:t>T</w:t>
      </w:r>
      <w:r w:rsidR="00336202" w:rsidRPr="00882ACB">
        <w:rPr>
          <w:rFonts w:ascii="Arial" w:hAnsi="Arial" w:cs="Arial"/>
          <w:szCs w:val="24"/>
          <w:u w:val="single"/>
        </w:rPr>
        <w:t>reatment Delivery and Follow Up</w:t>
      </w:r>
    </w:p>
    <w:p w14:paraId="2659D58B" w14:textId="0BD96227" w:rsidR="00D8182F" w:rsidRPr="00882ACB" w:rsidRDefault="00412AF0" w:rsidP="00D8182F">
      <w:pPr>
        <w:rPr>
          <w:rFonts w:ascii="Arial" w:hAnsi="Arial" w:cs="Arial"/>
          <w:szCs w:val="24"/>
        </w:rPr>
      </w:pPr>
      <w:r w:rsidRPr="00882ACB">
        <w:rPr>
          <w:rFonts w:ascii="Arial" w:hAnsi="Arial" w:cs="Arial"/>
        </w:rPr>
        <w:lastRenderedPageBreak/>
        <w:t xml:space="preserve">Of the 672 </w:t>
      </w:r>
      <w:r w:rsidR="00F5510B" w:rsidRPr="00882ACB">
        <w:rPr>
          <w:rFonts w:ascii="Arial" w:hAnsi="Arial" w:cs="Arial"/>
        </w:rPr>
        <w:t xml:space="preserve">randomized </w:t>
      </w:r>
      <w:r w:rsidRPr="00882ACB">
        <w:rPr>
          <w:rFonts w:ascii="Arial" w:hAnsi="Arial" w:cs="Arial"/>
        </w:rPr>
        <w:t>participants, 621 (92.4%) received treatment as part of the trial</w:t>
      </w:r>
      <w:r w:rsidR="00BA39E2" w:rsidRPr="00882ACB">
        <w:rPr>
          <w:rFonts w:ascii="Arial" w:hAnsi="Arial" w:cs="Arial"/>
        </w:rPr>
        <w:t xml:space="preserve">, 27 (4.0%) withdrew consent </w:t>
      </w:r>
      <w:r w:rsidR="00AD40E1" w:rsidRPr="00882ACB">
        <w:rPr>
          <w:rFonts w:ascii="Arial" w:hAnsi="Arial" w:cs="Arial"/>
        </w:rPr>
        <w:t>before</w:t>
      </w:r>
      <w:r w:rsidR="00BA39E2" w:rsidRPr="00882ACB">
        <w:rPr>
          <w:rFonts w:ascii="Arial" w:hAnsi="Arial" w:cs="Arial"/>
        </w:rPr>
        <w:t xml:space="preserve"> treatment delivery</w:t>
      </w:r>
      <w:r w:rsidR="000C4E31" w:rsidRPr="00882ACB">
        <w:rPr>
          <w:rFonts w:ascii="Arial" w:hAnsi="Arial" w:cs="Arial"/>
        </w:rPr>
        <w:t xml:space="preserve">, </w:t>
      </w:r>
      <w:r w:rsidR="00BA39E2" w:rsidRPr="00882ACB">
        <w:rPr>
          <w:rFonts w:ascii="Arial" w:hAnsi="Arial" w:cs="Arial"/>
        </w:rPr>
        <w:t xml:space="preserve">and 24 (3.6%) did not receive treatment </w:t>
      </w:r>
      <w:r w:rsidR="00AD40E1" w:rsidRPr="00882ACB">
        <w:rPr>
          <w:rFonts w:ascii="Arial" w:hAnsi="Arial" w:cs="Arial"/>
        </w:rPr>
        <w:t>before</w:t>
      </w:r>
      <w:r w:rsidR="00BA39E2" w:rsidRPr="00882ACB">
        <w:rPr>
          <w:rFonts w:ascii="Arial" w:hAnsi="Arial" w:cs="Arial"/>
        </w:rPr>
        <w:t xml:space="preserve"> the end of the data collection period</w:t>
      </w:r>
      <w:r w:rsidRPr="00882ACB">
        <w:rPr>
          <w:rFonts w:ascii="Arial" w:hAnsi="Arial" w:cs="Arial"/>
        </w:rPr>
        <w:t>.</w:t>
      </w:r>
      <w:r w:rsidR="00D8182F" w:rsidRPr="00882ACB">
        <w:rPr>
          <w:rFonts w:ascii="Arial" w:hAnsi="Arial" w:cs="Arial"/>
        </w:rPr>
        <w:t xml:space="preserve"> </w:t>
      </w:r>
      <w:r w:rsidR="00136BE0" w:rsidRPr="00136BE0">
        <w:rPr>
          <w:rFonts w:ascii="Arial" w:hAnsi="Arial" w:cs="Arial"/>
        </w:rPr>
        <w:t xml:space="preserve">Treatments were delivered by surgeons routinely providing these interventions </w:t>
      </w:r>
      <w:r w:rsidR="00136BE0" w:rsidRPr="00826104">
        <w:rPr>
          <w:rFonts w:ascii="Arial" w:hAnsi="Arial" w:cs="Arial"/>
        </w:rPr>
        <w:t>(</w:t>
      </w:r>
      <w:r w:rsidR="00BD7D23">
        <w:rPr>
          <w:rFonts w:ascii="Arial" w:hAnsi="Arial" w:cs="Arial"/>
        </w:rPr>
        <w:t>Table S2</w:t>
      </w:r>
      <w:r w:rsidR="00136BE0" w:rsidRPr="00826104">
        <w:rPr>
          <w:rFonts w:ascii="Arial" w:hAnsi="Arial" w:cs="Arial"/>
        </w:rPr>
        <w:t>).</w:t>
      </w:r>
    </w:p>
    <w:p w14:paraId="196D8EC7" w14:textId="7D45C6D6" w:rsidR="00412AF0" w:rsidRPr="00882ACB" w:rsidRDefault="00412AF0" w:rsidP="00A15B37">
      <w:pPr>
        <w:rPr>
          <w:rFonts w:ascii="Arial" w:hAnsi="Arial" w:cs="Arial"/>
        </w:rPr>
      </w:pPr>
      <w:r w:rsidRPr="00882ACB">
        <w:rPr>
          <w:rFonts w:ascii="Arial" w:hAnsi="Arial" w:cs="Arial"/>
        </w:rPr>
        <w:t>Cross</w:t>
      </w:r>
      <w:r w:rsidR="00666E3F" w:rsidRPr="00882ACB">
        <w:rPr>
          <w:rFonts w:ascii="Arial" w:hAnsi="Arial" w:cs="Arial"/>
        </w:rPr>
        <w:t>-</w:t>
      </w:r>
      <w:r w:rsidRPr="00882ACB">
        <w:rPr>
          <w:rFonts w:ascii="Arial" w:hAnsi="Arial" w:cs="Arial"/>
        </w:rPr>
        <w:t>over was limited: one participant (0.3%) allocated to collagenase received</w:t>
      </w:r>
      <w:r w:rsidR="00CB2FEC" w:rsidRPr="00882ACB">
        <w:rPr>
          <w:rFonts w:ascii="Arial" w:hAnsi="Arial" w:cs="Arial"/>
        </w:rPr>
        <w:t xml:space="preserve"> limited fasciectomy</w:t>
      </w:r>
      <w:r w:rsidRPr="00882ACB">
        <w:rPr>
          <w:rFonts w:ascii="Arial" w:hAnsi="Arial" w:cs="Arial"/>
        </w:rPr>
        <w:t xml:space="preserve">; seven participants allocated to </w:t>
      </w:r>
      <w:r w:rsidR="00CB2FEC" w:rsidRPr="00882ACB">
        <w:rPr>
          <w:rFonts w:ascii="Arial" w:hAnsi="Arial" w:cs="Arial"/>
        </w:rPr>
        <w:t xml:space="preserve">limited fasciectomy </w:t>
      </w:r>
      <w:r w:rsidRPr="00882ACB">
        <w:rPr>
          <w:rFonts w:ascii="Arial" w:hAnsi="Arial" w:cs="Arial"/>
        </w:rPr>
        <w:t xml:space="preserve">received collagenase (2.1%). On average participants received collagenase </w:t>
      </w:r>
      <w:r w:rsidR="00BA39E2" w:rsidRPr="00882ACB">
        <w:rPr>
          <w:rFonts w:ascii="Arial" w:hAnsi="Arial" w:cs="Arial"/>
        </w:rPr>
        <w:t>within 8</w:t>
      </w:r>
      <w:r w:rsidRPr="00882ACB">
        <w:rPr>
          <w:rFonts w:ascii="Arial" w:hAnsi="Arial" w:cs="Arial"/>
        </w:rPr>
        <w:t xml:space="preserve"> weeks</w:t>
      </w:r>
      <w:r w:rsidR="00BA39E2" w:rsidRPr="00882ACB">
        <w:rPr>
          <w:rFonts w:ascii="Arial" w:hAnsi="Arial" w:cs="Arial"/>
        </w:rPr>
        <w:t xml:space="preserve"> of randomi</w:t>
      </w:r>
      <w:r w:rsidR="00F5510B" w:rsidRPr="00882ACB">
        <w:rPr>
          <w:rFonts w:ascii="Arial" w:hAnsi="Arial" w:cs="Arial"/>
        </w:rPr>
        <w:t>z</w:t>
      </w:r>
      <w:r w:rsidR="00BA39E2" w:rsidRPr="00882ACB">
        <w:rPr>
          <w:rFonts w:ascii="Arial" w:hAnsi="Arial" w:cs="Arial"/>
        </w:rPr>
        <w:t>ation</w:t>
      </w:r>
      <w:r w:rsidRPr="00882ACB">
        <w:rPr>
          <w:rFonts w:ascii="Arial" w:hAnsi="Arial" w:cs="Arial"/>
        </w:rPr>
        <w:t xml:space="preserve"> (</w:t>
      </w:r>
      <w:r w:rsidR="00CB2FEC" w:rsidRPr="00882ACB">
        <w:rPr>
          <w:rFonts w:ascii="Arial" w:hAnsi="Arial" w:cs="Arial"/>
        </w:rPr>
        <w:t xml:space="preserve">Interquartile Range </w:t>
      </w:r>
      <w:r w:rsidR="00BA39E2" w:rsidRPr="00882ACB">
        <w:rPr>
          <w:rFonts w:ascii="Arial" w:hAnsi="Arial" w:cs="Arial"/>
        </w:rPr>
        <w:t>4.6 to 12.6</w:t>
      </w:r>
      <w:r w:rsidRPr="00882ACB">
        <w:rPr>
          <w:rFonts w:ascii="Arial" w:hAnsi="Arial" w:cs="Arial"/>
        </w:rPr>
        <w:t xml:space="preserve">) and </w:t>
      </w:r>
      <w:r w:rsidR="00CB2FEC" w:rsidRPr="00882ACB">
        <w:rPr>
          <w:rFonts w:ascii="Arial" w:hAnsi="Arial" w:cs="Arial"/>
        </w:rPr>
        <w:t xml:space="preserve">limited fasciectomy </w:t>
      </w:r>
      <w:r w:rsidR="00BA39E2" w:rsidRPr="00882ACB">
        <w:rPr>
          <w:rFonts w:ascii="Arial" w:hAnsi="Arial" w:cs="Arial"/>
        </w:rPr>
        <w:t>with</w:t>
      </w:r>
      <w:r w:rsidRPr="00882ACB">
        <w:rPr>
          <w:rFonts w:ascii="Arial" w:hAnsi="Arial" w:cs="Arial"/>
        </w:rPr>
        <w:t xml:space="preserve">in </w:t>
      </w:r>
      <w:r w:rsidR="00BA39E2" w:rsidRPr="00882ACB">
        <w:rPr>
          <w:rFonts w:ascii="Arial" w:hAnsi="Arial" w:cs="Arial"/>
        </w:rPr>
        <w:t>12.1</w:t>
      </w:r>
      <w:r w:rsidRPr="00882ACB">
        <w:rPr>
          <w:rFonts w:ascii="Arial" w:hAnsi="Arial" w:cs="Arial"/>
        </w:rPr>
        <w:t xml:space="preserve"> weeks (</w:t>
      </w:r>
      <w:r w:rsidR="00CB2FEC" w:rsidRPr="00882ACB">
        <w:rPr>
          <w:rFonts w:ascii="Arial" w:hAnsi="Arial" w:cs="Arial"/>
        </w:rPr>
        <w:t>Interquartile Range</w:t>
      </w:r>
      <w:r w:rsidR="00BA39E2" w:rsidRPr="00882ACB">
        <w:rPr>
          <w:rFonts w:ascii="Arial" w:hAnsi="Arial" w:cs="Arial"/>
        </w:rPr>
        <w:t xml:space="preserve"> 8.3 to 20.4</w:t>
      </w:r>
      <w:r w:rsidRPr="00882ACB">
        <w:rPr>
          <w:rFonts w:ascii="Arial" w:hAnsi="Arial" w:cs="Arial"/>
        </w:rPr>
        <w:t>). Most had one digit treated</w:t>
      </w:r>
      <w:r w:rsidR="00BA39E2" w:rsidRPr="00882ACB">
        <w:rPr>
          <w:rFonts w:ascii="Arial" w:hAnsi="Arial" w:cs="Arial"/>
        </w:rPr>
        <w:t xml:space="preserve"> (Collagenase</w:t>
      </w:r>
      <w:r w:rsidR="00EE7831" w:rsidRPr="00882ACB">
        <w:rPr>
          <w:rFonts w:ascii="Arial" w:hAnsi="Arial" w:cs="Arial"/>
        </w:rPr>
        <w:t xml:space="preserve"> n=315 </w:t>
      </w:r>
      <w:r w:rsidR="00BA39E2" w:rsidRPr="00882ACB">
        <w:rPr>
          <w:rFonts w:ascii="Arial" w:hAnsi="Arial" w:cs="Arial"/>
        </w:rPr>
        <w:t xml:space="preserve">95.2 %, </w:t>
      </w:r>
      <w:r w:rsidR="00CB2FEC" w:rsidRPr="00882ACB">
        <w:rPr>
          <w:rFonts w:ascii="Arial" w:hAnsi="Arial" w:cs="Arial"/>
        </w:rPr>
        <w:t xml:space="preserve">Limited fasciectomy </w:t>
      </w:r>
      <w:r w:rsidR="00EE7831" w:rsidRPr="00882ACB">
        <w:rPr>
          <w:rFonts w:ascii="Arial" w:hAnsi="Arial" w:cs="Arial"/>
        </w:rPr>
        <w:t>n=237</w:t>
      </w:r>
      <w:r w:rsidR="00BA39E2" w:rsidRPr="00882ACB">
        <w:rPr>
          <w:rFonts w:ascii="Arial" w:hAnsi="Arial" w:cs="Arial"/>
        </w:rPr>
        <w:t xml:space="preserve"> 82.6%)</w:t>
      </w:r>
      <w:r w:rsidRPr="00882ACB">
        <w:rPr>
          <w:rFonts w:ascii="Arial" w:hAnsi="Arial" w:cs="Arial"/>
        </w:rPr>
        <w:t xml:space="preserve">. </w:t>
      </w:r>
      <w:r w:rsidR="003252A3" w:rsidRPr="00882ACB">
        <w:rPr>
          <w:rFonts w:ascii="Arial" w:hAnsi="Arial" w:cs="Arial"/>
        </w:rPr>
        <w:t>Treatment achieved f</w:t>
      </w:r>
      <w:r w:rsidR="00F5510B" w:rsidRPr="00882ACB">
        <w:rPr>
          <w:rFonts w:ascii="Arial" w:hAnsi="Arial" w:cs="Arial"/>
        </w:rPr>
        <w:t xml:space="preserve">ull correction </w:t>
      </w:r>
      <w:r w:rsidR="00E51C42" w:rsidRPr="00882ACB">
        <w:rPr>
          <w:rFonts w:ascii="Arial" w:hAnsi="Arial" w:cs="Arial"/>
        </w:rPr>
        <w:t>(≤5° extension deficit assessed immediately following manipulation or a</w:t>
      </w:r>
      <w:r w:rsidR="005E6583" w:rsidRPr="00882ACB">
        <w:rPr>
          <w:rFonts w:ascii="Arial" w:hAnsi="Arial" w:cs="Arial"/>
        </w:rPr>
        <w:t>fter</w:t>
      </w:r>
      <w:r w:rsidR="00E51C42" w:rsidRPr="00882ACB">
        <w:rPr>
          <w:rFonts w:ascii="Arial" w:hAnsi="Arial" w:cs="Arial"/>
        </w:rPr>
        <w:t xml:space="preserve"> surgery) </w:t>
      </w:r>
      <w:r w:rsidR="00F5510B" w:rsidRPr="00882ACB">
        <w:rPr>
          <w:rFonts w:ascii="Arial" w:hAnsi="Arial" w:cs="Arial"/>
        </w:rPr>
        <w:t xml:space="preserve">in </w:t>
      </w:r>
      <w:r w:rsidR="00C75280" w:rsidRPr="00882ACB">
        <w:rPr>
          <w:rFonts w:ascii="Arial" w:hAnsi="Arial" w:cs="Arial"/>
        </w:rPr>
        <w:t>9</w:t>
      </w:r>
      <w:r w:rsidRPr="00882ACB">
        <w:rPr>
          <w:rFonts w:ascii="Arial" w:hAnsi="Arial" w:cs="Arial"/>
        </w:rPr>
        <w:t xml:space="preserve">2.0% </w:t>
      </w:r>
      <w:r w:rsidR="00C75280" w:rsidRPr="00882ACB">
        <w:rPr>
          <w:rFonts w:ascii="Arial" w:hAnsi="Arial" w:cs="Arial"/>
        </w:rPr>
        <w:t xml:space="preserve">of </w:t>
      </w:r>
      <w:r w:rsidRPr="00882ACB">
        <w:rPr>
          <w:rFonts w:ascii="Arial" w:hAnsi="Arial" w:cs="Arial"/>
        </w:rPr>
        <w:t xml:space="preserve">collagenase participants and </w:t>
      </w:r>
      <w:r w:rsidR="00C75280" w:rsidRPr="00882ACB">
        <w:rPr>
          <w:rFonts w:ascii="Arial" w:hAnsi="Arial" w:cs="Arial"/>
        </w:rPr>
        <w:t>96.5</w:t>
      </w:r>
      <w:r w:rsidRPr="00882ACB">
        <w:rPr>
          <w:rFonts w:ascii="Arial" w:hAnsi="Arial" w:cs="Arial"/>
        </w:rPr>
        <w:t xml:space="preserve">% </w:t>
      </w:r>
      <w:r w:rsidR="00EE4959" w:rsidRPr="00882ACB">
        <w:rPr>
          <w:rFonts w:ascii="Arial" w:hAnsi="Arial" w:cs="Arial"/>
        </w:rPr>
        <w:t xml:space="preserve">of </w:t>
      </w:r>
      <w:r w:rsidR="00CB2FEC" w:rsidRPr="00882ACB">
        <w:rPr>
          <w:rFonts w:ascii="Arial" w:hAnsi="Arial" w:cs="Arial"/>
        </w:rPr>
        <w:t xml:space="preserve">limited fasciectomy </w:t>
      </w:r>
      <w:r w:rsidRPr="00882ACB">
        <w:rPr>
          <w:rFonts w:ascii="Arial" w:hAnsi="Arial" w:cs="Arial"/>
        </w:rPr>
        <w:t>participants</w:t>
      </w:r>
      <w:r w:rsidR="003252A3" w:rsidRPr="00882ACB">
        <w:rPr>
          <w:rFonts w:ascii="Arial" w:hAnsi="Arial" w:cs="Arial"/>
        </w:rPr>
        <w:t>.</w:t>
      </w:r>
      <w:r w:rsidRPr="00882ACB">
        <w:rPr>
          <w:rFonts w:ascii="Arial" w:hAnsi="Arial" w:cs="Arial"/>
        </w:rPr>
        <w:t xml:space="preserve"> </w:t>
      </w:r>
    </w:p>
    <w:p w14:paraId="4F157CD0" w14:textId="6610E1A6" w:rsidR="00412AF0" w:rsidRPr="00882ACB" w:rsidRDefault="000C4E31" w:rsidP="00A15B37">
      <w:pPr>
        <w:rPr>
          <w:rFonts w:ascii="Arial" w:hAnsi="Arial" w:cs="Arial"/>
        </w:rPr>
      </w:pPr>
      <w:r w:rsidRPr="00882ACB">
        <w:rPr>
          <w:rFonts w:ascii="Arial" w:hAnsi="Arial" w:cs="Arial"/>
        </w:rPr>
        <w:t>Of the</w:t>
      </w:r>
      <w:r w:rsidR="00441F5D" w:rsidRPr="00882ACB">
        <w:rPr>
          <w:rFonts w:ascii="Arial" w:hAnsi="Arial" w:cs="Arial"/>
        </w:rPr>
        <w:t xml:space="preserve"> </w:t>
      </w:r>
      <w:r w:rsidR="00B21EF3" w:rsidRPr="00882ACB">
        <w:rPr>
          <w:rFonts w:ascii="Arial" w:hAnsi="Arial" w:cs="Arial"/>
        </w:rPr>
        <w:t xml:space="preserve">621 </w:t>
      </w:r>
      <w:r w:rsidR="00555F3E" w:rsidRPr="00882ACB">
        <w:rPr>
          <w:rFonts w:ascii="Arial" w:hAnsi="Arial" w:cs="Arial"/>
        </w:rPr>
        <w:t xml:space="preserve">treated </w:t>
      </w:r>
      <w:r w:rsidR="00B21EF3" w:rsidRPr="00882ACB">
        <w:rPr>
          <w:rFonts w:ascii="Arial" w:hAnsi="Arial" w:cs="Arial"/>
        </w:rPr>
        <w:t>participants</w:t>
      </w:r>
      <w:r w:rsidR="00441F5D" w:rsidRPr="00882ACB">
        <w:rPr>
          <w:rFonts w:ascii="Arial" w:hAnsi="Arial" w:cs="Arial"/>
        </w:rPr>
        <w:t xml:space="preserve"> </w:t>
      </w:r>
      <w:r w:rsidR="00167143" w:rsidRPr="00882ACB">
        <w:rPr>
          <w:rFonts w:ascii="Arial" w:hAnsi="Arial" w:cs="Arial"/>
        </w:rPr>
        <w:t xml:space="preserve">(326 in the collagenase group and 295 in the </w:t>
      </w:r>
      <w:r w:rsidR="00CB2FEC" w:rsidRPr="00882ACB">
        <w:rPr>
          <w:rFonts w:ascii="Arial" w:hAnsi="Arial" w:cs="Arial"/>
        </w:rPr>
        <w:t>limited fasciectomy</w:t>
      </w:r>
      <w:r w:rsidR="00167143" w:rsidRPr="00882ACB">
        <w:rPr>
          <w:rFonts w:ascii="Arial" w:hAnsi="Arial" w:cs="Arial"/>
        </w:rPr>
        <w:t xml:space="preserve"> group)</w:t>
      </w:r>
      <w:r w:rsidR="00B21EF3" w:rsidRPr="00882ACB">
        <w:rPr>
          <w:rFonts w:ascii="Arial" w:hAnsi="Arial" w:cs="Arial"/>
        </w:rPr>
        <w:t>, 599 (96.5%) provided primary outcome data that contributed to the primary analysis, 534 (86.0%) provid</w:t>
      </w:r>
      <w:r w:rsidR="00441F5D" w:rsidRPr="00882ACB">
        <w:rPr>
          <w:rFonts w:ascii="Arial" w:hAnsi="Arial" w:cs="Arial"/>
        </w:rPr>
        <w:t>ed</w:t>
      </w:r>
      <w:r w:rsidR="00B21EF3" w:rsidRPr="00882ACB">
        <w:rPr>
          <w:rFonts w:ascii="Arial" w:hAnsi="Arial" w:cs="Arial"/>
        </w:rPr>
        <w:t xml:space="preserve"> primary </w:t>
      </w:r>
      <w:r w:rsidR="00555F3E" w:rsidRPr="00882ACB">
        <w:rPr>
          <w:rFonts w:ascii="Arial" w:hAnsi="Arial" w:cs="Arial"/>
        </w:rPr>
        <w:t xml:space="preserve">endpoint </w:t>
      </w:r>
      <w:r w:rsidR="00B21EF3" w:rsidRPr="00882ACB">
        <w:rPr>
          <w:rFonts w:ascii="Arial" w:hAnsi="Arial" w:cs="Arial"/>
        </w:rPr>
        <w:t xml:space="preserve">data at </w:t>
      </w:r>
      <w:r w:rsidR="00D86B53" w:rsidRPr="00882ACB">
        <w:rPr>
          <w:rFonts w:ascii="Arial" w:hAnsi="Arial" w:cs="Arial"/>
        </w:rPr>
        <w:t>1 year</w:t>
      </w:r>
      <w:r w:rsidR="00DD2216" w:rsidRPr="00882ACB">
        <w:rPr>
          <w:rFonts w:ascii="Arial" w:hAnsi="Arial" w:cs="Arial"/>
        </w:rPr>
        <w:t xml:space="preserve"> and 426 (68.6%) provided primary PEM scores at 2 years</w:t>
      </w:r>
      <w:r w:rsidR="00B21EF3" w:rsidRPr="00882ACB">
        <w:rPr>
          <w:rFonts w:ascii="Arial" w:hAnsi="Arial" w:cs="Arial"/>
        </w:rPr>
        <w:t xml:space="preserve">. </w:t>
      </w:r>
      <w:r w:rsidR="00983ADB" w:rsidRPr="00882ACB">
        <w:rPr>
          <w:rFonts w:ascii="Arial" w:hAnsi="Arial" w:cs="Arial"/>
        </w:rPr>
        <w:t>Figure 1 d</w:t>
      </w:r>
      <w:r w:rsidR="00D26A4F" w:rsidRPr="00882ACB">
        <w:rPr>
          <w:rFonts w:ascii="Arial" w:hAnsi="Arial" w:cs="Arial"/>
        </w:rPr>
        <w:t>etail</w:t>
      </w:r>
      <w:r w:rsidR="00D86B53" w:rsidRPr="00882ACB">
        <w:rPr>
          <w:rFonts w:ascii="Arial" w:hAnsi="Arial" w:cs="Arial"/>
        </w:rPr>
        <w:t>s</w:t>
      </w:r>
      <w:r w:rsidR="00983ADB" w:rsidRPr="00882ACB">
        <w:rPr>
          <w:rFonts w:ascii="Arial" w:hAnsi="Arial" w:cs="Arial"/>
        </w:rPr>
        <w:t xml:space="preserve"> </w:t>
      </w:r>
      <w:r w:rsidR="00D26A4F" w:rsidRPr="00882ACB">
        <w:rPr>
          <w:rFonts w:ascii="Arial" w:hAnsi="Arial" w:cs="Arial"/>
        </w:rPr>
        <w:t>treatment delivery and follow-up data collection.</w:t>
      </w:r>
    </w:p>
    <w:p w14:paraId="6591F011" w14:textId="77777777" w:rsidR="004E4D86" w:rsidRPr="00882ACB" w:rsidRDefault="004E4D86" w:rsidP="005027B7">
      <w:pPr>
        <w:rPr>
          <w:rFonts w:ascii="Arial" w:hAnsi="Arial" w:cs="Arial"/>
          <w:szCs w:val="24"/>
        </w:rPr>
      </w:pPr>
    </w:p>
    <w:p w14:paraId="458DA255" w14:textId="672F60BF" w:rsidR="00BE0F5F" w:rsidRPr="00882ACB" w:rsidRDefault="00BE0F5F" w:rsidP="005027B7">
      <w:pPr>
        <w:rPr>
          <w:rFonts w:ascii="Arial" w:hAnsi="Arial" w:cs="Arial"/>
          <w:szCs w:val="24"/>
          <w:u w:val="single"/>
        </w:rPr>
      </w:pPr>
      <w:r w:rsidRPr="00882ACB">
        <w:rPr>
          <w:rFonts w:ascii="Arial" w:hAnsi="Arial" w:cs="Arial"/>
          <w:szCs w:val="24"/>
          <w:u w:val="single"/>
        </w:rPr>
        <w:t>P</w:t>
      </w:r>
      <w:r w:rsidR="00336202" w:rsidRPr="00882ACB">
        <w:rPr>
          <w:rFonts w:ascii="Arial" w:hAnsi="Arial" w:cs="Arial"/>
          <w:szCs w:val="24"/>
          <w:u w:val="single"/>
        </w:rPr>
        <w:t>atient Reported Outcomes</w:t>
      </w:r>
    </w:p>
    <w:p w14:paraId="3E26B5AF" w14:textId="2D9722DF" w:rsidR="00412AF0" w:rsidRPr="00882ACB" w:rsidRDefault="003061BF" w:rsidP="00AA5FBC">
      <w:pPr>
        <w:rPr>
          <w:rFonts w:ascii="Arial" w:hAnsi="Arial" w:cs="Arial"/>
          <w:szCs w:val="24"/>
        </w:rPr>
      </w:pPr>
      <w:r w:rsidRPr="00882ACB">
        <w:rPr>
          <w:rFonts w:ascii="Arial" w:hAnsi="Arial" w:cs="Arial"/>
          <w:szCs w:val="24"/>
        </w:rPr>
        <w:t xml:space="preserve">At 1-year, </w:t>
      </w:r>
      <w:r w:rsidR="00132829" w:rsidRPr="00882ACB">
        <w:rPr>
          <w:rFonts w:ascii="Arial" w:hAnsi="Arial" w:cs="Arial"/>
          <w:szCs w:val="24"/>
        </w:rPr>
        <w:t>the</w:t>
      </w:r>
      <w:r w:rsidRPr="00882ACB">
        <w:rPr>
          <w:rFonts w:ascii="Arial" w:hAnsi="Arial" w:cs="Arial"/>
          <w:szCs w:val="24"/>
        </w:rPr>
        <w:t xml:space="preserve"> </w:t>
      </w:r>
      <w:r w:rsidR="00132829" w:rsidRPr="00882ACB">
        <w:rPr>
          <w:rFonts w:ascii="Arial" w:hAnsi="Arial" w:cs="Arial"/>
        </w:rPr>
        <w:t xml:space="preserve">Patient Evaluation Measure Hand Health Questionnaire </w:t>
      </w:r>
      <w:r w:rsidRPr="00882ACB">
        <w:rPr>
          <w:rFonts w:ascii="Arial" w:hAnsi="Arial" w:cs="Arial"/>
          <w:szCs w:val="24"/>
        </w:rPr>
        <w:t>score</w:t>
      </w:r>
      <w:r w:rsidR="00132829" w:rsidRPr="00882ACB">
        <w:rPr>
          <w:rFonts w:ascii="Arial" w:hAnsi="Arial" w:cs="Arial"/>
          <w:szCs w:val="24"/>
        </w:rPr>
        <w:t xml:space="preserve"> was</w:t>
      </w:r>
      <w:r w:rsidR="00CA198E" w:rsidRPr="00882ACB">
        <w:rPr>
          <w:rFonts w:ascii="Arial" w:hAnsi="Arial" w:cs="Arial"/>
          <w:szCs w:val="24"/>
        </w:rPr>
        <w:t xml:space="preserve"> </w:t>
      </w:r>
      <w:r w:rsidRPr="00882ACB">
        <w:rPr>
          <w:rFonts w:ascii="Arial" w:hAnsi="Arial" w:cs="Arial"/>
          <w:szCs w:val="24"/>
        </w:rPr>
        <w:t>17.</w:t>
      </w:r>
      <w:r w:rsidR="00132829" w:rsidRPr="00882ACB">
        <w:rPr>
          <w:rFonts w:ascii="Arial" w:hAnsi="Arial" w:cs="Arial"/>
          <w:szCs w:val="24"/>
        </w:rPr>
        <w:t>8 in the collagenase group and 11.9 in the</w:t>
      </w:r>
      <w:r w:rsidRPr="00882ACB">
        <w:rPr>
          <w:rFonts w:ascii="Arial" w:hAnsi="Arial" w:cs="Arial"/>
          <w:szCs w:val="24"/>
        </w:rPr>
        <w:t xml:space="preserve"> </w:t>
      </w:r>
      <w:r w:rsidR="00CB2FEC" w:rsidRPr="00882ACB">
        <w:rPr>
          <w:rFonts w:ascii="Arial" w:hAnsi="Arial" w:cs="Arial"/>
        </w:rPr>
        <w:t>limited fasciectomy</w:t>
      </w:r>
      <w:r w:rsidRPr="00882ACB">
        <w:rPr>
          <w:rFonts w:ascii="Arial" w:hAnsi="Arial" w:cs="Arial"/>
          <w:szCs w:val="24"/>
        </w:rPr>
        <w:t xml:space="preserve"> </w:t>
      </w:r>
      <w:r w:rsidR="002555D2" w:rsidRPr="00882ACB">
        <w:rPr>
          <w:rFonts w:ascii="Arial" w:hAnsi="Arial" w:cs="Arial"/>
          <w:szCs w:val="24"/>
        </w:rPr>
        <w:t>group</w:t>
      </w:r>
      <w:r w:rsidR="00CA198E" w:rsidRPr="00882ACB">
        <w:rPr>
          <w:rFonts w:ascii="Arial" w:hAnsi="Arial" w:cs="Arial"/>
          <w:szCs w:val="24"/>
        </w:rPr>
        <w:t xml:space="preserve"> </w:t>
      </w:r>
      <w:r w:rsidR="00357E9E" w:rsidRPr="00882ACB">
        <w:rPr>
          <w:rFonts w:ascii="Arial" w:hAnsi="Arial" w:cs="Arial"/>
          <w:szCs w:val="24"/>
        </w:rPr>
        <w:t>(</w:t>
      </w:r>
      <w:r w:rsidR="00BD7D23" w:rsidRPr="00882ACB">
        <w:rPr>
          <w:rFonts w:ascii="Arial" w:hAnsi="Arial" w:cs="Arial"/>
          <w:szCs w:val="24"/>
        </w:rPr>
        <w:t xml:space="preserve">estimated difference based on primary analysis model: </w:t>
      </w:r>
      <w:r w:rsidR="00412AF0" w:rsidRPr="00882ACB">
        <w:rPr>
          <w:rFonts w:ascii="Arial" w:hAnsi="Arial" w:cs="Arial"/>
          <w:szCs w:val="24"/>
        </w:rPr>
        <w:t>5.9</w:t>
      </w:r>
      <w:r w:rsidR="00C73BA9" w:rsidRPr="00882ACB">
        <w:rPr>
          <w:rFonts w:ascii="Arial" w:hAnsi="Arial" w:cs="Arial"/>
          <w:szCs w:val="24"/>
        </w:rPr>
        <w:t xml:space="preserve">, </w:t>
      </w:r>
      <w:r w:rsidR="004A5335" w:rsidRPr="00882ACB">
        <w:rPr>
          <w:rFonts w:ascii="Arial" w:hAnsi="Arial" w:cs="Arial"/>
          <w:szCs w:val="24"/>
        </w:rPr>
        <w:t>95%CI</w:t>
      </w:r>
      <w:r w:rsidR="00412AF0" w:rsidRPr="00882ACB">
        <w:rPr>
          <w:rFonts w:ascii="Arial" w:hAnsi="Arial" w:cs="Arial"/>
          <w:szCs w:val="24"/>
        </w:rPr>
        <w:t xml:space="preserve"> 3.1 to 8.</w:t>
      </w:r>
      <w:r w:rsidR="00132829" w:rsidRPr="00882ACB">
        <w:rPr>
          <w:rFonts w:ascii="Arial" w:hAnsi="Arial" w:cs="Arial"/>
          <w:szCs w:val="24"/>
        </w:rPr>
        <w:t>8</w:t>
      </w:r>
      <w:r w:rsidR="00412AF0" w:rsidRPr="00882ACB">
        <w:rPr>
          <w:rFonts w:ascii="Arial" w:hAnsi="Arial" w:cs="Arial"/>
          <w:szCs w:val="24"/>
        </w:rPr>
        <w:t>, p</w:t>
      </w:r>
      <w:r w:rsidR="00B3233D">
        <w:rPr>
          <w:rFonts w:ascii="Arial" w:hAnsi="Arial" w:cs="Arial"/>
          <w:szCs w:val="24"/>
        </w:rPr>
        <w:t xml:space="preserve">, </w:t>
      </w:r>
      <w:r w:rsidR="00067FAB">
        <w:rPr>
          <w:rFonts w:ascii="Arial" w:hAnsi="Arial" w:cs="Arial"/>
          <w:szCs w:val="24"/>
        </w:rPr>
        <w:t>non-inferiority</w:t>
      </w:r>
      <w:r w:rsidR="00B3233D">
        <w:rPr>
          <w:rFonts w:ascii="Arial" w:hAnsi="Arial" w:cs="Arial"/>
          <w:szCs w:val="24"/>
        </w:rPr>
        <w:t xml:space="preserve"> </w:t>
      </w:r>
      <w:r w:rsidR="00412AF0" w:rsidRPr="00882ACB">
        <w:rPr>
          <w:rFonts w:ascii="Arial" w:hAnsi="Arial" w:cs="Arial"/>
          <w:szCs w:val="24"/>
        </w:rPr>
        <w:t>0.49)</w:t>
      </w:r>
      <w:r w:rsidR="005B514F" w:rsidRPr="00882ACB">
        <w:rPr>
          <w:rFonts w:ascii="Arial" w:hAnsi="Arial" w:cs="Arial"/>
          <w:szCs w:val="24"/>
        </w:rPr>
        <w:t xml:space="preserve">, </w:t>
      </w:r>
      <w:r w:rsidR="00067FAB">
        <w:rPr>
          <w:rFonts w:ascii="Arial" w:hAnsi="Arial" w:cs="Arial"/>
          <w:szCs w:val="24"/>
        </w:rPr>
        <w:t>i</w:t>
      </w:r>
      <w:r w:rsidR="00B3233D">
        <w:rPr>
          <w:rFonts w:ascii="Arial" w:hAnsi="Arial" w:cs="Arial"/>
          <w:szCs w:val="24"/>
        </w:rPr>
        <w:t xml:space="preserve">ndicating that collagenase </w:t>
      </w:r>
      <w:r w:rsidR="005B514F" w:rsidRPr="00882ACB">
        <w:rPr>
          <w:rFonts w:ascii="Arial" w:hAnsi="Arial" w:cs="Arial"/>
          <w:szCs w:val="24"/>
        </w:rPr>
        <w:t xml:space="preserve">was not non-inferior to limited fasciectomy. </w:t>
      </w:r>
      <w:r w:rsidR="0048162D" w:rsidRPr="00882ACB">
        <w:rPr>
          <w:rFonts w:ascii="Arial" w:hAnsi="Arial" w:cs="Arial"/>
          <w:szCs w:val="24"/>
        </w:rPr>
        <w:t>Results</w:t>
      </w:r>
      <w:r w:rsidR="007E6850" w:rsidRPr="00882ACB">
        <w:rPr>
          <w:rFonts w:ascii="Arial" w:hAnsi="Arial" w:cs="Arial"/>
          <w:szCs w:val="24"/>
        </w:rPr>
        <w:t xml:space="preserve"> </w:t>
      </w:r>
      <w:r w:rsidR="007D650D" w:rsidRPr="00882ACB">
        <w:rPr>
          <w:rFonts w:ascii="Arial" w:hAnsi="Arial" w:cs="Arial"/>
          <w:szCs w:val="24"/>
        </w:rPr>
        <w:t xml:space="preserve">at </w:t>
      </w:r>
      <w:r w:rsidR="00412AF0" w:rsidRPr="00882ACB">
        <w:rPr>
          <w:rFonts w:ascii="Arial" w:hAnsi="Arial" w:cs="Arial"/>
          <w:szCs w:val="24"/>
        </w:rPr>
        <w:t xml:space="preserve">2 years </w:t>
      </w:r>
      <w:r w:rsidR="0048162D" w:rsidRPr="00882ACB">
        <w:rPr>
          <w:rFonts w:ascii="Arial" w:hAnsi="Arial" w:cs="Arial"/>
          <w:szCs w:val="24"/>
        </w:rPr>
        <w:t xml:space="preserve">were consistent with the primary analysis </w:t>
      </w:r>
      <w:r w:rsidR="00412AF0" w:rsidRPr="00882ACB">
        <w:rPr>
          <w:rFonts w:ascii="Arial" w:hAnsi="Arial" w:cs="Arial"/>
          <w:szCs w:val="24"/>
        </w:rPr>
        <w:t>(</w:t>
      </w:r>
      <w:r w:rsidR="005B514F" w:rsidRPr="00882ACB">
        <w:rPr>
          <w:rFonts w:ascii="Arial" w:hAnsi="Arial" w:cs="Arial"/>
          <w:szCs w:val="24"/>
        </w:rPr>
        <w:t xml:space="preserve">between group difference </w:t>
      </w:r>
      <w:r w:rsidR="00412AF0" w:rsidRPr="00882ACB">
        <w:rPr>
          <w:rFonts w:ascii="Arial" w:hAnsi="Arial" w:cs="Arial"/>
          <w:szCs w:val="24"/>
        </w:rPr>
        <w:t>7.</w:t>
      </w:r>
      <w:r w:rsidR="005B514F" w:rsidRPr="00882ACB">
        <w:rPr>
          <w:rFonts w:ascii="Arial" w:hAnsi="Arial" w:cs="Arial"/>
          <w:szCs w:val="24"/>
        </w:rPr>
        <w:t>2</w:t>
      </w:r>
      <w:r w:rsidR="00412AF0" w:rsidRPr="00882ACB">
        <w:rPr>
          <w:rFonts w:ascii="Arial" w:hAnsi="Arial" w:cs="Arial"/>
          <w:szCs w:val="24"/>
        </w:rPr>
        <w:t xml:space="preserve">, </w:t>
      </w:r>
      <w:r w:rsidR="004A5335" w:rsidRPr="00882ACB">
        <w:rPr>
          <w:rFonts w:ascii="Arial" w:hAnsi="Arial" w:cs="Arial"/>
          <w:szCs w:val="24"/>
        </w:rPr>
        <w:t>95%CI</w:t>
      </w:r>
      <w:r w:rsidR="00412AF0" w:rsidRPr="00882ACB">
        <w:rPr>
          <w:rFonts w:ascii="Arial" w:hAnsi="Arial" w:cs="Arial"/>
          <w:szCs w:val="24"/>
        </w:rPr>
        <w:t>: 4.</w:t>
      </w:r>
      <w:r w:rsidR="005B514F" w:rsidRPr="00882ACB">
        <w:rPr>
          <w:rFonts w:ascii="Arial" w:hAnsi="Arial" w:cs="Arial"/>
          <w:szCs w:val="24"/>
        </w:rPr>
        <w:t xml:space="preserve">2 </w:t>
      </w:r>
      <w:r w:rsidR="00412AF0" w:rsidRPr="00882ACB">
        <w:rPr>
          <w:rFonts w:ascii="Arial" w:hAnsi="Arial" w:cs="Arial"/>
          <w:szCs w:val="24"/>
        </w:rPr>
        <w:t>to 10.</w:t>
      </w:r>
      <w:r w:rsidR="005B514F" w:rsidRPr="00882ACB">
        <w:rPr>
          <w:rFonts w:ascii="Arial" w:hAnsi="Arial" w:cs="Arial"/>
          <w:szCs w:val="24"/>
        </w:rPr>
        <w:t>9</w:t>
      </w:r>
      <w:r w:rsidR="00412AF0" w:rsidRPr="00882ACB">
        <w:rPr>
          <w:rFonts w:ascii="Arial" w:hAnsi="Arial" w:cs="Arial"/>
          <w:szCs w:val="24"/>
        </w:rPr>
        <w:t xml:space="preserve">). </w:t>
      </w:r>
      <w:r w:rsidR="005B514F" w:rsidRPr="00882ACB">
        <w:rPr>
          <w:rFonts w:ascii="Arial" w:hAnsi="Arial" w:cs="Arial"/>
          <w:szCs w:val="24"/>
        </w:rPr>
        <w:t>T</w:t>
      </w:r>
      <w:r w:rsidR="00850FE1" w:rsidRPr="00882ACB">
        <w:rPr>
          <w:rFonts w:ascii="Arial" w:hAnsi="Arial" w:cs="Arial"/>
          <w:szCs w:val="24"/>
        </w:rPr>
        <w:t xml:space="preserve">reatment effects at each timepoint are </w:t>
      </w:r>
      <w:r w:rsidR="005B514F" w:rsidRPr="00882ACB">
        <w:rPr>
          <w:rFonts w:ascii="Arial" w:hAnsi="Arial" w:cs="Arial"/>
          <w:szCs w:val="24"/>
        </w:rPr>
        <w:t xml:space="preserve">shown </w:t>
      </w:r>
      <w:r w:rsidR="00850FE1" w:rsidRPr="00882ACB">
        <w:rPr>
          <w:rFonts w:ascii="Arial" w:hAnsi="Arial" w:cs="Arial"/>
          <w:szCs w:val="24"/>
        </w:rPr>
        <w:t>in Figure</w:t>
      </w:r>
      <w:r w:rsidR="00361ED1">
        <w:rPr>
          <w:rFonts w:ascii="Arial" w:hAnsi="Arial" w:cs="Arial"/>
          <w:szCs w:val="24"/>
        </w:rPr>
        <w:t>s</w:t>
      </w:r>
      <w:r w:rsidR="00850FE1" w:rsidRPr="00882ACB">
        <w:rPr>
          <w:rFonts w:ascii="Arial" w:hAnsi="Arial" w:cs="Arial"/>
          <w:szCs w:val="24"/>
        </w:rPr>
        <w:t xml:space="preserve"> 2</w:t>
      </w:r>
      <w:r w:rsidR="00361ED1">
        <w:rPr>
          <w:rFonts w:ascii="Arial" w:hAnsi="Arial" w:cs="Arial"/>
          <w:szCs w:val="24"/>
        </w:rPr>
        <w:t xml:space="preserve"> and S1</w:t>
      </w:r>
      <w:r w:rsidR="00850FE1" w:rsidRPr="00882ACB">
        <w:rPr>
          <w:rFonts w:ascii="Arial" w:hAnsi="Arial" w:cs="Arial"/>
          <w:szCs w:val="24"/>
        </w:rPr>
        <w:t>.</w:t>
      </w:r>
      <w:r w:rsidR="00954D5D" w:rsidRPr="00882ACB">
        <w:rPr>
          <w:rFonts w:ascii="Arial" w:hAnsi="Arial" w:cs="Arial"/>
          <w:szCs w:val="24"/>
        </w:rPr>
        <w:t xml:space="preserve"> </w:t>
      </w:r>
      <w:r w:rsidR="005B514F" w:rsidRPr="00882ACB">
        <w:rPr>
          <w:rFonts w:ascii="Arial" w:hAnsi="Arial" w:cs="Arial"/>
          <w:szCs w:val="24"/>
        </w:rPr>
        <w:t xml:space="preserve">Results were similar </w:t>
      </w:r>
      <w:r w:rsidR="00361ED1">
        <w:rPr>
          <w:rFonts w:ascii="Arial" w:hAnsi="Arial" w:cs="Arial"/>
          <w:szCs w:val="24"/>
        </w:rPr>
        <w:t>when</w:t>
      </w:r>
      <w:r w:rsidR="00B3233D">
        <w:rPr>
          <w:rFonts w:ascii="Arial" w:hAnsi="Arial" w:cs="Arial"/>
          <w:szCs w:val="24"/>
        </w:rPr>
        <w:t xml:space="preserve"> using multiply imputed data </w:t>
      </w:r>
      <w:r w:rsidR="00B3233D" w:rsidRPr="00882ACB">
        <w:rPr>
          <w:rFonts w:ascii="Arial" w:hAnsi="Arial" w:cs="Arial"/>
          <w:szCs w:val="24"/>
        </w:rPr>
        <w:t>(difference at 1 year = 6.5, 95% CI 3.9 to 9.2)</w:t>
      </w:r>
      <w:r w:rsidR="00067FAB">
        <w:rPr>
          <w:rFonts w:ascii="Arial" w:hAnsi="Arial" w:cs="Arial"/>
          <w:szCs w:val="24"/>
        </w:rPr>
        <w:t xml:space="preserve"> </w:t>
      </w:r>
      <w:r w:rsidR="00B3233D">
        <w:rPr>
          <w:rFonts w:ascii="Arial" w:hAnsi="Arial" w:cs="Arial"/>
          <w:szCs w:val="24"/>
        </w:rPr>
        <w:t xml:space="preserve">and in other </w:t>
      </w:r>
      <w:r w:rsidR="00463346" w:rsidRPr="00882ACB">
        <w:rPr>
          <w:rFonts w:ascii="Arial" w:hAnsi="Arial" w:cs="Arial"/>
          <w:szCs w:val="24"/>
        </w:rPr>
        <w:t>pre-specified and post-hoc sensitivity analyses</w:t>
      </w:r>
      <w:r w:rsidR="0029322D" w:rsidRPr="00882ACB">
        <w:rPr>
          <w:rFonts w:ascii="Arial" w:hAnsi="Arial" w:cs="Arial"/>
          <w:szCs w:val="24"/>
        </w:rPr>
        <w:t xml:space="preserve"> (</w:t>
      </w:r>
      <w:r w:rsidR="00E31F05" w:rsidRPr="00882ACB">
        <w:rPr>
          <w:rFonts w:ascii="Arial" w:hAnsi="Arial" w:cs="Arial"/>
          <w:szCs w:val="24"/>
        </w:rPr>
        <w:t>Tables S</w:t>
      </w:r>
      <w:r w:rsidR="00DC5EE4">
        <w:rPr>
          <w:rFonts w:ascii="Arial" w:hAnsi="Arial" w:cs="Arial"/>
          <w:szCs w:val="24"/>
        </w:rPr>
        <w:t>3</w:t>
      </w:r>
      <w:r w:rsidR="00E31F05" w:rsidRPr="00882ACB">
        <w:rPr>
          <w:rFonts w:ascii="Arial" w:hAnsi="Arial" w:cs="Arial"/>
          <w:szCs w:val="24"/>
        </w:rPr>
        <w:t>-S</w:t>
      </w:r>
      <w:r w:rsidR="00DC5EE4">
        <w:rPr>
          <w:rFonts w:ascii="Arial" w:hAnsi="Arial" w:cs="Arial"/>
          <w:szCs w:val="24"/>
        </w:rPr>
        <w:t>9</w:t>
      </w:r>
      <w:r w:rsidR="00E31F05" w:rsidRPr="00882ACB">
        <w:rPr>
          <w:rFonts w:ascii="Arial" w:hAnsi="Arial" w:cs="Arial"/>
          <w:szCs w:val="24"/>
        </w:rPr>
        <w:t xml:space="preserve"> and Figures </w:t>
      </w:r>
      <w:r w:rsidR="0069415C" w:rsidRPr="00882ACB">
        <w:rPr>
          <w:rFonts w:ascii="Arial" w:hAnsi="Arial" w:cs="Arial"/>
          <w:szCs w:val="24"/>
        </w:rPr>
        <w:t>S</w:t>
      </w:r>
      <w:r w:rsidR="0069415C">
        <w:rPr>
          <w:rFonts w:ascii="Arial" w:hAnsi="Arial" w:cs="Arial"/>
          <w:szCs w:val="24"/>
        </w:rPr>
        <w:t>2</w:t>
      </w:r>
      <w:r w:rsidR="00E31F05" w:rsidRPr="00882ACB">
        <w:rPr>
          <w:rFonts w:ascii="Arial" w:hAnsi="Arial" w:cs="Arial"/>
          <w:szCs w:val="24"/>
        </w:rPr>
        <w:t>-S</w:t>
      </w:r>
      <w:r w:rsidR="0069415C">
        <w:rPr>
          <w:rFonts w:ascii="Arial" w:hAnsi="Arial" w:cs="Arial"/>
          <w:szCs w:val="24"/>
        </w:rPr>
        <w:t>4</w:t>
      </w:r>
      <w:r w:rsidR="0029322D" w:rsidRPr="00882ACB">
        <w:rPr>
          <w:rFonts w:ascii="Arial" w:hAnsi="Arial" w:cs="Arial"/>
          <w:szCs w:val="24"/>
        </w:rPr>
        <w:t>)</w:t>
      </w:r>
      <w:r w:rsidR="00463346" w:rsidRPr="00882ACB">
        <w:rPr>
          <w:rFonts w:ascii="Arial" w:hAnsi="Arial" w:cs="Arial"/>
          <w:szCs w:val="24"/>
        </w:rPr>
        <w:t xml:space="preserve"> </w:t>
      </w:r>
      <w:r w:rsidRPr="00882ACB">
        <w:rPr>
          <w:rFonts w:ascii="Arial" w:hAnsi="Arial" w:cs="Arial"/>
          <w:szCs w:val="24"/>
        </w:rPr>
        <w:t xml:space="preserve">including </w:t>
      </w:r>
      <w:r w:rsidR="00B3233D">
        <w:rPr>
          <w:rFonts w:ascii="Arial" w:hAnsi="Arial" w:cs="Arial"/>
          <w:szCs w:val="24"/>
        </w:rPr>
        <w:t xml:space="preserve">a </w:t>
      </w:r>
      <w:r w:rsidR="009A0952" w:rsidRPr="00882ACB">
        <w:rPr>
          <w:rFonts w:ascii="Arial" w:hAnsi="Arial" w:cs="Arial"/>
          <w:szCs w:val="24"/>
        </w:rPr>
        <w:t xml:space="preserve">post-hoc </w:t>
      </w:r>
      <w:r w:rsidRPr="00882ACB">
        <w:rPr>
          <w:rFonts w:ascii="Arial" w:hAnsi="Arial" w:cs="Arial"/>
          <w:szCs w:val="24"/>
        </w:rPr>
        <w:t>per-protocol analysis</w:t>
      </w:r>
      <w:r w:rsidR="0029322D" w:rsidRPr="00882ACB">
        <w:rPr>
          <w:rFonts w:ascii="Arial" w:hAnsi="Arial" w:cs="Arial"/>
          <w:szCs w:val="24"/>
        </w:rPr>
        <w:t xml:space="preserve"> (</w:t>
      </w:r>
      <w:r w:rsidR="00FF77D9" w:rsidRPr="00882ACB">
        <w:rPr>
          <w:rFonts w:ascii="Arial" w:hAnsi="Arial" w:cs="Arial"/>
          <w:szCs w:val="24"/>
        </w:rPr>
        <w:t>difference at 1 year = 6.4, 95%CI 3.6 to 9.2</w:t>
      </w:r>
      <w:r w:rsidR="0029322D" w:rsidRPr="00882ACB">
        <w:rPr>
          <w:rFonts w:ascii="Arial" w:hAnsi="Arial" w:cs="Arial"/>
          <w:szCs w:val="24"/>
        </w:rPr>
        <w:t>)</w:t>
      </w:r>
      <w:r w:rsidR="00463346" w:rsidRPr="00882ACB">
        <w:rPr>
          <w:rFonts w:ascii="Arial" w:hAnsi="Arial" w:cs="Arial"/>
          <w:szCs w:val="24"/>
        </w:rPr>
        <w:t>.</w:t>
      </w:r>
      <w:r w:rsidR="00965728" w:rsidRPr="00882ACB">
        <w:rPr>
          <w:rFonts w:ascii="Arial" w:hAnsi="Arial" w:cs="Arial"/>
          <w:szCs w:val="24"/>
        </w:rPr>
        <w:t xml:space="preserve"> The estimate of the </w:t>
      </w:r>
      <w:r w:rsidR="00CB2FEC" w:rsidRPr="00882ACB">
        <w:rPr>
          <w:rFonts w:ascii="Arial" w:hAnsi="Arial" w:cs="Arial"/>
          <w:szCs w:val="24"/>
        </w:rPr>
        <w:t xml:space="preserve">Complier Average Causal Effect </w:t>
      </w:r>
      <w:r w:rsidR="00965728" w:rsidRPr="00882ACB">
        <w:rPr>
          <w:rFonts w:ascii="Arial" w:hAnsi="Arial" w:cs="Arial"/>
          <w:szCs w:val="24"/>
        </w:rPr>
        <w:t xml:space="preserve">at 12 months was </w:t>
      </w:r>
      <w:r w:rsidR="00E85E88" w:rsidRPr="00882ACB">
        <w:rPr>
          <w:rFonts w:ascii="Arial" w:hAnsi="Arial" w:cs="Arial"/>
          <w:szCs w:val="24"/>
        </w:rPr>
        <w:t>5.30 (95%CI 2.9 to 7.7)</w:t>
      </w:r>
      <w:r w:rsidR="00B3233D">
        <w:rPr>
          <w:rFonts w:ascii="Arial" w:hAnsi="Arial" w:cs="Arial"/>
          <w:szCs w:val="24"/>
        </w:rPr>
        <w:t>, also</w:t>
      </w:r>
      <w:r w:rsidR="00E85E88" w:rsidRPr="00882ACB">
        <w:rPr>
          <w:rFonts w:ascii="Arial" w:hAnsi="Arial" w:cs="Arial"/>
          <w:szCs w:val="24"/>
        </w:rPr>
        <w:t xml:space="preserve"> </w:t>
      </w:r>
      <w:r w:rsidR="0048162D" w:rsidRPr="00882ACB">
        <w:rPr>
          <w:rFonts w:ascii="Arial" w:hAnsi="Arial" w:cs="Arial"/>
          <w:szCs w:val="24"/>
        </w:rPr>
        <w:t>consistent with results of the primary analysis</w:t>
      </w:r>
      <w:r w:rsidR="00E85E88" w:rsidRPr="00882ACB">
        <w:rPr>
          <w:rFonts w:ascii="Arial" w:hAnsi="Arial" w:cs="Arial"/>
          <w:szCs w:val="24"/>
        </w:rPr>
        <w:t xml:space="preserve">. There was </w:t>
      </w:r>
      <w:r w:rsidR="005B514F" w:rsidRPr="00882ACB">
        <w:rPr>
          <w:rFonts w:ascii="Arial" w:hAnsi="Arial" w:cs="Arial"/>
          <w:szCs w:val="24"/>
        </w:rPr>
        <w:t xml:space="preserve">no substantial </w:t>
      </w:r>
      <w:r w:rsidR="00E85E88" w:rsidRPr="00882ACB">
        <w:rPr>
          <w:rFonts w:ascii="Arial" w:hAnsi="Arial" w:cs="Arial"/>
          <w:szCs w:val="24"/>
        </w:rPr>
        <w:t>evidence of</w:t>
      </w:r>
      <w:r w:rsidR="00955E61" w:rsidRPr="00882ACB">
        <w:rPr>
          <w:rFonts w:ascii="Arial" w:hAnsi="Arial" w:cs="Arial"/>
          <w:szCs w:val="24"/>
        </w:rPr>
        <w:t xml:space="preserve"> variation in treatment effects</w:t>
      </w:r>
      <w:r w:rsidR="00E85E88" w:rsidRPr="00882ACB">
        <w:rPr>
          <w:rFonts w:ascii="Arial" w:hAnsi="Arial" w:cs="Arial"/>
          <w:szCs w:val="24"/>
        </w:rPr>
        <w:t xml:space="preserve"> </w:t>
      </w:r>
      <w:r w:rsidR="005B514F" w:rsidRPr="00882ACB">
        <w:rPr>
          <w:rFonts w:ascii="Arial" w:hAnsi="Arial" w:cs="Arial"/>
          <w:szCs w:val="24"/>
        </w:rPr>
        <w:t>according to subgroup</w:t>
      </w:r>
      <w:r w:rsidR="00E31F05" w:rsidRPr="00882ACB">
        <w:rPr>
          <w:rFonts w:ascii="Arial" w:hAnsi="Arial" w:cs="Arial"/>
          <w:szCs w:val="24"/>
        </w:rPr>
        <w:t xml:space="preserve"> (</w:t>
      </w:r>
      <w:r w:rsidR="00826104">
        <w:rPr>
          <w:rFonts w:ascii="Arial" w:hAnsi="Arial" w:cs="Arial"/>
          <w:szCs w:val="24"/>
        </w:rPr>
        <w:t xml:space="preserve">Appendix </w:t>
      </w:r>
      <w:r w:rsidR="00E31F05" w:rsidRPr="00882ACB">
        <w:rPr>
          <w:rFonts w:ascii="Arial" w:hAnsi="Arial" w:cs="Arial"/>
          <w:szCs w:val="24"/>
        </w:rPr>
        <w:t>Tables S1</w:t>
      </w:r>
      <w:r w:rsidR="00DC5EE4">
        <w:rPr>
          <w:rFonts w:ascii="Arial" w:hAnsi="Arial" w:cs="Arial"/>
          <w:szCs w:val="24"/>
        </w:rPr>
        <w:t>0</w:t>
      </w:r>
      <w:r w:rsidR="00E31F05" w:rsidRPr="00882ACB">
        <w:rPr>
          <w:rFonts w:ascii="Arial" w:hAnsi="Arial" w:cs="Arial"/>
          <w:szCs w:val="24"/>
        </w:rPr>
        <w:t xml:space="preserve"> – S1</w:t>
      </w:r>
      <w:r w:rsidR="00DC5EE4">
        <w:rPr>
          <w:rFonts w:ascii="Arial" w:hAnsi="Arial" w:cs="Arial"/>
          <w:szCs w:val="24"/>
        </w:rPr>
        <w:t>3</w:t>
      </w:r>
      <w:r w:rsidR="00E31F05" w:rsidRPr="00882ACB">
        <w:rPr>
          <w:rFonts w:ascii="Arial" w:hAnsi="Arial" w:cs="Arial"/>
          <w:szCs w:val="24"/>
        </w:rPr>
        <w:t xml:space="preserve"> and Figures S</w:t>
      </w:r>
      <w:r w:rsidR="0069415C">
        <w:rPr>
          <w:rFonts w:ascii="Arial" w:hAnsi="Arial" w:cs="Arial"/>
          <w:szCs w:val="24"/>
        </w:rPr>
        <w:t>5</w:t>
      </w:r>
      <w:r w:rsidR="00E31F05" w:rsidRPr="00882ACB">
        <w:rPr>
          <w:rFonts w:ascii="Arial" w:hAnsi="Arial" w:cs="Arial"/>
          <w:szCs w:val="24"/>
        </w:rPr>
        <w:t xml:space="preserve"> and S</w:t>
      </w:r>
      <w:r w:rsidR="0069415C">
        <w:rPr>
          <w:rFonts w:ascii="Arial" w:hAnsi="Arial" w:cs="Arial"/>
          <w:szCs w:val="24"/>
        </w:rPr>
        <w:t>6</w:t>
      </w:r>
      <w:r w:rsidR="00E85E88" w:rsidRPr="00882ACB">
        <w:rPr>
          <w:rFonts w:ascii="Arial" w:hAnsi="Arial" w:cs="Arial"/>
          <w:szCs w:val="24"/>
        </w:rPr>
        <w:t>).</w:t>
      </w:r>
    </w:p>
    <w:p w14:paraId="16ADBDAD" w14:textId="1781271B" w:rsidR="007A68D5" w:rsidRPr="00882ACB" w:rsidRDefault="007A68D5">
      <w:pPr>
        <w:rPr>
          <w:rFonts w:ascii="Arial" w:hAnsi="Arial" w:cs="Arial"/>
          <w:szCs w:val="24"/>
        </w:rPr>
      </w:pPr>
      <w:r w:rsidRPr="00882ACB">
        <w:rPr>
          <w:rFonts w:ascii="Arial" w:hAnsi="Arial" w:cs="Arial"/>
          <w:szCs w:val="24"/>
        </w:rPr>
        <w:lastRenderedPageBreak/>
        <w:t>Figure 2</w:t>
      </w:r>
      <w:r w:rsidR="00523085" w:rsidRPr="00882ACB">
        <w:rPr>
          <w:rFonts w:ascii="Arial" w:hAnsi="Arial" w:cs="Arial"/>
          <w:szCs w:val="24"/>
        </w:rPr>
        <w:t xml:space="preserve"> </w:t>
      </w:r>
      <w:r w:rsidR="00DC5EE4">
        <w:rPr>
          <w:rFonts w:ascii="Arial" w:hAnsi="Arial" w:cs="Arial"/>
          <w:szCs w:val="24"/>
        </w:rPr>
        <w:t xml:space="preserve">and Table S14 </w:t>
      </w:r>
      <w:r w:rsidR="00523085" w:rsidRPr="00882ACB">
        <w:rPr>
          <w:rFonts w:ascii="Arial" w:hAnsi="Arial" w:cs="Arial"/>
          <w:szCs w:val="24"/>
        </w:rPr>
        <w:t>show results for other</w:t>
      </w:r>
      <w:r w:rsidRPr="00882ACB">
        <w:rPr>
          <w:rFonts w:ascii="Arial" w:hAnsi="Arial" w:cs="Arial"/>
          <w:szCs w:val="24"/>
        </w:rPr>
        <w:t xml:space="preserve"> patient reported outcome measures (</w:t>
      </w:r>
      <w:proofErr w:type="spellStart"/>
      <w:r w:rsidRPr="00882ACB">
        <w:rPr>
          <w:rFonts w:ascii="Arial" w:hAnsi="Arial" w:cs="Arial"/>
          <w:szCs w:val="24"/>
        </w:rPr>
        <w:t>Unité</w:t>
      </w:r>
      <w:proofErr w:type="spellEnd"/>
      <w:r w:rsidRPr="00882ACB">
        <w:rPr>
          <w:rFonts w:ascii="Arial" w:hAnsi="Arial" w:cs="Arial"/>
          <w:szCs w:val="24"/>
        </w:rPr>
        <w:t xml:space="preserve"> </w:t>
      </w:r>
      <w:proofErr w:type="spellStart"/>
      <w:r w:rsidRPr="00882ACB">
        <w:rPr>
          <w:rFonts w:ascii="Arial" w:hAnsi="Arial" w:cs="Arial"/>
          <w:szCs w:val="24"/>
        </w:rPr>
        <w:t>Rhumatologique</w:t>
      </w:r>
      <w:proofErr w:type="spellEnd"/>
      <w:r w:rsidRPr="00882ACB">
        <w:rPr>
          <w:rFonts w:ascii="Arial" w:hAnsi="Arial" w:cs="Arial"/>
          <w:szCs w:val="24"/>
        </w:rPr>
        <w:t xml:space="preserve"> des Affections de la Main, Michigan Hand Questionnaire and Single Assessment Numeric Evaluation)</w:t>
      </w:r>
      <w:r w:rsidR="00AC2389">
        <w:rPr>
          <w:rFonts w:ascii="Arial" w:hAnsi="Arial" w:cs="Arial"/>
          <w:szCs w:val="24"/>
        </w:rPr>
        <w:t xml:space="preserve">. These results </w:t>
      </w:r>
      <w:r w:rsidR="00523085" w:rsidRPr="00882ACB">
        <w:rPr>
          <w:rFonts w:ascii="Arial" w:hAnsi="Arial" w:cs="Arial"/>
          <w:szCs w:val="24"/>
        </w:rPr>
        <w:t xml:space="preserve">appeared </w:t>
      </w:r>
      <w:r w:rsidR="00A67DFD" w:rsidRPr="00882ACB">
        <w:rPr>
          <w:rFonts w:ascii="Arial" w:hAnsi="Arial" w:cs="Arial"/>
          <w:szCs w:val="24"/>
        </w:rPr>
        <w:t xml:space="preserve">generally </w:t>
      </w:r>
      <w:r w:rsidR="00523085" w:rsidRPr="00882ACB">
        <w:rPr>
          <w:rFonts w:ascii="Arial" w:hAnsi="Arial" w:cs="Arial"/>
          <w:szCs w:val="24"/>
        </w:rPr>
        <w:t xml:space="preserve">consistent with those </w:t>
      </w:r>
      <w:r w:rsidRPr="00882ACB">
        <w:rPr>
          <w:rFonts w:ascii="Arial" w:hAnsi="Arial" w:cs="Arial"/>
          <w:szCs w:val="24"/>
        </w:rPr>
        <w:t xml:space="preserve"> </w:t>
      </w:r>
      <w:r w:rsidR="00523085" w:rsidRPr="00882ACB">
        <w:rPr>
          <w:rFonts w:ascii="Arial" w:hAnsi="Arial" w:cs="Arial"/>
          <w:szCs w:val="24"/>
        </w:rPr>
        <w:t>for</w:t>
      </w:r>
      <w:r w:rsidRPr="00882ACB">
        <w:rPr>
          <w:rFonts w:ascii="Arial" w:hAnsi="Arial" w:cs="Arial"/>
          <w:szCs w:val="24"/>
        </w:rPr>
        <w:t xml:space="preserve"> the primary outcome.</w:t>
      </w:r>
    </w:p>
    <w:p w14:paraId="001A54A3" w14:textId="6F669FD4" w:rsidR="00F26205" w:rsidRPr="00882ACB" w:rsidRDefault="00412AF0" w:rsidP="00F26205">
      <w:pPr>
        <w:rPr>
          <w:rFonts w:ascii="Arial" w:hAnsi="Arial" w:cs="Arial"/>
          <w:szCs w:val="24"/>
        </w:rPr>
      </w:pPr>
      <w:r w:rsidRPr="00882ACB">
        <w:rPr>
          <w:rFonts w:ascii="Arial" w:hAnsi="Arial" w:cs="Arial"/>
          <w:szCs w:val="24"/>
        </w:rPr>
        <w:t xml:space="preserve">At </w:t>
      </w:r>
      <w:r w:rsidR="00E96D50" w:rsidRPr="00882ACB">
        <w:rPr>
          <w:rFonts w:ascii="Arial" w:hAnsi="Arial" w:cs="Arial"/>
          <w:szCs w:val="24"/>
        </w:rPr>
        <w:t>1-year</w:t>
      </w:r>
      <w:r w:rsidR="003362AB" w:rsidRPr="00882ACB">
        <w:rPr>
          <w:rFonts w:ascii="Arial" w:hAnsi="Arial" w:cs="Arial"/>
          <w:szCs w:val="24"/>
        </w:rPr>
        <w:t>,</w:t>
      </w:r>
      <w:r w:rsidRPr="00882ACB">
        <w:rPr>
          <w:rFonts w:ascii="Arial" w:hAnsi="Arial" w:cs="Arial"/>
          <w:szCs w:val="24"/>
        </w:rPr>
        <w:t xml:space="preserve"> </w:t>
      </w:r>
      <w:r w:rsidR="002555D2" w:rsidRPr="00882ACB">
        <w:rPr>
          <w:rFonts w:ascii="Arial" w:hAnsi="Arial" w:cs="Arial"/>
          <w:szCs w:val="24"/>
        </w:rPr>
        <w:t xml:space="preserve">88.1% of </w:t>
      </w:r>
      <w:r w:rsidRPr="00882ACB">
        <w:rPr>
          <w:rFonts w:ascii="Arial" w:hAnsi="Arial" w:cs="Arial"/>
          <w:szCs w:val="24"/>
        </w:rPr>
        <w:t xml:space="preserve">participants </w:t>
      </w:r>
      <w:r w:rsidR="002555D2" w:rsidRPr="00882ACB">
        <w:rPr>
          <w:rFonts w:ascii="Arial" w:hAnsi="Arial" w:cs="Arial"/>
          <w:szCs w:val="24"/>
        </w:rPr>
        <w:t xml:space="preserve">treated with </w:t>
      </w:r>
      <w:r w:rsidR="00CB2FEC" w:rsidRPr="00882ACB">
        <w:rPr>
          <w:rFonts w:ascii="Arial" w:hAnsi="Arial" w:cs="Arial"/>
        </w:rPr>
        <w:t>limited fasciectomy</w:t>
      </w:r>
      <w:r w:rsidRPr="00882ACB">
        <w:rPr>
          <w:rFonts w:ascii="Arial" w:hAnsi="Arial" w:cs="Arial"/>
          <w:szCs w:val="24"/>
        </w:rPr>
        <w:t xml:space="preserve"> </w:t>
      </w:r>
      <w:r w:rsidR="002555D2" w:rsidRPr="00882ACB">
        <w:rPr>
          <w:rFonts w:ascii="Arial" w:hAnsi="Arial" w:cs="Arial"/>
          <w:szCs w:val="24"/>
        </w:rPr>
        <w:t xml:space="preserve">reported that </w:t>
      </w:r>
      <w:proofErr w:type="gramStart"/>
      <w:r w:rsidR="002555D2" w:rsidRPr="00882ACB">
        <w:rPr>
          <w:rFonts w:ascii="Arial" w:hAnsi="Arial" w:cs="Arial"/>
          <w:szCs w:val="24"/>
        </w:rPr>
        <w:t>overall</w:t>
      </w:r>
      <w:proofErr w:type="gramEnd"/>
      <w:r w:rsidR="002555D2" w:rsidRPr="00882ACB">
        <w:rPr>
          <w:rFonts w:ascii="Arial" w:hAnsi="Arial" w:cs="Arial"/>
          <w:szCs w:val="24"/>
        </w:rPr>
        <w:t xml:space="preserve"> their hand was “cured” or “much better”,</w:t>
      </w:r>
      <w:r w:rsidR="00C91A6B" w:rsidRPr="00882ACB">
        <w:rPr>
          <w:rFonts w:ascii="Arial" w:hAnsi="Arial" w:cs="Arial"/>
          <w:szCs w:val="24"/>
        </w:rPr>
        <w:t xml:space="preserve"> </w:t>
      </w:r>
      <w:r w:rsidR="00666E3F" w:rsidRPr="00882ACB">
        <w:rPr>
          <w:rFonts w:ascii="Arial" w:hAnsi="Arial" w:cs="Arial"/>
          <w:szCs w:val="24"/>
        </w:rPr>
        <w:t xml:space="preserve">compared </w:t>
      </w:r>
      <w:r w:rsidR="002555D2" w:rsidRPr="00882ACB">
        <w:rPr>
          <w:rFonts w:ascii="Arial" w:hAnsi="Arial" w:cs="Arial"/>
          <w:szCs w:val="24"/>
        </w:rPr>
        <w:t>to 68.6% of participants treated with</w:t>
      </w:r>
      <w:r w:rsidRPr="00882ACB">
        <w:rPr>
          <w:rFonts w:ascii="Arial" w:hAnsi="Arial" w:cs="Arial"/>
          <w:szCs w:val="24"/>
        </w:rPr>
        <w:t xml:space="preserve"> collagenase </w:t>
      </w:r>
      <w:r w:rsidR="001733DF" w:rsidRPr="00882ACB">
        <w:rPr>
          <w:rFonts w:ascii="Arial" w:hAnsi="Arial" w:cs="Arial"/>
          <w:szCs w:val="24"/>
        </w:rPr>
        <w:t>(</w:t>
      </w:r>
      <w:r w:rsidR="00C91A6B" w:rsidRPr="00882ACB">
        <w:rPr>
          <w:rFonts w:ascii="Arial" w:hAnsi="Arial" w:cs="Arial"/>
          <w:szCs w:val="24"/>
        </w:rPr>
        <w:t xml:space="preserve">estimated </w:t>
      </w:r>
      <w:r w:rsidR="002555D2" w:rsidRPr="00882ACB">
        <w:rPr>
          <w:rFonts w:ascii="Arial" w:hAnsi="Arial" w:cs="Arial"/>
          <w:szCs w:val="24"/>
        </w:rPr>
        <w:t>marginal risk difference</w:t>
      </w:r>
      <w:r w:rsidR="00315026" w:rsidRPr="00882ACB">
        <w:rPr>
          <w:rFonts w:ascii="Arial" w:hAnsi="Arial" w:cs="Arial"/>
          <w:szCs w:val="24"/>
        </w:rPr>
        <w:t xml:space="preserve"> from planned analysis model</w:t>
      </w:r>
      <w:r w:rsidR="002555D2" w:rsidRPr="00882ACB">
        <w:rPr>
          <w:rFonts w:ascii="Arial" w:hAnsi="Arial" w:cs="Arial"/>
          <w:szCs w:val="24"/>
        </w:rPr>
        <w:t xml:space="preserve"> = </w:t>
      </w:r>
      <w:r w:rsidR="00315026" w:rsidRPr="00882ACB">
        <w:rPr>
          <w:rFonts w:ascii="Arial" w:hAnsi="Arial" w:cs="Arial"/>
          <w:szCs w:val="24"/>
        </w:rPr>
        <w:t>-17.1%, 95%CI -22.3% to -11.9%).</w:t>
      </w:r>
    </w:p>
    <w:p w14:paraId="6ACFC04C" w14:textId="77777777" w:rsidR="006D699A" w:rsidRPr="00882ACB" w:rsidRDefault="006D699A" w:rsidP="00F26205">
      <w:pPr>
        <w:rPr>
          <w:rFonts w:ascii="Arial" w:hAnsi="Arial" w:cs="Arial"/>
          <w:szCs w:val="24"/>
        </w:rPr>
      </w:pPr>
    </w:p>
    <w:p w14:paraId="72DCA810" w14:textId="7EA34A83" w:rsidR="006D699A" w:rsidRPr="00882ACB" w:rsidRDefault="006D699A" w:rsidP="00F26205">
      <w:pPr>
        <w:rPr>
          <w:rFonts w:ascii="Arial" w:hAnsi="Arial" w:cs="Arial"/>
          <w:szCs w:val="24"/>
          <w:u w:val="single"/>
        </w:rPr>
      </w:pPr>
      <w:r w:rsidRPr="00882ACB">
        <w:rPr>
          <w:rFonts w:ascii="Arial" w:hAnsi="Arial" w:cs="Arial"/>
          <w:szCs w:val="24"/>
          <w:u w:val="single"/>
        </w:rPr>
        <w:t>Joint Measurements</w:t>
      </w:r>
    </w:p>
    <w:p w14:paraId="70278341" w14:textId="1A21A167" w:rsidR="00412AF0" w:rsidRPr="00882ACB" w:rsidRDefault="00412AF0" w:rsidP="00F26205">
      <w:pPr>
        <w:rPr>
          <w:rFonts w:ascii="Arial" w:hAnsi="Arial" w:cs="Arial"/>
          <w:bCs/>
          <w:szCs w:val="24"/>
        </w:rPr>
      </w:pPr>
      <w:r w:rsidRPr="00882ACB">
        <w:rPr>
          <w:rFonts w:ascii="Arial" w:hAnsi="Arial" w:cs="Arial"/>
          <w:bCs/>
          <w:szCs w:val="24"/>
        </w:rPr>
        <w:t xml:space="preserve">Following treatment, </w:t>
      </w:r>
      <w:r w:rsidR="00860E7F" w:rsidRPr="00882ACB">
        <w:rPr>
          <w:rFonts w:ascii="Arial" w:hAnsi="Arial" w:cs="Arial"/>
          <w:bCs/>
          <w:szCs w:val="24"/>
        </w:rPr>
        <w:t xml:space="preserve">the between group difference in </w:t>
      </w:r>
      <w:r w:rsidR="00596EFB" w:rsidRPr="00882ACB">
        <w:rPr>
          <w:rFonts w:ascii="Arial" w:hAnsi="Arial" w:cs="Arial"/>
          <w:bCs/>
          <w:szCs w:val="24"/>
        </w:rPr>
        <w:t>passive extension</w:t>
      </w:r>
      <w:r w:rsidRPr="00882ACB">
        <w:rPr>
          <w:rFonts w:ascii="Arial" w:hAnsi="Arial" w:cs="Arial"/>
          <w:bCs/>
          <w:szCs w:val="24"/>
        </w:rPr>
        <w:t xml:space="preserve"> deficit </w:t>
      </w:r>
      <w:r w:rsidR="00CC5592" w:rsidRPr="00882ACB">
        <w:rPr>
          <w:rFonts w:ascii="Arial" w:hAnsi="Arial" w:cs="Arial"/>
          <w:bCs/>
          <w:szCs w:val="24"/>
        </w:rPr>
        <w:t xml:space="preserve">of the reference joint </w:t>
      </w:r>
      <w:r w:rsidR="00860E7F" w:rsidRPr="00882ACB">
        <w:rPr>
          <w:rFonts w:ascii="Arial" w:hAnsi="Arial" w:cs="Arial"/>
          <w:bCs/>
          <w:szCs w:val="24"/>
        </w:rPr>
        <w:t xml:space="preserve">ranged from </w:t>
      </w:r>
      <w:r w:rsidRPr="00882ACB">
        <w:rPr>
          <w:rFonts w:ascii="Arial" w:hAnsi="Arial" w:cs="Arial"/>
          <w:bCs/>
          <w:szCs w:val="24"/>
        </w:rPr>
        <w:t>5.7° (</w:t>
      </w:r>
      <w:r w:rsidR="004A5335" w:rsidRPr="00882ACB">
        <w:rPr>
          <w:rFonts w:ascii="Arial" w:hAnsi="Arial" w:cs="Arial"/>
          <w:bCs/>
          <w:szCs w:val="24"/>
        </w:rPr>
        <w:t>95%CI</w:t>
      </w:r>
      <w:r w:rsidRPr="00882ACB">
        <w:rPr>
          <w:rFonts w:ascii="Arial" w:hAnsi="Arial" w:cs="Arial"/>
          <w:bCs/>
          <w:szCs w:val="24"/>
        </w:rPr>
        <w:t xml:space="preserve"> 2.</w:t>
      </w:r>
      <w:r w:rsidR="00573301">
        <w:rPr>
          <w:rFonts w:ascii="Arial" w:hAnsi="Arial" w:cs="Arial"/>
          <w:bCs/>
          <w:szCs w:val="24"/>
        </w:rPr>
        <w:t>9</w:t>
      </w:r>
      <w:r w:rsidRPr="00882ACB">
        <w:rPr>
          <w:rFonts w:ascii="Arial" w:hAnsi="Arial" w:cs="Arial"/>
          <w:bCs/>
          <w:szCs w:val="24"/>
        </w:rPr>
        <w:t xml:space="preserve"> to 8.</w:t>
      </w:r>
      <w:r w:rsidR="00573301">
        <w:rPr>
          <w:rFonts w:ascii="Arial" w:hAnsi="Arial" w:cs="Arial"/>
          <w:bCs/>
          <w:szCs w:val="24"/>
        </w:rPr>
        <w:t>6</w:t>
      </w:r>
      <w:r w:rsidRPr="00882ACB">
        <w:rPr>
          <w:rFonts w:ascii="Arial" w:hAnsi="Arial" w:cs="Arial"/>
          <w:bCs/>
          <w:szCs w:val="24"/>
        </w:rPr>
        <w:t>) at 3 months to 10.1° (</w:t>
      </w:r>
      <w:r w:rsidR="004A5335" w:rsidRPr="00882ACB">
        <w:rPr>
          <w:rFonts w:ascii="Arial" w:hAnsi="Arial" w:cs="Arial"/>
          <w:bCs/>
          <w:szCs w:val="24"/>
        </w:rPr>
        <w:t>95%CI</w:t>
      </w:r>
      <w:r w:rsidRPr="00882ACB">
        <w:rPr>
          <w:rFonts w:ascii="Arial" w:hAnsi="Arial" w:cs="Arial"/>
          <w:bCs/>
          <w:szCs w:val="24"/>
        </w:rPr>
        <w:t xml:space="preserve"> 6.</w:t>
      </w:r>
      <w:r w:rsidR="00573301">
        <w:rPr>
          <w:rFonts w:ascii="Arial" w:hAnsi="Arial" w:cs="Arial"/>
          <w:bCs/>
          <w:szCs w:val="24"/>
        </w:rPr>
        <w:t>7</w:t>
      </w:r>
      <w:r w:rsidRPr="00882ACB">
        <w:rPr>
          <w:rFonts w:ascii="Arial" w:hAnsi="Arial" w:cs="Arial"/>
          <w:bCs/>
          <w:szCs w:val="24"/>
        </w:rPr>
        <w:t xml:space="preserve"> to 13.7) at 1 year </w:t>
      </w:r>
      <w:r w:rsidR="00860E7F" w:rsidRPr="00882ACB">
        <w:rPr>
          <w:rFonts w:ascii="Arial" w:hAnsi="Arial" w:cs="Arial"/>
          <w:bCs/>
          <w:szCs w:val="24"/>
        </w:rPr>
        <w:t>(</w:t>
      </w:r>
      <w:proofErr w:type="spellStart"/>
      <w:r w:rsidR="00860E7F" w:rsidRPr="00882ACB">
        <w:rPr>
          <w:rFonts w:ascii="Arial" w:hAnsi="Arial" w:cs="Arial"/>
          <w:bCs/>
          <w:szCs w:val="24"/>
        </w:rPr>
        <w:t>favoring</w:t>
      </w:r>
      <w:proofErr w:type="spellEnd"/>
      <w:r w:rsidR="00860E7F" w:rsidRPr="00882ACB">
        <w:rPr>
          <w:rFonts w:ascii="Arial" w:hAnsi="Arial" w:cs="Arial"/>
          <w:bCs/>
          <w:szCs w:val="24"/>
        </w:rPr>
        <w:t xml:space="preserve"> the limited fasciectomy group) </w:t>
      </w:r>
      <w:r w:rsidRPr="00882ACB">
        <w:rPr>
          <w:rFonts w:ascii="Arial" w:hAnsi="Arial" w:cs="Arial"/>
          <w:bCs/>
          <w:szCs w:val="24"/>
        </w:rPr>
        <w:t>and increasing up to 2 years</w:t>
      </w:r>
      <w:r w:rsidR="00D6615A" w:rsidRPr="00882ACB">
        <w:rPr>
          <w:rFonts w:ascii="Arial" w:hAnsi="Arial" w:cs="Arial"/>
          <w:bCs/>
          <w:szCs w:val="24"/>
        </w:rPr>
        <w:t xml:space="preserve"> (Figure</w:t>
      </w:r>
      <w:r w:rsidR="0069415C">
        <w:rPr>
          <w:rFonts w:ascii="Arial" w:hAnsi="Arial" w:cs="Arial"/>
          <w:bCs/>
          <w:szCs w:val="24"/>
        </w:rPr>
        <w:t>s</w:t>
      </w:r>
      <w:r w:rsidR="00D6615A" w:rsidRPr="00882ACB">
        <w:rPr>
          <w:rFonts w:ascii="Arial" w:hAnsi="Arial" w:cs="Arial"/>
          <w:bCs/>
          <w:szCs w:val="24"/>
        </w:rPr>
        <w:t xml:space="preserve"> </w:t>
      </w:r>
      <w:r w:rsidR="00D86F95" w:rsidRPr="00882ACB">
        <w:rPr>
          <w:rFonts w:ascii="Arial" w:hAnsi="Arial" w:cs="Arial"/>
          <w:bCs/>
          <w:szCs w:val="24"/>
        </w:rPr>
        <w:t>3</w:t>
      </w:r>
      <w:r w:rsidR="00D6615A" w:rsidRPr="00882ACB">
        <w:rPr>
          <w:rFonts w:ascii="Arial" w:hAnsi="Arial" w:cs="Arial"/>
          <w:bCs/>
          <w:szCs w:val="24"/>
        </w:rPr>
        <w:t>a</w:t>
      </w:r>
      <w:r w:rsidR="0069415C">
        <w:rPr>
          <w:rFonts w:ascii="Arial" w:hAnsi="Arial" w:cs="Arial"/>
          <w:bCs/>
          <w:szCs w:val="24"/>
        </w:rPr>
        <w:t xml:space="preserve"> and S7</w:t>
      </w:r>
      <w:r w:rsidR="00D6615A" w:rsidRPr="00882ACB">
        <w:rPr>
          <w:rFonts w:ascii="Arial" w:hAnsi="Arial" w:cs="Arial"/>
          <w:bCs/>
          <w:szCs w:val="24"/>
        </w:rPr>
        <w:t>)</w:t>
      </w:r>
      <w:r w:rsidRPr="00882ACB">
        <w:rPr>
          <w:rFonts w:ascii="Arial" w:hAnsi="Arial" w:cs="Arial"/>
          <w:bCs/>
          <w:szCs w:val="24"/>
        </w:rPr>
        <w:t>.</w:t>
      </w:r>
      <w:r w:rsidR="00D86F95" w:rsidRPr="00882ACB">
        <w:rPr>
          <w:rFonts w:ascii="Arial" w:hAnsi="Arial" w:cs="Arial"/>
          <w:bCs/>
          <w:szCs w:val="24"/>
        </w:rPr>
        <w:t xml:space="preserve"> </w:t>
      </w:r>
      <w:r w:rsidR="00CC5592" w:rsidRPr="00882ACB">
        <w:rPr>
          <w:rFonts w:ascii="Arial" w:hAnsi="Arial" w:cs="Arial"/>
          <w:bCs/>
          <w:szCs w:val="24"/>
        </w:rPr>
        <w:t xml:space="preserve">Results for total passive extension deficit of the reference digit </w:t>
      </w:r>
      <w:r w:rsidR="00CC05BA" w:rsidRPr="00882ACB">
        <w:rPr>
          <w:rFonts w:ascii="Arial" w:hAnsi="Arial" w:cs="Arial"/>
          <w:bCs/>
          <w:szCs w:val="24"/>
        </w:rPr>
        <w:t>were similar</w:t>
      </w:r>
      <w:r w:rsidR="00CC5592" w:rsidRPr="00882ACB">
        <w:rPr>
          <w:rFonts w:ascii="Arial" w:hAnsi="Arial" w:cs="Arial"/>
          <w:bCs/>
          <w:szCs w:val="24"/>
        </w:rPr>
        <w:t xml:space="preserve"> (Figure 3b</w:t>
      </w:r>
      <w:r w:rsidR="0069415C">
        <w:rPr>
          <w:rFonts w:ascii="Arial" w:hAnsi="Arial" w:cs="Arial"/>
          <w:bCs/>
          <w:szCs w:val="24"/>
        </w:rPr>
        <w:t xml:space="preserve"> and S7</w:t>
      </w:r>
      <w:r w:rsidR="00CC5592" w:rsidRPr="00882ACB">
        <w:rPr>
          <w:rFonts w:ascii="Arial" w:hAnsi="Arial" w:cs="Arial"/>
          <w:bCs/>
          <w:szCs w:val="24"/>
        </w:rPr>
        <w:t>).</w:t>
      </w:r>
      <w:r w:rsidR="00A86214">
        <w:rPr>
          <w:rFonts w:ascii="Arial" w:hAnsi="Arial" w:cs="Arial"/>
          <w:bCs/>
          <w:szCs w:val="24"/>
        </w:rPr>
        <w:t xml:space="preserve"> </w:t>
      </w:r>
      <w:r w:rsidR="00BD7D23" w:rsidRPr="00882ACB">
        <w:rPr>
          <w:rFonts w:ascii="Arial" w:hAnsi="Arial" w:cs="Arial"/>
          <w:bCs/>
          <w:szCs w:val="24"/>
        </w:rPr>
        <w:t>Among participants with available recurrence data,</w:t>
      </w:r>
      <w:r w:rsidR="00B3233D">
        <w:rPr>
          <w:rFonts w:ascii="Arial" w:hAnsi="Arial" w:cs="Arial"/>
          <w:bCs/>
          <w:szCs w:val="24"/>
        </w:rPr>
        <w:t xml:space="preserve"> </w:t>
      </w:r>
      <w:r w:rsidR="00B3233D" w:rsidRPr="00882ACB">
        <w:rPr>
          <w:rFonts w:ascii="Arial" w:hAnsi="Arial" w:cs="Arial"/>
          <w:bCs/>
          <w:szCs w:val="24"/>
        </w:rPr>
        <w:t>32</w:t>
      </w:r>
      <w:r w:rsidR="001C3F93">
        <w:rPr>
          <w:rFonts w:ascii="Arial" w:hAnsi="Arial" w:cs="Arial"/>
          <w:bCs/>
          <w:szCs w:val="24"/>
        </w:rPr>
        <w:t>/186</w:t>
      </w:r>
      <w:r w:rsidR="00B3233D" w:rsidRPr="00882ACB">
        <w:rPr>
          <w:rFonts w:ascii="Arial" w:hAnsi="Arial" w:cs="Arial"/>
          <w:bCs/>
          <w:szCs w:val="24"/>
        </w:rPr>
        <w:t xml:space="preserve"> (17.2%) </w:t>
      </w:r>
      <w:r w:rsidR="00B3233D">
        <w:rPr>
          <w:rFonts w:ascii="Arial" w:hAnsi="Arial" w:cs="Arial"/>
          <w:bCs/>
          <w:szCs w:val="24"/>
        </w:rPr>
        <w:t xml:space="preserve">patients </w:t>
      </w:r>
      <w:r w:rsidR="00B3233D" w:rsidRPr="00882ACB">
        <w:rPr>
          <w:rFonts w:ascii="Arial" w:hAnsi="Arial" w:cs="Arial"/>
          <w:bCs/>
          <w:szCs w:val="24"/>
        </w:rPr>
        <w:t>in the collagenase group</w:t>
      </w:r>
      <w:r w:rsidR="00B3233D">
        <w:rPr>
          <w:rFonts w:ascii="Arial" w:hAnsi="Arial" w:cs="Arial"/>
          <w:bCs/>
          <w:szCs w:val="24"/>
        </w:rPr>
        <w:t xml:space="preserve"> and</w:t>
      </w:r>
      <w:r w:rsidR="00BD7D23" w:rsidRPr="00882ACB">
        <w:rPr>
          <w:rFonts w:ascii="Arial" w:hAnsi="Arial" w:cs="Arial"/>
          <w:bCs/>
          <w:szCs w:val="24"/>
        </w:rPr>
        <w:t xml:space="preserve"> 22</w:t>
      </w:r>
      <w:r w:rsidR="001C3F93">
        <w:rPr>
          <w:rFonts w:ascii="Arial" w:hAnsi="Arial" w:cs="Arial"/>
          <w:bCs/>
          <w:szCs w:val="24"/>
        </w:rPr>
        <w:t>/159</w:t>
      </w:r>
      <w:r w:rsidR="00BD7D23" w:rsidRPr="00882ACB">
        <w:rPr>
          <w:rFonts w:ascii="Arial" w:hAnsi="Arial" w:cs="Arial"/>
          <w:bCs/>
          <w:szCs w:val="24"/>
        </w:rPr>
        <w:t xml:space="preserve"> (13.</w:t>
      </w:r>
      <w:r w:rsidR="001C3F93">
        <w:rPr>
          <w:rFonts w:ascii="Arial" w:hAnsi="Arial" w:cs="Arial"/>
          <w:bCs/>
          <w:szCs w:val="24"/>
        </w:rPr>
        <w:t>8</w:t>
      </w:r>
      <w:r w:rsidR="00BD7D23" w:rsidRPr="00882ACB">
        <w:rPr>
          <w:rFonts w:ascii="Arial" w:hAnsi="Arial" w:cs="Arial"/>
          <w:bCs/>
          <w:szCs w:val="24"/>
        </w:rPr>
        <w:t>%) participants in the limited fasciectomy group had recurrence of contracture (estimated risk difference 4.0% 95%CI -3.7% to 11.7%).</w:t>
      </w:r>
      <w:r w:rsidR="00DC5EE4">
        <w:rPr>
          <w:rFonts w:ascii="Arial" w:hAnsi="Arial" w:cs="Arial"/>
          <w:bCs/>
          <w:szCs w:val="24"/>
        </w:rPr>
        <w:t xml:space="preserve"> </w:t>
      </w:r>
      <w:r w:rsidR="00DC5EE4" w:rsidRPr="00DC5EE4">
        <w:rPr>
          <w:rFonts w:ascii="Arial" w:hAnsi="Arial" w:cs="Arial"/>
          <w:bCs/>
          <w:szCs w:val="24"/>
        </w:rPr>
        <w:t xml:space="preserve">Detailed </w:t>
      </w:r>
      <w:r w:rsidR="00DC5EE4">
        <w:rPr>
          <w:rFonts w:ascii="Arial" w:hAnsi="Arial" w:cs="Arial"/>
          <w:color w:val="212121"/>
          <w:szCs w:val="24"/>
        </w:rPr>
        <w:t>s</w:t>
      </w:r>
      <w:r w:rsidR="00DC5EE4" w:rsidRPr="00DC5EE4">
        <w:rPr>
          <w:rFonts w:ascii="Arial" w:hAnsi="Arial" w:cs="Arial"/>
          <w:color w:val="212121"/>
          <w:szCs w:val="24"/>
        </w:rPr>
        <w:t>ummaries of joint measurement outcomes are available in Table S1</w:t>
      </w:r>
      <w:r w:rsidR="00EE141F">
        <w:rPr>
          <w:rFonts w:ascii="Arial" w:hAnsi="Arial" w:cs="Arial"/>
          <w:color w:val="212121"/>
          <w:szCs w:val="24"/>
        </w:rPr>
        <w:t>5</w:t>
      </w:r>
      <w:r w:rsidR="00DC5EE4" w:rsidRPr="00DC5EE4">
        <w:rPr>
          <w:rFonts w:ascii="Arial" w:hAnsi="Arial" w:cs="Arial"/>
          <w:color w:val="212121"/>
          <w:szCs w:val="24"/>
        </w:rPr>
        <w:t>.</w:t>
      </w:r>
    </w:p>
    <w:p w14:paraId="186B9441" w14:textId="7D93ABBF" w:rsidR="00A67DFD" w:rsidRPr="00882ACB" w:rsidRDefault="00860E7F">
      <w:pPr>
        <w:rPr>
          <w:rFonts w:ascii="Arial" w:hAnsi="Arial" w:cs="Arial"/>
          <w:bCs/>
          <w:szCs w:val="24"/>
        </w:rPr>
      </w:pPr>
      <w:r w:rsidRPr="00882ACB">
        <w:rPr>
          <w:rFonts w:ascii="Arial" w:hAnsi="Arial" w:cs="Arial"/>
          <w:bCs/>
          <w:szCs w:val="24"/>
        </w:rPr>
        <w:t>The between group difference in a</w:t>
      </w:r>
      <w:r w:rsidR="00412AF0" w:rsidRPr="00882ACB">
        <w:rPr>
          <w:rFonts w:ascii="Arial" w:hAnsi="Arial" w:cs="Arial"/>
          <w:bCs/>
          <w:szCs w:val="24"/>
        </w:rPr>
        <w:t xml:space="preserve">ctive extension deficit </w:t>
      </w:r>
      <w:r w:rsidR="00CC05BA" w:rsidRPr="00882ACB">
        <w:rPr>
          <w:rFonts w:ascii="Arial" w:hAnsi="Arial" w:cs="Arial"/>
          <w:bCs/>
          <w:szCs w:val="24"/>
        </w:rPr>
        <w:t xml:space="preserve">of the reference joint </w:t>
      </w:r>
      <w:r w:rsidRPr="00882ACB">
        <w:rPr>
          <w:rFonts w:ascii="Arial" w:hAnsi="Arial" w:cs="Arial"/>
          <w:bCs/>
          <w:szCs w:val="24"/>
        </w:rPr>
        <w:t>range</w:t>
      </w:r>
      <w:r w:rsidR="003D3484" w:rsidRPr="00882ACB">
        <w:rPr>
          <w:rFonts w:ascii="Arial" w:hAnsi="Arial" w:cs="Arial"/>
          <w:bCs/>
          <w:szCs w:val="24"/>
        </w:rPr>
        <w:t>d</w:t>
      </w:r>
      <w:r w:rsidRPr="00882ACB">
        <w:rPr>
          <w:rFonts w:ascii="Arial" w:hAnsi="Arial" w:cs="Arial"/>
          <w:bCs/>
          <w:szCs w:val="24"/>
        </w:rPr>
        <w:t xml:space="preserve"> from </w:t>
      </w:r>
      <w:r w:rsidR="00412AF0" w:rsidRPr="00882ACB">
        <w:rPr>
          <w:rFonts w:ascii="Arial" w:hAnsi="Arial" w:cs="Arial"/>
          <w:bCs/>
          <w:szCs w:val="24"/>
        </w:rPr>
        <w:t>5.</w:t>
      </w:r>
      <w:r w:rsidRPr="00882ACB">
        <w:rPr>
          <w:rFonts w:ascii="Arial" w:hAnsi="Arial" w:cs="Arial"/>
          <w:bCs/>
          <w:szCs w:val="24"/>
        </w:rPr>
        <w:t>6</w:t>
      </w:r>
      <w:r w:rsidR="00412AF0" w:rsidRPr="00882ACB">
        <w:rPr>
          <w:rFonts w:ascii="Arial" w:hAnsi="Arial" w:cs="Arial"/>
          <w:bCs/>
          <w:szCs w:val="24"/>
        </w:rPr>
        <w:t>° (</w:t>
      </w:r>
      <w:r w:rsidR="004A5335" w:rsidRPr="00882ACB">
        <w:rPr>
          <w:rFonts w:ascii="Arial" w:hAnsi="Arial" w:cs="Arial"/>
          <w:bCs/>
          <w:szCs w:val="24"/>
        </w:rPr>
        <w:t>95%CI</w:t>
      </w:r>
      <w:r w:rsidR="00412AF0" w:rsidRPr="00882ACB">
        <w:rPr>
          <w:rFonts w:ascii="Arial" w:hAnsi="Arial" w:cs="Arial"/>
          <w:bCs/>
          <w:szCs w:val="24"/>
        </w:rPr>
        <w:t xml:space="preserve"> 3.0 to 8.1) </w:t>
      </w:r>
      <w:r w:rsidRPr="00882ACB">
        <w:rPr>
          <w:rFonts w:ascii="Arial" w:hAnsi="Arial" w:cs="Arial"/>
          <w:bCs/>
          <w:szCs w:val="24"/>
        </w:rPr>
        <w:t xml:space="preserve">at 3 months </w:t>
      </w:r>
      <w:r w:rsidR="00412AF0" w:rsidRPr="00882ACB">
        <w:rPr>
          <w:rFonts w:ascii="Arial" w:hAnsi="Arial" w:cs="Arial"/>
          <w:bCs/>
          <w:szCs w:val="24"/>
        </w:rPr>
        <w:t>to 11.5° (</w:t>
      </w:r>
      <w:r w:rsidR="004A5335" w:rsidRPr="00882ACB">
        <w:rPr>
          <w:rFonts w:ascii="Arial" w:hAnsi="Arial" w:cs="Arial"/>
          <w:bCs/>
          <w:szCs w:val="24"/>
        </w:rPr>
        <w:t>95%CI</w:t>
      </w:r>
      <w:r w:rsidR="00412AF0" w:rsidRPr="00882ACB">
        <w:rPr>
          <w:rFonts w:ascii="Arial" w:hAnsi="Arial" w:cs="Arial"/>
          <w:bCs/>
          <w:szCs w:val="24"/>
        </w:rPr>
        <w:t xml:space="preserve"> 8.1 to 14.9) at 1 year</w:t>
      </w:r>
      <w:r w:rsidRPr="00882ACB">
        <w:rPr>
          <w:rFonts w:ascii="Arial" w:hAnsi="Arial" w:cs="Arial"/>
          <w:bCs/>
          <w:szCs w:val="24"/>
        </w:rPr>
        <w:t xml:space="preserve"> (also </w:t>
      </w:r>
      <w:proofErr w:type="spellStart"/>
      <w:r w:rsidRPr="00882ACB">
        <w:rPr>
          <w:rFonts w:ascii="Arial" w:hAnsi="Arial" w:cs="Arial"/>
          <w:bCs/>
          <w:szCs w:val="24"/>
        </w:rPr>
        <w:t>favoring</w:t>
      </w:r>
      <w:proofErr w:type="spellEnd"/>
      <w:r w:rsidRPr="00882ACB">
        <w:rPr>
          <w:rFonts w:ascii="Arial" w:hAnsi="Arial" w:cs="Arial"/>
          <w:bCs/>
          <w:szCs w:val="24"/>
        </w:rPr>
        <w:t xml:space="preserve"> the limited fasciectomy group)</w:t>
      </w:r>
      <w:r w:rsidR="00B3233D">
        <w:rPr>
          <w:rFonts w:ascii="Arial" w:hAnsi="Arial" w:cs="Arial"/>
          <w:bCs/>
          <w:szCs w:val="24"/>
        </w:rPr>
        <w:t xml:space="preserve"> </w:t>
      </w:r>
      <w:r w:rsidR="00412AF0" w:rsidRPr="00882ACB">
        <w:rPr>
          <w:rFonts w:ascii="Arial" w:hAnsi="Arial" w:cs="Arial"/>
          <w:bCs/>
          <w:szCs w:val="24"/>
        </w:rPr>
        <w:t>and increasing up to 2 years</w:t>
      </w:r>
      <w:r w:rsidR="00D6615A" w:rsidRPr="00882ACB">
        <w:rPr>
          <w:rFonts w:ascii="Arial" w:hAnsi="Arial" w:cs="Arial"/>
          <w:bCs/>
          <w:szCs w:val="24"/>
        </w:rPr>
        <w:t xml:space="preserve"> (Figure </w:t>
      </w:r>
      <w:r w:rsidR="00D86F95" w:rsidRPr="00882ACB">
        <w:rPr>
          <w:rFonts w:ascii="Arial" w:hAnsi="Arial" w:cs="Arial"/>
          <w:bCs/>
          <w:szCs w:val="24"/>
        </w:rPr>
        <w:t>3</w:t>
      </w:r>
      <w:r w:rsidR="00CC5592" w:rsidRPr="00882ACB">
        <w:rPr>
          <w:rFonts w:ascii="Arial" w:hAnsi="Arial" w:cs="Arial"/>
          <w:bCs/>
          <w:szCs w:val="24"/>
        </w:rPr>
        <w:t>c</w:t>
      </w:r>
      <w:r w:rsidR="0069415C">
        <w:rPr>
          <w:rFonts w:ascii="Arial" w:hAnsi="Arial" w:cs="Arial"/>
          <w:bCs/>
          <w:szCs w:val="24"/>
        </w:rPr>
        <w:t xml:space="preserve"> and S7</w:t>
      </w:r>
      <w:r w:rsidR="00D6615A" w:rsidRPr="00882ACB">
        <w:rPr>
          <w:rFonts w:ascii="Arial" w:hAnsi="Arial" w:cs="Arial"/>
          <w:bCs/>
          <w:szCs w:val="24"/>
        </w:rPr>
        <w:t>)</w:t>
      </w:r>
      <w:r w:rsidR="00412AF0" w:rsidRPr="00882ACB">
        <w:rPr>
          <w:rFonts w:ascii="Arial" w:hAnsi="Arial" w:cs="Arial"/>
          <w:bCs/>
          <w:szCs w:val="24"/>
        </w:rPr>
        <w:t xml:space="preserve">. </w:t>
      </w:r>
      <w:r w:rsidR="00CC5592" w:rsidRPr="00882ACB">
        <w:rPr>
          <w:rFonts w:ascii="Arial" w:hAnsi="Arial" w:cs="Arial"/>
          <w:bCs/>
          <w:szCs w:val="24"/>
        </w:rPr>
        <w:t>Results for total active extension deficit were similar (Figure 3d</w:t>
      </w:r>
      <w:r w:rsidR="0069415C" w:rsidRPr="0069415C">
        <w:rPr>
          <w:rFonts w:ascii="Arial" w:hAnsi="Arial" w:cs="Arial"/>
          <w:bCs/>
          <w:szCs w:val="24"/>
        </w:rPr>
        <w:t xml:space="preserve"> </w:t>
      </w:r>
      <w:r w:rsidR="0069415C">
        <w:rPr>
          <w:rFonts w:ascii="Arial" w:hAnsi="Arial" w:cs="Arial"/>
          <w:bCs/>
          <w:szCs w:val="24"/>
        </w:rPr>
        <w:t>and S7</w:t>
      </w:r>
      <w:r w:rsidR="00CC5592" w:rsidRPr="00882ACB">
        <w:rPr>
          <w:rFonts w:ascii="Arial" w:hAnsi="Arial" w:cs="Arial"/>
          <w:bCs/>
          <w:szCs w:val="24"/>
        </w:rPr>
        <w:t>)</w:t>
      </w:r>
      <w:r w:rsidR="00CC05BA" w:rsidRPr="00882ACB">
        <w:rPr>
          <w:rFonts w:ascii="Arial" w:hAnsi="Arial" w:cs="Arial"/>
          <w:bCs/>
          <w:szCs w:val="24"/>
        </w:rPr>
        <w:t>.</w:t>
      </w:r>
      <w:r w:rsidR="00CC5592" w:rsidRPr="00882ACB">
        <w:rPr>
          <w:rFonts w:ascii="Arial" w:hAnsi="Arial" w:cs="Arial"/>
          <w:bCs/>
          <w:szCs w:val="24"/>
        </w:rPr>
        <w:t xml:space="preserve"> </w:t>
      </w:r>
    </w:p>
    <w:p w14:paraId="2C752C70" w14:textId="624FA418" w:rsidR="00F26205" w:rsidRPr="00882ACB" w:rsidRDefault="00A67DFD">
      <w:pPr>
        <w:rPr>
          <w:rFonts w:ascii="Arial" w:hAnsi="Arial" w:cs="Arial"/>
          <w:bCs/>
          <w:szCs w:val="24"/>
        </w:rPr>
      </w:pPr>
      <w:r w:rsidRPr="00882ACB">
        <w:rPr>
          <w:rFonts w:ascii="Arial" w:hAnsi="Arial" w:cs="Arial"/>
          <w:bCs/>
          <w:szCs w:val="24"/>
        </w:rPr>
        <w:t xml:space="preserve">Assessments based on </w:t>
      </w:r>
      <w:r w:rsidR="00AD5941" w:rsidRPr="00882ACB">
        <w:rPr>
          <w:rFonts w:ascii="Arial" w:hAnsi="Arial" w:cs="Arial"/>
          <w:bCs/>
          <w:szCs w:val="24"/>
        </w:rPr>
        <w:t xml:space="preserve">multiply </w:t>
      </w:r>
      <w:r w:rsidR="00412AF0" w:rsidRPr="00882ACB">
        <w:rPr>
          <w:rFonts w:ascii="Arial" w:hAnsi="Arial" w:cs="Arial"/>
          <w:bCs/>
          <w:szCs w:val="24"/>
        </w:rPr>
        <w:t xml:space="preserve">imputed data </w:t>
      </w:r>
      <w:r w:rsidRPr="00882ACB">
        <w:rPr>
          <w:rFonts w:ascii="Arial" w:hAnsi="Arial" w:cs="Arial"/>
          <w:bCs/>
          <w:szCs w:val="24"/>
        </w:rPr>
        <w:t>yielded similar results</w:t>
      </w:r>
      <w:r w:rsidR="00A720DF" w:rsidRPr="00882ACB">
        <w:rPr>
          <w:rFonts w:ascii="Arial" w:hAnsi="Arial" w:cs="Arial"/>
          <w:bCs/>
          <w:szCs w:val="24"/>
        </w:rPr>
        <w:t xml:space="preserve"> for all </w:t>
      </w:r>
      <w:r w:rsidR="005061BC" w:rsidRPr="00882ACB">
        <w:rPr>
          <w:rFonts w:ascii="Arial" w:hAnsi="Arial" w:cs="Arial"/>
          <w:bCs/>
          <w:szCs w:val="24"/>
        </w:rPr>
        <w:t xml:space="preserve">joint measurement </w:t>
      </w:r>
      <w:r w:rsidR="00A720DF" w:rsidRPr="00882ACB">
        <w:rPr>
          <w:rFonts w:ascii="Arial" w:hAnsi="Arial" w:cs="Arial"/>
          <w:bCs/>
          <w:szCs w:val="24"/>
        </w:rPr>
        <w:t>outcomes</w:t>
      </w:r>
      <w:r w:rsidRPr="00882ACB">
        <w:rPr>
          <w:rFonts w:ascii="Arial" w:hAnsi="Arial" w:cs="Arial"/>
          <w:bCs/>
          <w:szCs w:val="24"/>
        </w:rPr>
        <w:t xml:space="preserve">. </w:t>
      </w:r>
    </w:p>
    <w:p w14:paraId="3E6F5EEA" w14:textId="77777777" w:rsidR="006D699A" w:rsidRPr="00882ACB" w:rsidRDefault="006D699A">
      <w:pPr>
        <w:rPr>
          <w:rFonts w:ascii="Arial" w:hAnsi="Arial" w:cs="Arial"/>
          <w:szCs w:val="24"/>
          <w:u w:val="single"/>
        </w:rPr>
      </w:pPr>
    </w:p>
    <w:p w14:paraId="110295FF" w14:textId="48421167" w:rsidR="006D699A" w:rsidRPr="00882ACB" w:rsidRDefault="006D699A">
      <w:pPr>
        <w:rPr>
          <w:rFonts w:ascii="Arial" w:hAnsi="Arial" w:cs="Arial"/>
          <w:szCs w:val="24"/>
          <w:u w:val="single"/>
        </w:rPr>
      </w:pPr>
      <w:r w:rsidRPr="00882ACB">
        <w:rPr>
          <w:rFonts w:ascii="Arial" w:hAnsi="Arial" w:cs="Arial"/>
          <w:szCs w:val="24"/>
          <w:u w:val="single"/>
        </w:rPr>
        <w:t>Complications and Re</w:t>
      </w:r>
      <w:r w:rsidR="003362AB" w:rsidRPr="00882ACB">
        <w:rPr>
          <w:rFonts w:ascii="Arial" w:hAnsi="Arial" w:cs="Arial"/>
          <w:szCs w:val="24"/>
          <w:u w:val="single"/>
        </w:rPr>
        <w:t>-</w:t>
      </w:r>
      <w:r w:rsidRPr="00882ACB">
        <w:rPr>
          <w:rFonts w:ascii="Arial" w:hAnsi="Arial" w:cs="Arial"/>
          <w:szCs w:val="24"/>
          <w:u w:val="single"/>
        </w:rPr>
        <w:t>intervention</w:t>
      </w:r>
    </w:p>
    <w:p w14:paraId="749F0944" w14:textId="50C5FEBD" w:rsidR="00D340EF" w:rsidRPr="00882ACB" w:rsidRDefault="00D02C13">
      <w:pPr>
        <w:rPr>
          <w:rFonts w:ascii="Arial" w:hAnsi="Arial" w:cs="Arial"/>
          <w:szCs w:val="24"/>
        </w:rPr>
      </w:pPr>
      <w:r w:rsidRPr="00882ACB">
        <w:rPr>
          <w:rFonts w:ascii="Arial" w:hAnsi="Arial" w:cs="Arial"/>
          <w:szCs w:val="24"/>
        </w:rPr>
        <w:t xml:space="preserve">There was no </w:t>
      </w:r>
      <w:r w:rsidR="00A67DFD" w:rsidRPr="00882ACB">
        <w:rPr>
          <w:rFonts w:ascii="Arial" w:hAnsi="Arial" w:cs="Arial"/>
          <w:szCs w:val="24"/>
        </w:rPr>
        <w:t xml:space="preserve">substantial </w:t>
      </w:r>
      <w:r w:rsidRPr="00882ACB">
        <w:rPr>
          <w:rFonts w:ascii="Arial" w:hAnsi="Arial" w:cs="Arial"/>
          <w:szCs w:val="24"/>
        </w:rPr>
        <w:t>difference</w:t>
      </w:r>
      <w:r w:rsidR="00087459">
        <w:rPr>
          <w:rFonts w:ascii="Arial" w:hAnsi="Arial" w:cs="Arial"/>
          <w:szCs w:val="24"/>
        </w:rPr>
        <w:t xml:space="preserve"> between groups </w:t>
      </w:r>
      <w:r w:rsidRPr="00882ACB">
        <w:rPr>
          <w:rFonts w:ascii="Arial" w:hAnsi="Arial" w:cs="Arial"/>
          <w:szCs w:val="24"/>
        </w:rPr>
        <w:t xml:space="preserve"> in the overall frequency of complications</w:t>
      </w:r>
      <w:r w:rsidR="00B3233D">
        <w:rPr>
          <w:rFonts w:ascii="Arial" w:hAnsi="Arial" w:cs="Arial"/>
          <w:szCs w:val="24"/>
        </w:rPr>
        <w:t>, but the</w:t>
      </w:r>
      <w:r w:rsidR="00412AF0" w:rsidRPr="00882ACB">
        <w:rPr>
          <w:rFonts w:ascii="Arial" w:hAnsi="Arial" w:cs="Arial"/>
          <w:szCs w:val="24"/>
        </w:rPr>
        <w:t xml:space="preserve"> </w:t>
      </w:r>
      <w:r w:rsidR="00B3233D">
        <w:rPr>
          <w:rFonts w:ascii="Arial" w:hAnsi="Arial" w:cs="Arial"/>
          <w:szCs w:val="24"/>
        </w:rPr>
        <w:t xml:space="preserve">collagenase group experienced fewer </w:t>
      </w:r>
      <w:r w:rsidR="00412AF0" w:rsidRPr="00882ACB">
        <w:rPr>
          <w:rFonts w:ascii="Arial" w:hAnsi="Arial" w:cs="Arial"/>
          <w:szCs w:val="24"/>
        </w:rPr>
        <w:t>moderate or</w:t>
      </w:r>
      <w:r w:rsidR="008E1D6B" w:rsidRPr="00882ACB">
        <w:rPr>
          <w:rFonts w:ascii="Arial" w:hAnsi="Arial" w:cs="Arial"/>
          <w:szCs w:val="24"/>
        </w:rPr>
        <w:t xml:space="preserve"> </w:t>
      </w:r>
      <w:r w:rsidR="00412AF0" w:rsidRPr="00882ACB">
        <w:rPr>
          <w:rFonts w:ascii="Arial" w:hAnsi="Arial" w:cs="Arial"/>
          <w:szCs w:val="24"/>
        </w:rPr>
        <w:t>severe</w:t>
      </w:r>
      <w:r w:rsidR="00B37502" w:rsidRPr="00882ACB">
        <w:rPr>
          <w:rFonts w:ascii="Arial" w:hAnsi="Arial" w:cs="Arial"/>
          <w:szCs w:val="24"/>
        </w:rPr>
        <w:t xml:space="preserve"> procedural </w:t>
      </w:r>
      <w:r w:rsidR="00412AF0" w:rsidRPr="00882ACB">
        <w:rPr>
          <w:rFonts w:ascii="Arial" w:hAnsi="Arial" w:cs="Arial"/>
          <w:szCs w:val="24"/>
        </w:rPr>
        <w:t>complications</w:t>
      </w:r>
      <w:r w:rsidR="00B3233D">
        <w:rPr>
          <w:rFonts w:ascii="Arial" w:hAnsi="Arial" w:cs="Arial"/>
          <w:szCs w:val="24"/>
        </w:rPr>
        <w:t xml:space="preserve"> than the limited fasciectomy group</w:t>
      </w:r>
      <w:r w:rsidR="00412AF0" w:rsidRPr="00882ACB">
        <w:rPr>
          <w:rFonts w:ascii="Arial" w:hAnsi="Arial" w:cs="Arial"/>
          <w:szCs w:val="24"/>
        </w:rPr>
        <w:t xml:space="preserve"> (</w:t>
      </w:r>
      <w:r w:rsidR="00B3233D">
        <w:rPr>
          <w:rFonts w:ascii="Arial" w:hAnsi="Arial" w:cs="Arial"/>
          <w:szCs w:val="24"/>
        </w:rPr>
        <w:t>2</w:t>
      </w:r>
      <w:r w:rsidR="00412AF0" w:rsidRPr="00882ACB">
        <w:rPr>
          <w:rFonts w:ascii="Arial" w:hAnsi="Arial" w:cs="Arial"/>
          <w:szCs w:val="24"/>
        </w:rPr>
        <w:t xml:space="preserve">% vs </w:t>
      </w:r>
      <w:r w:rsidR="00B3233D">
        <w:rPr>
          <w:rFonts w:ascii="Arial" w:hAnsi="Arial" w:cs="Arial"/>
          <w:szCs w:val="24"/>
        </w:rPr>
        <w:t>5</w:t>
      </w:r>
      <w:r w:rsidR="00412AF0" w:rsidRPr="00882ACB">
        <w:rPr>
          <w:rFonts w:ascii="Arial" w:hAnsi="Arial" w:cs="Arial"/>
          <w:szCs w:val="24"/>
        </w:rPr>
        <w:t>%</w:t>
      </w:r>
      <w:r w:rsidR="00B3233D">
        <w:rPr>
          <w:rFonts w:ascii="Arial" w:hAnsi="Arial" w:cs="Arial"/>
          <w:szCs w:val="24"/>
        </w:rPr>
        <w:t>; risk ratio</w:t>
      </w:r>
      <w:r w:rsidR="0025474F" w:rsidRPr="00882ACB">
        <w:rPr>
          <w:rFonts w:ascii="Arial" w:hAnsi="Arial" w:cs="Arial"/>
          <w:szCs w:val="24"/>
        </w:rPr>
        <w:t xml:space="preserve"> 0.</w:t>
      </w:r>
      <w:r w:rsidR="00EB3479" w:rsidRPr="00882ACB">
        <w:rPr>
          <w:rFonts w:ascii="Arial" w:hAnsi="Arial" w:cs="Arial"/>
          <w:szCs w:val="24"/>
        </w:rPr>
        <w:t>4</w:t>
      </w:r>
      <w:r w:rsidR="0025474F" w:rsidRPr="00882ACB">
        <w:rPr>
          <w:rFonts w:ascii="Arial" w:hAnsi="Arial" w:cs="Arial"/>
          <w:szCs w:val="24"/>
        </w:rPr>
        <w:t xml:space="preserve"> </w:t>
      </w:r>
      <w:r w:rsidR="0025474F" w:rsidRPr="00882ACB">
        <w:rPr>
          <w:rFonts w:ascii="Arial" w:hAnsi="Arial" w:cs="Arial"/>
          <w:szCs w:val="24"/>
        </w:rPr>
        <w:lastRenderedPageBreak/>
        <w:t>95%CI 0.1 to 0.9</w:t>
      </w:r>
      <w:r w:rsidR="00412AF0" w:rsidRPr="00882ACB">
        <w:rPr>
          <w:rFonts w:ascii="Arial" w:hAnsi="Arial" w:cs="Arial"/>
          <w:szCs w:val="24"/>
        </w:rPr>
        <w:t xml:space="preserve">). </w:t>
      </w:r>
      <w:r w:rsidR="00087459">
        <w:rPr>
          <w:rFonts w:ascii="Arial" w:hAnsi="Arial" w:cs="Arial"/>
          <w:szCs w:val="24"/>
        </w:rPr>
        <w:t xml:space="preserve">During up to </w:t>
      </w:r>
      <w:proofErr w:type="gramStart"/>
      <w:r w:rsidR="00087459">
        <w:rPr>
          <w:rFonts w:ascii="Arial" w:hAnsi="Arial" w:cs="Arial"/>
          <w:szCs w:val="24"/>
        </w:rPr>
        <w:t>2 year</w:t>
      </w:r>
      <w:proofErr w:type="gramEnd"/>
      <w:r w:rsidR="00087459">
        <w:rPr>
          <w:rFonts w:ascii="Arial" w:hAnsi="Arial" w:cs="Arial"/>
          <w:szCs w:val="24"/>
        </w:rPr>
        <w:t xml:space="preserve"> follow-up, there were 8 deaths in the collagenase group and none in the limited fasciectomy group; all occurred more than 6 months after the procedure, and causes of death were unrelated to the procedure.   </w:t>
      </w:r>
      <w:r w:rsidR="008C4A47" w:rsidRPr="00882ACB">
        <w:rPr>
          <w:rFonts w:ascii="Arial" w:hAnsi="Arial" w:cs="Arial"/>
          <w:szCs w:val="24"/>
        </w:rPr>
        <w:t>Table 2</w:t>
      </w:r>
      <w:r w:rsidR="008C4A47">
        <w:rPr>
          <w:rFonts w:ascii="Arial" w:hAnsi="Arial" w:cs="Arial"/>
          <w:szCs w:val="24"/>
        </w:rPr>
        <w:t xml:space="preserve"> </w:t>
      </w:r>
      <w:r w:rsidR="001E2FE8">
        <w:rPr>
          <w:rFonts w:ascii="Arial" w:hAnsi="Arial" w:cs="Arial"/>
          <w:szCs w:val="24"/>
        </w:rPr>
        <w:t>and Table S1</w:t>
      </w:r>
      <w:r w:rsidR="00EE141F">
        <w:rPr>
          <w:rFonts w:ascii="Arial" w:hAnsi="Arial" w:cs="Arial"/>
          <w:szCs w:val="24"/>
        </w:rPr>
        <w:t>6</w:t>
      </w:r>
      <w:r w:rsidR="00DC5EE4">
        <w:rPr>
          <w:rFonts w:ascii="Arial" w:hAnsi="Arial" w:cs="Arial"/>
          <w:szCs w:val="24"/>
        </w:rPr>
        <w:t xml:space="preserve"> </w:t>
      </w:r>
      <w:r w:rsidR="008C4A47" w:rsidRPr="00882ACB">
        <w:rPr>
          <w:rFonts w:ascii="Arial" w:hAnsi="Arial" w:cs="Arial"/>
          <w:szCs w:val="24"/>
        </w:rPr>
        <w:t>provide</w:t>
      </w:r>
      <w:r w:rsidR="008C4A47">
        <w:rPr>
          <w:rFonts w:ascii="Arial" w:hAnsi="Arial" w:cs="Arial"/>
          <w:szCs w:val="24"/>
        </w:rPr>
        <w:t xml:space="preserve"> d</w:t>
      </w:r>
      <w:r w:rsidR="009422B1" w:rsidRPr="00882ACB">
        <w:rPr>
          <w:rFonts w:ascii="Arial" w:hAnsi="Arial" w:cs="Arial"/>
          <w:szCs w:val="24"/>
        </w:rPr>
        <w:t>etail</w:t>
      </w:r>
      <w:r w:rsidR="00D340EF" w:rsidRPr="00882ACB">
        <w:rPr>
          <w:rFonts w:ascii="Arial" w:hAnsi="Arial" w:cs="Arial"/>
          <w:szCs w:val="24"/>
        </w:rPr>
        <w:t>s</w:t>
      </w:r>
      <w:r w:rsidR="009422B1" w:rsidRPr="00882ACB">
        <w:rPr>
          <w:rFonts w:ascii="Arial" w:hAnsi="Arial" w:cs="Arial"/>
          <w:szCs w:val="24"/>
        </w:rPr>
        <w:t xml:space="preserve"> </w:t>
      </w:r>
      <w:r w:rsidR="008C4A47">
        <w:rPr>
          <w:rFonts w:ascii="Arial" w:hAnsi="Arial" w:cs="Arial"/>
          <w:szCs w:val="24"/>
        </w:rPr>
        <w:t xml:space="preserve">of </w:t>
      </w:r>
      <w:r w:rsidR="00D340EF" w:rsidRPr="00882ACB">
        <w:rPr>
          <w:rFonts w:ascii="Arial" w:hAnsi="Arial" w:cs="Arial"/>
          <w:szCs w:val="24"/>
        </w:rPr>
        <w:t>the frequency and severity of complications</w:t>
      </w:r>
      <w:r w:rsidR="00202D85" w:rsidRPr="00882ACB">
        <w:rPr>
          <w:rFonts w:ascii="Arial" w:hAnsi="Arial" w:cs="Arial"/>
          <w:szCs w:val="24"/>
        </w:rPr>
        <w:t>.</w:t>
      </w:r>
      <w:r w:rsidR="009C08B6" w:rsidRPr="00882ACB">
        <w:rPr>
          <w:rFonts w:ascii="Arial" w:hAnsi="Arial" w:cs="Arial"/>
          <w:szCs w:val="24"/>
        </w:rPr>
        <w:t xml:space="preserve"> (</w:t>
      </w:r>
      <w:r w:rsidR="00E67FE1" w:rsidRPr="00882ACB">
        <w:rPr>
          <w:rFonts w:ascii="Arial" w:hAnsi="Arial" w:cs="Arial"/>
          <w:szCs w:val="24"/>
        </w:rPr>
        <w:t xml:space="preserve">Table </w:t>
      </w:r>
      <w:r w:rsidR="00DC5EE4" w:rsidRPr="00882ACB">
        <w:rPr>
          <w:rFonts w:ascii="Arial" w:hAnsi="Arial" w:cs="Arial"/>
          <w:szCs w:val="24"/>
        </w:rPr>
        <w:t>S1</w:t>
      </w:r>
      <w:r w:rsidR="00EE141F">
        <w:rPr>
          <w:rFonts w:ascii="Arial" w:hAnsi="Arial" w:cs="Arial"/>
          <w:szCs w:val="24"/>
        </w:rPr>
        <w:t>7</w:t>
      </w:r>
      <w:r w:rsidR="00DC5EE4" w:rsidRPr="00882ACB">
        <w:rPr>
          <w:rFonts w:ascii="Arial" w:hAnsi="Arial" w:cs="Arial"/>
          <w:szCs w:val="24"/>
        </w:rPr>
        <w:t xml:space="preserve"> </w:t>
      </w:r>
      <w:r w:rsidR="006B6A7C" w:rsidRPr="00882ACB">
        <w:rPr>
          <w:rFonts w:ascii="Arial" w:hAnsi="Arial" w:cs="Arial"/>
          <w:szCs w:val="24"/>
        </w:rPr>
        <w:t xml:space="preserve">details </w:t>
      </w:r>
      <w:r w:rsidR="00202D85" w:rsidRPr="00882ACB">
        <w:rPr>
          <w:rFonts w:ascii="Arial" w:hAnsi="Arial" w:cs="Arial"/>
          <w:szCs w:val="24"/>
        </w:rPr>
        <w:t>m</w:t>
      </w:r>
      <w:r w:rsidR="009C08B6" w:rsidRPr="00882ACB">
        <w:rPr>
          <w:rFonts w:ascii="Arial" w:hAnsi="Arial" w:cs="Arial"/>
          <w:szCs w:val="24"/>
        </w:rPr>
        <w:t>oderate</w:t>
      </w:r>
      <w:r w:rsidR="00202D85" w:rsidRPr="00882ACB">
        <w:rPr>
          <w:rFonts w:ascii="Arial" w:hAnsi="Arial" w:cs="Arial"/>
          <w:szCs w:val="24"/>
        </w:rPr>
        <w:t xml:space="preserve"> </w:t>
      </w:r>
      <w:r w:rsidR="009C08B6" w:rsidRPr="00882ACB">
        <w:rPr>
          <w:rFonts w:ascii="Arial" w:hAnsi="Arial" w:cs="Arial"/>
          <w:szCs w:val="24"/>
        </w:rPr>
        <w:t xml:space="preserve">and </w:t>
      </w:r>
      <w:r w:rsidR="00202D85" w:rsidRPr="00882ACB">
        <w:rPr>
          <w:rFonts w:ascii="Arial" w:hAnsi="Arial" w:cs="Arial"/>
          <w:szCs w:val="24"/>
        </w:rPr>
        <w:t>s</w:t>
      </w:r>
      <w:r w:rsidR="009C08B6" w:rsidRPr="00882ACB">
        <w:rPr>
          <w:rFonts w:ascii="Arial" w:hAnsi="Arial" w:cs="Arial"/>
          <w:szCs w:val="24"/>
        </w:rPr>
        <w:t xml:space="preserve">evere </w:t>
      </w:r>
      <w:r w:rsidR="006B6A7C" w:rsidRPr="00882ACB">
        <w:rPr>
          <w:rFonts w:ascii="Arial" w:hAnsi="Arial" w:cs="Arial"/>
          <w:szCs w:val="24"/>
        </w:rPr>
        <w:t>complications</w:t>
      </w:r>
      <w:r w:rsidR="009C08B6" w:rsidRPr="00882ACB">
        <w:rPr>
          <w:rFonts w:ascii="Arial" w:hAnsi="Arial" w:cs="Arial"/>
          <w:szCs w:val="24"/>
        </w:rPr>
        <w:t>)</w:t>
      </w:r>
      <w:r w:rsidR="00D340EF" w:rsidRPr="00882ACB">
        <w:rPr>
          <w:rFonts w:ascii="Arial" w:hAnsi="Arial" w:cs="Arial"/>
          <w:szCs w:val="24"/>
        </w:rPr>
        <w:t>.</w:t>
      </w:r>
    </w:p>
    <w:p w14:paraId="4AA8B10A" w14:textId="4FB6CCB5" w:rsidR="00412AF0" w:rsidRPr="00882ACB" w:rsidRDefault="00BC6555" w:rsidP="00AA5FBC">
      <w:pPr>
        <w:rPr>
          <w:rFonts w:ascii="Arial" w:hAnsi="Arial" w:cs="Arial"/>
          <w:szCs w:val="24"/>
        </w:rPr>
      </w:pPr>
      <w:r w:rsidRPr="00882ACB">
        <w:rPr>
          <w:rFonts w:ascii="Arial" w:hAnsi="Arial" w:cs="Arial"/>
          <w:szCs w:val="24"/>
        </w:rPr>
        <w:t>Of the 621 participants treated as part of the trial, 327 (52.7%)</w:t>
      </w:r>
      <w:r w:rsidR="002A2D98" w:rsidRPr="00882ACB">
        <w:rPr>
          <w:rFonts w:ascii="Arial" w:hAnsi="Arial" w:cs="Arial"/>
          <w:szCs w:val="24"/>
        </w:rPr>
        <w:t xml:space="preserve"> had complete data on re-interventions up to two years</w:t>
      </w:r>
      <w:r w:rsidR="001C5467" w:rsidRPr="00882ACB">
        <w:rPr>
          <w:rFonts w:ascii="Arial" w:hAnsi="Arial" w:cs="Arial"/>
          <w:szCs w:val="24"/>
        </w:rPr>
        <w:t xml:space="preserve">. </w:t>
      </w:r>
      <w:r w:rsidR="002A2D98" w:rsidRPr="00882ACB">
        <w:rPr>
          <w:rFonts w:ascii="Arial" w:hAnsi="Arial" w:cs="Arial"/>
          <w:szCs w:val="24"/>
        </w:rPr>
        <w:t>Of these</w:t>
      </w:r>
      <w:r w:rsidR="00B23F95" w:rsidRPr="00882ACB">
        <w:rPr>
          <w:rFonts w:ascii="Arial" w:hAnsi="Arial" w:cs="Arial"/>
          <w:szCs w:val="24"/>
        </w:rPr>
        <w:t xml:space="preserve">, </w:t>
      </w:r>
      <w:r w:rsidR="00B3233D" w:rsidRPr="00882ACB">
        <w:rPr>
          <w:rFonts w:ascii="Arial" w:hAnsi="Arial" w:cs="Arial"/>
          <w:szCs w:val="24"/>
        </w:rPr>
        <w:t>26</w:t>
      </w:r>
      <w:r w:rsidR="00FF3480">
        <w:rPr>
          <w:rFonts w:ascii="Arial" w:hAnsi="Arial" w:cs="Arial"/>
          <w:szCs w:val="24"/>
        </w:rPr>
        <w:t>/178</w:t>
      </w:r>
      <w:r w:rsidR="00B3233D" w:rsidRPr="00882ACB">
        <w:rPr>
          <w:rFonts w:ascii="Arial" w:hAnsi="Arial" w:cs="Arial"/>
          <w:szCs w:val="24"/>
        </w:rPr>
        <w:t xml:space="preserve"> (8.0%)</w:t>
      </w:r>
      <w:r w:rsidR="00B3233D">
        <w:rPr>
          <w:rFonts w:ascii="Arial" w:hAnsi="Arial" w:cs="Arial"/>
          <w:szCs w:val="24"/>
        </w:rPr>
        <w:t xml:space="preserve"> </w:t>
      </w:r>
      <w:r w:rsidR="00A86214">
        <w:rPr>
          <w:rFonts w:ascii="Arial" w:hAnsi="Arial" w:cs="Arial"/>
          <w:szCs w:val="24"/>
        </w:rPr>
        <w:t xml:space="preserve">patients </w:t>
      </w:r>
      <w:r w:rsidR="00A86214" w:rsidRPr="00882ACB">
        <w:rPr>
          <w:rFonts w:ascii="Arial" w:hAnsi="Arial" w:cs="Arial"/>
          <w:szCs w:val="24"/>
        </w:rPr>
        <w:t>in</w:t>
      </w:r>
      <w:r w:rsidR="00B3233D" w:rsidRPr="00882ACB">
        <w:rPr>
          <w:rFonts w:ascii="Arial" w:hAnsi="Arial" w:cs="Arial"/>
          <w:szCs w:val="24"/>
        </w:rPr>
        <w:t xml:space="preserve"> the collagenase group</w:t>
      </w:r>
      <w:r w:rsidR="00B3233D">
        <w:rPr>
          <w:rFonts w:ascii="Arial" w:hAnsi="Arial" w:cs="Arial"/>
          <w:szCs w:val="24"/>
        </w:rPr>
        <w:t xml:space="preserve"> and </w:t>
      </w:r>
      <w:r w:rsidR="00B3233D" w:rsidRPr="00882ACB">
        <w:rPr>
          <w:rFonts w:ascii="Arial" w:hAnsi="Arial" w:cs="Arial"/>
          <w:szCs w:val="24"/>
        </w:rPr>
        <w:t>5</w:t>
      </w:r>
      <w:r w:rsidR="00FF3480">
        <w:rPr>
          <w:rFonts w:ascii="Arial" w:hAnsi="Arial" w:cs="Arial"/>
          <w:szCs w:val="24"/>
        </w:rPr>
        <w:t>/149</w:t>
      </w:r>
      <w:r w:rsidR="00B3233D" w:rsidRPr="00882ACB">
        <w:rPr>
          <w:rFonts w:ascii="Arial" w:hAnsi="Arial" w:cs="Arial"/>
          <w:szCs w:val="24"/>
        </w:rPr>
        <w:t xml:space="preserve"> (1.7%) participants in the limited fasciectomy group</w:t>
      </w:r>
      <w:r w:rsidR="00B3233D">
        <w:rPr>
          <w:rFonts w:ascii="Arial" w:hAnsi="Arial" w:cs="Arial"/>
          <w:szCs w:val="24"/>
        </w:rPr>
        <w:t xml:space="preserve"> </w:t>
      </w:r>
      <w:r w:rsidR="00B23F95" w:rsidRPr="00882ACB">
        <w:rPr>
          <w:rFonts w:ascii="Arial" w:hAnsi="Arial" w:cs="Arial"/>
          <w:szCs w:val="24"/>
        </w:rPr>
        <w:t xml:space="preserve">had re-intervention using collagenase, </w:t>
      </w:r>
      <w:r w:rsidR="00CB2FEC" w:rsidRPr="00882ACB">
        <w:rPr>
          <w:rFonts w:ascii="Arial" w:hAnsi="Arial" w:cs="Arial"/>
        </w:rPr>
        <w:t>limited fasciectomy</w:t>
      </w:r>
      <w:r w:rsidR="00B23F95" w:rsidRPr="00882ACB">
        <w:rPr>
          <w:rFonts w:ascii="Arial" w:hAnsi="Arial" w:cs="Arial"/>
          <w:szCs w:val="24"/>
        </w:rPr>
        <w:t xml:space="preserve">, percutaneous needle fasciotomy or </w:t>
      </w:r>
      <w:proofErr w:type="spellStart"/>
      <w:r w:rsidR="00B23F95" w:rsidRPr="00882ACB">
        <w:rPr>
          <w:rFonts w:ascii="Arial" w:hAnsi="Arial" w:cs="Arial"/>
          <w:szCs w:val="24"/>
        </w:rPr>
        <w:t>dermofasciectomy</w:t>
      </w:r>
      <w:proofErr w:type="spellEnd"/>
      <w:r w:rsidR="00A86214">
        <w:rPr>
          <w:rFonts w:ascii="Arial" w:hAnsi="Arial" w:cs="Arial"/>
          <w:szCs w:val="24"/>
        </w:rPr>
        <w:t>.</w:t>
      </w:r>
      <w:r w:rsidR="00CC1683" w:rsidRPr="00882ACB">
        <w:rPr>
          <w:rFonts w:ascii="Arial" w:hAnsi="Arial" w:cs="Arial"/>
          <w:szCs w:val="24"/>
        </w:rPr>
        <w:t xml:space="preserve"> </w:t>
      </w:r>
      <w:r w:rsidR="00C76DA0" w:rsidRPr="00882ACB">
        <w:rPr>
          <w:rFonts w:ascii="Arial" w:hAnsi="Arial" w:cs="Arial"/>
          <w:szCs w:val="24"/>
        </w:rPr>
        <w:t xml:space="preserve">Comparing </w:t>
      </w:r>
      <w:r w:rsidR="00AD5941" w:rsidRPr="00882ACB">
        <w:rPr>
          <w:rFonts w:ascii="Arial" w:hAnsi="Arial" w:cs="Arial"/>
          <w:szCs w:val="24"/>
        </w:rPr>
        <w:t xml:space="preserve">collagenase to </w:t>
      </w:r>
      <w:r w:rsidR="00CB2FEC" w:rsidRPr="00882ACB">
        <w:rPr>
          <w:rFonts w:ascii="Arial" w:hAnsi="Arial" w:cs="Arial"/>
        </w:rPr>
        <w:t>limited fasciectomy</w:t>
      </w:r>
      <w:r w:rsidR="00A67DFD" w:rsidRPr="00882ACB">
        <w:rPr>
          <w:rFonts w:ascii="Arial" w:hAnsi="Arial" w:cs="Arial"/>
          <w:szCs w:val="24"/>
        </w:rPr>
        <w:t xml:space="preserve">, the hazard ratio for </w:t>
      </w:r>
      <w:r w:rsidR="00AD5941" w:rsidRPr="00882ACB">
        <w:rPr>
          <w:rFonts w:ascii="Arial" w:hAnsi="Arial" w:cs="Arial"/>
          <w:szCs w:val="24"/>
        </w:rPr>
        <w:t>time</w:t>
      </w:r>
      <w:r w:rsidR="00FA7B7E" w:rsidRPr="00882ACB">
        <w:rPr>
          <w:rFonts w:ascii="Arial" w:hAnsi="Arial" w:cs="Arial"/>
          <w:szCs w:val="24"/>
        </w:rPr>
        <w:t xml:space="preserve"> </w:t>
      </w:r>
      <w:r w:rsidR="00C76DA0" w:rsidRPr="00882ACB">
        <w:rPr>
          <w:rFonts w:ascii="Arial" w:hAnsi="Arial" w:cs="Arial"/>
          <w:szCs w:val="24"/>
        </w:rPr>
        <w:t xml:space="preserve">to first re-intervention </w:t>
      </w:r>
      <w:r w:rsidR="00A67DFD" w:rsidRPr="00882ACB">
        <w:rPr>
          <w:rFonts w:ascii="Arial" w:hAnsi="Arial" w:cs="Arial"/>
          <w:szCs w:val="24"/>
        </w:rPr>
        <w:t xml:space="preserve">was </w:t>
      </w:r>
      <w:r w:rsidR="00C76DA0" w:rsidRPr="00882ACB">
        <w:rPr>
          <w:rFonts w:ascii="Arial" w:hAnsi="Arial" w:cs="Arial"/>
          <w:szCs w:val="24"/>
        </w:rPr>
        <w:t>4.7 (</w:t>
      </w:r>
      <w:r w:rsidR="004A5335" w:rsidRPr="00882ACB">
        <w:rPr>
          <w:rFonts w:ascii="Arial" w:hAnsi="Arial" w:cs="Arial"/>
          <w:szCs w:val="24"/>
        </w:rPr>
        <w:t>95%CI</w:t>
      </w:r>
      <w:r w:rsidR="00C76DA0" w:rsidRPr="00882ACB">
        <w:rPr>
          <w:rFonts w:ascii="Arial" w:hAnsi="Arial" w:cs="Arial"/>
          <w:szCs w:val="24"/>
        </w:rPr>
        <w:t xml:space="preserve"> 1.8 to 12.3)</w:t>
      </w:r>
      <w:r w:rsidR="0031459D" w:rsidRPr="00882ACB">
        <w:rPr>
          <w:rFonts w:ascii="Arial" w:hAnsi="Arial" w:cs="Arial"/>
          <w:szCs w:val="24"/>
        </w:rPr>
        <w:t>.</w:t>
      </w:r>
    </w:p>
    <w:p w14:paraId="19E5BD12" w14:textId="77777777" w:rsidR="007A68D5" w:rsidRPr="00882ACB" w:rsidRDefault="007A68D5" w:rsidP="005027B7">
      <w:pPr>
        <w:rPr>
          <w:rFonts w:ascii="Arial" w:hAnsi="Arial" w:cs="Arial"/>
          <w:szCs w:val="24"/>
        </w:rPr>
      </w:pPr>
    </w:p>
    <w:p w14:paraId="5B268C34" w14:textId="0708C0B9" w:rsidR="00AC41E9" w:rsidRPr="00882ACB" w:rsidRDefault="00FE2FBC" w:rsidP="005027B7">
      <w:pPr>
        <w:rPr>
          <w:rFonts w:ascii="Arial" w:hAnsi="Arial" w:cs="Arial"/>
          <w:b/>
          <w:szCs w:val="24"/>
        </w:rPr>
      </w:pPr>
      <w:r w:rsidRPr="00882ACB">
        <w:rPr>
          <w:rFonts w:ascii="Arial" w:hAnsi="Arial" w:cs="Arial"/>
          <w:b/>
          <w:szCs w:val="24"/>
        </w:rPr>
        <w:t>Discussion</w:t>
      </w:r>
    </w:p>
    <w:p w14:paraId="07763FC0" w14:textId="1BB42F95" w:rsidR="006A4AFD" w:rsidRDefault="00D02C13" w:rsidP="005A77D7">
      <w:pPr>
        <w:rPr>
          <w:rFonts w:ascii="Arial" w:hAnsi="Arial" w:cs="Arial"/>
          <w:bCs/>
        </w:rPr>
      </w:pPr>
      <w:r w:rsidRPr="00882ACB">
        <w:rPr>
          <w:rFonts w:ascii="Arial" w:hAnsi="Arial" w:cs="Arial"/>
          <w:lang w:eastAsia="en-GB"/>
        </w:rPr>
        <w:t>I</w:t>
      </w:r>
      <w:r w:rsidR="00B77A27" w:rsidRPr="00882ACB">
        <w:rPr>
          <w:rFonts w:ascii="Arial" w:hAnsi="Arial" w:cs="Arial"/>
          <w:lang w:eastAsia="en-GB"/>
        </w:rPr>
        <w:t>n</w:t>
      </w:r>
      <w:r w:rsidRPr="00882ACB">
        <w:rPr>
          <w:rFonts w:ascii="Arial" w:hAnsi="Arial" w:cs="Arial"/>
          <w:lang w:eastAsia="en-GB"/>
        </w:rPr>
        <w:t xml:space="preserve"> this </w:t>
      </w:r>
      <w:proofErr w:type="spellStart"/>
      <w:r w:rsidRPr="00882ACB">
        <w:rPr>
          <w:rFonts w:ascii="Arial" w:hAnsi="Arial" w:cs="Arial"/>
          <w:lang w:eastAsia="en-GB"/>
        </w:rPr>
        <w:t>multicenter</w:t>
      </w:r>
      <w:proofErr w:type="spellEnd"/>
      <w:r w:rsidRPr="00882ACB">
        <w:rPr>
          <w:rFonts w:ascii="Arial" w:hAnsi="Arial" w:cs="Arial"/>
          <w:lang w:eastAsia="en-GB"/>
        </w:rPr>
        <w:t xml:space="preserve"> randomized trial, </w:t>
      </w:r>
      <w:r w:rsidR="003F645C" w:rsidRPr="00882ACB">
        <w:rPr>
          <w:rFonts w:ascii="Arial" w:hAnsi="Arial" w:cs="Arial"/>
          <w:lang w:eastAsia="en-GB"/>
        </w:rPr>
        <w:t xml:space="preserve">collagenase was </w:t>
      </w:r>
      <w:r w:rsidR="00656461" w:rsidRPr="00882ACB">
        <w:rPr>
          <w:rFonts w:ascii="Arial" w:hAnsi="Arial" w:cs="Arial"/>
          <w:lang w:eastAsia="en-GB"/>
        </w:rPr>
        <w:t>not non-</w:t>
      </w:r>
      <w:r w:rsidR="003F645C" w:rsidRPr="00882ACB">
        <w:rPr>
          <w:rFonts w:ascii="Arial" w:hAnsi="Arial" w:cs="Arial"/>
          <w:lang w:eastAsia="en-GB"/>
        </w:rPr>
        <w:t xml:space="preserve">inferior to limited fasciectomy </w:t>
      </w:r>
      <w:r w:rsidR="00666E3F" w:rsidRPr="00882ACB">
        <w:rPr>
          <w:rFonts w:ascii="Arial" w:hAnsi="Arial" w:cs="Arial"/>
          <w:lang w:eastAsia="en-GB"/>
        </w:rPr>
        <w:t xml:space="preserve">for </w:t>
      </w:r>
      <w:r w:rsidR="00547940" w:rsidRPr="00882ACB">
        <w:rPr>
          <w:rFonts w:ascii="Arial" w:hAnsi="Arial" w:cs="Arial"/>
        </w:rPr>
        <w:t xml:space="preserve">Patient Evaluation Measure Hand Health Questionnaire </w:t>
      </w:r>
      <w:r w:rsidR="00547940" w:rsidRPr="00882ACB">
        <w:rPr>
          <w:rFonts w:ascii="Arial" w:hAnsi="Arial" w:cs="Arial"/>
          <w:szCs w:val="24"/>
        </w:rPr>
        <w:t>score</w:t>
      </w:r>
      <w:r w:rsidR="00547940" w:rsidRPr="00882ACB" w:rsidDel="00547940">
        <w:rPr>
          <w:rFonts w:ascii="Arial" w:hAnsi="Arial" w:cs="Arial"/>
          <w:lang w:eastAsia="en-GB"/>
        </w:rPr>
        <w:t xml:space="preserve"> </w:t>
      </w:r>
      <w:r w:rsidR="003F645C" w:rsidRPr="00882ACB">
        <w:rPr>
          <w:rFonts w:ascii="Arial" w:hAnsi="Arial" w:cs="Arial"/>
          <w:lang w:eastAsia="en-GB"/>
        </w:rPr>
        <w:t xml:space="preserve">at </w:t>
      </w:r>
      <w:r w:rsidR="0039704C" w:rsidRPr="00882ACB">
        <w:rPr>
          <w:rFonts w:ascii="Arial" w:hAnsi="Arial" w:cs="Arial"/>
          <w:lang w:eastAsia="en-GB"/>
        </w:rPr>
        <w:t>1-year</w:t>
      </w:r>
      <w:r w:rsidR="003F645C" w:rsidRPr="00882ACB">
        <w:rPr>
          <w:rFonts w:ascii="Arial" w:hAnsi="Arial" w:cs="Arial"/>
          <w:lang w:eastAsia="en-GB"/>
        </w:rPr>
        <w:t xml:space="preserve"> post-treatment. </w:t>
      </w:r>
      <w:r w:rsidR="00A947CF">
        <w:rPr>
          <w:rFonts w:ascii="Arial" w:hAnsi="Arial" w:cs="Arial"/>
          <w:lang w:eastAsia="en-GB"/>
        </w:rPr>
        <w:t>Results appeared similar between groups</w:t>
      </w:r>
      <w:r w:rsidR="00105FCA" w:rsidRPr="007463FA">
        <w:rPr>
          <w:rFonts w:ascii="Arial" w:hAnsi="Arial" w:cs="Arial"/>
          <w:bCs/>
        </w:rPr>
        <w:t xml:space="preserve"> </w:t>
      </w:r>
      <w:r w:rsidR="003F645C" w:rsidRPr="007463FA">
        <w:rPr>
          <w:rFonts w:ascii="Arial" w:hAnsi="Arial" w:cs="Arial"/>
          <w:bCs/>
        </w:rPr>
        <w:t xml:space="preserve">for </w:t>
      </w:r>
      <w:r w:rsidR="00105FCA" w:rsidRPr="007463FA">
        <w:rPr>
          <w:rFonts w:ascii="Arial" w:hAnsi="Arial" w:cs="Arial"/>
          <w:bCs/>
        </w:rPr>
        <w:t xml:space="preserve">other patient reported outcomes and for </w:t>
      </w:r>
      <w:r w:rsidR="003F645C" w:rsidRPr="007463FA">
        <w:rPr>
          <w:rFonts w:ascii="Arial" w:hAnsi="Arial" w:cs="Arial"/>
          <w:bCs/>
        </w:rPr>
        <w:t>finger joint contracture</w:t>
      </w:r>
      <w:r w:rsidR="00A947CF">
        <w:rPr>
          <w:rFonts w:ascii="Arial" w:hAnsi="Arial" w:cs="Arial"/>
          <w:bCs/>
        </w:rPr>
        <w:t xml:space="preserve"> at 1 </w:t>
      </w:r>
      <w:commentRangeStart w:id="3"/>
      <w:r w:rsidR="00A947CF">
        <w:rPr>
          <w:rFonts w:ascii="Arial" w:hAnsi="Arial" w:cs="Arial"/>
          <w:bCs/>
        </w:rPr>
        <w:t>year</w:t>
      </w:r>
      <w:commentRangeEnd w:id="3"/>
      <w:r w:rsidR="00A947CF">
        <w:rPr>
          <w:rStyle w:val="CommentReference"/>
        </w:rPr>
        <w:commentReference w:id="3"/>
      </w:r>
      <w:r w:rsidR="003F645C" w:rsidRPr="007463FA">
        <w:rPr>
          <w:rFonts w:ascii="Arial" w:hAnsi="Arial" w:cs="Arial"/>
          <w:bCs/>
        </w:rPr>
        <w:t>.</w:t>
      </w:r>
    </w:p>
    <w:p w14:paraId="494CBB43" w14:textId="480B4F4D" w:rsidR="00723C95" w:rsidRPr="00882ACB" w:rsidRDefault="00A947CF" w:rsidP="005A77D7">
      <w:pPr>
        <w:rPr>
          <w:rFonts w:ascii="Arial" w:hAnsi="Arial" w:cs="Arial"/>
          <w:bCs/>
        </w:rPr>
      </w:pPr>
      <w:r w:rsidRPr="00882ACB">
        <w:rPr>
          <w:rFonts w:ascii="Arial" w:hAnsi="Arial" w:cs="Arial"/>
          <w:lang w:eastAsia="en-GB"/>
        </w:rPr>
        <w:t xml:space="preserve">While </w:t>
      </w:r>
      <w:r>
        <w:rPr>
          <w:rFonts w:ascii="Arial" w:hAnsi="Arial" w:cs="Arial"/>
          <w:lang w:eastAsia="en-GB"/>
        </w:rPr>
        <w:t>results for the primary outcome and other patient-reported outcomes at early follow-</w:t>
      </w:r>
      <w:commentRangeStart w:id="4"/>
      <w:r>
        <w:rPr>
          <w:rFonts w:ascii="Arial" w:hAnsi="Arial" w:cs="Arial"/>
          <w:lang w:eastAsia="en-GB"/>
        </w:rPr>
        <w:t>up</w:t>
      </w:r>
      <w:commentRangeEnd w:id="4"/>
      <w:r>
        <w:rPr>
          <w:rStyle w:val="CommentReference"/>
        </w:rPr>
        <w:commentReference w:id="4"/>
      </w:r>
      <w:r>
        <w:rPr>
          <w:rFonts w:ascii="Arial" w:hAnsi="Arial" w:cs="Arial"/>
          <w:lang w:eastAsia="en-GB"/>
        </w:rPr>
        <w:t xml:space="preserve">  appeared to </w:t>
      </w:r>
      <w:proofErr w:type="spellStart"/>
      <w:r>
        <w:rPr>
          <w:rFonts w:ascii="Arial" w:hAnsi="Arial" w:cs="Arial"/>
          <w:lang w:eastAsia="en-GB"/>
        </w:rPr>
        <w:t>favor</w:t>
      </w:r>
      <w:proofErr w:type="spellEnd"/>
      <w:r>
        <w:rPr>
          <w:rFonts w:ascii="Arial" w:hAnsi="Arial" w:cs="Arial"/>
          <w:lang w:eastAsia="en-GB"/>
        </w:rPr>
        <w:t xml:space="preserve"> the </w:t>
      </w:r>
      <w:r w:rsidRPr="00882ACB">
        <w:rPr>
          <w:rFonts w:ascii="Arial" w:hAnsi="Arial" w:cs="Arial"/>
          <w:lang w:eastAsia="en-GB"/>
        </w:rPr>
        <w:t xml:space="preserve">collagenase </w:t>
      </w:r>
      <w:r>
        <w:rPr>
          <w:rFonts w:ascii="Arial" w:hAnsi="Arial" w:cs="Arial"/>
          <w:lang w:eastAsia="en-GB"/>
        </w:rPr>
        <w:t xml:space="preserve"> group</w:t>
      </w:r>
      <w:r w:rsidRPr="00882ACB">
        <w:rPr>
          <w:rFonts w:ascii="Arial" w:hAnsi="Arial" w:cs="Arial"/>
          <w:lang w:eastAsia="en-GB"/>
        </w:rPr>
        <w:t xml:space="preserve">, this </w:t>
      </w:r>
      <w:r>
        <w:rPr>
          <w:rFonts w:ascii="Arial" w:hAnsi="Arial" w:cs="Arial"/>
          <w:lang w:eastAsia="en-GB"/>
        </w:rPr>
        <w:t xml:space="preserve">apparent </w:t>
      </w:r>
      <w:r w:rsidRPr="00882ACB">
        <w:rPr>
          <w:rFonts w:ascii="Arial" w:hAnsi="Arial" w:cs="Arial"/>
          <w:lang w:eastAsia="en-GB"/>
        </w:rPr>
        <w:t>advantage was not sustained.</w:t>
      </w:r>
      <w:r w:rsidRPr="00882ACB" w:rsidDel="00547940">
        <w:rPr>
          <w:rFonts w:ascii="Arial" w:hAnsi="Arial" w:cs="Arial"/>
          <w:lang w:eastAsia="en-GB"/>
        </w:rPr>
        <w:t xml:space="preserve"> </w:t>
      </w:r>
      <w:r w:rsidR="00F0479C">
        <w:rPr>
          <w:rFonts w:ascii="Arial" w:hAnsi="Arial" w:cs="Arial"/>
        </w:rPr>
        <w:t xml:space="preserve">For all patient reported and joint </w:t>
      </w:r>
      <w:r w:rsidR="00AF4DF8">
        <w:rPr>
          <w:rFonts w:ascii="Arial" w:hAnsi="Arial" w:cs="Arial"/>
        </w:rPr>
        <w:t>contracture</w:t>
      </w:r>
      <w:r w:rsidR="00F0479C">
        <w:rPr>
          <w:rFonts w:ascii="Arial" w:hAnsi="Arial" w:cs="Arial"/>
        </w:rPr>
        <w:t xml:space="preserve"> outcomes, the d</w:t>
      </w:r>
      <w:r w:rsidR="009411B9">
        <w:rPr>
          <w:rFonts w:ascii="Arial" w:hAnsi="Arial" w:cs="Arial"/>
        </w:rPr>
        <w:t>ifferences</w:t>
      </w:r>
      <w:r w:rsidR="00723C95" w:rsidRPr="00741DDB">
        <w:rPr>
          <w:rFonts w:ascii="Arial" w:hAnsi="Arial" w:cs="Arial"/>
        </w:rPr>
        <w:t xml:space="preserve"> between groups</w:t>
      </w:r>
      <w:r>
        <w:rPr>
          <w:rFonts w:ascii="Arial" w:hAnsi="Arial" w:cs="Arial"/>
        </w:rPr>
        <w:t xml:space="preserve">, </w:t>
      </w:r>
      <w:proofErr w:type="spellStart"/>
      <w:r>
        <w:rPr>
          <w:rFonts w:ascii="Arial" w:hAnsi="Arial" w:cs="Arial"/>
        </w:rPr>
        <w:t>favoring</w:t>
      </w:r>
      <w:proofErr w:type="spellEnd"/>
      <w:r>
        <w:rPr>
          <w:rFonts w:ascii="Arial" w:hAnsi="Arial" w:cs="Arial"/>
        </w:rPr>
        <w:t xml:space="preserve"> limited </w:t>
      </w:r>
      <w:commentRangeStart w:id="5"/>
      <w:r>
        <w:rPr>
          <w:rFonts w:ascii="Arial" w:hAnsi="Arial" w:cs="Arial"/>
        </w:rPr>
        <w:t>fasciectomy</w:t>
      </w:r>
      <w:commentRangeEnd w:id="5"/>
      <w:r>
        <w:rPr>
          <w:rStyle w:val="CommentReference"/>
        </w:rPr>
        <w:commentReference w:id="5"/>
      </w:r>
      <w:r>
        <w:rPr>
          <w:rFonts w:ascii="Arial" w:hAnsi="Arial" w:cs="Arial"/>
        </w:rPr>
        <w:t xml:space="preserve">,  </w:t>
      </w:r>
      <w:r w:rsidR="00723C95" w:rsidRPr="00741DDB">
        <w:rPr>
          <w:rFonts w:ascii="Arial" w:hAnsi="Arial" w:cs="Arial"/>
        </w:rPr>
        <w:t xml:space="preserve"> increased over time.</w:t>
      </w:r>
      <w:r w:rsidR="009411B9">
        <w:rPr>
          <w:rFonts w:ascii="Arial" w:hAnsi="Arial" w:cs="Arial"/>
        </w:rPr>
        <w:t xml:space="preserve"> </w:t>
      </w:r>
      <w:r w:rsidR="00361ED1">
        <w:rPr>
          <w:rFonts w:ascii="Arial" w:hAnsi="Arial" w:cs="Arial"/>
        </w:rPr>
        <w:t>Previous f</w:t>
      </w:r>
      <w:r w:rsidR="00693C40">
        <w:rPr>
          <w:rFonts w:ascii="Arial" w:hAnsi="Arial" w:cs="Arial"/>
        </w:rPr>
        <w:t>ollow up data</w:t>
      </w:r>
      <w:r w:rsidR="00361ED1">
        <w:rPr>
          <w:rFonts w:ascii="Arial" w:hAnsi="Arial" w:cs="Arial"/>
        </w:rPr>
        <w:t xml:space="preserve"> after collagenase injection showed increasing</w:t>
      </w:r>
      <w:r w:rsidR="00693C40">
        <w:rPr>
          <w:rFonts w:ascii="Arial" w:hAnsi="Arial" w:cs="Arial"/>
        </w:rPr>
        <w:t xml:space="preserve"> </w:t>
      </w:r>
      <w:r w:rsidR="00361ED1">
        <w:rPr>
          <w:rFonts w:ascii="Arial" w:hAnsi="Arial" w:cs="Arial"/>
        </w:rPr>
        <w:t>numbers of recurrences over time</w:t>
      </w:r>
      <w:r w:rsidR="00DB40FD" w:rsidRPr="00741DDB">
        <w:rPr>
          <w:rFonts w:ascii="Arial" w:hAnsi="Arial" w:cs="Arial"/>
        </w:rPr>
        <w:t>.</w:t>
      </w:r>
      <w:r w:rsidR="00BD7D23" w:rsidRPr="00BD7D23">
        <w:rPr>
          <w:rFonts w:ascii="Arial" w:hAnsi="Arial" w:cs="Arial"/>
          <w:noProof/>
          <w:vertAlign w:val="superscript"/>
        </w:rPr>
        <w:t>9, 24</w:t>
      </w:r>
    </w:p>
    <w:p w14:paraId="76FA0958" w14:textId="1A7432CB" w:rsidR="00B95250" w:rsidRPr="00882ACB" w:rsidRDefault="00B95250" w:rsidP="00B95250">
      <w:r w:rsidRPr="00882ACB">
        <w:rPr>
          <w:rFonts w:ascii="Arial" w:hAnsi="Arial" w:cs="Arial"/>
          <w:lang w:eastAsia="en-GB"/>
        </w:rPr>
        <w:t xml:space="preserve">Surgical treatment permits correction of multiple affected joints and fingers whereas collagenase injection was restricted to up to two injections at a time. This could contribute to greater improvement in function after </w:t>
      </w:r>
      <w:r w:rsidR="00CB2FEC" w:rsidRPr="00882ACB">
        <w:rPr>
          <w:rFonts w:ascii="Arial" w:hAnsi="Arial" w:cs="Arial"/>
        </w:rPr>
        <w:t>limited fasciectomy</w:t>
      </w:r>
      <w:r w:rsidRPr="00882ACB">
        <w:rPr>
          <w:rFonts w:ascii="Arial" w:hAnsi="Arial" w:cs="Arial"/>
          <w:lang w:eastAsia="en-GB"/>
        </w:rPr>
        <w:t>.</w:t>
      </w:r>
    </w:p>
    <w:p w14:paraId="6F4071F0" w14:textId="67E111D5" w:rsidR="00F05199" w:rsidRDefault="00B95250">
      <w:pPr>
        <w:rPr>
          <w:rFonts w:ascii="Arial" w:hAnsi="Arial" w:cs="Arial"/>
          <w:bCs/>
        </w:rPr>
      </w:pPr>
      <w:r w:rsidRPr="00882ACB">
        <w:rPr>
          <w:rFonts w:ascii="Arial" w:eastAsia="Times New Roman" w:hAnsi="Arial" w:cs="Arial"/>
          <w:bCs/>
          <w:color w:val="000000"/>
          <w:shd w:val="clear" w:color="auto" w:fill="FFFFFF"/>
        </w:rPr>
        <w:t>Based</w:t>
      </w:r>
      <w:r w:rsidR="003F645C" w:rsidRPr="00882ACB">
        <w:rPr>
          <w:rFonts w:ascii="Arial" w:eastAsia="Times New Roman" w:hAnsi="Arial" w:cs="Arial"/>
          <w:bCs/>
          <w:color w:val="000000"/>
          <w:shd w:val="clear" w:color="auto" w:fill="FFFFFF"/>
        </w:rPr>
        <w:t xml:space="preserve"> on the definition of recurrence used in this study, t</w:t>
      </w:r>
      <w:r w:rsidR="003F645C" w:rsidRPr="00882ACB">
        <w:rPr>
          <w:rFonts w:ascii="Arial" w:hAnsi="Arial" w:cs="Arial"/>
          <w:bCs/>
        </w:rPr>
        <w:t xml:space="preserve">here </w:t>
      </w:r>
      <w:r w:rsidR="00202D85" w:rsidRPr="00882ACB">
        <w:rPr>
          <w:rFonts w:ascii="Arial" w:hAnsi="Arial" w:cs="Arial"/>
          <w:bCs/>
        </w:rPr>
        <w:t xml:space="preserve">was </w:t>
      </w:r>
      <w:r w:rsidR="00830159" w:rsidRPr="00882ACB">
        <w:rPr>
          <w:rFonts w:ascii="Arial" w:hAnsi="Arial" w:cs="Arial"/>
          <w:bCs/>
        </w:rPr>
        <w:t xml:space="preserve">little </w:t>
      </w:r>
      <w:r w:rsidR="003F645C" w:rsidRPr="00882ACB">
        <w:rPr>
          <w:rFonts w:ascii="Arial" w:hAnsi="Arial" w:cs="Arial"/>
          <w:bCs/>
        </w:rPr>
        <w:t xml:space="preserve">evidence at 1 year that recurrence </w:t>
      </w:r>
      <w:r w:rsidR="00770895" w:rsidRPr="00882ACB">
        <w:rPr>
          <w:rFonts w:ascii="Arial" w:hAnsi="Arial" w:cs="Arial"/>
          <w:bCs/>
        </w:rPr>
        <w:t>was</w:t>
      </w:r>
      <w:r w:rsidR="003F645C" w:rsidRPr="00882ACB">
        <w:rPr>
          <w:rFonts w:ascii="Arial" w:hAnsi="Arial" w:cs="Arial"/>
          <w:bCs/>
        </w:rPr>
        <w:t xml:space="preserve"> more common after collagenase</w:t>
      </w:r>
      <w:r w:rsidR="00F05199" w:rsidRPr="00882ACB">
        <w:rPr>
          <w:rFonts w:ascii="Arial" w:hAnsi="Arial" w:cs="Arial"/>
          <w:bCs/>
        </w:rPr>
        <w:t xml:space="preserve">, despite </w:t>
      </w:r>
      <w:r w:rsidR="00CB2FEC" w:rsidRPr="00882ACB">
        <w:rPr>
          <w:rFonts w:ascii="Arial" w:hAnsi="Arial" w:cs="Arial"/>
        </w:rPr>
        <w:t>limited fasciectomy</w:t>
      </w:r>
      <w:r w:rsidR="00F05199" w:rsidRPr="00882ACB">
        <w:rPr>
          <w:rFonts w:ascii="Arial" w:hAnsi="Arial" w:cs="Arial"/>
          <w:bCs/>
        </w:rPr>
        <w:t xml:space="preserve"> provid</w:t>
      </w:r>
      <w:r w:rsidR="00FB2600" w:rsidRPr="00882ACB">
        <w:rPr>
          <w:rFonts w:ascii="Arial" w:hAnsi="Arial" w:cs="Arial"/>
          <w:bCs/>
        </w:rPr>
        <w:t>ing</w:t>
      </w:r>
      <w:r w:rsidR="00F05199" w:rsidRPr="00882ACB">
        <w:rPr>
          <w:rFonts w:ascii="Arial" w:hAnsi="Arial" w:cs="Arial"/>
          <w:bCs/>
        </w:rPr>
        <w:t xml:space="preserve"> greater </w:t>
      </w:r>
      <w:r w:rsidR="00FB2600" w:rsidRPr="00882ACB">
        <w:rPr>
          <w:rFonts w:ascii="Arial" w:hAnsi="Arial" w:cs="Arial"/>
          <w:bCs/>
        </w:rPr>
        <w:t>improvement</w:t>
      </w:r>
      <w:r w:rsidR="00F05199" w:rsidRPr="00882ACB">
        <w:rPr>
          <w:rFonts w:ascii="Arial" w:hAnsi="Arial" w:cs="Arial"/>
          <w:bCs/>
        </w:rPr>
        <w:t xml:space="preserve"> </w:t>
      </w:r>
      <w:r w:rsidR="00FB2600" w:rsidRPr="00882ACB">
        <w:rPr>
          <w:rFonts w:ascii="Arial" w:hAnsi="Arial" w:cs="Arial"/>
          <w:bCs/>
        </w:rPr>
        <w:t xml:space="preserve">in </w:t>
      </w:r>
      <w:r w:rsidR="00B87E44" w:rsidRPr="00882ACB">
        <w:rPr>
          <w:rFonts w:ascii="Arial" w:hAnsi="Arial" w:cs="Arial"/>
          <w:bCs/>
        </w:rPr>
        <w:t xml:space="preserve">passive and active </w:t>
      </w:r>
      <w:r w:rsidR="00F05199" w:rsidRPr="00882ACB">
        <w:rPr>
          <w:rFonts w:ascii="Arial" w:hAnsi="Arial" w:cs="Arial"/>
          <w:bCs/>
        </w:rPr>
        <w:t>extension deficit.</w:t>
      </w:r>
      <w:r w:rsidR="00FB2600" w:rsidRPr="00882ACB">
        <w:rPr>
          <w:rFonts w:ascii="Arial" w:hAnsi="Arial" w:cs="Arial"/>
          <w:bCs/>
        </w:rPr>
        <w:t xml:space="preserve"> </w:t>
      </w:r>
    </w:p>
    <w:p w14:paraId="379ECA3A" w14:textId="75134A7A" w:rsidR="00573301" w:rsidRPr="00882ACB" w:rsidRDefault="00573301">
      <w:pPr>
        <w:rPr>
          <w:rFonts w:ascii="Arial" w:hAnsi="Arial" w:cs="Arial"/>
          <w:bCs/>
        </w:rPr>
      </w:pPr>
      <w:r w:rsidRPr="00741DDB">
        <w:rPr>
          <w:rFonts w:ascii="Arial" w:hAnsi="Arial" w:cs="Arial"/>
          <w:bCs/>
        </w:rPr>
        <w:lastRenderedPageBreak/>
        <w:t xml:space="preserve">Re-intervention rates in the first 2 years after initial correction </w:t>
      </w:r>
      <w:r w:rsidR="00E57462">
        <w:rPr>
          <w:rFonts w:ascii="Arial" w:hAnsi="Arial" w:cs="Arial"/>
          <w:bCs/>
        </w:rPr>
        <w:t xml:space="preserve">appeared to </w:t>
      </w:r>
      <w:proofErr w:type="spellStart"/>
      <w:r w:rsidR="00E57462">
        <w:rPr>
          <w:rFonts w:ascii="Arial" w:hAnsi="Arial" w:cs="Arial"/>
          <w:bCs/>
        </w:rPr>
        <w:t>favor</w:t>
      </w:r>
      <w:proofErr w:type="spellEnd"/>
      <w:r w:rsidR="00E57462">
        <w:rPr>
          <w:rFonts w:ascii="Arial" w:hAnsi="Arial" w:cs="Arial"/>
          <w:bCs/>
        </w:rPr>
        <w:t xml:space="preserve"> </w:t>
      </w:r>
      <w:r w:rsidRPr="00741DDB">
        <w:rPr>
          <w:rFonts w:ascii="Arial" w:hAnsi="Arial" w:cs="Arial"/>
        </w:rPr>
        <w:t>limited fasciectomy</w:t>
      </w:r>
      <w:r w:rsidR="00A11F92">
        <w:rPr>
          <w:rFonts w:ascii="Arial" w:hAnsi="Arial" w:cs="Arial"/>
        </w:rPr>
        <w:t>; eight percent</w:t>
      </w:r>
      <w:r w:rsidR="00A86214">
        <w:rPr>
          <w:rFonts w:ascii="Arial" w:hAnsi="Arial" w:cs="Arial"/>
        </w:rPr>
        <w:t xml:space="preserve"> </w:t>
      </w:r>
      <w:r w:rsidRPr="00741DDB">
        <w:rPr>
          <w:rFonts w:ascii="Arial" w:hAnsi="Arial" w:cs="Arial"/>
        </w:rPr>
        <w:t xml:space="preserve">of </w:t>
      </w:r>
      <w:r w:rsidR="00E57462">
        <w:rPr>
          <w:rFonts w:ascii="Arial" w:hAnsi="Arial" w:cs="Arial"/>
        </w:rPr>
        <w:t>patients who were followed</w:t>
      </w:r>
      <w:r w:rsidR="00A11F92">
        <w:rPr>
          <w:rFonts w:ascii="Arial" w:hAnsi="Arial" w:cs="Arial"/>
        </w:rPr>
        <w:t xml:space="preserve"> for 2 years </w:t>
      </w:r>
      <w:r w:rsidR="00E57462">
        <w:rPr>
          <w:rFonts w:ascii="Arial" w:hAnsi="Arial" w:cs="Arial"/>
        </w:rPr>
        <w:t xml:space="preserve">in the </w:t>
      </w:r>
      <w:r w:rsidRPr="00741DDB">
        <w:rPr>
          <w:rFonts w:ascii="Arial" w:hAnsi="Arial" w:cs="Arial"/>
        </w:rPr>
        <w:t xml:space="preserve">collagenase </w:t>
      </w:r>
      <w:r w:rsidR="00E57462">
        <w:rPr>
          <w:rFonts w:ascii="Arial" w:hAnsi="Arial" w:cs="Arial"/>
        </w:rPr>
        <w:t>group</w:t>
      </w:r>
      <w:r w:rsidR="00E57462" w:rsidRPr="00741DDB">
        <w:rPr>
          <w:rFonts w:ascii="Arial" w:hAnsi="Arial" w:cs="Arial"/>
        </w:rPr>
        <w:t xml:space="preserve"> </w:t>
      </w:r>
      <w:r w:rsidRPr="00741DDB">
        <w:rPr>
          <w:rFonts w:ascii="Arial" w:hAnsi="Arial" w:cs="Arial"/>
        </w:rPr>
        <w:t xml:space="preserve">had re-intervention compared to </w:t>
      </w:r>
      <w:r w:rsidR="00741DDB">
        <w:rPr>
          <w:rFonts w:ascii="Arial" w:hAnsi="Arial" w:cs="Arial"/>
        </w:rPr>
        <w:t>1.7</w:t>
      </w:r>
      <w:r w:rsidRPr="00741DDB">
        <w:rPr>
          <w:rFonts w:ascii="Arial" w:hAnsi="Arial" w:cs="Arial"/>
        </w:rPr>
        <w:t xml:space="preserve">% of </w:t>
      </w:r>
      <w:r w:rsidR="00E57462">
        <w:rPr>
          <w:rFonts w:ascii="Arial" w:hAnsi="Arial" w:cs="Arial"/>
        </w:rPr>
        <w:t xml:space="preserve">the </w:t>
      </w:r>
      <w:r w:rsidRPr="00741DDB">
        <w:rPr>
          <w:rFonts w:ascii="Arial" w:hAnsi="Arial" w:cs="Arial"/>
        </w:rPr>
        <w:t xml:space="preserve">limited fasciectomy </w:t>
      </w:r>
      <w:r w:rsidR="00E57462">
        <w:rPr>
          <w:rFonts w:ascii="Arial" w:hAnsi="Arial" w:cs="Arial"/>
        </w:rPr>
        <w:t>group</w:t>
      </w:r>
      <w:r w:rsidRPr="00741DDB">
        <w:rPr>
          <w:rFonts w:ascii="Arial" w:hAnsi="Arial" w:cs="Arial"/>
        </w:rPr>
        <w:t>.</w:t>
      </w:r>
      <w:r w:rsidR="009411B9">
        <w:rPr>
          <w:rFonts w:ascii="Arial" w:hAnsi="Arial" w:cs="Arial"/>
        </w:rPr>
        <w:t xml:space="preserve"> </w:t>
      </w:r>
    </w:p>
    <w:p w14:paraId="4510417B" w14:textId="0363CEDA" w:rsidR="003F645C" w:rsidRPr="00882ACB" w:rsidRDefault="00770895">
      <w:pPr>
        <w:rPr>
          <w:rFonts w:ascii="Arial" w:hAnsi="Arial" w:cs="Arial"/>
          <w:lang w:eastAsia="en-GB"/>
        </w:rPr>
      </w:pPr>
      <w:r w:rsidRPr="00741DDB">
        <w:rPr>
          <w:rFonts w:ascii="Arial" w:hAnsi="Arial" w:cs="Arial"/>
          <w:bCs/>
          <w:lang w:eastAsia="en-GB"/>
        </w:rPr>
        <w:t>The percentage of persons in the collagenase and limited fasciectomy groups who experienced complications overall was similar</w:t>
      </w:r>
      <w:r w:rsidR="005D0B3A" w:rsidRPr="00741DDB">
        <w:rPr>
          <w:rFonts w:ascii="Arial" w:hAnsi="Arial" w:cs="Arial"/>
          <w:bCs/>
          <w:lang w:eastAsia="en-GB"/>
        </w:rPr>
        <w:t xml:space="preserve"> between groups and </w:t>
      </w:r>
      <w:r w:rsidRPr="00741DDB">
        <w:rPr>
          <w:rFonts w:ascii="Arial" w:hAnsi="Arial" w:cs="Arial"/>
          <w:bCs/>
          <w:lang w:eastAsia="en-GB"/>
        </w:rPr>
        <w:t xml:space="preserve">consistent with previously </w:t>
      </w:r>
      <w:r w:rsidR="006A4AFD" w:rsidRPr="00741DDB">
        <w:rPr>
          <w:rFonts w:ascii="Arial" w:hAnsi="Arial" w:cs="Arial"/>
          <w:lang w:eastAsia="en-GB"/>
        </w:rPr>
        <w:t>r</w:t>
      </w:r>
      <w:r w:rsidR="003F645C" w:rsidRPr="00741DDB">
        <w:rPr>
          <w:rFonts w:ascii="Arial" w:hAnsi="Arial" w:cs="Arial"/>
          <w:lang w:eastAsia="en-GB"/>
        </w:rPr>
        <w:t>eported complication rates</w:t>
      </w:r>
      <w:r w:rsidR="006A4AFD" w:rsidRPr="00741DDB">
        <w:rPr>
          <w:rFonts w:ascii="Arial" w:hAnsi="Arial" w:cs="Arial"/>
          <w:lang w:eastAsia="en-GB"/>
        </w:rPr>
        <w:t>.</w:t>
      </w:r>
      <w:r w:rsidR="006949D3" w:rsidRPr="00741DDB">
        <w:rPr>
          <w:rFonts w:ascii="Arial" w:hAnsi="Arial" w:cs="Arial"/>
          <w:noProof/>
          <w:vertAlign w:val="superscript"/>
          <w:lang w:eastAsia="en-GB"/>
        </w:rPr>
        <w:t>8, 12</w:t>
      </w:r>
      <w:r w:rsidR="00B95250" w:rsidRPr="00882ACB">
        <w:rPr>
          <w:rFonts w:ascii="Arial" w:hAnsi="Arial" w:cs="Arial"/>
          <w:lang w:eastAsia="en-GB"/>
        </w:rPr>
        <w:t xml:space="preserve"> Most</w:t>
      </w:r>
      <w:r w:rsidR="005A77D7" w:rsidRPr="00882ACB">
        <w:rPr>
          <w:rFonts w:ascii="Arial" w:hAnsi="Arial" w:cs="Arial"/>
          <w:lang w:eastAsia="en-GB"/>
        </w:rPr>
        <w:t xml:space="preserve"> complications were </w:t>
      </w:r>
      <w:r w:rsidR="000C5EAB" w:rsidRPr="00882ACB">
        <w:rPr>
          <w:rFonts w:ascii="Arial" w:hAnsi="Arial" w:cs="Arial"/>
          <w:lang w:eastAsia="en-GB"/>
        </w:rPr>
        <w:t xml:space="preserve">classified as </w:t>
      </w:r>
      <w:r w:rsidRPr="00882ACB">
        <w:rPr>
          <w:rFonts w:ascii="Arial" w:hAnsi="Arial" w:cs="Arial"/>
          <w:lang w:eastAsia="en-GB"/>
        </w:rPr>
        <w:t>mild</w:t>
      </w:r>
      <w:r w:rsidR="00596EFB" w:rsidRPr="00882ACB">
        <w:rPr>
          <w:rFonts w:ascii="Arial" w:hAnsi="Arial" w:cs="Arial"/>
          <w:lang w:eastAsia="en-GB"/>
        </w:rPr>
        <w:t xml:space="preserve">, </w:t>
      </w:r>
      <w:r w:rsidR="005A77D7" w:rsidRPr="00882ACB">
        <w:rPr>
          <w:rFonts w:ascii="Arial" w:hAnsi="Arial" w:cs="Arial"/>
          <w:lang w:eastAsia="en-GB"/>
        </w:rPr>
        <w:t>such as pain at the injection site, skin tears or swelling, which resolve quickly with minimal</w:t>
      </w:r>
      <w:r w:rsidRPr="00882ACB">
        <w:rPr>
          <w:rFonts w:ascii="Arial" w:hAnsi="Arial" w:cs="Arial"/>
          <w:lang w:eastAsia="en-GB"/>
        </w:rPr>
        <w:t xml:space="preserve"> or no</w:t>
      </w:r>
      <w:r w:rsidR="005A77D7" w:rsidRPr="00882ACB">
        <w:rPr>
          <w:rFonts w:ascii="Arial" w:hAnsi="Arial" w:cs="Arial"/>
          <w:lang w:eastAsia="en-GB"/>
        </w:rPr>
        <w:t xml:space="preserve"> treatment. </w:t>
      </w:r>
      <w:r w:rsidR="001F0997">
        <w:rPr>
          <w:rFonts w:ascii="Arial" w:hAnsi="Arial" w:cs="Arial"/>
          <w:lang w:eastAsia="en-GB"/>
        </w:rPr>
        <w:t xml:space="preserve"> However, </w:t>
      </w:r>
      <w:r w:rsidR="001F0997">
        <w:rPr>
          <w:rFonts w:ascii="Arial" w:hAnsi="Arial" w:cs="Arial"/>
          <w:bCs/>
        </w:rPr>
        <w:t xml:space="preserve">the </w:t>
      </w:r>
      <w:r w:rsidR="003F645C" w:rsidRPr="00882ACB">
        <w:rPr>
          <w:rFonts w:ascii="Arial" w:hAnsi="Arial" w:cs="Arial"/>
          <w:bCs/>
        </w:rPr>
        <w:t xml:space="preserve">proportion of participants </w:t>
      </w:r>
      <w:r w:rsidR="001F0997">
        <w:rPr>
          <w:rFonts w:ascii="Arial" w:hAnsi="Arial" w:cs="Arial"/>
          <w:bCs/>
        </w:rPr>
        <w:t xml:space="preserve">with </w:t>
      </w:r>
      <w:r w:rsidRPr="00882ACB">
        <w:rPr>
          <w:rFonts w:ascii="Arial" w:hAnsi="Arial" w:cs="Arial"/>
          <w:bCs/>
        </w:rPr>
        <w:t>moderate or severe</w:t>
      </w:r>
      <w:r w:rsidR="00902FD7">
        <w:rPr>
          <w:rFonts w:ascii="Arial" w:hAnsi="Arial" w:cs="Arial"/>
          <w:bCs/>
        </w:rPr>
        <w:t xml:space="preserve"> complications </w:t>
      </w:r>
      <w:r w:rsidR="00A947CF">
        <w:rPr>
          <w:rFonts w:ascii="Arial" w:hAnsi="Arial" w:cs="Arial"/>
          <w:bCs/>
        </w:rPr>
        <w:t xml:space="preserve">was </w:t>
      </w:r>
      <w:r w:rsidR="001F0997">
        <w:rPr>
          <w:rFonts w:ascii="Arial" w:hAnsi="Arial" w:cs="Arial"/>
          <w:bCs/>
        </w:rPr>
        <w:t xml:space="preserve">higher in the limited fasciectomy group </w:t>
      </w:r>
      <w:r w:rsidR="003F645C" w:rsidRPr="00882ACB">
        <w:rPr>
          <w:rFonts w:ascii="Arial" w:hAnsi="Arial" w:cs="Arial"/>
          <w:bCs/>
        </w:rPr>
        <w:t>(5% vs 2%</w:t>
      </w:r>
      <w:r w:rsidR="007807B0" w:rsidRPr="00882ACB">
        <w:rPr>
          <w:rFonts w:ascii="Arial" w:hAnsi="Arial" w:cs="Arial"/>
          <w:bCs/>
        </w:rPr>
        <w:t xml:space="preserve"> respectively</w:t>
      </w:r>
      <w:r w:rsidR="003F645C" w:rsidRPr="00882ACB">
        <w:rPr>
          <w:rFonts w:ascii="Arial" w:hAnsi="Arial" w:cs="Arial"/>
          <w:bCs/>
        </w:rPr>
        <w:t xml:space="preserve">). </w:t>
      </w:r>
    </w:p>
    <w:p w14:paraId="35DDDD29" w14:textId="75F134B0" w:rsidR="00784337" w:rsidRPr="001F2A60" w:rsidRDefault="001F5BCA" w:rsidP="00784337">
      <w:pPr>
        <w:rPr>
          <w:rFonts w:ascii="Arial" w:hAnsi="Arial" w:cs="Arial"/>
        </w:rPr>
      </w:pPr>
      <w:r>
        <w:rPr>
          <w:rFonts w:ascii="Arial" w:hAnsi="Arial" w:cs="Arial"/>
          <w:bCs/>
          <w:iCs/>
        </w:rPr>
        <w:t>L</w:t>
      </w:r>
      <w:r w:rsidR="00E91227" w:rsidRPr="00882ACB">
        <w:rPr>
          <w:rFonts w:ascii="Arial" w:hAnsi="Arial" w:cs="Arial"/>
          <w:lang w:eastAsia="en-GB"/>
        </w:rPr>
        <w:t xml:space="preserve">imitations of our study should be noted. </w:t>
      </w:r>
      <w:r w:rsidR="00084EEE" w:rsidRPr="00882ACB">
        <w:rPr>
          <w:rFonts w:ascii="Arial" w:hAnsi="Arial" w:cs="Arial"/>
          <w:lang w:eastAsia="en-GB"/>
        </w:rPr>
        <w:t>S</w:t>
      </w:r>
      <w:r w:rsidR="003F645C" w:rsidRPr="00882ACB">
        <w:rPr>
          <w:rFonts w:ascii="Arial" w:hAnsi="Arial" w:cs="Arial"/>
          <w:lang w:eastAsia="en-GB"/>
        </w:rPr>
        <w:t>ubstantive changes to provision of care for patients with D</w:t>
      </w:r>
      <w:r w:rsidR="00A949CB" w:rsidRPr="00882ACB">
        <w:rPr>
          <w:rFonts w:ascii="Arial" w:hAnsi="Arial" w:cs="Arial"/>
          <w:lang w:eastAsia="en-GB"/>
        </w:rPr>
        <w:t>upuytren’s Contracture</w:t>
      </w:r>
      <w:r w:rsidR="003F645C" w:rsidRPr="00882ACB">
        <w:rPr>
          <w:rFonts w:ascii="Arial" w:hAnsi="Arial" w:cs="Arial"/>
          <w:lang w:eastAsia="en-GB"/>
        </w:rPr>
        <w:t xml:space="preserve"> </w:t>
      </w:r>
      <w:r w:rsidR="00084EEE" w:rsidRPr="00882ACB">
        <w:rPr>
          <w:rFonts w:ascii="Arial" w:hAnsi="Arial" w:cs="Arial"/>
          <w:lang w:eastAsia="en-GB"/>
        </w:rPr>
        <w:t xml:space="preserve">impacted treatment delivery </w:t>
      </w:r>
      <w:r w:rsidR="00647AB2" w:rsidRPr="00882ACB">
        <w:rPr>
          <w:rFonts w:ascii="Arial" w:hAnsi="Arial" w:cs="Arial"/>
          <w:lang w:eastAsia="en-GB"/>
        </w:rPr>
        <w:t xml:space="preserve">at different points </w:t>
      </w:r>
      <w:r w:rsidR="003F645C" w:rsidRPr="00882ACB">
        <w:rPr>
          <w:rFonts w:ascii="Arial" w:hAnsi="Arial" w:cs="Arial"/>
          <w:lang w:eastAsia="en-GB"/>
        </w:rPr>
        <w:t>during the tria</w:t>
      </w:r>
      <w:r w:rsidR="00E236F7" w:rsidRPr="00882ACB">
        <w:rPr>
          <w:rFonts w:ascii="Arial" w:hAnsi="Arial" w:cs="Arial"/>
          <w:lang w:eastAsia="en-GB"/>
        </w:rPr>
        <w:t>l</w:t>
      </w:r>
      <w:r w:rsidR="00084EEE" w:rsidRPr="00882ACB">
        <w:rPr>
          <w:rFonts w:ascii="Arial" w:hAnsi="Arial" w:cs="Arial"/>
          <w:lang w:eastAsia="en-GB"/>
        </w:rPr>
        <w:t>,</w:t>
      </w:r>
      <w:r w:rsidR="00E236F7" w:rsidRPr="00882ACB">
        <w:rPr>
          <w:rFonts w:ascii="Arial" w:hAnsi="Arial" w:cs="Arial"/>
          <w:lang w:eastAsia="en-GB"/>
        </w:rPr>
        <w:t xml:space="preserve"> including changes to prioritization and delivery processes in specific localities</w:t>
      </w:r>
      <w:r w:rsidR="00647AB2" w:rsidRPr="00882ACB">
        <w:rPr>
          <w:rFonts w:ascii="Arial" w:hAnsi="Arial" w:cs="Arial"/>
          <w:lang w:eastAsia="en-GB"/>
        </w:rPr>
        <w:t xml:space="preserve"> </w:t>
      </w:r>
      <w:r w:rsidR="00E236F7" w:rsidRPr="00882ACB">
        <w:rPr>
          <w:rFonts w:ascii="Arial" w:hAnsi="Arial" w:cs="Arial"/>
          <w:lang w:eastAsia="en-GB"/>
        </w:rPr>
        <w:t>and suspension of treatment</w:t>
      </w:r>
      <w:r w:rsidR="005B10E7">
        <w:rPr>
          <w:rFonts w:ascii="Arial" w:hAnsi="Arial" w:cs="Arial"/>
          <w:lang w:eastAsia="en-GB"/>
        </w:rPr>
        <w:t xml:space="preserve"> and follow-up</w:t>
      </w:r>
      <w:r w:rsidR="00E236F7" w:rsidRPr="00882ACB">
        <w:rPr>
          <w:rFonts w:ascii="Arial" w:hAnsi="Arial" w:cs="Arial"/>
          <w:lang w:eastAsia="en-GB"/>
        </w:rPr>
        <w:t xml:space="preserve"> during the COVID-19 pandemic. </w:t>
      </w:r>
      <w:r w:rsidR="001C3B52" w:rsidRPr="00BD7D23">
        <w:rPr>
          <w:rFonts w:ascii="Arial" w:hAnsi="Arial" w:cs="Arial"/>
          <w:lang w:eastAsia="en-GB"/>
        </w:rPr>
        <w:t xml:space="preserve">Roughly </w:t>
      </w:r>
      <w:r w:rsidR="00BA65BD" w:rsidRPr="00BD7D23">
        <w:rPr>
          <w:rFonts w:ascii="Arial" w:hAnsi="Arial" w:cs="Arial"/>
          <w:lang w:eastAsia="en-GB"/>
        </w:rPr>
        <w:t>31</w:t>
      </w:r>
      <w:r w:rsidR="001C3B52" w:rsidRPr="00BD7D23">
        <w:rPr>
          <w:rFonts w:ascii="Arial" w:hAnsi="Arial" w:cs="Arial"/>
          <w:lang w:eastAsia="en-GB"/>
        </w:rPr>
        <w:t xml:space="preserve">% of </w:t>
      </w:r>
      <w:r w:rsidR="00BA65BD" w:rsidRPr="00BD7D23">
        <w:rPr>
          <w:rFonts w:ascii="Arial" w:hAnsi="Arial" w:cs="Arial"/>
          <w:lang w:eastAsia="en-GB"/>
        </w:rPr>
        <w:t xml:space="preserve">treated </w:t>
      </w:r>
      <w:r w:rsidR="001C3B52" w:rsidRPr="00BD7D23">
        <w:rPr>
          <w:rFonts w:ascii="Arial" w:hAnsi="Arial" w:cs="Arial"/>
          <w:lang w:eastAsia="en-GB"/>
        </w:rPr>
        <w:t xml:space="preserve">participants </w:t>
      </w:r>
      <w:r w:rsidR="00E236F7" w:rsidRPr="00BD7D23">
        <w:rPr>
          <w:rFonts w:ascii="Arial" w:hAnsi="Arial" w:cs="Arial"/>
          <w:lang w:eastAsia="en-GB"/>
        </w:rPr>
        <w:t xml:space="preserve">could not </w:t>
      </w:r>
      <w:r w:rsidR="00A11F92">
        <w:rPr>
          <w:rFonts w:ascii="Arial" w:hAnsi="Arial" w:cs="Arial"/>
          <w:lang w:eastAsia="en-GB"/>
        </w:rPr>
        <w:t xml:space="preserve">complete </w:t>
      </w:r>
      <w:proofErr w:type="gramStart"/>
      <w:r w:rsidR="00E236F7" w:rsidRPr="00BD7D23">
        <w:rPr>
          <w:rFonts w:ascii="Arial" w:hAnsi="Arial" w:cs="Arial"/>
          <w:lang w:eastAsia="en-GB"/>
        </w:rPr>
        <w:t>2 year</w:t>
      </w:r>
      <w:proofErr w:type="gramEnd"/>
      <w:r w:rsidR="00A11F92">
        <w:rPr>
          <w:rFonts w:ascii="Arial" w:hAnsi="Arial" w:cs="Arial"/>
          <w:lang w:eastAsia="en-GB"/>
        </w:rPr>
        <w:t xml:space="preserve"> follow-up</w:t>
      </w:r>
      <w:r w:rsidR="00E236F7" w:rsidRPr="00882ACB">
        <w:rPr>
          <w:rFonts w:ascii="Arial" w:hAnsi="Arial" w:cs="Arial"/>
          <w:lang w:eastAsia="en-GB"/>
        </w:rPr>
        <w:t xml:space="preserve"> within the funded period</w:t>
      </w:r>
      <w:r w:rsidR="006949D3" w:rsidRPr="004039FE">
        <w:rPr>
          <w:rFonts w:ascii="Arial" w:hAnsi="Arial" w:cs="Arial"/>
          <w:noProof/>
          <w:vertAlign w:val="superscript"/>
          <w:lang w:eastAsia="en-GB"/>
        </w:rPr>
        <w:t>18</w:t>
      </w:r>
      <w:r w:rsidR="00E05FD0" w:rsidRPr="00882ACB">
        <w:rPr>
          <w:rFonts w:ascii="Arial" w:hAnsi="Arial" w:cs="Arial"/>
          <w:lang w:eastAsia="en-GB"/>
        </w:rPr>
        <w:t xml:space="preserve"> due to </w:t>
      </w:r>
      <w:r w:rsidR="005B10E7">
        <w:rPr>
          <w:rFonts w:ascii="Arial" w:hAnsi="Arial" w:cs="Arial"/>
          <w:lang w:eastAsia="en-GB"/>
        </w:rPr>
        <w:t>pandemic related delays</w:t>
      </w:r>
      <w:r w:rsidR="0088753C" w:rsidRPr="00882ACB">
        <w:rPr>
          <w:rFonts w:ascii="Arial" w:hAnsi="Arial" w:cs="Arial"/>
          <w:lang w:eastAsia="en-GB"/>
        </w:rPr>
        <w:t>. T</w:t>
      </w:r>
      <w:r w:rsidR="00474029" w:rsidRPr="00882ACB">
        <w:rPr>
          <w:rFonts w:ascii="Arial" w:hAnsi="Arial" w:cs="Arial"/>
          <w:lang w:eastAsia="en-GB"/>
        </w:rPr>
        <w:t>herefore</w:t>
      </w:r>
      <w:r w:rsidR="0026120A">
        <w:rPr>
          <w:rFonts w:ascii="Arial" w:hAnsi="Arial" w:cs="Arial"/>
          <w:lang w:eastAsia="en-GB"/>
        </w:rPr>
        <w:t>,</w:t>
      </w:r>
      <w:r w:rsidR="00474029" w:rsidRPr="00882ACB">
        <w:rPr>
          <w:rFonts w:ascii="Arial" w:hAnsi="Arial" w:cs="Arial"/>
          <w:lang w:eastAsia="en-GB"/>
        </w:rPr>
        <w:t xml:space="preserve"> </w:t>
      </w:r>
      <w:r w:rsidR="00E236F7" w:rsidRPr="00882ACB">
        <w:rPr>
          <w:rFonts w:ascii="Arial" w:hAnsi="Arial" w:cs="Arial"/>
          <w:lang w:eastAsia="en-GB"/>
        </w:rPr>
        <w:t xml:space="preserve">some </w:t>
      </w:r>
      <w:r w:rsidR="00A87999" w:rsidRPr="00882ACB">
        <w:rPr>
          <w:rFonts w:ascii="Arial" w:hAnsi="Arial" w:cs="Arial"/>
          <w:lang w:eastAsia="en-GB"/>
        </w:rPr>
        <w:t>recurrence</w:t>
      </w:r>
      <w:r w:rsidR="00E91227" w:rsidRPr="00882ACB">
        <w:rPr>
          <w:rFonts w:ascii="Arial" w:hAnsi="Arial" w:cs="Arial"/>
          <w:lang w:eastAsia="en-GB"/>
        </w:rPr>
        <w:t>s</w:t>
      </w:r>
      <w:r w:rsidR="00A87999" w:rsidRPr="00882ACB">
        <w:rPr>
          <w:rFonts w:ascii="Arial" w:hAnsi="Arial" w:cs="Arial"/>
          <w:lang w:eastAsia="en-GB"/>
        </w:rPr>
        <w:t xml:space="preserve"> and reintervention</w:t>
      </w:r>
      <w:r w:rsidR="00E91227" w:rsidRPr="00882ACB">
        <w:rPr>
          <w:rFonts w:ascii="Arial" w:hAnsi="Arial" w:cs="Arial"/>
          <w:lang w:eastAsia="en-GB"/>
        </w:rPr>
        <w:t>s</w:t>
      </w:r>
      <w:r w:rsidR="00A87999" w:rsidRPr="00882ACB">
        <w:rPr>
          <w:rFonts w:ascii="Arial" w:hAnsi="Arial" w:cs="Arial"/>
          <w:lang w:eastAsia="en-GB"/>
        </w:rPr>
        <w:t xml:space="preserve"> </w:t>
      </w:r>
      <w:r w:rsidR="00A429EA" w:rsidRPr="00882ACB">
        <w:rPr>
          <w:rFonts w:ascii="Arial" w:hAnsi="Arial" w:cs="Arial"/>
          <w:lang w:eastAsia="en-GB"/>
        </w:rPr>
        <w:t xml:space="preserve">may </w:t>
      </w:r>
      <w:r w:rsidR="00E91227" w:rsidRPr="00882ACB">
        <w:rPr>
          <w:rFonts w:ascii="Arial" w:hAnsi="Arial" w:cs="Arial"/>
          <w:lang w:eastAsia="en-GB"/>
        </w:rPr>
        <w:t xml:space="preserve">not </w:t>
      </w:r>
      <w:r w:rsidR="00A429EA" w:rsidRPr="00882ACB">
        <w:rPr>
          <w:rFonts w:ascii="Arial" w:hAnsi="Arial" w:cs="Arial"/>
          <w:lang w:eastAsia="en-GB"/>
        </w:rPr>
        <w:t xml:space="preserve">have been </w:t>
      </w:r>
      <w:r w:rsidR="00E91227" w:rsidRPr="00882ACB">
        <w:rPr>
          <w:rFonts w:ascii="Arial" w:hAnsi="Arial" w:cs="Arial"/>
          <w:lang w:eastAsia="en-GB"/>
        </w:rPr>
        <w:t>captured</w:t>
      </w:r>
      <w:r w:rsidR="00A87999" w:rsidRPr="00882ACB">
        <w:rPr>
          <w:rFonts w:ascii="Arial" w:hAnsi="Arial" w:cs="Arial"/>
          <w:lang w:eastAsia="en-GB"/>
        </w:rPr>
        <w:t xml:space="preserve">. </w:t>
      </w:r>
      <w:r w:rsidR="00F63D19">
        <w:rPr>
          <w:rFonts w:ascii="Arial" w:hAnsi="Arial" w:cs="Arial"/>
          <w:lang w:eastAsia="en-GB"/>
        </w:rPr>
        <w:t>L</w:t>
      </w:r>
      <w:r w:rsidR="00A429EA" w:rsidRPr="00882ACB">
        <w:rPr>
          <w:rFonts w:ascii="Arial" w:hAnsi="Arial" w:cs="Arial"/>
          <w:color w:val="000000" w:themeColor="text1"/>
        </w:rPr>
        <w:t>onger term follow-up</w:t>
      </w:r>
      <w:r w:rsidR="00DF3FB7" w:rsidRPr="00882ACB">
        <w:rPr>
          <w:rFonts w:ascii="Arial" w:hAnsi="Arial" w:cs="Arial"/>
          <w:color w:val="000000" w:themeColor="text1"/>
        </w:rPr>
        <w:t xml:space="preserve"> </w:t>
      </w:r>
      <w:r w:rsidR="00F63D19">
        <w:rPr>
          <w:rFonts w:ascii="Arial" w:hAnsi="Arial" w:cs="Arial"/>
          <w:color w:val="000000" w:themeColor="text1"/>
        </w:rPr>
        <w:t>is needed to better</w:t>
      </w:r>
      <w:r w:rsidR="00A429EA" w:rsidRPr="00882ACB">
        <w:rPr>
          <w:rFonts w:ascii="Arial" w:hAnsi="Arial" w:cs="Arial"/>
          <w:color w:val="000000" w:themeColor="text1"/>
        </w:rPr>
        <w:t xml:space="preserve"> assess progression of contracture and re-intervention rates</w:t>
      </w:r>
      <w:r w:rsidR="00F63D19">
        <w:rPr>
          <w:rFonts w:ascii="Arial" w:hAnsi="Arial" w:cs="Arial"/>
          <w:color w:val="000000" w:themeColor="text1"/>
        </w:rPr>
        <w:t xml:space="preserve"> over time</w:t>
      </w:r>
      <w:r w:rsidR="00A429EA" w:rsidRPr="00882ACB">
        <w:rPr>
          <w:rFonts w:ascii="Arial" w:hAnsi="Arial" w:cs="Arial"/>
          <w:color w:val="000000" w:themeColor="text1"/>
        </w:rPr>
        <w:t>.</w:t>
      </w:r>
      <w:r w:rsidR="00784337">
        <w:rPr>
          <w:rFonts w:ascii="Arial" w:hAnsi="Arial" w:cs="Arial"/>
          <w:color w:val="000000" w:themeColor="text1"/>
        </w:rPr>
        <w:t xml:space="preserve"> </w:t>
      </w:r>
      <w:r w:rsidR="003B11E1">
        <w:rPr>
          <w:rFonts w:ascii="Arial" w:hAnsi="Arial" w:cs="Arial"/>
        </w:rPr>
        <w:t xml:space="preserve">Almost all participants were </w:t>
      </w:r>
      <w:r w:rsidR="00784337" w:rsidRPr="00553BBB">
        <w:rPr>
          <w:rFonts w:ascii="Arial" w:hAnsi="Arial" w:cs="Arial"/>
        </w:rPr>
        <w:t xml:space="preserve">White </w:t>
      </w:r>
      <w:r w:rsidR="0025582D">
        <w:rPr>
          <w:rFonts w:ascii="Arial" w:hAnsi="Arial" w:cs="Arial"/>
        </w:rPr>
        <w:t>(Table S1</w:t>
      </w:r>
      <w:r w:rsidR="00EE141F">
        <w:rPr>
          <w:rFonts w:ascii="Arial" w:hAnsi="Arial" w:cs="Arial"/>
        </w:rPr>
        <w:t>8</w:t>
      </w:r>
      <w:r w:rsidR="0025582D">
        <w:rPr>
          <w:rFonts w:ascii="Arial" w:hAnsi="Arial" w:cs="Arial"/>
        </w:rPr>
        <w:t>)</w:t>
      </w:r>
      <w:r w:rsidR="00F63D19">
        <w:rPr>
          <w:rFonts w:ascii="Arial" w:hAnsi="Arial" w:cs="Arial"/>
        </w:rPr>
        <w:t xml:space="preserve">, </w:t>
      </w:r>
      <w:r w:rsidR="0025582D">
        <w:rPr>
          <w:rFonts w:ascii="Arial" w:hAnsi="Arial" w:cs="Arial"/>
        </w:rPr>
        <w:t xml:space="preserve">potentially </w:t>
      </w:r>
      <w:r w:rsidR="00F63D19">
        <w:rPr>
          <w:rFonts w:ascii="Arial" w:hAnsi="Arial" w:cs="Arial"/>
        </w:rPr>
        <w:t xml:space="preserve">limiting generalizability, but </w:t>
      </w:r>
      <w:r w:rsidR="00784337" w:rsidRPr="00553BBB">
        <w:rPr>
          <w:rFonts w:ascii="Arial" w:hAnsi="Arial" w:cs="Arial"/>
        </w:rPr>
        <w:t>Dupuytren’s Disease</w:t>
      </w:r>
      <w:r w:rsidR="00F63D19">
        <w:rPr>
          <w:rFonts w:ascii="Arial" w:hAnsi="Arial" w:cs="Arial"/>
        </w:rPr>
        <w:t xml:space="preserve"> has been reported to predominantly </w:t>
      </w:r>
      <w:r w:rsidR="00A86214">
        <w:rPr>
          <w:rFonts w:ascii="Arial" w:hAnsi="Arial" w:cs="Arial"/>
        </w:rPr>
        <w:t xml:space="preserve">affect </w:t>
      </w:r>
      <w:proofErr w:type="spellStart"/>
      <w:r w:rsidR="00A86214">
        <w:rPr>
          <w:rFonts w:ascii="Arial" w:hAnsi="Arial" w:cs="Arial"/>
        </w:rPr>
        <w:t>Causasian</w:t>
      </w:r>
      <w:proofErr w:type="spellEnd"/>
      <w:r w:rsidR="00F63D19">
        <w:rPr>
          <w:rFonts w:ascii="Arial" w:hAnsi="Arial" w:cs="Arial"/>
        </w:rPr>
        <w:t xml:space="preserve"> persons of </w:t>
      </w:r>
      <w:proofErr w:type="gramStart"/>
      <w:r w:rsidR="00F63D19">
        <w:rPr>
          <w:rFonts w:ascii="Arial" w:hAnsi="Arial" w:cs="Arial"/>
        </w:rPr>
        <w:t>North Western</w:t>
      </w:r>
      <w:proofErr w:type="gramEnd"/>
      <w:r w:rsidR="00F63D19">
        <w:rPr>
          <w:rFonts w:ascii="Arial" w:hAnsi="Arial" w:cs="Arial"/>
        </w:rPr>
        <w:t xml:space="preserve"> European descent</w:t>
      </w:r>
      <w:r w:rsidR="00A86214">
        <w:rPr>
          <w:rFonts w:ascii="Arial" w:hAnsi="Arial" w:cs="Arial"/>
        </w:rPr>
        <w:t xml:space="preserve"> </w:t>
      </w:r>
      <w:r w:rsidR="00784337">
        <w:rPr>
          <w:rFonts w:ascii="Arial" w:hAnsi="Arial" w:cs="Arial"/>
        </w:rPr>
        <w:t>(Table S1</w:t>
      </w:r>
      <w:r w:rsidR="00EE141F">
        <w:rPr>
          <w:rFonts w:ascii="Arial" w:hAnsi="Arial" w:cs="Arial"/>
        </w:rPr>
        <w:t>8</w:t>
      </w:r>
      <w:r w:rsidR="00784337">
        <w:rPr>
          <w:rFonts w:ascii="Arial" w:hAnsi="Arial" w:cs="Arial"/>
        </w:rPr>
        <w:t>)</w:t>
      </w:r>
      <w:r w:rsidR="00784337" w:rsidRPr="00553BBB">
        <w:rPr>
          <w:rFonts w:ascii="Arial" w:hAnsi="Arial" w:cs="Arial"/>
        </w:rPr>
        <w:t>.</w:t>
      </w:r>
      <w:r w:rsidR="003B11E1">
        <w:rPr>
          <w:rFonts w:ascii="Arial" w:hAnsi="Arial" w:cs="Arial"/>
        </w:rPr>
        <w:t xml:space="preserve">  </w:t>
      </w:r>
      <w:r w:rsidR="00E00791">
        <w:rPr>
          <w:rFonts w:ascii="Arial" w:hAnsi="Arial" w:cs="Arial"/>
        </w:rPr>
        <w:t xml:space="preserve">Despite </w:t>
      </w:r>
      <w:r w:rsidR="00A947CF">
        <w:rPr>
          <w:rFonts w:ascii="Arial" w:hAnsi="Arial" w:cs="Arial"/>
        </w:rPr>
        <w:t xml:space="preserve">our findings </w:t>
      </w:r>
      <w:proofErr w:type="spellStart"/>
      <w:r w:rsidR="00A947CF">
        <w:rPr>
          <w:rFonts w:ascii="Arial" w:hAnsi="Arial" w:cs="Arial"/>
        </w:rPr>
        <w:t>favoring</w:t>
      </w:r>
      <w:proofErr w:type="spellEnd"/>
      <w:r w:rsidR="00A947CF">
        <w:rPr>
          <w:rFonts w:ascii="Arial" w:hAnsi="Arial" w:cs="Arial"/>
        </w:rPr>
        <w:t xml:space="preserve"> limited fasciectomy</w:t>
      </w:r>
      <w:commentRangeStart w:id="6"/>
      <w:commentRangeEnd w:id="6"/>
      <w:r w:rsidR="00A947CF">
        <w:rPr>
          <w:rStyle w:val="CommentReference"/>
        </w:rPr>
        <w:commentReference w:id="6"/>
      </w:r>
      <w:r w:rsidR="003B11E1">
        <w:rPr>
          <w:rFonts w:ascii="Arial" w:hAnsi="Arial" w:cs="Arial"/>
        </w:rPr>
        <w:t xml:space="preserve">, </w:t>
      </w:r>
      <w:commentRangeStart w:id="7"/>
      <w:commentRangeEnd w:id="7"/>
      <w:r w:rsidR="00014DC1">
        <w:rPr>
          <w:rStyle w:val="CommentReference"/>
        </w:rPr>
        <w:commentReference w:id="7"/>
      </w:r>
      <w:r w:rsidR="00A947CF">
        <w:rPr>
          <w:rFonts w:ascii="Arial" w:hAnsi="Arial" w:cs="Arial"/>
        </w:rPr>
        <w:t xml:space="preserve">collagenase injection may be preferred by patients </w:t>
      </w:r>
      <w:r w:rsidR="00014DC1">
        <w:rPr>
          <w:rFonts w:ascii="Arial" w:hAnsi="Arial" w:cs="Arial"/>
        </w:rPr>
        <w:t>who prioritize avoiding</w:t>
      </w:r>
      <w:r w:rsidR="00A947CF">
        <w:rPr>
          <w:rFonts w:ascii="Arial" w:hAnsi="Arial" w:cs="Arial"/>
        </w:rPr>
        <w:t xml:space="preserve"> </w:t>
      </w:r>
      <w:r w:rsidR="00014DC1">
        <w:rPr>
          <w:rFonts w:ascii="Arial" w:hAnsi="Arial" w:cs="Arial"/>
        </w:rPr>
        <w:t xml:space="preserve"> the higher risk of moderate to severe complications and longer  time  to improvement associated  with </w:t>
      </w:r>
      <w:commentRangeStart w:id="8"/>
      <w:r w:rsidR="00A947CF">
        <w:rPr>
          <w:rFonts w:ascii="Arial" w:hAnsi="Arial" w:cs="Arial"/>
        </w:rPr>
        <w:t>surgery</w:t>
      </w:r>
      <w:commentRangeEnd w:id="8"/>
      <w:r w:rsidR="00014DC1">
        <w:rPr>
          <w:rStyle w:val="CommentReference"/>
        </w:rPr>
        <w:commentReference w:id="8"/>
      </w:r>
      <w:r w:rsidR="003B11E1" w:rsidRPr="00882ACB">
        <w:rPr>
          <w:rFonts w:ascii="Arial" w:hAnsi="Arial" w:cs="Arial"/>
          <w:bCs/>
          <w:iCs/>
        </w:rPr>
        <w:t>.</w:t>
      </w:r>
    </w:p>
    <w:p w14:paraId="7E259176" w14:textId="7E22175D" w:rsidR="00A432A3" w:rsidRPr="00882ACB" w:rsidRDefault="00A429EA" w:rsidP="00A432A3">
      <w:pPr>
        <w:spacing w:after="200"/>
        <w:rPr>
          <w:rFonts w:ascii="Arial" w:hAnsi="Arial" w:cs="Arial"/>
          <w:color w:val="000000" w:themeColor="text1"/>
          <w:szCs w:val="24"/>
          <w:lang w:eastAsia="en-GB"/>
        </w:rPr>
      </w:pPr>
      <w:r w:rsidRPr="00882ACB">
        <w:rPr>
          <w:rFonts w:ascii="Arial" w:hAnsi="Arial" w:cs="Arial"/>
          <w:color w:val="000000" w:themeColor="text1"/>
        </w:rPr>
        <w:t>In th</w:t>
      </w:r>
      <w:r w:rsidR="005B10E7">
        <w:rPr>
          <w:rFonts w:ascii="Arial" w:hAnsi="Arial" w:cs="Arial"/>
          <w:color w:val="000000" w:themeColor="text1"/>
        </w:rPr>
        <w:t>is</w:t>
      </w:r>
      <w:r w:rsidRPr="00882ACB">
        <w:rPr>
          <w:rFonts w:ascii="Arial" w:hAnsi="Arial" w:cs="Arial"/>
          <w:color w:val="000000" w:themeColor="text1"/>
        </w:rPr>
        <w:t xml:space="preserve"> </w:t>
      </w:r>
      <w:proofErr w:type="spellStart"/>
      <w:r w:rsidRPr="00882ACB">
        <w:rPr>
          <w:rFonts w:ascii="Arial" w:hAnsi="Arial" w:cs="Arial"/>
          <w:color w:val="000000" w:themeColor="text1"/>
        </w:rPr>
        <w:t>multicenter</w:t>
      </w:r>
      <w:proofErr w:type="spellEnd"/>
      <w:r w:rsidRPr="00882ACB">
        <w:rPr>
          <w:rFonts w:ascii="Arial" w:hAnsi="Arial" w:cs="Arial"/>
          <w:color w:val="000000" w:themeColor="text1"/>
        </w:rPr>
        <w:t xml:space="preserve"> randomized trial, </w:t>
      </w:r>
      <w:r w:rsidR="005936BE" w:rsidRPr="00882ACB">
        <w:rPr>
          <w:rFonts w:ascii="Arial" w:hAnsi="Arial" w:cs="Arial"/>
          <w:szCs w:val="24"/>
        </w:rPr>
        <w:t xml:space="preserve">collagenase </w:t>
      </w:r>
      <w:r w:rsidRPr="00882ACB">
        <w:rPr>
          <w:rFonts w:ascii="Arial" w:hAnsi="Arial" w:cs="Arial"/>
          <w:szCs w:val="24"/>
        </w:rPr>
        <w:t>was</w:t>
      </w:r>
      <w:r w:rsidR="005936BE" w:rsidRPr="00882ACB">
        <w:rPr>
          <w:rFonts w:ascii="Arial" w:hAnsi="Arial" w:cs="Arial"/>
          <w:szCs w:val="24"/>
        </w:rPr>
        <w:t xml:space="preserve"> not non-inferior to </w:t>
      </w:r>
      <w:r w:rsidR="00A949CB" w:rsidRPr="00882ACB">
        <w:rPr>
          <w:rFonts w:ascii="Arial" w:hAnsi="Arial" w:cs="Arial"/>
          <w:szCs w:val="24"/>
        </w:rPr>
        <w:t>limited fasciectomy</w:t>
      </w:r>
      <w:r w:rsidR="005936BE" w:rsidRPr="00882ACB">
        <w:rPr>
          <w:rFonts w:ascii="Arial" w:hAnsi="Arial" w:cs="Arial"/>
          <w:szCs w:val="24"/>
        </w:rPr>
        <w:t xml:space="preserve"> </w:t>
      </w:r>
      <w:r w:rsidRPr="00882ACB">
        <w:rPr>
          <w:rFonts w:ascii="Arial" w:hAnsi="Arial" w:cs="Arial"/>
          <w:szCs w:val="24"/>
        </w:rPr>
        <w:t xml:space="preserve">with respect to the </w:t>
      </w:r>
      <w:r w:rsidR="005936BE" w:rsidRPr="00882ACB">
        <w:rPr>
          <w:rFonts w:ascii="Arial" w:hAnsi="Arial" w:cs="Arial"/>
          <w:szCs w:val="24"/>
        </w:rPr>
        <w:t>P</w:t>
      </w:r>
      <w:r w:rsidR="00A949CB" w:rsidRPr="00882ACB">
        <w:rPr>
          <w:rFonts w:ascii="Arial" w:hAnsi="Arial" w:cs="Arial"/>
          <w:szCs w:val="24"/>
        </w:rPr>
        <w:t>atient Evaluation Measure</w:t>
      </w:r>
      <w:r w:rsidR="005936BE" w:rsidRPr="00882ACB">
        <w:rPr>
          <w:rFonts w:ascii="Arial" w:hAnsi="Arial" w:cs="Arial"/>
          <w:szCs w:val="24"/>
        </w:rPr>
        <w:t xml:space="preserve"> hand health questionnaire score at </w:t>
      </w:r>
      <w:r w:rsidR="00101241" w:rsidRPr="00882ACB">
        <w:rPr>
          <w:rFonts w:ascii="Arial" w:hAnsi="Arial" w:cs="Arial"/>
          <w:szCs w:val="24"/>
        </w:rPr>
        <w:t>1-year</w:t>
      </w:r>
      <w:r w:rsidR="005936BE" w:rsidRPr="00882ACB">
        <w:rPr>
          <w:rFonts w:ascii="Arial" w:hAnsi="Arial" w:cs="Arial"/>
          <w:szCs w:val="24"/>
        </w:rPr>
        <w:t xml:space="preserve"> post-treatment</w:t>
      </w:r>
      <w:r w:rsidR="004012E4" w:rsidRPr="00882ACB">
        <w:rPr>
          <w:rFonts w:ascii="Arial" w:hAnsi="Arial" w:cs="Arial"/>
          <w:szCs w:val="24"/>
        </w:rPr>
        <w:t xml:space="preserve">. Moderate or severe adverse events were uncommon but </w:t>
      </w:r>
      <w:r w:rsidR="005D0B3A" w:rsidRPr="00882ACB">
        <w:rPr>
          <w:rFonts w:ascii="Arial" w:hAnsi="Arial" w:cs="Arial"/>
          <w:szCs w:val="24"/>
        </w:rPr>
        <w:t>m</w:t>
      </w:r>
      <w:r w:rsidR="004012E4" w:rsidRPr="00882ACB">
        <w:rPr>
          <w:rFonts w:ascii="Arial" w:hAnsi="Arial" w:cs="Arial"/>
          <w:szCs w:val="24"/>
        </w:rPr>
        <w:t>ore frequent in the limited fasciectomy group</w:t>
      </w:r>
      <w:r w:rsidR="00EB64DD">
        <w:rPr>
          <w:rFonts w:ascii="Arial" w:hAnsi="Arial" w:cs="Arial"/>
          <w:szCs w:val="24"/>
        </w:rPr>
        <w:t xml:space="preserve">. </w:t>
      </w:r>
    </w:p>
    <w:p w14:paraId="75A06064" w14:textId="77777777" w:rsidR="00CF36AB" w:rsidRDefault="00CF36AB">
      <w:pPr>
        <w:spacing w:line="259" w:lineRule="auto"/>
        <w:rPr>
          <w:rFonts w:ascii="Arial" w:hAnsi="Arial" w:cs="Arial"/>
          <w:b/>
          <w:bCs/>
          <w:szCs w:val="24"/>
        </w:rPr>
      </w:pPr>
      <w:r>
        <w:rPr>
          <w:rFonts w:ascii="Arial" w:hAnsi="Arial" w:cs="Arial"/>
          <w:b/>
          <w:bCs/>
          <w:szCs w:val="24"/>
        </w:rPr>
        <w:br w:type="page"/>
      </w:r>
    </w:p>
    <w:p w14:paraId="00AEBC16" w14:textId="77777777" w:rsidR="00CF36AB" w:rsidRPr="00E13508" w:rsidRDefault="00CF36AB" w:rsidP="00E13508">
      <w:pPr>
        <w:rPr>
          <w:szCs w:val="24"/>
        </w:rPr>
      </w:pPr>
      <w:r w:rsidRPr="00E13508">
        <w:rPr>
          <w:color w:val="000000"/>
          <w:szCs w:val="24"/>
        </w:rPr>
        <w:lastRenderedPageBreak/>
        <w:t>Disclosure forms provided by the authors are available with the full text of this article at NEJM.org.</w:t>
      </w:r>
    </w:p>
    <w:p w14:paraId="37CFA2E0" w14:textId="77777777" w:rsidR="00CF36AB" w:rsidRDefault="00CF36AB" w:rsidP="00CD1E80">
      <w:pPr>
        <w:rPr>
          <w:rFonts w:ascii="Arial" w:hAnsi="Arial" w:cs="Arial"/>
          <w:b/>
          <w:bCs/>
          <w:szCs w:val="24"/>
        </w:rPr>
      </w:pPr>
    </w:p>
    <w:p w14:paraId="6533FAE9" w14:textId="18B37657" w:rsidR="00CD1E80" w:rsidRPr="00882ACB" w:rsidRDefault="00CA203B" w:rsidP="00CD1E80">
      <w:pPr>
        <w:rPr>
          <w:rFonts w:ascii="Arial" w:hAnsi="Arial" w:cs="Arial"/>
          <w:b/>
          <w:bCs/>
          <w:szCs w:val="24"/>
        </w:rPr>
      </w:pPr>
      <w:r w:rsidRPr="00882ACB">
        <w:rPr>
          <w:rFonts w:ascii="Arial" w:hAnsi="Arial" w:cs="Arial"/>
          <w:b/>
          <w:bCs/>
          <w:szCs w:val="24"/>
        </w:rPr>
        <w:t>Sources of Support</w:t>
      </w:r>
      <w:r w:rsidR="00CD1E80" w:rsidRPr="00882ACB">
        <w:rPr>
          <w:rFonts w:ascii="Arial" w:hAnsi="Arial" w:cs="Arial"/>
          <w:b/>
          <w:bCs/>
          <w:szCs w:val="24"/>
        </w:rPr>
        <w:t xml:space="preserve"> </w:t>
      </w:r>
    </w:p>
    <w:p w14:paraId="3EAC44DD" w14:textId="1D7FE717" w:rsidR="00CD1E80" w:rsidRPr="00882ACB" w:rsidRDefault="00CA203B" w:rsidP="00CD1E80">
      <w:pPr>
        <w:rPr>
          <w:rFonts w:ascii="Arial" w:hAnsi="Arial" w:cs="Arial"/>
          <w:szCs w:val="24"/>
        </w:rPr>
      </w:pPr>
      <w:r w:rsidRPr="00882ACB">
        <w:rPr>
          <w:rFonts w:ascii="Arial" w:hAnsi="Arial" w:cs="Arial"/>
          <w:szCs w:val="24"/>
        </w:rPr>
        <w:t xml:space="preserve">This study was funded by the </w:t>
      </w:r>
      <w:r w:rsidR="00CD1E80" w:rsidRPr="00882ACB">
        <w:rPr>
          <w:rFonts w:ascii="Arial" w:hAnsi="Arial" w:cs="Arial"/>
          <w:szCs w:val="24"/>
        </w:rPr>
        <w:t xml:space="preserve">National Institute for Health and Care Research (NIHR) Health Technology Assessment programme. </w:t>
      </w:r>
      <w:r w:rsidRPr="00882ACB">
        <w:rPr>
          <w:rFonts w:ascii="Arial" w:hAnsi="Arial" w:cs="Arial"/>
          <w:szCs w:val="24"/>
        </w:rPr>
        <w:t>There are no other sources of support to declare.</w:t>
      </w:r>
    </w:p>
    <w:p w14:paraId="6A83975F" w14:textId="77777777" w:rsidR="00CF36AB" w:rsidRDefault="00CF36AB" w:rsidP="00CD1E80">
      <w:pPr>
        <w:rPr>
          <w:rFonts w:ascii="Arial" w:hAnsi="Arial" w:cs="Arial"/>
          <w:b/>
          <w:bCs/>
          <w:szCs w:val="24"/>
        </w:rPr>
      </w:pPr>
    </w:p>
    <w:p w14:paraId="595E6FEA" w14:textId="0D7F5F9C" w:rsidR="00CA203B" w:rsidRPr="00882ACB" w:rsidRDefault="00CA203B" w:rsidP="00CD1E80">
      <w:pPr>
        <w:rPr>
          <w:rFonts w:ascii="Arial" w:hAnsi="Arial" w:cs="Arial"/>
          <w:b/>
          <w:bCs/>
          <w:szCs w:val="24"/>
        </w:rPr>
      </w:pPr>
      <w:r w:rsidRPr="00882ACB">
        <w:rPr>
          <w:rFonts w:ascii="Arial" w:hAnsi="Arial" w:cs="Arial"/>
          <w:b/>
          <w:bCs/>
          <w:szCs w:val="24"/>
        </w:rPr>
        <w:t>Manuscript Generation</w:t>
      </w:r>
    </w:p>
    <w:p w14:paraId="70C9E043" w14:textId="236020DA" w:rsidR="00EC5B35" w:rsidRDefault="00CA203B" w:rsidP="00E26B1E">
      <w:pPr>
        <w:rPr>
          <w:rFonts w:ascii="Arial" w:hAnsi="Arial" w:cs="Arial"/>
          <w:szCs w:val="24"/>
        </w:rPr>
      </w:pPr>
      <w:r w:rsidRPr="00882ACB">
        <w:rPr>
          <w:rFonts w:ascii="Arial" w:hAnsi="Arial" w:cs="Arial"/>
          <w:szCs w:val="24"/>
        </w:rPr>
        <w:t xml:space="preserve">The first draft of the manuscript was prepared by Professor J Dias, Dr Puvan </w:t>
      </w:r>
      <w:proofErr w:type="spellStart"/>
      <w:r w:rsidRPr="00882ACB">
        <w:rPr>
          <w:rFonts w:ascii="Arial" w:hAnsi="Arial" w:cs="Arial"/>
          <w:szCs w:val="24"/>
        </w:rPr>
        <w:t>Tharmanathan</w:t>
      </w:r>
      <w:proofErr w:type="spellEnd"/>
      <w:r w:rsidRPr="00882ACB">
        <w:rPr>
          <w:rFonts w:ascii="Arial" w:hAnsi="Arial" w:cs="Arial"/>
          <w:szCs w:val="24"/>
        </w:rPr>
        <w:t>, Mr Charlie Welch and Ms Catherine Arundel. No writing assistance has been provided for this manuscript.</w:t>
      </w:r>
    </w:p>
    <w:p w14:paraId="56B5FC60" w14:textId="77777777" w:rsidR="003800AE" w:rsidRDefault="003800AE" w:rsidP="00E26B1E">
      <w:pPr>
        <w:rPr>
          <w:rFonts w:ascii="Arial" w:hAnsi="Arial" w:cs="Arial"/>
          <w:szCs w:val="24"/>
        </w:rPr>
      </w:pPr>
    </w:p>
    <w:p w14:paraId="3FDBA47F" w14:textId="77777777" w:rsidR="00CF36AB" w:rsidRDefault="00CF36AB">
      <w:pPr>
        <w:spacing w:line="259" w:lineRule="auto"/>
        <w:rPr>
          <w:rFonts w:ascii="Arial" w:hAnsi="Arial" w:cs="Arial"/>
          <w:szCs w:val="24"/>
          <w:u w:val="single"/>
        </w:rPr>
      </w:pPr>
      <w:r>
        <w:rPr>
          <w:rFonts w:ascii="Arial" w:hAnsi="Arial" w:cs="Arial"/>
          <w:szCs w:val="24"/>
          <w:u w:val="single"/>
        </w:rPr>
        <w:br w:type="page"/>
      </w:r>
    </w:p>
    <w:p w14:paraId="679E3C31" w14:textId="2BBE5550" w:rsidR="00EC5B35" w:rsidRPr="00882ACB" w:rsidRDefault="00EC5B35" w:rsidP="00A432A3">
      <w:pPr>
        <w:rPr>
          <w:rFonts w:ascii="Arial" w:hAnsi="Arial" w:cs="Arial"/>
          <w:szCs w:val="24"/>
          <w:u w:val="single"/>
        </w:rPr>
      </w:pPr>
      <w:r w:rsidRPr="00882ACB">
        <w:rPr>
          <w:rFonts w:ascii="Arial" w:hAnsi="Arial" w:cs="Arial"/>
          <w:szCs w:val="24"/>
          <w:u w:val="single"/>
        </w:rPr>
        <w:lastRenderedPageBreak/>
        <w:t xml:space="preserve">References </w:t>
      </w:r>
    </w:p>
    <w:p w14:paraId="7F8AA1A5" w14:textId="0F0958C9" w:rsidR="00BD7D23" w:rsidRPr="00E26B1E" w:rsidRDefault="00BD7D23" w:rsidP="008F5DDD">
      <w:pPr>
        <w:pStyle w:val="EndNoteBibliography"/>
        <w:spacing w:after="0" w:line="480" w:lineRule="auto"/>
        <w:rPr>
          <w:rFonts w:ascii="Arial" w:hAnsi="Arial" w:cs="Arial"/>
        </w:rPr>
      </w:pPr>
      <w:r w:rsidRPr="00E26B1E">
        <w:rPr>
          <w:rFonts w:ascii="Arial" w:hAnsi="Arial" w:cs="Arial"/>
        </w:rPr>
        <w:t>1.</w:t>
      </w:r>
      <w:r w:rsidRPr="00E26B1E">
        <w:rPr>
          <w:rFonts w:ascii="Arial" w:hAnsi="Arial" w:cs="Arial"/>
        </w:rPr>
        <w:tab/>
        <w:t xml:space="preserve">Huang C and Ogawa R. Fibroproliferative disorders and their mechanobiology. </w:t>
      </w:r>
      <w:r w:rsidRPr="00E26B1E">
        <w:rPr>
          <w:rFonts w:ascii="Arial" w:hAnsi="Arial" w:cs="Arial"/>
          <w:i/>
        </w:rPr>
        <w:t>Connect Tissue Res</w:t>
      </w:r>
      <w:r w:rsidRPr="00E26B1E">
        <w:rPr>
          <w:rFonts w:ascii="Arial" w:hAnsi="Arial" w:cs="Arial"/>
        </w:rPr>
        <w:t xml:space="preserve"> 2012; 53: 187-196. DOI: </w:t>
      </w:r>
      <w:r w:rsidRPr="008F5DDD">
        <w:rPr>
          <w:rFonts w:ascii="Arial" w:hAnsi="Arial" w:cs="Arial"/>
        </w:rPr>
        <w:t>https://doi.org/10.3109/03008207.2011.642035</w:t>
      </w:r>
      <w:r w:rsidRPr="00E26B1E">
        <w:rPr>
          <w:rFonts w:ascii="Arial" w:hAnsi="Arial" w:cs="Arial"/>
        </w:rPr>
        <w:t>.</w:t>
      </w:r>
    </w:p>
    <w:p w14:paraId="5CBA22A7" w14:textId="5E443E40" w:rsidR="00BD7D23" w:rsidRPr="00E26B1E" w:rsidRDefault="00BD7D23" w:rsidP="008F5DDD">
      <w:pPr>
        <w:pStyle w:val="EndNoteBibliography"/>
        <w:spacing w:after="0" w:line="480" w:lineRule="auto"/>
        <w:rPr>
          <w:rFonts w:ascii="Arial" w:hAnsi="Arial" w:cs="Arial"/>
        </w:rPr>
      </w:pPr>
      <w:r w:rsidRPr="00E26B1E">
        <w:rPr>
          <w:rFonts w:ascii="Arial" w:hAnsi="Arial" w:cs="Arial"/>
        </w:rPr>
        <w:t>2.</w:t>
      </w:r>
      <w:r w:rsidRPr="00E26B1E">
        <w:rPr>
          <w:rFonts w:ascii="Arial" w:hAnsi="Arial" w:cs="Arial"/>
        </w:rPr>
        <w:tab/>
        <w:t xml:space="preserve">Townley WA, Baker R., Sheppard N., et al. Dupuytren's contracture unfolded. </w:t>
      </w:r>
      <w:r w:rsidRPr="00E26B1E">
        <w:rPr>
          <w:rFonts w:ascii="Arial" w:hAnsi="Arial" w:cs="Arial"/>
          <w:i/>
        </w:rPr>
        <w:t>BMJ</w:t>
      </w:r>
      <w:r w:rsidRPr="00E26B1E">
        <w:rPr>
          <w:rFonts w:ascii="Arial" w:hAnsi="Arial" w:cs="Arial"/>
        </w:rPr>
        <w:t xml:space="preserve"> 2003; 332: 397-400. DOI: </w:t>
      </w:r>
      <w:r w:rsidRPr="008F5DDD">
        <w:rPr>
          <w:rFonts w:ascii="Arial" w:hAnsi="Arial" w:cs="Arial"/>
        </w:rPr>
        <w:t>https://doi.org/10.1136/bmj.332.7538.397</w:t>
      </w:r>
      <w:r w:rsidRPr="00E26B1E">
        <w:rPr>
          <w:rFonts w:ascii="Arial" w:hAnsi="Arial" w:cs="Arial"/>
        </w:rPr>
        <w:t>.</w:t>
      </w:r>
    </w:p>
    <w:p w14:paraId="3215F439" w14:textId="59713B8E" w:rsidR="00BD7D23" w:rsidRPr="00E26B1E" w:rsidRDefault="00BD7D23" w:rsidP="008F5DDD">
      <w:pPr>
        <w:pStyle w:val="EndNoteBibliography"/>
        <w:spacing w:after="0" w:line="480" w:lineRule="auto"/>
        <w:rPr>
          <w:rFonts w:ascii="Arial" w:hAnsi="Arial" w:cs="Arial"/>
        </w:rPr>
      </w:pPr>
      <w:r w:rsidRPr="00E26B1E">
        <w:rPr>
          <w:rFonts w:ascii="Arial" w:hAnsi="Arial" w:cs="Arial"/>
        </w:rPr>
        <w:t>3.</w:t>
      </w:r>
      <w:r w:rsidRPr="00E26B1E">
        <w:rPr>
          <w:rFonts w:ascii="Arial" w:hAnsi="Arial" w:cs="Arial"/>
        </w:rPr>
        <w:tab/>
        <w:t xml:space="preserve">NHS. Dupuytren's contracture, </w:t>
      </w:r>
      <w:r w:rsidRPr="008F5DDD">
        <w:rPr>
          <w:rFonts w:ascii="Arial" w:hAnsi="Arial" w:cs="Arial"/>
        </w:rPr>
        <w:t>https://www.nhs.uk/conditions/dupuytrens-contracture/</w:t>
      </w:r>
      <w:r w:rsidRPr="00E26B1E">
        <w:rPr>
          <w:rFonts w:ascii="Arial" w:hAnsi="Arial" w:cs="Arial"/>
        </w:rPr>
        <w:t xml:space="preserve"> (2021, accessed 27/04/2023 2023).</w:t>
      </w:r>
    </w:p>
    <w:p w14:paraId="3974009A" w14:textId="4509C7E4" w:rsidR="00BD7D23" w:rsidRPr="00E26B1E" w:rsidRDefault="00BD7D23" w:rsidP="008F5DDD">
      <w:pPr>
        <w:pStyle w:val="EndNoteBibliography"/>
        <w:spacing w:after="0" w:line="480" w:lineRule="auto"/>
        <w:rPr>
          <w:rFonts w:ascii="Arial" w:hAnsi="Arial" w:cs="Arial"/>
        </w:rPr>
      </w:pPr>
      <w:r w:rsidRPr="00E26B1E">
        <w:rPr>
          <w:rFonts w:ascii="Arial" w:hAnsi="Arial" w:cs="Arial"/>
        </w:rPr>
        <w:t>4.</w:t>
      </w:r>
      <w:r w:rsidRPr="00E26B1E">
        <w:rPr>
          <w:rFonts w:ascii="Arial" w:hAnsi="Arial" w:cs="Arial"/>
        </w:rPr>
        <w:tab/>
        <w:t xml:space="preserve">Gudmundsson KG, Arngrı́msson R, Sigfússon N, et al. Epidemiology of Dupuytren's disease: Clinical, serological, and social assessment. The Reykjavik Study. </w:t>
      </w:r>
      <w:r w:rsidRPr="00E26B1E">
        <w:rPr>
          <w:rFonts w:ascii="Arial" w:hAnsi="Arial" w:cs="Arial"/>
          <w:i/>
        </w:rPr>
        <w:t>Journal of Clinical Epidemiology</w:t>
      </w:r>
      <w:r w:rsidRPr="00E26B1E">
        <w:rPr>
          <w:rFonts w:ascii="Arial" w:hAnsi="Arial" w:cs="Arial"/>
        </w:rPr>
        <w:t xml:space="preserve"> 2000; 53: 291-296. DOI: </w:t>
      </w:r>
      <w:r w:rsidRPr="008F5DDD">
        <w:rPr>
          <w:rFonts w:ascii="Arial" w:hAnsi="Arial" w:cs="Arial"/>
        </w:rPr>
        <w:t>https://doi.org/10.1016/S0895-4356(99)00145-6</w:t>
      </w:r>
      <w:r w:rsidRPr="00E26B1E">
        <w:rPr>
          <w:rFonts w:ascii="Arial" w:hAnsi="Arial" w:cs="Arial"/>
        </w:rPr>
        <w:t>.</w:t>
      </w:r>
    </w:p>
    <w:p w14:paraId="494800B2" w14:textId="0C06DF45" w:rsidR="00BD7D23" w:rsidRPr="00E26B1E" w:rsidRDefault="00BD7D23" w:rsidP="008F5DDD">
      <w:pPr>
        <w:pStyle w:val="EndNoteBibliography"/>
        <w:spacing w:after="0" w:line="480" w:lineRule="auto"/>
        <w:rPr>
          <w:rFonts w:ascii="Arial" w:hAnsi="Arial" w:cs="Arial"/>
        </w:rPr>
      </w:pPr>
      <w:r w:rsidRPr="00E26B1E">
        <w:rPr>
          <w:rFonts w:ascii="Arial" w:hAnsi="Arial" w:cs="Arial"/>
        </w:rPr>
        <w:t>5.</w:t>
      </w:r>
      <w:r w:rsidRPr="00E26B1E">
        <w:rPr>
          <w:rFonts w:ascii="Arial" w:hAnsi="Arial" w:cs="Arial"/>
        </w:rPr>
        <w:tab/>
        <w:t xml:space="preserve">Dahlin L, Bainbridge C, Leclercq C, et al. Dupuytren's disease presentation, referral pathways and resource utilisation in Europe: regional analysis of a surgeon survey and patient chart review. </w:t>
      </w:r>
      <w:r w:rsidRPr="00E26B1E">
        <w:rPr>
          <w:rFonts w:ascii="Arial" w:hAnsi="Arial" w:cs="Arial"/>
          <w:i/>
        </w:rPr>
        <w:t>International journal of clinical practice</w:t>
      </w:r>
      <w:r w:rsidRPr="00E26B1E">
        <w:rPr>
          <w:rFonts w:ascii="Arial" w:hAnsi="Arial" w:cs="Arial"/>
        </w:rPr>
        <w:t xml:space="preserve"> 2013; 67: 261-270. DOI: </w:t>
      </w:r>
      <w:r w:rsidRPr="008F5DDD">
        <w:rPr>
          <w:rFonts w:ascii="Arial" w:hAnsi="Arial" w:cs="Arial"/>
        </w:rPr>
        <w:t>https://doi.org/10.1111/ijcp.12099</w:t>
      </w:r>
      <w:r w:rsidRPr="00E26B1E">
        <w:rPr>
          <w:rFonts w:ascii="Arial" w:hAnsi="Arial" w:cs="Arial"/>
        </w:rPr>
        <w:t>.</w:t>
      </w:r>
    </w:p>
    <w:p w14:paraId="6FF56C2E" w14:textId="55642410" w:rsidR="00BD7D23" w:rsidRPr="00E26B1E" w:rsidRDefault="00BD7D23" w:rsidP="008F5DDD">
      <w:pPr>
        <w:pStyle w:val="EndNoteBibliography"/>
        <w:spacing w:after="0" w:line="480" w:lineRule="auto"/>
        <w:rPr>
          <w:rFonts w:ascii="Arial" w:hAnsi="Arial" w:cs="Arial"/>
        </w:rPr>
      </w:pPr>
      <w:r w:rsidRPr="00E26B1E">
        <w:rPr>
          <w:rFonts w:ascii="Arial" w:hAnsi="Arial" w:cs="Arial"/>
        </w:rPr>
        <w:t>6.</w:t>
      </w:r>
      <w:r w:rsidRPr="00E26B1E">
        <w:rPr>
          <w:rFonts w:ascii="Arial" w:hAnsi="Arial" w:cs="Arial"/>
        </w:rPr>
        <w:tab/>
        <w:t xml:space="preserve">Dias J, Bainbridge C, Leclercq C, et al. Surgical management of Dupuytren's contracture in Europe: regional analysis of a surgeon survey and patient chart review. </w:t>
      </w:r>
      <w:r w:rsidRPr="00E26B1E">
        <w:rPr>
          <w:rFonts w:ascii="Arial" w:hAnsi="Arial" w:cs="Arial"/>
          <w:i/>
        </w:rPr>
        <w:t>International journal of clinical practice</w:t>
      </w:r>
      <w:r w:rsidRPr="00E26B1E">
        <w:rPr>
          <w:rFonts w:ascii="Arial" w:hAnsi="Arial" w:cs="Arial"/>
        </w:rPr>
        <w:t xml:space="preserve"> 2013; 67: 271-281. DOI: </w:t>
      </w:r>
      <w:r w:rsidRPr="008F5DDD">
        <w:rPr>
          <w:rFonts w:ascii="Arial" w:hAnsi="Arial" w:cs="Arial"/>
        </w:rPr>
        <w:t>https://doi.org/10.1111/ijcp.12106</w:t>
      </w:r>
      <w:r w:rsidRPr="00E26B1E">
        <w:rPr>
          <w:rFonts w:ascii="Arial" w:hAnsi="Arial" w:cs="Arial"/>
        </w:rPr>
        <w:t>.</w:t>
      </w:r>
    </w:p>
    <w:p w14:paraId="26F47C74" w14:textId="77777777" w:rsidR="00BD7D23" w:rsidRPr="00E26B1E" w:rsidRDefault="00BD7D23" w:rsidP="008F5DDD">
      <w:pPr>
        <w:pStyle w:val="EndNoteBibliography"/>
        <w:spacing w:after="0" w:line="480" w:lineRule="auto"/>
        <w:rPr>
          <w:rFonts w:ascii="Arial" w:hAnsi="Arial" w:cs="Arial"/>
        </w:rPr>
      </w:pPr>
      <w:r w:rsidRPr="00E26B1E">
        <w:rPr>
          <w:rFonts w:ascii="Arial" w:hAnsi="Arial" w:cs="Arial"/>
        </w:rPr>
        <w:t>7.</w:t>
      </w:r>
      <w:r w:rsidRPr="00E26B1E">
        <w:rPr>
          <w:rFonts w:ascii="Arial" w:hAnsi="Arial" w:cs="Arial"/>
        </w:rPr>
        <w:tab/>
        <w:t xml:space="preserve">Gordon AM., Nian PP, Miller C, et al. Comparison of Patient Demographics, Utilization Trends, and Costs of Treatment for Dupuytren’s Disease in the United States From 2012 to 2019. </w:t>
      </w:r>
      <w:r w:rsidRPr="00E26B1E">
        <w:rPr>
          <w:rFonts w:ascii="Arial" w:hAnsi="Arial" w:cs="Arial"/>
          <w:i/>
        </w:rPr>
        <w:t>Annals of Plastic Surgery</w:t>
      </w:r>
      <w:r w:rsidRPr="00E26B1E">
        <w:rPr>
          <w:rFonts w:ascii="Arial" w:hAnsi="Arial" w:cs="Arial"/>
        </w:rPr>
        <w:t xml:space="preserve"> 2023; 91: 547-552.</w:t>
      </w:r>
    </w:p>
    <w:p w14:paraId="4381B178" w14:textId="39D666D1" w:rsidR="00BD7D23" w:rsidRPr="00E26B1E" w:rsidRDefault="00BD7D23" w:rsidP="008F5DDD">
      <w:pPr>
        <w:pStyle w:val="EndNoteBibliography"/>
        <w:spacing w:after="0" w:line="480" w:lineRule="auto"/>
        <w:rPr>
          <w:rFonts w:ascii="Arial" w:hAnsi="Arial" w:cs="Arial"/>
        </w:rPr>
      </w:pPr>
      <w:r w:rsidRPr="00E26B1E">
        <w:rPr>
          <w:rFonts w:ascii="Arial" w:hAnsi="Arial" w:cs="Arial"/>
        </w:rPr>
        <w:t>8.</w:t>
      </w:r>
      <w:r w:rsidRPr="00E26B1E">
        <w:rPr>
          <w:rFonts w:ascii="Arial" w:hAnsi="Arial" w:cs="Arial"/>
        </w:rPr>
        <w:tab/>
        <w:t xml:space="preserve">Hurst L, Badalamente M, Hentz V, et al. Injectable collagenase clostridium histolyticum for Dupuytren's contracture. </w:t>
      </w:r>
      <w:r w:rsidRPr="00E26B1E">
        <w:rPr>
          <w:rFonts w:ascii="Arial" w:hAnsi="Arial" w:cs="Arial"/>
          <w:i/>
        </w:rPr>
        <w:t>New England Journal of Medicine</w:t>
      </w:r>
      <w:r w:rsidRPr="00E26B1E">
        <w:rPr>
          <w:rFonts w:ascii="Arial" w:hAnsi="Arial" w:cs="Arial"/>
        </w:rPr>
        <w:t xml:space="preserve"> 2009; 361: 968-979. DOI: </w:t>
      </w:r>
      <w:r w:rsidRPr="008F5DDD">
        <w:rPr>
          <w:rFonts w:ascii="Arial" w:hAnsi="Arial" w:cs="Arial"/>
        </w:rPr>
        <w:t>https://doi.org/10.1056/NEJMoa0810866</w:t>
      </w:r>
      <w:r w:rsidRPr="00E26B1E">
        <w:rPr>
          <w:rFonts w:ascii="Arial" w:hAnsi="Arial" w:cs="Arial"/>
        </w:rPr>
        <w:t>.</w:t>
      </w:r>
    </w:p>
    <w:p w14:paraId="2EC55BA3" w14:textId="77777777" w:rsidR="00BD7D23" w:rsidRPr="00E26B1E" w:rsidRDefault="00BD7D23" w:rsidP="008F5DDD">
      <w:pPr>
        <w:pStyle w:val="EndNoteBibliography"/>
        <w:spacing w:after="0" w:line="480" w:lineRule="auto"/>
        <w:rPr>
          <w:rFonts w:ascii="Arial" w:hAnsi="Arial" w:cs="Arial"/>
        </w:rPr>
      </w:pPr>
      <w:r w:rsidRPr="00E26B1E">
        <w:rPr>
          <w:rFonts w:ascii="Arial" w:hAnsi="Arial" w:cs="Arial"/>
        </w:rPr>
        <w:t>9.</w:t>
      </w:r>
      <w:r w:rsidRPr="00E26B1E">
        <w:rPr>
          <w:rFonts w:ascii="Arial" w:hAnsi="Arial" w:cs="Arial"/>
        </w:rPr>
        <w:tab/>
        <w:t xml:space="preserve">Peimer C, Blazar P, Coleman S, et al. Dupuytren contracture recurrence following treatment with collagenase clostridium histolyticum (CORDLESS study): 3-year data. </w:t>
      </w:r>
      <w:r w:rsidRPr="00E26B1E">
        <w:rPr>
          <w:rFonts w:ascii="Arial" w:hAnsi="Arial" w:cs="Arial"/>
          <w:i/>
        </w:rPr>
        <w:t>The Journal of hand surgery</w:t>
      </w:r>
      <w:r w:rsidRPr="00E26B1E">
        <w:rPr>
          <w:rFonts w:ascii="Arial" w:hAnsi="Arial" w:cs="Arial"/>
        </w:rPr>
        <w:t xml:space="preserve"> 2013; 38: 12-22.</w:t>
      </w:r>
    </w:p>
    <w:p w14:paraId="524728C2" w14:textId="77777777" w:rsidR="00BD7D23" w:rsidRPr="00E26B1E" w:rsidRDefault="00BD7D23" w:rsidP="008F5DDD">
      <w:pPr>
        <w:pStyle w:val="EndNoteBibliography"/>
        <w:spacing w:after="0" w:line="480" w:lineRule="auto"/>
        <w:rPr>
          <w:rFonts w:ascii="Arial" w:hAnsi="Arial" w:cs="Arial"/>
        </w:rPr>
      </w:pPr>
      <w:r w:rsidRPr="00E26B1E">
        <w:rPr>
          <w:rFonts w:ascii="Arial" w:hAnsi="Arial" w:cs="Arial"/>
        </w:rPr>
        <w:lastRenderedPageBreak/>
        <w:t>10.</w:t>
      </w:r>
      <w:r w:rsidRPr="00E26B1E">
        <w:rPr>
          <w:rFonts w:ascii="Arial" w:hAnsi="Arial" w:cs="Arial"/>
        </w:rPr>
        <w:tab/>
        <w:t xml:space="preserve">EMA. Xiapex: Summary of Product Characteristics. </w:t>
      </w:r>
      <w:r w:rsidRPr="00E26B1E">
        <w:rPr>
          <w:rFonts w:ascii="Arial" w:hAnsi="Arial" w:cs="Arial"/>
          <w:i/>
        </w:rPr>
        <w:t>London: European Medicines Agency</w:t>
      </w:r>
      <w:r w:rsidRPr="00E26B1E">
        <w:rPr>
          <w:rFonts w:ascii="Arial" w:hAnsi="Arial" w:cs="Arial"/>
        </w:rPr>
        <w:t xml:space="preserve"> 2011: 1-34.</w:t>
      </w:r>
    </w:p>
    <w:p w14:paraId="17A33221" w14:textId="0CFC91F8" w:rsidR="00BD7D23" w:rsidRPr="00E26B1E" w:rsidRDefault="00BD7D23" w:rsidP="008F5DDD">
      <w:pPr>
        <w:pStyle w:val="EndNoteBibliography"/>
        <w:spacing w:after="0" w:line="480" w:lineRule="auto"/>
        <w:rPr>
          <w:rFonts w:ascii="Arial" w:hAnsi="Arial" w:cs="Arial"/>
        </w:rPr>
      </w:pPr>
      <w:r w:rsidRPr="00E26B1E">
        <w:rPr>
          <w:rFonts w:ascii="Arial" w:hAnsi="Arial" w:cs="Arial"/>
        </w:rPr>
        <w:t>11.</w:t>
      </w:r>
      <w:r w:rsidRPr="00E26B1E">
        <w:rPr>
          <w:rFonts w:ascii="Arial" w:hAnsi="Arial" w:cs="Arial"/>
        </w:rPr>
        <w:tab/>
        <w:t xml:space="preserve">Porter M, Larson S and Lee T. Standardizing patient outcomes measurement. </w:t>
      </w:r>
      <w:r w:rsidRPr="00E26B1E">
        <w:rPr>
          <w:rFonts w:ascii="Arial" w:hAnsi="Arial" w:cs="Arial"/>
          <w:i/>
        </w:rPr>
        <w:t>New England Journal of Medicine</w:t>
      </w:r>
      <w:r w:rsidRPr="00E26B1E">
        <w:rPr>
          <w:rFonts w:ascii="Arial" w:hAnsi="Arial" w:cs="Arial"/>
        </w:rPr>
        <w:t xml:space="preserve"> 2016; 374: 504-506. DOI: </w:t>
      </w:r>
      <w:r w:rsidRPr="008F5DDD">
        <w:rPr>
          <w:rFonts w:ascii="Arial" w:hAnsi="Arial" w:cs="Arial"/>
        </w:rPr>
        <w:t>https://doi.org/10.1056/NEJMp1511701</w:t>
      </w:r>
      <w:r w:rsidRPr="00E26B1E">
        <w:rPr>
          <w:rFonts w:ascii="Arial" w:hAnsi="Arial" w:cs="Arial"/>
        </w:rPr>
        <w:t>.</w:t>
      </w:r>
    </w:p>
    <w:p w14:paraId="6BD28EA0" w14:textId="49C6E5CC" w:rsidR="00BD7D23" w:rsidRPr="00E26B1E" w:rsidRDefault="00BD7D23" w:rsidP="008F5DDD">
      <w:pPr>
        <w:pStyle w:val="EndNoteBibliography"/>
        <w:spacing w:after="0" w:line="480" w:lineRule="auto"/>
        <w:rPr>
          <w:rFonts w:ascii="Arial" w:hAnsi="Arial" w:cs="Arial"/>
        </w:rPr>
      </w:pPr>
      <w:r w:rsidRPr="00E26B1E">
        <w:rPr>
          <w:rFonts w:ascii="Arial" w:hAnsi="Arial" w:cs="Arial"/>
        </w:rPr>
        <w:t>12.</w:t>
      </w:r>
      <w:r w:rsidRPr="00E26B1E">
        <w:rPr>
          <w:rFonts w:ascii="Arial" w:hAnsi="Arial" w:cs="Arial"/>
        </w:rPr>
        <w:tab/>
        <w:t xml:space="preserve">Krefter C., Marks M., Hensler S., et al. Complications after treating Dupuytren's disease. A systematic literature review. </w:t>
      </w:r>
      <w:r w:rsidRPr="00E26B1E">
        <w:rPr>
          <w:rFonts w:ascii="Arial" w:hAnsi="Arial" w:cs="Arial"/>
          <w:i/>
        </w:rPr>
        <w:t>Hand Surgery and Rehabilitation</w:t>
      </w:r>
      <w:r w:rsidRPr="00E26B1E">
        <w:rPr>
          <w:rFonts w:ascii="Arial" w:hAnsi="Arial" w:cs="Arial"/>
        </w:rPr>
        <w:t xml:space="preserve"> 2017; 36: 322-329. DOI: </w:t>
      </w:r>
      <w:r w:rsidRPr="008F5DDD">
        <w:rPr>
          <w:rFonts w:ascii="Arial" w:hAnsi="Arial" w:cs="Arial"/>
        </w:rPr>
        <w:t>https://doi.org/10.1016/j.hansur.2017.07.002</w:t>
      </w:r>
      <w:r w:rsidRPr="00E26B1E">
        <w:rPr>
          <w:rFonts w:ascii="Arial" w:hAnsi="Arial" w:cs="Arial"/>
        </w:rPr>
        <w:t>.</w:t>
      </w:r>
    </w:p>
    <w:p w14:paraId="6E55FED6" w14:textId="117CA131" w:rsidR="00BD7D23" w:rsidRPr="00E26B1E" w:rsidRDefault="00BD7D23" w:rsidP="008F5DDD">
      <w:pPr>
        <w:pStyle w:val="EndNoteBibliography"/>
        <w:spacing w:after="0" w:line="480" w:lineRule="auto"/>
        <w:rPr>
          <w:rFonts w:ascii="Arial" w:hAnsi="Arial" w:cs="Arial"/>
        </w:rPr>
      </w:pPr>
      <w:r w:rsidRPr="00E26B1E">
        <w:rPr>
          <w:rFonts w:ascii="Arial" w:hAnsi="Arial" w:cs="Arial"/>
        </w:rPr>
        <w:t>13.</w:t>
      </w:r>
      <w:r w:rsidRPr="00E26B1E">
        <w:rPr>
          <w:rFonts w:ascii="Arial" w:hAnsi="Arial" w:cs="Arial"/>
        </w:rPr>
        <w:tab/>
        <w:t xml:space="preserve">National iNstitute for Health and Care Research. DISC: Dupuytren's Interventions Surgery vs. Collagenase. A pragmatic multi-centre randomised controlled non-inferiority, cost effectiveness trial comparing injections of collagenase into the cord to surgical correction in the treatment of moderate Dupuytren's contracture in adult patients, </w:t>
      </w:r>
      <w:r w:rsidRPr="008F5DDD">
        <w:rPr>
          <w:rFonts w:ascii="Arial" w:hAnsi="Arial" w:cs="Arial"/>
        </w:rPr>
        <w:t>https://fundingawards.nihr.ac.uk/award/15/102/04</w:t>
      </w:r>
      <w:r w:rsidRPr="00E26B1E">
        <w:rPr>
          <w:rFonts w:ascii="Arial" w:hAnsi="Arial" w:cs="Arial"/>
        </w:rPr>
        <w:t xml:space="preserve"> (2023, accessed 04.10.2023 2023).</w:t>
      </w:r>
    </w:p>
    <w:p w14:paraId="49B680F5" w14:textId="75922EFC" w:rsidR="00BD7D23" w:rsidRPr="00E26B1E" w:rsidRDefault="00BD7D23" w:rsidP="008F5DDD">
      <w:pPr>
        <w:pStyle w:val="EndNoteBibliography"/>
        <w:spacing w:after="0" w:line="480" w:lineRule="auto"/>
        <w:rPr>
          <w:rFonts w:ascii="Arial" w:hAnsi="Arial" w:cs="Arial"/>
        </w:rPr>
      </w:pPr>
      <w:r w:rsidRPr="00E26B1E">
        <w:rPr>
          <w:rFonts w:ascii="Arial" w:hAnsi="Arial" w:cs="Arial"/>
        </w:rPr>
        <w:t>14.</w:t>
      </w:r>
      <w:r w:rsidRPr="00E26B1E">
        <w:rPr>
          <w:rFonts w:ascii="Arial" w:hAnsi="Arial" w:cs="Arial"/>
        </w:rPr>
        <w:tab/>
        <w:t xml:space="preserve">Dias J, Bhowal B, Wildin C, et al. Assessing the outcome of disorders of the hand. </w:t>
      </w:r>
      <w:r w:rsidRPr="00E26B1E">
        <w:rPr>
          <w:rFonts w:ascii="Arial" w:hAnsi="Arial" w:cs="Arial"/>
          <w:i/>
        </w:rPr>
        <w:t>Bone and Joint Journal</w:t>
      </w:r>
      <w:r w:rsidRPr="00E26B1E">
        <w:rPr>
          <w:rFonts w:ascii="Arial" w:hAnsi="Arial" w:cs="Arial"/>
        </w:rPr>
        <w:t xml:space="preserve"> 2001; 83: 235-240. DOI: </w:t>
      </w:r>
      <w:r w:rsidRPr="008F5DDD">
        <w:rPr>
          <w:rFonts w:ascii="Arial" w:hAnsi="Arial" w:cs="Arial"/>
        </w:rPr>
        <w:t>https://doi.org/10.1302/0301-620x.83b2.10838</w:t>
      </w:r>
      <w:r w:rsidRPr="00E26B1E">
        <w:rPr>
          <w:rFonts w:ascii="Arial" w:hAnsi="Arial" w:cs="Arial"/>
        </w:rPr>
        <w:t>.</w:t>
      </w:r>
    </w:p>
    <w:p w14:paraId="461D517B" w14:textId="5A149865" w:rsidR="00BD7D23" w:rsidRPr="00E26B1E" w:rsidRDefault="00BD7D23" w:rsidP="008F5DDD">
      <w:pPr>
        <w:pStyle w:val="EndNoteBibliography"/>
        <w:spacing w:after="0" w:line="480" w:lineRule="auto"/>
        <w:rPr>
          <w:rFonts w:ascii="Arial" w:hAnsi="Arial" w:cs="Arial"/>
        </w:rPr>
      </w:pPr>
      <w:r w:rsidRPr="00E26B1E">
        <w:rPr>
          <w:rFonts w:ascii="Arial" w:hAnsi="Arial" w:cs="Arial"/>
        </w:rPr>
        <w:t>15.</w:t>
      </w:r>
      <w:r w:rsidRPr="00E26B1E">
        <w:rPr>
          <w:rFonts w:ascii="Arial" w:hAnsi="Arial" w:cs="Arial"/>
        </w:rPr>
        <w:tab/>
        <w:t xml:space="preserve">Beaudreuil J, Allard A, Zerkak D, et al. Unité Rhumatologique des Affections de la Main (URAM) scale: Development and validation of a tool to assess Dupuytren's disease–specific disability. </w:t>
      </w:r>
      <w:r w:rsidRPr="00E26B1E">
        <w:rPr>
          <w:rFonts w:ascii="Arial" w:hAnsi="Arial" w:cs="Arial"/>
          <w:i/>
        </w:rPr>
        <w:t>Arthritis Care and Research</w:t>
      </w:r>
      <w:r w:rsidRPr="00E26B1E">
        <w:rPr>
          <w:rFonts w:ascii="Arial" w:hAnsi="Arial" w:cs="Arial"/>
        </w:rPr>
        <w:t xml:space="preserve"> 2011; 63: 1448-1455. DOI: </w:t>
      </w:r>
      <w:r w:rsidRPr="008F5DDD">
        <w:rPr>
          <w:rFonts w:ascii="Arial" w:hAnsi="Arial" w:cs="Arial"/>
        </w:rPr>
        <w:t>https://doi.org/10.1002/acr.20564</w:t>
      </w:r>
      <w:r w:rsidRPr="00E26B1E">
        <w:rPr>
          <w:rFonts w:ascii="Arial" w:hAnsi="Arial" w:cs="Arial"/>
        </w:rPr>
        <w:t>.</w:t>
      </w:r>
    </w:p>
    <w:p w14:paraId="389E42C5" w14:textId="248A8595" w:rsidR="00BD7D23" w:rsidRPr="00E26B1E" w:rsidRDefault="00BD7D23" w:rsidP="008F5DDD">
      <w:pPr>
        <w:pStyle w:val="EndNoteBibliography"/>
        <w:spacing w:after="0" w:line="480" w:lineRule="auto"/>
        <w:rPr>
          <w:rFonts w:ascii="Arial" w:hAnsi="Arial" w:cs="Arial"/>
        </w:rPr>
      </w:pPr>
      <w:r w:rsidRPr="00E26B1E">
        <w:rPr>
          <w:rFonts w:ascii="Arial" w:hAnsi="Arial" w:cs="Arial"/>
        </w:rPr>
        <w:t>16.</w:t>
      </w:r>
      <w:r w:rsidRPr="00E26B1E">
        <w:rPr>
          <w:rFonts w:ascii="Arial" w:hAnsi="Arial" w:cs="Arial"/>
        </w:rPr>
        <w:tab/>
        <w:t xml:space="preserve">Chung K, Pilsbury M, Walters M, et al. Reliability and validity testing of the Michigan Hand Outcomes Questionnaire. . </w:t>
      </w:r>
      <w:r w:rsidRPr="00E26B1E">
        <w:rPr>
          <w:rFonts w:ascii="Arial" w:hAnsi="Arial" w:cs="Arial"/>
          <w:i/>
        </w:rPr>
        <w:t>The Journal of Hand Surgery: American Volume</w:t>
      </w:r>
      <w:r w:rsidRPr="00E26B1E">
        <w:rPr>
          <w:rFonts w:ascii="Arial" w:hAnsi="Arial" w:cs="Arial"/>
        </w:rPr>
        <w:t xml:space="preserve"> 1998; 23: 575-587. DOI: </w:t>
      </w:r>
      <w:r w:rsidRPr="008F5DDD">
        <w:rPr>
          <w:rFonts w:ascii="Arial" w:hAnsi="Arial" w:cs="Arial"/>
        </w:rPr>
        <w:t>https://doi.org/10.1016/S0363-5023(98)80042-7</w:t>
      </w:r>
      <w:r w:rsidRPr="00E26B1E">
        <w:rPr>
          <w:rFonts w:ascii="Arial" w:hAnsi="Arial" w:cs="Arial"/>
        </w:rPr>
        <w:t>.</w:t>
      </w:r>
    </w:p>
    <w:p w14:paraId="1CC6E4A7" w14:textId="4F9E30E7" w:rsidR="00BD7D23" w:rsidRPr="00E26B1E" w:rsidRDefault="00BD7D23" w:rsidP="008F5DDD">
      <w:pPr>
        <w:pStyle w:val="EndNoteBibliography"/>
        <w:spacing w:after="0" w:line="480" w:lineRule="auto"/>
        <w:rPr>
          <w:rFonts w:ascii="Arial" w:hAnsi="Arial" w:cs="Arial"/>
        </w:rPr>
      </w:pPr>
      <w:r w:rsidRPr="00E26B1E">
        <w:rPr>
          <w:rFonts w:ascii="Arial" w:hAnsi="Arial" w:cs="Arial"/>
        </w:rPr>
        <w:t>17.</w:t>
      </w:r>
      <w:r w:rsidRPr="00E26B1E">
        <w:rPr>
          <w:rFonts w:ascii="Arial" w:hAnsi="Arial" w:cs="Arial"/>
        </w:rPr>
        <w:tab/>
        <w:t xml:space="preserve">Chung K, Hamill J, Walters M, et al. The Michigan Hand Outcomes Questionnaire (MHQ): assessment of responsiveness to clinical change. . </w:t>
      </w:r>
      <w:r w:rsidRPr="00E26B1E">
        <w:rPr>
          <w:rFonts w:ascii="Arial" w:hAnsi="Arial" w:cs="Arial"/>
          <w:i/>
        </w:rPr>
        <w:t>Annals of Plastic Surgery</w:t>
      </w:r>
      <w:r w:rsidRPr="00E26B1E">
        <w:rPr>
          <w:rFonts w:ascii="Arial" w:hAnsi="Arial" w:cs="Arial"/>
        </w:rPr>
        <w:t xml:space="preserve"> 1999; 42: 619-622. DOI: </w:t>
      </w:r>
      <w:r w:rsidRPr="008F5DDD">
        <w:rPr>
          <w:rFonts w:ascii="Arial" w:hAnsi="Arial" w:cs="Arial"/>
        </w:rPr>
        <w:t>https://doi.org/10.1097/PRS.0b013e3182865d83</w:t>
      </w:r>
      <w:r w:rsidRPr="00E26B1E">
        <w:rPr>
          <w:rFonts w:ascii="Arial" w:hAnsi="Arial" w:cs="Arial"/>
        </w:rPr>
        <w:t>.</w:t>
      </w:r>
    </w:p>
    <w:p w14:paraId="7B2230DD" w14:textId="5E488613" w:rsidR="00BD7D23" w:rsidRPr="00E26B1E" w:rsidRDefault="00BD7D23" w:rsidP="008F5DDD">
      <w:pPr>
        <w:pStyle w:val="EndNoteBibliography"/>
        <w:spacing w:after="0" w:line="480" w:lineRule="auto"/>
        <w:rPr>
          <w:rFonts w:ascii="Arial" w:hAnsi="Arial" w:cs="Arial"/>
        </w:rPr>
      </w:pPr>
      <w:r w:rsidRPr="00E26B1E">
        <w:rPr>
          <w:rFonts w:ascii="Arial" w:hAnsi="Arial" w:cs="Arial"/>
        </w:rPr>
        <w:t>18.</w:t>
      </w:r>
      <w:r w:rsidRPr="00E26B1E">
        <w:rPr>
          <w:rFonts w:ascii="Arial" w:hAnsi="Arial" w:cs="Arial"/>
        </w:rPr>
        <w:tab/>
        <w:t xml:space="preserve">Knowlson C, Tharmanathan P, Arundel C, et al. Can learnings from the COVID-19 pandemic improve trial conduct post-pandemic? A case study of strategies used by the DISC trial. </w:t>
      </w:r>
      <w:r w:rsidRPr="00E26B1E">
        <w:rPr>
          <w:rFonts w:ascii="Arial" w:hAnsi="Arial" w:cs="Arial"/>
          <w:i/>
        </w:rPr>
        <w:t>Research Methods in Medicine &amp; Health Sciences</w:t>
      </w:r>
      <w:r w:rsidRPr="00E26B1E">
        <w:rPr>
          <w:rFonts w:ascii="Arial" w:hAnsi="Arial" w:cs="Arial"/>
        </w:rPr>
        <w:t xml:space="preserve"> 2022: 26320843221128296. DOI: </w:t>
      </w:r>
      <w:r w:rsidRPr="008F5DDD">
        <w:rPr>
          <w:rFonts w:ascii="Arial" w:hAnsi="Arial" w:cs="Arial"/>
        </w:rPr>
        <w:t>https://doi.org/10.1177/26320843221128296</w:t>
      </w:r>
      <w:r w:rsidRPr="00E26B1E">
        <w:rPr>
          <w:rFonts w:ascii="Arial" w:hAnsi="Arial" w:cs="Arial"/>
        </w:rPr>
        <w:t>.</w:t>
      </w:r>
    </w:p>
    <w:p w14:paraId="0E430718" w14:textId="77777777" w:rsidR="00BD7D23" w:rsidRPr="00E26B1E" w:rsidRDefault="00BD7D23" w:rsidP="008F5DDD">
      <w:pPr>
        <w:pStyle w:val="EndNoteBibliography"/>
        <w:spacing w:after="0" w:line="480" w:lineRule="auto"/>
        <w:rPr>
          <w:rFonts w:ascii="Arial" w:hAnsi="Arial" w:cs="Arial"/>
        </w:rPr>
      </w:pPr>
      <w:r w:rsidRPr="00E26B1E">
        <w:rPr>
          <w:rFonts w:ascii="Arial" w:hAnsi="Arial" w:cs="Arial"/>
        </w:rPr>
        <w:lastRenderedPageBreak/>
        <w:t>19.</w:t>
      </w:r>
      <w:r w:rsidRPr="00E26B1E">
        <w:rPr>
          <w:rFonts w:ascii="Arial" w:hAnsi="Arial" w:cs="Arial"/>
        </w:rPr>
        <w:tab/>
        <w:t xml:space="preserve">Dias JJ. Patient-Rated Outcome Measures and Dupuytren Contracture. In: Werker PMN., Dias JJ., Eaton C., et al. (eds) </w:t>
      </w:r>
      <w:r w:rsidRPr="00E26B1E">
        <w:rPr>
          <w:rFonts w:ascii="Arial" w:hAnsi="Arial" w:cs="Arial"/>
          <w:i/>
        </w:rPr>
        <w:t>Dupuytren Disease and Related Diseases- The Cutting Edge</w:t>
      </w:r>
      <w:r w:rsidRPr="00E26B1E">
        <w:rPr>
          <w:rFonts w:ascii="Arial" w:hAnsi="Arial" w:cs="Arial"/>
        </w:rPr>
        <w:t>. Switzerland: Springer, 2016.</w:t>
      </w:r>
    </w:p>
    <w:p w14:paraId="11CBD950" w14:textId="0E55ED87" w:rsidR="00BD7D23" w:rsidRPr="00E26B1E" w:rsidRDefault="00BD7D23" w:rsidP="008F5DDD">
      <w:pPr>
        <w:pStyle w:val="EndNoteBibliography"/>
        <w:spacing w:after="0" w:line="480" w:lineRule="auto"/>
        <w:rPr>
          <w:rFonts w:ascii="Arial" w:hAnsi="Arial" w:cs="Arial"/>
        </w:rPr>
      </w:pPr>
      <w:r w:rsidRPr="00E26B1E">
        <w:rPr>
          <w:rFonts w:ascii="Arial" w:hAnsi="Arial" w:cs="Arial"/>
        </w:rPr>
        <w:t>20.</w:t>
      </w:r>
      <w:r w:rsidRPr="00E26B1E">
        <w:rPr>
          <w:rFonts w:ascii="Arial" w:hAnsi="Arial" w:cs="Arial"/>
        </w:rPr>
        <w:tab/>
        <w:t xml:space="preserve">ISRCTN. Dupuytren's interventions surgery vs collagenase, </w:t>
      </w:r>
      <w:r w:rsidRPr="008F5DDD">
        <w:rPr>
          <w:rFonts w:ascii="Arial" w:hAnsi="Arial" w:cs="Arial"/>
        </w:rPr>
        <w:t>https://www.isrctn.com/ISRCTN18254597?q=DUPUYTREN%27S&amp;filters=&amp;sort=&amp;offset=4&amp;totalResults=13&amp;page=1&amp;pageSize=10</w:t>
      </w:r>
      <w:r w:rsidRPr="00E26B1E">
        <w:rPr>
          <w:rFonts w:ascii="Arial" w:hAnsi="Arial" w:cs="Arial"/>
        </w:rPr>
        <w:t xml:space="preserve"> (2023, accessed 04.10.2023 2023).</w:t>
      </w:r>
    </w:p>
    <w:p w14:paraId="75BB800A" w14:textId="38295C9A" w:rsidR="00BD7D23" w:rsidRPr="00E26B1E" w:rsidRDefault="00BD7D23" w:rsidP="008F5DDD">
      <w:pPr>
        <w:pStyle w:val="EndNoteBibliography"/>
        <w:spacing w:after="0" w:line="480" w:lineRule="auto"/>
        <w:rPr>
          <w:rFonts w:ascii="Arial" w:hAnsi="Arial" w:cs="Arial"/>
        </w:rPr>
      </w:pPr>
      <w:r w:rsidRPr="00E26B1E">
        <w:rPr>
          <w:rFonts w:ascii="Arial" w:hAnsi="Arial" w:cs="Arial"/>
        </w:rPr>
        <w:t>21.</w:t>
      </w:r>
      <w:r w:rsidRPr="00E26B1E">
        <w:rPr>
          <w:rFonts w:ascii="Arial" w:hAnsi="Arial" w:cs="Arial"/>
        </w:rPr>
        <w:tab/>
        <w:t xml:space="preserve">Schulz K, Altman D, Moher D, et al. CONSORT 2010 Statement: updated guidelines for reporting parallel group randomised trials. </w:t>
      </w:r>
      <w:r w:rsidRPr="00E26B1E">
        <w:rPr>
          <w:rFonts w:ascii="Arial" w:hAnsi="Arial" w:cs="Arial"/>
          <w:i/>
        </w:rPr>
        <w:t>Trials</w:t>
      </w:r>
      <w:r w:rsidRPr="00E26B1E">
        <w:rPr>
          <w:rFonts w:ascii="Arial" w:hAnsi="Arial" w:cs="Arial"/>
        </w:rPr>
        <w:t xml:space="preserve"> 2010; 11. DOI: </w:t>
      </w:r>
      <w:r w:rsidRPr="008F5DDD">
        <w:rPr>
          <w:rFonts w:ascii="Arial" w:hAnsi="Arial" w:cs="Arial"/>
        </w:rPr>
        <w:t>https://doi.org/10.1186/1745-6215-11-32</w:t>
      </w:r>
      <w:r w:rsidRPr="00E26B1E">
        <w:rPr>
          <w:rFonts w:ascii="Arial" w:hAnsi="Arial" w:cs="Arial"/>
        </w:rPr>
        <w:t>.</w:t>
      </w:r>
    </w:p>
    <w:p w14:paraId="0048E5AE" w14:textId="44FA1B40" w:rsidR="00BD7D23" w:rsidRPr="00E26B1E" w:rsidRDefault="00BD7D23" w:rsidP="008F5DDD">
      <w:pPr>
        <w:pStyle w:val="EndNoteBibliography"/>
        <w:spacing w:after="0" w:line="480" w:lineRule="auto"/>
        <w:rPr>
          <w:rFonts w:ascii="Arial" w:hAnsi="Arial" w:cs="Arial"/>
        </w:rPr>
      </w:pPr>
      <w:r w:rsidRPr="00E26B1E">
        <w:rPr>
          <w:rFonts w:ascii="Arial" w:hAnsi="Arial" w:cs="Arial"/>
        </w:rPr>
        <w:t>22.</w:t>
      </w:r>
      <w:r w:rsidRPr="00E26B1E">
        <w:rPr>
          <w:rFonts w:ascii="Arial" w:hAnsi="Arial" w:cs="Arial"/>
        </w:rPr>
        <w:tab/>
        <w:t>Angrist JD, Imbens GW and Rubin DB. Identification of Causal Effects Using Instrumental Variables.</w:t>
      </w:r>
      <w:r w:rsidRPr="00E26B1E">
        <w:rPr>
          <w:rFonts w:ascii="Arial" w:hAnsi="Arial" w:cs="Arial"/>
          <w:i/>
        </w:rPr>
        <w:t> Journal of the American Statistical Association</w:t>
      </w:r>
      <w:r w:rsidRPr="00E26B1E">
        <w:rPr>
          <w:rFonts w:ascii="Arial" w:hAnsi="Arial" w:cs="Arial"/>
        </w:rPr>
        <w:t xml:space="preserve"> 1996; 91: 444–455. DOI: </w:t>
      </w:r>
      <w:r w:rsidRPr="008F5DDD">
        <w:rPr>
          <w:rFonts w:ascii="Arial" w:hAnsi="Arial" w:cs="Arial"/>
        </w:rPr>
        <w:t>https://doi.org/10.2307/2291629</w:t>
      </w:r>
      <w:r w:rsidRPr="00E26B1E">
        <w:rPr>
          <w:rFonts w:ascii="Arial" w:hAnsi="Arial" w:cs="Arial"/>
        </w:rPr>
        <w:t xml:space="preserve"> </w:t>
      </w:r>
    </w:p>
    <w:p w14:paraId="20B9D7EC" w14:textId="77777777" w:rsidR="00BD7D23" w:rsidRPr="00E26B1E" w:rsidRDefault="00BD7D23" w:rsidP="008F5DDD">
      <w:pPr>
        <w:pStyle w:val="EndNoteBibliography"/>
        <w:spacing w:after="0" w:line="480" w:lineRule="auto"/>
        <w:rPr>
          <w:rFonts w:ascii="Arial" w:hAnsi="Arial" w:cs="Arial"/>
        </w:rPr>
      </w:pPr>
      <w:r w:rsidRPr="00E26B1E">
        <w:rPr>
          <w:rFonts w:ascii="Arial" w:hAnsi="Arial" w:cs="Arial"/>
        </w:rPr>
        <w:t>23.</w:t>
      </w:r>
      <w:r w:rsidRPr="00E26B1E">
        <w:rPr>
          <w:rFonts w:ascii="Arial" w:hAnsi="Arial" w:cs="Arial"/>
        </w:rPr>
        <w:tab/>
        <w:t xml:space="preserve">Landau S and Emsley R. Causal Inference: Efficacy and Mechanism Evaluation. In: Piantadosi S and Meinert CL (eds) </w:t>
      </w:r>
      <w:r w:rsidRPr="00E26B1E">
        <w:rPr>
          <w:rFonts w:ascii="Arial" w:hAnsi="Arial" w:cs="Arial"/>
          <w:i/>
        </w:rPr>
        <w:t>Principles and Practice of Clinical Trials</w:t>
      </w:r>
      <w:r w:rsidRPr="00E26B1E">
        <w:rPr>
          <w:rFonts w:ascii="Arial" w:hAnsi="Arial" w:cs="Arial"/>
        </w:rPr>
        <w:t>. Springer Cham. , 2020.</w:t>
      </w:r>
    </w:p>
    <w:p w14:paraId="667EBE26" w14:textId="77777777" w:rsidR="00BD7D23" w:rsidRPr="00E26B1E" w:rsidRDefault="00BD7D23" w:rsidP="008F5DDD">
      <w:pPr>
        <w:pStyle w:val="EndNoteBibliography"/>
        <w:spacing w:line="480" w:lineRule="auto"/>
        <w:rPr>
          <w:rFonts w:ascii="Arial" w:hAnsi="Arial" w:cs="Arial"/>
        </w:rPr>
      </w:pPr>
      <w:r w:rsidRPr="00E26B1E">
        <w:rPr>
          <w:rFonts w:ascii="Arial" w:hAnsi="Arial" w:cs="Arial"/>
        </w:rPr>
        <w:t>24.</w:t>
      </w:r>
      <w:r w:rsidRPr="00E26B1E">
        <w:rPr>
          <w:rFonts w:ascii="Arial" w:hAnsi="Arial" w:cs="Arial"/>
        </w:rPr>
        <w:tab/>
        <w:t xml:space="preserve">Peimer C, Blazar P, Coleman S, et al. Dupuytren contracture recurrence following treatment with collagenase clostridium histolyticum (CORDLESS [Collagenase Option for Reduction of Dupuytren Long-Term Evaluation of Safety Study]): 5-year data. </w:t>
      </w:r>
      <w:r w:rsidRPr="00E26B1E">
        <w:rPr>
          <w:rFonts w:ascii="Arial" w:hAnsi="Arial" w:cs="Arial"/>
          <w:i/>
        </w:rPr>
        <w:t>The Journal of hand surgery</w:t>
      </w:r>
      <w:r w:rsidRPr="00E26B1E">
        <w:rPr>
          <w:rFonts w:ascii="Arial" w:hAnsi="Arial" w:cs="Arial"/>
        </w:rPr>
        <w:t xml:space="preserve"> 2015; 40: 1597-1605.</w:t>
      </w:r>
    </w:p>
    <w:p w14:paraId="62F6C67D" w14:textId="47FEA4E9" w:rsidR="00EC5B35" w:rsidRPr="00882ACB" w:rsidRDefault="00EC5B35" w:rsidP="003C7096">
      <w:pPr>
        <w:spacing w:line="480" w:lineRule="auto"/>
        <w:rPr>
          <w:rFonts w:ascii="Arial" w:hAnsi="Arial" w:cs="Arial"/>
          <w:szCs w:val="24"/>
          <w:u w:val="single"/>
        </w:rPr>
      </w:pPr>
      <w:r w:rsidRPr="00882ACB">
        <w:rPr>
          <w:rFonts w:ascii="Arial" w:hAnsi="Arial" w:cs="Arial"/>
          <w:szCs w:val="24"/>
          <w:u w:val="single"/>
        </w:rPr>
        <w:br w:type="page"/>
      </w:r>
    </w:p>
    <w:p w14:paraId="2537248C" w14:textId="77777777" w:rsidR="00CF36AB" w:rsidRDefault="00CF36AB" w:rsidP="00A432A3">
      <w:pPr>
        <w:rPr>
          <w:rFonts w:ascii="Arial" w:hAnsi="Arial" w:cs="Arial"/>
          <w:szCs w:val="24"/>
        </w:rPr>
      </w:pPr>
      <w:r>
        <w:rPr>
          <w:rFonts w:ascii="Arial" w:hAnsi="Arial" w:cs="Arial"/>
          <w:szCs w:val="24"/>
        </w:rPr>
        <w:lastRenderedPageBreak/>
        <w:t>Figure Legends</w:t>
      </w:r>
    </w:p>
    <w:p w14:paraId="39F01D94" w14:textId="77777777" w:rsidR="00CF36AB" w:rsidRDefault="00CF36AB" w:rsidP="00CF36AB">
      <w:pPr>
        <w:rPr>
          <w:rFonts w:ascii="Arial" w:hAnsi="Arial" w:cs="Arial"/>
          <w:szCs w:val="24"/>
        </w:rPr>
      </w:pPr>
      <w:r w:rsidRPr="00882ACB">
        <w:rPr>
          <w:rFonts w:ascii="Arial" w:hAnsi="Arial" w:cs="Arial"/>
          <w:szCs w:val="24"/>
        </w:rPr>
        <w:t>Figure 1: Participant flow</w:t>
      </w:r>
      <w:r>
        <w:rPr>
          <w:rFonts w:ascii="Arial" w:hAnsi="Arial" w:cs="Arial"/>
          <w:szCs w:val="24"/>
        </w:rPr>
        <w:t xml:space="preserve"> diagram.</w:t>
      </w:r>
      <w:r w:rsidRPr="00882ACB">
        <w:rPr>
          <w:rFonts w:ascii="Arial" w:hAnsi="Arial" w:cs="Arial"/>
          <w:szCs w:val="24"/>
        </w:rPr>
        <w:t xml:space="preserve"> </w:t>
      </w:r>
    </w:p>
    <w:p w14:paraId="43124260" w14:textId="77777777" w:rsidR="00CF36AB" w:rsidRDefault="00CF36AB" w:rsidP="00CF36AB">
      <w:pPr>
        <w:rPr>
          <w:rFonts w:ascii="Arial" w:hAnsi="Arial" w:cs="Arial"/>
          <w:i/>
          <w:iCs/>
          <w:sz w:val="20"/>
          <w:szCs w:val="20"/>
        </w:rPr>
      </w:pPr>
      <w:r w:rsidRPr="00882ACB">
        <w:rPr>
          <w:rFonts w:ascii="Arial" w:hAnsi="Arial" w:cs="Arial"/>
          <w:i/>
          <w:iCs/>
          <w:sz w:val="20"/>
          <w:szCs w:val="20"/>
        </w:rPr>
        <w:t>Participants are categorized as censored if the trial follow-up period finished prior to the follow-up time point being due/complete</w:t>
      </w:r>
      <w:r>
        <w:rPr>
          <w:rFonts w:ascii="Arial" w:hAnsi="Arial" w:cs="Arial"/>
          <w:i/>
          <w:iCs/>
          <w:sz w:val="20"/>
          <w:szCs w:val="20"/>
        </w:rPr>
        <w:t>d</w:t>
      </w:r>
    </w:p>
    <w:p w14:paraId="5D53F796" w14:textId="77777777" w:rsidR="00CF36AB" w:rsidRDefault="00CF36AB" w:rsidP="00CF36AB">
      <w:pPr>
        <w:rPr>
          <w:rFonts w:ascii="Arial" w:hAnsi="Arial" w:cs="Arial"/>
          <w:i/>
          <w:iCs/>
          <w:sz w:val="20"/>
          <w:szCs w:val="20"/>
        </w:rPr>
      </w:pPr>
    </w:p>
    <w:p w14:paraId="1F6C4195" w14:textId="77777777" w:rsidR="00CF36AB" w:rsidRDefault="00CF36AB" w:rsidP="00CF36AB">
      <w:pPr>
        <w:rPr>
          <w:rFonts w:ascii="Arial" w:hAnsi="Arial" w:cs="Arial"/>
          <w:i/>
          <w:iCs/>
          <w:sz w:val="20"/>
          <w:szCs w:val="20"/>
        </w:rPr>
      </w:pPr>
    </w:p>
    <w:p w14:paraId="72640E9A" w14:textId="77777777" w:rsidR="00CF36AB" w:rsidRPr="00882ACB" w:rsidRDefault="00CF36AB" w:rsidP="00CF36AB">
      <w:pPr>
        <w:spacing w:after="100" w:afterAutospacing="1"/>
        <w:jc w:val="both"/>
        <w:rPr>
          <w:rFonts w:ascii="Arial" w:hAnsi="Arial" w:cs="Arial"/>
          <w:szCs w:val="24"/>
        </w:rPr>
      </w:pPr>
      <w:r w:rsidRPr="00882ACB">
        <w:rPr>
          <w:rFonts w:ascii="Arial" w:hAnsi="Arial" w:cs="Arial"/>
          <w:szCs w:val="24"/>
        </w:rPr>
        <w:t xml:space="preserve">Figure 2: Estimated differences in expected scores and two-sided 95% confidence intervals over time for the four participant reported outcome measures. </w:t>
      </w:r>
    </w:p>
    <w:p w14:paraId="03910DFB" w14:textId="77777777" w:rsidR="00CF36AB" w:rsidRDefault="00CF36AB" w:rsidP="00CF36AB">
      <w:pPr>
        <w:rPr>
          <w:rFonts w:ascii="Arial" w:hAnsi="Arial" w:cs="Arial"/>
          <w:i/>
          <w:iCs/>
          <w:sz w:val="20"/>
          <w:szCs w:val="20"/>
        </w:rPr>
      </w:pPr>
      <w:r w:rsidRPr="00882ACB">
        <w:rPr>
          <w:rFonts w:ascii="Arial" w:hAnsi="Arial" w:cs="Arial"/>
          <w:i/>
          <w:iCs/>
          <w:sz w:val="20"/>
          <w:szCs w:val="20"/>
        </w:rPr>
        <w:t>. The vertical grey dashed line is plotted at the median time elapsed between baseline and treatment delivery, with subsequent time points referenced to this. For plots (a) and (b), values above zero indicate greater benefit from LF. For plots (c) and (d), values above zero indicate greater benefit from collagenase.</w:t>
      </w:r>
      <w:r>
        <w:rPr>
          <w:rFonts w:ascii="Arial" w:hAnsi="Arial" w:cs="Arial"/>
          <w:i/>
          <w:iCs/>
          <w:sz w:val="20"/>
          <w:szCs w:val="20"/>
        </w:rPr>
        <w:t xml:space="preserve"> 95% CIs are not </w:t>
      </w:r>
      <w:r w:rsidRPr="00882ACB">
        <w:rPr>
          <w:rFonts w:ascii="Arial" w:hAnsi="Arial" w:cs="Arial"/>
          <w:i/>
          <w:iCs/>
          <w:sz w:val="20"/>
          <w:szCs w:val="20"/>
        </w:rPr>
        <w:t>adjusted for multiplicity and should therefore not be used for hypothesis test</w:t>
      </w:r>
      <w:r>
        <w:rPr>
          <w:rFonts w:ascii="Arial" w:hAnsi="Arial" w:cs="Arial"/>
          <w:i/>
          <w:iCs/>
          <w:sz w:val="20"/>
          <w:szCs w:val="20"/>
        </w:rPr>
        <w:t xml:space="preserve">ing </w:t>
      </w:r>
      <w:r w:rsidRPr="00882ACB">
        <w:rPr>
          <w:rFonts w:ascii="Arial" w:hAnsi="Arial" w:cs="Arial"/>
          <w:i/>
          <w:iCs/>
          <w:sz w:val="20"/>
          <w:szCs w:val="20"/>
        </w:rPr>
        <w:t>with respect to any of the secondary endpoints.</w:t>
      </w:r>
    </w:p>
    <w:p w14:paraId="6ED1F62D" w14:textId="77777777" w:rsidR="00CF36AB" w:rsidRPr="00882ACB" w:rsidRDefault="00CF36AB" w:rsidP="00CF36AB">
      <w:pPr>
        <w:rPr>
          <w:rFonts w:ascii="Arial" w:hAnsi="Arial" w:cs="Arial"/>
          <w:i/>
          <w:iCs/>
          <w:sz w:val="20"/>
          <w:szCs w:val="20"/>
        </w:rPr>
      </w:pPr>
      <w:r>
        <w:rPr>
          <w:rFonts w:ascii="Arial" w:hAnsi="Arial" w:cs="Arial"/>
          <w:i/>
          <w:iCs/>
          <w:sz w:val="20"/>
          <w:szCs w:val="20"/>
        </w:rPr>
        <w:t>Figure 2a: Patient Evaluation Measure. The estimated differences at each time point are: 3 months = -3.8 (95%CI -6.2 to -1.3), 6 months = 1.4 (-1.2 to 4.1), 1 year = 5.9 (3.1 to 8.8), 2 years = 7.5 (4.2 to 10.9). The non-inferiority margin for the primary endpoint (Patient Evaluation Measure at 1 year) was +6 points.</w:t>
      </w:r>
    </w:p>
    <w:p w14:paraId="07DE0BB2" w14:textId="77777777" w:rsidR="00CF36AB" w:rsidRPr="00882ACB" w:rsidRDefault="00CF36AB" w:rsidP="00CF36AB">
      <w:pPr>
        <w:rPr>
          <w:rFonts w:ascii="Arial" w:hAnsi="Arial" w:cs="Arial"/>
          <w:i/>
          <w:iCs/>
          <w:sz w:val="20"/>
          <w:szCs w:val="20"/>
        </w:rPr>
      </w:pPr>
      <w:r w:rsidRPr="00882ACB">
        <w:rPr>
          <w:rFonts w:ascii="Arial" w:hAnsi="Arial" w:cs="Arial"/>
          <w:i/>
          <w:iCs/>
          <w:sz w:val="20"/>
          <w:szCs w:val="20"/>
        </w:rPr>
        <w:t xml:space="preserve">Figure 2b: </w:t>
      </w:r>
      <w:proofErr w:type="spellStart"/>
      <w:r w:rsidRPr="00882ACB">
        <w:rPr>
          <w:rFonts w:ascii="Arial" w:hAnsi="Arial" w:cs="Arial"/>
          <w:i/>
          <w:iCs/>
          <w:color w:val="212121"/>
          <w:sz w:val="20"/>
          <w:szCs w:val="20"/>
        </w:rPr>
        <w:t>Unité</w:t>
      </w:r>
      <w:proofErr w:type="spellEnd"/>
      <w:r w:rsidRPr="00882ACB">
        <w:rPr>
          <w:rFonts w:ascii="Arial" w:hAnsi="Arial" w:cs="Arial"/>
          <w:i/>
          <w:iCs/>
          <w:color w:val="212121"/>
          <w:sz w:val="20"/>
          <w:szCs w:val="20"/>
        </w:rPr>
        <w:t xml:space="preserve"> </w:t>
      </w:r>
      <w:proofErr w:type="spellStart"/>
      <w:r w:rsidRPr="00882ACB">
        <w:rPr>
          <w:rFonts w:ascii="Arial" w:hAnsi="Arial" w:cs="Arial"/>
          <w:i/>
          <w:iCs/>
          <w:color w:val="212121"/>
          <w:sz w:val="20"/>
          <w:szCs w:val="20"/>
        </w:rPr>
        <w:t>Rhumatologique</w:t>
      </w:r>
      <w:proofErr w:type="spellEnd"/>
      <w:r w:rsidRPr="00882ACB">
        <w:rPr>
          <w:rFonts w:ascii="Arial" w:hAnsi="Arial" w:cs="Arial"/>
          <w:i/>
          <w:iCs/>
          <w:color w:val="212121"/>
          <w:sz w:val="20"/>
          <w:szCs w:val="20"/>
        </w:rPr>
        <w:t xml:space="preserve"> des Affections de la Main</w:t>
      </w:r>
      <w:r>
        <w:rPr>
          <w:rFonts w:ascii="Arial" w:hAnsi="Arial" w:cs="Arial"/>
          <w:i/>
          <w:iCs/>
          <w:color w:val="212121"/>
          <w:sz w:val="20"/>
          <w:szCs w:val="20"/>
        </w:rPr>
        <w:t xml:space="preserve"> scores (numerical estimates provided in supplementary material)</w:t>
      </w:r>
    </w:p>
    <w:p w14:paraId="6C735C24" w14:textId="77777777" w:rsidR="00CF36AB" w:rsidRPr="00882ACB" w:rsidRDefault="00CF36AB" w:rsidP="00CF36AB">
      <w:pPr>
        <w:rPr>
          <w:rFonts w:ascii="Arial" w:hAnsi="Arial" w:cs="Arial"/>
          <w:i/>
          <w:iCs/>
          <w:sz w:val="20"/>
          <w:szCs w:val="20"/>
        </w:rPr>
      </w:pPr>
      <w:r w:rsidRPr="00882ACB">
        <w:rPr>
          <w:rFonts w:ascii="Arial" w:hAnsi="Arial" w:cs="Arial"/>
          <w:i/>
          <w:iCs/>
          <w:sz w:val="20"/>
          <w:szCs w:val="20"/>
        </w:rPr>
        <w:t>Figure 2c: Michigan Hand Questionnaire scores</w:t>
      </w:r>
      <w:r>
        <w:rPr>
          <w:rFonts w:ascii="Arial" w:hAnsi="Arial" w:cs="Arial"/>
          <w:i/>
          <w:iCs/>
          <w:sz w:val="20"/>
          <w:szCs w:val="20"/>
        </w:rPr>
        <w:t xml:space="preserve"> </w:t>
      </w:r>
      <w:r>
        <w:rPr>
          <w:rFonts w:ascii="Arial" w:hAnsi="Arial" w:cs="Arial"/>
          <w:i/>
          <w:iCs/>
          <w:color w:val="212121"/>
          <w:sz w:val="20"/>
          <w:szCs w:val="20"/>
        </w:rPr>
        <w:t>(numerical estimates provided in supplementary material)</w:t>
      </w:r>
    </w:p>
    <w:p w14:paraId="20A2BEED" w14:textId="77777777" w:rsidR="00CF36AB" w:rsidRPr="00882ACB" w:rsidRDefault="00CF36AB" w:rsidP="00CF36AB">
      <w:pPr>
        <w:rPr>
          <w:rFonts w:ascii="Arial" w:hAnsi="Arial" w:cs="Arial"/>
          <w:i/>
          <w:iCs/>
          <w:sz w:val="20"/>
          <w:szCs w:val="20"/>
        </w:rPr>
      </w:pPr>
      <w:r w:rsidRPr="00882ACB">
        <w:rPr>
          <w:rFonts w:ascii="Arial" w:hAnsi="Arial" w:cs="Arial"/>
          <w:i/>
          <w:iCs/>
          <w:sz w:val="20"/>
          <w:szCs w:val="20"/>
        </w:rPr>
        <w:t>Figure 2d: Single Assessment Numeric Evaluation scores</w:t>
      </w:r>
      <w:r>
        <w:rPr>
          <w:rFonts w:ascii="Arial" w:hAnsi="Arial" w:cs="Arial"/>
          <w:i/>
          <w:iCs/>
          <w:sz w:val="20"/>
          <w:szCs w:val="20"/>
        </w:rPr>
        <w:t xml:space="preserve"> </w:t>
      </w:r>
      <w:r>
        <w:rPr>
          <w:rFonts w:ascii="Arial" w:hAnsi="Arial" w:cs="Arial"/>
          <w:i/>
          <w:iCs/>
          <w:color w:val="212121"/>
          <w:sz w:val="20"/>
          <w:szCs w:val="20"/>
        </w:rPr>
        <w:t>(numerical estimates provided in supplementary material)</w:t>
      </w:r>
    </w:p>
    <w:p w14:paraId="61B4B819" w14:textId="77777777" w:rsidR="00CF36AB" w:rsidRDefault="00CF36AB" w:rsidP="00CF36AB">
      <w:pPr>
        <w:rPr>
          <w:rFonts w:ascii="Arial" w:hAnsi="Arial" w:cs="Arial"/>
          <w:sz w:val="20"/>
          <w:szCs w:val="18"/>
        </w:rPr>
      </w:pPr>
    </w:p>
    <w:p w14:paraId="7414F5B5" w14:textId="77777777" w:rsidR="00CF36AB" w:rsidRDefault="00CF36AB" w:rsidP="00CF36AB">
      <w:pPr>
        <w:rPr>
          <w:rFonts w:ascii="Arial" w:hAnsi="Arial" w:cs="Arial"/>
          <w:sz w:val="20"/>
          <w:szCs w:val="18"/>
        </w:rPr>
      </w:pPr>
    </w:p>
    <w:p w14:paraId="6864CB03" w14:textId="77777777" w:rsidR="00CF36AB" w:rsidRPr="00882ACB" w:rsidRDefault="00CF36AB" w:rsidP="00CF36AB">
      <w:pPr>
        <w:jc w:val="both"/>
        <w:rPr>
          <w:rFonts w:ascii="Arial" w:hAnsi="Arial" w:cs="Arial"/>
          <w:bCs/>
          <w:szCs w:val="24"/>
        </w:rPr>
      </w:pPr>
      <w:r w:rsidRPr="00882ACB">
        <w:rPr>
          <w:rFonts w:ascii="Arial" w:hAnsi="Arial" w:cs="Arial"/>
          <w:bCs/>
          <w:szCs w:val="24"/>
        </w:rPr>
        <w:t xml:space="preserve">Figure 3: </w:t>
      </w:r>
      <w:r w:rsidRPr="00882ACB">
        <w:rPr>
          <w:rFonts w:ascii="Arial" w:hAnsi="Arial" w:cs="Arial"/>
          <w:szCs w:val="24"/>
        </w:rPr>
        <w:t>Estimated differences in passive and active extension deficit. The vertical grey dashed line is plotted at the median time elapsed between baseline and treatment delivery, with subsequent time points referenced to this. For all plots</w:t>
      </w:r>
      <w:r>
        <w:rPr>
          <w:rFonts w:ascii="Arial" w:hAnsi="Arial" w:cs="Arial"/>
          <w:szCs w:val="24"/>
        </w:rPr>
        <w:t>,</w:t>
      </w:r>
      <w:r w:rsidRPr="00882ACB">
        <w:rPr>
          <w:rFonts w:ascii="Arial" w:hAnsi="Arial" w:cs="Arial"/>
          <w:szCs w:val="24"/>
        </w:rPr>
        <w:t xml:space="preserve"> values above zero indicate greater benefit from limited fasciectomy</w:t>
      </w:r>
      <w:r w:rsidRPr="00BA65BD">
        <w:rPr>
          <w:rFonts w:ascii="Arial" w:hAnsi="Arial" w:cs="Arial"/>
          <w:szCs w:val="24"/>
        </w:rPr>
        <w:t xml:space="preserve">. </w:t>
      </w:r>
      <w:r w:rsidRPr="00882ACB">
        <w:rPr>
          <w:rFonts w:ascii="Arial" w:hAnsi="Arial" w:cs="Arial"/>
          <w:szCs w:val="24"/>
        </w:rPr>
        <w:t>Measurements were carried out by trained surgeons, therapists or research nurses using a goniometer and supported by a goniometry measurement manual. The interval estimates for these secondary endpoints have not been adjusted for multiplicity</w:t>
      </w:r>
      <w:r>
        <w:rPr>
          <w:rFonts w:ascii="Arial" w:hAnsi="Arial" w:cs="Arial"/>
          <w:szCs w:val="24"/>
        </w:rPr>
        <w:t xml:space="preserve"> and should not be used for hypothesis </w:t>
      </w:r>
      <w:commentRangeStart w:id="9"/>
      <w:r>
        <w:rPr>
          <w:rFonts w:ascii="Arial" w:hAnsi="Arial" w:cs="Arial"/>
          <w:szCs w:val="24"/>
        </w:rPr>
        <w:t>testing</w:t>
      </w:r>
      <w:commentRangeEnd w:id="9"/>
      <w:r>
        <w:rPr>
          <w:rStyle w:val="CommentReference"/>
        </w:rPr>
        <w:commentReference w:id="9"/>
      </w:r>
      <w:r w:rsidRPr="00882ACB">
        <w:rPr>
          <w:rFonts w:ascii="Arial" w:hAnsi="Arial" w:cs="Arial"/>
          <w:szCs w:val="24"/>
        </w:rPr>
        <w:t>.</w:t>
      </w:r>
    </w:p>
    <w:p w14:paraId="6B1D076C" w14:textId="13C0AA04" w:rsidR="00CF36AB" w:rsidRPr="002662B8" w:rsidRDefault="00CF36AB" w:rsidP="00CF36AB">
      <w:pPr>
        <w:rPr>
          <w:rFonts w:ascii="Arial" w:hAnsi="Arial" w:cs="Arial"/>
          <w:sz w:val="20"/>
          <w:szCs w:val="18"/>
        </w:rPr>
        <w:sectPr w:rsidR="00CF36AB" w:rsidRPr="002662B8" w:rsidSect="008F5DDD">
          <w:pgSz w:w="11906" w:h="16838"/>
          <w:pgMar w:top="1440" w:right="1296" w:bottom="1440" w:left="1296" w:header="706" w:footer="706" w:gutter="0"/>
          <w:cols w:space="708"/>
          <w:docGrid w:linePitch="360"/>
        </w:sectPr>
      </w:pPr>
    </w:p>
    <w:p w14:paraId="59DFFF3D" w14:textId="77777777" w:rsidR="00CF36AB" w:rsidRPr="00882ACB" w:rsidRDefault="00CF36AB" w:rsidP="00CF36AB">
      <w:pPr>
        <w:rPr>
          <w:rFonts w:ascii="Arial" w:hAnsi="Arial" w:cs="Arial"/>
          <w:szCs w:val="24"/>
        </w:rPr>
      </w:pPr>
    </w:p>
    <w:p w14:paraId="6604E659" w14:textId="77777777" w:rsidR="00CF36AB" w:rsidRDefault="00CF36AB" w:rsidP="00A432A3">
      <w:pPr>
        <w:rPr>
          <w:rFonts w:ascii="Arial" w:hAnsi="Arial" w:cs="Arial"/>
          <w:szCs w:val="24"/>
        </w:rPr>
      </w:pPr>
    </w:p>
    <w:p w14:paraId="1A79444D" w14:textId="793E4C60" w:rsidR="006C5E1E" w:rsidRPr="00882ACB" w:rsidRDefault="00CC7D08" w:rsidP="00A432A3">
      <w:pPr>
        <w:rPr>
          <w:rFonts w:ascii="Arial" w:hAnsi="Arial" w:cs="Arial"/>
        </w:rPr>
      </w:pPr>
      <w:r w:rsidRPr="00882ACB">
        <w:rPr>
          <w:rFonts w:ascii="Arial" w:hAnsi="Arial" w:cs="Arial"/>
          <w:szCs w:val="24"/>
        </w:rPr>
        <w:t xml:space="preserve">Table 1: </w:t>
      </w:r>
      <w:r w:rsidR="002E1EFB" w:rsidRPr="00882ACB">
        <w:rPr>
          <w:rFonts w:ascii="Arial" w:hAnsi="Arial" w:cs="Arial"/>
          <w:szCs w:val="24"/>
        </w:rPr>
        <w:t>B</w:t>
      </w:r>
      <w:r w:rsidRPr="00882ACB">
        <w:rPr>
          <w:rFonts w:ascii="Arial" w:hAnsi="Arial" w:cs="Arial"/>
          <w:szCs w:val="24"/>
        </w:rPr>
        <w:t xml:space="preserve">aseline characteristics </w:t>
      </w:r>
      <w:r w:rsidR="002E1EFB" w:rsidRPr="00882ACB">
        <w:rPr>
          <w:rFonts w:ascii="Arial" w:hAnsi="Arial" w:cs="Arial"/>
          <w:szCs w:val="24"/>
        </w:rPr>
        <w:t xml:space="preserve">of </w:t>
      </w:r>
      <w:r w:rsidRPr="00882ACB">
        <w:rPr>
          <w:rFonts w:ascii="Arial" w:hAnsi="Arial" w:cs="Arial"/>
          <w:szCs w:val="24"/>
        </w:rPr>
        <w:t>randomi</w:t>
      </w:r>
      <w:r w:rsidR="00142D88" w:rsidRPr="00882ACB">
        <w:rPr>
          <w:rFonts w:ascii="Arial" w:hAnsi="Arial" w:cs="Arial"/>
          <w:szCs w:val="24"/>
        </w:rPr>
        <w:t>z</w:t>
      </w:r>
      <w:r w:rsidRPr="00882ACB">
        <w:rPr>
          <w:rFonts w:ascii="Arial" w:hAnsi="Arial" w:cs="Arial"/>
          <w:szCs w:val="24"/>
        </w:rPr>
        <w:t>ed participants</w:t>
      </w:r>
      <w:r w:rsidR="00791233" w:rsidRPr="00882ACB">
        <w:rPr>
          <w:rFonts w:ascii="Arial" w:hAnsi="Arial" w:cs="Arial"/>
          <w:szCs w:val="24"/>
        </w:rPr>
        <w:t>*</w:t>
      </w:r>
    </w:p>
    <w:tbl>
      <w:tblPr>
        <w:tblStyle w:val="TableGrid"/>
        <w:tblW w:w="7824" w:type="dxa"/>
        <w:tblLayout w:type="fixed"/>
        <w:tblCellMar>
          <w:top w:w="20" w:type="dxa"/>
          <w:bottom w:w="20" w:type="dxa"/>
        </w:tblCellMar>
        <w:tblLook w:val="04A0" w:firstRow="1" w:lastRow="0" w:firstColumn="1" w:lastColumn="0" w:noHBand="0" w:noVBand="1"/>
      </w:tblPr>
      <w:tblGrid>
        <w:gridCol w:w="4422"/>
        <w:gridCol w:w="1701"/>
        <w:gridCol w:w="1701"/>
      </w:tblGrid>
      <w:tr w:rsidR="00596EFB" w:rsidRPr="00882ACB" w14:paraId="5FEAB87C" w14:textId="77777777" w:rsidTr="00596EFB">
        <w:tc>
          <w:tcPr>
            <w:tcW w:w="4422" w:type="dxa"/>
            <w:vAlign w:val="center"/>
          </w:tcPr>
          <w:p w14:paraId="70401E0C" w14:textId="77777777" w:rsidR="00596EFB" w:rsidRPr="00882ACB" w:rsidRDefault="00596EFB" w:rsidP="00CC7D08">
            <w:pPr>
              <w:spacing w:line="240" w:lineRule="auto"/>
              <w:rPr>
                <w:rFonts w:ascii="Arial" w:hAnsi="Arial" w:cs="Arial"/>
                <w:sz w:val="20"/>
                <w:szCs w:val="20"/>
              </w:rPr>
            </w:pPr>
          </w:p>
        </w:tc>
        <w:tc>
          <w:tcPr>
            <w:tcW w:w="1701" w:type="dxa"/>
            <w:tcBorders>
              <w:bottom w:val="single" w:sz="4" w:space="0" w:color="auto"/>
            </w:tcBorders>
            <w:vAlign w:val="center"/>
          </w:tcPr>
          <w:p w14:paraId="66CDB5C8" w14:textId="2FE2CA42" w:rsidR="00596EFB" w:rsidRPr="00882ACB" w:rsidRDefault="00596EFB" w:rsidP="00073723">
            <w:pPr>
              <w:spacing w:line="240" w:lineRule="auto"/>
              <w:jc w:val="center"/>
              <w:rPr>
                <w:rFonts w:ascii="Arial" w:hAnsi="Arial" w:cs="Arial"/>
                <w:sz w:val="20"/>
                <w:szCs w:val="20"/>
              </w:rPr>
            </w:pPr>
            <w:r w:rsidRPr="00882ACB">
              <w:rPr>
                <w:rFonts w:ascii="Arial" w:hAnsi="Arial" w:cs="Arial"/>
                <w:b/>
                <w:sz w:val="20"/>
                <w:szCs w:val="20"/>
              </w:rPr>
              <w:t>Limited Fasciectomy</w:t>
            </w:r>
            <w:r w:rsidRPr="00882ACB">
              <w:rPr>
                <w:rFonts w:ascii="Arial" w:hAnsi="Arial" w:cs="Arial"/>
                <w:b/>
                <w:sz w:val="20"/>
                <w:szCs w:val="20"/>
              </w:rPr>
              <w:br/>
            </w:r>
            <w:r w:rsidRPr="00882ACB">
              <w:rPr>
                <w:rFonts w:ascii="Arial" w:hAnsi="Arial" w:cs="Arial"/>
                <w:sz w:val="20"/>
                <w:szCs w:val="20"/>
              </w:rPr>
              <w:t>N = 336</w:t>
            </w:r>
          </w:p>
        </w:tc>
        <w:tc>
          <w:tcPr>
            <w:tcW w:w="1701" w:type="dxa"/>
            <w:tcBorders>
              <w:bottom w:val="single" w:sz="4" w:space="0" w:color="auto"/>
            </w:tcBorders>
            <w:vAlign w:val="center"/>
          </w:tcPr>
          <w:p w14:paraId="7CC3AA92" w14:textId="77777777" w:rsidR="00596EFB" w:rsidRPr="00882ACB" w:rsidRDefault="00596EFB" w:rsidP="00073723">
            <w:pPr>
              <w:spacing w:line="240" w:lineRule="auto"/>
              <w:jc w:val="center"/>
              <w:rPr>
                <w:rFonts w:ascii="Arial" w:hAnsi="Arial" w:cs="Arial"/>
                <w:sz w:val="20"/>
                <w:szCs w:val="20"/>
              </w:rPr>
            </w:pPr>
            <w:r w:rsidRPr="00882ACB">
              <w:rPr>
                <w:rFonts w:ascii="Arial" w:hAnsi="Arial" w:cs="Arial"/>
                <w:b/>
                <w:sz w:val="20"/>
                <w:szCs w:val="20"/>
              </w:rPr>
              <w:t>Collagenase</w:t>
            </w:r>
            <w:r w:rsidRPr="00882ACB">
              <w:rPr>
                <w:rFonts w:ascii="Arial" w:hAnsi="Arial" w:cs="Arial"/>
                <w:b/>
                <w:sz w:val="20"/>
                <w:szCs w:val="20"/>
              </w:rPr>
              <w:br/>
            </w:r>
            <w:r w:rsidRPr="00882ACB">
              <w:rPr>
                <w:rFonts w:ascii="Arial" w:hAnsi="Arial" w:cs="Arial"/>
                <w:sz w:val="20"/>
                <w:szCs w:val="20"/>
              </w:rPr>
              <w:t>N = 336</w:t>
            </w:r>
          </w:p>
        </w:tc>
      </w:tr>
      <w:tr w:rsidR="00596EFB" w:rsidRPr="00882ACB" w14:paraId="451A3254" w14:textId="77777777" w:rsidTr="00596EFB">
        <w:tc>
          <w:tcPr>
            <w:tcW w:w="4422" w:type="dxa"/>
            <w:tcBorders>
              <w:bottom w:val="nil"/>
            </w:tcBorders>
            <w:vAlign w:val="center"/>
          </w:tcPr>
          <w:p w14:paraId="0EBD935A" w14:textId="77777777" w:rsidR="00596EFB" w:rsidRPr="00882ACB" w:rsidRDefault="00596EFB" w:rsidP="00073723">
            <w:pPr>
              <w:spacing w:line="240" w:lineRule="auto"/>
              <w:rPr>
                <w:rFonts w:ascii="Arial" w:hAnsi="Arial" w:cs="Arial"/>
                <w:sz w:val="20"/>
                <w:szCs w:val="20"/>
              </w:rPr>
            </w:pPr>
            <w:r w:rsidRPr="00882ACB">
              <w:rPr>
                <w:rFonts w:ascii="Arial" w:hAnsi="Arial" w:cs="Arial"/>
                <w:b/>
                <w:sz w:val="20"/>
                <w:szCs w:val="20"/>
              </w:rPr>
              <w:t>Age (years)</w:t>
            </w:r>
          </w:p>
        </w:tc>
        <w:tc>
          <w:tcPr>
            <w:tcW w:w="1701" w:type="dxa"/>
            <w:tcBorders>
              <w:top w:val="single" w:sz="4" w:space="0" w:color="auto"/>
              <w:bottom w:val="single" w:sz="4" w:space="0" w:color="auto"/>
            </w:tcBorders>
            <w:vAlign w:val="center"/>
          </w:tcPr>
          <w:p w14:paraId="19CAA3B0" w14:textId="4A685461" w:rsidR="00596EFB" w:rsidRPr="00882ACB" w:rsidRDefault="00596EFB" w:rsidP="00073723">
            <w:pPr>
              <w:spacing w:line="240" w:lineRule="auto"/>
              <w:jc w:val="center"/>
              <w:rPr>
                <w:rFonts w:ascii="Arial" w:hAnsi="Arial" w:cs="Arial"/>
                <w:sz w:val="20"/>
                <w:szCs w:val="20"/>
              </w:rPr>
            </w:pPr>
            <w:r w:rsidRPr="00882ACB">
              <w:rPr>
                <w:rFonts w:ascii="Arial" w:hAnsi="Arial" w:cs="Arial"/>
                <w:sz w:val="20"/>
                <w:szCs w:val="20"/>
              </w:rPr>
              <w:t>66.5 (9.2)</w:t>
            </w:r>
          </w:p>
        </w:tc>
        <w:tc>
          <w:tcPr>
            <w:tcW w:w="1701" w:type="dxa"/>
            <w:tcBorders>
              <w:top w:val="single" w:sz="4" w:space="0" w:color="auto"/>
              <w:bottom w:val="single" w:sz="4" w:space="0" w:color="auto"/>
            </w:tcBorders>
            <w:vAlign w:val="center"/>
          </w:tcPr>
          <w:p w14:paraId="0DF64F10" w14:textId="1F79F458" w:rsidR="00596EFB" w:rsidRPr="00882ACB" w:rsidRDefault="00596EFB" w:rsidP="00073723">
            <w:pPr>
              <w:spacing w:line="240" w:lineRule="auto"/>
              <w:jc w:val="center"/>
              <w:rPr>
                <w:rFonts w:ascii="Arial" w:hAnsi="Arial" w:cs="Arial"/>
                <w:sz w:val="20"/>
                <w:szCs w:val="20"/>
              </w:rPr>
            </w:pPr>
            <w:r w:rsidRPr="00882ACB">
              <w:rPr>
                <w:rFonts w:ascii="Arial" w:hAnsi="Arial" w:cs="Arial"/>
                <w:sz w:val="20"/>
                <w:szCs w:val="20"/>
              </w:rPr>
              <w:t>66.4 (8.8)</w:t>
            </w:r>
          </w:p>
        </w:tc>
      </w:tr>
      <w:tr w:rsidR="00596EFB" w:rsidRPr="00882ACB" w14:paraId="6838423D" w14:textId="77777777" w:rsidTr="00596EFB">
        <w:tc>
          <w:tcPr>
            <w:tcW w:w="4422" w:type="dxa"/>
            <w:tcBorders>
              <w:bottom w:val="nil"/>
            </w:tcBorders>
            <w:vAlign w:val="center"/>
          </w:tcPr>
          <w:p w14:paraId="69418775" w14:textId="47C3D585" w:rsidR="00596EFB" w:rsidRPr="00882ACB" w:rsidRDefault="00596EFB" w:rsidP="005C3150">
            <w:pPr>
              <w:spacing w:line="240" w:lineRule="auto"/>
              <w:rPr>
                <w:rFonts w:ascii="Arial" w:hAnsi="Arial" w:cs="Arial"/>
                <w:sz w:val="20"/>
                <w:szCs w:val="20"/>
              </w:rPr>
            </w:pPr>
            <w:r w:rsidRPr="00882ACB">
              <w:rPr>
                <w:rFonts w:ascii="Arial" w:hAnsi="Arial" w:cs="Arial"/>
                <w:b/>
                <w:sz w:val="20"/>
                <w:szCs w:val="20"/>
              </w:rPr>
              <w:t>Male, n (%)</w:t>
            </w:r>
          </w:p>
        </w:tc>
        <w:tc>
          <w:tcPr>
            <w:tcW w:w="1701" w:type="dxa"/>
            <w:tcBorders>
              <w:top w:val="single" w:sz="4" w:space="0" w:color="auto"/>
              <w:bottom w:val="single" w:sz="4" w:space="0" w:color="auto"/>
            </w:tcBorders>
            <w:vAlign w:val="center"/>
          </w:tcPr>
          <w:p w14:paraId="11F68386" w14:textId="1C4BBAF0" w:rsidR="00596EFB" w:rsidRPr="00882ACB" w:rsidRDefault="00596EFB" w:rsidP="005C3150">
            <w:pPr>
              <w:spacing w:line="240" w:lineRule="auto"/>
              <w:jc w:val="center"/>
              <w:rPr>
                <w:rFonts w:ascii="Arial" w:hAnsi="Arial" w:cs="Arial"/>
                <w:sz w:val="20"/>
                <w:szCs w:val="20"/>
              </w:rPr>
            </w:pPr>
            <w:r w:rsidRPr="00882ACB">
              <w:rPr>
                <w:rFonts w:ascii="Arial" w:hAnsi="Arial" w:cs="Arial"/>
                <w:sz w:val="20"/>
                <w:szCs w:val="20"/>
              </w:rPr>
              <w:t>263 (78.3)</w:t>
            </w:r>
          </w:p>
        </w:tc>
        <w:tc>
          <w:tcPr>
            <w:tcW w:w="1701" w:type="dxa"/>
            <w:tcBorders>
              <w:top w:val="single" w:sz="4" w:space="0" w:color="auto"/>
              <w:bottom w:val="single" w:sz="4" w:space="0" w:color="auto"/>
            </w:tcBorders>
            <w:vAlign w:val="center"/>
          </w:tcPr>
          <w:p w14:paraId="3920745C" w14:textId="204F480E" w:rsidR="00596EFB" w:rsidRPr="00882ACB" w:rsidRDefault="00596EFB" w:rsidP="005C3150">
            <w:pPr>
              <w:spacing w:line="240" w:lineRule="auto"/>
              <w:jc w:val="center"/>
              <w:rPr>
                <w:rFonts w:ascii="Arial" w:hAnsi="Arial" w:cs="Arial"/>
                <w:sz w:val="20"/>
                <w:szCs w:val="20"/>
              </w:rPr>
            </w:pPr>
            <w:r w:rsidRPr="00882ACB">
              <w:rPr>
                <w:rFonts w:ascii="Arial" w:hAnsi="Arial" w:cs="Arial"/>
                <w:sz w:val="20"/>
                <w:szCs w:val="20"/>
              </w:rPr>
              <w:t>270 (80.4)</w:t>
            </w:r>
          </w:p>
        </w:tc>
      </w:tr>
      <w:tr w:rsidR="00596EFB" w:rsidRPr="00882ACB" w14:paraId="7604F57E" w14:textId="77777777" w:rsidTr="00596EFB">
        <w:tc>
          <w:tcPr>
            <w:tcW w:w="4422" w:type="dxa"/>
            <w:tcBorders>
              <w:bottom w:val="nil"/>
            </w:tcBorders>
            <w:vAlign w:val="center"/>
          </w:tcPr>
          <w:p w14:paraId="497CF0DE" w14:textId="77777777" w:rsidR="00596EFB" w:rsidRPr="00882ACB" w:rsidRDefault="00596EFB" w:rsidP="005C3150">
            <w:pPr>
              <w:spacing w:line="240" w:lineRule="auto"/>
              <w:rPr>
                <w:rFonts w:ascii="Arial" w:hAnsi="Arial" w:cs="Arial"/>
                <w:b/>
                <w:sz w:val="20"/>
                <w:szCs w:val="20"/>
              </w:rPr>
            </w:pPr>
            <w:r w:rsidRPr="00882ACB">
              <w:rPr>
                <w:rFonts w:ascii="Arial" w:hAnsi="Arial" w:cs="Arial"/>
                <w:b/>
                <w:sz w:val="20"/>
                <w:szCs w:val="20"/>
              </w:rPr>
              <w:t xml:space="preserve">Ethnicity </w:t>
            </w:r>
          </w:p>
          <w:p w14:paraId="26D8B7EF" w14:textId="77777777" w:rsidR="00596EFB" w:rsidRPr="00882ACB" w:rsidRDefault="00596EFB" w:rsidP="00791233">
            <w:pPr>
              <w:spacing w:line="240" w:lineRule="auto"/>
              <w:rPr>
                <w:rFonts w:ascii="Arial" w:hAnsi="Arial" w:cs="Arial"/>
                <w:bCs/>
                <w:sz w:val="20"/>
                <w:szCs w:val="20"/>
              </w:rPr>
            </w:pPr>
            <w:r w:rsidRPr="00882ACB">
              <w:rPr>
                <w:rFonts w:ascii="Arial" w:hAnsi="Arial" w:cs="Arial"/>
                <w:bCs/>
                <w:sz w:val="20"/>
                <w:szCs w:val="20"/>
              </w:rPr>
              <w:t xml:space="preserve">  White</w:t>
            </w:r>
          </w:p>
          <w:p w14:paraId="63150B36" w14:textId="77777777" w:rsidR="00596EFB" w:rsidRPr="00882ACB" w:rsidRDefault="00596EFB" w:rsidP="00791233">
            <w:pPr>
              <w:spacing w:line="240" w:lineRule="auto"/>
              <w:rPr>
                <w:rFonts w:ascii="Arial" w:hAnsi="Arial" w:cs="Arial"/>
                <w:bCs/>
                <w:sz w:val="20"/>
                <w:szCs w:val="20"/>
              </w:rPr>
            </w:pPr>
            <w:r w:rsidRPr="00882ACB">
              <w:rPr>
                <w:rFonts w:ascii="Arial" w:hAnsi="Arial" w:cs="Arial"/>
                <w:bCs/>
                <w:sz w:val="20"/>
                <w:szCs w:val="20"/>
              </w:rPr>
              <w:t xml:space="preserve">  Mixed Race</w:t>
            </w:r>
          </w:p>
          <w:p w14:paraId="395C0A15" w14:textId="77777777" w:rsidR="00596EFB" w:rsidRPr="00882ACB" w:rsidRDefault="00596EFB" w:rsidP="00791233">
            <w:pPr>
              <w:spacing w:line="240" w:lineRule="auto"/>
              <w:rPr>
                <w:rFonts w:ascii="Arial" w:hAnsi="Arial" w:cs="Arial"/>
                <w:bCs/>
                <w:sz w:val="20"/>
                <w:szCs w:val="20"/>
              </w:rPr>
            </w:pPr>
            <w:r w:rsidRPr="00882ACB">
              <w:rPr>
                <w:rFonts w:ascii="Arial" w:hAnsi="Arial" w:cs="Arial"/>
                <w:bCs/>
                <w:sz w:val="20"/>
                <w:szCs w:val="20"/>
              </w:rPr>
              <w:t xml:space="preserve">  Asian/Asian British</w:t>
            </w:r>
          </w:p>
          <w:p w14:paraId="136A0732" w14:textId="1AFB9DF3" w:rsidR="00596EFB" w:rsidRPr="00882ACB" w:rsidRDefault="00596EFB" w:rsidP="00791233">
            <w:pPr>
              <w:spacing w:line="240" w:lineRule="auto"/>
              <w:rPr>
                <w:rFonts w:ascii="Arial" w:hAnsi="Arial" w:cs="Arial"/>
                <w:bCs/>
                <w:sz w:val="20"/>
                <w:szCs w:val="20"/>
              </w:rPr>
            </w:pPr>
            <w:r w:rsidRPr="00882ACB">
              <w:rPr>
                <w:rFonts w:ascii="Arial" w:hAnsi="Arial" w:cs="Arial"/>
                <w:bCs/>
                <w:sz w:val="20"/>
                <w:szCs w:val="20"/>
              </w:rPr>
              <w:t xml:space="preserve">  Missing</w:t>
            </w:r>
          </w:p>
          <w:p w14:paraId="3210C206" w14:textId="14259DD9" w:rsidR="00596EFB" w:rsidRPr="00882ACB" w:rsidRDefault="00596EFB" w:rsidP="005C3150">
            <w:pPr>
              <w:spacing w:line="240" w:lineRule="auto"/>
              <w:rPr>
                <w:rFonts w:ascii="Arial" w:hAnsi="Arial" w:cs="Arial"/>
                <w:b/>
                <w:sz w:val="20"/>
                <w:szCs w:val="20"/>
              </w:rPr>
            </w:pPr>
          </w:p>
        </w:tc>
        <w:tc>
          <w:tcPr>
            <w:tcW w:w="1701" w:type="dxa"/>
            <w:tcBorders>
              <w:top w:val="single" w:sz="4" w:space="0" w:color="auto"/>
              <w:bottom w:val="single" w:sz="4" w:space="0" w:color="auto"/>
            </w:tcBorders>
            <w:vAlign w:val="center"/>
          </w:tcPr>
          <w:p w14:paraId="354DA3A5"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333 (99.1)</w:t>
            </w:r>
          </w:p>
          <w:p w14:paraId="7E8BC72E"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1 (0.3)</w:t>
            </w:r>
          </w:p>
          <w:p w14:paraId="53653289"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1 (0.3)</w:t>
            </w:r>
          </w:p>
          <w:p w14:paraId="47F039F2" w14:textId="6C50914D"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1 (0.3)</w:t>
            </w:r>
          </w:p>
        </w:tc>
        <w:tc>
          <w:tcPr>
            <w:tcW w:w="1701" w:type="dxa"/>
            <w:tcBorders>
              <w:top w:val="single" w:sz="4" w:space="0" w:color="auto"/>
              <w:bottom w:val="single" w:sz="4" w:space="0" w:color="auto"/>
            </w:tcBorders>
            <w:vAlign w:val="center"/>
          </w:tcPr>
          <w:p w14:paraId="3B76C4FC"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332 (98.8)</w:t>
            </w:r>
          </w:p>
          <w:p w14:paraId="566FCC37"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1 (0.3)</w:t>
            </w:r>
          </w:p>
          <w:p w14:paraId="19FA3D90" w14:textId="77777777"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3 (0.9)</w:t>
            </w:r>
          </w:p>
          <w:p w14:paraId="65EBC39E" w14:textId="30188026" w:rsidR="00596EFB" w:rsidRPr="00882ACB" w:rsidRDefault="00596EFB" w:rsidP="00791233">
            <w:pPr>
              <w:spacing w:line="240" w:lineRule="auto"/>
              <w:jc w:val="center"/>
              <w:rPr>
                <w:rFonts w:ascii="Arial" w:hAnsi="Arial" w:cs="Arial"/>
                <w:sz w:val="20"/>
                <w:szCs w:val="20"/>
              </w:rPr>
            </w:pPr>
            <w:r w:rsidRPr="00882ACB">
              <w:rPr>
                <w:rFonts w:ascii="Arial" w:hAnsi="Arial" w:cs="Arial"/>
                <w:sz w:val="20"/>
                <w:szCs w:val="20"/>
              </w:rPr>
              <w:t>0 (0.0)</w:t>
            </w:r>
          </w:p>
        </w:tc>
      </w:tr>
      <w:tr w:rsidR="00596EFB" w:rsidRPr="00882ACB" w14:paraId="49436A09" w14:textId="77777777" w:rsidTr="00596EFB">
        <w:tc>
          <w:tcPr>
            <w:tcW w:w="4422" w:type="dxa"/>
            <w:tcBorders>
              <w:bottom w:val="nil"/>
            </w:tcBorders>
            <w:vAlign w:val="center"/>
          </w:tcPr>
          <w:p w14:paraId="6EB9B499" w14:textId="1A32E27C" w:rsidR="00596EFB" w:rsidRPr="00882ACB" w:rsidRDefault="00596EFB" w:rsidP="005C3150">
            <w:pPr>
              <w:spacing w:line="240" w:lineRule="auto"/>
              <w:rPr>
                <w:rFonts w:ascii="Arial" w:hAnsi="Arial" w:cs="Arial"/>
                <w:sz w:val="20"/>
                <w:szCs w:val="18"/>
              </w:rPr>
            </w:pPr>
            <w:r w:rsidRPr="00882ACB">
              <w:rPr>
                <w:rFonts w:ascii="Arial" w:hAnsi="Arial" w:cs="Arial"/>
                <w:b/>
                <w:sz w:val="20"/>
                <w:szCs w:val="18"/>
              </w:rPr>
              <w:t>History of bilateral disease, n (%)</w:t>
            </w:r>
          </w:p>
        </w:tc>
        <w:tc>
          <w:tcPr>
            <w:tcW w:w="1701" w:type="dxa"/>
            <w:tcBorders>
              <w:top w:val="single" w:sz="4" w:space="0" w:color="auto"/>
              <w:bottom w:val="nil"/>
            </w:tcBorders>
            <w:vAlign w:val="center"/>
          </w:tcPr>
          <w:p w14:paraId="65523815" w14:textId="7141E4FC"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170 (50.6)</w:t>
            </w:r>
          </w:p>
        </w:tc>
        <w:tc>
          <w:tcPr>
            <w:tcW w:w="1701" w:type="dxa"/>
            <w:tcBorders>
              <w:top w:val="single" w:sz="4" w:space="0" w:color="auto"/>
              <w:bottom w:val="nil"/>
            </w:tcBorders>
            <w:vAlign w:val="center"/>
          </w:tcPr>
          <w:p w14:paraId="1E3E6A0D" w14:textId="07FA94AE"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174 (51.8)</w:t>
            </w:r>
          </w:p>
        </w:tc>
      </w:tr>
      <w:tr w:rsidR="00596EFB" w:rsidRPr="00882ACB" w14:paraId="68A73346" w14:textId="77777777" w:rsidTr="00596EFB">
        <w:tc>
          <w:tcPr>
            <w:tcW w:w="4422" w:type="dxa"/>
            <w:tcBorders>
              <w:top w:val="nil"/>
            </w:tcBorders>
            <w:vAlign w:val="center"/>
          </w:tcPr>
          <w:p w14:paraId="6F230975" w14:textId="4DA199EE" w:rsidR="00596EFB" w:rsidRPr="00882ACB" w:rsidRDefault="00596EFB" w:rsidP="005C3150">
            <w:pPr>
              <w:spacing w:line="240" w:lineRule="auto"/>
              <w:rPr>
                <w:rFonts w:ascii="Arial" w:hAnsi="Arial" w:cs="Arial"/>
                <w:sz w:val="20"/>
                <w:szCs w:val="18"/>
              </w:rPr>
            </w:pPr>
            <w:r w:rsidRPr="00882ACB">
              <w:rPr>
                <w:rFonts w:ascii="Arial" w:hAnsi="Arial" w:cs="Arial"/>
                <w:sz w:val="20"/>
                <w:szCs w:val="18"/>
              </w:rPr>
              <w:t xml:space="preserve">  Missing</w:t>
            </w:r>
          </w:p>
        </w:tc>
        <w:tc>
          <w:tcPr>
            <w:tcW w:w="1701" w:type="dxa"/>
            <w:tcBorders>
              <w:top w:val="nil"/>
            </w:tcBorders>
            <w:vAlign w:val="center"/>
          </w:tcPr>
          <w:p w14:paraId="2E2EB9A0" w14:textId="4B9B194D"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15 (4.5)</w:t>
            </w:r>
          </w:p>
        </w:tc>
        <w:tc>
          <w:tcPr>
            <w:tcW w:w="1701" w:type="dxa"/>
            <w:tcBorders>
              <w:top w:val="nil"/>
            </w:tcBorders>
            <w:vAlign w:val="center"/>
          </w:tcPr>
          <w:p w14:paraId="51940D29" w14:textId="182670A6"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11 (3.3)</w:t>
            </w:r>
          </w:p>
        </w:tc>
      </w:tr>
      <w:tr w:rsidR="00596EFB" w:rsidRPr="00882ACB" w14:paraId="2914FE6E" w14:textId="77777777" w:rsidTr="00596EFB">
        <w:tc>
          <w:tcPr>
            <w:tcW w:w="4422" w:type="dxa"/>
            <w:tcBorders>
              <w:bottom w:val="nil"/>
            </w:tcBorders>
            <w:vAlign w:val="center"/>
          </w:tcPr>
          <w:p w14:paraId="15C1E27F" w14:textId="7E554642" w:rsidR="00596EFB" w:rsidRPr="00882ACB" w:rsidRDefault="00596EFB" w:rsidP="005C3150">
            <w:pPr>
              <w:spacing w:line="240" w:lineRule="auto"/>
              <w:rPr>
                <w:rFonts w:ascii="Arial" w:hAnsi="Arial" w:cs="Arial"/>
                <w:sz w:val="20"/>
                <w:szCs w:val="18"/>
              </w:rPr>
            </w:pPr>
            <w:r w:rsidRPr="00882ACB">
              <w:rPr>
                <w:rFonts w:ascii="Arial" w:hAnsi="Arial" w:cs="Arial"/>
                <w:b/>
                <w:sz w:val="20"/>
                <w:szCs w:val="18"/>
              </w:rPr>
              <w:t>Family history of Dupuytren's disease, n (%)</w:t>
            </w:r>
          </w:p>
        </w:tc>
        <w:tc>
          <w:tcPr>
            <w:tcW w:w="1701" w:type="dxa"/>
            <w:tcBorders>
              <w:top w:val="nil"/>
              <w:bottom w:val="nil"/>
            </w:tcBorders>
            <w:vAlign w:val="center"/>
          </w:tcPr>
          <w:p w14:paraId="4A1AEC64" w14:textId="6F117A27"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126 (37.5)</w:t>
            </w:r>
          </w:p>
        </w:tc>
        <w:tc>
          <w:tcPr>
            <w:tcW w:w="1701" w:type="dxa"/>
            <w:tcBorders>
              <w:top w:val="nil"/>
              <w:bottom w:val="nil"/>
            </w:tcBorders>
            <w:vAlign w:val="center"/>
          </w:tcPr>
          <w:p w14:paraId="05EB9265" w14:textId="0C88164B"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112 (33.3)</w:t>
            </w:r>
          </w:p>
        </w:tc>
      </w:tr>
      <w:tr w:rsidR="00596EFB" w:rsidRPr="00882ACB" w14:paraId="22F43FE1" w14:textId="77777777" w:rsidTr="00596EFB">
        <w:tc>
          <w:tcPr>
            <w:tcW w:w="4422" w:type="dxa"/>
            <w:tcBorders>
              <w:top w:val="nil"/>
            </w:tcBorders>
            <w:vAlign w:val="center"/>
          </w:tcPr>
          <w:p w14:paraId="208ED52F" w14:textId="42CAED6D" w:rsidR="00596EFB" w:rsidRPr="00882ACB" w:rsidRDefault="00596EFB" w:rsidP="005C3150">
            <w:pPr>
              <w:spacing w:line="240" w:lineRule="auto"/>
              <w:rPr>
                <w:rFonts w:ascii="Arial" w:hAnsi="Arial" w:cs="Arial"/>
                <w:sz w:val="20"/>
                <w:szCs w:val="18"/>
              </w:rPr>
            </w:pPr>
            <w:r w:rsidRPr="00882ACB">
              <w:rPr>
                <w:rFonts w:ascii="Arial" w:hAnsi="Arial" w:cs="Arial"/>
                <w:sz w:val="20"/>
                <w:szCs w:val="18"/>
              </w:rPr>
              <w:t xml:space="preserve">  Missing</w:t>
            </w:r>
          </w:p>
        </w:tc>
        <w:tc>
          <w:tcPr>
            <w:tcW w:w="1701" w:type="dxa"/>
            <w:tcBorders>
              <w:top w:val="nil"/>
            </w:tcBorders>
            <w:vAlign w:val="center"/>
          </w:tcPr>
          <w:p w14:paraId="22953AFA" w14:textId="7E0336C0"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1 (0.3)</w:t>
            </w:r>
          </w:p>
        </w:tc>
        <w:tc>
          <w:tcPr>
            <w:tcW w:w="1701" w:type="dxa"/>
            <w:tcBorders>
              <w:top w:val="nil"/>
            </w:tcBorders>
            <w:vAlign w:val="center"/>
          </w:tcPr>
          <w:p w14:paraId="5204468F" w14:textId="5C5860E1" w:rsidR="00596EFB" w:rsidRPr="00882ACB" w:rsidRDefault="00596EFB" w:rsidP="005C3150">
            <w:pPr>
              <w:spacing w:line="240" w:lineRule="auto"/>
              <w:jc w:val="center"/>
              <w:rPr>
                <w:rFonts w:ascii="Arial" w:hAnsi="Arial" w:cs="Arial"/>
                <w:sz w:val="20"/>
                <w:szCs w:val="18"/>
              </w:rPr>
            </w:pPr>
            <w:r w:rsidRPr="00882ACB">
              <w:rPr>
                <w:rFonts w:ascii="Arial" w:hAnsi="Arial" w:cs="Arial"/>
                <w:sz w:val="20"/>
                <w:szCs w:val="18"/>
              </w:rPr>
              <w:t>3 (0.9)</w:t>
            </w:r>
          </w:p>
        </w:tc>
      </w:tr>
      <w:tr w:rsidR="00596EFB" w:rsidRPr="00882ACB" w14:paraId="5D552237" w14:textId="77777777" w:rsidTr="00596EFB">
        <w:tc>
          <w:tcPr>
            <w:tcW w:w="4422" w:type="dxa"/>
            <w:tcBorders>
              <w:bottom w:val="nil"/>
            </w:tcBorders>
            <w:vAlign w:val="center"/>
          </w:tcPr>
          <w:p w14:paraId="36788E85" w14:textId="6AA3C3EE" w:rsidR="00596EFB" w:rsidRPr="00AE6C5E" w:rsidRDefault="00596EFB" w:rsidP="00B86F2D">
            <w:pPr>
              <w:spacing w:line="240" w:lineRule="auto"/>
              <w:rPr>
                <w:rFonts w:ascii="Arial" w:hAnsi="Arial" w:cs="Arial"/>
                <w:sz w:val="20"/>
                <w:szCs w:val="18"/>
                <w:vertAlign w:val="superscript"/>
              </w:rPr>
            </w:pPr>
            <w:r w:rsidRPr="00882ACB">
              <w:rPr>
                <w:rFonts w:ascii="Arial" w:hAnsi="Arial" w:cs="Arial"/>
                <w:b/>
                <w:sz w:val="20"/>
                <w:szCs w:val="18"/>
              </w:rPr>
              <w:t xml:space="preserve">History of </w:t>
            </w:r>
            <w:proofErr w:type="spellStart"/>
            <w:r w:rsidRPr="00882ACB">
              <w:rPr>
                <w:rFonts w:ascii="Arial" w:hAnsi="Arial" w:cs="Arial"/>
                <w:b/>
                <w:sz w:val="20"/>
                <w:szCs w:val="18"/>
              </w:rPr>
              <w:t>Garrods</w:t>
            </w:r>
            <w:proofErr w:type="spellEnd"/>
            <w:r w:rsidRPr="00882ACB">
              <w:rPr>
                <w:rFonts w:ascii="Arial" w:hAnsi="Arial" w:cs="Arial"/>
                <w:b/>
                <w:sz w:val="20"/>
                <w:szCs w:val="18"/>
              </w:rPr>
              <w:t xml:space="preserve"> pads, n (%)</w:t>
            </w:r>
            <w:r w:rsidR="00AE6C5E">
              <w:rPr>
                <w:rFonts w:ascii="Arial" w:hAnsi="Arial" w:cs="Arial"/>
                <w:b/>
                <w:sz w:val="20"/>
                <w:szCs w:val="18"/>
                <w:vertAlign w:val="superscript"/>
              </w:rPr>
              <w:t>b</w:t>
            </w:r>
          </w:p>
        </w:tc>
        <w:tc>
          <w:tcPr>
            <w:tcW w:w="1701" w:type="dxa"/>
            <w:tcBorders>
              <w:top w:val="nil"/>
              <w:bottom w:val="nil"/>
            </w:tcBorders>
            <w:vAlign w:val="center"/>
          </w:tcPr>
          <w:p w14:paraId="4A004727" w14:textId="166A7C9E"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54 (16.1)</w:t>
            </w:r>
          </w:p>
        </w:tc>
        <w:tc>
          <w:tcPr>
            <w:tcW w:w="1701" w:type="dxa"/>
            <w:tcBorders>
              <w:top w:val="nil"/>
              <w:bottom w:val="nil"/>
            </w:tcBorders>
            <w:vAlign w:val="center"/>
          </w:tcPr>
          <w:p w14:paraId="07B67DE9" w14:textId="0E3B6F93"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43 (12.8)</w:t>
            </w:r>
          </w:p>
        </w:tc>
      </w:tr>
      <w:tr w:rsidR="00596EFB" w:rsidRPr="00882ACB" w14:paraId="46DE923D" w14:textId="77777777" w:rsidTr="00596EFB">
        <w:tc>
          <w:tcPr>
            <w:tcW w:w="4422" w:type="dxa"/>
            <w:tcBorders>
              <w:top w:val="nil"/>
            </w:tcBorders>
            <w:vAlign w:val="center"/>
          </w:tcPr>
          <w:p w14:paraId="38142A5F" w14:textId="5C793576" w:rsidR="00596EFB" w:rsidRPr="00882ACB" w:rsidRDefault="00596EFB" w:rsidP="00B86F2D">
            <w:pPr>
              <w:spacing w:line="240" w:lineRule="auto"/>
              <w:rPr>
                <w:rFonts w:ascii="Arial" w:hAnsi="Arial" w:cs="Arial"/>
                <w:sz w:val="20"/>
                <w:szCs w:val="18"/>
              </w:rPr>
            </w:pPr>
            <w:r w:rsidRPr="00882ACB">
              <w:rPr>
                <w:rFonts w:ascii="Arial" w:hAnsi="Arial" w:cs="Arial"/>
                <w:sz w:val="20"/>
                <w:szCs w:val="18"/>
              </w:rPr>
              <w:t xml:space="preserve">  Missing</w:t>
            </w:r>
          </w:p>
        </w:tc>
        <w:tc>
          <w:tcPr>
            <w:tcW w:w="1701" w:type="dxa"/>
            <w:tcBorders>
              <w:top w:val="nil"/>
            </w:tcBorders>
            <w:vAlign w:val="center"/>
          </w:tcPr>
          <w:p w14:paraId="78AA3EDF" w14:textId="3104C7C2"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58 (17.3)</w:t>
            </w:r>
          </w:p>
        </w:tc>
        <w:tc>
          <w:tcPr>
            <w:tcW w:w="1701" w:type="dxa"/>
            <w:tcBorders>
              <w:top w:val="nil"/>
            </w:tcBorders>
            <w:vAlign w:val="center"/>
          </w:tcPr>
          <w:p w14:paraId="363AF257" w14:textId="1F7039CA"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55 (16.4)</w:t>
            </w:r>
          </w:p>
        </w:tc>
      </w:tr>
      <w:tr w:rsidR="00596EFB" w:rsidRPr="00882ACB" w14:paraId="43C5A259" w14:textId="77777777" w:rsidTr="00596EFB">
        <w:tc>
          <w:tcPr>
            <w:tcW w:w="4422" w:type="dxa"/>
            <w:tcBorders>
              <w:bottom w:val="nil"/>
            </w:tcBorders>
            <w:vAlign w:val="center"/>
          </w:tcPr>
          <w:p w14:paraId="25BE8970" w14:textId="6BC2BFDD" w:rsidR="00596EFB" w:rsidRPr="00882ACB" w:rsidRDefault="00596EFB" w:rsidP="00B86F2D">
            <w:pPr>
              <w:spacing w:line="240" w:lineRule="auto"/>
              <w:rPr>
                <w:rFonts w:ascii="Arial" w:hAnsi="Arial" w:cs="Arial"/>
                <w:sz w:val="20"/>
                <w:szCs w:val="18"/>
              </w:rPr>
            </w:pPr>
            <w:r w:rsidRPr="00882ACB">
              <w:rPr>
                <w:rFonts w:ascii="Arial" w:hAnsi="Arial" w:cs="Arial"/>
                <w:b/>
                <w:sz w:val="20"/>
                <w:szCs w:val="18"/>
              </w:rPr>
              <w:t xml:space="preserve">History of </w:t>
            </w:r>
            <w:proofErr w:type="spellStart"/>
            <w:r w:rsidRPr="00882ACB">
              <w:rPr>
                <w:rFonts w:ascii="Arial" w:hAnsi="Arial" w:cs="Arial"/>
                <w:b/>
                <w:sz w:val="20"/>
                <w:szCs w:val="18"/>
              </w:rPr>
              <w:t>Peyronie's</w:t>
            </w:r>
            <w:proofErr w:type="spellEnd"/>
            <w:r w:rsidRPr="00882ACB">
              <w:rPr>
                <w:rFonts w:ascii="Arial" w:hAnsi="Arial" w:cs="Arial"/>
                <w:b/>
                <w:sz w:val="20"/>
                <w:szCs w:val="18"/>
              </w:rPr>
              <w:t xml:space="preserve"> disease, n (%)</w:t>
            </w:r>
            <w:r w:rsidR="00AE6C5E">
              <w:rPr>
                <w:rFonts w:ascii="Arial" w:hAnsi="Arial" w:cs="Arial"/>
                <w:b/>
                <w:sz w:val="20"/>
                <w:szCs w:val="18"/>
                <w:vertAlign w:val="superscript"/>
              </w:rPr>
              <w:t>b</w:t>
            </w:r>
          </w:p>
        </w:tc>
        <w:tc>
          <w:tcPr>
            <w:tcW w:w="1701" w:type="dxa"/>
            <w:tcBorders>
              <w:top w:val="nil"/>
              <w:bottom w:val="nil"/>
            </w:tcBorders>
            <w:vAlign w:val="center"/>
          </w:tcPr>
          <w:p w14:paraId="19AB52A0" w14:textId="701B8167"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11 (3.3)</w:t>
            </w:r>
          </w:p>
        </w:tc>
        <w:tc>
          <w:tcPr>
            <w:tcW w:w="1701" w:type="dxa"/>
            <w:tcBorders>
              <w:top w:val="nil"/>
              <w:bottom w:val="nil"/>
            </w:tcBorders>
            <w:vAlign w:val="center"/>
          </w:tcPr>
          <w:p w14:paraId="5C8D7BCC" w14:textId="6A40383D"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14 (4.2)</w:t>
            </w:r>
          </w:p>
        </w:tc>
      </w:tr>
      <w:tr w:rsidR="00596EFB" w:rsidRPr="00882ACB" w14:paraId="596EE233" w14:textId="77777777" w:rsidTr="00596EFB">
        <w:tc>
          <w:tcPr>
            <w:tcW w:w="4422" w:type="dxa"/>
            <w:tcBorders>
              <w:top w:val="nil"/>
            </w:tcBorders>
            <w:vAlign w:val="center"/>
          </w:tcPr>
          <w:p w14:paraId="47C3E947" w14:textId="4DD96FB7" w:rsidR="00596EFB" w:rsidRPr="00882ACB" w:rsidRDefault="00596EFB" w:rsidP="00B86F2D">
            <w:pPr>
              <w:spacing w:line="240" w:lineRule="auto"/>
              <w:rPr>
                <w:rFonts w:ascii="Arial" w:hAnsi="Arial" w:cs="Arial"/>
                <w:sz w:val="20"/>
                <w:szCs w:val="18"/>
              </w:rPr>
            </w:pPr>
            <w:r w:rsidRPr="00882ACB">
              <w:rPr>
                <w:rFonts w:ascii="Arial" w:hAnsi="Arial" w:cs="Arial"/>
                <w:sz w:val="20"/>
                <w:szCs w:val="18"/>
              </w:rPr>
              <w:t xml:space="preserve">  Missing</w:t>
            </w:r>
          </w:p>
        </w:tc>
        <w:tc>
          <w:tcPr>
            <w:tcW w:w="1701" w:type="dxa"/>
            <w:tcBorders>
              <w:top w:val="nil"/>
            </w:tcBorders>
            <w:vAlign w:val="center"/>
          </w:tcPr>
          <w:p w14:paraId="41D92987" w14:textId="299FA995"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44 (13.1)</w:t>
            </w:r>
          </w:p>
        </w:tc>
        <w:tc>
          <w:tcPr>
            <w:tcW w:w="1701" w:type="dxa"/>
            <w:tcBorders>
              <w:top w:val="nil"/>
            </w:tcBorders>
            <w:vAlign w:val="center"/>
          </w:tcPr>
          <w:p w14:paraId="431AE6A0" w14:textId="6D397465"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44 (13.1)</w:t>
            </w:r>
          </w:p>
        </w:tc>
      </w:tr>
      <w:tr w:rsidR="00596EFB" w:rsidRPr="00882ACB" w14:paraId="53AFA696" w14:textId="77777777" w:rsidTr="00596EFB">
        <w:tc>
          <w:tcPr>
            <w:tcW w:w="4422" w:type="dxa"/>
            <w:tcBorders>
              <w:bottom w:val="nil"/>
            </w:tcBorders>
            <w:vAlign w:val="center"/>
          </w:tcPr>
          <w:p w14:paraId="296636B2" w14:textId="41A95962" w:rsidR="00596EFB" w:rsidRPr="00882ACB" w:rsidRDefault="00596EFB" w:rsidP="00B86F2D">
            <w:pPr>
              <w:spacing w:line="240" w:lineRule="auto"/>
              <w:rPr>
                <w:rFonts w:ascii="Arial" w:hAnsi="Arial" w:cs="Arial"/>
                <w:sz w:val="20"/>
                <w:szCs w:val="18"/>
              </w:rPr>
            </w:pPr>
            <w:r w:rsidRPr="00882ACB">
              <w:rPr>
                <w:rFonts w:ascii="Arial" w:hAnsi="Arial" w:cs="Arial"/>
                <w:b/>
                <w:sz w:val="20"/>
                <w:szCs w:val="18"/>
              </w:rPr>
              <w:t xml:space="preserve">History of </w:t>
            </w:r>
            <w:proofErr w:type="spellStart"/>
            <w:r w:rsidRPr="00882ACB">
              <w:rPr>
                <w:rFonts w:ascii="Arial" w:hAnsi="Arial" w:cs="Arial"/>
                <w:b/>
                <w:sz w:val="20"/>
                <w:szCs w:val="18"/>
              </w:rPr>
              <w:t>Ledderhose</w:t>
            </w:r>
            <w:proofErr w:type="spellEnd"/>
            <w:r w:rsidRPr="00882ACB">
              <w:rPr>
                <w:rFonts w:ascii="Arial" w:hAnsi="Arial" w:cs="Arial"/>
                <w:b/>
                <w:sz w:val="20"/>
                <w:szCs w:val="18"/>
              </w:rPr>
              <w:t xml:space="preserve"> disease, n (%)</w:t>
            </w:r>
            <w:r w:rsidR="00AE6C5E">
              <w:rPr>
                <w:rFonts w:ascii="Arial" w:hAnsi="Arial" w:cs="Arial"/>
                <w:b/>
                <w:sz w:val="20"/>
                <w:szCs w:val="18"/>
                <w:vertAlign w:val="superscript"/>
              </w:rPr>
              <w:t>b</w:t>
            </w:r>
          </w:p>
        </w:tc>
        <w:tc>
          <w:tcPr>
            <w:tcW w:w="1701" w:type="dxa"/>
            <w:tcBorders>
              <w:top w:val="nil"/>
              <w:bottom w:val="nil"/>
            </w:tcBorders>
            <w:vAlign w:val="center"/>
          </w:tcPr>
          <w:p w14:paraId="514D1597" w14:textId="4ACD0E26"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24 (7.1)</w:t>
            </w:r>
          </w:p>
        </w:tc>
        <w:tc>
          <w:tcPr>
            <w:tcW w:w="1701" w:type="dxa"/>
            <w:tcBorders>
              <w:top w:val="nil"/>
              <w:bottom w:val="nil"/>
            </w:tcBorders>
            <w:vAlign w:val="center"/>
          </w:tcPr>
          <w:p w14:paraId="15423446" w14:textId="37A4A7B7"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18 (5.4)</w:t>
            </w:r>
          </w:p>
        </w:tc>
      </w:tr>
      <w:tr w:rsidR="00596EFB" w:rsidRPr="00882ACB" w14:paraId="28A89BF0" w14:textId="77777777" w:rsidTr="00596EFB">
        <w:tc>
          <w:tcPr>
            <w:tcW w:w="4422" w:type="dxa"/>
            <w:tcBorders>
              <w:top w:val="nil"/>
            </w:tcBorders>
            <w:vAlign w:val="center"/>
          </w:tcPr>
          <w:p w14:paraId="74D77CDC" w14:textId="3AF4C8E0" w:rsidR="00596EFB" w:rsidRPr="00882ACB" w:rsidRDefault="00596EFB" w:rsidP="00B86F2D">
            <w:pPr>
              <w:spacing w:line="240" w:lineRule="auto"/>
              <w:rPr>
                <w:rFonts w:ascii="Arial" w:hAnsi="Arial" w:cs="Arial"/>
                <w:sz w:val="20"/>
                <w:szCs w:val="18"/>
              </w:rPr>
            </w:pPr>
            <w:r w:rsidRPr="00882ACB">
              <w:rPr>
                <w:rFonts w:ascii="Arial" w:hAnsi="Arial" w:cs="Arial"/>
                <w:sz w:val="20"/>
                <w:szCs w:val="18"/>
              </w:rPr>
              <w:t xml:space="preserve">  Missing</w:t>
            </w:r>
          </w:p>
        </w:tc>
        <w:tc>
          <w:tcPr>
            <w:tcW w:w="1701" w:type="dxa"/>
            <w:tcBorders>
              <w:top w:val="nil"/>
            </w:tcBorders>
            <w:vAlign w:val="center"/>
          </w:tcPr>
          <w:p w14:paraId="09DE02EE" w14:textId="5BCB020E"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61 (18.2)</w:t>
            </w:r>
          </w:p>
        </w:tc>
        <w:tc>
          <w:tcPr>
            <w:tcW w:w="1701" w:type="dxa"/>
            <w:tcBorders>
              <w:top w:val="nil"/>
            </w:tcBorders>
            <w:vAlign w:val="center"/>
          </w:tcPr>
          <w:p w14:paraId="25231371" w14:textId="161AB445" w:rsidR="00596EFB" w:rsidRPr="00882ACB" w:rsidRDefault="00596EFB" w:rsidP="00B86F2D">
            <w:pPr>
              <w:spacing w:line="240" w:lineRule="auto"/>
              <w:jc w:val="center"/>
              <w:rPr>
                <w:rFonts w:ascii="Arial" w:hAnsi="Arial" w:cs="Arial"/>
                <w:sz w:val="20"/>
                <w:szCs w:val="18"/>
              </w:rPr>
            </w:pPr>
            <w:r w:rsidRPr="00882ACB">
              <w:rPr>
                <w:rFonts w:ascii="Arial" w:hAnsi="Arial" w:cs="Arial"/>
                <w:sz w:val="20"/>
                <w:szCs w:val="18"/>
              </w:rPr>
              <w:t>56 (16.7)</w:t>
            </w:r>
          </w:p>
        </w:tc>
      </w:tr>
      <w:tr w:rsidR="00596EFB" w:rsidRPr="00882ACB" w14:paraId="6838ABC9" w14:textId="77777777" w:rsidTr="00596EFB">
        <w:tblPrEx>
          <w:tblCellMar>
            <w:top w:w="0" w:type="dxa"/>
            <w:bottom w:w="0" w:type="dxa"/>
          </w:tblCellMar>
        </w:tblPrEx>
        <w:tc>
          <w:tcPr>
            <w:tcW w:w="4422" w:type="dxa"/>
            <w:tcBorders>
              <w:bottom w:val="nil"/>
            </w:tcBorders>
          </w:tcPr>
          <w:p w14:paraId="60912642" w14:textId="77777777" w:rsidR="00596EFB" w:rsidRPr="00882ACB" w:rsidRDefault="00596EFB" w:rsidP="000E2ED1">
            <w:pPr>
              <w:spacing w:line="240" w:lineRule="auto"/>
              <w:rPr>
                <w:rFonts w:ascii="Arial" w:hAnsi="Arial" w:cs="Arial"/>
                <w:sz w:val="20"/>
                <w:szCs w:val="18"/>
              </w:rPr>
            </w:pPr>
            <w:r w:rsidRPr="00882ACB">
              <w:rPr>
                <w:rFonts w:ascii="Arial" w:hAnsi="Arial" w:cs="Arial"/>
                <w:b/>
                <w:sz w:val="20"/>
                <w:szCs w:val="18"/>
              </w:rPr>
              <w:t>Study reference digit, n (%)</w:t>
            </w:r>
          </w:p>
        </w:tc>
        <w:tc>
          <w:tcPr>
            <w:tcW w:w="1701" w:type="dxa"/>
            <w:tcBorders>
              <w:bottom w:val="nil"/>
            </w:tcBorders>
            <w:vAlign w:val="center"/>
          </w:tcPr>
          <w:p w14:paraId="3B7596FB" w14:textId="77777777" w:rsidR="00596EFB" w:rsidRPr="00882ACB" w:rsidRDefault="00596EFB" w:rsidP="00073723">
            <w:pPr>
              <w:spacing w:line="240" w:lineRule="auto"/>
              <w:jc w:val="center"/>
              <w:rPr>
                <w:rFonts w:ascii="Arial" w:hAnsi="Arial" w:cs="Arial"/>
                <w:sz w:val="20"/>
                <w:szCs w:val="18"/>
              </w:rPr>
            </w:pPr>
          </w:p>
        </w:tc>
        <w:tc>
          <w:tcPr>
            <w:tcW w:w="1701" w:type="dxa"/>
            <w:tcBorders>
              <w:bottom w:val="nil"/>
            </w:tcBorders>
            <w:vAlign w:val="center"/>
          </w:tcPr>
          <w:p w14:paraId="292DEF54" w14:textId="77777777" w:rsidR="00596EFB" w:rsidRPr="00882ACB" w:rsidRDefault="00596EFB" w:rsidP="00073723">
            <w:pPr>
              <w:spacing w:line="240" w:lineRule="auto"/>
              <w:jc w:val="center"/>
              <w:rPr>
                <w:rFonts w:ascii="Arial" w:hAnsi="Arial" w:cs="Arial"/>
                <w:sz w:val="20"/>
                <w:szCs w:val="18"/>
              </w:rPr>
            </w:pPr>
          </w:p>
        </w:tc>
      </w:tr>
      <w:tr w:rsidR="00596EFB" w:rsidRPr="00882ACB" w14:paraId="60C0BBF9" w14:textId="77777777" w:rsidTr="00596EFB">
        <w:tblPrEx>
          <w:tblCellMar>
            <w:top w:w="0" w:type="dxa"/>
            <w:bottom w:w="0" w:type="dxa"/>
          </w:tblCellMar>
        </w:tblPrEx>
        <w:tc>
          <w:tcPr>
            <w:tcW w:w="4422" w:type="dxa"/>
            <w:tcBorders>
              <w:top w:val="nil"/>
              <w:bottom w:val="nil"/>
            </w:tcBorders>
          </w:tcPr>
          <w:p w14:paraId="4CC9E54E" w14:textId="77777777" w:rsidR="00596EFB" w:rsidRPr="00882ACB" w:rsidRDefault="00596EFB" w:rsidP="000E2ED1">
            <w:pPr>
              <w:spacing w:line="240" w:lineRule="auto"/>
              <w:rPr>
                <w:rFonts w:ascii="Arial" w:hAnsi="Arial" w:cs="Arial"/>
                <w:sz w:val="20"/>
                <w:szCs w:val="18"/>
              </w:rPr>
            </w:pPr>
            <w:r w:rsidRPr="00882ACB">
              <w:rPr>
                <w:rFonts w:ascii="Arial" w:hAnsi="Arial" w:cs="Arial"/>
                <w:sz w:val="20"/>
                <w:szCs w:val="18"/>
              </w:rPr>
              <w:t xml:space="preserve">  Thumb</w:t>
            </w:r>
          </w:p>
        </w:tc>
        <w:tc>
          <w:tcPr>
            <w:tcW w:w="1701" w:type="dxa"/>
            <w:tcBorders>
              <w:top w:val="nil"/>
              <w:bottom w:val="nil"/>
            </w:tcBorders>
            <w:vAlign w:val="center"/>
          </w:tcPr>
          <w:p w14:paraId="786ED28D"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 (0.3)</w:t>
            </w:r>
          </w:p>
        </w:tc>
        <w:tc>
          <w:tcPr>
            <w:tcW w:w="1701" w:type="dxa"/>
            <w:tcBorders>
              <w:top w:val="nil"/>
              <w:bottom w:val="nil"/>
            </w:tcBorders>
            <w:vAlign w:val="center"/>
          </w:tcPr>
          <w:p w14:paraId="4E9056AB"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 (0.3)</w:t>
            </w:r>
          </w:p>
        </w:tc>
      </w:tr>
      <w:tr w:rsidR="00596EFB" w:rsidRPr="00882ACB" w14:paraId="6382B29F" w14:textId="77777777" w:rsidTr="00596EFB">
        <w:tblPrEx>
          <w:tblCellMar>
            <w:top w:w="0" w:type="dxa"/>
            <w:bottom w:w="0" w:type="dxa"/>
          </w:tblCellMar>
        </w:tblPrEx>
        <w:tc>
          <w:tcPr>
            <w:tcW w:w="4422" w:type="dxa"/>
            <w:tcBorders>
              <w:top w:val="nil"/>
              <w:bottom w:val="nil"/>
            </w:tcBorders>
          </w:tcPr>
          <w:p w14:paraId="24BD8859" w14:textId="77777777" w:rsidR="00596EFB" w:rsidRPr="00882ACB" w:rsidRDefault="00596EFB" w:rsidP="000E2ED1">
            <w:pPr>
              <w:spacing w:line="240" w:lineRule="auto"/>
              <w:rPr>
                <w:rFonts w:ascii="Arial" w:hAnsi="Arial" w:cs="Arial"/>
                <w:sz w:val="20"/>
                <w:szCs w:val="18"/>
              </w:rPr>
            </w:pPr>
            <w:r w:rsidRPr="00882ACB">
              <w:rPr>
                <w:rFonts w:ascii="Arial" w:hAnsi="Arial" w:cs="Arial"/>
                <w:sz w:val="20"/>
                <w:szCs w:val="18"/>
              </w:rPr>
              <w:t xml:space="preserve">  Index</w:t>
            </w:r>
          </w:p>
        </w:tc>
        <w:tc>
          <w:tcPr>
            <w:tcW w:w="1701" w:type="dxa"/>
            <w:tcBorders>
              <w:top w:val="nil"/>
              <w:bottom w:val="nil"/>
            </w:tcBorders>
            <w:vAlign w:val="center"/>
          </w:tcPr>
          <w:p w14:paraId="162474E2"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4 (1.2)</w:t>
            </w:r>
          </w:p>
        </w:tc>
        <w:tc>
          <w:tcPr>
            <w:tcW w:w="1701" w:type="dxa"/>
            <w:tcBorders>
              <w:top w:val="nil"/>
              <w:bottom w:val="nil"/>
            </w:tcBorders>
            <w:vAlign w:val="center"/>
          </w:tcPr>
          <w:p w14:paraId="0FA4BE92"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0 (0.0)</w:t>
            </w:r>
          </w:p>
        </w:tc>
      </w:tr>
      <w:tr w:rsidR="00596EFB" w:rsidRPr="00882ACB" w14:paraId="0CC75444" w14:textId="77777777" w:rsidTr="00596EFB">
        <w:tblPrEx>
          <w:tblCellMar>
            <w:top w:w="0" w:type="dxa"/>
            <w:bottom w:w="0" w:type="dxa"/>
          </w:tblCellMar>
        </w:tblPrEx>
        <w:tc>
          <w:tcPr>
            <w:tcW w:w="4422" w:type="dxa"/>
            <w:tcBorders>
              <w:top w:val="nil"/>
              <w:bottom w:val="nil"/>
            </w:tcBorders>
          </w:tcPr>
          <w:p w14:paraId="7701FFD2" w14:textId="77777777" w:rsidR="00596EFB" w:rsidRPr="00882ACB" w:rsidRDefault="00596EFB" w:rsidP="000E2ED1">
            <w:pPr>
              <w:spacing w:line="240" w:lineRule="auto"/>
              <w:rPr>
                <w:rFonts w:ascii="Arial" w:hAnsi="Arial" w:cs="Arial"/>
                <w:sz w:val="20"/>
                <w:szCs w:val="18"/>
              </w:rPr>
            </w:pPr>
            <w:r w:rsidRPr="00882ACB">
              <w:rPr>
                <w:rFonts w:ascii="Arial" w:hAnsi="Arial" w:cs="Arial"/>
                <w:sz w:val="20"/>
                <w:szCs w:val="18"/>
              </w:rPr>
              <w:t xml:space="preserve">  Middle</w:t>
            </w:r>
          </w:p>
        </w:tc>
        <w:tc>
          <w:tcPr>
            <w:tcW w:w="1701" w:type="dxa"/>
            <w:tcBorders>
              <w:top w:val="nil"/>
              <w:bottom w:val="nil"/>
            </w:tcBorders>
            <w:vAlign w:val="center"/>
          </w:tcPr>
          <w:p w14:paraId="22C00CCF"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24 (7.1)</w:t>
            </w:r>
          </w:p>
        </w:tc>
        <w:tc>
          <w:tcPr>
            <w:tcW w:w="1701" w:type="dxa"/>
            <w:tcBorders>
              <w:top w:val="nil"/>
              <w:bottom w:val="nil"/>
            </w:tcBorders>
            <w:vAlign w:val="center"/>
          </w:tcPr>
          <w:p w14:paraId="3CB81BDE"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17 (5.1)</w:t>
            </w:r>
          </w:p>
        </w:tc>
      </w:tr>
      <w:tr w:rsidR="00596EFB" w:rsidRPr="00882ACB" w14:paraId="7452B91D" w14:textId="77777777" w:rsidTr="00596EFB">
        <w:tblPrEx>
          <w:tblCellMar>
            <w:top w:w="0" w:type="dxa"/>
            <w:bottom w:w="0" w:type="dxa"/>
          </w:tblCellMar>
        </w:tblPrEx>
        <w:tc>
          <w:tcPr>
            <w:tcW w:w="4422" w:type="dxa"/>
            <w:tcBorders>
              <w:top w:val="nil"/>
              <w:bottom w:val="nil"/>
            </w:tcBorders>
          </w:tcPr>
          <w:p w14:paraId="3921DE85" w14:textId="77777777" w:rsidR="00596EFB" w:rsidRPr="00882ACB" w:rsidRDefault="00596EFB" w:rsidP="000E2ED1">
            <w:pPr>
              <w:spacing w:line="240" w:lineRule="auto"/>
              <w:rPr>
                <w:rFonts w:ascii="Arial" w:hAnsi="Arial" w:cs="Arial"/>
                <w:sz w:val="20"/>
                <w:szCs w:val="18"/>
              </w:rPr>
            </w:pPr>
            <w:r w:rsidRPr="00882ACB">
              <w:rPr>
                <w:rFonts w:ascii="Arial" w:hAnsi="Arial" w:cs="Arial"/>
                <w:sz w:val="20"/>
                <w:szCs w:val="18"/>
              </w:rPr>
              <w:t xml:space="preserve">  Ring</w:t>
            </w:r>
          </w:p>
        </w:tc>
        <w:tc>
          <w:tcPr>
            <w:tcW w:w="1701" w:type="dxa"/>
            <w:tcBorders>
              <w:top w:val="nil"/>
              <w:bottom w:val="nil"/>
            </w:tcBorders>
            <w:vAlign w:val="center"/>
          </w:tcPr>
          <w:p w14:paraId="63626E3B"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109 (32.4)</w:t>
            </w:r>
          </w:p>
        </w:tc>
        <w:tc>
          <w:tcPr>
            <w:tcW w:w="1701" w:type="dxa"/>
            <w:tcBorders>
              <w:top w:val="nil"/>
              <w:bottom w:val="nil"/>
            </w:tcBorders>
            <w:vAlign w:val="center"/>
          </w:tcPr>
          <w:p w14:paraId="522BA613"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111 (33.0)</w:t>
            </w:r>
          </w:p>
        </w:tc>
      </w:tr>
      <w:tr w:rsidR="00596EFB" w:rsidRPr="00882ACB" w14:paraId="5BB9DED3" w14:textId="77777777" w:rsidTr="00596EFB">
        <w:tblPrEx>
          <w:tblCellMar>
            <w:top w:w="0" w:type="dxa"/>
            <w:bottom w:w="0" w:type="dxa"/>
          </w:tblCellMar>
        </w:tblPrEx>
        <w:tc>
          <w:tcPr>
            <w:tcW w:w="4422" w:type="dxa"/>
            <w:tcBorders>
              <w:top w:val="nil"/>
              <w:bottom w:val="single" w:sz="4" w:space="0" w:color="auto"/>
            </w:tcBorders>
          </w:tcPr>
          <w:p w14:paraId="7DA32CCB" w14:textId="77777777" w:rsidR="00596EFB" w:rsidRPr="00882ACB" w:rsidRDefault="00596EFB" w:rsidP="000E2ED1">
            <w:pPr>
              <w:spacing w:line="240" w:lineRule="auto"/>
              <w:rPr>
                <w:rFonts w:ascii="Arial" w:hAnsi="Arial" w:cs="Arial"/>
                <w:sz w:val="20"/>
                <w:szCs w:val="18"/>
              </w:rPr>
            </w:pPr>
            <w:r w:rsidRPr="00882ACB">
              <w:rPr>
                <w:rFonts w:ascii="Arial" w:hAnsi="Arial" w:cs="Arial"/>
                <w:sz w:val="20"/>
                <w:szCs w:val="18"/>
              </w:rPr>
              <w:t xml:space="preserve">  Little</w:t>
            </w:r>
          </w:p>
        </w:tc>
        <w:tc>
          <w:tcPr>
            <w:tcW w:w="1701" w:type="dxa"/>
            <w:tcBorders>
              <w:top w:val="nil"/>
              <w:bottom w:val="single" w:sz="4" w:space="0" w:color="auto"/>
            </w:tcBorders>
            <w:vAlign w:val="center"/>
          </w:tcPr>
          <w:p w14:paraId="77FA72CF"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198 (58.9)</w:t>
            </w:r>
          </w:p>
        </w:tc>
        <w:tc>
          <w:tcPr>
            <w:tcW w:w="1701" w:type="dxa"/>
            <w:tcBorders>
              <w:top w:val="nil"/>
              <w:bottom w:val="single" w:sz="4" w:space="0" w:color="auto"/>
            </w:tcBorders>
            <w:vAlign w:val="center"/>
          </w:tcPr>
          <w:p w14:paraId="5E137432"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207 (61.6)</w:t>
            </w:r>
          </w:p>
        </w:tc>
      </w:tr>
      <w:tr w:rsidR="00596EFB" w:rsidRPr="00882ACB" w14:paraId="1CDABD76" w14:textId="77777777" w:rsidTr="00596EFB">
        <w:tblPrEx>
          <w:tblCellMar>
            <w:top w:w="0" w:type="dxa"/>
            <w:bottom w:w="0" w:type="dxa"/>
          </w:tblCellMar>
        </w:tblPrEx>
        <w:tc>
          <w:tcPr>
            <w:tcW w:w="4422" w:type="dxa"/>
            <w:tcBorders>
              <w:bottom w:val="nil"/>
            </w:tcBorders>
          </w:tcPr>
          <w:p w14:paraId="42D6577B" w14:textId="77777777" w:rsidR="00596EFB" w:rsidRPr="00882ACB" w:rsidRDefault="00596EFB" w:rsidP="000E2ED1">
            <w:pPr>
              <w:spacing w:line="240" w:lineRule="auto"/>
              <w:rPr>
                <w:rFonts w:ascii="Arial" w:hAnsi="Arial" w:cs="Arial"/>
                <w:sz w:val="20"/>
                <w:szCs w:val="18"/>
              </w:rPr>
            </w:pPr>
            <w:r w:rsidRPr="00882ACB">
              <w:rPr>
                <w:rFonts w:ascii="Arial" w:hAnsi="Arial" w:cs="Arial"/>
                <w:b/>
                <w:sz w:val="20"/>
                <w:szCs w:val="18"/>
              </w:rPr>
              <w:t>Study reference joint, n (%)</w:t>
            </w:r>
          </w:p>
        </w:tc>
        <w:tc>
          <w:tcPr>
            <w:tcW w:w="1701" w:type="dxa"/>
            <w:tcBorders>
              <w:bottom w:val="nil"/>
            </w:tcBorders>
            <w:vAlign w:val="center"/>
          </w:tcPr>
          <w:p w14:paraId="33E6DA9B" w14:textId="77777777" w:rsidR="00596EFB" w:rsidRPr="00882ACB" w:rsidRDefault="00596EFB" w:rsidP="00073723">
            <w:pPr>
              <w:spacing w:line="240" w:lineRule="auto"/>
              <w:jc w:val="center"/>
              <w:rPr>
                <w:rFonts w:ascii="Arial" w:hAnsi="Arial" w:cs="Arial"/>
                <w:sz w:val="20"/>
                <w:szCs w:val="18"/>
              </w:rPr>
            </w:pPr>
          </w:p>
        </w:tc>
        <w:tc>
          <w:tcPr>
            <w:tcW w:w="1701" w:type="dxa"/>
            <w:tcBorders>
              <w:bottom w:val="nil"/>
            </w:tcBorders>
            <w:vAlign w:val="center"/>
          </w:tcPr>
          <w:p w14:paraId="3A5D4CBE" w14:textId="77777777" w:rsidR="00596EFB" w:rsidRPr="00882ACB" w:rsidRDefault="00596EFB" w:rsidP="00073723">
            <w:pPr>
              <w:spacing w:line="240" w:lineRule="auto"/>
              <w:jc w:val="center"/>
              <w:rPr>
                <w:rFonts w:ascii="Arial" w:hAnsi="Arial" w:cs="Arial"/>
                <w:sz w:val="20"/>
                <w:szCs w:val="18"/>
              </w:rPr>
            </w:pPr>
          </w:p>
        </w:tc>
      </w:tr>
      <w:tr w:rsidR="00596EFB" w:rsidRPr="00882ACB" w14:paraId="07A19967" w14:textId="77777777" w:rsidTr="00596EFB">
        <w:tblPrEx>
          <w:tblCellMar>
            <w:top w:w="0" w:type="dxa"/>
            <w:bottom w:w="0" w:type="dxa"/>
          </w:tblCellMar>
        </w:tblPrEx>
        <w:tc>
          <w:tcPr>
            <w:tcW w:w="4422" w:type="dxa"/>
            <w:tcBorders>
              <w:top w:val="nil"/>
              <w:bottom w:val="nil"/>
            </w:tcBorders>
          </w:tcPr>
          <w:p w14:paraId="145ADC30" w14:textId="2A7606F1" w:rsidR="00596EFB" w:rsidRPr="00882ACB" w:rsidRDefault="00596EFB" w:rsidP="000E2ED1">
            <w:pPr>
              <w:spacing w:line="240" w:lineRule="auto"/>
              <w:rPr>
                <w:rFonts w:ascii="Arial" w:hAnsi="Arial" w:cs="Arial"/>
                <w:sz w:val="20"/>
                <w:szCs w:val="20"/>
              </w:rPr>
            </w:pPr>
            <w:r w:rsidRPr="00882ACB">
              <w:rPr>
                <w:rFonts w:ascii="Arial" w:hAnsi="Arial" w:cs="Arial"/>
                <w:sz w:val="20"/>
                <w:szCs w:val="20"/>
              </w:rPr>
              <w:lastRenderedPageBreak/>
              <w:t xml:space="preserve">  Metacarpophalangeal</w:t>
            </w:r>
          </w:p>
        </w:tc>
        <w:tc>
          <w:tcPr>
            <w:tcW w:w="1701" w:type="dxa"/>
            <w:tcBorders>
              <w:top w:val="nil"/>
              <w:bottom w:val="nil"/>
            </w:tcBorders>
            <w:vAlign w:val="center"/>
          </w:tcPr>
          <w:p w14:paraId="7CBDE631"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207 (61.6)</w:t>
            </w:r>
          </w:p>
        </w:tc>
        <w:tc>
          <w:tcPr>
            <w:tcW w:w="1701" w:type="dxa"/>
            <w:tcBorders>
              <w:top w:val="nil"/>
              <w:bottom w:val="nil"/>
            </w:tcBorders>
            <w:vAlign w:val="center"/>
          </w:tcPr>
          <w:p w14:paraId="1C34E4F5"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221 (65.8)</w:t>
            </w:r>
          </w:p>
        </w:tc>
      </w:tr>
      <w:tr w:rsidR="00596EFB" w:rsidRPr="00882ACB" w14:paraId="7B089F5F" w14:textId="77777777" w:rsidTr="00596EFB">
        <w:tblPrEx>
          <w:tblCellMar>
            <w:top w:w="0" w:type="dxa"/>
            <w:bottom w:w="0" w:type="dxa"/>
          </w:tblCellMar>
        </w:tblPrEx>
        <w:tc>
          <w:tcPr>
            <w:tcW w:w="4422" w:type="dxa"/>
            <w:tcBorders>
              <w:top w:val="nil"/>
              <w:bottom w:val="single" w:sz="4" w:space="0" w:color="auto"/>
            </w:tcBorders>
          </w:tcPr>
          <w:p w14:paraId="15D388AD" w14:textId="0CF5118A" w:rsidR="00596EFB" w:rsidRPr="00882ACB" w:rsidRDefault="00596EFB" w:rsidP="000E2ED1">
            <w:pPr>
              <w:spacing w:line="240" w:lineRule="auto"/>
              <w:rPr>
                <w:rFonts w:ascii="Arial" w:hAnsi="Arial" w:cs="Arial"/>
                <w:sz w:val="20"/>
                <w:szCs w:val="20"/>
              </w:rPr>
            </w:pPr>
            <w:r w:rsidRPr="00882ACB">
              <w:rPr>
                <w:rFonts w:ascii="Arial" w:hAnsi="Arial" w:cs="Arial"/>
                <w:sz w:val="20"/>
                <w:szCs w:val="20"/>
              </w:rPr>
              <w:t xml:space="preserve">  Proximal interphalangeal joint</w:t>
            </w:r>
          </w:p>
        </w:tc>
        <w:tc>
          <w:tcPr>
            <w:tcW w:w="1701" w:type="dxa"/>
            <w:tcBorders>
              <w:top w:val="nil"/>
              <w:bottom w:val="single" w:sz="4" w:space="0" w:color="auto"/>
            </w:tcBorders>
            <w:vAlign w:val="center"/>
          </w:tcPr>
          <w:p w14:paraId="6F2F058C"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129 (38.4)</w:t>
            </w:r>
          </w:p>
        </w:tc>
        <w:tc>
          <w:tcPr>
            <w:tcW w:w="1701" w:type="dxa"/>
            <w:tcBorders>
              <w:top w:val="nil"/>
              <w:bottom w:val="single" w:sz="4" w:space="0" w:color="auto"/>
            </w:tcBorders>
            <w:vAlign w:val="center"/>
          </w:tcPr>
          <w:p w14:paraId="79F4CE9B" w14:textId="77777777"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115 (34.2)</w:t>
            </w:r>
          </w:p>
        </w:tc>
      </w:tr>
      <w:tr w:rsidR="00596EFB" w:rsidRPr="00882ACB" w14:paraId="5D3DDED9" w14:textId="77777777" w:rsidTr="00596EFB">
        <w:tblPrEx>
          <w:tblCellMar>
            <w:top w:w="0" w:type="dxa"/>
            <w:bottom w:w="0" w:type="dxa"/>
          </w:tblCellMar>
        </w:tblPrEx>
        <w:tc>
          <w:tcPr>
            <w:tcW w:w="4422" w:type="dxa"/>
            <w:tcBorders>
              <w:top w:val="single" w:sz="4" w:space="0" w:color="auto"/>
              <w:bottom w:val="single" w:sz="4" w:space="0" w:color="auto"/>
            </w:tcBorders>
          </w:tcPr>
          <w:p w14:paraId="0FC43C07" w14:textId="23D51CE9" w:rsidR="00596EFB" w:rsidRPr="00882ACB" w:rsidRDefault="00596EFB" w:rsidP="00073723">
            <w:pPr>
              <w:spacing w:line="240" w:lineRule="auto"/>
              <w:rPr>
                <w:rFonts w:ascii="Arial" w:hAnsi="Arial" w:cs="Arial"/>
                <w:sz w:val="20"/>
                <w:szCs w:val="18"/>
              </w:rPr>
            </w:pPr>
            <w:r w:rsidRPr="00882ACB">
              <w:rPr>
                <w:rFonts w:ascii="Arial" w:hAnsi="Arial" w:cs="Arial"/>
                <w:b/>
                <w:sz w:val="20"/>
                <w:szCs w:val="18"/>
              </w:rPr>
              <w:t>Active extension deficit of ref. joint (°)</w:t>
            </w:r>
          </w:p>
        </w:tc>
        <w:tc>
          <w:tcPr>
            <w:tcW w:w="1701" w:type="dxa"/>
            <w:tcBorders>
              <w:top w:val="single" w:sz="4" w:space="0" w:color="auto"/>
              <w:bottom w:val="single" w:sz="4" w:space="0" w:color="auto"/>
            </w:tcBorders>
            <w:vAlign w:val="center"/>
          </w:tcPr>
          <w:p w14:paraId="763F8785" w14:textId="5E64477D"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52.3 (15.4)</w:t>
            </w:r>
          </w:p>
        </w:tc>
        <w:tc>
          <w:tcPr>
            <w:tcW w:w="1701" w:type="dxa"/>
            <w:tcBorders>
              <w:top w:val="single" w:sz="4" w:space="0" w:color="auto"/>
              <w:bottom w:val="single" w:sz="4" w:space="0" w:color="auto"/>
            </w:tcBorders>
            <w:vAlign w:val="center"/>
          </w:tcPr>
          <w:p w14:paraId="7E3EF53F" w14:textId="481768DE"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51.5 (16.7)</w:t>
            </w:r>
          </w:p>
        </w:tc>
      </w:tr>
      <w:tr w:rsidR="00596EFB" w:rsidRPr="00882ACB" w14:paraId="4E1F2EF8" w14:textId="77777777" w:rsidTr="00596EFB">
        <w:tblPrEx>
          <w:tblCellMar>
            <w:top w:w="0" w:type="dxa"/>
            <w:bottom w:w="0" w:type="dxa"/>
          </w:tblCellMar>
        </w:tblPrEx>
        <w:tc>
          <w:tcPr>
            <w:tcW w:w="4422" w:type="dxa"/>
            <w:tcBorders>
              <w:top w:val="single" w:sz="4" w:space="0" w:color="auto"/>
              <w:bottom w:val="single" w:sz="4" w:space="0" w:color="auto"/>
            </w:tcBorders>
          </w:tcPr>
          <w:p w14:paraId="0B51D83B" w14:textId="77777777" w:rsidR="00596EFB" w:rsidRPr="00882ACB" w:rsidRDefault="00596EFB" w:rsidP="00073723">
            <w:pPr>
              <w:spacing w:line="240" w:lineRule="auto"/>
              <w:rPr>
                <w:rFonts w:ascii="Arial" w:hAnsi="Arial" w:cs="Arial"/>
                <w:sz w:val="20"/>
                <w:szCs w:val="18"/>
              </w:rPr>
            </w:pPr>
            <w:r w:rsidRPr="00882ACB">
              <w:rPr>
                <w:rFonts w:ascii="Arial" w:hAnsi="Arial" w:cs="Arial"/>
                <w:b/>
                <w:sz w:val="20"/>
                <w:szCs w:val="18"/>
              </w:rPr>
              <w:t>Passive extension deficit of ref. joint (°)</w:t>
            </w:r>
          </w:p>
        </w:tc>
        <w:tc>
          <w:tcPr>
            <w:tcW w:w="1701" w:type="dxa"/>
            <w:tcBorders>
              <w:top w:val="single" w:sz="4" w:space="0" w:color="auto"/>
              <w:bottom w:val="single" w:sz="4" w:space="0" w:color="auto"/>
            </w:tcBorders>
            <w:vAlign w:val="center"/>
          </w:tcPr>
          <w:p w14:paraId="5DE0F74B" w14:textId="749B8D13"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45.9 (16.4)</w:t>
            </w:r>
          </w:p>
        </w:tc>
        <w:tc>
          <w:tcPr>
            <w:tcW w:w="1701" w:type="dxa"/>
            <w:tcBorders>
              <w:top w:val="single" w:sz="4" w:space="0" w:color="auto"/>
              <w:bottom w:val="single" w:sz="4" w:space="0" w:color="auto"/>
            </w:tcBorders>
            <w:vAlign w:val="center"/>
          </w:tcPr>
          <w:p w14:paraId="1A7BEA5D" w14:textId="0E80121C"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45.8 (17.3)</w:t>
            </w:r>
          </w:p>
        </w:tc>
      </w:tr>
      <w:tr w:rsidR="00596EFB" w:rsidRPr="00882ACB" w14:paraId="2AB40002" w14:textId="77777777" w:rsidTr="00596EFB">
        <w:tblPrEx>
          <w:tblCellMar>
            <w:top w:w="0" w:type="dxa"/>
            <w:bottom w:w="0" w:type="dxa"/>
          </w:tblCellMar>
        </w:tblPrEx>
        <w:tc>
          <w:tcPr>
            <w:tcW w:w="4422" w:type="dxa"/>
          </w:tcPr>
          <w:p w14:paraId="7F0766A1" w14:textId="30AE8146" w:rsidR="00596EFB" w:rsidRPr="00882ACB" w:rsidRDefault="00596EFB" w:rsidP="00073723">
            <w:pPr>
              <w:spacing w:line="240" w:lineRule="auto"/>
              <w:rPr>
                <w:rFonts w:ascii="Arial" w:hAnsi="Arial" w:cs="Arial"/>
                <w:sz w:val="20"/>
                <w:szCs w:val="18"/>
                <w:vertAlign w:val="superscript"/>
              </w:rPr>
            </w:pPr>
            <w:r w:rsidRPr="00882ACB">
              <w:rPr>
                <w:rFonts w:ascii="Arial" w:hAnsi="Arial" w:cs="Arial"/>
                <w:b/>
                <w:sz w:val="20"/>
                <w:szCs w:val="18"/>
              </w:rPr>
              <w:t>Patient Evaluation Measure Hand Health Questionnaire</w:t>
            </w:r>
            <w:r w:rsidRPr="00882ACB">
              <w:rPr>
                <w:rFonts w:ascii="Arial" w:hAnsi="Arial" w:cs="Arial"/>
                <w:b/>
                <w:sz w:val="20"/>
                <w:szCs w:val="18"/>
                <w:vertAlign w:val="superscript"/>
              </w:rPr>
              <w:t>a</w:t>
            </w:r>
          </w:p>
        </w:tc>
        <w:tc>
          <w:tcPr>
            <w:tcW w:w="1701" w:type="dxa"/>
            <w:vAlign w:val="center"/>
          </w:tcPr>
          <w:p w14:paraId="59F93283" w14:textId="4A21E9A8"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34.1 (19.7)</w:t>
            </w:r>
          </w:p>
        </w:tc>
        <w:tc>
          <w:tcPr>
            <w:tcW w:w="1701" w:type="dxa"/>
            <w:vAlign w:val="center"/>
          </w:tcPr>
          <w:p w14:paraId="4813A787" w14:textId="120DBD42"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34.2 (20.2)</w:t>
            </w:r>
          </w:p>
        </w:tc>
      </w:tr>
      <w:tr w:rsidR="00596EFB" w:rsidRPr="00882ACB" w14:paraId="2F2C03EF" w14:textId="77777777" w:rsidTr="00596EFB">
        <w:tblPrEx>
          <w:tblCellMar>
            <w:top w:w="0" w:type="dxa"/>
            <w:bottom w:w="0" w:type="dxa"/>
          </w:tblCellMar>
        </w:tblPrEx>
        <w:tc>
          <w:tcPr>
            <w:tcW w:w="4422" w:type="dxa"/>
          </w:tcPr>
          <w:p w14:paraId="2A6B8609" w14:textId="31A21F5D" w:rsidR="00596EFB" w:rsidRPr="00882ACB" w:rsidRDefault="00596EFB" w:rsidP="00073723">
            <w:pPr>
              <w:spacing w:line="240" w:lineRule="auto"/>
              <w:rPr>
                <w:rFonts w:ascii="Arial" w:hAnsi="Arial" w:cs="Arial"/>
                <w:b/>
                <w:bCs/>
                <w:sz w:val="20"/>
                <w:szCs w:val="18"/>
                <w:vertAlign w:val="superscript"/>
              </w:rPr>
            </w:pPr>
            <w:proofErr w:type="spellStart"/>
            <w:r w:rsidRPr="00882ACB">
              <w:rPr>
                <w:rFonts w:ascii="Arial" w:hAnsi="Arial" w:cs="Arial"/>
                <w:b/>
                <w:bCs/>
                <w:sz w:val="20"/>
                <w:szCs w:val="20"/>
              </w:rPr>
              <w:t>Unité</w:t>
            </w:r>
            <w:proofErr w:type="spellEnd"/>
            <w:r w:rsidRPr="00882ACB">
              <w:rPr>
                <w:rFonts w:ascii="Arial" w:hAnsi="Arial" w:cs="Arial"/>
                <w:b/>
                <w:bCs/>
                <w:sz w:val="20"/>
                <w:szCs w:val="20"/>
              </w:rPr>
              <w:t xml:space="preserve"> </w:t>
            </w:r>
            <w:proofErr w:type="spellStart"/>
            <w:r w:rsidRPr="00882ACB">
              <w:rPr>
                <w:rFonts w:ascii="Arial" w:hAnsi="Arial" w:cs="Arial"/>
                <w:b/>
                <w:bCs/>
                <w:sz w:val="20"/>
                <w:szCs w:val="20"/>
              </w:rPr>
              <w:t>Rhumatologique</w:t>
            </w:r>
            <w:proofErr w:type="spellEnd"/>
            <w:r w:rsidRPr="00882ACB">
              <w:rPr>
                <w:rFonts w:ascii="Arial" w:hAnsi="Arial" w:cs="Arial"/>
                <w:b/>
                <w:bCs/>
                <w:sz w:val="20"/>
                <w:szCs w:val="20"/>
              </w:rPr>
              <w:t xml:space="preserve"> des Affections de la Main</w:t>
            </w:r>
            <w:r w:rsidRPr="00882ACB">
              <w:rPr>
                <w:rFonts w:ascii="Arial" w:hAnsi="Arial" w:cs="Arial"/>
                <w:b/>
                <w:bCs/>
                <w:sz w:val="20"/>
                <w:szCs w:val="18"/>
              </w:rPr>
              <w:t xml:space="preserve"> total </w:t>
            </w:r>
            <w:proofErr w:type="spellStart"/>
            <w:r w:rsidRPr="00882ACB">
              <w:rPr>
                <w:rFonts w:ascii="Arial" w:hAnsi="Arial" w:cs="Arial"/>
                <w:b/>
                <w:bCs/>
                <w:sz w:val="20"/>
                <w:szCs w:val="18"/>
              </w:rPr>
              <w:t>score</w:t>
            </w:r>
            <w:r w:rsidRPr="00882ACB">
              <w:rPr>
                <w:rFonts w:ascii="Arial" w:hAnsi="Arial" w:cs="Arial"/>
                <w:b/>
                <w:bCs/>
                <w:sz w:val="20"/>
                <w:szCs w:val="18"/>
                <w:vertAlign w:val="superscript"/>
              </w:rPr>
              <w:t>b</w:t>
            </w:r>
            <w:proofErr w:type="spellEnd"/>
          </w:p>
        </w:tc>
        <w:tc>
          <w:tcPr>
            <w:tcW w:w="1701" w:type="dxa"/>
            <w:vAlign w:val="center"/>
          </w:tcPr>
          <w:p w14:paraId="7A01D80A" w14:textId="5C70ACDE"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17.2 (9.5)</w:t>
            </w:r>
          </w:p>
        </w:tc>
        <w:tc>
          <w:tcPr>
            <w:tcW w:w="1701" w:type="dxa"/>
            <w:vAlign w:val="center"/>
          </w:tcPr>
          <w:p w14:paraId="33C9F07E" w14:textId="69A49B89"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17.0 (9.3)</w:t>
            </w:r>
          </w:p>
        </w:tc>
      </w:tr>
      <w:tr w:rsidR="00596EFB" w:rsidRPr="00882ACB" w14:paraId="25A45AE4" w14:textId="77777777" w:rsidTr="00596EFB">
        <w:tblPrEx>
          <w:tblCellMar>
            <w:top w:w="0" w:type="dxa"/>
            <w:bottom w:w="0" w:type="dxa"/>
          </w:tblCellMar>
        </w:tblPrEx>
        <w:tc>
          <w:tcPr>
            <w:tcW w:w="4422" w:type="dxa"/>
          </w:tcPr>
          <w:p w14:paraId="5DD72CB6" w14:textId="1726DC73" w:rsidR="00596EFB" w:rsidRPr="00882ACB" w:rsidRDefault="00596EFB" w:rsidP="00073723">
            <w:pPr>
              <w:spacing w:line="240" w:lineRule="auto"/>
              <w:rPr>
                <w:rFonts w:ascii="Arial" w:hAnsi="Arial" w:cs="Arial"/>
                <w:sz w:val="20"/>
                <w:szCs w:val="18"/>
                <w:vertAlign w:val="superscript"/>
              </w:rPr>
            </w:pPr>
            <w:r w:rsidRPr="00882ACB">
              <w:rPr>
                <w:rFonts w:ascii="Arial" w:hAnsi="Arial" w:cs="Arial"/>
                <w:b/>
                <w:sz w:val="20"/>
                <w:szCs w:val="18"/>
              </w:rPr>
              <w:t xml:space="preserve">Michigan Hand Questionnaire total </w:t>
            </w:r>
            <w:proofErr w:type="spellStart"/>
            <w:r w:rsidRPr="00882ACB">
              <w:rPr>
                <w:rFonts w:ascii="Arial" w:hAnsi="Arial" w:cs="Arial"/>
                <w:b/>
                <w:sz w:val="20"/>
                <w:szCs w:val="18"/>
              </w:rPr>
              <w:t>score</w:t>
            </w:r>
            <w:r w:rsidRPr="00882ACB">
              <w:rPr>
                <w:rFonts w:ascii="Arial" w:hAnsi="Arial" w:cs="Arial"/>
                <w:b/>
                <w:sz w:val="20"/>
                <w:szCs w:val="18"/>
                <w:vertAlign w:val="superscript"/>
              </w:rPr>
              <w:t>c</w:t>
            </w:r>
            <w:proofErr w:type="spellEnd"/>
          </w:p>
        </w:tc>
        <w:tc>
          <w:tcPr>
            <w:tcW w:w="1701" w:type="dxa"/>
            <w:vAlign w:val="center"/>
          </w:tcPr>
          <w:p w14:paraId="22DB1D02" w14:textId="49A50320"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67.5 (17.7)</w:t>
            </w:r>
          </w:p>
        </w:tc>
        <w:tc>
          <w:tcPr>
            <w:tcW w:w="1701" w:type="dxa"/>
            <w:vAlign w:val="center"/>
          </w:tcPr>
          <w:p w14:paraId="4AF495DD" w14:textId="5A75C36E" w:rsidR="00596EFB" w:rsidRPr="00882ACB" w:rsidRDefault="00596EFB" w:rsidP="00073723">
            <w:pPr>
              <w:spacing w:line="240" w:lineRule="auto"/>
              <w:jc w:val="center"/>
              <w:rPr>
                <w:rFonts w:ascii="Arial" w:hAnsi="Arial" w:cs="Arial"/>
                <w:sz w:val="20"/>
                <w:szCs w:val="18"/>
              </w:rPr>
            </w:pPr>
            <w:r w:rsidRPr="00882ACB">
              <w:rPr>
                <w:rFonts w:ascii="Arial" w:hAnsi="Arial" w:cs="Arial"/>
                <w:sz w:val="20"/>
                <w:szCs w:val="18"/>
              </w:rPr>
              <w:t>67.6 (17.1)</w:t>
            </w:r>
          </w:p>
        </w:tc>
      </w:tr>
    </w:tbl>
    <w:p w14:paraId="1CD4075E" w14:textId="3982B0B2" w:rsidR="006C5E1E" w:rsidRPr="00882ACB" w:rsidRDefault="00E31F05" w:rsidP="00A432A3">
      <w:pPr>
        <w:rPr>
          <w:rFonts w:ascii="Arial" w:hAnsi="Arial" w:cs="Arial"/>
        </w:rPr>
      </w:pPr>
      <w:proofErr w:type="spellStart"/>
      <w:r w:rsidRPr="00882ACB">
        <w:rPr>
          <w:rFonts w:ascii="Arial" w:hAnsi="Arial" w:cs="Arial"/>
          <w:color w:val="000000" w:themeColor="text1"/>
          <w:sz w:val="16"/>
          <w:szCs w:val="16"/>
          <w:vertAlign w:val="superscript"/>
        </w:rPr>
        <w:t>a</w:t>
      </w:r>
      <w:r w:rsidRPr="00882ACB">
        <w:rPr>
          <w:rFonts w:ascii="Arial" w:hAnsi="Arial" w:cs="Arial"/>
          <w:color w:val="000000" w:themeColor="text1"/>
          <w:sz w:val="16"/>
          <w:szCs w:val="16"/>
        </w:rPr>
        <w:t>Range</w:t>
      </w:r>
      <w:proofErr w:type="spellEnd"/>
      <w:r w:rsidRPr="00882ACB">
        <w:rPr>
          <w:rFonts w:ascii="Arial" w:hAnsi="Arial" w:cs="Arial"/>
          <w:color w:val="000000" w:themeColor="text1"/>
          <w:sz w:val="16"/>
          <w:szCs w:val="16"/>
        </w:rPr>
        <w:t xml:space="preserve"> 0 - 100, higher scores indicate greater disability; </w:t>
      </w:r>
      <w:proofErr w:type="spellStart"/>
      <w:r w:rsidRPr="00882ACB">
        <w:rPr>
          <w:rFonts w:ascii="Arial" w:hAnsi="Arial" w:cs="Arial"/>
          <w:color w:val="000000" w:themeColor="text1"/>
          <w:sz w:val="16"/>
          <w:szCs w:val="16"/>
          <w:vertAlign w:val="superscript"/>
        </w:rPr>
        <w:t>b</w:t>
      </w:r>
      <w:r w:rsidRPr="00882ACB">
        <w:rPr>
          <w:rFonts w:ascii="Arial" w:hAnsi="Arial" w:cs="Arial"/>
          <w:color w:val="000000" w:themeColor="text1"/>
          <w:sz w:val="16"/>
          <w:szCs w:val="16"/>
        </w:rPr>
        <w:t>Range</w:t>
      </w:r>
      <w:proofErr w:type="spellEnd"/>
      <w:r w:rsidRPr="00882ACB">
        <w:rPr>
          <w:rFonts w:ascii="Arial" w:hAnsi="Arial" w:cs="Arial"/>
          <w:color w:val="000000" w:themeColor="text1"/>
          <w:sz w:val="16"/>
          <w:szCs w:val="16"/>
        </w:rPr>
        <w:t xml:space="preserve"> 0 - 45, higher scores indicate greater difficulties; </w:t>
      </w:r>
      <w:proofErr w:type="spellStart"/>
      <w:r w:rsidRPr="00882ACB">
        <w:rPr>
          <w:rFonts w:ascii="Arial" w:hAnsi="Arial" w:cs="Arial"/>
          <w:color w:val="000000" w:themeColor="text1"/>
          <w:sz w:val="16"/>
          <w:szCs w:val="16"/>
          <w:vertAlign w:val="superscript"/>
        </w:rPr>
        <w:t>c</w:t>
      </w:r>
      <w:r w:rsidRPr="00882ACB">
        <w:rPr>
          <w:rFonts w:ascii="Arial" w:hAnsi="Arial" w:cs="Arial"/>
          <w:color w:val="000000" w:themeColor="text1"/>
          <w:sz w:val="16"/>
          <w:szCs w:val="16"/>
        </w:rPr>
        <w:t>Range</w:t>
      </w:r>
      <w:proofErr w:type="spellEnd"/>
      <w:r w:rsidRPr="00882ACB">
        <w:rPr>
          <w:rFonts w:ascii="Arial" w:hAnsi="Arial" w:cs="Arial"/>
          <w:color w:val="000000" w:themeColor="text1"/>
          <w:sz w:val="16"/>
          <w:szCs w:val="16"/>
        </w:rPr>
        <w:t xml:space="preserve"> 0 - 100, higher scores indicate better function, less pain, greater satisfaction. * </w:t>
      </w:r>
    </w:p>
    <w:p w14:paraId="0E98A771" w14:textId="7A3041DC" w:rsidR="008F5DDD" w:rsidRDefault="00AE6C5E" w:rsidP="00AE6C5E">
      <w:pPr>
        <w:spacing w:after="0"/>
        <w:rPr>
          <w:rFonts w:ascii="Helvetica" w:eastAsia="Times New Roman" w:hAnsi="Helvetica" w:cs="Helvetica"/>
          <w:color w:val="222222"/>
          <w:sz w:val="16"/>
          <w:szCs w:val="16"/>
          <w:lang w:val="en-US"/>
        </w:rPr>
      </w:pPr>
      <w:proofErr w:type="spellStart"/>
      <w:r>
        <w:rPr>
          <w:rFonts w:ascii="Helvetica" w:eastAsia="Times New Roman" w:hAnsi="Helvetica" w:cs="Helvetica"/>
          <w:color w:val="222222"/>
          <w:sz w:val="16"/>
          <w:szCs w:val="16"/>
          <w:shd w:val="clear" w:color="auto" w:fill="FFFFFF"/>
          <w:vertAlign w:val="superscript"/>
          <w:lang w:val="en-US"/>
        </w:rPr>
        <w:t>b</w:t>
      </w:r>
      <w:r w:rsidRPr="00AE6C5E">
        <w:rPr>
          <w:rFonts w:ascii="Helvetica" w:eastAsia="Times New Roman" w:hAnsi="Helvetica" w:cs="Helvetica"/>
          <w:color w:val="222222"/>
          <w:sz w:val="16"/>
          <w:szCs w:val="16"/>
          <w:shd w:val="clear" w:color="auto" w:fill="FFFFFF"/>
          <w:lang w:val="en-US"/>
        </w:rPr>
        <w:t>The</w:t>
      </w:r>
      <w:r w:rsidR="00FF29B6">
        <w:rPr>
          <w:rFonts w:ascii="Helvetica" w:eastAsia="Times New Roman" w:hAnsi="Helvetica" w:cs="Helvetica"/>
          <w:color w:val="222222"/>
          <w:sz w:val="16"/>
          <w:szCs w:val="16"/>
          <w:shd w:val="clear" w:color="auto" w:fill="FFFFFF"/>
          <w:lang w:val="en-US"/>
        </w:rPr>
        <w:t>se</w:t>
      </w:r>
      <w:proofErr w:type="spellEnd"/>
      <w:r w:rsidR="00FF29B6">
        <w:rPr>
          <w:rFonts w:ascii="Helvetica" w:eastAsia="Times New Roman" w:hAnsi="Helvetica" w:cs="Helvetica"/>
          <w:color w:val="222222"/>
          <w:sz w:val="16"/>
          <w:szCs w:val="16"/>
          <w:shd w:val="clear" w:color="auto" w:fill="FFFFFF"/>
          <w:lang w:val="en-US"/>
        </w:rPr>
        <w:t xml:space="preserve"> conditions are associated with</w:t>
      </w:r>
      <w:r w:rsidR="003800AE">
        <w:rPr>
          <w:rFonts w:ascii="Helvetica" w:eastAsia="Times New Roman" w:hAnsi="Helvetica" w:cs="Helvetica"/>
          <w:color w:val="222222"/>
          <w:sz w:val="16"/>
          <w:szCs w:val="16"/>
          <w:shd w:val="clear" w:color="auto" w:fill="FFFFFF"/>
          <w:lang w:val="en-US"/>
        </w:rPr>
        <w:t xml:space="preserve"> D</w:t>
      </w:r>
      <w:r w:rsidRPr="00AE6C5E">
        <w:rPr>
          <w:rFonts w:ascii="Helvetica" w:eastAsia="Times New Roman" w:hAnsi="Helvetica" w:cs="Helvetica"/>
          <w:color w:val="222222"/>
          <w:sz w:val="16"/>
          <w:szCs w:val="16"/>
          <w:shd w:val="clear" w:color="auto" w:fill="FFFFFF"/>
          <w:lang w:val="en-US"/>
        </w:rPr>
        <w:t xml:space="preserve">upuytren’s </w:t>
      </w:r>
      <w:r w:rsidR="00FF29B6">
        <w:rPr>
          <w:rFonts w:ascii="Helvetica" w:eastAsia="Times New Roman" w:hAnsi="Helvetica" w:cs="Helvetica"/>
          <w:color w:val="222222"/>
          <w:sz w:val="16"/>
          <w:szCs w:val="16"/>
          <w:shd w:val="clear" w:color="auto" w:fill="FFFFFF"/>
          <w:lang w:val="en-US"/>
        </w:rPr>
        <w:t>contracture</w:t>
      </w:r>
      <w:r w:rsidRPr="00AE6C5E">
        <w:rPr>
          <w:rFonts w:ascii="Helvetica" w:eastAsia="Times New Roman" w:hAnsi="Helvetica" w:cs="Helvetica"/>
          <w:color w:val="222222"/>
          <w:sz w:val="16"/>
          <w:szCs w:val="16"/>
          <w:shd w:val="clear" w:color="auto" w:fill="FFFFFF"/>
          <w:lang w:val="en-US"/>
        </w:rPr>
        <w:t>.</w:t>
      </w:r>
      <w:r>
        <w:rPr>
          <w:rFonts w:ascii="Helvetica" w:eastAsia="Times New Roman" w:hAnsi="Helvetica" w:cs="Helvetica"/>
          <w:color w:val="222222"/>
          <w:sz w:val="16"/>
          <w:szCs w:val="16"/>
          <w:shd w:val="clear" w:color="auto" w:fill="FFFFFF"/>
          <w:lang w:val="en-US"/>
        </w:rPr>
        <w:t xml:space="preserve"> </w:t>
      </w:r>
      <w:proofErr w:type="spellStart"/>
      <w:r w:rsidRPr="00AE6C5E">
        <w:rPr>
          <w:rFonts w:ascii="Helvetica" w:eastAsia="Times New Roman" w:hAnsi="Helvetica" w:cs="Helvetica"/>
          <w:color w:val="222222"/>
          <w:sz w:val="16"/>
          <w:szCs w:val="16"/>
          <w:lang w:val="en-US"/>
        </w:rPr>
        <w:t>Ledderhose’s</w:t>
      </w:r>
      <w:proofErr w:type="spellEnd"/>
      <w:r w:rsidRPr="00AE6C5E">
        <w:rPr>
          <w:rFonts w:ascii="Helvetica" w:eastAsia="Times New Roman" w:hAnsi="Helvetica" w:cs="Helvetica"/>
          <w:color w:val="222222"/>
          <w:sz w:val="16"/>
          <w:szCs w:val="16"/>
          <w:lang w:val="en-US"/>
        </w:rPr>
        <w:t xml:space="preserve"> disease is plantar fibromatosis creating slow-growing nodules usually in the plantar fascia of the instep </w:t>
      </w:r>
      <w:r w:rsidR="00FF29B6">
        <w:rPr>
          <w:rFonts w:ascii="Helvetica" w:eastAsia="Times New Roman" w:hAnsi="Helvetica" w:cs="Helvetica"/>
          <w:color w:val="222222"/>
          <w:sz w:val="16"/>
          <w:szCs w:val="16"/>
          <w:lang w:val="en-US"/>
        </w:rPr>
        <w:t xml:space="preserve">and </w:t>
      </w:r>
      <w:r w:rsidRPr="00AE6C5E">
        <w:rPr>
          <w:rFonts w:ascii="Helvetica" w:eastAsia="Times New Roman" w:hAnsi="Helvetica" w:cs="Helvetica"/>
          <w:color w:val="222222"/>
          <w:sz w:val="16"/>
          <w:szCs w:val="16"/>
          <w:lang w:val="en-US"/>
        </w:rPr>
        <w:t>rarely causing flexion contractures of toes.</w:t>
      </w:r>
      <w:r w:rsidR="00FF29B6">
        <w:rPr>
          <w:rFonts w:ascii="Helvetica" w:eastAsia="Times New Roman" w:hAnsi="Helvetica" w:cs="Helvetica"/>
          <w:color w:val="222222"/>
          <w:sz w:val="16"/>
          <w:szCs w:val="16"/>
          <w:lang w:val="en-US"/>
        </w:rPr>
        <w:t xml:space="preserve"> </w:t>
      </w:r>
      <w:r w:rsidRPr="00AE6C5E">
        <w:rPr>
          <w:rFonts w:ascii="Helvetica" w:eastAsia="Times New Roman" w:hAnsi="Helvetica" w:cs="Helvetica"/>
          <w:color w:val="222222"/>
          <w:sz w:val="16"/>
          <w:szCs w:val="16"/>
          <w:lang w:val="en-US"/>
        </w:rPr>
        <w:t xml:space="preserve">Garrod’s pads/knuckle pads are fibrous pads with myofibroblast proliferation almost always occurring over the dorsum of one or more proximal </w:t>
      </w:r>
      <w:proofErr w:type="spellStart"/>
      <w:r w:rsidRPr="00AE6C5E">
        <w:rPr>
          <w:rFonts w:ascii="Helvetica" w:eastAsia="Times New Roman" w:hAnsi="Helvetica" w:cs="Helvetica"/>
          <w:color w:val="222222"/>
          <w:sz w:val="16"/>
          <w:szCs w:val="16"/>
          <w:lang w:val="en-US"/>
        </w:rPr>
        <w:t>interplalangeal</w:t>
      </w:r>
      <w:proofErr w:type="spellEnd"/>
      <w:r w:rsidRPr="00AE6C5E">
        <w:rPr>
          <w:rFonts w:ascii="Helvetica" w:eastAsia="Times New Roman" w:hAnsi="Helvetica" w:cs="Helvetica"/>
          <w:color w:val="222222"/>
          <w:sz w:val="16"/>
          <w:szCs w:val="16"/>
          <w:lang w:val="en-US"/>
        </w:rPr>
        <w:t xml:space="preserve"> finger joints.</w:t>
      </w:r>
      <w:r>
        <w:rPr>
          <w:rFonts w:ascii="Helvetica" w:eastAsia="Times New Roman" w:hAnsi="Helvetica" w:cs="Helvetica"/>
          <w:color w:val="222222"/>
          <w:sz w:val="16"/>
          <w:szCs w:val="16"/>
          <w:lang w:val="en-US"/>
        </w:rPr>
        <w:t xml:space="preserve"> </w:t>
      </w:r>
      <w:proofErr w:type="spellStart"/>
      <w:r w:rsidRPr="00AE6C5E">
        <w:rPr>
          <w:rFonts w:ascii="Helvetica" w:eastAsia="Times New Roman" w:hAnsi="Helvetica" w:cs="Helvetica"/>
          <w:color w:val="222222"/>
          <w:sz w:val="16"/>
          <w:szCs w:val="16"/>
          <w:lang w:val="en-US"/>
        </w:rPr>
        <w:t>Peyronie’s</w:t>
      </w:r>
      <w:proofErr w:type="spellEnd"/>
      <w:r w:rsidRPr="00AE6C5E">
        <w:rPr>
          <w:rFonts w:ascii="Helvetica" w:eastAsia="Times New Roman" w:hAnsi="Helvetica" w:cs="Helvetica"/>
          <w:color w:val="222222"/>
          <w:sz w:val="16"/>
          <w:szCs w:val="16"/>
          <w:lang w:val="en-US"/>
        </w:rPr>
        <w:t xml:space="preserve"> disease is fibromatosis creating a plaque in part of the penis which can cause the penis to </w:t>
      </w:r>
      <w:r w:rsidR="00BD7D23" w:rsidRPr="00AE6C5E">
        <w:rPr>
          <w:rFonts w:ascii="Helvetica" w:eastAsia="Times New Roman" w:hAnsi="Helvetica" w:cs="Helvetica"/>
          <w:color w:val="222222"/>
          <w:sz w:val="16"/>
          <w:szCs w:val="16"/>
          <w:lang w:val="en-US"/>
        </w:rPr>
        <w:t>bend</w:t>
      </w:r>
      <w:r w:rsidR="00FF29B6">
        <w:rPr>
          <w:rFonts w:ascii="Helvetica" w:eastAsia="Times New Roman" w:hAnsi="Helvetica" w:cs="Helvetica"/>
          <w:color w:val="222222"/>
          <w:sz w:val="16"/>
          <w:szCs w:val="16"/>
          <w:lang w:val="en-US"/>
        </w:rPr>
        <w:t>, especially</w:t>
      </w:r>
      <w:r w:rsidRPr="00AE6C5E">
        <w:rPr>
          <w:rFonts w:ascii="Helvetica" w:eastAsia="Times New Roman" w:hAnsi="Helvetica" w:cs="Helvetica"/>
          <w:color w:val="222222"/>
          <w:sz w:val="16"/>
          <w:szCs w:val="16"/>
          <w:lang w:val="en-US"/>
        </w:rPr>
        <w:t xml:space="preserve"> during erection.</w:t>
      </w:r>
    </w:p>
    <w:p w14:paraId="285B8757" w14:textId="77777777" w:rsidR="008F5DDD" w:rsidRDefault="008F5DDD">
      <w:pPr>
        <w:spacing w:line="259" w:lineRule="auto"/>
        <w:rPr>
          <w:rFonts w:ascii="Helvetica" w:eastAsia="Times New Roman" w:hAnsi="Helvetica" w:cs="Helvetica"/>
          <w:color w:val="222222"/>
          <w:sz w:val="16"/>
          <w:szCs w:val="16"/>
          <w:lang w:val="en-US"/>
        </w:rPr>
      </w:pPr>
      <w:r>
        <w:rPr>
          <w:rFonts w:ascii="Helvetica" w:eastAsia="Times New Roman" w:hAnsi="Helvetica" w:cs="Helvetica"/>
          <w:color w:val="222222"/>
          <w:sz w:val="16"/>
          <w:szCs w:val="16"/>
          <w:lang w:val="en-US"/>
        </w:rPr>
        <w:br w:type="page"/>
      </w:r>
    </w:p>
    <w:p w14:paraId="2544E9CF" w14:textId="77777777" w:rsidR="008F5DDD" w:rsidRDefault="008F5DDD" w:rsidP="008F5DDD">
      <w:pPr>
        <w:spacing w:after="100" w:afterAutospacing="1"/>
        <w:rPr>
          <w:rFonts w:ascii="Arial" w:hAnsi="Arial" w:cs="Arial"/>
          <w:szCs w:val="24"/>
        </w:rPr>
      </w:pPr>
      <w:r w:rsidRPr="00882ACB">
        <w:rPr>
          <w:rFonts w:ascii="Arial" w:hAnsi="Arial" w:cs="Arial"/>
          <w:szCs w:val="24"/>
        </w:rPr>
        <w:lastRenderedPageBreak/>
        <w:t xml:space="preserve">Table 2: </w:t>
      </w:r>
      <w:r>
        <w:rPr>
          <w:rFonts w:ascii="Arial" w:hAnsi="Arial" w:cs="Arial"/>
          <w:szCs w:val="24"/>
        </w:rPr>
        <w:t xml:space="preserve">Complications and adverse </w:t>
      </w:r>
      <w:proofErr w:type="spellStart"/>
      <w:r>
        <w:rPr>
          <w:rFonts w:ascii="Arial" w:hAnsi="Arial" w:cs="Arial"/>
          <w:szCs w:val="24"/>
        </w:rPr>
        <w:t>events</w:t>
      </w:r>
      <w:r w:rsidRPr="000124DC">
        <w:rPr>
          <w:rFonts w:ascii="Arial" w:hAnsi="Arial" w:cs="Arial"/>
          <w:szCs w:val="24"/>
          <w:vertAlign w:val="superscript"/>
        </w:rPr>
        <w:t>ǂ</w:t>
      </w:r>
      <w:proofErr w:type="spellEnd"/>
      <w:r>
        <w:rPr>
          <w:rFonts w:ascii="Arial" w:hAnsi="Arial" w:cs="Arial"/>
          <w:szCs w:val="24"/>
        </w:rPr>
        <w:t xml:space="preserve"> according to </w:t>
      </w:r>
      <w:r w:rsidRPr="00882ACB">
        <w:rPr>
          <w:rFonts w:ascii="Arial" w:hAnsi="Arial" w:cs="Arial"/>
          <w:szCs w:val="24"/>
        </w:rPr>
        <w:t xml:space="preserve">treatment allocation. </w:t>
      </w:r>
    </w:p>
    <w:tbl>
      <w:tblPr>
        <w:tblStyle w:val="TableGrid"/>
        <w:tblW w:w="0" w:type="auto"/>
        <w:tblLook w:val="04A0" w:firstRow="1" w:lastRow="0" w:firstColumn="1" w:lastColumn="0" w:noHBand="0" w:noVBand="1"/>
      </w:tblPr>
      <w:tblGrid>
        <w:gridCol w:w="4579"/>
        <w:gridCol w:w="2048"/>
        <w:gridCol w:w="2389"/>
      </w:tblGrid>
      <w:tr w:rsidR="008F5DDD" w:rsidRPr="00882ACB" w14:paraId="74894436" w14:textId="77777777" w:rsidTr="002B4D65">
        <w:trPr>
          <w:trHeight w:val="310"/>
        </w:trPr>
        <w:tc>
          <w:tcPr>
            <w:tcW w:w="9016" w:type="dxa"/>
            <w:gridSpan w:val="3"/>
            <w:vAlign w:val="center"/>
          </w:tcPr>
          <w:p w14:paraId="5FCA7221" w14:textId="77777777" w:rsidR="008F5DDD" w:rsidRPr="00882ACB" w:rsidRDefault="008F5DDD" w:rsidP="002B4D65">
            <w:pPr>
              <w:rPr>
                <w:rFonts w:ascii="Arial" w:hAnsi="Arial" w:cs="Arial"/>
                <w:sz w:val="22"/>
              </w:rPr>
            </w:pPr>
            <w:r>
              <w:rPr>
                <w:rFonts w:ascii="Arial" w:hAnsi="Arial" w:cs="Arial"/>
                <w:b/>
                <w:bCs/>
                <w:sz w:val="22"/>
              </w:rPr>
              <w:t xml:space="preserve">Classification of complications/adverse </w:t>
            </w:r>
            <w:proofErr w:type="spellStart"/>
            <w:r w:rsidRPr="006763DD">
              <w:rPr>
                <w:rFonts w:ascii="Arial" w:hAnsi="Arial" w:cs="Arial"/>
                <w:b/>
                <w:bCs/>
                <w:sz w:val="22"/>
              </w:rPr>
              <w:t>events</w:t>
            </w:r>
            <w:r w:rsidRPr="006763DD">
              <w:rPr>
                <w:rFonts w:ascii="Arial" w:hAnsi="Arial" w:cs="Arial"/>
                <w:b/>
                <w:bCs/>
                <w:sz w:val="20"/>
                <w:szCs w:val="20"/>
              </w:rPr>
              <w:t>ǂ</w:t>
            </w:r>
            <w:proofErr w:type="spellEnd"/>
            <w:r w:rsidRPr="006763DD">
              <w:rPr>
                <w:rFonts w:ascii="Arial" w:hAnsi="Arial" w:cs="Arial"/>
                <w:b/>
                <w:bCs/>
                <w:sz w:val="20"/>
                <w:szCs w:val="20"/>
              </w:rPr>
              <w:t>~</w:t>
            </w:r>
          </w:p>
        </w:tc>
      </w:tr>
      <w:tr w:rsidR="008F5DDD" w:rsidRPr="00882ACB" w14:paraId="52AFE767" w14:textId="77777777" w:rsidTr="002B4D65">
        <w:trPr>
          <w:trHeight w:val="310"/>
        </w:trPr>
        <w:tc>
          <w:tcPr>
            <w:tcW w:w="4579" w:type="dxa"/>
          </w:tcPr>
          <w:p w14:paraId="510ABEDB" w14:textId="77777777" w:rsidR="008F5DDD" w:rsidRPr="00882ACB" w:rsidRDefault="008F5DDD" w:rsidP="002B4D65">
            <w:pPr>
              <w:rPr>
                <w:rFonts w:ascii="Arial" w:hAnsi="Arial" w:cs="Arial"/>
                <w:b/>
                <w:bCs/>
                <w:sz w:val="22"/>
              </w:rPr>
            </w:pPr>
          </w:p>
        </w:tc>
        <w:tc>
          <w:tcPr>
            <w:tcW w:w="2048" w:type="dxa"/>
          </w:tcPr>
          <w:p w14:paraId="2448BF7C" w14:textId="77777777" w:rsidR="008F5DDD" w:rsidRPr="00882ACB" w:rsidRDefault="008F5DDD" w:rsidP="002B4D65">
            <w:pPr>
              <w:rPr>
                <w:rFonts w:ascii="Arial" w:hAnsi="Arial" w:cs="Arial"/>
                <w:b/>
                <w:bCs/>
                <w:sz w:val="22"/>
              </w:rPr>
            </w:pPr>
            <w:r w:rsidRPr="00882ACB">
              <w:rPr>
                <w:rFonts w:ascii="Arial" w:hAnsi="Arial" w:cs="Arial"/>
                <w:b/>
                <w:bCs/>
                <w:sz w:val="22"/>
              </w:rPr>
              <w:t>Limited fasciectomy</w:t>
            </w:r>
          </w:p>
        </w:tc>
        <w:tc>
          <w:tcPr>
            <w:tcW w:w="2389" w:type="dxa"/>
          </w:tcPr>
          <w:p w14:paraId="15E6CF6B" w14:textId="77777777" w:rsidR="008F5DDD" w:rsidRPr="00882ACB" w:rsidRDefault="008F5DDD" w:rsidP="002B4D65">
            <w:pPr>
              <w:rPr>
                <w:rFonts w:ascii="Arial" w:hAnsi="Arial" w:cs="Arial"/>
                <w:b/>
                <w:bCs/>
                <w:sz w:val="22"/>
              </w:rPr>
            </w:pPr>
            <w:r w:rsidRPr="00882ACB">
              <w:rPr>
                <w:rFonts w:ascii="Arial" w:hAnsi="Arial" w:cs="Arial"/>
                <w:b/>
                <w:bCs/>
                <w:sz w:val="22"/>
              </w:rPr>
              <w:t>Collagenase</w:t>
            </w:r>
          </w:p>
        </w:tc>
      </w:tr>
      <w:tr w:rsidR="008F5DDD" w:rsidRPr="00882ACB" w14:paraId="1C4A583F" w14:textId="77777777" w:rsidTr="002B4D65">
        <w:trPr>
          <w:trHeight w:val="310"/>
        </w:trPr>
        <w:tc>
          <w:tcPr>
            <w:tcW w:w="4579" w:type="dxa"/>
          </w:tcPr>
          <w:p w14:paraId="414D48B6" w14:textId="77777777" w:rsidR="008F5DDD" w:rsidRPr="00882ACB" w:rsidRDefault="008F5DDD" w:rsidP="002B4D65">
            <w:pPr>
              <w:rPr>
                <w:rFonts w:ascii="Arial" w:hAnsi="Arial" w:cs="Arial"/>
                <w:b/>
                <w:bCs/>
                <w:sz w:val="22"/>
              </w:rPr>
            </w:pPr>
          </w:p>
        </w:tc>
        <w:tc>
          <w:tcPr>
            <w:tcW w:w="2048" w:type="dxa"/>
          </w:tcPr>
          <w:p w14:paraId="4CEB5658" w14:textId="77777777" w:rsidR="008F5DDD" w:rsidRPr="00882ACB" w:rsidRDefault="008F5DDD" w:rsidP="002B4D65">
            <w:pPr>
              <w:rPr>
                <w:rFonts w:ascii="Arial" w:hAnsi="Arial" w:cs="Arial"/>
                <w:b/>
                <w:bCs/>
                <w:sz w:val="22"/>
              </w:rPr>
            </w:pPr>
            <w:r w:rsidRPr="00882ACB">
              <w:rPr>
                <w:rFonts w:ascii="Arial" w:hAnsi="Arial" w:cs="Arial"/>
                <w:b/>
                <w:bCs/>
                <w:sz w:val="22"/>
              </w:rPr>
              <w:t>N = 295</w:t>
            </w:r>
          </w:p>
        </w:tc>
        <w:tc>
          <w:tcPr>
            <w:tcW w:w="2389" w:type="dxa"/>
          </w:tcPr>
          <w:p w14:paraId="7B5C3AD8" w14:textId="77777777" w:rsidR="008F5DDD" w:rsidRPr="00882ACB" w:rsidRDefault="008F5DDD" w:rsidP="002B4D65">
            <w:pPr>
              <w:rPr>
                <w:rFonts w:ascii="Arial" w:hAnsi="Arial" w:cs="Arial"/>
                <w:b/>
                <w:bCs/>
                <w:sz w:val="22"/>
              </w:rPr>
            </w:pPr>
            <w:r w:rsidRPr="00882ACB">
              <w:rPr>
                <w:rFonts w:ascii="Arial" w:hAnsi="Arial" w:cs="Arial"/>
                <w:b/>
                <w:bCs/>
                <w:sz w:val="22"/>
              </w:rPr>
              <w:t>N = 326</w:t>
            </w:r>
          </w:p>
        </w:tc>
      </w:tr>
      <w:tr w:rsidR="008F5DDD" w:rsidRPr="00882ACB" w14:paraId="4A698D08" w14:textId="77777777" w:rsidTr="002B4D65">
        <w:trPr>
          <w:trHeight w:val="310"/>
        </w:trPr>
        <w:tc>
          <w:tcPr>
            <w:tcW w:w="4579" w:type="dxa"/>
          </w:tcPr>
          <w:p w14:paraId="6B283264" w14:textId="77777777" w:rsidR="008F5DDD" w:rsidRPr="00ED34F7" w:rsidRDefault="008F5DDD" w:rsidP="002B4D65">
            <w:pPr>
              <w:rPr>
                <w:rFonts w:ascii="Arial" w:hAnsi="Arial" w:cs="Arial"/>
                <w:sz w:val="22"/>
              </w:rPr>
            </w:pPr>
            <w:r>
              <w:rPr>
                <w:rFonts w:ascii="Arial" w:hAnsi="Arial" w:cs="Arial"/>
                <w:sz w:val="22"/>
              </w:rPr>
              <w:t>Pain, swelling or stiffness, n (%)*</w:t>
            </w:r>
          </w:p>
        </w:tc>
        <w:tc>
          <w:tcPr>
            <w:tcW w:w="2048" w:type="dxa"/>
          </w:tcPr>
          <w:p w14:paraId="00220770" w14:textId="77777777" w:rsidR="008F5DDD" w:rsidRPr="00ED34F7" w:rsidRDefault="008F5DDD" w:rsidP="002B4D65">
            <w:pPr>
              <w:rPr>
                <w:rFonts w:ascii="Arial" w:hAnsi="Arial" w:cs="Arial"/>
                <w:sz w:val="22"/>
              </w:rPr>
            </w:pPr>
            <w:r>
              <w:rPr>
                <w:rFonts w:ascii="Arial" w:hAnsi="Arial" w:cs="Arial"/>
                <w:sz w:val="22"/>
              </w:rPr>
              <w:t>48 (16.3)</w:t>
            </w:r>
          </w:p>
        </w:tc>
        <w:tc>
          <w:tcPr>
            <w:tcW w:w="2389" w:type="dxa"/>
            <w:vAlign w:val="center"/>
          </w:tcPr>
          <w:p w14:paraId="348416C0" w14:textId="77777777" w:rsidR="008F5DDD" w:rsidRPr="00ED34F7" w:rsidRDefault="008F5DDD" w:rsidP="002B4D65">
            <w:pPr>
              <w:rPr>
                <w:rFonts w:ascii="Arial" w:hAnsi="Arial" w:cs="Arial"/>
                <w:sz w:val="22"/>
              </w:rPr>
            </w:pPr>
            <w:r>
              <w:rPr>
                <w:rFonts w:ascii="Arial" w:hAnsi="Arial" w:cs="Arial"/>
                <w:sz w:val="22"/>
              </w:rPr>
              <w:t>70 (21.5)</w:t>
            </w:r>
          </w:p>
        </w:tc>
      </w:tr>
      <w:tr w:rsidR="008F5DDD" w:rsidRPr="00882ACB" w14:paraId="45B7F25C" w14:textId="77777777" w:rsidTr="002B4D65">
        <w:trPr>
          <w:trHeight w:val="310"/>
        </w:trPr>
        <w:tc>
          <w:tcPr>
            <w:tcW w:w="4579" w:type="dxa"/>
          </w:tcPr>
          <w:p w14:paraId="4E54467E" w14:textId="77777777" w:rsidR="008F5DDD" w:rsidRPr="00ED34F7" w:rsidRDefault="008F5DDD" w:rsidP="002B4D65">
            <w:pPr>
              <w:rPr>
                <w:rFonts w:ascii="Arial" w:hAnsi="Arial" w:cs="Arial"/>
                <w:sz w:val="22"/>
              </w:rPr>
            </w:pPr>
            <w:r>
              <w:rPr>
                <w:rFonts w:ascii="Arial" w:hAnsi="Arial" w:cs="Arial"/>
                <w:sz w:val="22"/>
              </w:rPr>
              <w:t>Skin, scar or wound related (excluding wound infection), n (%)*</w:t>
            </w:r>
          </w:p>
        </w:tc>
        <w:tc>
          <w:tcPr>
            <w:tcW w:w="2048" w:type="dxa"/>
          </w:tcPr>
          <w:p w14:paraId="122140C5" w14:textId="77777777" w:rsidR="008F5DDD" w:rsidRPr="00ED34F7" w:rsidRDefault="008F5DDD" w:rsidP="002B4D65">
            <w:pPr>
              <w:rPr>
                <w:rFonts w:ascii="Arial" w:hAnsi="Arial" w:cs="Arial"/>
                <w:sz w:val="22"/>
              </w:rPr>
            </w:pPr>
            <w:r>
              <w:rPr>
                <w:rFonts w:ascii="Arial" w:hAnsi="Arial" w:cs="Arial"/>
                <w:sz w:val="22"/>
              </w:rPr>
              <w:t>36 (12.2)</w:t>
            </w:r>
          </w:p>
        </w:tc>
        <w:tc>
          <w:tcPr>
            <w:tcW w:w="2389" w:type="dxa"/>
          </w:tcPr>
          <w:p w14:paraId="20BE75BF" w14:textId="77777777" w:rsidR="008F5DDD" w:rsidRPr="00ED34F7" w:rsidRDefault="008F5DDD" w:rsidP="002B4D65">
            <w:pPr>
              <w:rPr>
                <w:rFonts w:ascii="Arial" w:hAnsi="Arial" w:cs="Arial"/>
                <w:sz w:val="22"/>
              </w:rPr>
            </w:pPr>
            <w:r>
              <w:rPr>
                <w:rFonts w:ascii="Arial" w:hAnsi="Arial" w:cs="Arial"/>
                <w:sz w:val="22"/>
              </w:rPr>
              <w:t>59 (18.1)</w:t>
            </w:r>
          </w:p>
        </w:tc>
      </w:tr>
      <w:tr w:rsidR="008F5DDD" w:rsidRPr="00882ACB" w14:paraId="2D7C9862" w14:textId="77777777" w:rsidTr="002B4D65">
        <w:trPr>
          <w:trHeight w:val="310"/>
        </w:trPr>
        <w:tc>
          <w:tcPr>
            <w:tcW w:w="4579" w:type="dxa"/>
          </w:tcPr>
          <w:p w14:paraId="3CD98252" w14:textId="77777777" w:rsidR="008F5DDD" w:rsidRPr="00882ACB" w:rsidRDefault="008F5DDD" w:rsidP="002B4D65">
            <w:pPr>
              <w:rPr>
                <w:rFonts w:ascii="Arial" w:hAnsi="Arial" w:cs="Arial"/>
                <w:sz w:val="22"/>
              </w:rPr>
            </w:pPr>
            <w:r w:rsidRPr="00882ACB">
              <w:rPr>
                <w:rFonts w:ascii="Arial" w:hAnsi="Arial" w:cs="Arial"/>
                <w:sz w:val="22"/>
              </w:rPr>
              <w:t>Wound (infection), n (%*)</w:t>
            </w:r>
            <w:r w:rsidRPr="00131A2D">
              <w:rPr>
                <w:rFonts w:ascii="Arial" w:hAnsi="Arial" w:cs="Arial"/>
                <w:sz w:val="22"/>
                <w:vertAlign w:val="superscript"/>
              </w:rPr>
              <w:t>~</w:t>
            </w:r>
          </w:p>
        </w:tc>
        <w:tc>
          <w:tcPr>
            <w:tcW w:w="2048" w:type="dxa"/>
          </w:tcPr>
          <w:p w14:paraId="7F6967E4" w14:textId="77777777" w:rsidR="008F5DDD" w:rsidRPr="00882ACB" w:rsidRDefault="008F5DDD" w:rsidP="002B4D65">
            <w:pPr>
              <w:rPr>
                <w:rFonts w:ascii="Arial" w:hAnsi="Arial" w:cs="Arial"/>
                <w:sz w:val="22"/>
              </w:rPr>
            </w:pPr>
            <w:r>
              <w:rPr>
                <w:rFonts w:ascii="Arial" w:hAnsi="Arial" w:cs="Arial"/>
                <w:sz w:val="22"/>
              </w:rPr>
              <w:t>6 (2.0)</w:t>
            </w:r>
          </w:p>
        </w:tc>
        <w:tc>
          <w:tcPr>
            <w:tcW w:w="2389" w:type="dxa"/>
          </w:tcPr>
          <w:p w14:paraId="09C38972" w14:textId="77777777" w:rsidR="008F5DDD" w:rsidRPr="00882ACB" w:rsidRDefault="008F5DDD" w:rsidP="002B4D65">
            <w:pPr>
              <w:rPr>
                <w:rFonts w:ascii="Arial" w:hAnsi="Arial" w:cs="Arial"/>
                <w:sz w:val="22"/>
              </w:rPr>
            </w:pPr>
            <w:r>
              <w:rPr>
                <w:rFonts w:ascii="Arial" w:hAnsi="Arial" w:cs="Arial"/>
                <w:sz w:val="22"/>
              </w:rPr>
              <w:t>0 (0.0)</w:t>
            </w:r>
          </w:p>
        </w:tc>
      </w:tr>
      <w:tr w:rsidR="008F5DDD" w:rsidRPr="00882ACB" w14:paraId="0E90A980" w14:textId="77777777" w:rsidTr="002B4D65">
        <w:trPr>
          <w:trHeight w:val="310"/>
        </w:trPr>
        <w:tc>
          <w:tcPr>
            <w:tcW w:w="4579" w:type="dxa"/>
          </w:tcPr>
          <w:p w14:paraId="1FEEA366" w14:textId="77777777" w:rsidR="008F5DDD" w:rsidRPr="00ED34F7" w:rsidRDefault="008F5DDD" w:rsidP="002B4D65">
            <w:pPr>
              <w:rPr>
                <w:rFonts w:ascii="Arial" w:hAnsi="Arial" w:cs="Arial"/>
                <w:sz w:val="22"/>
              </w:rPr>
            </w:pPr>
            <w:r w:rsidRPr="00C2384D">
              <w:rPr>
                <w:rFonts w:ascii="Arial" w:hAnsi="Arial" w:cs="Arial"/>
                <w:sz w:val="22"/>
              </w:rPr>
              <w:t>Nerve related</w:t>
            </w:r>
            <w:r>
              <w:rPr>
                <w:rFonts w:ascii="Arial" w:hAnsi="Arial" w:cs="Arial"/>
                <w:sz w:val="22"/>
              </w:rPr>
              <w:t xml:space="preserve">, </w:t>
            </w:r>
            <w:r w:rsidRPr="00882ACB">
              <w:rPr>
                <w:rFonts w:ascii="Arial" w:hAnsi="Arial" w:cs="Arial"/>
                <w:sz w:val="22"/>
              </w:rPr>
              <w:t>n (%*)</w:t>
            </w:r>
          </w:p>
        </w:tc>
        <w:tc>
          <w:tcPr>
            <w:tcW w:w="2048" w:type="dxa"/>
          </w:tcPr>
          <w:p w14:paraId="20FF3196" w14:textId="77777777" w:rsidR="008F5DDD" w:rsidRPr="00ED34F7" w:rsidRDefault="008F5DDD" w:rsidP="002B4D65">
            <w:pPr>
              <w:rPr>
                <w:rFonts w:ascii="Arial" w:hAnsi="Arial" w:cs="Arial"/>
                <w:sz w:val="22"/>
              </w:rPr>
            </w:pPr>
            <w:r>
              <w:rPr>
                <w:rFonts w:ascii="Arial" w:hAnsi="Arial" w:cs="Arial"/>
                <w:sz w:val="22"/>
              </w:rPr>
              <w:t>42 (14.2)</w:t>
            </w:r>
          </w:p>
        </w:tc>
        <w:tc>
          <w:tcPr>
            <w:tcW w:w="2389" w:type="dxa"/>
          </w:tcPr>
          <w:p w14:paraId="791DFD70" w14:textId="77777777" w:rsidR="008F5DDD" w:rsidRPr="00ED34F7" w:rsidRDefault="008F5DDD" w:rsidP="002B4D65">
            <w:pPr>
              <w:rPr>
                <w:rFonts w:ascii="Arial" w:hAnsi="Arial" w:cs="Arial"/>
                <w:sz w:val="22"/>
              </w:rPr>
            </w:pPr>
            <w:r>
              <w:rPr>
                <w:rFonts w:ascii="Arial" w:hAnsi="Arial" w:cs="Arial"/>
                <w:sz w:val="22"/>
              </w:rPr>
              <w:t>18 (5.5)</w:t>
            </w:r>
          </w:p>
        </w:tc>
      </w:tr>
      <w:tr w:rsidR="008F5DDD" w:rsidRPr="00882ACB" w14:paraId="67765CB6" w14:textId="77777777" w:rsidTr="002B4D65">
        <w:trPr>
          <w:trHeight w:val="310"/>
        </w:trPr>
        <w:tc>
          <w:tcPr>
            <w:tcW w:w="4579" w:type="dxa"/>
          </w:tcPr>
          <w:p w14:paraId="5EC3580F" w14:textId="77777777" w:rsidR="008F5DDD" w:rsidRPr="00ED34F7" w:rsidRDefault="008F5DDD" w:rsidP="002B4D65">
            <w:pPr>
              <w:rPr>
                <w:rFonts w:ascii="Arial" w:hAnsi="Arial" w:cs="Arial"/>
                <w:sz w:val="22"/>
              </w:rPr>
            </w:pPr>
            <w:r w:rsidRPr="00C2384D">
              <w:rPr>
                <w:rFonts w:ascii="Arial" w:hAnsi="Arial" w:cs="Arial"/>
                <w:sz w:val="22"/>
              </w:rPr>
              <w:t>Circulation</w:t>
            </w:r>
            <w:r>
              <w:rPr>
                <w:rFonts w:ascii="Arial" w:hAnsi="Arial" w:cs="Arial"/>
                <w:sz w:val="22"/>
              </w:rPr>
              <w:t xml:space="preserve"> or</w:t>
            </w:r>
            <w:r w:rsidRPr="00C2384D">
              <w:rPr>
                <w:rFonts w:ascii="Arial" w:hAnsi="Arial" w:cs="Arial"/>
                <w:sz w:val="22"/>
              </w:rPr>
              <w:t xml:space="preserve"> </w:t>
            </w:r>
            <w:r>
              <w:rPr>
                <w:rFonts w:ascii="Arial" w:hAnsi="Arial" w:cs="Arial"/>
                <w:sz w:val="22"/>
              </w:rPr>
              <w:t>b</w:t>
            </w:r>
            <w:r w:rsidRPr="00C2384D">
              <w:rPr>
                <w:rFonts w:ascii="Arial" w:hAnsi="Arial" w:cs="Arial"/>
                <w:sz w:val="22"/>
              </w:rPr>
              <w:t>leeding related</w:t>
            </w:r>
            <w:r>
              <w:rPr>
                <w:rFonts w:ascii="Arial" w:hAnsi="Arial" w:cs="Arial"/>
                <w:sz w:val="22"/>
              </w:rPr>
              <w:t xml:space="preserve">, </w:t>
            </w:r>
            <w:r w:rsidRPr="00882ACB">
              <w:rPr>
                <w:rFonts w:ascii="Arial" w:hAnsi="Arial" w:cs="Arial"/>
                <w:sz w:val="22"/>
              </w:rPr>
              <w:t>n (%*)</w:t>
            </w:r>
          </w:p>
        </w:tc>
        <w:tc>
          <w:tcPr>
            <w:tcW w:w="2048" w:type="dxa"/>
          </w:tcPr>
          <w:p w14:paraId="07161902" w14:textId="77777777" w:rsidR="008F5DDD" w:rsidRPr="00ED34F7" w:rsidRDefault="008F5DDD" w:rsidP="002B4D65">
            <w:pPr>
              <w:rPr>
                <w:rFonts w:ascii="Arial" w:hAnsi="Arial" w:cs="Arial"/>
                <w:sz w:val="22"/>
              </w:rPr>
            </w:pPr>
            <w:r>
              <w:rPr>
                <w:rFonts w:ascii="Arial" w:hAnsi="Arial" w:cs="Arial"/>
                <w:sz w:val="22"/>
              </w:rPr>
              <w:t>13 (4.4)</w:t>
            </w:r>
          </w:p>
        </w:tc>
        <w:tc>
          <w:tcPr>
            <w:tcW w:w="2389" w:type="dxa"/>
          </w:tcPr>
          <w:p w14:paraId="75CA283B" w14:textId="77777777" w:rsidR="008F5DDD" w:rsidRPr="00ED34F7" w:rsidRDefault="008F5DDD" w:rsidP="002B4D65">
            <w:pPr>
              <w:rPr>
                <w:rFonts w:ascii="Arial" w:hAnsi="Arial" w:cs="Arial"/>
                <w:sz w:val="22"/>
              </w:rPr>
            </w:pPr>
            <w:r>
              <w:rPr>
                <w:rFonts w:ascii="Arial" w:hAnsi="Arial" w:cs="Arial"/>
                <w:sz w:val="22"/>
              </w:rPr>
              <w:t>46 (14.1)</w:t>
            </w:r>
          </w:p>
        </w:tc>
      </w:tr>
      <w:tr w:rsidR="008F5DDD" w:rsidRPr="00882ACB" w14:paraId="43D22862" w14:textId="77777777" w:rsidTr="002B4D65">
        <w:trPr>
          <w:trHeight w:val="310"/>
        </w:trPr>
        <w:tc>
          <w:tcPr>
            <w:tcW w:w="4579" w:type="dxa"/>
          </w:tcPr>
          <w:p w14:paraId="42CFA6EE" w14:textId="77777777" w:rsidR="008F5DDD" w:rsidRPr="00882ACB" w:rsidRDefault="008F5DDD" w:rsidP="002B4D65">
            <w:pPr>
              <w:rPr>
                <w:rFonts w:ascii="Arial" w:hAnsi="Arial" w:cs="Arial"/>
                <w:sz w:val="22"/>
              </w:rPr>
            </w:pPr>
            <w:proofErr w:type="spellStart"/>
            <w:r w:rsidRPr="00882ACB">
              <w:rPr>
                <w:rFonts w:ascii="Arial" w:hAnsi="Arial" w:cs="Arial"/>
                <w:sz w:val="22"/>
              </w:rPr>
              <w:t>Raynauds</w:t>
            </w:r>
            <w:proofErr w:type="spellEnd"/>
            <w:r w:rsidRPr="00882ACB">
              <w:rPr>
                <w:rFonts w:ascii="Arial" w:hAnsi="Arial" w:cs="Arial"/>
                <w:sz w:val="22"/>
              </w:rPr>
              <w:t>, n (%*)</w:t>
            </w:r>
          </w:p>
        </w:tc>
        <w:tc>
          <w:tcPr>
            <w:tcW w:w="2048" w:type="dxa"/>
          </w:tcPr>
          <w:p w14:paraId="3343D91F" w14:textId="77777777" w:rsidR="008F5DDD" w:rsidRPr="00882ACB" w:rsidRDefault="008F5DDD" w:rsidP="002B4D65">
            <w:pPr>
              <w:rPr>
                <w:rFonts w:ascii="Arial" w:hAnsi="Arial" w:cs="Arial"/>
                <w:sz w:val="22"/>
              </w:rPr>
            </w:pPr>
            <w:r>
              <w:rPr>
                <w:rFonts w:ascii="Arial" w:hAnsi="Arial" w:cs="Arial"/>
                <w:sz w:val="22"/>
              </w:rPr>
              <w:t>5 (1.7)</w:t>
            </w:r>
          </w:p>
        </w:tc>
        <w:tc>
          <w:tcPr>
            <w:tcW w:w="2389" w:type="dxa"/>
          </w:tcPr>
          <w:p w14:paraId="4CED39E0" w14:textId="77777777" w:rsidR="008F5DDD" w:rsidRPr="00882ACB" w:rsidRDefault="008F5DDD" w:rsidP="002B4D65">
            <w:pPr>
              <w:rPr>
                <w:rFonts w:ascii="Arial" w:hAnsi="Arial" w:cs="Arial"/>
                <w:sz w:val="22"/>
              </w:rPr>
            </w:pPr>
            <w:r>
              <w:rPr>
                <w:rFonts w:ascii="Arial" w:hAnsi="Arial" w:cs="Arial"/>
                <w:sz w:val="22"/>
              </w:rPr>
              <w:t>2 (0.6)</w:t>
            </w:r>
          </w:p>
        </w:tc>
      </w:tr>
      <w:tr w:rsidR="008F5DDD" w:rsidRPr="00882ACB" w14:paraId="26B82F90" w14:textId="77777777" w:rsidTr="002B4D65">
        <w:trPr>
          <w:trHeight w:val="310"/>
        </w:trPr>
        <w:tc>
          <w:tcPr>
            <w:tcW w:w="4579" w:type="dxa"/>
          </w:tcPr>
          <w:p w14:paraId="7064018E" w14:textId="77777777" w:rsidR="008F5DDD" w:rsidRPr="00882ACB" w:rsidRDefault="008F5DDD" w:rsidP="002B4D65">
            <w:pPr>
              <w:rPr>
                <w:rFonts w:ascii="Arial" w:hAnsi="Arial" w:cs="Arial"/>
                <w:b/>
                <w:bCs/>
                <w:sz w:val="22"/>
              </w:rPr>
            </w:pPr>
            <w:r w:rsidRPr="00882ACB">
              <w:rPr>
                <w:rFonts w:ascii="Arial" w:hAnsi="Arial" w:cs="Arial"/>
                <w:sz w:val="22"/>
              </w:rPr>
              <w:t>Amputation, n (%*)</w:t>
            </w:r>
          </w:p>
        </w:tc>
        <w:tc>
          <w:tcPr>
            <w:tcW w:w="2048" w:type="dxa"/>
          </w:tcPr>
          <w:p w14:paraId="479C8924" w14:textId="77777777" w:rsidR="008F5DDD" w:rsidRPr="0002507F" w:rsidRDefault="008F5DDD" w:rsidP="002B4D65">
            <w:pPr>
              <w:rPr>
                <w:rFonts w:ascii="Arial" w:hAnsi="Arial" w:cs="Arial"/>
                <w:sz w:val="22"/>
              </w:rPr>
            </w:pPr>
            <w:r>
              <w:rPr>
                <w:rFonts w:ascii="Arial" w:hAnsi="Arial" w:cs="Arial"/>
                <w:szCs w:val="24"/>
              </w:rPr>
              <w:t>1 (0.3)</w:t>
            </w:r>
          </w:p>
        </w:tc>
        <w:tc>
          <w:tcPr>
            <w:tcW w:w="2389" w:type="dxa"/>
          </w:tcPr>
          <w:p w14:paraId="5B45FAED" w14:textId="77777777" w:rsidR="008F5DDD" w:rsidRPr="00882ACB" w:rsidRDefault="008F5DDD" w:rsidP="002B4D65">
            <w:pPr>
              <w:rPr>
                <w:rFonts w:ascii="Arial" w:hAnsi="Arial" w:cs="Arial"/>
                <w:sz w:val="22"/>
              </w:rPr>
            </w:pPr>
            <w:r>
              <w:rPr>
                <w:rFonts w:ascii="Arial" w:hAnsi="Arial" w:cs="Arial"/>
                <w:sz w:val="22"/>
              </w:rPr>
              <w:t>0 (0.0)</w:t>
            </w:r>
          </w:p>
        </w:tc>
      </w:tr>
      <w:tr w:rsidR="008F5DDD" w:rsidRPr="00882ACB" w14:paraId="2CD8E3C9" w14:textId="77777777" w:rsidTr="002B4D65">
        <w:trPr>
          <w:trHeight w:val="310"/>
        </w:trPr>
        <w:tc>
          <w:tcPr>
            <w:tcW w:w="4579" w:type="dxa"/>
          </w:tcPr>
          <w:p w14:paraId="03057C83" w14:textId="77777777" w:rsidR="008F5DDD" w:rsidRPr="00882ACB" w:rsidRDefault="008F5DDD" w:rsidP="002B4D65">
            <w:pPr>
              <w:rPr>
                <w:rFonts w:ascii="Arial" w:hAnsi="Arial" w:cs="Arial"/>
                <w:sz w:val="22"/>
              </w:rPr>
            </w:pPr>
            <w:r w:rsidRPr="00882ACB">
              <w:rPr>
                <w:rFonts w:ascii="Arial" w:hAnsi="Arial" w:cs="Arial"/>
                <w:sz w:val="22"/>
              </w:rPr>
              <w:t xml:space="preserve">Complex Regional Pain Syndrome - </w:t>
            </w:r>
            <w:proofErr w:type="spellStart"/>
            <w:r w:rsidRPr="00882ACB">
              <w:rPr>
                <w:rFonts w:ascii="Arial" w:hAnsi="Arial" w:cs="Arial"/>
                <w:sz w:val="22"/>
              </w:rPr>
              <w:t>algodystrophy</w:t>
            </w:r>
            <w:proofErr w:type="spellEnd"/>
            <w:r w:rsidRPr="00882ACB">
              <w:rPr>
                <w:rFonts w:ascii="Arial" w:hAnsi="Arial" w:cs="Arial"/>
                <w:sz w:val="22"/>
              </w:rPr>
              <w:t>, n (%*)</w:t>
            </w:r>
          </w:p>
        </w:tc>
        <w:tc>
          <w:tcPr>
            <w:tcW w:w="2048" w:type="dxa"/>
          </w:tcPr>
          <w:p w14:paraId="04864EDD" w14:textId="77777777" w:rsidR="008F5DDD" w:rsidRPr="0002507F" w:rsidRDefault="008F5DDD" w:rsidP="002B4D65">
            <w:pPr>
              <w:rPr>
                <w:rFonts w:ascii="Arial" w:hAnsi="Arial" w:cs="Arial"/>
                <w:sz w:val="22"/>
              </w:rPr>
            </w:pPr>
            <w:r>
              <w:rPr>
                <w:rFonts w:ascii="Arial" w:hAnsi="Arial" w:cs="Arial"/>
                <w:sz w:val="22"/>
              </w:rPr>
              <w:t>2 (0.7)</w:t>
            </w:r>
          </w:p>
        </w:tc>
        <w:tc>
          <w:tcPr>
            <w:tcW w:w="2389" w:type="dxa"/>
          </w:tcPr>
          <w:p w14:paraId="2F8C1A47" w14:textId="77777777" w:rsidR="008F5DDD" w:rsidRPr="00882ACB" w:rsidRDefault="008F5DDD" w:rsidP="002B4D65">
            <w:pPr>
              <w:rPr>
                <w:rFonts w:ascii="Arial" w:hAnsi="Arial" w:cs="Arial"/>
                <w:sz w:val="22"/>
              </w:rPr>
            </w:pPr>
            <w:r>
              <w:rPr>
                <w:rFonts w:ascii="Arial" w:hAnsi="Arial" w:cs="Arial"/>
                <w:sz w:val="22"/>
              </w:rPr>
              <w:t>0 (0.0)</w:t>
            </w:r>
          </w:p>
        </w:tc>
      </w:tr>
      <w:tr w:rsidR="008F5DDD" w:rsidRPr="00882ACB" w14:paraId="536AA2C2" w14:textId="77777777" w:rsidTr="002B4D65">
        <w:trPr>
          <w:trHeight w:val="310"/>
        </w:trPr>
        <w:tc>
          <w:tcPr>
            <w:tcW w:w="4579" w:type="dxa"/>
          </w:tcPr>
          <w:p w14:paraId="17A763FC" w14:textId="77777777" w:rsidR="008F5DDD" w:rsidRPr="00882ACB" w:rsidRDefault="008F5DDD" w:rsidP="002B4D65">
            <w:pPr>
              <w:rPr>
                <w:rFonts w:ascii="Arial" w:hAnsi="Arial" w:cs="Arial"/>
                <w:sz w:val="22"/>
              </w:rPr>
            </w:pPr>
            <w:r w:rsidRPr="00C2384D">
              <w:rPr>
                <w:rFonts w:ascii="Arial" w:hAnsi="Arial" w:cs="Arial"/>
                <w:sz w:val="22"/>
              </w:rPr>
              <w:t>Lymph related</w:t>
            </w:r>
          </w:p>
        </w:tc>
        <w:tc>
          <w:tcPr>
            <w:tcW w:w="2048" w:type="dxa"/>
          </w:tcPr>
          <w:p w14:paraId="0BB38118" w14:textId="77777777" w:rsidR="008F5DDD" w:rsidRPr="00882ACB" w:rsidRDefault="008F5DDD" w:rsidP="002B4D65">
            <w:pPr>
              <w:rPr>
                <w:rFonts w:ascii="Arial" w:hAnsi="Arial" w:cs="Arial"/>
                <w:sz w:val="22"/>
              </w:rPr>
            </w:pPr>
            <w:r>
              <w:rPr>
                <w:rFonts w:ascii="Arial" w:hAnsi="Arial" w:cs="Arial"/>
                <w:sz w:val="22"/>
              </w:rPr>
              <w:t>0 (0.0)</w:t>
            </w:r>
          </w:p>
        </w:tc>
        <w:tc>
          <w:tcPr>
            <w:tcW w:w="2389" w:type="dxa"/>
          </w:tcPr>
          <w:p w14:paraId="006C3CF1" w14:textId="77777777" w:rsidR="008F5DDD" w:rsidRPr="00882ACB" w:rsidRDefault="008F5DDD" w:rsidP="002B4D65">
            <w:pPr>
              <w:rPr>
                <w:rFonts w:ascii="Arial" w:hAnsi="Arial" w:cs="Arial"/>
                <w:sz w:val="22"/>
              </w:rPr>
            </w:pPr>
            <w:r>
              <w:rPr>
                <w:rFonts w:ascii="Arial" w:hAnsi="Arial" w:cs="Arial"/>
                <w:sz w:val="22"/>
              </w:rPr>
              <w:t>5 (1.5)</w:t>
            </w:r>
          </w:p>
        </w:tc>
      </w:tr>
      <w:tr w:rsidR="008F5DDD" w:rsidRPr="00882ACB" w14:paraId="06352C5D" w14:textId="77777777" w:rsidTr="002B4D65">
        <w:trPr>
          <w:trHeight w:val="310"/>
        </w:trPr>
        <w:tc>
          <w:tcPr>
            <w:tcW w:w="4579" w:type="dxa"/>
          </w:tcPr>
          <w:p w14:paraId="3CF2CD53" w14:textId="77777777" w:rsidR="008F5DDD" w:rsidRPr="00882ACB" w:rsidRDefault="008F5DDD" w:rsidP="002B4D65">
            <w:pPr>
              <w:rPr>
                <w:rFonts w:ascii="Arial" w:hAnsi="Arial" w:cs="Arial"/>
                <w:b/>
                <w:bCs/>
                <w:sz w:val="22"/>
              </w:rPr>
            </w:pPr>
            <w:r w:rsidRPr="00882ACB">
              <w:rPr>
                <w:rFonts w:ascii="Arial" w:hAnsi="Arial" w:cs="Arial"/>
                <w:sz w:val="22"/>
              </w:rPr>
              <w:t>Other, n (%*)</w:t>
            </w:r>
            <w:r w:rsidRPr="00952240">
              <w:rPr>
                <w:rFonts w:ascii="Arial" w:hAnsi="Arial" w:cs="Arial"/>
                <w:sz w:val="20"/>
                <w:szCs w:val="20"/>
                <w:vertAlign w:val="superscript"/>
              </w:rPr>
              <w:t>¶</w:t>
            </w:r>
          </w:p>
        </w:tc>
        <w:tc>
          <w:tcPr>
            <w:tcW w:w="2048" w:type="dxa"/>
          </w:tcPr>
          <w:p w14:paraId="49BBB282" w14:textId="77777777" w:rsidR="008F5DDD" w:rsidRPr="00882ACB" w:rsidRDefault="008F5DDD" w:rsidP="002B4D65">
            <w:pPr>
              <w:rPr>
                <w:rFonts w:ascii="Arial" w:hAnsi="Arial" w:cs="Arial"/>
                <w:sz w:val="22"/>
              </w:rPr>
            </w:pPr>
            <w:r>
              <w:rPr>
                <w:rFonts w:ascii="Arial" w:hAnsi="Arial" w:cs="Arial"/>
                <w:sz w:val="22"/>
              </w:rPr>
              <w:t>4 (1.4)</w:t>
            </w:r>
          </w:p>
        </w:tc>
        <w:tc>
          <w:tcPr>
            <w:tcW w:w="2389" w:type="dxa"/>
          </w:tcPr>
          <w:p w14:paraId="40BBF866" w14:textId="77777777" w:rsidR="008F5DDD" w:rsidRPr="00882ACB" w:rsidRDefault="008F5DDD" w:rsidP="002B4D65">
            <w:pPr>
              <w:rPr>
                <w:rFonts w:ascii="Arial" w:hAnsi="Arial" w:cs="Arial"/>
                <w:sz w:val="22"/>
              </w:rPr>
            </w:pPr>
            <w:r>
              <w:rPr>
                <w:rFonts w:ascii="Arial" w:hAnsi="Arial" w:cs="Arial"/>
                <w:sz w:val="22"/>
              </w:rPr>
              <w:t>6 (1.8)</w:t>
            </w:r>
          </w:p>
        </w:tc>
      </w:tr>
      <w:tr w:rsidR="008F5DDD" w:rsidRPr="00882ACB" w14:paraId="5DB85111" w14:textId="77777777" w:rsidTr="002B4D65">
        <w:trPr>
          <w:trHeight w:val="310"/>
        </w:trPr>
        <w:tc>
          <w:tcPr>
            <w:tcW w:w="4579" w:type="dxa"/>
          </w:tcPr>
          <w:p w14:paraId="40F38DF4" w14:textId="77777777" w:rsidR="008F5DDD" w:rsidRPr="00882ACB" w:rsidRDefault="008F5DDD" w:rsidP="002B4D65">
            <w:pPr>
              <w:rPr>
                <w:rFonts w:ascii="Arial" w:hAnsi="Arial" w:cs="Arial"/>
                <w:sz w:val="22"/>
              </w:rPr>
            </w:pPr>
            <w:r w:rsidRPr="00882ACB">
              <w:rPr>
                <w:rFonts w:ascii="Arial" w:hAnsi="Arial" w:cs="Arial"/>
                <w:sz w:val="22"/>
              </w:rPr>
              <w:t>Instability, n (%*)</w:t>
            </w:r>
          </w:p>
        </w:tc>
        <w:tc>
          <w:tcPr>
            <w:tcW w:w="2048" w:type="dxa"/>
          </w:tcPr>
          <w:p w14:paraId="5A999CE2" w14:textId="77777777" w:rsidR="008F5DDD" w:rsidRPr="00882ACB" w:rsidRDefault="008F5DDD" w:rsidP="002B4D65">
            <w:pPr>
              <w:rPr>
                <w:rFonts w:ascii="Arial" w:hAnsi="Arial" w:cs="Arial"/>
                <w:sz w:val="22"/>
              </w:rPr>
            </w:pPr>
            <w:r>
              <w:rPr>
                <w:rFonts w:ascii="Arial" w:hAnsi="Arial" w:cs="Arial"/>
                <w:sz w:val="22"/>
              </w:rPr>
              <w:t>0 (0.0)</w:t>
            </w:r>
          </w:p>
        </w:tc>
        <w:tc>
          <w:tcPr>
            <w:tcW w:w="2389" w:type="dxa"/>
          </w:tcPr>
          <w:p w14:paraId="522482BC" w14:textId="77777777" w:rsidR="008F5DDD" w:rsidRPr="00882ACB" w:rsidRDefault="008F5DDD" w:rsidP="002B4D65">
            <w:pPr>
              <w:rPr>
                <w:rFonts w:ascii="Arial" w:hAnsi="Arial" w:cs="Arial"/>
                <w:sz w:val="22"/>
              </w:rPr>
            </w:pPr>
            <w:r>
              <w:rPr>
                <w:rFonts w:ascii="Arial" w:hAnsi="Arial" w:cs="Arial"/>
                <w:sz w:val="22"/>
              </w:rPr>
              <w:t>1 (0.3)</w:t>
            </w:r>
          </w:p>
        </w:tc>
      </w:tr>
      <w:tr w:rsidR="008F5DDD" w:rsidRPr="00882ACB" w14:paraId="7D6CF8AA" w14:textId="77777777" w:rsidTr="002B4D65">
        <w:trPr>
          <w:trHeight w:val="310"/>
        </w:trPr>
        <w:tc>
          <w:tcPr>
            <w:tcW w:w="4579" w:type="dxa"/>
          </w:tcPr>
          <w:p w14:paraId="030AF32A" w14:textId="77777777" w:rsidR="008F5DDD" w:rsidRPr="00882ACB" w:rsidRDefault="008F5DDD" w:rsidP="002B4D65">
            <w:pPr>
              <w:rPr>
                <w:rFonts w:ascii="Arial" w:hAnsi="Arial" w:cs="Arial"/>
                <w:sz w:val="22"/>
              </w:rPr>
            </w:pPr>
            <w:r w:rsidRPr="00882ACB">
              <w:rPr>
                <w:rFonts w:ascii="Arial" w:hAnsi="Arial" w:cs="Arial"/>
                <w:b/>
                <w:bCs/>
                <w:sz w:val="22"/>
              </w:rPr>
              <w:t>Complication Severity **</w:t>
            </w:r>
          </w:p>
        </w:tc>
        <w:tc>
          <w:tcPr>
            <w:tcW w:w="2048" w:type="dxa"/>
          </w:tcPr>
          <w:p w14:paraId="561F3AA5" w14:textId="77777777" w:rsidR="008F5DDD" w:rsidRDefault="008F5DDD" w:rsidP="002B4D65">
            <w:pPr>
              <w:rPr>
                <w:rFonts w:ascii="Arial" w:hAnsi="Arial" w:cs="Arial"/>
                <w:sz w:val="22"/>
              </w:rPr>
            </w:pPr>
          </w:p>
        </w:tc>
        <w:tc>
          <w:tcPr>
            <w:tcW w:w="2389" w:type="dxa"/>
          </w:tcPr>
          <w:p w14:paraId="0719A21D" w14:textId="77777777" w:rsidR="008F5DDD" w:rsidRDefault="008F5DDD" w:rsidP="002B4D65">
            <w:pPr>
              <w:rPr>
                <w:rFonts w:ascii="Arial" w:hAnsi="Arial" w:cs="Arial"/>
                <w:sz w:val="22"/>
              </w:rPr>
            </w:pPr>
          </w:p>
        </w:tc>
      </w:tr>
      <w:tr w:rsidR="008F5DDD" w:rsidRPr="00882ACB" w14:paraId="415F30EB" w14:textId="77777777" w:rsidTr="002B4D65">
        <w:trPr>
          <w:trHeight w:val="310"/>
        </w:trPr>
        <w:tc>
          <w:tcPr>
            <w:tcW w:w="4579" w:type="dxa"/>
          </w:tcPr>
          <w:p w14:paraId="588C928F" w14:textId="77777777" w:rsidR="008F5DDD" w:rsidRPr="00882ACB" w:rsidRDefault="008F5DDD" w:rsidP="002B4D65">
            <w:pPr>
              <w:rPr>
                <w:rFonts w:ascii="Arial" w:hAnsi="Arial" w:cs="Arial"/>
                <w:sz w:val="22"/>
              </w:rPr>
            </w:pPr>
          </w:p>
        </w:tc>
        <w:tc>
          <w:tcPr>
            <w:tcW w:w="2048" w:type="dxa"/>
            <w:vAlign w:val="center"/>
          </w:tcPr>
          <w:p w14:paraId="23DF5B15" w14:textId="77777777" w:rsidR="008F5DDD" w:rsidRDefault="008F5DDD" w:rsidP="002B4D65">
            <w:pPr>
              <w:rPr>
                <w:rFonts w:ascii="Arial" w:hAnsi="Arial" w:cs="Arial"/>
                <w:sz w:val="22"/>
              </w:rPr>
            </w:pPr>
            <w:r w:rsidRPr="00882ACB">
              <w:rPr>
                <w:rFonts w:ascii="Arial" w:hAnsi="Arial" w:cs="Arial"/>
                <w:b/>
                <w:sz w:val="22"/>
              </w:rPr>
              <w:t>Limited Fasciectomy</w:t>
            </w:r>
            <w:r w:rsidRPr="00882ACB">
              <w:rPr>
                <w:rFonts w:ascii="Arial" w:hAnsi="Arial" w:cs="Arial"/>
                <w:b/>
                <w:sz w:val="22"/>
              </w:rPr>
              <w:br/>
            </w:r>
            <w:r w:rsidRPr="00882ACB">
              <w:rPr>
                <w:rFonts w:ascii="Arial" w:hAnsi="Arial" w:cs="Arial"/>
                <w:sz w:val="22"/>
              </w:rPr>
              <w:t>N = 295</w:t>
            </w:r>
          </w:p>
        </w:tc>
        <w:tc>
          <w:tcPr>
            <w:tcW w:w="2389" w:type="dxa"/>
            <w:vAlign w:val="center"/>
          </w:tcPr>
          <w:p w14:paraId="4AB5F405" w14:textId="77777777" w:rsidR="008F5DDD" w:rsidRDefault="008F5DDD" w:rsidP="002B4D65">
            <w:pPr>
              <w:rPr>
                <w:rFonts w:ascii="Arial" w:hAnsi="Arial" w:cs="Arial"/>
                <w:sz w:val="22"/>
              </w:rPr>
            </w:pPr>
            <w:r w:rsidRPr="00882ACB">
              <w:rPr>
                <w:rFonts w:ascii="Arial" w:hAnsi="Arial" w:cs="Arial"/>
                <w:b/>
                <w:sz w:val="22"/>
              </w:rPr>
              <w:t>Collagenase</w:t>
            </w:r>
            <w:r w:rsidRPr="00882ACB">
              <w:rPr>
                <w:rFonts w:ascii="Arial" w:hAnsi="Arial" w:cs="Arial"/>
                <w:b/>
                <w:sz w:val="22"/>
              </w:rPr>
              <w:br/>
            </w:r>
            <w:r w:rsidRPr="00882ACB">
              <w:rPr>
                <w:rFonts w:ascii="Arial" w:hAnsi="Arial" w:cs="Arial"/>
                <w:sz w:val="22"/>
              </w:rPr>
              <w:t>N = 326</w:t>
            </w:r>
          </w:p>
        </w:tc>
      </w:tr>
      <w:tr w:rsidR="008F5DDD" w:rsidRPr="00882ACB" w14:paraId="331817FF" w14:textId="77777777" w:rsidTr="002B4D65">
        <w:trPr>
          <w:trHeight w:val="310"/>
        </w:trPr>
        <w:tc>
          <w:tcPr>
            <w:tcW w:w="4579" w:type="dxa"/>
            <w:vAlign w:val="center"/>
          </w:tcPr>
          <w:p w14:paraId="7BE47DAF" w14:textId="77777777" w:rsidR="008F5DDD" w:rsidRPr="00882ACB" w:rsidRDefault="008F5DDD" w:rsidP="002B4D65">
            <w:pPr>
              <w:rPr>
                <w:rFonts w:ascii="Arial" w:hAnsi="Arial" w:cs="Arial"/>
                <w:sz w:val="22"/>
              </w:rPr>
            </w:pPr>
            <w:r w:rsidRPr="004039FE">
              <w:rPr>
                <w:rFonts w:ascii="Arial" w:hAnsi="Arial" w:cs="Arial"/>
                <w:bCs/>
                <w:sz w:val="22"/>
              </w:rPr>
              <w:lastRenderedPageBreak/>
              <w:t>None, n (%*)</w:t>
            </w:r>
          </w:p>
        </w:tc>
        <w:tc>
          <w:tcPr>
            <w:tcW w:w="2048" w:type="dxa"/>
            <w:vAlign w:val="center"/>
          </w:tcPr>
          <w:p w14:paraId="07B6AC5F" w14:textId="77777777" w:rsidR="008F5DDD" w:rsidRDefault="008F5DDD" w:rsidP="002B4D65">
            <w:pPr>
              <w:rPr>
                <w:rFonts w:ascii="Arial" w:hAnsi="Arial" w:cs="Arial"/>
                <w:sz w:val="22"/>
              </w:rPr>
            </w:pPr>
            <w:r w:rsidRPr="00882ACB">
              <w:rPr>
                <w:rFonts w:ascii="Arial" w:hAnsi="Arial" w:cs="Arial"/>
                <w:sz w:val="22"/>
              </w:rPr>
              <w:t>189 (64.1)</w:t>
            </w:r>
          </w:p>
        </w:tc>
        <w:tc>
          <w:tcPr>
            <w:tcW w:w="2389" w:type="dxa"/>
            <w:vAlign w:val="center"/>
          </w:tcPr>
          <w:p w14:paraId="05FF6D7D" w14:textId="77777777" w:rsidR="008F5DDD" w:rsidRDefault="008F5DDD" w:rsidP="002B4D65">
            <w:pPr>
              <w:rPr>
                <w:rFonts w:ascii="Arial" w:hAnsi="Arial" w:cs="Arial"/>
                <w:sz w:val="22"/>
              </w:rPr>
            </w:pPr>
            <w:r w:rsidRPr="00882ACB">
              <w:rPr>
                <w:rFonts w:ascii="Arial" w:hAnsi="Arial" w:cs="Arial"/>
                <w:sz w:val="22"/>
              </w:rPr>
              <w:t>191 (58.6)</w:t>
            </w:r>
          </w:p>
        </w:tc>
      </w:tr>
      <w:tr w:rsidR="008F5DDD" w:rsidRPr="00882ACB" w14:paraId="4913F45B" w14:textId="77777777" w:rsidTr="002B4D65">
        <w:trPr>
          <w:trHeight w:val="310"/>
        </w:trPr>
        <w:tc>
          <w:tcPr>
            <w:tcW w:w="4579" w:type="dxa"/>
            <w:vAlign w:val="center"/>
          </w:tcPr>
          <w:p w14:paraId="3E5D6555" w14:textId="77777777" w:rsidR="008F5DDD" w:rsidRPr="00882ACB" w:rsidRDefault="008F5DDD" w:rsidP="002B4D65">
            <w:pPr>
              <w:rPr>
                <w:rFonts w:ascii="Arial" w:hAnsi="Arial" w:cs="Arial"/>
                <w:sz w:val="22"/>
              </w:rPr>
            </w:pPr>
            <w:r w:rsidRPr="004039FE">
              <w:rPr>
                <w:rFonts w:ascii="Arial" w:hAnsi="Arial" w:cs="Arial"/>
                <w:bCs/>
                <w:sz w:val="22"/>
              </w:rPr>
              <w:t>Very minor, n (%*)</w:t>
            </w:r>
          </w:p>
        </w:tc>
        <w:tc>
          <w:tcPr>
            <w:tcW w:w="2048" w:type="dxa"/>
            <w:vAlign w:val="center"/>
          </w:tcPr>
          <w:p w14:paraId="20054399" w14:textId="77777777" w:rsidR="008F5DDD" w:rsidRDefault="008F5DDD" w:rsidP="002B4D65">
            <w:pPr>
              <w:rPr>
                <w:rFonts w:ascii="Arial" w:hAnsi="Arial" w:cs="Arial"/>
                <w:sz w:val="22"/>
              </w:rPr>
            </w:pPr>
            <w:r w:rsidRPr="00882ACB">
              <w:rPr>
                <w:rFonts w:ascii="Arial" w:hAnsi="Arial" w:cs="Arial"/>
                <w:sz w:val="22"/>
              </w:rPr>
              <w:t>20 (6.8)</w:t>
            </w:r>
          </w:p>
        </w:tc>
        <w:tc>
          <w:tcPr>
            <w:tcW w:w="2389" w:type="dxa"/>
            <w:vAlign w:val="center"/>
          </w:tcPr>
          <w:p w14:paraId="04FF16A2" w14:textId="77777777" w:rsidR="008F5DDD" w:rsidRDefault="008F5DDD" w:rsidP="002B4D65">
            <w:pPr>
              <w:rPr>
                <w:rFonts w:ascii="Arial" w:hAnsi="Arial" w:cs="Arial"/>
                <w:sz w:val="22"/>
              </w:rPr>
            </w:pPr>
            <w:r w:rsidRPr="00882ACB">
              <w:rPr>
                <w:rFonts w:ascii="Arial" w:hAnsi="Arial" w:cs="Arial"/>
                <w:sz w:val="22"/>
              </w:rPr>
              <w:t>58 (17.8)</w:t>
            </w:r>
          </w:p>
        </w:tc>
      </w:tr>
      <w:tr w:rsidR="008F5DDD" w:rsidRPr="00882ACB" w14:paraId="07BF40B9" w14:textId="77777777" w:rsidTr="002B4D65">
        <w:trPr>
          <w:trHeight w:val="310"/>
        </w:trPr>
        <w:tc>
          <w:tcPr>
            <w:tcW w:w="4579" w:type="dxa"/>
            <w:vAlign w:val="center"/>
          </w:tcPr>
          <w:p w14:paraId="1D92270B" w14:textId="77777777" w:rsidR="008F5DDD" w:rsidRPr="00882ACB" w:rsidRDefault="008F5DDD" w:rsidP="002B4D65">
            <w:pPr>
              <w:rPr>
                <w:rFonts w:ascii="Arial" w:hAnsi="Arial" w:cs="Arial"/>
                <w:sz w:val="22"/>
              </w:rPr>
            </w:pPr>
            <w:r w:rsidRPr="004039FE">
              <w:rPr>
                <w:rFonts w:ascii="Arial" w:hAnsi="Arial" w:cs="Arial"/>
                <w:bCs/>
                <w:sz w:val="22"/>
              </w:rPr>
              <w:t>Mild, n (%*)</w:t>
            </w:r>
          </w:p>
        </w:tc>
        <w:tc>
          <w:tcPr>
            <w:tcW w:w="2048" w:type="dxa"/>
            <w:vAlign w:val="center"/>
          </w:tcPr>
          <w:p w14:paraId="0AF09EA0" w14:textId="77777777" w:rsidR="008F5DDD" w:rsidRDefault="008F5DDD" w:rsidP="002B4D65">
            <w:pPr>
              <w:rPr>
                <w:rFonts w:ascii="Arial" w:hAnsi="Arial" w:cs="Arial"/>
                <w:sz w:val="22"/>
              </w:rPr>
            </w:pPr>
            <w:r w:rsidRPr="00882ACB">
              <w:rPr>
                <w:rFonts w:ascii="Arial" w:hAnsi="Arial" w:cs="Arial"/>
                <w:sz w:val="22"/>
              </w:rPr>
              <w:t>90 (30.5)</w:t>
            </w:r>
          </w:p>
        </w:tc>
        <w:tc>
          <w:tcPr>
            <w:tcW w:w="2389" w:type="dxa"/>
            <w:vAlign w:val="center"/>
          </w:tcPr>
          <w:p w14:paraId="4C021A7E" w14:textId="77777777" w:rsidR="008F5DDD" w:rsidRDefault="008F5DDD" w:rsidP="002B4D65">
            <w:pPr>
              <w:rPr>
                <w:rFonts w:ascii="Arial" w:hAnsi="Arial" w:cs="Arial"/>
                <w:sz w:val="22"/>
              </w:rPr>
            </w:pPr>
            <w:r w:rsidRPr="00882ACB">
              <w:rPr>
                <w:rFonts w:ascii="Arial" w:hAnsi="Arial" w:cs="Arial"/>
                <w:sz w:val="22"/>
              </w:rPr>
              <w:t>105 (32.2)</w:t>
            </w:r>
          </w:p>
        </w:tc>
      </w:tr>
      <w:tr w:rsidR="008F5DDD" w:rsidRPr="00882ACB" w14:paraId="33193DF8" w14:textId="77777777" w:rsidTr="002B4D65">
        <w:trPr>
          <w:trHeight w:val="310"/>
        </w:trPr>
        <w:tc>
          <w:tcPr>
            <w:tcW w:w="4579" w:type="dxa"/>
            <w:vAlign w:val="center"/>
          </w:tcPr>
          <w:p w14:paraId="4F22B0BA" w14:textId="77777777" w:rsidR="008F5DDD" w:rsidRPr="00882ACB" w:rsidRDefault="008F5DDD" w:rsidP="002B4D65">
            <w:pPr>
              <w:rPr>
                <w:rFonts w:ascii="Arial" w:hAnsi="Arial" w:cs="Arial"/>
                <w:sz w:val="22"/>
              </w:rPr>
            </w:pPr>
            <w:r w:rsidRPr="004039FE">
              <w:rPr>
                <w:rFonts w:ascii="Arial" w:hAnsi="Arial" w:cs="Arial"/>
                <w:bCs/>
                <w:sz w:val="22"/>
              </w:rPr>
              <w:t>Moderate, n (%*)</w:t>
            </w:r>
            <w:r w:rsidRPr="00131A2D">
              <w:rPr>
                <w:rFonts w:ascii="Arial" w:hAnsi="Arial" w:cs="Arial"/>
                <w:bCs/>
                <w:sz w:val="22"/>
                <w:vertAlign w:val="superscript"/>
              </w:rPr>
              <w:t>~</w:t>
            </w:r>
          </w:p>
        </w:tc>
        <w:tc>
          <w:tcPr>
            <w:tcW w:w="2048" w:type="dxa"/>
            <w:vAlign w:val="center"/>
          </w:tcPr>
          <w:p w14:paraId="00E2C044" w14:textId="77777777" w:rsidR="008F5DDD" w:rsidRDefault="008F5DDD" w:rsidP="002B4D65">
            <w:pPr>
              <w:rPr>
                <w:rFonts w:ascii="Arial" w:hAnsi="Arial" w:cs="Arial"/>
                <w:sz w:val="22"/>
              </w:rPr>
            </w:pPr>
            <w:r w:rsidRPr="00882ACB">
              <w:rPr>
                <w:rFonts w:ascii="Arial" w:hAnsi="Arial" w:cs="Arial"/>
                <w:sz w:val="22"/>
              </w:rPr>
              <w:t>13 (4.4)</w:t>
            </w:r>
          </w:p>
        </w:tc>
        <w:tc>
          <w:tcPr>
            <w:tcW w:w="2389" w:type="dxa"/>
            <w:vAlign w:val="center"/>
          </w:tcPr>
          <w:p w14:paraId="15F6AB60" w14:textId="77777777" w:rsidR="008F5DDD" w:rsidRDefault="008F5DDD" w:rsidP="002B4D65">
            <w:pPr>
              <w:rPr>
                <w:rFonts w:ascii="Arial" w:hAnsi="Arial" w:cs="Arial"/>
                <w:sz w:val="22"/>
              </w:rPr>
            </w:pPr>
            <w:r w:rsidRPr="00882ACB">
              <w:rPr>
                <w:rFonts w:ascii="Arial" w:hAnsi="Arial" w:cs="Arial"/>
                <w:sz w:val="22"/>
              </w:rPr>
              <w:t>6 (1.8)</w:t>
            </w:r>
          </w:p>
        </w:tc>
      </w:tr>
      <w:tr w:rsidR="008F5DDD" w:rsidRPr="00882ACB" w14:paraId="792179CC" w14:textId="77777777" w:rsidTr="002B4D65">
        <w:trPr>
          <w:trHeight w:val="310"/>
        </w:trPr>
        <w:tc>
          <w:tcPr>
            <w:tcW w:w="4579" w:type="dxa"/>
            <w:vAlign w:val="center"/>
          </w:tcPr>
          <w:p w14:paraId="6A6B2BFE" w14:textId="77777777" w:rsidR="008F5DDD" w:rsidRPr="00882ACB" w:rsidRDefault="008F5DDD" w:rsidP="002B4D65">
            <w:pPr>
              <w:rPr>
                <w:rFonts w:ascii="Arial" w:hAnsi="Arial" w:cs="Arial"/>
                <w:sz w:val="22"/>
              </w:rPr>
            </w:pPr>
            <w:r w:rsidRPr="004039FE">
              <w:rPr>
                <w:rFonts w:ascii="Arial" w:hAnsi="Arial" w:cs="Arial"/>
                <w:bCs/>
                <w:sz w:val="22"/>
              </w:rPr>
              <w:t>Severe, n (%*)</w:t>
            </w:r>
          </w:p>
        </w:tc>
        <w:tc>
          <w:tcPr>
            <w:tcW w:w="2048" w:type="dxa"/>
            <w:vAlign w:val="center"/>
          </w:tcPr>
          <w:p w14:paraId="2C83B01D" w14:textId="77777777" w:rsidR="008F5DDD" w:rsidRDefault="008F5DDD" w:rsidP="002B4D65">
            <w:pPr>
              <w:rPr>
                <w:rFonts w:ascii="Arial" w:hAnsi="Arial" w:cs="Arial"/>
                <w:sz w:val="22"/>
              </w:rPr>
            </w:pPr>
            <w:r w:rsidRPr="00882ACB">
              <w:rPr>
                <w:rFonts w:ascii="Arial" w:hAnsi="Arial" w:cs="Arial"/>
                <w:sz w:val="22"/>
              </w:rPr>
              <w:t>3 (1.0)</w:t>
            </w:r>
          </w:p>
        </w:tc>
        <w:tc>
          <w:tcPr>
            <w:tcW w:w="2389" w:type="dxa"/>
            <w:vAlign w:val="center"/>
          </w:tcPr>
          <w:p w14:paraId="53081BDB" w14:textId="77777777" w:rsidR="008F5DDD" w:rsidRDefault="008F5DDD" w:rsidP="002B4D65">
            <w:pPr>
              <w:rPr>
                <w:rFonts w:ascii="Arial" w:hAnsi="Arial" w:cs="Arial"/>
                <w:sz w:val="22"/>
              </w:rPr>
            </w:pPr>
            <w:r w:rsidRPr="00882ACB">
              <w:rPr>
                <w:rFonts w:ascii="Arial" w:hAnsi="Arial" w:cs="Arial"/>
                <w:sz w:val="22"/>
              </w:rPr>
              <w:t>0 (0.0)</w:t>
            </w:r>
          </w:p>
        </w:tc>
      </w:tr>
      <w:tr w:rsidR="008F5DDD" w:rsidRPr="00882ACB" w14:paraId="1813696D" w14:textId="77777777" w:rsidTr="002B4D65">
        <w:trPr>
          <w:trHeight w:val="310"/>
        </w:trPr>
        <w:tc>
          <w:tcPr>
            <w:tcW w:w="4579" w:type="dxa"/>
          </w:tcPr>
          <w:p w14:paraId="76E775E4" w14:textId="417F37B4" w:rsidR="008F5DDD" w:rsidRPr="00952240" w:rsidRDefault="00087459" w:rsidP="002B4D65">
            <w:pPr>
              <w:rPr>
                <w:rFonts w:ascii="Arial" w:hAnsi="Arial" w:cs="Arial"/>
                <w:b/>
                <w:bCs/>
                <w:sz w:val="22"/>
              </w:rPr>
            </w:pPr>
            <w:r>
              <w:rPr>
                <w:rFonts w:ascii="Arial" w:hAnsi="Arial" w:cs="Arial"/>
                <w:b/>
                <w:bCs/>
                <w:sz w:val="22"/>
              </w:rPr>
              <w:t xml:space="preserve">Other </w:t>
            </w:r>
            <w:r w:rsidR="008F5DDD">
              <w:rPr>
                <w:rFonts w:ascii="Arial" w:hAnsi="Arial" w:cs="Arial"/>
                <w:b/>
                <w:bCs/>
                <w:sz w:val="22"/>
              </w:rPr>
              <w:t xml:space="preserve">Serious </w:t>
            </w:r>
            <w:r w:rsidR="008F5DDD" w:rsidRPr="00952240">
              <w:rPr>
                <w:rFonts w:ascii="Arial" w:hAnsi="Arial" w:cs="Arial"/>
                <w:b/>
                <w:bCs/>
                <w:sz w:val="22"/>
              </w:rPr>
              <w:t>Adverse Events</w:t>
            </w:r>
            <w:r w:rsidR="008F5DDD">
              <w:rPr>
                <w:rFonts w:ascii="Arial" w:hAnsi="Arial" w:cs="Arial"/>
                <w:b/>
                <w:bCs/>
                <w:sz w:val="22"/>
              </w:rPr>
              <w:t>ǂ~</w:t>
            </w:r>
          </w:p>
        </w:tc>
        <w:tc>
          <w:tcPr>
            <w:tcW w:w="2048" w:type="dxa"/>
          </w:tcPr>
          <w:p w14:paraId="28A29734" w14:textId="77777777" w:rsidR="008F5DDD" w:rsidRPr="00882ACB" w:rsidRDefault="008F5DDD" w:rsidP="002B4D65">
            <w:pPr>
              <w:rPr>
                <w:rFonts w:ascii="Arial" w:hAnsi="Arial" w:cs="Arial"/>
                <w:sz w:val="22"/>
              </w:rPr>
            </w:pPr>
            <w:r w:rsidRPr="00882ACB">
              <w:rPr>
                <w:rFonts w:ascii="Arial" w:hAnsi="Arial" w:cs="Arial"/>
                <w:b/>
                <w:bCs/>
                <w:sz w:val="22"/>
              </w:rPr>
              <w:t>Limited fasciectomy</w:t>
            </w:r>
          </w:p>
        </w:tc>
        <w:tc>
          <w:tcPr>
            <w:tcW w:w="2389" w:type="dxa"/>
          </w:tcPr>
          <w:p w14:paraId="008F649C" w14:textId="77777777" w:rsidR="008F5DDD" w:rsidRPr="00882ACB" w:rsidRDefault="008F5DDD" w:rsidP="002B4D65">
            <w:pPr>
              <w:rPr>
                <w:rFonts w:ascii="Arial" w:hAnsi="Arial" w:cs="Arial"/>
                <w:sz w:val="22"/>
              </w:rPr>
            </w:pPr>
            <w:r w:rsidRPr="00882ACB">
              <w:rPr>
                <w:rFonts w:ascii="Arial" w:hAnsi="Arial" w:cs="Arial"/>
                <w:b/>
                <w:bCs/>
                <w:sz w:val="22"/>
              </w:rPr>
              <w:t>Collagenase</w:t>
            </w:r>
          </w:p>
        </w:tc>
      </w:tr>
      <w:tr w:rsidR="008F5DDD" w:rsidRPr="00882ACB" w14:paraId="4EB8FB46" w14:textId="77777777" w:rsidTr="002B4D65">
        <w:trPr>
          <w:trHeight w:val="310"/>
        </w:trPr>
        <w:tc>
          <w:tcPr>
            <w:tcW w:w="4579" w:type="dxa"/>
          </w:tcPr>
          <w:p w14:paraId="3BC02948" w14:textId="77777777" w:rsidR="008F5DDD" w:rsidRDefault="008F5DDD" w:rsidP="002B4D65">
            <w:pPr>
              <w:rPr>
                <w:rFonts w:ascii="Arial" w:hAnsi="Arial" w:cs="Arial"/>
                <w:sz w:val="22"/>
              </w:rPr>
            </w:pPr>
          </w:p>
        </w:tc>
        <w:tc>
          <w:tcPr>
            <w:tcW w:w="2048" w:type="dxa"/>
          </w:tcPr>
          <w:p w14:paraId="55FC745A" w14:textId="77777777" w:rsidR="008F5DDD" w:rsidRPr="00882ACB" w:rsidRDefault="008F5DDD" w:rsidP="002B4D65">
            <w:pPr>
              <w:rPr>
                <w:rFonts w:ascii="Arial" w:hAnsi="Arial" w:cs="Arial"/>
                <w:sz w:val="22"/>
              </w:rPr>
            </w:pPr>
            <w:r>
              <w:rPr>
                <w:rFonts w:ascii="Arial" w:hAnsi="Arial" w:cs="Arial"/>
                <w:sz w:val="22"/>
              </w:rPr>
              <w:t>n=336</w:t>
            </w:r>
          </w:p>
        </w:tc>
        <w:tc>
          <w:tcPr>
            <w:tcW w:w="2389" w:type="dxa"/>
          </w:tcPr>
          <w:p w14:paraId="510883E6" w14:textId="77777777" w:rsidR="008F5DDD" w:rsidRPr="00882ACB" w:rsidRDefault="008F5DDD" w:rsidP="002B4D65">
            <w:pPr>
              <w:rPr>
                <w:rFonts w:ascii="Arial" w:hAnsi="Arial" w:cs="Arial"/>
                <w:sz w:val="22"/>
              </w:rPr>
            </w:pPr>
            <w:r>
              <w:rPr>
                <w:rFonts w:ascii="Arial" w:hAnsi="Arial" w:cs="Arial"/>
                <w:sz w:val="22"/>
              </w:rPr>
              <w:t>n=336</w:t>
            </w:r>
          </w:p>
        </w:tc>
      </w:tr>
      <w:tr w:rsidR="008F5DDD" w:rsidRPr="00882ACB" w14:paraId="083EAD25" w14:textId="77777777" w:rsidTr="002B4D65">
        <w:trPr>
          <w:trHeight w:val="310"/>
        </w:trPr>
        <w:tc>
          <w:tcPr>
            <w:tcW w:w="4579" w:type="dxa"/>
          </w:tcPr>
          <w:p w14:paraId="298C9BC6" w14:textId="77777777" w:rsidR="008F5DDD" w:rsidRDefault="008F5DDD" w:rsidP="002B4D65">
            <w:pPr>
              <w:rPr>
                <w:rFonts w:ascii="Arial" w:hAnsi="Arial" w:cs="Arial"/>
                <w:sz w:val="22"/>
              </w:rPr>
            </w:pPr>
            <w:r>
              <w:rPr>
                <w:rFonts w:ascii="Arial" w:hAnsi="Arial" w:cs="Arial"/>
                <w:sz w:val="22"/>
              </w:rPr>
              <w:t>Death (n, %)</w:t>
            </w:r>
          </w:p>
        </w:tc>
        <w:tc>
          <w:tcPr>
            <w:tcW w:w="2048" w:type="dxa"/>
          </w:tcPr>
          <w:p w14:paraId="1240D1A0" w14:textId="77777777" w:rsidR="008F5DDD" w:rsidRPr="00882ACB" w:rsidRDefault="008F5DDD" w:rsidP="002B4D65">
            <w:pPr>
              <w:rPr>
                <w:rFonts w:ascii="Arial" w:hAnsi="Arial" w:cs="Arial"/>
                <w:sz w:val="22"/>
              </w:rPr>
            </w:pPr>
            <w:r>
              <w:rPr>
                <w:rFonts w:ascii="Arial" w:hAnsi="Arial" w:cs="Arial"/>
                <w:sz w:val="22"/>
              </w:rPr>
              <w:t>0 (0.0)</w:t>
            </w:r>
          </w:p>
        </w:tc>
        <w:tc>
          <w:tcPr>
            <w:tcW w:w="2389" w:type="dxa"/>
          </w:tcPr>
          <w:p w14:paraId="5BB6A0AB" w14:textId="77777777" w:rsidR="008F5DDD" w:rsidRPr="00882ACB" w:rsidRDefault="008F5DDD" w:rsidP="002B4D65">
            <w:pPr>
              <w:rPr>
                <w:rFonts w:ascii="Arial" w:hAnsi="Arial" w:cs="Arial"/>
                <w:sz w:val="22"/>
              </w:rPr>
            </w:pPr>
            <w:r>
              <w:rPr>
                <w:rFonts w:ascii="Arial" w:hAnsi="Arial" w:cs="Arial"/>
                <w:sz w:val="22"/>
              </w:rPr>
              <w:t>8 (2.4)^</w:t>
            </w:r>
          </w:p>
        </w:tc>
      </w:tr>
    </w:tbl>
    <w:p w14:paraId="678522EE" w14:textId="77777777" w:rsidR="008F5DDD" w:rsidRDefault="008F5DDD" w:rsidP="008F5DDD">
      <w:pPr>
        <w:rPr>
          <w:rFonts w:ascii="Arial" w:hAnsi="Arial" w:cs="Arial"/>
          <w:sz w:val="20"/>
          <w:szCs w:val="20"/>
        </w:rPr>
      </w:pPr>
    </w:p>
    <w:p w14:paraId="7999F107" w14:textId="77777777" w:rsidR="008F5DDD" w:rsidRDefault="008F5DDD" w:rsidP="008F5DDD">
      <w:pPr>
        <w:rPr>
          <w:rFonts w:ascii="Arial" w:hAnsi="Arial" w:cs="Arial"/>
          <w:sz w:val="20"/>
          <w:szCs w:val="20"/>
        </w:rPr>
      </w:pPr>
    </w:p>
    <w:p w14:paraId="21C0A151" w14:textId="77777777" w:rsidR="008F5DDD" w:rsidRDefault="008F5DDD" w:rsidP="008F5DDD">
      <w:pPr>
        <w:rPr>
          <w:rFonts w:ascii="Arial" w:hAnsi="Arial" w:cs="Arial"/>
          <w:sz w:val="20"/>
          <w:szCs w:val="20"/>
        </w:rPr>
      </w:pPr>
      <w:r w:rsidRPr="00F530CC">
        <w:rPr>
          <w:rFonts w:ascii="Arial" w:hAnsi="Arial" w:cs="Arial"/>
          <w:sz w:val="20"/>
          <w:szCs w:val="20"/>
        </w:rPr>
        <w:t xml:space="preserve">ǂ Complications and hand specific events </w:t>
      </w:r>
      <w:r>
        <w:rPr>
          <w:rFonts w:ascii="Arial" w:hAnsi="Arial" w:cs="Arial"/>
          <w:sz w:val="20"/>
          <w:szCs w:val="20"/>
        </w:rPr>
        <w:t xml:space="preserve">including those </w:t>
      </w:r>
      <w:r w:rsidRPr="00F530CC">
        <w:rPr>
          <w:rFonts w:ascii="Arial" w:hAnsi="Arial" w:cs="Arial"/>
          <w:sz w:val="20"/>
          <w:szCs w:val="20"/>
        </w:rPr>
        <w:t>not related to treatment were considered adverse events.</w:t>
      </w:r>
    </w:p>
    <w:p w14:paraId="75F958FE" w14:textId="37B27A34" w:rsidR="008F5DDD" w:rsidRPr="00F530CC" w:rsidRDefault="008F5DDD" w:rsidP="008F5DDD">
      <w:pPr>
        <w:rPr>
          <w:rFonts w:ascii="Arial" w:hAnsi="Arial" w:cs="Arial"/>
          <w:sz w:val="20"/>
          <w:szCs w:val="20"/>
        </w:rPr>
      </w:pPr>
      <w:r>
        <w:rPr>
          <w:rFonts w:ascii="Arial" w:hAnsi="Arial" w:cs="Arial"/>
          <w:sz w:val="20"/>
          <w:szCs w:val="20"/>
        </w:rPr>
        <w:t>~</w:t>
      </w:r>
      <w:r w:rsidR="00087459" w:rsidDel="00087459">
        <w:rPr>
          <w:rFonts w:ascii="Arial" w:hAnsi="Arial" w:cs="Arial"/>
          <w:sz w:val="20"/>
          <w:szCs w:val="20"/>
        </w:rPr>
        <w:t xml:space="preserve"> </w:t>
      </w:r>
      <w:r w:rsidR="00087459">
        <w:rPr>
          <w:rFonts w:ascii="Arial" w:hAnsi="Arial" w:cs="Arial"/>
          <w:sz w:val="20"/>
          <w:szCs w:val="20"/>
        </w:rPr>
        <w:t xml:space="preserve">One of the wound infections was </w:t>
      </w:r>
      <w:r>
        <w:rPr>
          <w:rFonts w:ascii="Arial" w:hAnsi="Arial" w:cs="Arial"/>
          <w:sz w:val="20"/>
          <w:szCs w:val="20"/>
        </w:rPr>
        <w:t>an abscess on another digit</w:t>
      </w:r>
      <w:r w:rsidR="00087459">
        <w:rPr>
          <w:rFonts w:ascii="Arial" w:hAnsi="Arial" w:cs="Arial"/>
          <w:sz w:val="20"/>
          <w:szCs w:val="20"/>
        </w:rPr>
        <w:t xml:space="preserve"> </w:t>
      </w:r>
      <w:r>
        <w:rPr>
          <w:rFonts w:ascii="Arial" w:hAnsi="Arial" w:cs="Arial"/>
          <w:sz w:val="20"/>
          <w:szCs w:val="20"/>
        </w:rPr>
        <w:t xml:space="preserve"> </w:t>
      </w:r>
      <w:proofErr w:type="spellStart"/>
      <w:r w:rsidR="00087459">
        <w:rPr>
          <w:rFonts w:ascii="Arial" w:hAnsi="Arial" w:cs="Arial"/>
          <w:sz w:val="20"/>
          <w:szCs w:val="20"/>
        </w:rPr>
        <w:t>considerered</w:t>
      </w:r>
      <w:proofErr w:type="spellEnd"/>
      <w:r w:rsidR="00087459">
        <w:rPr>
          <w:rFonts w:ascii="Arial" w:hAnsi="Arial" w:cs="Arial"/>
          <w:sz w:val="20"/>
          <w:szCs w:val="20"/>
        </w:rPr>
        <w:t xml:space="preserve"> </w:t>
      </w:r>
      <w:r>
        <w:rPr>
          <w:rFonts w:ascii="Arial" w:hAnsi="Arial" w:cs="Arial"/>
          <w:sz w:val="20"/>
          <w:szCs w:val="20"/>
        </w:rPr>
        <w:t xml:space="preserve">possibly related to </w:t>
      </w:r>
      <w:proofErr w:type="spellStart"/>
      <w:r>
        <w:rPr>
          <w:rFonts w:ascii="Arial" w:hAnsi="Arial" w:cs="Arial"/>
          <w:sz w:val="20"/>
          <w:szCs w:val="20"/>
        </w:rPr>
        <w:t>treatmen</w:t>
      </w:r>
      <w:proofErr w:type="spellEnd"/>
      <w:r>
        <w:rPr>
          <w:rFonts w:ascii="Arial" w:hAnsi="Arial" w:cs="Arial"/>
          <w:sz w:val="20"/>
          <w:szCs w:val="20"/>
        </w:rPr>
        <w:t xml:space="preserve">’ </w:t>
      </w:r>
      <w:r w:rsidR="00087459">
        <w:rPr>
          <w:rFonts w:ascii="Arial" w:hAnsi="Arial" w:cs="Arial"/>
          <w:sz w:val="20"/>
          <w:szCs w:val="20"/>
        </w:rPr>
        <w:t>(m</w:t>
      </w:r>
      <w:r>
        <w:rPr>
          <w:rFonts w:ascii="Arial" w:hAnsi="Arial" w:cs="Arial"/>
          <w:sz w:val="20"/>
          <w:szCs w:val="20"/>
        </w:rPr>
        <w:t>oderate severity</w:t>
      </w:r>
      <w:r w:rsidR="00087459">
        <w:rPr>
          <w:rFonts w:ascii="Arial" w:hAnsi="Arial" w:cs="Arial"/>
          <w:sz w:val="20"/>
          <w:szCs w:val="20"/>
        </w:rPr>
        <w:t>)</w:t>
      </w:r>
      <w:r>
        <w:rPr>
          <w:rFonts w:ascii="Arial" w:hAnsi="Arial" w:cs="Arial"/>
          <w:sz w:val="20"/>
          <w:szCs w:val="20"/>
        </w:rPr>
        <w:t xml:space="preserve">. </w:t>
      </w:r>
    </w:p>
    <w:p w14:paraId="79D80DCB" w14:textId="77777777" w:rsidR="008F5DDD" w:rsidRPr="00934A37" w:rsidRDefault="008F5DDD" w:rsidP="008F5DDD">
      <w:pPr>
        <w:rPr>
          <w:rFonts w:ascii="Arial" w:hAnsi="Arial" w:cs="Arial"/>
          <w:sz w:val="20"/>
          <w:szCs w:val="20"/>
        </w:rPr>
      </w:pPr>
      <w:r w:rsidRPr="00934A37">
        <w:rPr>
          <w:rFonts w:ascii="Arial" w:hAnsi="Arial" w:cs="Arial"/>
          <w:sz w:val="20"/>
          <w:szCs w:val="20"/>
        </w:rPr>
        <w:t>*</w:t>
      </w:r>
      <w:r>
        <w:rPr>
          <w:rFonts w:ascii="Arial" w:hAnsi="Arial" w:cs="Arial"/>
          <w:sz w:val="20"/>
          <w:szCs w:val="20"/>
        </w:rPr>
        <w:t xml:space="preserve"> </w:t>
      </w:r>
      <w:r w:rsidRPr="00934A37">
        <w:rPr>
          <w:rFonts w:ascii="Arial" w:hAnsi="Arial" w:cs="Arial"/>
          <w:sz w:val="20"/>
          <w:szCs w:val="20"/>
        </w:rPr>
        <w:t>Of total number of participants (by arm or overall)</w:t>
      </w:r>
      <w:r>
        <w:rPr>
          <w:rFonts w:ascii="Arial" w:hAnsi="Arial" w:cs="Arial"/>
          <w:sz w:val="20"/>
          <w:szCs w:val="20"/>
        </w:rPr>
        <w:t>.</w:t>
      </w:r>
    </w:p>
    <w:p w14:paraId="2231A0AB" w14:textId="5506F468" w:rsidR="00543B58" w:rsidRPr="00BB2840" w:rsidRDefault="008F5DDD" w:rsidP="00543B58">
      <w:pPr>
        <w:spacing w:line="240" w:lineRule="auto"/>
        <w:rPr>
          <w:rFonts w:ascii="Arial" w:eastAsia="Times New Roman" w:hAnsi="Arial" w:cs="Arial"/>
          <w:sz w:val="20"/>
          <w:szCs w:val="20"/>
          <w:lang w:val="en-US"/>
        </w:rPr>
      </w:pPr>
      <w:r w:rsidRPr="00543B58">
        <w:rPr>
          <w:rFonts w:ascii="Arial" w:hAnsi="Arial" w:cs="Arial"/>
          <w:sz w:val="20"/>
          <w:szCs w:val="20"/>
        </w:rPr>
        <w:t>** Wor</w:t>
      </w:r>
      <w:r w:rsidR="009B6CAF">
        <w:rPr>
          <w:rFonts w:ascii="Arial" w:hAnsi="Arial" w:cs="Arial"/>
          <w:sz w:val="20"/>
          <w:szCs w:val="20"/>
        </w:rPr>
        <w:t>s</w:t>
      </w:r>
      <w:r w:rsidRPr="00543B58">
        <w:rPr>
          <w:rFonts w:ascii="Arial" w:hAnsi="Arial" w:cs="Arial"/>
          <w:sz w:val="20"/>
          <w:szCs w:val="20"/>
        </w:rPr>
        <w:t>t severity of treatment complication experienced following trial treatment</w:t>
      </w:r>
      <w:r w:rsidR="00087459">
        <w:rPr>
          <w:rFonts w:ascii="Arial" w:hAnsi="Arial" w:cs="Arial"/>
          <w:sz w:val="20"/>
          <w:szCs w:val="20"/>
        </w:rPr>
        <w:t xml:space="preserve">, </w:t>
      </w:r>
      <w:r w:rsidRPr="00543B58">
        <w:rPr>
          <w:rFonts w:ascii="Arial" w:hAnsi="Arial" w:cs="Arial"/>
          <w:sz w:val="20"/>
          <w:szCs w:val="20"/>
        </w:rPr>
        <w:t xml:space="preserve"> ranked using the following seven level scale: None, Very minor, Mild, Moderate, Severe, Devastating, Death</w:t>
      </w:r>
      <w:r w:rsidR="00543B58" w:rsidRPr="00543B58">
        <w:rPr>
          <w:rFonts w:ascii="Arial" w:hAnsi="Arial" w:cs="Arial"/>
          <w:sz w:val="20"/>
          <w:szCs w:val="20"/>
        </w:rPr>
        <w:t xml:space="preserve">. No </w:t>
      </w:r>
      <w:r w:rsidR="00543B58" w:rsidRPr="00BB2840">
        <w:rPr>
          <w:rFonts w:ascii="Arial" w:eastAsia="Times New Roman" w:hAnsi="Arial" w:cs="Arial"/>
          <w:sz w:val="20"/>
          <w:szCs w:val="20"/>
          <w:lang w:val="en-US"/>
        </w:rPr>
        <w:t>procedural complications or hand -spec events were classified as devastating or led to death</w:t>
      </w:r>
      <w:r w:rsidR="00543B58">
        <w:rPr>
          <w:rFonts w:ascii="Arial" w:eastAsia="Times New Roman" w:hAnsi="Arial" w:cs="Arial"/>
          <w:sz w:val="20"/>
          <w:szCs w:val="20"/>
          <w:lang w:val="en-US"/>
        </w:rPr>
        <w:t>.</w:t>
      </w:r>
    </w:p>
    <w:p w14:paraId="494864B7" w14:textId="06DB199E" w:rsidR="008F5DDD" w:rsidRDefault="008F5DDD" w:rsidP="008F5DDD">
      <w:pPr>
        <w:rPr>
          <w:rFonts w:ascii="Arial" w:hAnsi="Arial" w:cs="Arial"/>
          <w:sz w:val="20"/>
          <w:szCs w:val="20"/>
        </w:rPr>
      </w:pPr>
      <w:r>
        <w:rPr>
          <w:rFonts w:ascii="Arial" w:hAnsi="Arial" w:cs="Arial"/>
          <w:sz w:val="20"/>
          <w:szCs w:val="18"/>
        </w:rPr>
        <w:t>^</w:t>
      </w:r>
      <w:r w:rsidRPr="00882ACB">
        <w:rPr>
          <w:rFonts w:ascii="Arial" w:hAnsi="Arial" w:cs="Arial"/>
          <w:sz w:val="20"/>
          <w:szCs w:val="18"/>
        </w:rPr>
        <w:t xml:space="preserve"> </w:t>
      </w:r>
      <w:r w:rsidRPr="00757634">
        <w:rPr>
          <w:rFonts w:ascii="Arial" w:hAnsi="Arial" w:cs="Arial"/>
          <w:sz w:val="20"/>
          <w:szCs w:val="18"/>
          <w:u w:val="single"/>
        </w:rPr>
        <w:t>Deaths</w:t>
      </w:r>
      <w:r>
        <w:rPr>
          <w:rFonts w:ascii="Arial" w:hAnsi="Arial" w:cs="Arial"/>
          <w:sz w:val="20"/>
          <w:szCs w:val="18"/>
        </w:rPr>
        <w:t xml:space="preserve">: None of the 8 deaths </w:t>
      </w:r>
      <w:r w:rsidRPr="00882ACB">
        <w:rPr>
          <w:rFonts w:ascii="Arial" w:hAnsi="Arial" w:cs="Arial"/>
          <w:sz w:val="20"/>
          <w:szCs w:val="18"/>
        </w:rPr>
        <w:t xml:space="preserve">were </w:t>
      </w:r>
      <w:r>
        <w:rPr>
          <w:rFonts w:ascii="Arial" w:hAnsi="Arial" w:cs="Arial"/>
          <w:sz w:val="20"/>
          <w:szCs w:val="18"/>
        </w:rPr>
        <w:t xml:space="preserve">considered </w:t>
      </w:r>
      <w:r w:rsidRPr="004039FE">
        <w:rPr>
          <w:rFonts w:ascii="Arial" w:hAnsi="Arial" w:cs="Arial"/>
          <w:sz w:val="20"/>
          <w:szCs w:val="18"/>
        </w:rPr>
        <w:t xml:space="preserve">related to the study reference digit or treatments. Causes of death </w:t>
      </w:r>
      <w:r>
        <w:rPr>
          <w:rFonts w:ascii="Arial" w:hAnsi="Arial" w:cs="Arial"/>
          <w:sz w:val="20"/>
          <w:szCs w:val="18"/>
        </w:rPr>
        <w:t>included</w:t>
      </w:r>
      <w:r w:rsidRPr="004039FE">
        <w:rPr>
          <w:rFonts w:ascii="Arial" w:hAnsi="Arial" w:cs="Arial"/>
          <w:sz w:val="20"/>
          <w:szCs w:val="18"/>
        </w:rPr>
        <w:t xml:space="preserve">: </w:t>
      </w:r>
      <w:r w:rsidRPr="004039FE">
        <w:rPr>
          <w:rFonts w:ascii="Arial" w:hAnsi="Arial" w:cs="Arial"/>
          <w:sz w:val="20"/>
          <w:szCs w:val="20"/>
        </w:rPr>
        <w:t xml:space="preserve">COVID 19 </w:t>
      </w:r>
      <w:r>
        <w:rPr>
          <w:rFonts w:ascii="Arial" w:hAnsi="Arial" w:cs="Arial"/>
          <w:sz w:val="20"/>
          <w:szCs w:val="20"/>
        </w:rPr>
        <w:t>(</w:t>
      </w:r>
      <w:r w:rsidRPr="004039FE">
        <w:rPr>
          <w:rFonts w:ascii="Arial" w:hAnsi="Arial" w:cs="Arial"/>
          <w:sz w:val="20"/>
          <w:szCs w:val="20"/>
        </w:rPr>
        <w:t>n=2</w:t>
      </w:r>
      <w:r>
        <w:rPr>
          <w:rFonts w:ascii="Arial" w:hAnsi="Arial" w:cs="Arial"/>
          <w:sz w:val="20"/>
          <w:szCs w:val="20"/>
        </w:rPr>
        <w:t>)</w:t>
      </w:r>
      <w:r w:rsidR="00087459">
        <w:rPr>
          <w:rFonts w:ascii="Arial" w:hAnsi="Arial" w:cs="Arial"/>
          <w:sz w:val="20"/>
          <w:szCs w:val="20"/>
        </w:rPr>
        <w:t xml:space="preserve"> at 7 and 11 months after study treatment</w:t>
      </w:r>
      <w:r>
        <w:rPr>
          <w:rFonts w:ascii="Arial" w:hAnsi="Arial" w:cs="Arial"/>
          <w:sz w:val="20"/>
          <w:szCs w:val="20"/>
        </w:rPr>
        <w:t>; c</w:t>
      </w:r>
      <w:r w:rsidRPr="004039FE">
        <w:rPr>
          <w:rFonts w:ascii="Arial" w:hAnsi="Arial" w:cs="Arial"/>
          <w:sz w:val="20"/>
          <w:szCs w:val="20"/>
        </w:rPr>
        <w:t xml:space="preserve">omplications following unrelated surgery </w:t>
      </w:r>
      <w:r>
        <w:rPr>
          <w:rFonts w:ascii="Arial" w:hAnsi="Arial" w:cs="Arial"/>
          <w:sz w:val="20"/>
          <w:szCs w:val="20"/>
        </w:rPr>
        <w:t>(</w:t>
      </w:r>
      <w:r w:rsidRPr="004039FE">
        <w:rPr>
          <w:rFonts w:ascii="Arial" w:hAnsi="Arial" w:cs="Arial"/>
          <w:sz w:val="20"/>
          <w:szCs w:val="20"/>
        </w:rPr>
        <w:t>n=2</w:t>
      </w:r>
      <w:r>
        <w:rPr>
          <w:rFonts w:ascii="Arial" w:hAnsi="Arial" w:cs="Arial"/>
          <w:sz w:val="20"/>
          <w:szCs w:val="20"/>
        </w:rPr>
        <w:t xml:space="preserve">) (major abdominal surgery and death 20 months after study treatment, and following discharge from surgery to </w:t>
      </w:r>
      <w:r w:rsidR="00F75F47">
        <w:rPr>
          <w:rFonts w:ascii="Arial" w:hAnsi="Arial" w:cs="Arial"/>
          <w:sz w:val="20"/>
          <w:szCs w:val="20"/>
        </w:rPr>
        <w:t xml:space="preserve">place </w:t>
      </w:r>
      <w:r>
        <w:rPr>
          <w:rFonts w:ascii="Arial" w:hAnsi="Arial" w:cs="Arial"/>
          <w:sz w:val="20"/>
          <w:szCs w:val="20"/>
        </w:rPr>
        <w:t>stents after myocardial infarction 11 months after study treatment)</w:t>
      </w:r>
      <w:r w:rsidRPr="004039FE">
        <w:rPr>
          <w:rFonts w:ascii="Arial" w:hAnsi="Arial" w:cs="Arial"/>
          <w:sz w:val="20"/>
          <w:szCs w:val="20"/>
        </w:rPr>
        <w:t xml:space="preserve">; </w:t>
      </w:r>
      <w:r>
        <w:rPr>
          <w:rFonts w:ascii="Arial" w:hAnsi="Arial" w:cs="Arial"/>
          <w:sz w:val="20"/>
          <w:szCs w:val="20"/>
        </w:rPr>
        <w:t>l</w:t>
      </w:r>
      <w:r w:rsidRPr="004039FE">
        <w:rPr>
          <w:rFonts w:ascii="Arial" w:hAnsi="Arial" w:cs="Arial"/>
          <w:sz w:val="20"/>
          <w:szCs w:val="20"/>
        </w:rPr>
        <w:t xml:space="preserve">ung cancer </w:t>
      </w:r>
      <w:r>
        <w:rPr>
          <w:rFonts w:ascii="Arial" w:hAnsi="Arial" w:cs="Arial"/>
          <w:sz w:val="20"/>
          <w:szCs w:val="20"/>
        </w:rPr>
        <w:t>(</w:t>
      </w:r>
      <w:r w:rsidRPr="004039FE">
        <w:rPr>
          <w:rFonts w:ascii="Arial" w:hAnsi="Arial" w:cs="Arial"/>
          <w:sz w:val="20"/>
          <w:szCs w:val="20"/>
        </w:rPr>
        <w:t>n=1</w:t>
      </w:r>
      <w:r>
        <w:rPr>
          <w:rFonts w:ascii="Arial" w:hAnsi="Arial" w:cs="Arial"/>
          <w:sz w:val="20"/>
          <w:szCs w:val="20"/>
        </w:rPr>
        <w:t>)</w:t>
      </w:r>
      <w:r w:rsidR="00087459" w:rsidRPr="00087459">
        <w:rPr>
          <w:rFonts w:ascii="Helvetica" w:hAnsi="Helvetica"/>
          <w:color w:val="0BFFFF"/>
          <w:sz w:val="18"/>
          <w:szCs w:val="18"/>
        </w:rPr>
        <w:t xml:space="preserve"> </w:t>
      </w:r>
      <w:r w:rsidR="00087459" w:rsidRPr="00BB2840">
        <w:rPr>
          <w:rFonts w:ascii="Helvetica" w:hAnsi="Helvetica"/>
          <w:color w:val="000000" w:themeColor="text1"/>
          <w:sz w:val="20"/>
          <w:szCs w:val="20"/>
        </w:rPr>
        <w:t>20 months after treatment</w:t>
      </w:r>
      <w:r w:rsidR="00087459" w:rsidRPr="00BB2840">
        <w:rPr>
          <w:rFonts w:ascii="Helvetica" w:hAnsi="Helvetica"/>
          <w:color w:val="000000" w:themeColor="text1"/>
          <w:sz w:val="18"/>
          <w:szCs w:val="18"/>
        </w:rPr>
        <w:t>;</w:t>
      </w:r>
      <w:r w:rsidRPr="00BB2840">
        <w:rPr>
          <w:rFonts w:ascii="Arial" w:hAnsi="Arial" w:cs="Arial"/>
          <w:color w:val="000000" w:themeColor="text1"/>
          <w:sz w:val="20"/>
          <w:szCs w:val="20"/>
        </w:rPr>
        <w:t xml:space="preserve">; </w:t>
      </w:r>
      <w:r>
        <w:rPr>
          <w:rFonts w:ascii="Arial" w:hAnsi="Arial" w:cs="Arial"/>
          <w:sz w:val="20"/>
          <w:szCs w:val="20"/>
        </w:rPr>
        <w:t>p</w:t>
      </w:r>
      <w:r w:rsidRPr="004039FE">
        <w:rPr>
          <w:rFonts w:ascii="Arial" w:hAnsi="Arial" w:cs="Arial"/>
          <w:sz w:val="20"/>
          <w:szCs w:val="20"/>
        </w:rPr>
        <w:t>re-existing medical condition</w:t>
      </w:r>
      <w:r>
        <w:rPr>
          <w:rFonts w:ascii="Arial" w:hAnsi="Arial" w:cs="Arial"/>
          <w:sz w:val="20"/>
          <w:szCs w:val="20"/>
        </w:rPr>
        <w:t xml:space="preserve"> (details of condition unavailable; death 7 months after study treatment)</w:t>
      </w:r>
      <w:r w:rsidRPr="004039FE">
        <w:rPr>
          <w:rFonts w:ascii="Arial" w:hAnsi="Arial" w:cs="Arial"/>
          <w:sz w:val="20"/>
          <w:szCs w:val="20"/>
        </w:rPr>
        <w:t xml:space="preserve"> </w:t>
      </w:r>
      <w:r>
        <w:rPr>
          <w:rFonts w:ascii="Arial" w:hAnsi="Arial" w:cs="Arial"/>
          <w:sz w:val="20"/>
          <w:szCs w:val="20"/>
        </w:rPr>
        <w:t>(</w:t>
      </w:r>
      <w:r w:rsidRPr="004039FE">
        <w:rPr>
          <w:rFonts w:ascii="Arial" w:hAnsi="Arial" w:cs="Arial"/>
          <w:sz w:val="20"/>
          <w:szCs w:val="20"/>
        </w:rPr>
        <w:t>n=1</w:t>
      </w:r>
      <w:r>
        <w:rPr>
          <w:rFonts w:ascii="Arial" w:hAnsi="Arial" w:cs="Arial"/>
          <w:sz w:val="20"/>
          <w:szCs w:val="20"/>
        </w:rPr>
        <w:t>)</w:t>
      </w:r>
      <w:r w:rsidRPr="004039FE">
        <w:rPr>
          <w:rFonts w:ascii="Arial" w:hAnsi="Arial" w:cs="Arial"/>
          <w:sz w:val="20"/>
          <w:szCs w:val="20"/>
        </w:rPr>
        <w:t xml:space="preserve">; </w:t>
      </w:r>
      <w:r>
        <w:rPr>
          <w:rFonts w:ascii="Arial" w:hAnsi="Arial" w:cs="Arial"/>
          <w:sz w:val="20"/>
          <w:szCs w:val="20"/>
        </w:rPr>
        <w:t>b</w:t>
      </w:r>
      <w:r w:rsidRPr="004039FE">
        <w:rPr>
          <w:rFonts w:ascii="Arial" w:hAnsi="Arial" w:cs="Arial"/>
          <w:sz w:val="20"/>
          <w:szCs w:val="20"/>
        </w:rPr>
        <w:t xml:space="preserve">rain </w:t>
      </w:r>
      <w:proofErr w:type="spellStart"/>
      <w:r>
        <w:rPr>
          <w:rFonts w:ascii="Arial" w:hAnsi="Arial" w:cs="Arial"/>
          <w:sz w:val="20"/>
          <w:szCs w:val="20"/>
        </w:rPr>
        <w:t>h</w:t>
      </w:r>
      <w:r w:rsidRPr="004039FE">
        <w:rPr>
          <w:rFonts w:ascii="Arial" w:hAnsi="Arial" w:cs="Arial"/>
          <w:sz w:val="20"/>
          <w:szCs w:val="20"/>
        </w:rPr>
        <w:t>emorrhage</w:t>
      </w:r>
      <w:proofErr w:type="spellEnd"/>
      <w:r w:rsidRPr="004039FE">
        <w:rPr>
          <w:rFonts w:ascii="Arial" w:hAnsi="Arial" w:cs="Arial"/>
          <w:sz w:val="20"/>
          <w:szCs w:val="20"/>
        </w:rPr>
        <w:t xml:space="preserve"> </w:t>
      </w:r>
      <w:r>
        <w:rPr>
          <w:rFonts w:ascii="Arial" w:hAnsi="Arial" w:cs="Arial"/>
          <w:sz w:val="20"/>
          <w:szCs w:val="20"/>
        </w:rPr>
        <w:t>(</w:t>
      </w:r>
      <w:r w:rsidRPr="004039FE">
        <w:rPr>
          <w:rFonts w:ascii="Arial" w:hAnsi="Arial" w:cs="Arial"/>
          <w:sz w:val="20"/>
          <w:szCs w:val="20"/>
        </w:rPr>
        <w:t>n=1</w:t>
      </w:r>
      <w:r>
        <w:rPr>
          <w:rFonts w:ascii="Arial" w:hAnsi="Arial" w:cs="Arial"/>
          <w:sz w:val="20"/>
          <w:szCs w:val="20"/>
        </w:rPr>
        <w:t>)</w:t>
      </w:r>
      <w:r w:rsidRPr="004039FE">
        <w:rPr>
          <w:rFonts w:ascii="Arial" w:hAnsi="Arial" w:cs="Arial"/>
          <w:sz w:val="20"/>
          <w:szCs w:val="20"/>
        </w:rPr>
        <w:t xml:space="preserve">; </w:t>
      </w:r>
      <w:r>
        <w:rPr>
          <w:rFonts w:ascii="Arial" w:hAnsi="Arial" w:cs="Arial"/>
          <w:sz w:val="20"/>
          <w:szCs w:val="20"/>
        </w:rPr>
        <w:t>c</w:t>
      </w:r>
      <w:r w:rsidRPr="004039FE">
        <w:rPr>
          <w:rFonts w:ascii="Arial" w:hAnsi="Arial" w:cs="Arial"/>
          <w:sz w:val="20"/>
          <w:szCs w:val="20"/>
        </w:rPr>
        <w:t>ause not provided</w:t>
      </w:r>
      <w:r>
        <w:rPr>
          <w:rFonts w:ascii="Arial" w:hAnsi="Arial" w:cs="Arial"/>
          <w:sz w:val="20"/>
          <w:szCs w:val="20"/>
        </w:rPr>
        <w:t>, death 17 months after study treatment</w:t>
      </w:r>
      <w:r w:rsidRPr="00BB0514">
        <w:rPr>
          <w:rFonts w:ascii="Arial" w:hAnsi="Arial" w:cs="Arial"/>
          <w:sz w:val="20"/>
          <w:szCs w:val="20"/>
        </w:rPr>
        <w:t xml:space="preserve"> </w:t>
      </w:r>
      <w:r>
        <w:rPr>
          <w:rFonts w:ascii="Arial" w:hAnsi="Arial" w:cs="Arial"/>
          <w:sz w:val="20"/>
          <w:szCs w:val="20"/>
        </w:rPr>
        <w:t>(</w:t>
      </w:r>
      <w:r w:rsidRPr="004039FE">
        <w:rPr>
          <w:rFonts w:ascii="Arial" w:hAnsi="Arial" w:cs="Arial"/>
          <w:sz w:val="20"/>
          <w:szCs w:val="20"/>
        </w:rPr>
        <w:t>n=1</w:t>
      </w:r>
      <w:r>
        <w:rPr>
          <w:rFonts w:ascii="Arial" w:hAnsi="Arial" w:cs="Arial"/>
          <w:sz w:val="20"/>
          <w:szCs w:val="20"/>
        </w:rPr>
        <w:t>).</w:t>
      </w:r>
    </w:p>
    <w:p w14:paraId="2FAC25BB" w14:textId="0CD9F5AB" w:rsidR="00AE6C5E" w:rsidRPr="008F5DDD" w:rsidRDefault="008F5DDD" w:rsidP="008F5DDD">
      <w:pPr>
        <w:spacing w:before="100" w:beforeAutospacing="1" w:after="100" w:afterAutospacing="1"/>
        <w:rPr>
          <w:rFonts w:ascii="Arial" w:eastAsia="Times New Roman" w:hAnsi="Arial" w:cs="Arial"/>
          <w:sz w:val="20"/>
          <w:szCs w:val="20"/>
          <w:lang w:eastAsia="en-GB"/>
        </w:rPr>
      </w:pPr>
      <w:r w:rsidRPr="00952240">
        <w:rPr>
          <w:rFonts w:ascii="Arial" w:hAnsi="Arial" w:cs="Arial"/>
          <w:sz w:val="20"/>
          <w:szCs w:val="20"/>
          <w:vertAlign w:val="superscript"/>
        </w:rPr>
        <w:lastRenderedPageBreak/>
        <w:t>¶</w:t>
      </w:r>
      <w:r>
        <w:rPr>
          <w:rFonts w:ascii="Arial" w:hAnsi="Arial" w:cs="Arial"/>
          <w:sz w:val="20"/>
          <w:szCs w:val="20"/>
          <w:vertAlign w:val="superscript"/>
        </w:rPr>
        <w:t xml:space="preserve"> </w:t>
      </w:r>
      <w:r w:rsidRPr="001E2FE8">
        <w:rPr>
          <w:rFonts w:ascii="Arial" w:hAnsi="Arial" w:cs="Arial"/>
          <w:sz w:val="20"/>
          <w:szCs w:val="20"/>
          <w:u w:val="single"/>
        </w:rPr>
        <w:t>Other events for collagenase patients</w:t>
      </w:r>
      <w:r w:rsidRPr="00F73348">
        <w:rPr>
          <w:rFonts w:ascii="Arial" w:hAnsi="Arial" w:cs="Arial"/>
          <w:sz w:val="20"/>
          <w:szCs w:val="20"/>
        </w:rPr>
        <w:t xml:space="preserve">: </w:t>
      </w:r>
      <w:r w:rsidRPr="001E2FE8">
        <w:rPr>
          <w:rFonts w:ascii="Arial" w:eastAsia="Times New Roman" w:hAnsi="Arial" w:cs="Arial"/>
          <w:sz w:val="20"/>
          <w:szCs w:val="20"/>
          <w:lang w:eastAsia="en-GB"/>
        </w:rPr>
        <w:t xml:space="preserve">Cubital tunnel (n=3); Dizziness (n=1); Headache (n=1); Nausea (n=1);Pruritis (n=3). </w:t>
      </w:r>
      <w:r w:rsidRPr="001E2FE8">
        <w:rPr>
          <w:rFonts w:ascii="Arial" w:hAnsi="Arial" w:cs="Arial"/>
          <w:sz w:val="20"/>
          <w:szCs w:val="20"/>
          <w:u w:val="single"/>
        </w:rPr>
        <w:t>Other events for Limited fasciectomy patients</w:t>
      </w:r>
      <w:r w:rsidRPr="00F73348">
        <w:rPr>
          <w:rFonts w:ascii="Arial" w:hAnsi="Arial" w:cs="Arial"/>
          <w:sz w:val="20"/>
          <w:szCs w:val="20"/>
        </w:rPr>
        <w:t xml:space="preserve">: </w:t>
      </w:r>
      <w:r w:rsidRPr="001E2FE8">
        <w:rPr>
          <w:rFonts w:ascii="Arial" w:eastAsia="Times New Roman" w:hAnsi="Arial" w:cs="Arial"/>
          <w:sz w:val="20"/>
          <w:szCs w:val="20"/>
          <w:lang w:eastAsia="en-GB"/>
        </w:rPr>
        <w:t>Delayed discharge (n=1); Carpal tunnel (n=1), Cubital tunnel (n=1); Dizziness (n=1); Pruritis (n=1).</w:t>
      </w:r>
    </w:p>
    <w:p w14:paraId="687FD820" w14:textId="1CE0544C" w:rsidR="00E25F06" w:rsidRPr="00882ACB" w:rsidRDefault="00E25F06">
      <w:pPr>
        <w:spacing w:line="259" w:lineRule="auto"/>
        <w:rPr>
          <w:rFonts w:ascii="Arial" w:hAnsi="Arial" w:cs="Arial"/>
        </w:rPr>
      </w:pPr>
      <w:r w:rsidRPr="00882ACB">
        <w:rPr>
          <w:rFonts w:ascii="Arial" w:hAnsi="Arial" w:cs="Arial"/>
        </w:rPr>
        <w:br w:type="page"/>
      </w:r>
    </w:p>
    <w:p w14:paraId="54C79EE6" w14:textId="77FECE36" w:rsidR="00BA65BD" w:rsidRPr="00882ACB" w:rsidRDefault="00BA65BD" w:rsidP="00BA65BD">
      <w:pPr>
        <w:rPr>
          <w:rFonts w:ascii="Arial" w:hAnsi="Arial" w:cs="Arial"/>
          <w:i/>
          <w:iCs/>
          <w:sz w:val="20"/>
          <w:szCs w:val="20"/>
        </w:rPr>
      </w:pPr>
    </w:p>
    <w:p w14:paraId="410E66E9" w14:textId="77777777" w:rsidR="00BD7303" w:rsidRPr="00882ACB" w:rsidRDefault="00BD7303" w:rsidP="00BD7303">
      <w:pPr>
        <w:rPr>
          <w:rFonts w:ascii="Arial" w:hAnsi="Arial" w:cs="Arial"/>
          <w:bCs/>
          <w:szCs w:val="24"/>
        </w:rPr>
        <w:sectPr w:rsidR="00BD7303" w:rsidRPr="00882ACB" w:rsidSect="00963E06">
          <w:pgSz w:w="16838" w:h="11906" w:orient="landscape"/>
          <w:pgMar w:top="1440" w:right="1440" w:bottom="1440" w:left="1440" w:header="708" w:footer="708" w:gutter="0"/>
          <w:cols w:space="708"/>
          <w:docGrid w:linePitch="360"/>
        </w:sectPr>
      </w:pPr>
    </w:p>
    <w:p w14:paraId="653EC6C9" w14:textId="578383D3" w:rsidR="008E4CF9" w:rsidRPr="00882ACB" w:rsidRDefault="008E4CF9" w:rsidP="008D62ED">
      <w:pPr>
        <w:rPr>
          <w:rFonts w:ascii="Arial" w:hAnsi="Arial" w:cs="Arial"/>
        </w:rPr>
      </w:pPr>
    </w:p>
    <w:p w14:paraId="5CD8541C" w14:textId="33ABB9E6" w:rsidR="00DA6AA2" w:rsidRPr="00882ACB" w:rsidRDefault="00DA6AA2">
      <w:pPr>
        <w:rPr>
          <w:rFonts w:ascii="Arial" w:hAnsi="Arial" w:cs="Arial"/>
        </w:rPr>
      </w:pPr>
    </w:p>
    <w:sectPr w:rsidR="00DA6AA2" w:rsidRPr="00882ACB" w:rsidSect="00963E0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aren Solomon" w:date="2024-06-12T20:58:00Z" w:initials="CGS">
    <w:p w14:paraId="412F0A1F" w14:textId="77777777" w:rsidR="00A947CF" w:rsidRDefault="00A947CF" w:rsidP="00A947CF">
      <w:r>
        <w:rPr>
          <w:rStyle w:val="CommentReference"/>
        </w:rPr>
        <w:annotationRef/>
      </w:r>
      <w:r>
        <w:rPr>
          <w:color w:val="000000"/>
          <w:sz w:val="20"/>
          <w:szCs w:val="20"/>
        </w:rPr>
        <w:t xml:space="preserve">OK? </w:t>
      </w:r>
    </w:p>
  </w:comment>
  <w:comment w:id="4" w:author="Caren Solomon" w:date="2024-06-12T20:56:00Z" w:initials="CGS">
    <w:p w14:paraId="78C1597C" w14:textId="77777777" w:rsidR="00A947CF" w:rsidRDefault="00A947CF" w:rsidP="00A947CF">
      <w:r>
        <w:rPr>
          <w:rStyle w:val="CommentReference"/>
        </w:rPr>
        <w:annotationRef/>
      </w:r>
      <w:r>
        <w:rPr>
          <w:color w:val="000000"/>
          <w:sz w:val="20"/>
          <w:szCs w:val="20"/>
        </w:rPr>
        <w:t xml:space="preserve">OK? And Clarify when </w:t>
      </w:r>
    </w:p>
  </w:comment>
  <w:comment w:id="5" w:author="Caren Solomon" w:date="2024-06-12T20:59:00Z" w:initials="CGS">
    <w:p w14:paraId="59C42582" w14:textId="77777777" w:rsidR="00A947CF" w:rsidRDefault="00A947CF" w:rsidP="00A947CF">
      <w:r>
        <w:rPr>
          <w:rStyle w:val="CommentReference"/>
        </w:rPr>
        <w:annotationRef/>
      </w:r>
      <w:r>
        <w:rPr>
          <w:color w:val="000000"/>
          <w:sz w:val="20"/>
          <w:szCs w:val="20"/>
        </w:rPr>
        <w:t xml:space="preserve">OK? </w:t>
      </w:r>
    </w:p>
  </w:comment>
  <w:comment w:id="6" w:author="Caren Solomon" w:date="2024-06-12T21:03:00Z" w:initials="CGS">
    <w:p w14:paraId="0FD3BF16" w14:textId="77777777" w:rsidR="00A947CF" w:rsidRDefault="00A947CF" w:rsidP="00A947CF">
      <w:r>
        <w:rPr>
          <w:rStyle w:val="CommentReference"/>
        </w:rPr>
        <w:annotationRef/>
      </w:r>
      <w:r>
        <w:rPr>
          <w:color w:val="000000"/>
          <w:sz w:val="20"/>
          <w:szCs w:val="20"/>
        </w:rPr>
        <w:t>OK as reworded/shortened?</w:t>
      </w:r>
    </w:p>
  </w:comment>
  <w:comment w:id="7" w:author="Caren Solomon" w:date="2024-06-12T21:08:00Z" w:initials="CGS">
    <w:p w14:paraId="39007B0D" w14:textId="77777777" w:rsidR="00014DC1" w:rsidRDefault="00014DC1" w:rsidP="00014DC1">
      <w:r>
        <w:rPr>
          <w:rStyle w:val="CommentReference"/>
        </w:rPr>
        <w:annotationRef/>
      </w:r>
      <w:r>
        <w:rPr>
          <w:color w:val="000000"/>
          <w:sz w:val="20"/>
          <w:szCs w:val="20"/>
        </w:rPr>
        <w:t xml:space="preserve">OK? </w:t>
      </w:r>
    </w:p>
  </w:comment>
  <w:comment w:id="8" w:author="Caren Solomon" w:date="2024-06-12T21:08:00Z" w:initials="CGS">
    <w:p w14:paraId="33A81236" w14:textId="77777777" w:rsidR="008F3415" w:rsidRDefault="00014DC1" w:rsidP="008F3415">
      <w:r>
        <w:rPr>
          <w:rStyle w:val="CommentReference"/>
        </w:rPr>
        <w:annotationRef/>
      </w:r>
      <w:r w:rsidR="008F3415">
        <w:rPr>
          <w:sz w:val="20"/>
          <w:szCs w:val="20"/>
        </w:rPr>
        <w:t>OK? Else reword</w:t>
      </w:r>
    </w:p>
  </w:comment>
  <w:comment w:id="9" w:author="Caren Solomon" w:date="2024-06-20T08:10:00Z" w:initials="CGS">
    <w:p w14:paraId="7DCD1644" w14:textId="77777777" w:rsidR="00CF36AB" w:rsidRDefault="00CF36AB" w:rsidP="00CF36AB">
      <w:r>
        <w:rPr>
          <w:rStyle w:val="CommentReference"/>
        </w:rPr>
        <w:annotationRef/>
      </w:r>
      <w:r>
        <w:rPr>
          <w:color w:val="000000"/>
          <w:sz w:val="20"/>
          <w:szCs w:val="20"/>
        </w:rP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F0A1F" w15:done="0"/>
  <w15:commentEx w15:paraId="78C1597C" w15:done="0"/>
  <w15:commentEx w15:paraId="59C42582" w15:done="0"/>
  <w15:commentEx w15:paraId="0FD3BF16" w15:done="0"/>
  <w15:commentEx w15:paraId="39007B0D" w15:done="0"/>
  <w15:commentEx w15:paraId="33A81236" w15:done="0"/>
  <w15:commentEx w15:paraId="7DCD16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FFF7DB" w16cex:dateUtc="2024-06-12T18:58:00Z"/>
  <w16cex:commentExtensible w16cex:durableId="62A84E9A" w16cex:dateUtc="2024-06-12T18:56:00Z"/>
  <w16cex:commentExtensible w16cex:durableId="7CE88AD9" w16cex:dateUtc="2024-06-12T18:59:00Z"/>
  <w16cex:commentExtensible w16cex:durableId="35D42375" w16cex:dateUtc="2024-06-12T19:03:00Z"/>
  <w16cex:commentExtensible w16cex:durableId="3759CC79" w16cex:dateUtc="2024-06-12T19:08:00Z"/>
  <w16cex:commentExtensible w16cex:durableId="13CA7BF2" w16cex:dateUtc="2024-06-12T19:08:00Z"/>
  <w16cex:commentExtensible w16cex:durableId="1C77981A" w16cex:dateUtc="2024-06-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F0A1F" w16cid:durableId="14FFF7DB"/>
  <w16cid:commentId w16cid:paraId="78C1597C" w16cid:durableId="62A84E9A"/>
  <w16cid:commentId w16cid:paraId="59C42582" w16cid:durableId="7CE88AD9"/>
  <w16cid:commentId w16cid:paraId="0FD3BF16" w16cid:durableId="35D42375"/>
  <w16cid:commentId w16cid:paraId="39007B0D" w16cid:durableId="3759CC79"/>
  <w16cid:commentId w16cid:paraId="33A81236" w16cid:durableId="13CA7BF2"/>
  <w16cid:commentId w16cid:paraId="7DCD1644" w16cid:durableId="1C779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2A2AF" w14:textId="77777777" w:rsidR="00C54412" w:rsidRPr="00882ACB" w:rsidRDefault="00C54412" w:rsidP="00555F3E">
      <w:pPr>
        <w:spacing w:after="0" w:line="240" w:lineRule="auto"/>
      </w:pPr>
      <w:r w:rsidRPr="00882ACB">
        <w:separator/>
      </w:r>
    </w:p>
  </w:endnote>
  <w:endnote w:type="continuationSeparator" w:id="0">
    <w:p w14:paraId="32962425" w14:textId="77777777" w:rsidR="00C54412" w:rsidRPr="00882ACB" w:rsidRDefault="00C54412" w:rsidP="00555F3E">
      <w:pPr>
        <w:spacing w:after="0" w:line="240" w:lineRule="auto"/>
      </w:pPr>
      <w:r w:rsidRPr="00882A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venirNextLTPro-Regular">
    <w:altName w:val="Yu Gothic UI"/>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412D" w14:textId="77777777" w:rsidR="00C54412" w:rsidRPr="00882ACB" w:rsidRDefault="00C54412" w:rsidP="00555F3E">
      <w:pPr>
        <w:spacing w:after="0" w:line="240" w:lineRule="auto"/>
      </w:pPr>
      <w:r w:rsidRPr="00882ACB">
        <w:separator/>
      </w:r>
    </w:p>
  </w:footnote>
  <w:footnote w:type="continuationSeparator" w:id="0">
    <w:p w14:paraId="1E79F024" w14:textId="77777777" w:rsidR="00C54412" w:rsidRPr="00882ACB" w:rsidRDefault="00C54412" w:rsidP="00555F3E">
      <w:pPr>
        <w:spacing w:after="0" w:line="240" w:lineRule="auto"/>
      </w:pPr>
      <w:r w:rsidRPr="00882AC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1F0C"/>
    <w:multiLevelType w:val="multilevel"/>
    <w:tmpl w:val="99942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A7CDC"/>
    <w:multiLevelType w:val="hybridMultilevel"/>
    <w:tmpl w:val="C2EE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E31B9"/>
    <w:multiLevelType w:val="hybridMultilevel"/>
    <w:tmpl w:val="463E42AC"/>
    <w:lvl w:ilvl="0" w:tplc="34E6E776">
      <w:start w:val="6"/>
      <w:numFmt w:val="bullet"/>
      <w:lvlText w:val="-"/>
      <w:lvlJc w:val="left"/>
      <w:pPr>
        <w:ind w:left="720" w:hanging="360"/>
      </w:pPr>
      <w:rPr>
        <w:rFonts w:ascii="Calibri Light" w:eastAsiaTheme="majorEastAsia" w:hAnsi="Calibri Light" w:cs="Calibri Light"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C4847"/>
    <w:multiLevelType w:val="hybridMultilevel"/>
    <w:tmpl w:val="FF70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5720E"/>
    <w:multiLevelType w:val="hybridMultilevel"/>
    <w:tmpl w:val="C304167C"/>
    <w:lvl w:ilvl="0" w:tplc="0AAA6930">
      <w:start w:val="1"/>
      <w:numFmt w:val="decimal"/>
      <w:lvlText w:val="%1)"/>
      <w:lvlJc w:val="left"/>
      <w:pPr>
        <w:ind w:left="1020" w:hanging="360"/>
      </w:pPr>
    </w:lvl>
    <w:lvl w:ilvl="1" w:tplc="DA80F954">
      <w:start w:val="1"/>
      <w:numFmt w:val="decimal"/>
      <w:lvlText w:val="%2)"/>
      <w:lvlJc w:val="left"/>
      <w:pPr>
        <w:ind w:left="1020" w:hanging="360"/>
      </w:pPr>
    </w:lvl>
    <w:lvl w:ilvl="2" w:tplc="B942C398">
      <w:start w:val="1"/>
      <w:numFmt w:val="decimal"/>
      <w:lvlText w:val="%3)"/>
      <w:lvlJc w:val="left"/>
      <w:pPr>
        <w:ind w:left="1020" w:hanging="360"/>
      </w:pPr>
    </w:lvl>
    <w:lvl w:ilvl="3" w:tplc="4F0CD0EA">
      <w:start w:val="1"/>
      <w:numFmt w:val="decimal"/>
      <w:lvlText w:val="%4)"/>
      <w:lvlJc w:val="left"/>
      <w:pPr>
        <w:ind w:left="1020" w:hanging="360"/>
      </w:pPr>
    </w:lvl>
    <w:lvl w:ilvl="4" w:tplc="20BE7A00">
      <w:start w:val="1"/>
      <w:numFmt w:val="decimal"/>
      <w:lvlText w:val="%5)"/>
      <w:lvlJc w:val="left"/>
      <w:pPr>
        <w:ind w:left="1020" w:hanging="360"/>
      </w:pPr>
    </w:lvl>
    <w:lvl w:ilvl="5" w:tplc="AFCCA4AA">
      <w:start w:val="1"/>
      <w:numFmt w:val="decimal"/>
      <w:lvlText w:val="%6)"/>
      <w:lvlJc w:val="left"/>
      <w:pPr>
        <w:ind w:left="1020" w:hanging="360"/>
      </w:pPr>
    </w:lvl>
    <w:lvl w:ilvl="6" w:tplc="A7D630AA">
      <w:start w:val="1"/>
      <w:numFmt w:val="decimal"/>
      <w:lvlText w:val="%7)"/>
      <w:lvlJc w:val="left"/>
      <w:pPr>
        <w:ind w:left="1020" w:hanging="360"/>
      </w:pPr>
    </w:lvl>
    <w:lvl w:ilvl="7" w:tplc="48E8668A">
      <w:start w:val="1"/>
      <w:numFmt w:val="decimal"/>
      <w:lvlText w:val="%8)"/>
      <w:lvlJc w:val="left"/>
      <w:pPr>
        <w:ind w:left="1020" w:hanging="360"/>
      </w:pPr>
    </w:lvl>
    <w:lvl w:ilvl="8" w:tplc="57E66E74">
      <w:start w:val="1"/>
      <w:numFmt w:val="decimal"/>
      <w:lvlText w:val="%9)"/>
      <w:lvlJc w:val="left"/>
      <w:pPr>
        <w:ind w:left="1020" w:hanging="360"/>
      </w:pPr>
    </w:lvl>
  </w:abstractNum>
  <w:abstractNum w:abstractNumId="5" w15:restartNumberingAfterBreak="0">
    <w:nsid w:val="71D42AFE"/>
    <w:multiLevelType w:val="multilevel"/>
    <w:tmpl w:val="05F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1439A"/>
    <w:multiLevelType w:val="hybridMultilevel"/>
    <w:tmpl w:val="5DA4C626"/>
    <w:lvl w:ilvl="0" w:tplc="4EF4758C">
      <w:start w:val="1"/>
      <w:numFmt w:val="decimal"/>
      <w:lvlText w:val="%1)"/>
      <w:lvlJc w:val="left"/>
      <w:pPr>
        <w:ind w:left="1020" w:hanging="360"/>
      </w:pPr>
    </w:lvl>
    <w:lvl w:ilvl="1" w:tplc="1534E476">
      <w:start w:val="1"/>
      <w:numFmt w:val="decimal"/>
      <w:lvlText w:val="%2)"/>
      <w:lvlJc w:val="left"/>
      <w:pPr>
        <w:ind w:left="1020" w:hanging="360"/>
      </w:pPr>
    </w:lvl>
    <w:lvl w:ilvl="2" w:tplc="42FC0FA6">
      <w:start w:val="1"/>
      <w:numFmt w:val="decimal"/>
      <w:lvlText w:val="%3)"/>
      <w:lvlJc w:val="left"/>
      <w:pPr>
        <w:ind w:left="1020" w:hanging="360"/>
      </w:pPr>
    </w:lvl>
    <w:lvl w:ilvl="3" w:tplc="A06AA252">
      <w:start w:val="1"/>
      <w:numFmt w:val="decimal"/>
      <w:lvlText w:val="%4)"/>
      <w:lvlJc w:val="left"/>
      <w:pPr>
        <w:ind w:left="1020" w:hanging="360"/>
      </w:pPr>
    </w:lvl>
    <w:lvl w:ilvl="4" w:tplc="AAB6A5F0">
      <w:start w:val="1"/>
      <w:numFmt w:val="decimal"/>
      <w:lvlText w:val="%5)"/>
      <w:lvlJc w:val="left"/>
      <w:pPr>
        <w:ind w:left="1020" w:hanging="360"/>
      </w:pPr>
    </w:lvl>
    <w:lvl w:ilvl="5" w:tplc="900E117A">
      <w:start w:val="1"/>
      <w:numFmt w:val="decimal"/>
      <w:lvlText w:val="%6)"/>
      <w:lvlJc w:val="left"/>
      <w:pPr>
        <w:ind w:left="1020" w:hanging="360"/>
      </w:pPr>
    </w:lvl>
    <w:lvl w:ilvl="6" w:tplc="CFB4E5C2">
      <w:start w:val="1"/>
      <w:numFmt w:val="decimal"/>
      <w:lvlText w:val="%7)"/>
      <w:lvlJc w:val="left"/>
      <w:pPr>
        <w:ind w:left="1020" w:hanging="360"/>
      </w:pPr>
    </w:lvl>
    <w:lvl w:ilvl="7" w:tplc="DA70A4AC">
      <w:start w:val="1"/>
      <w:numFmt w:val="decimal"/>
      <w:lvlText w:val="%8)"/>
      <w:lvlJc w:val="left"/>
      <w:pPr>
        <w:ind w:left="1020" w:hanging="360"/>
      </w:pPr>
    </w:lvl>
    <w:lvl w:ilvl="8" w:tplc="DC9CDFEE">
      <w:start w:val="1"/>
      <w:numFmt w:val="decimal"/>
      <w:lvlText w:val="%9)"/>
      <w:lvlJc w:val="left"/>
      <w:pPr>
        <w:ind w:left="1020" w:hanging="360"/>
      </w:pPr>
    </w:lvl>
  </w:abstractNum>
  <w:num w:numId="1" w16cid:durableId="1323974137">
    <w:abstractNumId w:val="0"/>
  </w:num>
  <w:num w:numId="2" w16cid:durableId="1277177690">
    <w:abstractNumId w:val="2"/>
  </w:num>
  <w:num w:numId="3" w16cid:durableId="1449275926">
    <w:abstractNumId w:val="1"/>
  </w:num>
  <w:num w:numId="4" w16cid:durableId="707415942">
    <w:abstractNumId w:val="5"/>
  </w:num>
  <w:num w:numId="5" w16cid:durableId="312834905">
    <w:abstractNumId w:val="3"/>
  </w:num>
  <w:num w:numId="6" w16cid:durableId="634602194">
    <w:abstractNumId w:val="6"/>
  </w:num>
  <w:num w:numId="7" w16cid:durableId="16825868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en Solomon">
    <w15:presenceInfo w15:providerId="None" w15:userId="Caren Solo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vw20ffjft02iezxxzpt0d8dawsexfvpzsz&quot;&gt;Untitled&lt;record-ids&gt;&lt;item&gt;1&lt;/item&gt;&lt;item&gt;2&lt;/item&gt;&lt;item&gt;6&lt;/item&gt;&lt;item&gt;9&lt;/item&gt;&lt;item&gt;19&lt;/item&gt;&lt;item&gt;20&lt;/item&gt;&lt;item&gt;25&lt;/item&gt;&lt;item&gt;26&lt;/item&gt;&lt;item&gt;27&lt;/item&gt;&lt;item&gt;42&lt;/item&gt;&lt;item&gt;44&lt;/item&gt;&lt;item&gt;45&lt;/item&gt;&lt;item&gt;46&lt;/item&gt;&lt;item&gt;49&lt;/item&gt;&lt;item&gt;50&lt;/item&gt;&lt;item&gt;55&lt;/item&gt;&lt;item&gt;124&lt;/item&gt;&lt;item&gt;157&lt;/item&gt;&lt;item&gt;158&lt;/item&gt;&lt;item&gt;164&lt;/item&gt;&lt;item&gt;165&lt;/item&gt;&lt;item&gt;166&lt;/item&gt;&lt;item&gt;171&lt;/item&gt;&lt;item&gt;172&lt;/item&gt;&lt;/record-ids&gt;&lt;/item&gt;&lt;/Libraries&gt;"/>
  </w:docVars>
  <w:rsids>
    <w:rsidRoot w:val="00A5203B"/>
    <w:rsid w:val="00000683"/>
    <w:rsid w:val="0000201D"/>
    <w:rsid w:val="00003A3D"/>
    <w:rsid w:val="00003D9A"/>
    <w:rsid w:val="000051EE"/>
    <w:rsid w:val="00005646"/>
    <w:rsid w:val="00011952"/>
    <w:rsid w:val="000124DC"/>
    <w:rsid w:val="00014A19"/>
    <w:rsid w:val="00014DC1"/>
    <w:rsid w:val="00014DD3"/>
    <w:rsid w:val="0002507F"/>
    <w:rsid w:val="00025E98"/>
    <w:rsid w:val="000260F1"/>
    <w:rsid w:val="00036951"/>
    <w:rsid w:val="0004136F"/>
    <w:rsid w:val="00042ECF"/>
    <w:rsid w:val="00043E59"/>
    <w:rsid w:val="0005146F"/>
    <w:rsid w:val="00053A03"/>
    <w:rsid w:val="00060AD9"/>
    <w:rsid w:val="00060DB0"/>
    <w:rsid w:val="00064AE7"/>
    <w:rsid w:val="00064AED"/>
    <w:rsid w:val="00067FAB"/>
    <w:rsid w:val="000703C8"/>
    <w:rsid w:val="0007192D"/>
    <w:rsid w:val="000723CE"/>
    <w:rsid w:val="00073723"/>
    <w:rsid w:val="00077264"/>
    <w:rsid w:val="00084EEE"/>
    <w:rsid w:val="00087459"/>
    <w:rsid w:val="00087D2A"/>
    <w:rsid w:val="00094A83"/>
    <w:rsid w:val="000A1589"/>
    <w:rsid w:val="000A252C"/>
    <w:rsid w:val="000A5AFD"/>
    <w:rsid w:val="000A7C7F"/>
    <w:rsid w:val="000B2BCD"/>
    <w:rsid w:val="000C11A0"/>
    <w:rsid w:val="000C1E2A"/>
    <w:rsid w:val="000C4E31"/>
    <w:rsid w:val="000C5EAB"/>
    <w:rsid w:val="000D050A"/>
    <w:rsid w:val="000D247D"/>
    <w:rsid w:val="000D34AD"/>
    <w:rsid w:val="000D58A9"/>
    <w:rsid w:val="000D5C4D"/>
    <w:rsid w:val="000D65D6"/>
    <w:rsid w:val="000D7435"/>
    <w:rsid w:val="000E099F"/>
    <w:rsid w:val="000E2ED1"/>
    <w:rsid w:val="000E5093"/>
    <w:rsid w:val="000F2849"/>
    <w:rsid w:val="00101241"/>
    <w:rsid w:val="00103B85"/>
    <w:rsid w:val="001043D9"/>
    <w:rsid w:val="0010441E"/>
    <w:rsid w:val="00105FCA"/>
    <w:rsid w:val="00112542"/>
    <w:rsid w:val="00113D51"/>
    <w:rsid w:val="00123B5D"/>
    <w:rsid w:val="00124AB0"/>
    <w:rsid w:val="001256FA"/>
    <w:rsid w:val="00131A2D"/>
    <w:rsid w:val="00131E06"/>
    <w:rsid w:val="00132829"/>
    <w:rsid w:val="0013514A"/>
    <w:rsid w:val="001363BD"/>
    <w:rsid w:val="00136BE0"/>
    <w:rsid w:val="00137C6D"/>
    <w:rsid w:val="00141A63"/>
    <w:rsid w:val="00142D88"/>
    <w:rsid w:val="00144286"/>
    <w:rsid w:val="00145EDD"/>
    <w:rsid w:val="00151A8E"/>
    <w:rsid w:val="001577B7"/>
    <w:rsid w:val="001646CA"/>
    <w:rsid w:val="00167143"/>
    <w:rsid w:val="001710F0"/>
    <w:rsid w:val="001733DF"/>
    <w:rsid w:val="001809B9"/>
    <w:rsid w:val="00197968"/>
    <w:rsid w:val="001A1851"/>
    <w:rsid w:val="001A18BA"/>
    <w:rsid w:val="001A1A36"/>
    <w:rsid w:val="001A4CF4"/>
    <w:rsid w:val="001A7A5E"/>
    <w:rsid w:val="001B0376"/>
    <w:rsid w:val="001B17CA"/>
    <w:rsid w:val="001B182B"/>
    <w:rsid w:val="001B2183"/>
    <w:rsid w:val="001B264B"/>
    <w:rsid w:val="001B60F3"/>
    <w:rsid w:val="001C3B52"/>
    <w:rsid w:val="001C3F93"/>
    <w:rsid w:val="001C508D"/>
    <w:rsid w:val="001C5467"/>
    <w:rsid w:val="001E2FE8"/>
    <w:rsid w:val="001E4CB9"/>
    <w:rsid w:val="001F0997"/>
    <w:rsid w:val="001F22B6"/>
    <w:rsid w:val="001F40B7"/>
    <w:rsid w:val="001F4267"/>
    <w:rsid w:val="001F4DBC"/>
    <w:rsid w:val="001F4E43"/>
    <w:rsid w:val="001F5BCA"/>
    <w:rsid w:val="001F7CBC"/>
    <w:rsid w:val="00201DDE"/>
    <w:rsid w:val="00202D85"/>
    <w:rsid w:val="002201AF"/>
    <w:rsid w:val="002215FC"/>
    <w:rsid w:val="002220DD"/>
    <w:rsid w:val="00223AFD"/>
    <w:rsid w:val="00224FEE"/>
    <w:rsid w:val="00225FDB"/>
    <w:rsid w:val="002314D9"/>
    <w:rsid w:val="0023263F"/>
    <w:rsid w:val="00232CAA"/>
    <w:rsid w:val="00236229"/>
    <w:rsid w:val="00237B8B"/>
    <w:rsid w:val="0024526A"/>
    <w:rsid w:val="00245BF2"/>
    <w:rsid w:val="0025123B"/>
    <w:rsid w:val="00251D3D"/>
    <w:rsid w:val="00251E6B"/>
    <w:rsid w:val="00252022"/>
    <w:rsid w:val="00254486"/>
    <w:rsid w:val="0025474F"/>
    <w:rsid w:val="002555D2"/>
    <w:rsid w:val="0025582D"/>
    <w:rsid w:val="00256E1B"/>
    <w:rsid w:val="002611D1"/>
    <w:rsid w:val="0026120A"/>
    <w:rsid w:val="002626B3"/>
    <w:rsid w:val="00265403"/>
    <w:rsid w:val="002662B8"/>
    <w:rsid w:val="0026730F"/>
    <w:rsid w:val="002704DF"/>
    <w:rsid w:val="00272853"/>
    <w:rsid w:val="00274A62"/>
    <w:rsid w:val="00290ECE"/>
    <w:rsid w:val="0029322D"/>
    <w:rsid w:val="0029401A"/>
    <w:rsid w:val="002A0038"/>
    <w:rsid w:val="002A0D23"/>
    <w:rsid w:val="002A2D98"/>
    <w:rsid w:val="002B31CB"/>
    <w:rsid w:val="002B6912"/>
    <w:rsid w:val="002C123F"/>
    <w:rsid w:val="002C1813"/>
    <w:rsid w:val="002D0E2B"/>
    <w:rsid w:val="002D35F5"/>
    <w:rsid w:val="002D363F"/>
    <w:rsid w:val="002D53DB"/>
    <w:rsid w:val="002D60A4"/>
    <w:rsid w:val="002E1EFB"/>
    <w:rsid w:val="002E1FA0"/>
    <w:rsid w:val="002E39A8"/>
    <w:rsid w:val="002E564D"/>
    <w:rsid w:val="002E6AE2"/>
    <w:rsid w:val="002E73CC"/>
    <w:rsid w:val="002F26F0"/>
    <w:rsid w:val="00304FF4"/>
    <w:rsid w:val="003061BF"/>
    <w:rsid w:val="0031459D"/>
    <w:rsid w:val="00315026"/>
    <w:rsid w:val="00316818"/>
    <w:rsid w:val="00324A26"/>
    <w:rsid w:val="003252A3"/>
    <w:rsid w:val="003258AF"/>
    <w:rsid w:val="003259C5"/>
    <w:rsid w:val="003262F1"/>
    <w:rsid w:val="00336202"/>
    <w:rsid w:val="003362AB"/>
    <w:rsid w:val="003466C4"/>
    <w:rsid w:val="003523D5"/>
    <w:rsid w:val="00357E9E"/>
    <w:rsid w:val="00361ED1"/>
    <w:rsid w:val="003623CA"/>
    <w:rsid w:val="003648A0"/>
    <w:rsid w:val="00374DF6"/>
    <w:rsid w:val="003753DF"/>
    <w:rsid w:val="003800AE"/>
    <w:rsid w:val="003832EF"/>
    <w:rsid w:val="003834B8"/>
    <w:rsid w:val="0038671D"/>
    <w:rsid w:val="00392DB7"/>
    <w:rsid w:val="0039704C"/>
    <w:rsid w:val="003A2C11"/>
    <w:rsid w:val="003B02D0"/>
    <w:rsid w:val="003B11E1"/>
    <w:rsid w:val="003B2324"/>
    <w:rsid w:val="003B6198"/>
    <w:rsid w:val="003C17C1"/>
    <w:rsid w:val="003C2454"/>
    <w:rsid w:val="003C33A3"/>
    <w:rsid w:val="003C4E9A"/>
    <w:rsid w:val="003C5575"/>
    <w:rsid w:val="003C56A1"/>
    <w:rsid w:val="003C6044"/>
    <w:rsid w:val="003C7096"/>
    <w:rsid w:val="003D0AE3"/>
    <w:rsid w:val="003D0CDF"/>
    <w:rsid w:val="003D1A11"/>
    <w:rsid w:val="003D3484"/>
    <w:rsid w:val="003D53EC"/>
    <w:rsid w:val="003D575C"/>
    <w:rsid w:val="003D73B1"/>
    <w:rsid w:val="003E7D3C"/>
    <w:rsid w:val="003F1979"/>
    <w:rsid w:val="003F2E81"/>
    <w:rsid w:val="003F33C4"/>
    <w:rsid w:val="003F645C"/>
    <w:rsid w:val="004012E4"/>
    <w:rsid w:val="004035BD"/>
    <w:rsid w:val="004039C4"/>
    <w:rsid w:val="004039FE"/>
    <w:rsid w:val="00410BEE"/>
    <w:rsid w:val="004114C1"/>
    <w:rsid w:val="00412AF0"/>
    <w:rsid w:val="00414613"/>
    <w:rsid w:val="00415330"/>
    <w:rsid w:val="0042281D"/>
    <w:rsid w:val="0042526F"/>
    <w:rsid w:val="004268EB"/>
    <w:rsid w:val="00432D2E"/>
    <w:rsid w:val="00435124"/>
    <w:rsid w:val="004370B2"/>
    <w:rsid w:val="00440B6C"/>
    <w:rsid w:val="004413B5"/>
    <w:rsid w:val="00441F5D"/>
    <w:rsid w:val="00443018"/>
    <w:rsid w:val="00443B8D"/>
    <w:rsid w:val="004450CE"/>
    <w:rsid w:val="004522F4"/>
    <w:rsid w:val="00456ECB"/>
    <w:rsid w:val="004615C5"/>
    <w:rsid w:val="00463346"/>
    <w:rsid w:val="004658AB"/>
    <w:rsid w:val="00465A8A"/>
    <w:rsid w:val="004661DC"/>
    <w:rsid w:val="00470621"/>
    <w:rsid w:val="004720F3"/>
    <w:rsid w:val="004728A2"/>
    <w:rsid w:val="004728E8"/>
    <w:rsid w:val="00473C1C"/>
    <w:rsid w:val="00474029"/>
    <w:rsid w:val="00475837"/>
    <w:rsid w:val="004768C3"/>
    <w:rsid w:val="004769C6"/>
    <w:rsid w:val="00481343"/>
    <w:rsid w:val="0048162D"/>
    <w:rsid w:val="00483946"/>
    <w:rsid w:val="0048406A"/>
    <w:rsid w:val="00491CE9"/>
    <w:rsid w:val="004A5335"/>
    <w:rsid w:val="004B1986"/>
    <w:rsid w:val="004B4E83"/>
    <w:rsid w:val="004B698E"/>
    <w:rsid w:val="004C0A31"/>
    <w:rsid w:val="004C1548"/>
    <w:rsid w:val="004C2FD2"/>
    <w:rsid w:val="004C45A5"/>
    <w:rsid w:val="004D38C8"/>
    <w:rsid w:val="004D4302"/>
    <w:rsid w:val="004D4EFB"/>
    <w:rsid w:val="004D65F9"/>
    <w:rsid w:val="004E4D86"/>
    <w:rsid w:val="004F1099"/>
    <w:rsid w:val="004F5B2E"/>
    <w:rsid w:val="004F77D4"/>
    <w:rsid w:val="005027B7"/>
    <w:rsid w:val="005035D4"/>
    <w:rsid w:val="00503BD2"/>
    <w:rsid w:val="005061BC"/>
    <w:rsid w:val="0051009D"/>
    <w:rsid w:val="00513A9D"/>
    <w:rsid w:val="00513D7C"/>
    <w:rsid w:val="00513E78"/>
    <w:rsid w:val="00517CFD"/>
    <w:rsid w:val="00523085"/>
    <w:rsid w:val="00524FB1"/>
    <w:rsid w:val="0052672F"/>
    <w:rsid w:val="005344D5"/>
    <w:rsid w:val="00536FB6"/>
    <w:rsid w:val="00537FF4"/>
    <w:rsid w:val="00540C73"/>
    <w:rsid w:val="005429EE"/>
    <w:rsid w:val="00542C0E"/>
    <w:rsid w:val="00543B58"/>
    <w:rsid w:val="00544B22"/>
    <w:rsid w:val="00547940"/>
    <w:rsid w:val="005504F1"/>
    <w:rsid w:val="005505FA"/>
    <w:rsid w:val="00550F2E"/>
    <w:rsid w:val="005521FD"/>
    <w:rsid w:val="005526FE"/>
    <w:rsid w:val="005535C9"/>
    <w:rsid w:val="00555F3E"/>
    <w:rsid w:val="00564171"/>
    <w:rsid w:val="00565280"/>
    <w:rsid w:val="00567F5C"/>
    <w:rsid w:val="00573301"/>
    <w:rsid w:val="00573FFA"/>
    <w:rsid w:val="00577055"/>
    <w:rsid w:val="00577AC2"/>
    <w:rsid w:val="005800AC"/>
    <w:rsid w:val="00586A08"/>
    <w:rsid w:val="005936BE"/>
    <w:rsid w:val="00596EFB"/>
    <w:rsid w:val="00597BDC"/>
    <w:rsid w:val="005A14DF"/>
    <w:rsid w:val="005A176F"/>
    <w:rsid w:val="005A21A4"/>
    <w:rsid w:val="005A62B3"/>
    <w:rsid w:val="005A77D7"/>
    <w:rsid w:val="005B10E7"/>
    <w:rsid w:val="005B431A"/>
    <w:rsid w:val="005B514F"/>
    <w:rsid w:val="005B5681"/>
    <w:rsid w:val="005C3150"/>
    <w:rsid w:val="005C453C"/>
    <w:rsid w:val="005D0B3A"/>
    <w:rsid w:val="005D156C"/>
    <w:rsid w:val="005D3987"/>
    <w:rsid w:val="005D5B2A"/>
    <w:rsid w:val="005D6EE0"/>
    <w:rsid w:val="005D715D"/>
    <w:rsid w:val="005D7899"/>
    <w:rsid w:val="005E2EC7"/>
    <w:rsid w:val="005E6583"/>
    <w:rsid w:val="005F0D85"/>
    <w:rsid w:val="005F1660"/>
    <w:rsid w:val="005F654E"/>
    <w:rsid w:val="005F7150"/>
    <w:rsid w:val="006000A8"/>
    <w:rsid w:val="00600584"/>
    <w:rsid w:val="00606C0A"/>
    <w:rsid w:val="00611AE7"/>
    <w:rsid w:val="00612842"/>
    <w:rsid w:val="00614EDC"/>
    <w:rsid w:val="00615378"/>
    <w:rsid w:val="0062083F"/>
    <w:rsid w:val="006210E7"/>
    <w:rsid w:val="006250AF"/>
    <w:rsid w:val="00630F56"/>
    <w:rsid w:val="00632C3D"/>
    <w:rsid w:val="00633A2D"/>
    <w:rsid w:val="00647AB2"/>
    <w:rsid w:val="0065022B"/>
    <w:rsid w:val="00652671"/>
    <w:rsid w:val="00652A30"/>
    <w:rsid w:val="00656461"/>
    <w:rsid w:val="006566AE"/>
    <w:rsid w:val="006642E6"/>
    <w:rsid w:val="00664BFF"/>
    <w:rsid w:val="006654DE"/>
    <w:rsid w:val="00666E3F"/>
    <w:rsid w:val="00673A49"/>
    <w:rsid w:val="006763DD"/>
    <w:rsid w:val="00681C0C"/>
    <w:rsid w:val="006839F1"/>
    <w:rsid w:val="0068673B"/>
    <w:rsid w:val="00686905"/>
    <w:rsid w:val="00690C56"/>
    <w:rsid w:val="00693C40"/>
    <w:rsid w:val="0069415C"/>
    <w:rsid w:val="006949D3"/>
    <w:rsid w:val="00696E40"/>
    <w:rsid w:val="00696E91"/>
    <w:rsid w:val="0069720C"/>
    <w:rsid w:val="006A021F"/>
    <w:rsid w:val="006A0825"/>
    <w:rsid w:val="006A36D8"/>
    <w:rsid w:val="006A3969"/>
    <w:rsid w:val="006A4AFD"/>
    <w:rsid w:val="006A555D"/>
    <w:rsid w:val="006A64F3"/>
    <w:rsid w:val="006A7FA1"/>
    <w:rsid w:val="006B0CCB"/>
    <w:rsid w:val="006B60BA"/>
    <w:rsid w:val="006B6A7C"/>
    <w:rsid w:val="006C23AE"/>
    <w:rsid w:val="006C2C04"/>
    <w:rsid w:val="006C5AEF"/>
    <w:rsid w:val="006C5E1E"/>
    <w:rsid w:val="006C6DF9"/>
    <w:rsid w:val="006D1C58"/>
    <w:rsid w:val="006D33BE"/>
    <w:rsid w:val="006D6997"/>
    <w:rsid w:val="006D699A"/>
    <w:rsid w:val="006D6DB2"/>
    <w:rsid w:val="006E04D4"/>
    <w:rsid w:val="006E1629"/>
    <w:rsid w:val="006E6F2B"/>
    <w:rsid w:val="006F000C"/>
    <w:rsid w:val="006F344C"/>
    <w:rsid w:val="006F4479"/>
    <w:rsid w:val="006F4F6B"/>
    <w:rsid w:val="00701F94"/>
    <w:rsid w:val="0070537B"/>
    <w:rsid w:val="00705D84"/>
    <w:rsid w:val="00706A90"/>
    <w:rsid w:val="0070796B"/>
    <w:rsid w:val="00710131"/>
    <w:rsid w:val="00715289"/>
    <w:rsid w:val="00720C50"/>
    <w:rsid w:val="00723668"/>
    <w:rsid w:val="00723C95"/>
    <w:rsid w:val="0073298F"/>
    <w:rsid w:val="0073321B"/>
    <w:rsid w:val="007345BD"/>
    <w:rsid w:val="00741DDB"/>
    <w:rsid w:val="00744727"/>
    <w:rsid w:val="007455BB"/>
    <w:rsid w:val="007463FA"/>
    <w:rsid w:val="00746C17"/>
    <w:rsid w:val="0075289B"/>
    <w:rsid w:val="0075404A"/>
    <w:rsid w:val="00757634"/>
    <w:rsid w:val="00762647"/>
    <w:rsid w:val="007641B8"/>
    <w:rsid w:val="0076452E"/>
    <w:rsid w:val="00766BFC"/>
    <w:rsid w:val="00770895"/>
    <w:rsid w:val="00771524"/>
    <w:rsid w:val="00771A89"/>
    <w:rsid w:val="00777BDD"/>
    <w:rsid w:val="007807B0"/>
    <w:rsid w:val="00781B82"/>
    <w:rsid w:val="0078278C"/>
    <w:rsid w:val="00782E2F"/>
    <w:rsid w:val="00784337"/>
    <w:rsid w:val="00786A12"/>
    <w:rsid w:val="00791233"/>
    <w:rsid w:val="00791691"/>
    <w:rsid w:val="00793B56"/>
    <w:rsid w:val="00794562"/>
    <w:rsid w:val="007A37DF"/>
    <w:rsid w:val="007A57D6"/>
    <w:rsid w:val="007A68D5"/>
    <w:rsid w:val="007A6C39"/>
    <w:rsid w:val="007A7C99"/>
    <w:rsid w:val="007B15C8"/>
    <w:rsid w:val="007B623D"/>
    <w:rsid w:val="007C0B5A"/>
    <w:rsid w:val="007C3351"/>
    <w:rsid w:val="007D065F"/>
    <w:rsid w:val="007D5DD4"/>
    <w:rsid w:val="007D650D"/>
    <w:rsid w:val="007E0A9E"/>
    <w:rsid w:val="007E0D3C"/>
    <w:rsid w:val="007E6850"/>
    <w:rsid w:val="007E6B1E"/>
    <w:rsid w:val="007F06DF"/>
    <w:rsid w:val="007F435D"/>
    <w:rsid w:val="007F5547"/>
    <w:rsid w:val="0080059C"/>
    <w:rsid w:val="00800D94"/>
    <w:rsid w:val="00803F18"/>
    <w:rsid w:val="00806579"/>
    <w:rsid w:val="00806638"/>
    <w:rsid w:val="00806766"/>
    <w:rsid w:val="0081081A"/>
    <w:rsid w:val="008122F1"/>
    <w:rsid w:val="008141E8"/>
    <w:rsid w:val="00820346"/>
    <w:rsid w:val="0082092A"/>
    <w:rsid w:val="00821026"/>
    <w:rsid w:val="0082102A"/>
    <w:rsid w:val="00821A9F"/>
    <w:rsid w:val="00826104"/>
    <w:rsid w:val="00830159"/>
    <w:rsid w:val="0083356A"/>
    <w:rsid w:val="00833A13"/>
    <w:rsid w:val="00834BB7"/>
    <w:rsid w:val="00837C87"/>
    <w:rsid w:val="00842803"/>
    <w:rsid w:val="00845BDE"/>
    <w:rsid w:val="00850FE1"/>
    <w:rsid w:val="00854281"/>
    <w:rsid w:val="00856D2B"/>
    <w:rsid w:val="00860E7F"/>
    <w:rsid w:val="00861EAE"/>
    <w:rsid w:val="008628EF"/>
    <w:rsid w:val="0086560E"/>
    <w:rsid w:val="00865664"/>
    <w:rsid w:val="00865E80"/>
    <w:rsid w:val="00866728"/>
    <w:rsid w:val="00867459"/>
    <w:rsid w:val="00874869"/>
    <w:rsid w:val="00875122"/>
    <w:rsid w:val="00882ACB"/>
    <w:rsid w:val="00882AE6"/>
    <w:rsid w:val="0088753C"/>
    <w:rsid w:val="00893BF8"/>
    <w:rsid w:val="00896467"/>
    <w:rsid w:val="008A1149"/>
    <w:rsid w:val="008A285F"/>
    <w:rsid w:val="008B0CFA"/>
    <w:rsid w:val="008B11CB"/>
    <w:rsid w:val="008B7B72"/>
    <w:rsid w:val="008C2A5D"/>
    <w:rsid w:val="008C4A47"/>
    <w:rsid w:val="008D0C88"/>
    <w:rsid w:val="008D3FD9"/>
    <w:rsid w:val="008D62ED"/>
    <w:rsid w:val="008D7422"/>
    <w:rsid w:val="008E183B"/>
    <w:rsid w:val="008E1D6B"/>
    <w:rsid w:val="008E3C7B"/>
    <w:rsid w:val="008E4CF9"/>
    <w:rsid w:val="008E6C02"/>
    <w:rsid w:val="008E765D"/>
    <w:rsid w:val="008F124A"/>
    <w:rsid w:val="008F1915"/>
    <w:rsid w:val="008F2C62"/>
    <w:rsid w:val="008F3415"/>
    <w:rsid w:val="008F3808"/>
    <w:rsid w:val="008F5DDD"/>
    <w:rsid w:val="009023FB"/>
    <w:rsid w:val="00902FD7"/>
    <w:rsid w:val="00907FF0"/>
    <w:rsid w:val="009179F4"/>
    <w:rsid w:val="009233E5"/>
    <w:rsid w:val="0092562B"/>
    <w:rsid w:val="00931C26"/>
    <w:rsid w:val="00932CD1"/>
    <w:rsid w:val="009334B3"/>
    <w:rsid w:val="00934A37"/>
    <w:rsid w:val="009411B9"/>
    <w:rsid w:val="009422B1"/>
    <w:rsid w:val="009456CE"/>
    <w:rsid w:val="00952240"/>
    <w:rsid w:val="00953E06"/>
    <w:rsid w:val="00954D5D"/>
    <w:rsid w:val="00955B34"/>
    <w:rsid w:val="00955E61"/>
    <w:rsid w:val="00956B3F"/>
    <w:rsid w:val="009630B8"/>
    <w:rsid w:val="00963E06"/>
    <w:rsid w:val="00965728"/>
    <w:rsid w:val="00967D0F"/>
    <w:rsid w:val="00970F08"/>
    <w:rsid w:val="00974AB1"/>
    <w:rsid w:val="00974BCA"/>
    <w:rsid w:val="0098348D"/>
    <w:rsid w:val="00983ADB"/>
    <w:rsid w:val="00983C79"/>
    <w:rsid w:val="0098415F"/>
    <w:rsid w:val="009901CA"/>
    <w:rsid w:val="009963F8"/>
    <w:rsid w:val="009A0952"/>
    <w:rsid w:val="009A34DA"/>
    <w:rsid w:val="009A4924"/>
    <w:rsid w:val="009B0710"/>
    <w:rsid w:val="009B2BC8"/>
    <w:rsid w:val="009B6CAF"/>
    <w:rsid w:val="009C0070"/>
    <w:rsid w:val="009C08B6"/>
    <w:rsid w:val="009C72EB"/>
    <w:rsid w:val="009C7EF3"/>
    <w:rsid w:val="009D233E"/>
    <w:rsid w:val="009D27F5"/>
    <w:rsid w:val="009F07ED"/>
    <w:rsid w:val="00A11F74"/>
    <w:rsid w:val="00A11F92"/>
    <w:rsid w:val="00A15B37"/>
    <w:rsid w:val="00A21BA3"/>
    <w:rsid w:val="00A249E9"/>
    <w:rsid w:val="00A25090"/>
    <w:rsid w:val="00A25FB9"/>
    <w:rsid w:val="00A2644C"/>
    <w:rsid w:val="00A26783"/>
    <w:rsid w:val="00A26BC4"/>
    <w:rsid w:val="00A30FED"/>
    <w:rsid w:val="00A328CF"/>
    <w:rsid w:val="00A407BB"/>
    <w:rsid w:val="00A416F3"/>
    <w:rsid w:val="00A429EA"/>
    <w:rsid w:val="00A43094"/>
    <w:rsid w:val="00A432A3"/>
    <w:rsid w:val="00A45739"/>
    <w:rsid w:val="00A4656E"/>
    <w:rsid w:val="00A46A95"/>
    <w:rsid w:val="00A5203B"/>
    <w:rsid w:val="00A601AB"/>
    <w:rsid w:val="00A61E3C"/>
    <w:rsid w:val="00A65CFC"/>
    <w:rsid w:val="00A67DFD"/>
    <w:rsid w:val="00A70069"/>
    <w:rsid w:val="00A720DF"/>
    <w:rsid w:val="00A725A8"/>
    <w:rsid w:val="00A7407C"/>
    <w:rsid w:val="00A762E5"/>
    <w:rsid w:val="00A8189F"/>
    <w:rsid w:val="00A82CC8"/>
    <w:rsid w:val="00A86214"/>
    <w:rsid w:val="00A87999"/>
    <w:rsid w:val="00A947CF"/>
    <w:rsid w:val="00A949CB"/>
    <w:rsid w:val="00A96062"/>
    <w:rsid w:val="00AA292E"/>
    <w:rsid w:val="00AA29EE"/>
    <w:rsid w:val="00AA391C"/>
    <w:rsid w:val="00AA3D0B"/>
    <w:rsid w:val="00AA5679"/>
    <w:rsid w:val="00AA5FBC"/>
    <w:rsid w:val="00AA604E"/>
    <w:rsid w:val="00AB027D"/>
    <w:rsid w:val="00AB1371"/>
    <w:rsid w:val="00AB3F9C"/>
    <w:rsid w:val="00AB78BC"/>
    <w:rsid w:val="00AC2389"/>
    <w:rsid w:val="00AC2D3E"/>
    <w:rsid w:val="00AC41E9"/>
    <w:rsid w:val="00AD1FBA"/>
    <w:rsid w:val="00AD40E1"/>
    <w:rsid w:val="00AD5941"/>
    <w:rsid w:val="00AE1923"/>
    <w:rsid w:val="00AE45AB"/>
    <w:rsid w:val="00AE6C5E"/>
    <w:rsid w:val="00AF09E2"/>
    <w:rsid w:val="00AF167D"/>
    <w:rsid w:val="00AF3ADC"/>
    <w:rsid w:val="00AF4DF8"/>
    <w:rsid w:val="00AF5A85"/>
    <w:rsid w:val="00B02008"/>
    <w:rsid w:val="00B04741"/>
    <w:rsid w:val="00B05E39"/>
    <w:rsid w:val="00B05EC1"/>
    <w:rsid w:val="00B21EF3"/>
    <w:rsid w:val="00B23F95"/>
    <w:rsid w:val="00B256F9"/>
    <w:rsid w:val="00B26925"/>
    <w:rsid w:val="00B27235"/>
    <w:rsid w:val="00B30B66"/>
    <w:rsid w:val="00B3233D"/>
    <w:rsid w:val="00B35743"/>
    <w:rsid w:val="00B36C9A"/>
    <w:rsid w:val="00B370C8"/>
    <w:rsid w:val="00B37502"/>
    <w:rsid w:val="00B41676"/>
    <w:rsid w:val="00B435D3"/>
    <w:rsid w:val="00B456BB"/>
    <w:rsid w:val="00B45E0B"/>
    <w:rsid w:val="00B51AB0"/>
    <w:rsid w:val="00B54783"/>
    <w:rsid w:val="00B5633E"/>
    <w:rsid w:val="00B5715D"/>
    <w:rsid w:val="00B66144"/>
    <w:rsid w:val="00B66FCA"/>
    <w:rsid w:val="00B702CD"/>
    <w:rsid w:val="00B713FB"/>
    <w:rsid w:val="00B73A4E"/>
    <w:rsid w:val="00B74C7D"/>
    <w:rsid w:val="00B7534D"/>
    <w:rsid w:val="00B764A9"/>
    <w:rsid w:val="00B7697B"/>
    <w:rsid w:val="00B77A27"/>
    <w:rsid w:val="00B8490B"/>
    <w:rsid w:val="00B86F2D"/>
    <w:rsid w:val="00B86F3A"/>
    <w:rsid w:val="00B87E44"/>
    <w:rsid w:val="00B91944"/>
    <w:rsid w:val="00B95250"/>
    <w:rsid w:val="00B9671C"/>
    <w:rsid w:val="00BA02EE"/>
    <w:rsid w:val="00BA39E2"/>
    <w:rsid w:val="00BA65BD"/>
    <w:rsid w:val="00BA73B3"/>
    <w:rsid w:val="00BA7BBC"/>
    <w:rsid w:val="00BB0514"/>
    <w:rsid w:val="00BB1CEB"/>
    <w:rsid w:val="00BB2840"/>
    <w:rsid w:val="00BB300D"/>
    <w:rsid w:val="00BB3B31"/>
    <w:rsid w:val="00BB5084"/>
    <w:rsid w:val="00BC6555"/>
    <w:rsid w:val="00BC71BF"/>
    <w:rsid w:val="00BC73BB"/>
    <w:rsid w:val="00BD247F"/>
    <w:rsid w:val="00BD5FA2"/>
    <w:rsid w:val="00BD7303"/>
    <w:rsid w:val="00BD7D23"/>
    <w:rsid w:val="00BD7D46"/>
    <w:rsid w:val="00BE014E"/>
    <w:rsid w:val="00BE0F5F"/>
    <w:rsid w:val="00BE2EBB"/>
    <w:rsid w:val="00BE34CB"/>
    <w:rsid w:val="00BE45B2"/>
    <w:rsid w:val="00BE6B93"/>
    <w:rsid w:val="00BE712F"/>
    <w:rsid w:val="00BF1535"/>
    <w:rsid w:val="00C0000E"/>
    <w:rsid w:val="00C013EC"/>
    <w:rsid w:val="00C013F8"/>
    <w:rsid w:val="00C138AA"/>
    <w:rsid w:val="00C148F4"/>
    <w:rsid w:val="00C165F4"/>
    <w:rsid w:val="00C22525"/>
    <w:rsid w:val="00C234F3"/>
    <w:rsid w:val="00C2384D"/>
    <w:rsid w:val="00C30CC1"/>
    <w:rsid w:val="00C432D3"/>
    <w:rsid w:val="00C47455"/>
    <w:rsid w:val="00C50445"/>
    <w:rsid w:val="00C510AD"/>
    <w:rsid w:val="00C51739"/>
    <w:rsid w:val="00C51B7A"/>
    <w:rsid w:val="00C52AA6"/>
    <w:rsid w:val="00C53C2D"/>
    <w:rsid w:val="00C54412"/>
    <w:rsid w:val="00C63940"/>
    <w:rsid w:val="00C672B7"/>
    <w:rsid w:val="00C73BA9"/>
    <w:rsid w:val="00C73E05"/>
    <w:rsid w:val="00C75280"/>
    <w:rsid w:val="00C75AE0"/>
    <w:rsid w:val="00C76DA0"/>
    <w:rsid w:val="00C77635"/>
    <w:rsid w:val="00C805E6"/>
    <w:rsid w:val="00C845FD"/>
    <w:rsid w:val="00C84B92"/>
    <w:rsid w:val="00C9003A"/>
    <w:rsid w:val="00C9038F"/>
    <w:rsid w:val="00C91A6B"/>
    <w:rsid w:val="00C9201F"/>
    <w:rsid w:val="00C930E9"/>
    <w:rsid w:val="00C95942"/>
    <w:rsid w:val="00C96B0D"/>
    <w:rsid w:val="00CA00DF"/>
    <w:rsid w:val="00CA198E"/>
    <w:rsid w:val="00CA203B"/>
    <w:rsid w:val="00CA7EDA"/>
    <w:rsid w:val="00CB2FEC"/>
    <w:rsid w:val="00CB3D78"/>
    <w:rsid w:val="00CC05BA"/>
    <w:rsid w:val="00CC0792"/>
    <w:rsid w:val="00CC10F3"/>
    <w:rsid w:val="00CC1683"/>
    <w:rsid w:val="00CC21EA"/>
    <w:rsid w:val="00CC4DA5"/>
    <w:rsid w:val="00CC50E6"/>
    <w:rsid w:val="00CC5592"/>
    <w:rsid w:val="00CC6E2C"/>
    <w:rsid w:val="00CC7D08"/>
    <w:rsid w:val="00CD1E80"/>
    <w:rsid w:val="00CD4CA6"/>
    <w:rsid w:val="00CD6A6E"/>
    <w:rsid w:val="00CE02A6"/>
    <w:rsid w:val="00CE10D8"/>
    <w:rsid w:val="00CE6C5D"/>
    <w:rsid w:val="00CE7E52"/>
    <w:rsid w:val="00CF36AB"/>
    <w:rsid w:val="00CF4334"/>
    <w:rsid w:val="00CF5A8F"/>
    <w:rsid w:val="00CF6456"/>
    <w:rsid w:val="00CF64F7"/>
    <w:rsid w:val="00CF6EAA"/>
    <w:rsid w:val="00D004AE"/>
    <w:rsid w:val="00D02C13"/>
    <w:rsid w:val="00D04525"/>
    <w:rsid w:val="00D05211"/>
    <w:rsid w:val="00D05E8B"/>
    <w:rsid w:val="00D07608"/>
    <w:rsid w:val="00D11CE5"/>
    <w:rsid w:val="00D12CF6"/>
    <w:rsid w:val="00D14146"/>
    <w:rsid w:val="00D2655E"/>
    <w:rsid w:val="00D26A4F"/>
    <w:rsid w:val="00D340EF"/>
    <w:rsid w:val="00D35983"/>
    <w:rsid w:val="00D36C34"/>
    <w:rsid w:val="00D373C0"/>
    <w:rsid w:val="00D42C95"/>
    <w:rsid w:val="00D46432"/>
    <w:rsid w:val="00D505E9"/>
    <w:rsid w:val="00D53138"/>
    <w:rsid w:val="00D646F9"/>
    <w:rsid w:val="00D65EC5"/>
    <w:rsid w:val="00D6615A"/>
    <w:rsid w:val="00D67127"/>
    <w:rsid w:val="00D765B6"/>
    <w:rsid w:val="00D80403"/>
    <w:rsid w:val="00D8182F"/>
    <w:rsid w:val="00D82043"/>
    <w:rsid w:val="00D855EF"/>
    <w:rsid w:val="00D86B53"/>
    <w:rsid w:val="00D86F95"/>
    <w:rsid w:val="00D9174B"/>
    <w:rsid w:val="00D97D24"/>
    <w:rsid w:val="00DA67B0"/>
    <w:rsid w:val="00DA6AA2"/>
    <w:rsid w:val="00DB3E3A"/>
    <w:rsid w:val="00DB40FD"/>
    <w:rsid w:val="00DC0225"/>
    <w:rsid w:val="00DC0DC6"/>
    <w:rsid w:val="00DC1E62"/>
    <w:rsid w:val="00DC3835"/>
    <w:rsid w:val="00DC5EE4"/>
    <w:rsid w:val="00DC6254"/>
    <w:rsid w:val="00DD2216"/>
    <w:rsid w:val="00DD379D"/>
    <w:rsid w:val="00DD43BB"/>
    <w:rsid w:val="00DD4E70"/>
    <w:rsid w:val="00DD7C0C"/>
    <w:rsid w:val="00DE43B1"/>
    <w:rsid w:val="00DE66A7"/>
    <w:rsid w:val="00DE6D00"/>
    <w:rsid w:val="00DF012B"/>
    <w:rsid w:val="00DF1F19"/>
    <w:rsid w:val="00DF2DB7"/>
    <w:rsid w:val="00DF37C9"/>
    <w:rsid w:val="00DF3FB7"/>
    <w:rsid w:val="00DF6844"/>
    <w:rsid w:val="00DF7CFF"/>
    <w:rsid w:val="00E001D0"/>
    <w:rsid w:val="00E00791"/>
    <w:rsid w:val="00E010D7"/>
    <w:rsid w:val="00E01369"/>
    <w:rsid w:val="00E02C9F"/>
    <w:rsid w:val="00E04CAA"/>
    <w:rsid w:val="00E05408"/>
    <w:rsid w:val="00E05FD0"/>
    <w:rsid w:val="00E06B29"/>
    <w:rsid w:val="00E100FA"/>
    <w:rsid w:val="00E1024E"/>
    <w:rsid w:val="00E10F9F"/>
    <w:rsid w:val="00E11AD5"/>
    <w:rsid w:val="00E11BA2"/>
    <w:rsid w:val="00E1625D"/>
    <w:rsid w:val="00E2001E"/>
    <w:rsid w:val="00E208DB"/>
    <w:rsid w:val="00E23555"/>
    <w:rsid w:val="00E236F7"/>
    <w:rsid w:val="00E237F2"/>
    <w:rsid w:val="00E245AA"/>
    <w:rsid w:val="00E25F06"/>
    <w:rsid w:val="00E26B1E"/>
    <w:rsid w:val="00E2723F"/>
    <w:rsid w:val="00E279E6"/>
    <w:rsid w:val="00E30C8A"/>
    <w:rsid w:val="00E31F05"/>
    <w:rsid w:val="00E32286"/>
    <w:rsid w:val="00E4000C"/>
    <w:rsid w:val="00E41566"/>
    <w:rsid w:val="00E41864"/>
    <w:rsid w:val="00E459D8"/>
    <w:rsid w:val="00E46867"/>
    <w:rsid w:val="00E479E7"/>
    <w:rsid w:val="00E51C42"/>
    <w:rsid w:val="00E5467D"/>
    <w:rsid w:val="00E54ED7"/>
    <w:rsid w:val="00E57462"/>
    <w:rsid w:val="00E66C26"/>
    <w:rsid w:val="00E67FE1"/>
    <w:rsid w:val="00E70067"/>
    <w:rsid w:val="00E70B9F"/>
    <w:rsid w:val="00E7558E"/>
    <w:rsid w:val="00E80AB8"/>
    <w:rsid w:val="00E817A7"/>
    <w:rsid w:val="00E81AE0"/>
    <w:rsid w:val="00E85E88"/>
    <w:rsid w:val="00E8743C"/>
    <w:rsid w:val="00E91227"/>
    <w:rsid w:val="00E91B5A"/>
    <w:rsid w:val="00E934CD"/>
    <w:rsid w:val="00E94220"/>
    <w:rsid w:val="00E95488"/>
    <w:rsid w:val="00E95AF1"/>
    <w:rsid w:val="00E96D50"/>
    <w:rsid w:val="00EA029C"/>
    <w:rsid w:val="00EA4A3C"/>
    <w:rsid w:val="00EA5F33"/>
    <w:rsid w:val="00EB1672"/>
    <w:rsid w:val="00EB3479"/>
    <w:rsid w:val="00EB5E49"/>
    <w:rsid w:val="00EB64DD"/>
    <w:rsid w:val="00EB7A38"/>
    <w:rsid w:val="00EC37A3"/>
    <w:rsid w:val="00EC4ABC"/>
    <w:rsid w:val="00EC5B35"/>
    <w:rsid w:val="00EC7E19"/>
    <w:rsid w:val="00ED23D0"/>
    <w:rsid w:val="00ED34F7"/>
    <w:rsid w:val="00ED47C2"/>
    <w:rsid w:val="00ED5773"/>
    <w:rsid w:val="00EE141F"/>
    <w:rsid w:val="00EE4959"/>
    <w:rsid w:val="00EE572F"/>
    <w:rsid w:val="00EE7831"/>
    <w:rsid w:val="00EF1B80"/>
    <w:rsid w:val="00EF5C04"/>
    <w:rsid w:val="00F0337B"/>
    <w:rsid w:val="00F0479C"/>
    <w:rsid w:val="00F05040"/>
    <w:rsid w:val="00F05199"/>
    <w:rsid w:val="00F05E63"/>
    <w:rsid w:val="00F11A51"/>
    <w:rsid w:val="00F1415F"/>
    <w:rsid w:val="00F16E6C"/>
    <w:rsid w:val="00F171BC"/>
    <w:rsid w:val="00F203D8"/>
    <w:rsid w:val="00F204A7"/>
    <w:rsid w:val="00F20A72"/>
    <w:rsid w:val="00F2533E"/>
    <w:rsid w:val="00F257C7"/>
    <w:rsid w:val="00F26205"/>
    <w:rsid w:val="00F274E5"/>
    <w:rsid w:val="00F2762C"/>
    <w:rsid w:val="00F35351"/>
    <w:rsid w:val="00F37F25"/>
    <w:rsid w:val="00F41CCB"/>
    <w:rsid w:val="00F424A3"/>
    <w:rsid w:val="00F44ED7"/>
    <w:rsid w:val="00F465F9"/>
    <w:rsid w:val="00F530CC"/>
    <w:rsid w:val="00F53192"/>
    <w:rsid w:val="00F53485"/>
    <w:rsid w:val="00F5470C"/>
    <w:rsid w:val="00F5510B"/>
    <w:rsid w:val="00F6193D"/>
    <w:rsid w:val="00F61B0A"/>
    <w:rsid w:val="00F61B76"/>
    <w:rsid w:val="00F62EF4"/>
    <w:rsid w:val="00F63D19"/>
    <w:rsid w:val="00F66D38"/>
    <w:rsid w:val="00F7063E"/>
    <w:rsid w:val="00F73348"/>
    <w:rsid w:val="00F75F47"/>
    <w:rsid w:val="00F83B66"/>
    <w:rsid w:val="00F848D1"/>
    <w:rsid w:val="00F958CE"/>
    <w:rsid w:val="00F959FC"/>
    <w:rsid w:val="00F96C8F"/>
    <w:rsid w:val="00F97011"/>
    <w:rsid w:val="00FA341D"/>
    <w:rsid w:val="00FA7596"/>
    <w:rsid w:val="00FA7B7E"/>
    <w:rsid w:val="00FB1B34"/>
    <w:rsid w:val="00FB2264"/>
    <w:rsid w:val="00FB2600"/>
    <w:rsid w:val="00FB2743"/>
    <w:rsid w:val="00FB5809"/>
    <w:rsid w:val="00FB66F1"/>
    <w:rsid w:val="00FC0961"/>
    <w:rsid w:val="00FC1753"/>
    <w:rsid w:val="00FC2C9D"/>
    <w:rsid w:val="00FC3C29"/>
    <w:rsid w:val="00FC7828"/>
    <w:rsid w:val="00FD44CB"/>
    <w:rsid w:val="00FD4AA3"/>
    <w:rsid w:val="00FE2FBC"/>
    <w:rsid w:val="00FE7CB7"/>
    <w:rsid w:val="00FF069D"/>
    <w:rsid w:val="00FF262B"/>
    <w:rsid w:val="00FF29B6"/>
    <w:rsid w:val="00FF3480"/>
    <w:rsid w:val="00FF7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88D4"/>
  <w15:chartTrackingRefBased/>
  <w15:docId w15:val="{A34929E6-CB01-45B9-B943-461D97D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BC"/>
    <w:pPr>
      <w:spacing w:line="360" w:lineRule="auto"/>
    </w:pPr>
    <w:rPr>
      <w:sz w:val="24"/>
    </w:rPr>
  </w:style>
  <w:style w:type="paragraph" w:styleId="Heading1">
    <w:name w:val="heading 1"/>
    <w:basedOn w:val="Normal"/>
    <w:next w:val="Normal"/>
    <w:link w:val="Heading1Char"/>
    <w:uiPriority w:val="9"/>
    <w:qFormat/>
    <w:rsid w:val="00D37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373C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03B"/>
    <w:rPr>
      <w:color w:val="0563C1" w:themeColor="hyperlink"/>
      <w:u w:val="single"/>
    </w:rPr>
  </w:style>
  <w:style w:type="character" w:styleId="CommentReference">
    <w:name w:val="annotation reference"/>
    <w:basedOn w:val="DefaultParagraphFont"/>
    <w:uiPriority w:val="99"/>
    <w:semiHidden/>
    <w:unhideWhenUsed/>
    <w:rsid w:val="005027B7"/>
    <w:rPr>
      <w:sz w:val="16"/>
      <w:szCs w:val="16"/>
    </w:rPr>
  </w:style>
  <w:style w:type="paragraph" w:styleId="CommentText">
    <w:name w:val="annotation text"/>
    <w:basedOn w:val="Normal"/>
    <w:link w:val="CommentTextChar"/>
    <w:uiPriority w:val="99"/>
    <w:unhideWhenUsed/>
    <w:rsid w:val="005027B7"/>
    <w:pPr>
      <w:spacing w:line="240" w:lineRule="auto"/>
    </w:pPr>
    <w:rPr>
      <w:sz w:val="20"/>
      <w:szCs w:val="20"/>
    </w:rPr>
  </w:style>
  <w:style w:type="character" w:customStyle="1" w:styleId="CommentTextChar">
    <w:name w:val="Comment Text Char"/>
    <w:basedOn w:val="DefaultParagraphFont"/>
    <w:link w:val="CommentText"/>
    <w:uiPriority w:val="99"/>
    <w:rsid w:val="005027B7"/>
    <w:rPr>
      <w:sz w:val="20"/>
      <w:szCs w:val="20"/>
    </w:rPr>
  </w:style>
  <w:style w:type="paragraph" w:styleId="CommentSubject">
    <w:name w:val="annotation subject"/>
    <w:basedOn w:val="CommentText"/>
    <w:next w:val="CommentText"/>
    <w:link w:val="CommentSubjectChar"/>
    <w:uiPriority w:val="99"/>
    <w:semiHidden/>
    <w:unhideWhenUsed/>
    <w:rsid w:val="005027B7"/>
    <w:rPr>
      <w:b/>
      <w:bCs/>
    </w:rPr>
  </w:style>
  <w:style w:type="character" w:customStyle="1" w:styleId="CommentSubjectChar">
    <w:name w:val="Comment Subject Char"/>
    <w:basedOn w:val="CommentTextChar"/>
    <w:link w:val="CommentSubject"/>
    <w:uiPriority w:val="99"/>
    <w:semiHidden/>
    <w:rsid w:val="005027B7"/>
    <w:rPr>
      <w:b/>
      <w:bCs/>
      <w:sz w:val="20"/>
      <w:szCs w:val="20"/>
    </w:rPr>
  </w:style>
  <w:style w:type="paragraph" w:styleId="BalloonText">
    <w:name w:val="Balloon Text"/>
    <w:basedOn w:val="Normal"/>
    <w:link w:val="BalloonTextChar"/>
    <w:uiPriority w:val="99"/>
    <w:semiHidden/>
    <w:unhideWhenUsed/>
    <w:rsid w:val="00502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7B7"/>
    <w:rPr>
      <w:rFonts w:ascii="Segoe UI" w:hAnsi="Segoe UI" w:cs="Segoe UI"/>
      <w:sz w:val="18"/>
      <w:szCs w:val="18"/>
    </w:rPr>
  </w:style>
  <w:style w:type="character" w:customStyle="1" w:styleId="Heading4Char">
    <w:name w:val="Heading 4 Char"/>
    <w:basedOn w:val="DefaultParagraphFont"/>
    <w:link w:val="Heading4"/>
    <w:uiPriority w:val="9"/>
    <w:semiHidden/>
    <w:rsid w:val="00D373C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373C0"/>
    <w:rPr>
      <w:rFonts w:asciiTheme="majorHAnsi" w:eastAsiaTheme="majorEastAsia" w:hAnsiTheme="majorHAnsi" w:cstheme="majorBidi"/>
      <w:color w:val="2E74B5" w:themeColor="accent1" w:themeShade="BF"/>
      <w:sz w:val="32"/>
      <w:szCs w:val="32"/>
    </w:rPr>
  </w:style>
  <w:style w:type="character" w:customStyle="1" w:styleId="truncatedauthor">
    <w:name w:val="truncatedauthor"/>
    <w:basedOn w:val="DefaultParagraphFont"/>
    <w:rsid w:val="00D373C0"/>
  </w:style>
  <w:style w:type="character" w:customStyle="1" w:styleId="roboto-bold">
    <w:name w:val="roboto-bold"/>
    <w:basedOn w:val="DefaultParagraphFont"/>
    <w:rsid w:val="00D373C0"/>
  </w:style>
  <w:style w:type="character" w:customStyle="1" w:styleId="jnlarticle">
    <w:name w:val="jnlarticle"/>
    <w:basedOn w:val="DefaultParagraphFont"/>
    <w:rsid w:val="00D373C0"/>
  </w:style>
  <w:style w:type="character" w:styleId="Strong">
    <w:name w:val="Strong"/>
    <w:basedOn w:val="DefaultParagraphFont"/>
    <w:uiPriority w:val="22"/>
    <w:qFormat/>
    <w:rsid w:val="00D373C0"/>
    <w:rPr>
      <w:b/>
      <w:bCs/>
    </w:rPr>
  </w:style>
  <w:style w:type="paragraph" w:styleId="Revision">
    <w:name w:val="Revision"/>
    <w:hidden/>
    <w:uiPriority w:val="99"/>
    <w:semiHidden/>
    <w:rsid w:val="007A57D6"/>
    <w:pPr>
      <w:spacing w:after="0" w:line="240" w:lineRule="auto"/>
    </w:pPr>
  </w:style>
  <w:style w:type="character" w:styleId="PlaceholderText">
    <w:name w:val="Placeholder Text"/>
    <w:basedOn w:val="DefaultParagraphFont"/>
    <w:uiPriority w:val="99"/>
    <w:semiHidden/>
    <w:rsid w:val="007E0D3C"/>
    <w:rPr>
      <w:color w:val="808080"/>
    </w:rPr>
  </w:style>
  <w:style w:type="character" w:customStyle="1" w:styleId="UnresolvedMention1">
    <w:name w:val="Unresolved Mention1"/>
    <w:basedOn w:val="DefaultParagraphFont"/>
    <w:uiPriority w:val="99"/>
    <w:semiHidden/>
    <w:unhideWhenUsed/>
    <w:rsid w:val="007641B8"/>
    <w:rPr>
      <w:color w:val="605E5C"/>
      <w:shd w:val="clear" w:color="auto" w:fill="E1DFDD"/>
    </w:rPr>
  </w:style>
  <w:style w:type="table" w:customStyle="1" w:styleId="TableGrid81">
    <w:name w:val="Table Grid81"/>
    <w:basedOn w:val="TableNormal"/>
    <w:next w:val="TableGrid"/>
    <w:uiPriority w:val="59"/>
    <w:rsid w:val="007641B8"/>
    <w:pPr>
      <w:spacing w:after="0" w:line="240" w:lineRule="auto"/>
    </w:pPr>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4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850FE1"/>
    <w:pPr>
      <w:spacing w:after="0" w:line="240" w:lineRule="auto"/>
    </w:pPr>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53192"/>
    <w:pPr>
      <w:ind w:left="720"/>
      <w:contextualSpacing/>
    </w:pPr>
    <w:rPr>
      <w:kern w:val="2"/>
      <w14:ligatures w14:val="standardContextual"/>
    </w:rPr>
  </w:style>
  <w:style w:type="paragraph" w:customStyle="1" w:styleId="f-body">
    <w:name w:val="f-body"/>
    <w:basedOn w:val="Normal"/>
    <w:rsid w:val="00F5319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EndNoteBibliographyTitle">
    <w:name w:val="EndNote Bibliography Title"/>
    <w:basedOn w:val="Normal"/>
    <w:link w:val="EndNoteBibliographyTitleChar"/>
    <w:rsid w:val="00573FFA"/>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573FFA"/>
    <w:rPr>
      <w:rFonts w:ascii="Calibri" w:hAnsi="Calibri" w:cs="Calibri"/>
      <w:noProof/>
    </w:rPr>
  </w:style>
  <w:style w:type="paragraph" w:customStyle="1" w:styleId="EndNoteBibliography">
    <w:name w:val="EndNote Bibliography"/>
    <w:basedOn w:val="Normal"/>
    <w:link w:val="EndNoteBibliographyChar"/>
    <w:rsid w:val="00573FFA"/>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573FFA"/>
    <w:rPr>
      <w:rFonts w:ascii="Calibri" w:hAnsi="Calibri" w:cs="Calibri"/>
      <w:noProof/>
    </w:rPr>
  </w:style>
  <w:style w:type="character" w:customStyle="1" w:styleId="UnresolvedMention2">
    <w:name w:val="Unresolved Mention2"/>
    <w:basedOn w:val="DefaultParagraphFont"/>
    <w:uiPriority w:val="99"/>
    <w:semiHidden/>
    <w:unhideWhenUsed/>
    <w:rsid w:val="00573FFA"/>
    <w:rPr>
      <w:color w:val="605E5C"/>
      <w:shd w:val="clear" w:color="auto" w:fill="E1DFDD"/>
    </w:rPr>
  </w:style>
  <w:style w:type="paragraph" w:styleId="FootnoteText">
    <w:name w:val="footnote text"/>
    <w:basedOn w:val="Normal"/>
    <w:link w:val="FootnoteTextChar"/>
    <w:uiPriority w:val="99"/>
    <w:semiHidden/>
    <w:unhideWhenUsed/>
    <w:rsid w:val="00555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F3E"/>
    <w:rPr>
      <w:sz w:val="20"/>
      <w:szCs w:val="20"/>
    </w:rPr>
  </w:style>
  <w:style w:type="character" w:styleId="FootnoteReference">
    <w:name w:val="footnote reference"/>
    <w:basedOn w:val="DefaultParagraphFont"/>
    <w:uiPriority w:val="99"/>
    <w:semiHidden/>
    <w:unhideWhenUsed/>
    <w:rsid w:val="00555F3E"/>
    <w:rPr>
      <w:vertAlign w:val="superscript"/>
    </w:rPr>
  </w:style>
  <w:style w:type="character" w:customStyle="1" w:styleId="cf01">
    <w:name w:val="cf01"/>
    <w:basedOn w:val="DefaultParagraphFont"/>
    <w:rsid w:val="00AD1FBA"/>
    <w:rPr>
      <w:rFonts w:ascii="Segoe UI" w:hAnsi="Segoe UI" w:cs="Segoe UI" w:hint="default"/>
      <w:i/>
      <w:iCs/>
      <w:sz w:val="18"/>
      <w:szCs w:val="18"/>
      <w:shd w:val="clear" w:color="auto" w:fill="FF0000"/>
    </w:rPr>
  </w:style>
  <w:style w:type="paragraph" w:customStyle="1" w:styleId="Default">
    <w:name w:val="Default"/>
    <w:rsid w:val="00456EC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
    <w:name w:val="Body"/>
    <w:link w:val="BodyChar"/>
    <w:rsid w:val="008A1149"/>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rPr>
  </w:style>
  <w:style w:type="character" w:customStyle="1" w:styleId="None">
    <w:name w:val="None"/>
    <w:rsid w:val="008A1149"/>
  </w:style>
  <w:style w:type="character" w:customStyle="1" w:styleId="BodyChar">
    <w:name w:val="Body Char"/>
    <w:basedOn w:val="DefaultParagraphFont"/>
    <w:link w:val="Body"/>
    <w:rsid w:val="008A1149"/>
    <w:rPr>
      <w:rFonts w:ascii="Arial" w:eastAsia="Arial Unicode MS" w:hAnsi="Arial" w:cs="Arial Unicode MS"/>
      <w:color w:val="000000"/>
      <w:sz w:val="20"/>
      <w:szCs w:val="20"/>
      <w:u w:color="000000"/>
      <w:bdr w:val="nil"/>
    </w:rPr>
  </w:style>
  <w:style w:type="character" w:styleId="UnresolvedMention">
    <w:name w:val="Unresolved Mention"/>
    <w:basedOn w:val="DefaultParagraphFont"/>
    <w:uiPriority w:val="99"/>
    <w:semiHidden/>
    <w:unhideWhenUsed/>
    <w:rsid w:val="001577B7"/>
    <w:rPr>
      <w:color w:val="605E5C"/>
      <w:shd w:val="clear" w:color="auto" w:fill="E1DFDD"/>
    </w:rPr>
  </w:style>
  <w:style w:type="character" w:customStyle="1" w:styleId="apple-converted-space">
    <w:name w:val="apple-converted-space"/>
    <w:basedOn w:val="DefaultParagraphFont"/>
    <w:rsid w:val="008F1915"/>
  </w:style>
  <w:style w:type="paragraph" w:styleId="NormalWeb">
    <w:name w:val="Normal (Web)"/>
    <w:basedOn w:val="Normal"/>
    <w:uiPriority w:val="99"/>
    <w:unhideWhenUsed/>
    <w:rsid w:val="008F1915"/>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80">
    <w:name w:val="Table Grid180"/>
    <w:basedOn w:val="TableNormal"/>
    <w:next w:val="TableGrid"/>
    <w:uiPriority w:val="59"/>
    <w:rsid w:val="00FA341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efaultParagraphFont"/>
    <w:rsid w:val="00874869"/>
  </w:style>
  <w:style w:type="paragraph" w:customStyle="1" w:styleId="pf0">
    <w:name w:val="pf0"/>
    <w:basedOn w:val="Normal"/>
    <w:rsid w:val="00F530C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4409">
      <w:bodyDiv w:val="1"/>
      <w:marLeft w:val="0"/>
      <w:marRight w:val="0"/>
      <w:marTop w:val="0"/>
      <w:marBottom w:val="0"/>
      <w:divBdr>
        <w:top w:val="none" w:sz="0" w:space="0" w:color="auto"/>
        <w:left w:val="none" w:sz="0" w:space="0" w:color="auto"/>
        <w:bottom w:val="none" w:sz="0" w:space="0" w:color="auto"/>
        <w:right w:val="none" w:sz="0" w:space="0" w:color="auto"/>
      </w:divBdr>
      <w:divsChild>
        <w:div w:id="754397572">
          <w:marLeft w:val="0"/>
          <w:marRight w:val="0"/>
          <w:marTop w:val="0"/>
          <w:marBottom w:val="0"/>
          <w:divBdr>
            <w:top w:val="none" w:sz="0" w:space="0" w:color="auto"/>
            <w:left w:val="none" w:sz="0" w:space="0" w:color="auto"/>
            <w:bottom w:val="none" w:sz="0" w:space="0" w:color="auto"/>
            <w:right w:val="none" w:sz="0" w:space="0" w:color="auto"/>
          </w:divBdr>
        </w:div>
        <w:div w:id="1115758921">
          <w:marLeft w:val="0"/>
          <w:marRight w:val="0"/>
          <w:marTop w:val="0"/>
          <w:marBottom w:val="0"/>
          <w:divBdr>
            <w:top w:val="none" w:sz="0" w:space="0" w:color="auto"/>
            <w:left w:val="none" w:sz="0" w:space="0" w:color="auto"/>
            <w:bottom w:val="none" w:sz="0" w:space="0" w:color="auto"/>
            <w:right w:val="none" w:sz="0" w:space="0" w:color="auto"/>
          </w:divBdr>
          <w:divsChild>
            <w:div w:id="895430477">
              <w:marLeft w:val="0"/>
              <w:marRight w:val="0"/>
              <w:marTop w:val="0"/>
              <w:marBottom w:val="0"/>
              <w:divBdr>
                <w:top w:val="none" w:sz="0" w:space="0" w:color="auto"/>
                <w:left w:val="none" w:sz="0" w:space="0" w:color="auto"/>
                <w:bottom w:val="none" w:sz="0" w:space="0" w:color="auto"/>
                <w:right w:val="none" w:sz="0" w:space="0" w:color="auto"/>
              </w:divBdr>
            </w:div>
            <w:div w:id="161244489">
              <w:marLeft w:val="0"/>
              <w:marRight w:val="0"/>
              <w:marTop w:val="0"/>
              <w:marBottom w:val="0"/>
              <w:divBdr>
                <w:top w:val="none" w:sz="0" w:space="0" w:color="auto"/>
                <w:left w:val="none" w:sz="0" w:space="0" w:color="auto"/>
                <w:bottom w:val="none" w:sz="0" w:space="0" w:color="auto"/>
                <w:right w:val="none" w:sz="0" w:space="0" w:color="auto"/>
              </w:divBdr>
            </w:div>
            <w:div w:id="1566723074">
              <w:marLeft w:val="0"/>
              <w:marRight w:val="0"/>
              <w:marTop w:val="0"/>
              <w:marBottom w:val="0"/>
              <w:divBdr>
                <w:top w:val="none" w:sz="0" w:space="0" w:color="auto"/>
                <w:left w:val="none" w:sz="0" w:space="0" w:color="auto"/>
                <w:bottom w:val="none" w:sz="0" w:space="0" w:color="auto"/>
                <w:right w:val="none" w:sz="0" w:space="0" w:color="auto"/>
              </w:divBdr>
            </w:div>
            <w:div w:id="725615216">
              <w:marLeft w:val="0"/>
              <w:marRight w:val="0"/>
              <w:marTop w:val="0"/>
              <w:marBottom w:val="0"/>
              <w:divBdr>
                <w:top w:val="none" w:sz="0" w:space="0" w:color="auto"/>
                <w:left w:val="none" w:sz="0" w:space="0" w:color="auto"/>
                <w:bottom w:val="none" w:sz="0" w:space="0" w:color="auto"/>
                <w:right w:val="none" w:sz="0" w:space="0" w:color="auto"/>
              </w:divBdr>
            </w:div>
            <w:div w:id="2121878044">
              <w:marLeft w:val="0"/>
              <w:marRight w:val="0"/>
              <w:marTop w:val="0"/>
              <w:marBottom w:val="0"/>
              <w:divBdr>
                <w:top w:val="none" w:sz="0" w:space="0" w:color="auto"/>
                <w:left w:val="none" w:sz="0" w:space="0" w:color="auto"/>
                <w:bottom w:val="none" w:sz="0" w:space="0" w:color="auto"/>
                <w:right w:val="none" w:sz="0" w:space="0" w:color="auto"/>
              </w:divBdr>
            </w:div>
            <w:div w:id="2589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9872">
      <w:bodyDiv w:val="1"/>
      <w:marLeft w:val="0"/>
      <w:marRight w:val="0"/>
      <w:marTop w:val="0"/>
      <w:marBottom w:val="0"/>
      <w:divBdr>
        <w:top w:val="none" w:sz="0" w:space="0" w:color="auto"/>
        <w:left w:val="none" w:sz="0" w:space="0" w:color="auto"/>
        <w:bottom w:val="none" w:sz="0" w:space="0" w:color="auto"/>
        <w:right w:val="none" w:sz="0" w:space="0" w:color="auto"/>
      </w:divBdr>
    </w:div>
    <w:div w:id="1064068263">
      <w:bodyDiv w:val="1"/>
      <w:marLeft w:val="0"/>
      <w:marRight w:val="0"/>
      <w:marTop w:val="0"/>
      <w:marBottom w:val="0"/>
      <w:divBdr>
        <w:top w:val="none" w:sz="0" w:space="0" w:color="auto"/>
        <w:left w:val="none" w:sz="0" w:space="0" w:color="auto"/>
        <w:bottom w:val="none" w:sz="0" w:space="0" w:color="auto"/>
        <w:right w:val="none" w:sz="0" w:space="0" w:color="auto"/>
      </w:divBdr>
      <w:divsChild>
        <w:div w:id="194009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519933">
              <w:marLeft w:val="0"/>
              <w:marRight w:val="0"/>
              <w:marTop w:val="0"/>
              <w:marBottom w:val="0"/>
              <w:divBdr>
                <w:top w:val="none" w:sz="0" w:space="0" w:color="auto"/>
                <w:left w:val="none" w:sz="0" w:space="0" w:color="auto"/>
                <w:bottom w:val="none" w:sz="0" w:space="0" w:color="auto"/>
                <w:right w:val="none" w:sz="0" w:space="0" w:color="auto"/>
              </w:divBdr>
              <w:divsChild>
                <w:div w:id="5219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2620">
      <w:bodyDiv w:val="1"/>
      <w:marLeft w:val="0"/>
      <w:marRight w:val="0"/>
      <w:marTop w:val="0"/>
      <w:marBottom w:val="0"/>
      <w:divBdr>
        <w:top w:val="none" w:sz="0" w:space="0" w:color="auto"/>
        <w:left w:val="none" w:sz="0" w:space="0" w:color="auto"/>
        <w:bottom w:val="none" w:sz="0" w:space="0" w:color="auto"/>
        <w:right w:val="none" w:sz="0" w:space="0" w:color="auto"/>
      </w:divBdr>
      <w:divsChild>
        <w:div w:id="1905601703">
          <w:marLeft w:val="0"/>
          <w:marRight w:val="0"/>
          <w:marTop w:val="0"/>
          <w:marBottom w:val="0"/>
          <w:divBdr>
            <w:top w:val="none" w:sz="0" w:space="0" w:color="auto"/>
            <w:left w:val="none" w:sz="0" w:space="0" w:color="auto"/>
            <w:bottom w:val="none" w:sz="0" w:space="0" w:color="auto"/>
            <w:right w:val="none" w:sz="0" w:space="0" w:color="auto"/>
          </w:divBdr>
        </w:div>
        <w:div w:id="277763907">
          <w:marLeft w:val="0"/>
          <w:marRight w:val="0"/>
          <w:marTop w:val="0"/>
          <w:marBottom w:val="0"/>
          <w:divBdr>
            <w:top w:val="none" w:sz="0" w:space="0" w:color="auto"/>
            <w:left w:val="none" w:sz="0" w:space="0" w:color="auto"/>
            <w:bottom w:val="none" w:sz="0" w:space="0" w:color="auto"/>
            <w:right w:val="none" w:sz="0" w:space="0" w:color="auto"/>
          </w:divBdr>
        </w:div>
      </w:divsChild>
    </w:div>
    <w:div w:id="1410158839">
      <w:bodyDiv w:val="1"/>
      <w:marLeft w:val="0"/>
      <w:marRight w:val="0"/>
      <w:marTop w:val="0"/>
      <w:marBottom w:val="0"/>
      <w:divBdr>
        <w:top w:val="none" w:sz="0" w:space="0" w:color="auto"/>
        <w:left w:val="none" w:sz="0" w:space="0" w:color="auto"/>
        <w:bottom w:val="none" w:sz="0" w:space="0" w:color="auto"/>
        <w:right w:val="none" w:sz="0" w:space="0" w:color="auto"/>
      </w:divBdr>
    </w:div>
    <w:div w:id="1508906408">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2092458296">
      <w:bodyDiv w:val="1"/>
      <w:marLeft w:val="0"/>
      <w:marRight w:val="0"/>
      <w:marTop w:val="0"/>
      <w:marBottom w:val="0"/>
      <w:divBdr>
        <w:top w:val="none" w:sz="0" w:space="0" w:color="auto"/>
        <w:left w:val="none" w:sz="0" w:space="0" w:color="auto"/>
        <w:bottom w:val="none" w:sz="0" w:space="0" w:color="auto"/>
        <w:right w:val="none" w:sz="0" w:space="0" w:color="auto"/>
      </w:divBdr>
    </w:div>
    <w:div w:id="2118258700">
      <w:bodyDiv w:val="1"/>
      <w:marLeft w:val="0"/>
      <w:marRight w:val="0"/>
      <w:marTop w:val="0"/>
      <w:marBottom w:val="0"/>
      <w:divBdr>
        <w:top w:val="none" w:sz="0" w:space="0" w:color="auto"/>
        <w:left w:val="none" w:sz="0" w:space="0" w:color="auto"/>
        <w:bottom w:val="none" w:sz="0" w:space="0" w:color="auto"/>
        <w:right w:val="none" w:sz="0" w:space="0" w:color="auto"/>
      </w:divBdr>
      <w:divsChild>
        <w:div w:id="135492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9433">
              <w:marLeft w:val="0"/>
              <w:marRight w:val="0"/>
              <w:marTop w:val="0"/>
              <w:marBottom w:val="0"/>
              <w:divBdr>
                <w:top w:val="none" w:sz="0" w:space="0" w:color="auto"/>
                <w:left w:val="none" w:sz="0" w:space="0" w:color="auto"/>
                <w:bottom w:val="none" w:sz="0" w:space="0" w:color="auto"/>
                <w:right w:val="none" w:sz="0" w:space="0" w:color="auto"/>
              </w:divBdr>
              <w:divsChild>
                <w:div w:id="2468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A076-5659-4556-885C-B9E108EC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5277</Words>
  <Characters>30081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Tharmanathan, P.</dc:creator>
  <cp:keywords/>
  <dc:description/>
  <cp:lastModifiedBy>Sally Baker</cp:lastModifiedBy>
  <cp:revision>2</cp:revision>
  <dcterms:created xsi:type="dcterms:W3CDTF">2024-12-20T14:48:00Z</dcterms:created>
  <dcterms:modified xsi:type="dcterms:W3CDTF">2024-12-20T14:48:00Z</dcterms:modified>
</cp:coreProperties>
</file>