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4CF2" w14:textId="61893852" w:rsidR="00307176" w:rsidRPr="00130065" w:rsidRDefault="00307176" w:rsidP="00307176">
      <w:pPr>
        <w:spacing w:line="360" w:lineRule="auto"/>
        <w:jc w:val="both"/>
        <w:rPr>
          <w:bCs/>
        </w:rPr>
      </w:pPr>
      <w:r w:rsidRPr="00130065">
        <w:rPr>
          <w:b/>
          <w:bCs/>
        </w:rPr>
        <w:t>Title:</w:t>
      </w:r>
      <w:r w:rsidRPr="00130065">
        <w:rPr>
          <w:bCs/>
        </w:rPr>
        <w:t xml:space="preserve"> </w:t>
      </w:r>
      <w:r w:rsidR="008012C3">
        <w:rPr>
          <w:bCs/>
        </w:rPr>
        <w:t>Good reason</w:t>
      </w:r>
      <w:r w:rsidR="00162330">
        <w:rPr>
          <w:bCs/>
        </w:rPr>
        <w:t>s</w:t>
      </w:r>
      <w:r w:rsidR="008012C3">
        <w:rPr>
          <w:bCs/>
        </w:rPr>
        <w:t xml:space="preserve"> for non-standardisation in the administration of cognitive </w:t>
      </w:r>
      <w:r w:rsidR="002F5EE2">
        <w:rPr>
          <w:bCs/>
        </w:rPr>
        <w:t>assessments</w:t>
      </w:r>
    </w:p>
    <w:p w14:paraId="57CE9ABB" w14:textId="57FA7D38" w:rsidR="00307176" w:rsidRPr="00A540CC" w:rsidRDefault="00307176" w:rsidP="00307176">
      <w:pPr>
        <w:spacing w:line="360" w:lineRule="auto"/>
        <w:jc w:val="both"/>
        <w:rPr>
          <w:bCs/>
        </w:rPr>
      </w:pPr>
      <w:r w:rsidRPr="00F446E9">
        <w:rPr>
          <w:b/>
          <w:bCs/>
        </w:rPr>
        <w:t>Authors:</w:t>
      </w:r>
      <w:r>
        <w:rPr>
          <w:bCs/>
        </w:rPr>
        <w:t xml:space="preserve"> </w:t>
      </w:r>
      <w:r w:rsidRPr="00130065">
        <w:rPr>
          <w:bCs/>
        </w:rPr>
        <w:t xml:space="preserve">Danielle Jones, Clare Jackson, </w:t>
      </w:r>
      <w:r w:rsidR="002A4014" w:rsidRPr="00130065">
        <w:rPr>
          <w:bCs/>
        </w:rPr>
        <w:t>Ray Wilkinson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07176" w:rsidRPr="006368B0" w14:paraId="6C67A3AC" w14:textId="77777777" w:rsidTr="00225AAC">
        <w:trPr>
          <w:tblCellSpacing w:w="15" w:type="dxa"/>
        </w:trPr>
        <w:tc>
          <w:tcPr>
            <w:tcW w:w="0" w:type="auto"/>
            <w:vAlign w:val="center"/>
            <w:hideMark/>
          </w:tcPr>
          <w:p w14:paraId="2C12E854" w14:textId="77777777" w:rsidR="00307176" w:rsidRPr="006368B0" w:rsidRDefault="00307176" w:rsidP="00225AAC">
            <w:pPr>
              <w:jc w:val="both"/>
              <w:rPr>
                <w:b/>
                <w:bCs/>
              </w:rPr>
            </w:pPr>
          </w:p>
        </w:tc>
      </w:tr>
    </w:tbl>
    <w:p w14:paraId="5EFEF06C" w14:textId="77777777" w:rsidR="00307176" w:rsidRDefault="00307176" w:rsidP="00307176">
      <w:pPr>
        <w:spacing w:line="360" w:lineRule="auto"/>
        <w:jc w:val="both"/>
        <w:rPr>
          <w:b/>
          <w:bCs/>
          <w:lang w:val="en-US"/>
        </w:rPr>
      </w:pPr>
    </w:p>
    <w:p w14:paraId="755A51A6" w14:textId="77777777" w:rsidR="00307176" w:rsidRPr="00756892" w:rsidRDefault="00307176" w:rsidP="00307176">
      <w:pPr>
        <w:pStyle w:val="ListParagraph"/>
        <w:numPr>
          <w:ilvl w:val="0"/>
          <w:numId w:val="19"/>
        </w:numPr>
        <w:rPr>
          <w:lang w:val="en-US"/>
        </w:rPr>
      </w:pPr>
      <w:r w:rsidRPr="005A3CBC">
        <w:rPr>
          <w:b/>
          <w:bCs/>
          <w:lang w:val="en-US"/>
        </w:rPr>
        <w:t>Introduction</w:t>
      </w:r>
    </w:p>
    <w:p w14:paraId="54331014" w14:textId="77777777" w:rsidR="00307176" w:rsidRDefault="00307176" w:rsidP="00307176">
      <w:pPr>
        <w:spacing w:line="360" w:lineRule="auto"/>
        <w:jc w:val="both"/>
        <w:rPr>
          <w:bCs/>
          <w:lang w:val="en-US"/>
        </w:rPr>
      </w:pPr>
    </w:p>
    <w:p w14:paraId="1BC69949" w14:textId="000A61F6" w:rsidR="00FD6162" w:rsidRPr="00B67327" w:rsidRDefault="00FD6162" w:rsidP="00FD6162">
      <w:pPr>
        <w:pStyle w:val="Normal1"/>
        <w:spacing w:line="360" w:lineRule="auto"/>
        <w:jc w:val="both"/>
      </w:pPr>
      <w:r w:rsidRPr="00B67327">
        <w:t>Cognitive assessment tools are a key component of the diagnostic process, and aim to facilitate identification of cognitive impairment, its severity, and the cognitive domains affected (</w:t>
      </w:r>
      <w:proofErr w:type="spellStart"/>
      <w:r w:rsidRPr="00B67327">
        <w:t>Panegyres</w:t>
      </w:r>
      <w:proofErr w:type="spellEnd"/>
      <w:r w:rsidRPr="00B67327">
        <w:t xml:space="preserve"> et al, 2016). The outcome of these tests is an important basis for early access to therapeutic care and management. Measuring cognitive function is, therefore, one of the most important assessments clinicians make (Alzheimer’s Society, 2015).  A wide range of cognitive screening and assessment tools designed to test different aspects of cognitive functionality (</w:t>
      </w:r>
      <w:r w:rsidR="002D75C3" w:rsidRPr="00B67327">
        <w:t>e.g.,</w:t>
      </w:r>
      <w:r w:rsidRPr="00B67327">
        <w:t xml:space="preserve"> recall, reasoning, abstract thinking, v</w:t>
      </w:r>
      <w:r w:rsidR="00E151DA" w:rsidRPr="00B67327">
        <w:t xml:space="preserve">isuospatial and verbal skills) </w:t>
      </w:r>
      <w:r w:rsidRPr="00B67327">
        <w:t>are available, e.g.</w:t>
      </w:r>
      <w:r w:rsidR="002D75C3" w:rsidRPr="00B67327">
        <w:t>,</w:t>
      </w:r>
      <w:r w:rsidRPr="00B67327">
        <w:t xml:space="preserve"> Addenbrooke’s Cognitive examination (ACE-</w:t>
      </w:r>
      <w:r w:rsidR="0069725A">
        <w:t>III</w:t>
      </w:r>
      <w:r w:rsidRPr="00B67327">
        <w:t>), Montreal Cognitive assessment (MOCA), Six-item Cognitive Impairment test (6CIT) and Mini-Mental State Exam (MMSE)</w:t>
      </w:r>
      <w:r w:rsidR="00176232">
        <w:t>.</w:t>
      </w:r>
      <w:r w:rsidR="009E3CA7" w:rsidRPr="00B67327">
        <w:rPr>
          <w:rStyle w:val="FootnoteReference"/>
        </w:rPr>
        <w:footnoteReference w:id="1"/>
      </w:r>
      <w:r w:rsidRPr="00B67327">
        <w:t xml:space="preserve">  The ACE-II</w:t>
      </w:r>
      <w:r w:rsidR="006727C5">
        <w:t>I</w:t>
      </w:r>
      <w:r w:rsidR="00E31FAE">
        <w:t>, examined in this paper,</w:t>
      </w:r>
      <w:r w:rsidR="006118F2">
        <w:t xml:space="preserve"> </w:t>
      </w:r>
      <w:r w:rsidRPr="00B67327">
        <w:t xml:space="preserve">has reportedly good diagnostic specificity (Hsieh, 2013) that is sensitive to the early stages of dementia (Bruno and </w:t>
      </w:r>
      <w:proofErr w:type="spellStart"/>
      <w:r w:rsidRPr="00B67327">
        <w:t>Schurmann</w:t>
      </w:r>
      <w:proofErr w:type="spellEnd"/>
      <w:r w:rsidRPr="00B67327">
        <w:t xml:space="preserve"> </w:t>
      </w:r>
      <w:proofErr w:type="spellStart"/>
      <w:r w:rsidRPr="00B67327">
        <w:t>Vignaga</w:t>
      </w:r>
      <w:proofErr w:type="spellEnd"/>
      <w:r w:rsidRPr="00B67327">
        <w:t xml:space="preserve">, 2019) and has been recommended </w:t>
      </w:r>
      <w:r w:rsidR="002D75C3" w:rsidRPr="00B67327">
        <w:t xml:space="preserve">in the UK </w:t>
      </w:r>
      <w:r w:rsidRPr="00B67327">
        <w:t>by the Department of Health and the Alzheimer’s Society for use in specialist memory services (</w:t>
      </w:r>
      <w:r w:rsidR="00FB6AA7">
        <w:t>Alzheimer’s Society, 2015</w:t>
      </w:r>
      <w:r w:rsidRPr="00B67327">
        <w:t xml:space="preserve">).  However, a recent Cochrane </w:t>
      </w:r>
      <w:r w:rsidR="005D4C19" w:rsidRPr="00B67327">
        <w:t>R</w:t>
      </w:r>
      <w:r w:rsidRPr="00B67327">
        <w:t>eview (</w:t>
      </w:r>
      <w:proofErr w:type="spellStart"/>
      <w:r w:rsidRPr="00B67327">
        <w:t>Beishon</w:t>
      </w:r>
      <w:proofErr w:type="spellEnd"/>
      <w:r w:rsidRPr="00B67327">
        <w:t xml:space="preserve"> et al., 2019) raises questions about the quality of research that underpin</w:t>
      </w:r>
      <w:r w:rsidR="006826F6" w:rsidRPr="00B67327">
        <w:t>s</w:t>
      </w:r>
      <w:r w:rsidRPr="00B67327">
        <w:t xml:space="preserve"> estimates of the utility of </w:t>
      </w:r>
      <w:r w:rsidR="00F90ABF" w:rsidRPr="00B67327">
        <w:t xml:space="preserve">the </w:t>
      </w:r>
      <w:r w:rsidRPr="00B67327">
        <w:t xml:space="preserve">ACE-III. Significantly, </w:t>
      </w:r>
      <w:proofErr w:type="spellStart"/>
      <w:r w:rsidRPr="00B67327">
        <w:t>Beishon</w:t>
      </w:r>
      <w:proofErr w:type="spellEnd"/>
      <w:r w:rsidRPr="00B67327">
        <w:t xml:space="preserve"> et al. point to a lack of information about how the test was carried out in relevant studies. </w:t>
      </w:r>
    </w:p>
    <w:p w14:paraId="490EC1AF" w14:textId="77777777" w:rsidR="00182D13" w:rsidRPr="00B67327" w:rsidRDefault="00182D13" w:rsidP="003409FD">
      <w:pPr>
        <w:spacing w:line="360" w:lineRule="auto"/>
        <w:jc w:val="both"/>
        <w:rPr>
          <w:bCs/>
        </w:rPr>
      </w:pPr>
    </w:p>
    <w:p w14:paraId="2D51857F" w14:textId="6D83849D" w:rsidR="00FD6162" w:rsidRPr="00B67327" w:rsidRDefault="006727C5" w:rsidP="00FD6162">
      <w:pPr>
        <w:spacing w:line="360" w:lineRule="auto"/>
        <w:jc w:val="both"/>
        <w:rPr>
          <w:bCs/>
        </w:rPr>
      </w:pPr>
      <w:r>
        <w:rPr>
          <w:bCs/>
        </w:rPr>
        <w:t xml:space="preserve">Clinicians are aided in the administration of the ACE-III by a guide which helps to ensure standard procedures are followed. </w:t>
      </w:r>
      <w:r w:rsidR="00FD6162" w:rsidRPr="00B67327">
        <w:rPr>
          <w:bCs/>
        </w:rPr>
        <w:t xml:space="preserve">The implementation of tests matters because interpretation of outcomes relies on normative scores derived from the assumed standardization of the testing process.  If the correct administrative procedures are not followed the test is </w:t>
      </w:r>
      <w:r w:rsidR="000878B5">
        <w:rPr>
          <w:bCs/>
        </w:rPr>
        <w:t>‘</w:t>
      </w:r>
      <w:r w:rsidR="00FD6162" w:rsidRPr="00B67327">
        <w:rPr>
          <w:bCs/>
        </w:rPr>
        <w:t>not useful in indicating whether [a patient’s] score falls in the normal or pathological range</w:t>
      </w:r>
      <w:r w:rsidR="000878B5">
        <w:rPr>
          <w:bCs/>
        </w:rPr>
        <w:t>’</w:t>
      </w:r>
      <w:r w:rsidR="00FD6162" w:rsidRPr="00B67327">
        <w:rPr>
          <w:bCs/>
        </w:rPr>
        <w:t xml:space="preserve"> (</w:t>
      </w:r>
      <w:proofErr w:type="spellStart"/>
      <w:r w:rsidR="00FD6162" w:rsidRPr="00B67327">
        <w:rPr>
          <w:bCs/>
        </w:rPr>
        <w:t>Venneri</w:t>
      </w:r>
      <w:proofErr w:type="spellEnd"/>
      <w:r w:rsidR="00FD6162" w:rsidRPr="00B67327">
        <w:rPr>
          <w:bCs/>
        </w:rPr>
        <w:t>, 2005, p.97) and</w:t>
      </w:r>
      <w:r w:rsidR="00246CDB" w:rsidRPr="00B67327">
        <w:rPr>
          <w:bCs/>
        </w:rPr>
        <w:t>,</w:t>
      </w:r>
      <w:r w:rsidR="00FD6162" w:rsidRPr="00B67327">
        <w:rPr>
          <w:bCs/>
        </w:rPr>
        <w:t xml:space="preserve"> therefore</w:t>
      </w:r>
      <w:r w:rsidR="00246CDB" w:rsidRPr="00B67327">
        <w:rPr>
          <w:bCs/>
        </w:rPr>
        <w:t>,</w:t>
      </w:r>
      <w:r w:rsidR="00FD6162" w:rsidRPr="00B67327">
        <w:rPr>
          <w:bCs/>
        </w:rPr>
        <w:t xml:space="preserve"> could alter a </w:t>
      </w:r>
      <w:r w:rsidR="00FD6162" w:rsidRPr="00B67327">
        <w:rPr>
          <w:bCs/>
        </w:rPr>
        <w:lastRenderedPageBreak/>
        <w:t xml:space="preserve">clinician’s ability to make an accurate diagnosis. Despite the basic requirement for standardization of procedures, specialist clinicians </w:t>
      </w:r>
      <w:r w:rsidR="002F5EE2">
        <w:rPr>
          <w:bCs/>
        </w:rPr>
        <w:t xml:space="preserve">anecdotally </w:t>
      </w:r>
      <w:r w:rsidR="00FD6162" w:rsidRPr="00B67327">
        <w:rPr>
          <w:bCs/>
        </w:rPr>
        <w:t>report having received no formal training on the administration of the ACE</w:t>
      </w:r>
      <w:r w:rsidR="00246CDB" w:rsidRPr="00B67327">
        <w:rPr>
          <w:bCs/>
        </w:rPr>
        <w:t>-III</w:t>
      </w:r>
      <w:r w:rsidR="00FD6162" w:rsidRPr="00B67327">
        <w:rPr>
          <w:bCs/>
        </w:rPr>
        <w:t xml:space="preserve">. </w:t>
      </w:r>
      <w:r>
        <w:rPr>
          <w:bCs/>
        </w:rPr>
        <w:t>Furthermore</w:t>
      </w:r>
      <w:r w:rsidR="00FD6162" w:rsidRPr="00B67327">
        <w:rPr>
          <w:bCs/>
        </w:rPr>
        <w:t>, the</w:t>
      </w:r>
      <w:r>
        <w:rPr>
          <w:bCs/>
        </w:rPr>
        <w:t xml:space="preserve"> guidance document is not always clear; there are</w:t>
      </w:r>
      <w:r w:rsidR="00FD6162" w:rsidRPr="00B67327">
        <w:rPr>
          <w:bCs/>
        </w:rPr>
        <w:t xml:space="preserve"> no instructions on how to introduce the test, and some questions have verbatim instruction, whilst other questions are </w:t>
      </w:r>
      <w:r w:rsidR="00FD6162" w:rsidRPr="00B67327">
        <w:rPr>
          <w:bCs/>
          <w:i/>
          <w:iCs/>
        </w:rPr>
        <w:t>quasi</w:t>
      </w:r>
      <w:r w:rsidR="00FD6162" w:rsidRPr="00B67327">
        <w:rPr>
          <w:bCs/>
        </w:rPr>
        <w:t>-scripted and do not require the practitioner to use the specific wording. These inconsistencies enable interactional variation in the administration of the test</w:t>
      </w:r>
      <w:r w:rsidR="00DD799F" w:rsidRPr="00B67327">
        <w:rPr>
          <w:bCs/>
        </w:rPr>
        <w:t xml:space="preserve"> (Jones et al, 2020</w:t>
      </w:r>
      <w:r w:rsidR="00FD6162" w:rsidRPr="00B67327">
        <w:rPr>
          <w:bCs/>
        </w:rPr>
        <w:t>).</w:t>
      </w:r>
    </w:p>
    <w:p w14:paraId="2B7B1262" w14:textId="77777777" w:rsidR="00FD6162" w:rsidRPr="00B67327" w:rsidRDefault="00FD6162" w:rsidP="00FD6162">
      <w:pPr>
        <w:spacing w:line="360" w:lineRule="auto"/>
        <w:jc w:val="both"/>
        <w:rPr>
          <w:bCs/>
        </w:rPr>
      </w:pPr>
    </w:p>
    <w:p w14:paraId="23C142AC" w14:textId="312F5F38" w:rsidR="001765CF" w:rsidRPr="00B67327" w:rsidRDefault="00FD6162" w:rsidP="008427B8">
      <w:pPr>
        <w:spacing w:line="360" w:lineRule="auto"/>
        <w:jc w:val="both"/>
      </w:pPr>
      <w:r w:rsidRPr="00B67327">
        <w:t xml:space="preserve">In common with most cognitive assessment tools, the ACE-III is implemented </w:t>
      </w:r>
      <w:r w:rsidR="00947F73" w:rsidRPr="00B67327">
        <w:t>by means of</w:t>
      </w:r>
      <w:r w:rsidRPr="00B67327">
        <w:t xml:space="preserve"> talk-in-interaction (Drew, Raymond, Weinberg, 2006).  </w:t>
      </w:r>
      <w:r w:rsidR="001765CF" w:rsidRPr="00B67327">
        <w:t>All talk is locally occasioned and contingent, hence unavoidably introduc</w:t>
      </w:r>
      <w:r w:rsidR="00E70FCF" w:rsidRPr="00B67327">
        <w:t>ing</w:t>
      </w:r>
      <w:r w:rsidR="001765CF" w:rsidRPr="00B67327">
        <w:t xml:space="preserve"> non-standardised elements to the testing process.</w:t>
      </w:r>
      <w:r w:rsidR="006727C5">
        <w:t xml:space="preserve"> </w:t>
      </w:r>
      <w:r w:rsidR="001765CF" w:rsidRPr="00B67327">
        <w:t>There is a body of CA research exploring standardization-in-interaction in a range of different s</w:t>
      </w:r>
      <w:r w:rsidR="008427B8" w:rsidRPr="00B67327">
        <w:t>ettings</w:t>
      </w:r>
      <w:r w:rsidR="005D4C19" w:rsidRPr="00B67327">
        <w:t>:</w:t>
      </w:r>
      <w:r w:rsidR="008427B8" w:rsidRPr="00B67327">
        <w:t xml:space="preserve"> e.g.</w:t>
      </w:r>
      <w:r w:rsidR="005D4C19" w:rsidRPr="00B67327">
        <w:t>,</w:t>
      </w:r>
      <w:r w:rsidR="008427B8" w:rsidRPr="00B67327">
        <w:t xml:space="preserve"> surveys (</w:t>
      </w:r>
      <w:proofErr w:type="spellStart"/>
      <w:r w:rsidR="008427B8" w:rsidRPr="00B67327">
        <w:t>Houtkoop</w:t>
      </w:r>
      <w:proofErr w:type="spellEnd"/>
      <w:r w:rsidR="008427B8" w:rsidRPr="00B67327">
        <w:t>-</w:t>
      </w:r>
      <w:r w:rsidR="001765CF" w:rsidRPr="00B67327">
        <w:t>Steenstra, 2000; Maynard et al. 2002)</w:t>
      </w:r>
      <w:r w:rsidR="005D4C19" w:rsidRPr="00B67327">
        <w:t>;</w:t>
      </w:r>
      <w:r w:rsidR="001765CF" w:rsidRPr="00B67327">
        <w:t xml:space="preserve"> education (</w:t>
      </w:r>
      <w:proofErr w:type="spellStart"/>
      <w:r w:rsidR="001765CF" w:rsidRPr="00B67327">
        <w:t>Marlaire</w:t>
      </w:r>
      <w:proofErr w:type="spellEnd"/>
      <w:r w:rsidR="001765CF" w:rsidRPr="00B67327">
        <w:t xml:space="preserve"> and Maynard, 1990; Maynard and </w:t>
      </w:r>
      <w:proofErr w:type="spellStart"/>
      <w:r w:rsidR="001765CF" w:rsidRPr="00B67327">
        <w:t>Turowetz</w:t>
      </w:r>
      <w:proofErr w:type="spellEnd"/>
      <w:r w:rsidR="001765CF" w:rsidRPr="00B67327">
        <w:t>, 2017</w:t>
      </w:r>
      <w:r w:rsidR="008427B8" w:rsidRPr="00B67327">
        <w:t>)</w:t>
      </w:r>
      <w:r w:rsidR="001765CF" w:rsidRPr="00B67327">
        <w:t>; and health</w:t>
      </w:r>
      <w:r w:rsidR="00B97631">
        <w:t>care</w:t>
      </w:r>
      <w:r w:rsidR="001765CF" w:rsidRPr="00B67327">
        <w:t xml:space="preserve"> (</w:t>
      </w:r>
      <w:r w:rsidR="008427B8" w:rsidRPr="00B67327">
        <w:t>Jones et al, 2020</w:t>
      </w:r>
      <w:r w:rsidR="001765CF" w:rsidRPr="00B67327">
        <w:t xml:space="preserve">). This research is predominantly interested in the </w:t>
      </w:r>
      <w:r w:rsidR="000878B5">
        <w:t>‘</w:t>
      </w:r>
      <w:r w:rsidR="001765CF" w:rsidRPr="00B67327">
        <w:t>interactional substrate</w:t>
      </w:r>
      <w:r w:rsidR="000878B5">
        <w:t>’</w:t>
      </w:r>
      <w:r w:rsidR="001765CF" w:rsidRPr="00B67327">
        <w:t xml:space="preserve"> - the social organization </w:t>
      </w:r>
      <w:r w:rsidR="002F5EE2">
        <w:t xml:space="preserve">of </w:t>
      </w:r>
      <w:r w:rsidR="001765CF" w:rsidRPr="00B67327">
        <w:t xml:space="preserve">talk during standardized examinations and survey interviews. Much like in the delivery of standardized </w:t>
      </w:r>
      <w:r w:rsidR="002F5EE2">
        <w:t>cognitive</w:t>
      </w:r>
      <w:r w:rsidR="001765CF" w:rsidRPr="00B67327">
        <w:t xml:space="preserve"> </w:t>
      </w:r>
      <w:r w:rsidR="002F5EE2">
        <w:t>assessments</w:t>
      </w:r>
      <w:r w:rsidR="00312A8C">
        <w:t>,</w:t>
      </w:r>
      <w:r w:rsidR="001765CF" w:rsidRPr="00B67327">
        <w:t xml:space="preserve"> standardization in surveys focuses on reducing interviewer variability and thus on improving reliability, so that different interviewers act according to interviewing rules. However</w:t>
      </w:r>
      <w:r w:rsidR="00060A87" w:rsidRPr="00B67327">
        <w:t>,</w:t>
      </w:r>
      <w:r w:rsidR="005D4C19" w:rsidRPr="00B67327">
        <w:t xml:space="preserve"> such</w:t>
      </w:r>
      <w:r w:rsidR="001765CF" w:rsidRPr="00B67327">
        <w:t xml:space="preserve"> research</w:t>
      </w:r>
      <w:r w:rsidR="00246CDB" w:rsidRPr="00B67327">
        <w:t xml:space="preserve"> has</w:t>
      </w:r>
      <w:r w:rsidR="001765CF" w:rsidRPr="00B67327">
        <w:t xml:space="preserve"> revealed</w:t>
      </w:r>
      <w:r w:rsidR="00246CDB" w:rsidRPr="00B67327">
        <w:t xml:space="preserve"> that:</w:t>
      </w:r>
      <w:r w:rsidR="001765CF" w:rsidRPr="00B67327">
        <w:t> </w:t>
      </w:r>
    </w:p>
    <w:p w14:paraId="48277589" w14:textId="77777777" w:rsidR="001765CF" w:rsidRPr="00B67327" w:rsidRDefault="001765CF" w:rsidP="001765CF">
      <w:pPr>
        <w:spacing w:line="360" w:lineRule="auto"/>
      </w:pPr>
    </w:p>
    <w:p w14:paraId="2CD4D353" w14:textId="5DB14E79" w:rsidR="001765CF" w:rsidRPr="00B67327" w:rsidRDefault="001765CF" w:rsidP="001765CF">
      <w:pPr>
        <w:spacing w:line="360" w:lineRule="auto"/>
        <w:ind w:left="720"/>
      </w:pPr>
      <w:r w:rsidRPr="00B67327">
        <w:t xml:space="preserve">Standardization in survey research or any other realm is not guaranteed by its rules and procedures. Standardization </w:t>
      </w:r>
      <w:proofErr w:type="gramStart"/>
      <w:r w:rsidRPr="00B67327">
        <w:t>has to</w:t>
      </w:r>
      <w:proofErr w:type="gramEnd"/>
      <w:r w:rsidRPr="00B67327">
        <w:t xml:space="preserve"> be achieved according to the variegated circumstances that impinge on any attempt to follow those rules and procedures (Maynard and Schaeffer</w:t>
      </w:r>
      <w:r w:rsidR="001C6D14" w:rsidRPr="00B67327">
        <w:t>,</w:t>
      </w:r>
      <w:r w:rsidRPr="00B67327">
        <w:t xml:space="preserve"> 200</w:t>
      </w:r>
      <w:r w:rsidR="00DC37C1">
        <w:t>6, p.27)</w:t>
      </w:r>
      <w:r w:rsidRPr="00B67327">
        <w:t>. </w:t>
      </w:r>
    </w:p>
    <w:p w14:paraId="7BBBE6B9" w14:textId="77777777" w:rsidR="001765CF" w:rsidRPr="00B67327" w:rsidRDefault="001765CF" w:rsidP="001765CF">
      <w:pPr>
        <w:spacing w:line="360" w:lineRule="auto"/>
      </w:pPr>
    </w:p>
    <w:p w14:paraId="51BE902E" w14:textId="3757A03B" w:rsidR="00F25FF5" w:rsidRDefault="001765CF" w:rsidP="00F25FF5">
      <w:pPr>
        <w:spacing w:line="360" w:lineRule="auto"/>
        <w:jc w:val="both"/>
      </w:pPr>
      <w:r w:rsidRPr="00B67327">
        <w:t xml:space="preserve">Maynard and </w:t>
      </w:r>
      <w:proofErr w:type="spellStart"/>
      <w:r w:rsidRPr="00B67327">
        <w:t>Marlaire</w:t>
      </w:r>
      <w:proofErr w:type="spellEnd"/>
      <w:r w:rsidRPr="00B67327">
        <w:t xml:space="preserve"> (1992) suggest that the interactional practices</w:t>
      </w:r>
      <w:r w:rsidR="00B97631">
        <w:t xml:space="preserve"> testers employ</w:t>
      </w:r>
      <w:r w:rsidRPr="00B67327">
        <w:t xml:space="preserve"> when administering psychoeducational standardized examinations can influence recipients</w:t>
      </w:r>
      <w:r w:rsidR="008D1870" w:rsidRPr="00B67327">
        <w:t>’</w:t>
      </w:r>
      <w:r w:rsidR="00804FC2" w:rsidRPr="00B67327">
        <w:t xml:space="preserve"> </w:t>
      </w:r>
      <w:r w:rsidRPr="00B67327">
        <w:t xml:space="preserve">responses, </w:t>
      </w:r>
      <w:r w:rsidR="008D1870" w:rsidRPr="00B67327">
        <w:t xml:space="preserve">and </w:t>
      </w:r>
      <w:r w:rsidRPr="00B67327">
        <w:t>their experience of ‘being tested’</w:t>
      </w:r>
      <w:r w:rsidR="00804FC2" w:rsidRPr="00B67327">
        <w:t>. U</w:t>
      </w:r>
      <w:r w:rsidRPr="00B67327">
        <w:t>ltimately</w:t>
      </w:r>
      <w:r w:rsidR="002A4014" w:rsidRPr="00B67327">
        <w:t>,</w:t>
      </w:r>
      <w:r w:rsidR="00804FC2" w:rsidRPr="00B67327">
        <w:t xml:space="preserve"> they showed that</w:t>
      </w:r>
      <w:r w:rsidRPr="00B67327">
        <w:t xml:space="preserve"> test scores </w:t>
      </w:r>
      <w:r w:rsidR="002A4014" w:rsidRPr="00B67327">
        <w:t xml:space="preserve">are </w:t>
      </w:r>
      <w:r w:rsidRPr="00B67327">
        <w:t xml:space="preserve">collaborative products of the testing process rather than reflecting the </w:t>
      </w:r>
      <w:r w:rsidR="005F724A" w:rsidRPr="00B67327">
        <w:t xml:space="preserve">(ostensibly) </w:t>
      </w:r>
      <w:r w:rsidRPr="00B67327">
        <w:t>neutral</w:t>
      </w:r>
      <w:r w:rsidR="005F724A" w:rsidRPr="00B67327">
        <w:t xml:space="preserve"> qualities of the</w:t>
      </w:r>
      <w:r w:rsidRPr="00B67327">
        <w:t xml:space="preserve"> instrument. </w:t>
      </w:r>
      <w:r w:rsidR="00B363A7" w:rsidRPr="00B67327">
        <w:t xml:space="preserve"> </w:t>
      </w:r>
      <w:r w:rsidRPr="00B67327">
        <w:t>Some interviewers/testers</w:t>
      </w:r>
      <w:r w:rsidR="005F724A" w:rsidRPr="00B67327">
        <w:t>, for instance,</w:t>
      </w:r>
      <w:r w:rsidRPr="00B67327">
        <w:t xml:space="preserve"> opt for a more conversational approach by changing the scripted, ‘neutrally’ formulated, standardized questions (</w:t>
      </w:r>
      <w:proofErr w:type="spellStart"/>
      <w:r w:rsidRPr="00B67327">
        <w:t>Houtkoop</w:t>
      </w:r>
      <w:proofErr w:type="spellEnd"/>
      <w:r w:rsidRPr="00B67327">
        <w:t xml:space="preserve">-Steenstra, 1997) because the rigidities of standardization can lead to contrived interactions. </w:t>
      </w:r>
      <w:r w:rsidR="00B97631">
        <w:t>Similarly, i</w:t>
      </w:r>
      <w:r w:rsidR="00B97631" w:rsidRPr="00B67327">
        <w:t xml:space="preserve">n an ethnographic </w:t>
      </w:r>
      <w:r w:rsidR="00B97631" w:rsidRPr="00B67327">
        <w:lastRenderedPageBreak/>
        <w:t>study of memory clinics, Swallow and Hillman (201</w:t>
      </w:r>
      <w:r w:rsidR="002F3FEE">
        <w:t>8</w:t>
      </w:r>
      <w:r w:rsidR="00B97631" w:rsidRPr="00B67327">
        <w:t xml:space="preserve">, p. 229) illustrate practitioners’ </w:t>
      </w:r>
      <w:r w:rsidR="000878B5">
        <w:t>‘</w:t>
      </w:r>
      <w:r w:rsidR="00B97631" w:rsidRPr="00B67327">
        <w:t>tinkering</w:t>
      </w:r>
      <w:r w:rsidR="000878B5">
        <w:t>’</w:t>
      </w:r>
      <w:r w:rsidR="00B97631" w:rsidRPr="00B67327">
        <w:t xml:space="preserve"> practices to </w:t>
      </w:r>
      <w:r w:rsidR="000878B5">
        <w:t>‘</w:t>
      </w:r>
      <w:r w:rsidR="00B97631" w:rsidRPr="00B67327">
        <w:t>carefully choreograph the consultation process</w:t>
      </w:r>
      <w:r w:rsidR="000878B5">
        <w:t>’</w:t>
      </w:r>
      <w:r w:rsidR="00B97631" w:rsidRPr="00B67327">
        <w:t xml:space="preserve"> (ibid. p. 234) in </w:t>
      </w:r>
      <w:proofErr w:type="gramStart"/>
      <w:r w:rsidR="00B97631" w:rsidRPr="00B67327">
        <w:t>a number of</w:t>
      </w:r>
      <w:proofErr w:type="gramEnd"/>
      <w:r w:rsidR="00B97631" w:rsidRPr="00B67327">
        <w:t xml:space="preserve"> practical ways. These include actively omitting test items and going off script to provide reassurance and encouragement. Swallow and Hillman suggest these practices are mechanisms for taking care of the vulnerabilities of the diagnostic encounter. That is, active </w:t>
      </w:r>
      <w:r w:rsidR="00B97631" w:rsidRPr="00B67327">
        <w:rPr>
          <w:i/>
          <w:iCs/>
        </w:rPr>
        <w:t xml:space="preserve">ad hoc </w:t>
      </w:r>
      <w:r w:rsidR="00B97631" w:rsidRPr="00B67327">
        <w:t xml:space="preserve">redesigning of test implementation, stepping away from standardization, occurs to prioritise recipiency and emotional labour.  </w:t>
      </w:r>
    </w:p>
    <w:p w14:paraId="6DFA5EB1" w14:textId="77777777" w:rsidR="00F25FF5" w:rsidRDefault="00F25FF5" w:rsidP="00E63B7E">
      <w:pPr>
        <w:spacing w:line="360" w:lineRule="auto"/>
        <w:jc w:val="both"/>
      </w:pPr>
    </w:p>
    <w:p w14:paraId="5AA554BA" w14:textId="3778A395" w:rsidR="001765CF" w:rsidRPr="00B67327" w:rsidRDefault="00812F99" w:rsidP="003B780B">
      <w:pPr>
        <w:spacing w:line="360" w:lineRule="auto"/>
        <w:jc w:val="both"/>
      </w:pPr>
      <w:r>
        <w:t>T</w:t>
      </w:r>
      <w:r w:rsidR="00E63B7E">
        <w:t xml:space="preserve">he </w:t>
      </w:r>
      <w:r w:rsidR="00E63B7E" w:rsidRPr="00812F99">
        <w:t>rigidities</w:t>
      </w:r>
      <w:r w:rsidR="00E63B7E">
        <w:t xml:space="preserve"> of standardized surveys/interviews </w:t>
      </w:r>
      <w:r w:rsidR="00E46C8D">
        <w:t>are</w:t>
      </w:r>
      <w:r w:rsidR="00E63B7E">
        <w:t xml:space="preserve"> </w:t>
      </w:r>
      <w:r>
        <w:t xml:space="preserve">often overcome by interviewers </w:t>
      </w:r>
      <w:r w:rsidR="00E63B7E">
        <w:t xml:space="preserve">revising </w:t>
      </w:r>
      <w:r>
        <w:t xml:space="preserve">the </w:t>
      </w:r>
      <w:r w:rsidR="00E63B7E">
        <w:t xml:space="preserve">original questions to include </w:t>
      </w:r>
      <w:r w:rsidR="00E63B7E" w:rsidRPr="00E63B7E">
        <w:t xml:space="preserve">more natural or </w:t>
      </w:r>
      <w:r w:rsidR="00E63B7E" w:rsidRPr="00EF1E04">
        <w:rPr>
          <w:i/>
          <w:iCs/>
        </w:rPr>
        <w:t>recipient-designed</w:t>
      </w:r>
      <w:r w:rsidR="00E63B7E" w:rsidRPr="00E63B7E">
        <w:t xml:space="preserve"> </w:t>
      </w:r>
      <w:r w:rsidR="00E63B7E">
        <w:t>formulations (Maynard</w:t>
      </w:r>
      <w:r w:rsidR="00465352">
        <w:t xml:space="preserve"> &amp; Schaeffer, 2006;</w:t>
      </w:r>
      <w:r>
        <w:t xml:space="preserve"> </w:t>
      </w:r>
      <w:proofErr w:type="spellStart"/>
      <w:r>
        <w:t>Houtkoop</w:t>
      </w:r>
      <w:proofErr w:type="spellEnd"/>
      <w:r>
        <w:t>-Steenstra, 1995:</w:t>
      </w:r>
      <w:r w:rsidR="00E63B7E" w:rsidRPr="00E63B7E">
        <w:t xml:space="preserve"> </w:t>
      </w:r>
      <w:proofErr w:type="spellStart"/>
      <w:r w:rsidR="00E63B7E">
        <w:t>Houtkoop</w:t>
      </w:r>
      <w:proofErr w:type="spellEnd"/>
      <w:r w:rsidR="00E63B7E">
        <w:t xml:space="preserve">-Steenstra </w:t>
      </w:r>
      <w:r w:rsidR="00060E50">
        <w:t>and</w:t>
      </w:r>
      <w:r w:rsidR="00E63B7E">
        <w:t xml:space="preserve"> </w:t>
      </w:r>
      <w:proofErr w:type="spellStart"/>
      <w:r w:rsidR="00E63B7E">
        <w:t>Antaki</w:t>
      </w:r>
      <w:proofErr w:type="spellEnd"/>
      <w:r w:rsidR="00E63B7E">
        <w:t>, 1997)</w:t>
      </w:r>
      <w:r w:rsidR="00465352">
        <w:t>.</w:t>
      </w:r>
      <w:r w:rsidR="00F25FF5">
        <w:t xml:space="preserve"> </w:t>
      </w:r>
      <w:r w:rsidR="001765CF" w:rsidRPr="00B67327">
        <w:t xml:space="preserve">Recipient-design is a conversation analytic concept developed by Sacks (1992) to refer to the ways that speakers </w:t>
      </w:r>
      <w:r w:rsidR="00A669EC" w:rsidRPr="00B67327">
        <w:t>adapt</w:t>
      </w:r>
      <w:r w:rsidR="001765CF" w:rsidRPr="00B67327">
        <w:t xml:space="preserve"> talk for co-participants. </w:t>
      </w:r>
      <w:r w:rsidR="00996EC6" w:rsidRPr="00B67327">
        <w:t>This</w:t>
      </w:r>
      <w:r w:rsidR="001765CF" w:rsidRPr="00B67327">
        <w:t xml:space="preserve"> is a normative feature of interaction such that interlocutors hold each other accountable for failing to orient to what they know about each other and the </w:t>
      </w:r>
      <w:proofErr w:type="gramStart"/>
      <w:r w:rsidR="001765CF" w:rsidRPr="00B67327">
        <w:t>particular circumstances</w:t>
      </w:r>
      <w:proofErr w:type="gramEnd"/>
      <w:r w:rsidR="008D1870" w:rsidRPr="00B67327">
        <w:t xml:space="preserve"> of the interaction</w:t>
      </w:r>
      <w:r w:rsidR="001765CF" w:rsidRPr="00B67327">
        <w:t>.</w:t>
      </w:r>
      <w:r w:rsidR="008A748D">
        <w:t xml:space="preserve"> Underpinned by Goffman’s (1967) work on </w:t>
      </w:r>
      <w:r w:rsidR="008A748D" w:rsidRPr="00EF1E04">
        <w:rPr>
          <w:i/>
          <w:iCs/>
        </w:rPr>
        <w:t>face</w:t>
      </w:r>
      <w:r w:rsidR="008A748D">
        <w:t xml:space="preserve">, </w:t>
      </w:r>
      <w:proofErr w:type="spellStart"/>
      <w:r w:rsidR="008A748D" w:rsidRPr="008A748D">
        <w:t>Houtkoop</w:t>
      </w:r>
      <w:proofErr w:type="spellEnd"/>
      <w:r w:rsidR="008A748D" w:rsidRPr="008A748D">
        <w:t xml:space="preserve">-Steenstra and </w:t>
      </w:r>
      <w:proofErr w:type="spellStart"/>
      <w:r w:rsidR="008A748D" w:rsidRPr="008A748D">
        <w:t>Antaki</w:t>
      </w:r>
      <w:proofErr w:type="spellEnd"/>
      <w:r w:rsidR="008A748D">
        <w:t xml:space="preserve"> (</w:t>
      </w:r>
      <w:r w:rsidR="008A748D" w:rsidRPr="008A748D">
        <w:t>1997</w:t>
      </w:r>
      <w:r w:rsidR="000878B5">
        <w:t>, p.</w:t>
      </w:r>
      <w:r w:rsidR="008A748D">
        <w:t xml:space="preserve">286) show how </w:t>
      </w:r>
      <w:r w:rsidR="008A748D" w:rsidRPr="008A748D">
        <w:t xml:space="preserve">interviewers </w:t>
      </w:r>
      <w:r w:rsidR="008A748D">
        <w:t xml:space="preserve">use recipient-design to </w:t>
      </w:r>
      <w:r w:rsidR="008A748D" w:rsidRPr="008A748D">
        <w:t xml:space="preserve">encourage </w:t>
      </w:r>
      <w:r w:rsidR="000878B5">
        <w:t>‘</w:t>
      </w:r>
      <w:r w:rsidR="008A748D" w:rsidRPr="008A748D">
        <w:t>face-protective responses in environments that are marked by interactional troubles</w:t>
      </w:r>
      <w:r w:rsidR="000878B5">
        <w:t>’</w:t>
      </w:r>
      <w:r w:rsidR="003B780B">
        <w:t xml:space="preserve">, i.e., they change the question to help the respondent to answer successfully. </w:t>
      </w:r>
      <w:r>
        <w:t>In medical assessments</w:t>
      </w:r>
      <w:r w:rsidR="0097102A">
        <w:t>, where strict administrative procedure is required, there appears a tension between standardisation</w:t>
      </w:r>
      <w:r w:rsidR="00A12196">
        <w:t xml:space="preserve"> (underpin</w:t>
      </w:r>
      <w:r w:rsidR="00C32F82">
        <w:t>ned by</w:t>
      </w:r>
      <w:r w:rsidR="00A12196">
        <w:t xml:space="preserve"> institutional constraints)</w:t>
      </w:r>
      <w:r w:rsidR="0097102A">
        <w:t xml:space="preserve"> and</w:t>
      </w:r>
      <w:r w:rsidR="001765CF" w:rsidRPr="00B67327">
        <w:t xml:space="preserve"> recipient design</w:t>
      </w:r>
      <w:r w:rsidR="0013284F" w:rsidRPr="009E3CA7">
        <w:t xml:space="preserve"> (and see Heritage, 2002)</w:t>
      </w:r>
      <w:r w:rsidR="001765CF" w:rsidRPr="00B67327">
        <w:t xml:space="preserve">. </w:t>
      </w:r>
    </w:p>
    <w:p w14:paraId="13B0485A" w14:textId="77777777" w:rsidR="001765CF" w:rsidRPr="00B67327" w:rsidRDefault="001765CF" w:rsidP="00B363A7">
      <w:pPr>
        <w:spacing w:line="360" w:lineRule="auto"/>
        <w:jc w:val="both"/>
      </w:pPr>
    </w:p>
    <w:p w14:paraId="4D725297" w14:textId="227A6648" w:rsidR="006C71FB" w:rsidRPr="00B67327" w:rsidRDefault="005F724A" w:rsidP="009E3CA7">
      <w:pPr>
        <w:spacing w:line="360" w:lineRule="auto"/>
        <w:jc w:val="both"/>
        <w:rPr>
          <w:lang w:eastAsia="en-GB"/>
        </w:rPr>
      </w:pPr>
      <w:r w:rsidRPr="00B67327">
        <w:t xml:space="preserve">The above findings suggest a need for fine-grained analysis of the situated implementation of cognitive </w:t>
      </w:r>
      <w:r w:rsidR="00DC37C1">
        <w:t>assessments</w:t>
      </w:r>
      <w:r w:rsidRPr="00B67327">
        <w:t xml:space="preserve">. </w:t>
      </w:r>
      <w:r w:rsidR="00D962E2" w:rsidRPr="00B67327">
        <w:t xml:space="preserve">In an earlier paper (Jones et al, 2020) we reported findings based on video </w:t>
      </w:r>
      <w:r w:rsidR="001765CF" w:rsidRPr="00B67327">
        <w:t xml:space="preserve">recordings of clinicians and patients </w:t>
      </w:r>
      <w:r w:rsidR="002F5EE2">
        <w:t>doing</w:t>
      </w:r>
      <w:r w:rsidR="002F5EE2" w:rsidRPr="00B67327">
        <w:t xml:space="preserve"> </w:t>
      </w:r>
      <w:r w:rsidR="001765CF" w:rsidRPr="00B67327">
        <w:t>the ACE-III</w:t>
      </w:r>
      <w:r w:rsidRPr="00B67327">
        <w:t xml:space="preserve">, </w:t>
      </w:r>
      <w:r w:rsidR="001765CF" w:rsidRPr="00B67327">
        <w:t>show</w:t>
      </w:r>
      <w:r w:rsidRPr="00B67327">
        <w:t>ing</w:t>
      </w:r>
      <w:r w:rsidR="001765CF" w:rsidRPr="00B67327">
        <w:t xml:space="preserve"> a variety of ways </w:t>
      </w:r>
      <w:r w:rsidRPr="00B67327">
        <w:t>that test implementation in practi</w:t>
      </w:r>
      <w:r w:rsidR="00EE0C9F">
        <w:t>c</w:t>
      </w:r>
      <w:r w:rsidRPr="00B67327">
        <w:t>e is neither fixed nor standardized.</w:t>
      </w:r>
      <w:r w:rsidR="001765CF" w:rsidRPr="00B67327">
        <w:t xml:space="preserve"> </w:t>
      </w:r>
      <w:r w:rsidR="00D962E2" w:rsidRPr="00B67327">
        <w:t xml:space="preserve">For example, we demonstrated variation in the way </w:t>
      </w:r>
      <w:r w:rsidR="00AD673D" w:rsidRPr="00B67327">
        <w:t>clinicians</w:t>
      </w:r>
      <w:r w:rsidR="00D962E2" w:rsidRPr="00B67327">
        <w:t xml:space="preserve"> introduce</w:t>
      </w:r>
      <w:r w:rsidR="00AD673D" w:rsidRPr="00B67327">
        <w:t xml:space="preserve"> the test to patients as part of the ongoing activities in a consultation</w:t>
      </w:r>
      <w:r w:rsidR="006C69EA" w:rsidRPr="00B67327">
        <w:t xml:space="preserve">. To some extent, this </w:t>
      </w:r>
      <w:r w:rsidR="00DC37C1">
        <w:t xml:space="preserve">variation </w:t>
      </w:r>
      <w:r w:rsidR="006C69EA" w:rsidRPr="00B67327">
        <w:t>might be expected as the</w:t>
      </w:r>
      <w:r w:rsidR="00DC37C1">
        <w:t>re is no administrative guidance</w:t>
      </w:r>
      <w:r w:rsidR="006C69EA" w:rsidRPr="00B67327">
        <w:t xml:space="preserve"> </w:t>
      </w:r>
      <w:r w:rsidR="00DC37C1">
        <w:t>for</w:t>
      </w:r>
      <w:r w:rsidR="006C69EA" w:rsidRPr="00B67327">
        <w:t xml:space="preserve"> practitioners in how to </w:t>
      </w:r>
      <w:r w:rsidR="006C71FB" w:rsidRPr="00B67327">
        <w:t xml:space="preserve">prepare patients for the test. </w:t>
      </w:r>
      <w:r w:rsidR="006C69EA" w:rsidRPr="00B67327">
        <w:t xml:space="preserve"> </w:t>
      </w:r>
      <w:r w:rsidR="006C71FB" w:rsidRPr="00B67327">
        <w:t xml:space="preserve">However, </w:t>
      </w:r>
      <w:r w:rsidR="006C71FB" w:rsidRPr="00B67327">
        <w:rPr>
          <w:lang w:eastAsia="en-GB"/>
        </w:rPr>
        <w:t xml:space="preserve">the different methods the practitioners used appeared to be consequential for how patients received and understood the testing activity. </w:t>
      </w:r>
      <w:r w:rsidR="00533076" w:rsidRPr="00B67327">
        <w:rPr>
          <w:lang w:eastAsia="en-GB"/>
        </w:rPr>
        <w:t xml:space="preserve">Our earlier work also demonstrated deviations from the standardised instructions that the ACE-III does provide. For example, practitioners might vary the </w:t>
      </w:r>
      <w:r w:rsidR="00533076" w:rsidRPr="00B67327">
        <w:rPr>
          <w:lang w:eastAsia="en-GB"/>
        </w:rPr>
        <w:lastRenderedPageBreak/>
        <w:t xml:space="preserve">design of questions and/or introduce elements of reassurance that are not present in the guidance. </w:t>
      </w:r>
    </w:p>
    <w:p w14:paraId="3F617DF8" w14:textId="77777777" w:rsidR="00533076" w:rsidRPr="00B67327" w:rsidRDefault="00533076" w:rsidP="006C71FB">
      <w:pPr>
        <w:spacing w:line="360" w:lineRule="auto"/>
        <w:rPr>
          <w:lang w:eastAsia="en-GB"/>
        </w:rPr>
      </w:pPr>
    </w:p>
    <w:p w14:paraId="53A93454" w14:textId="7066F582" w:rsidR="001765CF" w:rsidRPr="00B67327" w:rsidRDefault="001765CF" w:rsidP="0078488C">
      <w:pPr>
        <w:spacing w:line="360" w:lineRule="auto"/>
        <w:jc w:val="both"/>
      </w:pPr>
      <w:r w:rsidRPr="00B67327">
        <w:t>This chapter continues</w:t>
      </w:r>
      <w:r w:rsidR="00533076" w:rsidRPr="00B67327">
        <w:t xml:space="preserve"> and extends</w:t>
      </w:r>
      <w:r w:rsidRPr="00B67327">
        <w:t xml:space="preserve"> </w:t>
      </w:r>
      <w:r w:rsidR="00533076" w:rsidRPr="00B67327">
        <w:t xml:space="preserve">our </w:t>
      </w:r>
      <w:r w:rsidRPr="00B67327">
        <w:t>earlier work</w:t>
      </w:r>
      <w:r w:rsidR="00533076" w:rsidRPr="00B67327">
        <w:t>. Following a description of our methods</w:t>
      </w:r>
      <w:r w:rsidR="00DB0F65" w:rsidRPr="00B67327">
        <w:t xml:space="preserve"> (</w:t>
      </w:r>
      <w:r w:rsidR="00B97631">
        <w:t>S</w:t>
      </w:r>
      <w:r w:rsidR="00DB0F65" w:rsidRPr="00B67327">
        <w:t>ection 2)</w:t>
      </w:r>
      <w:r w:rsidR="00533076" w:rsidRPr="00B67327">
        <w:t>, we return to the matter of variation in test introduction</w:t>
      </w:r>
      <w:r w:rsidR="00DB0F65" w:rsidRPr="00B67327">
        <w:t xml:space="preserve"> (</w:t>
      </w:r>
      <w:r w:rsidR="00B97631">
        <w:t>S</w:t>
      </w:r>
      <w:r w:rsidR="00DB0F65" w:rsidRPr="00B67327">
        <w:t>ection 3.1)</w:t>
      </w:r>
      <w:r w:rsidR="004844D3" w:rsidRPr="00B67327">
        <w:t xml:space="preserve"> and extend our previous analysis by </w:t>
      </w:r>
      <w:r w:rsidR="002E7B82" w:rsidRPr="00B67327">
        <w:t>suggesting a possible association with practitioners’ working diagnoses. We then return to the evident non-standardisation of the delivery of test questions</w:t>
      </w:r>
      <w:r w:rsidR="003B780B">
        <w:t xml:space="preserve">, including </w:t>
      </w:r>
      <w:r w:rsidR="00A12196">
        <w:t>elements of</w:t>
      </w:r>
      <w:r w:rsidR="003B780B">
        <w:t xml:space="preserve"> recipient-design</w:t>
      </w:r>
      <w:r w:rsidR="00DB0F65" w:rsidRPr="00B67327">
        <w:t xml:space="preserve"> (</w:t>
      </w:r>
      <w:r w:rsidR="00B97631">
        <w:t>S</w:t>
      </w:r>
      <w:r w:rsidR="00DB0F65" w:rsidRPr="00B67327">
        <w:t>ection 3.2)</w:t>
      </w:r>
      <w:r w:rsidR="00A12196">
        <w:t>.</w:t>
      </w:r>
      <w:r w:rsidR="002E7B82" w:rsidRPr="00B67327">
        <w:t xml:space="preserve"> Finally, we introduce entirely new analyses of </w:t>
      </w:r>
      <w:r w:rsidR="00874C68" w:rsidRPr="00B67327">
        <w:t>practitioner utterances that are positioned after a patient has answered (or attempted to answer) a question; that is, in the third-turn</w:t>
      </w:r>
      <w:r w:rsidR="00B97631">
        <w:t xml:space="preserve"> (Section </w:t>
      </w:r>
      <w:r w:rsidR="00134364">
        <w:t>3.3)</w:t>
      </w:r>
      <w:r w:rsidR="00CC3E89" w:rsidRPr="00B67327">
        <w:t xml:space="preserve">. </w:t>
      </w:r>
      <w:r w:rsidR="00DC37C1">
        <w:t xml:space="preserve">In this work </w:t>
      </w:r>
      <w:r w:rsidR="00DC37C1" w:rsidRPr="00DC37C1">
        <w:t>we are not aiming to highlight particular issues with the ACE-III as a problematic assessment, nor the testers as incompetent; rather we’re pointing to more general issues about</w:t>
      </w:r>
      <w:r w:rsidR="00A12196">
        <w:t xml:space="preserve"> the social nature of</w:t>
      </w:r>
      <w:r w:rsidR="00DC37C1" w:rsidRPr="00DC37C1">
        <w:t xml:space="preserve"> test</w:t>
      </w:r>
      <w:r w:rsidR="00DC37C1">
        <w:t>s</w:t>
      </w:r>
      <w:r w:rsidR="00DC37C1" w:rsidRPr="00DC37C1">
        <w:t xml:space="preserve"> of cognitive functioning</w:t>
      </w:r>
      <w:r w:rsidR="00A12196">
        <w:t>,</w:t>
      </w:r>
      <w:r w:rsidR="00DC37C1" w:rsidRPr="00DC37C1">
        <w:t xml:space="preserve"> and </w:t>
      </w:r>
      <w:r w:rsidR="00DC37C1">
        <w:t xml:space="preserve">the </w:t>
      </w:r>
      <w:r w:rsidR="00DC37C1" w:rsidRPr="00DC37C1">
        <w:t xml:space="preserve">competing demands </w:t>
      </w:r>
      <w:r w:rsidR="00DC37C1">
        <w:t>clinicians face in 1)</w:t>
      </w:r>
      <w:r w:rsidR="00DC37C1" w:rsidRPr="00DC37C1">
        <w:t xml:space="preserve"> trying to carry out the test in line with the instructions i.e.</w:t>
      </w:r>
      <w:r w:rsidR="00134364">
        <w:t>,</w:t>
      </w:r>
      <w:r w:rsidR="00DC37C1" w:rsidRPr="00DC37C1">
        <w:t xml:space="preserve"> in a standardised way; and (2) doing so in manner which takes into account how the patients are responding</w:t>
      </w:r>
      <w:r w:rsidR="00BD63FC">
        <w:t xml:space="preserve"> </w:t>
      </w:r>
      <w:r w:rsidR="00A51194">
        <w:t>or might respond</w:t>
      </w:r>
      <w:r w:rsidR="00DC37C1">
        <w:t>. By</w:t>
      </w:r>
      <w:r w:rsidRPr="00B67327">
        <w:t xml:space="preserve"> exploring some of the ways in which the administration of the ACE-</w:t>
      </w:r>
      <w:r w:rsidR="00450286" w:rsidRPr="00B67327">
        <w:t xml:space="preserve">III </w:t>
      </w:r>
      <w:r w:rsidRPr="00B67327">
        <w:t xml:space="preserve">differs from standard procedures in clinical </w:t>
      </w:r>
      <w:r w:rsidR="00450286" w:rsidRPr="00B67327">
        <w:t>guidance -</w:t>
      </w:r>
      <w:r w:rsidRPr="00B67327">
        <w:t xml:space="preserve"> including ways in which elements of the consultation are recipient-designed– </w:t>
      </w:r>
      <w:r w:rsidR="00450286" w:rsidRPr="00B67327">
        <w:t xml:space="preserve">we </w:t>
      </w:r>
      <w:r w:rsidRPr="00B67327">
        <w:t xml:space="preserve">show there </w:t>
      </w:r>
      <w:r w:rsidR="00DB0F65" w:rsidRPr="00B67327">
        <w:t xml:space="preserve">are </w:t>
      </w:r>
      <w:r w:rsidRPr="00B67327">
        <w:t xml:space="preserve">often </w:t>
      </w:r>
      <w:r w:rsidR="00DB0F65" w:rsidRPr="00B67327">
        <w:t>‘appropriate’ interactional</w:t>
      </w:r>
      <w:r w:rsidRPr="00B67327">
        <w:t xml:space="preserve"> reason</w:t>
      </w:r>
      <w:r w:rsidR="00DB0F65" w:rsidRPr="00B67327">
        <w:t>s</w:t>
      </w:r>
      <w:r w:rsidRPr="00B67327">
        <w:t xml:space="preserve"> for non-standard administration of cognitive examination.</w:t>
      </w:r>
    </w:p>
    <w:p w14:paraId="2ADEAF38" w14:textId="77777777" w:rsidR="00271026" w:rsidRPr="00B67327" w:rsidRDefault="00271026" w:rsidP="00271026">
      <w:pPr>
        <w:spacing w:line="360" w:lineRule="auto"/>
        <w:jc w:val="both"/>
        <w:rPr>
          <w:bCs/>
        </w:rPr>
      </w:pPr>
    </w:p>
    <w:p w14:paraId="3BF4BE00" w14:textId="3A4DAD24" w:rsidR="00271026" w:rsidRPr="00B67327" w:rsidRDefault="00271026" w:rsidP="00271026">
      <w:pPr>
        <w:spacing w:line="360" w:lineRule="auto"/>
        <w:ind w:firstLine="720"/>
        <w:jc w:val="both"/>
        <w:rPr>
          <w:b/>
          <w:bCs/>
        </w:rPr>
      </w:pPr>
      <w:r w:rsidRPr="00B67327">
        <w:rPr>
          <w:b/>
          <w:bCs/>
        </w:rPr>
        <w:t xml:space="preserve">2. Methods </w:t>
      </w:r>
    </w:p>
    <w:p w14:paraId="53105442" w14:textId="38E56281" w:rsidR="0078488C" w:rsidRPr="00B67327" w:rsidRDefault="0078488C" w:rsidP="00F60FD7">
      <w:pPr>
        <w:spacing w:line="360" w:lineRule="auto"/>
        <w:jc w:val="both"/>
        <w:rPr>
          <w:bCs/>
          <w:color w:val="000000"/>
          <w:lang w:eastAsia="en-GB"/>
        </w:rPr>
      </w:pPr>
      <w:r w:rsidRPr="00B67327">
        <w:rPr>
          <w:bCs/>
          <w:color w:val="000000"/>
          <w:lang w:eastAsia="en-GB"/>
        </w:rPr>
        <w:t>The data are video recordings of 105 initial assessment consultations in a specialist neurology-led memory service in the UK. Patients have predominantly been referred by their GPs and these initial consultations typically comprise history-taking, followed by the ACE-</w:t>
      </w:r>
      <w:r w:rsidR="00AB2EB2" w:rsidRPr="00B67327">
        <w:rPr>
          <w:bCs/>
          <w:color w:val="000000"/>
          <w:lang w:eastAsia="en-GB"/>
        </w:rPr>
        <w:t xml:space="preserve">III </w:t>
      </w:r>
      <w:r w:rsidRPr="00B67327">
        <w:rPr>
          <w:bCs/>
          <w:color w:val="000000"/>
          <w:lang w:eastAsia="en-GB"/>
        </w:rPr>
        <w:t>and sometimes a mood questionnaire, and then a brief physical examination.</w:t>
      </w:r>
      <w:r w:rsidR="00AB2EB2" w:rsidRPr="00B67327">
        <w:rPr>
          <w:bCs/>
          <w:color w:val="000000"/>
          <w:lang w:eastAsia="en-GB"/>
        </w:rPr>
        <w:t xml:space="preserve"> </w:t>
      </w:r>
      <w:r w:rsidR="00F60FD7">
        <w:rPr>
          <w:bCs/>
          <w:color w:val="000000"/>
          <w:lang w:eastAsia="en-GB"/>
        </w:rPr>
        <w:t xml:space="preserve">Further diagnostic testing, including a neuropsychology battery and </w:t>
      </w:r>
      <w:r w:rsidR="00F60FD7" w:rsidRPr="00F60FD7">
        <w:rPr>
          <w:bCs/>
          <w:color w:val="000000"/>
          <w:lang w:eastAsia="en-GB"/>
        </w:rPr>
        <w:t>Magnetic Resonance Imaging</w:t>
      </w:r>
      <w:r w:rsidR="00F60FD7">
        <w:rPr>
          <w:bCs/>
          <w:color w:val="000000"/>
          <w:lang w:eastAsia="en-GB"/>
        </w:rPr>
        <w:t xml:space="preserve"> (</w:t>
      </w:r>
      <w:r w:rsidR="00F60FD7" w:rsidRPr="00F60FD7">
        <w:rPr>
          <w:bCs/>
          <w:color w:val="000000"/>
          <w:lang w:eastAsia="en-GB"/>
        </w:rPr>
        <w:t>MRI</w:t>
      </w:r>
      <w:r w:rsidR="00F60FD7">
        <w:rPr>
          <w:bCs/>
          <w:color w:val="000000"/>
          <w:lang w:eastAsia="en-GB"/>
        </w:rPr>
        <w:t>) are completed in a later appointment</w:t>
      </w:r>
      <w:r w:rsidR="00F60FD7" w:rsidRPr="00F60FD7">
        <w:rPr>
          <w:bCs/>
          <w:color w:val="000000"/>
          <w:lang w:eastAsia="en-GB"/>
        </w:rPr>
        <w:t>.</w:t>
      </w:r>
      <w:r w:rsidR="00F60FD7">
        <w:rPr>
          <w:bCs/>
          <w:color w:val="000000"/>
          <w:lang w:eastAsia="en-GB"/>
        </w:rPr>
        <w:t xml:space="preserve"> </w:t>
      </w:r>
      <w:r w:rsidR="00AB2EB2" w:rsidRPr="00B67327">
        <w:rPr>
          <w:bCs/>
          <w:color w:val="000000"/>
          <w:lang w:eastAsia="en-GB"/>
        </w:rPr>
        <w:t xml:space="preserve">The ACE-III is scored out of 100, </w:t>
      </w:r>
      <w:r w:rsidR="00AB2EB2" w:rsidRPr="00B67327">
        <w:rPr>
          <w:bCs/>
          <w:lang w:val="en-US"/>
        </w:rPr>
        <w:t>with the higher score denoting better cognitive function and the cut-off for dementia being 82–88/100 (Crawford</w:t>
      </w:r>
      <w:r w:rsidR="00D260C7">
        <w:rPr>
          <w:bCs/>
          <w:lang w:val="en-US"/>
        </w:rPr>
        <w:t xml:space="preserve"> et al</w:t>
      </w:r>
      <w:r w:rsidR="00AB2EB2" w:rsidRPr="00B67327">
        <w:rPr>
          <w:bCs/>
          <w:lang w:val="en-US"/>
        </w:rPr>
        <w:t xml:space="preserve">, 2012). </w:t>
      </w:r>
      <w:r w:rsidRPr="00B67327">
        <w:rPr>
          <w:bCs/>
          <w:color w:val="000000"/>
          <w:lang w:eastAsia="en-GB"/>
        </w:rPr>
        <w:t>Previous research has focused on the history-taking conversations before patients take the formal cognitive test</w:t>
      </w:r>
      <w:r w:rsidRPr="00B67327">
        <w:rPr>
          <w:bCs/>
          <w:color w:val="000000"/>
          <w:vertAlign w:val="superscript"/>
          <w:lang w:eastAsia="en-GB"/>
        </w:rPr>
        <w:t xml:space="preserve"> </w:t>
      </w:r>
      <w:r w:rsidRPr="00B67327">
        <w:rPr>
          <w:bCs/>
          <w:color w:val="000000"/>
          <w:lang w:eastAsia="en-GB"/>
        </w:rPr>
        <w:t xml:space="preserve">(Elsey et al, 2015; Jones et al, 2016; </w:t>
      </w:r>
      <w:proofErr w:type="spellStart"/>
      <w:r w:rsidRPr="00B67327">
        <w:rPr>
          <w:bCs/>
          <w:color w:val="000000"/>
          <w:lang w:eastAsia="en-GB"/>
        </w:rPr>
        <w:t>Reuber</w:t>
      </w:r>
      <w:proofErr w:type="spellEnd"/>
      <w:r w:rsidRPr="00B67327">
        <w:rPr>
          <w:bCs/>
          <w:color w:val="000000"/>
          <w:lang w:eastAsia="en-GB"/>
        </w:rPr>
        <w:t xml:space="preserve"> et al</w:t>
      </w:r>
      <w:r w:rsidR="00F23D18" w:rsidRPr="00B67327">
        <w:rPr>
          <w:bCs/>
          <w:color w:val="000000"/>
          <w:lang w:eastAsia="en-GB"/>
        </w:rPr>
        <w:t>,</w:t>
      </w:r>
      <w:r w:rsidRPr="00B67327">
        <w:rPr>
          <w:bCs/>
          <w:color w:val="000000"/>
          <w:lang w:eastAsia="en-GB"/>
        </w:rPr>
        <w:t xml:space="preserve"> 2018). The current research focuses on the administration of the ACE-</w:t>
      </w:r>
      <w:r w:rsidR="00AB2EB2" w:rsidRPr="00B67327">
        <w:rPr>
          <w:bCs/>
          <w:color w:val="000000"/>
          <w:lang w:eastAsia="en-GB"/>
        </w:rPr>
        <w:t>III</w:t>
      </w:r>
      <w:r w:rsidRPr="00B67327">
        <w:rPr>
          <w:bCs/>
          <w:color w:val="000000"/>
          <w:lang w:eastAsia="en-GB"/>
        </w:rPr>
        <w:t>. There were 92-recorded occurrences of the ACE-</w:t>
      </w:r>
      <w:r w:rsidR="003A7343" w:rsidRPr="00B67327">
        <w:rPr>
          <w:bCs/>
          <w:color w:val="000000"/>
          <w:lang w:eastAsia="en-GB"/>
        </w:rPr>
        <w:t xml:space="preserve">III </w:t>
      </w:r>
      <w:r w:rsidRPr="00B67327">
        <w:rPr>
          <w:bCs/>
          <w:color w:val="000000"/>
          <w:lang w:eastAsia="en-GB"/>
        </w:rPr>
        <w:t xml:space="preserve">being administered, from which a sample of 40 cases were randomly </w:t>
      </w:r>
      <w:r w:rsidRPr="00B67327">
        <w:rPr>
          <w:bCs/>
          <w:color w:val="000000"/>
          <w:lang w:eastAsia="en-GB"/>
        </w:rPr>
        <w:lastRenderedPageBreak/>
        <w:t xml:space="preserve">selected for detailed analysis. The administration of the test takes on average 15 minutes (the full initial consultation lasts on average approximately 35 minutes). </w:t>
      </w:r>
      <w:r w:rsidR="00662233" w:rsidRPr="00B67327">
        <w:rPr>
          <w:bCs/>
          <w:color w:val="000000"/>
          <w:lang w:eastAsia="en-GB"/>
        </w:rPr>
        <w:t>In the sample consultations there are</w:t>
      </w:r>
      <w:r w:rsidR="00471B0E" w:rsidRPr="00B67327">
        <w:rPr>
          <w:bCs/>
          <w:color w:val="000000"/>
          <w:lang w:eastAsia="en-GB"/>
        </w:rPr>
        <w:t xml:space="preserve"> </w:t>
      </w:r>
      <w:r w:rsidR="00817E45">
        <w:rPr>
          <w:bCs/>
          <w:color w:val="000000"/>
          <w:lang w:eastAsia="en-GB"/>
        </w:rPr>
        <w:t>five</w:t>
      </w:r>
      <w:r w:rsidR="00471B0E" w:rsidRPr="00B67327">
        <w:rPr>
          <w:bCs/>
          <w:color w:val="000000"/>
          <w:lang w:eastAsia="en-GB"/>
        </w:rPr>
        <w:t xml:space="preserve"> different clinicians recorded -</w:t>
      </w:r>
      <w:r w:rsidR="00662233" w:rsidRPr="00B67327">
        <w:rPr>
          <w:bCs/>
          <w:color w:val="000000"/>
          <w:lang w:eastAsia="en-GB"/>
        </w:rPr>
        <w:t xml:space="preserve"> three neurologists and two </w:t>
      </w:r>
      <w:r w:rsidR="00471B0E" w:rsidRPr="00B67327">
        <w:rPr>
          <w:bCs/>
          <w:color w:val="000000"/>
          <w:lang w:eastAsia="en-GB"/>
        </w:rPr>
        <w:t xml:space="preserve">neurology </w:t>
      </w:r>
      <w:r w:rsidR="00662233" w:rsidRPr="00B67327">
        <w:rPr>
          <w:bCs/>
          <w:color w:val="000000"/>
          <w:lang w:eastAsia="en-GB"/>
        </w:rPr>
        <w:t xml:space="preserve">registrars. </w:t>
      </w:r>
      <w:r w:rsidRPr="00B67327">
        <w:rPr>
          <w:bCs/>
          <w:color w:val="000000"/>
          <w:lang w:eastAsia="en-GB"/>
        </w:rPr>
        <w:t xml:space="preserve">The interactions were transcribed in detail, according to the conventions used in Conversation Analysis (CA). </w:t>
      </w:r>
    </w:p>
    <w:p w14:paraId="09D9C7C2" w14:textId="77777777" w:rsidR="008427B8" w:rsidRPr="00B67327" w:rsidRDefault="008427B8" w:rsidP="0065660C">
      <w:pPr>
        <w:spacing w:line="360" w:lineRule="auto"/>
        <w:jc w:val="both"/>
        <w:rPr>
          <w:color w:val="000000"/>
          <w:lang w:eastAsia="en-GB"/>
        </w:rPr>
      </w:pPr>
    </w:p>
    <w:p w14:paraId="2B757BF1" w14:textId="2A770C6E" w:rsidR="008427B8" w:rsidRPr="00B67327" w:rsidRDefault="008427B8" w:rsidP="008427B8">
      <w:pPr>
        <w:spacing w:line="360" w:lineRule="auto"/>
        <w:jc w:val="both"/>
        <w:rPr>
          <w:bCs/>
          <w:color w:val="000000"/>
          <w:lang w:eastAsia="en-GB"/>
        </w:rPr>
      </w:pPr>
      <w:r w:rsidRPr="00B67327">
        <w:rPr>
          <w:bCs/>
          <w:color w:val="000000"/>
          <w:lang w:eastAsia="en-GB"/>
        </w:rPr>
        <w:t>There is now an established body of CA research in medical</w:t>
      </w:r>
      <w:r w:rsidR="00C228FD">
        <w:rPr>
          <w:bCs/>
          <w:color w:val="000000"/>
          <w:lang w:eastAsia="en-GB"/>
        </w:rPr>
        <w:t xml:space="preserve"> </w:t>
      </w:r>
      <w:r w:rsidRPr="00B67327">
        <w:rPr>
          <w:bCs/>
          <w:color w:val="000000"/>
          <w:lang w:eastAsia="en-GB"/>
        </w:rPr>
        <w:t xml:space="preserve">settings (Heritage </w:t>
      </w:r>
      <w:r w:rsidR="00D260C7">
        <w:rPr>
          <w:bCs/>
          <w:color w:val="000000"/>
          <w:lang w:eastAsia="en-GB"/>
        </w:rPr>
        <w:t>and</w:t>
      </w:r>
      <w:r w:rsidRPr="00B67327">
        <w:rPr>
          <w:bCs/>
          <w:color w:val="000000"/>
          <w:lang w:eastAsia="en-GB"/>
        </w:rPr>
        <w:t xml:space="preserve"> Maynard, 2006; Stivers, 2007; Robinson </w:t>
      </w:r>
      <w:r w:rsidR="00D260C7">
        <w:rPr>
          <w:bCs/>
          <w:color w:val="000000"/>
          <w:lang w:eastAsia="en-GB"/>
        </w:rPr>
        <w:t>and</w:t>
      </w:r>
      <w:r w:rsidRPr="00B67327">
        <w:rPr>
          <w:bCs/>
          <w:color w:val="000000"/>
          <w:lang w:eastAsia="en-GB"/>
        </w:rPr>
        <w:t xml:space="preserve"> Heritage, 2014; </w:t>
      </w:r>
      <w:proofErr w:type="spellStart"/>
      <w:r w:rsidRPr="00B67327">
        <w:rPr>
          <w:bCs/>
          <w:color w:val="000000"/>
          <w:lang w:eastAsia="en-GB"/>
        </w:rPr>
        <w:t>Leydon</w:t>
      </w:r>
      <w:proofErr w:type="spellEnd"/>
      <w:r w:rsidRPr="00B67327">
        <w:rPr>
          <w:bCs/>
          <w:color w:val="000000"/>
          <w:lang w:eastAsia="en-GB"/>
        </w:rPr>
        <w:t xml:space="preserve"> </w:t>
      </w:r>
      <w:r w:rsidR="00D260C7">
        <w:rPr>
          <w:bCs/>
          <w:color w:val="000000"/>
          <w:lang w:eastAsia="en-GB"/>
        </w:rPr>
        <w:t>and</w:t>
      </w:r>
      <w:r w:rsidRPr="00B67327">
        <w:rPr>
          <w:bCs/>
          <w:color w:val="000000"/>
          <w:lang w:eastAsia="en-GB"/>
        </w:rPr>
        <w:t xml:space="preserve"> Barnes, 2020) which has identified patterns of language and interaction that inform practice (Heritage et al, 2007; Wilkinson, 2013), medical assessment (Heritage </w:t>
      </w:r>
      <w:r w:rsidR="00D260C7">
        <w:rPr>
          <w:bCs/>
          <w:color w:val="000000"/>
          <w:lang w:eastAsia="en-GB"/>
        </w:rPr>
        <w:t>and</w:t>
      </w:r>
      <w:r w:rsidRPr="00B67327">
        <w:rPr>
          <w:bCs/>
          <w:color w:val="000000"/>
          <w:lang w:eastAsia="en-GB"/>
        </w:rPr>
        <w:t xml:space="preserve"> Stivers, 1999; </w:t>
      </w:r>
      <w:proofErr w:type="spellStart"/>
      <w:r w:rsidRPr="00B67327">
        <w:rPr>
          <w:bCs/>
          <w:color w:val="000000"/>
          <w:lang w:eastAsia="en-GB"/>
        </w:rPr>
        <w:t>Reuber</w:t>
      </w:r>
      <w:proofErr w:type="spellEnd"/>
      <w:r w:rsidRPr="00B67327">
        <w:rPr>
          <w:bCs/>
          <w:color w:val="000000"/>
          <w:lang w:eastAsia="en-GB"/>
        </w:rPr>
        <w:t xml:space="preserve"> et al, 2009) and treatment recommendations (Stivers, 2002; Stivers </w:t>
      </w:r>
      <w:r w:rsidR="00D260C7">
        <w:rPr>
          <w:bCs/>
          <w:color w:val="000000"/>
          <w:lang w:eastAsia="en-GB"/>
        </w:rPr>
        <w:t>and</w:t>
      </w:r>
      <w:r w:rsidRPr="00B67327">
        <w:rPr>
          <w:bCs/>
          <w:color w:val="000000"/>
          <w:lang w:eastAsia="en-GB"/>
        </w:rPr>
        <w:t xml:space="preserve"> Barnes, 2018</w:t>
      </w:r>
      <w:r w:rsidR="00C32F82">
        <w:rPr>
          <w:bCs/>
          <w:color w:val="000000"/>
          <w:lang w:eastAsia="en-GB"/>
        </w:rPr>
        <w:t>;</w:t>
      </w:r>
      <w:r w:rsidR="003654AA">
        <w:rPr>
          <w:bCs/>
          <w:color w:val="000000"/>
          <w:lang w:eastAsia="en-GB"/>
        </w:rPr>
        <w:t xml:space="preserve"> </w:t>
      </w:r>
      <w:proofErr w:type="spellStart"/>
      <w:r w:rsidR="00C32F82" w:rsidRPr="00C32F82">
        <w:rPr>
          <w:bCs/>
          <w:color w:val="000000"/>
          <w:lang w:eastAsia="en-GB"/>
        </w:rPr>
        <w:t>Toerien</w:t>
      </w:r>
      <w:proofErr w:type="spellEnd"/>
      <w:r w:rsidR="00C32F82" w:rsidRPr="00C32F82">
        <w:rPr>
          <w:bCs/>
          <w:color w:val="000000"/>
          <w:lang w:eastAsia="en-GB"/>
        </w:rPr>
        <w:t>, 2021</w:t>
      </w:r>
      <w:r w:rsidRPr="00B67327">
        <w:rPr>
          <w:bCs/>
          <w:color w:val="000000"/>
          <w:lang w:eastAsia="en-GB"/>
        </w:rPr>
        <w:t xml:space="preserve">). CA is also used to examine closely the various communicative formats used to ‘deliver’ medically relevant actions, such as diagnosis (Heath, 1992; </w:t>
      </w:r>
      <w:proofErr w:type="spellStart"/>
      <w:r w:rsidRPr="00B67327">
        <w:rPr>
          <w:bCs/>
          <w:color w:val="000000"/>
          <w:lang w:eastAsia="en-GB"/>
        </w:rPr>
        <w:t>Per</w:t>
      </w:r>
      <w:r w:rsidR="00817E45">
        <w:rPr>
          <w:bCs/>
          <w:color w:val="000000"/>
          <w:lang w:eastAsia="en-GB"/>
        </w:rPr>
        <w:t>äk</w:t>
      </w:r>
      <w:r w:rsidRPr="00B67327">
        <w:rPr>
          <w:bCs/>
          <w:color w:val="000000"/>
          <w:lang w:eastAsia="en-GB"/>
        </w:rPr>
        <w:t>yl</w:t>
      </w:r>
      <w:r w:rsidR="00817E45">
        <w:rPr>
          <w:bCs/>
          <w:color w:val="000000"/>
          <w:lang w:eastAsia="en-GB"/>
        </w:rPr>
        <w:t>ä</w:t>
      </w:r>
      <w:proofErr w:type="spellEnd"/>
      <w:r w:rsidRPr="00B67327">
        <w:rPr>
          <w:bCs/>
          <w:color w:val="000000"/>
          <w:lang w:eastAsia="en-GB"/>
        </w:rPr>
        <w:t>, 1998; Maynard, 2017) – including dementia diagnoses (Dooley et al, 2018), as well as to explore linguistic and interaction</w:t>
      </w:r>
      <w:r w:rsidR="00A51194">
        <w:rPr>
          <w:bCs/>
          <w:color w:val="000000"/>
          <w:lang w:eastAsia="en-GB"/>
        </w:rPr>
        <w:t>al</w:t>
      </w:r>
      <w:r w:rsidRPr="00B67327">
        <w:rPr>
          <w:bCs/>
          <w:color w:val="000000"/>
          <w:lang w:eastAsia="en-GB"/>
        </w:rPr>
        <w:t xml:space="preserve"> patter</w:t>
      </w:r>
      <w:r w:rsidR="00306463" w:rsidRPr="00B67327">
        <w:rPr>
          <w:bCs/>
          <w:color w:val="000000"/>
          <w:lang w:eastAsia="en-GB"/>
        </w:rPr>
        <w:t>n</w:t>
      </w:r>
      <w:r w:rsidRPr="00B67327">
        <w:rPr>
          <w:bCs/>
          <w:color w:val="000000"/>
          <w:lang w:eastAsia="en-GB"/>
        </w:rPr>
        <w:t xml:space="preserve">s that can help clinicians to establish differential diagnosis (Elsey et al, 2015; Jones et al, 2016; </w:t>
      </w:r>
      <w:proofErr w:type="spellStart"/>
      <w:r w:rsidRPr="00B67327">
        <w:rPr>
          <w:bCs/>
          <w:color w:val="000000"/>
          <w:lang w:eastAsia="en-GB"/>
        </w:rPr>
        <w:t>Reuber</w:t>
      </w:r>
      <w:proofErr w:type="spellEnd"/>
      <w:r w:rsidRPr="00B67327">
        <w:rPr>
          <w:bCs/>
          <w:color w:val="000000"/>
          <w:lang w:eastAsia="en-GB"/>
        </w:rPr>
        <w:t xml:space="preserve"> et al 2018). </w:t>
      </w:r>
      <w:r w:rsidR="0033659F" w:rsidRPr="00B67327">
        <w:rPr>
          <w:bCs/>
          <w:color w:val="000000"/>
          <w:lang w:eastAsia="en-GB"/>
        </w:rPr>
        <w:t>In this study, we</w:t>
      </w:r>
      <w:r w:rsidR="009911F1" w:rsidRPr="00B67327">
        <w:rPr>
          <w:bCs/>
          <w:color w:val="000000"/>
          <w:lang w:eastAsia="en-GB"/>
        </w:rPr>
        <w:t xml:space="preserve"> draw on conversation analytic methods to</w:t>
      </w:r>
      <w:r w:rsidR="0033659F" w:rsidRPr="00B67327">
        <w:rPr>
          <w:bCs/>
          <w:color w:val="000000"/>
          <w:lang w:eastAsia="en-GB"/>
        </w:rPr>
        <w:t xml:space="preserve"> examine recordings of clinicians and patients </w:t>
      </w:r>
      <w:r w:rsidR="00804FC2" w:rsidRPr="00B67327">
        <w:rPr>
          <w:bCs/>
          <w:color w:val="000000"/>
          <w:lang w:eastAsia="en-GB"/>
        </w:rPr>
        <w:t xml:space="preserve">completing </w:t>
      </w:r>
      <w:r w:rsidR="0033659F" w:rsidRPr="00B67327">
        <w:rPr>
          <w:bCs/>
          <w:color w:val="000000"/>
          <w:lang w:eastAsia="en-GB"/>
        </w:rPr>
        <w:t>the ACE-III.</w:t>
      </w:r>
    </w:p>
    <w:p w14:paraId="57B1BD8D" w14:textId="77777777" w:rsidR="00307176" w:rsidRPr="00B67327" w:rsidRDefault="00307176" w:rsidP="00307176">
      <w:pPr>
        <w:spacing w:line="360" w:lineRule="auto"/>
      </w:pPr>
    </w:p>
    <w:p w14:paraId="58C1B78B" w14:textId="5AC56AFF" w:rsidR="00307176" w:rsidRPr="00B67327" w:rsidRDefault="0065660C" w:rsidP="00271026">
      <w:pPr>
        <w:pStyle w:val="ListParagraph"/>
        <w:numPr>
          <w:ilvl w:val="0"/>
          <w:numId w:val="28"/>
        </w:numPr>
        <w:spacing w:line="360" w:lineRule="auto"/>
        <w:rPr>
          <w:b/>
        </w:rPr>
      </w:pPr>
      <w:r w:rsidRPr="00B67327">
        <w:rPr>
          <w:b/>
        </w:rPr>
        <w:t>Analysis</w:t>
      </w:r>
    </w:p>
    <w:p w14:paraId="0B9BE3AD" w14:textId="77777777" w:rsidR="00AF72CF" w:rsidRPr="00B67327" w:rsidRDefault="00AF72CF" w:rsidP="00307176">
      <w:pPr>
        <w:spacing w:line="360" w:lineRule="auto"/>
        <w:jc w:val="both"/>
      </w:pPr>
    </w:p>
    <w:p w14:paraId="0E4158B3" w14:textId="7D83E5A0" w:rsidR="003D2371" w:rsidRPr="00B67327" w:rsidRDefault="00EE3B8C" w:rsidP="00CC2A27">
      <w:pPr>
        <w:spacing w:line="360" w:lineRule="auto"/>
        <w:jc w:val="both"/>
        <w:rPr>
          <w:bCs/>
        </w:rPr>
      </w:pPr>
      <w:r w:rsidRPr="00B67327">
        <w:t>Our earlier work (</w:t>
      </w:r>
      <w:r w:rsidR="00B044BA" w:rsidRPr="00B67327">
        <w:t>Jones et al</w:t>
      </w:r>
      <w:r w:rsidRPr="00B67327">
        <w:t>.,</w:t>
      </w:r>
      <w:r w:rsidR="00DD799F" w:rsidRPr="00B67327">
        <w:t xml:space="preserve"> 2020</w:t>
      </w:r>
      <w:r w:rsidR="00B044BA" w:rsidRPr="00B67327">
        <w:t>)</w:t>
      </w:r>
      <w:r w:rsidR="00DD799F" w:rsidRPr="00B67327">
        <w:t xml:space="preserve"> </w:t>
      </w:r>
      <w:r w:rsidRPr="00B67327">
        <w:rPr>
          <w:bCs/>
          <w:lang w:val="en-US"/>
        </w:rPr>
        <w:t>revealed</w:t>
      </w:r>
      <w:r w:rsidR="00307176" w:rsidRPr="00B67327">
        <w:rPr>
          <w:bCs/>
          <w:lang w:val="en-US"/>
        </w:rPr>
        <w:t xml:space="preserve"> interactional </w:t>
      </w:r>
      <w:r w:rsidR="00307176" w:rsidRPr="00B67327">
        <w:rPr>
          <w:bCs/>
          <w:i/>
          <w:lang w:val="en-US"/>
        </w:rPr>
        <w:t>variations</w:t>
      </w:r>
      <w:r w:rsidR="00AF72CF" w:rsidRPr="00B67327">
        <w:rPr>
          <w:bCs/>
          <w:i/>
          <w:lang w:val="en-US"/>
        </w:rPr>
        <w:t xml:space="preserve"> </w:t>
      </w:r>
      <w:r w:rsidR="00DD799F" w:rsidRPr="00B67327">
        <w:rPr>
          <w:bCs/>
          <w:lang w:val="en-US"/>
        </w:rPr>
        <w:t>in the administration of the ACE-</w:t>
      </w:r>
      <w:r w:rsidR="009911F1" w:rsidRPr="00B67327">
        <w:rPr>
          <w:bCs/>
          <w:lang w:val="en-US"/>
        </w:rPr>
        <w:t>III</w:t>
      </w:r>
      <w:r w:rsidR="00A51194">
        <w:rPr>
          <w:bCs/>
          <w:lang w:val="en-US"/>
        </w:rPr>
        <w:t xml:space="preserve"> (</w:t>
      </w:r>
      <w:r w:rsidRPr="00B67327">
        <w:rPr>
          <w:bCs/>
          <w:lang w:val="en-US"/>
        </w:rPr>
        <w:t>e.g.</w:t>
      </w:r>
      <w:r w:rsidR="009911F1" w:rsidRPr="00B67327">
        <w:rPr>
          <w:bCs/>
          <w:lang w:val="en-US"/>
        </w:rPr>
        <w:t>,</w:t>
      </w:r>
      <w:r w:rsidR="00DD799F" w:rsidRPr="00B67327">
        <w:rPr>
          <w:bCs/>
          <w:i/>
          <w:lang w:val="en-US"/>
        </w:rPr>
        <w:t xml:space="preserve"> </w:t>
      </w:r>
      <w:r w:rsidRPr="00B67327">
        <w:rPr>
          <w:bCs/>
          <w:lang w:val="en-US"/>
        </w:rPr>
        <w:t xml:space="preserve">in the ways that </w:t>
      </w:r>
      <w:r w:rsidR="00AF72CF" w:rsidRPr="00B67327">
        <w:rPr>
          <w:bCs/>
        </w:rPr>
        <w:t>clinicians introduce the test</w:t>
      </w:r>
      <w:r w:rsidR="00A51194">
        <w:rPr>
          <w:bCs/>
        </w:rPr>
        <w:t>)</w:t>
      </w:r>
      <w:r w:rsidRPr="00B67327">
        <w:rPr>
          <w:bCs/>
        </w:rPr>
        <w:t>,</w:t>
      </w:r>
      <w:r w:rsidR="00AF72CF" w:rsidRPr="00B67327">
        <w:rPr>
          <w:bCs/>
        </w:rPr>
        <w:t xml:space="preserve"> and </w:t>
      </w:r>
      <w:r w:rsidRPr="00B67327">
        <w:rPr>
          <w:bCs/>
          <w:i/>
          <w:iCs/>
        </w:rPr>
        <w:t>deviations</w:t>
      </w:r>
      <w:r w:rsidRPr="00B67327">
        <w:rPr>
          <w:bCs/>
        </w:rPr>
        <w:t xml:space="preserve"> </w:t>
      </w:r>
      <w:r w:rsidR="00AF72CF" w:rsidRPr="00B67327">
        <w:rPr>
          <w:bCs/>
          <w:lang w:val="en-US"/>
        </w:rPr>
        <w:t>from the (quasi) scripted guidance designed to ensure standardization</w:t>
      </w:r>
      <w:r w:rsidR="003D2371" w:rsidRPr="00B67327">
        <w:rPr>
          <w:bCs/>
          <w:lang w:val="en-US"/>
        </w:rPr>
        <w:t xml:space="preserve">. </w:t>
      </w:r>
      <w:r w:rsidR="00D00F75" w:rsidRPr="00B67327">
        <w:rPr>
          <w:bCs/>
          <w:lang w:val="en-US"/>
        </w:rPr>
        <w:t xml:space="preserve">We </w:t>
      </w:r>
      <w:r w:rsidRPr="00B67327">
        <w:rPr>
          <w:bCs/>
          <w:lang w:val="en-US"/>
        </w:rPr>
        <w:t>showed</w:t>
      </w:r>
      <w:r w:rsidR="00D00F75" w:rsidRPr="00B67327">
        <w:rPr>
          <w:bCs/>
          <w:lang w:val="en-US"/>
        </w:rPr>
        <w:t xml:space="preserve"> </w:t>
      </w:r>
      <w:r w:rsidRPr="00B67327">
        <w:rPr>
          <w:bCs/>
          <w:lang w:val="en-US"/>
        </w:rPr>
        <w:t xml:space="preserve">that </w:t>
      </w:r>
      <w:r w:rsidR="003D2371" w:rsidRPr="00B67327">
        <w:rPr>
          <w:bCs/>
          <w:lang w:val="en-US"/>
        </w:rPr>
        <w:t xml:space="preserve">clinicians appear </w:t>
      </w:r>
      <w:r w:rsidR="00DD799F" w:rsidRPr="00B67327">
        <w:rPr>
          <w:bCs/>
          <w:lang w:val="en-US"/>
        </w:rPr>
        <w:t>to</w:t>
      </w:r>
      <w:r w:rsidRPr="00B67327">
        <w:rPr>
          <w:bCs/>
          <w:lang w:val="en-US"/>
        </w:rPr>
        <w:t xml:space="preserve"> </w:t>
      </w:r>
      <w:r w:rsidR="003D2371" w:rsidRPr="00B67327">
        <w:rPr>
          <w:bCs/>
          <w:lang w:val="en-US"/>
        </w:rPr>
        <w:t>design</w:t>
      </w:r>
      <w:r w:rsidRPr="00B67327">
        <w:rPr>
          <w:bCs/>
          <w:lang w:val="en-US"/>
        </w:rPr>
        <w:t xml:space="preserve"> </w:t>
      </w:r>
      <w:r w:rsidR="003D2371" w:rsidRPr="00B67327">
        <w:rPr>
          <w:bCs/>
          <w:lang w:val="en-US"/>
        </w:rPr>
        <w:t>the questions in ways that reflect or account for patient</w:t>
      </w:r>
      <w:r w:rsidRPr="00B67327">
        <w:rPr>
          <w:bCs/>
          <w:lang w:val="en-US"/>
        </w:rPr>
        <w:t>s</w:t>
      </w:r>
      <w:r w:rsidR="003D2371" w:rsidRPr="00B67327">
        <w:rPr>
          <w:bCs/>
          <w:lang w:val="en-US"/>
        </w:rPr>
        <w:t xml:space="preserve">’ perceived abilities. </w:t>
      </w:r>
      <w:r w:rsidR="00C51CE0" w:rsidRPr="00B67327">
        <w:rPr>
          <w:bCs/>
          <w:lang w:val="en-US"/>
        </w:rPr>
        <w:t>Here,</w:t>
      </w:r>
      <w:r w:rsidR="009911F1" w:rsidRPr="00B67327">
        <w:rPr>
          <w:bCs/>
          <w:lang w:val="en-US"/>
        </w:rPr>
        <w:t xml:space="preserve"> as outlined above,</w:t>
      </w:r>
      <w:r w:rsidR="00C51CE0" w:rsidRPr="00B67327">
        <w:rPr>
          <w:bCs/>
          <w:lang w:val="en-US"/>
        </w:rPr>
        <w:t xml:space="preserve"> w</w:t>
      </w:r>
      <w:r w:rsidR="003D2371" w:rsidRPr="00B67327">
        <w:rPr>
          <w:bCs/>
          <w:lang w:val="en-US"/>
        </w:rPr>
        <w:t xml:space="preserve">e will </w:t>
      </w:r>
      <w:r w:rsidR="006D63FB">
        <w:rPr>
          <w:bCs/>
          <w:lang w:val="en-US"/>
        </w:rPr>
        <w:t xml:space="preserve">start by </w:t>
      </w:r>
      <w:r w:rsidR="00C51CE0" w:rsidRPr="00B67327">
        <w:rPr>
          <w:bCs/>
          <w:lang w:val="en-US"/>
        </w:rPr>
        <w:t>further explor</w:t>
      </w:r>
      <w:r w:rsidR="006D63FB">
        <w:rPr>
          <w:bCs/>
          <w:lang w:val="en-US"/>
        </w:rPr>
        <w:t>ing</w:t>
      </w:r>
      <w:r w:rsidR="00C51CE0" w:rsidRPr="00B67327">
        <w:rPr>
          <w:bCs/>
          <w:lang w:val="en-US"/>
        </w:rPr>
        <w:t xml:space="preserve"> interactional variation and deviation</w:t>
      </w:r>
      <w:r w:rsidR="00ED55F2">
        <w:rPr>
          <w:bCs/>
          <w:lang w:val="en-US"/>
        </w:rPr>
        <w:t xml:space="preserve"> during the introduction to the test</w:t>
      </w:r>
      <w:r w:rsidR="006D63FB">
        <w:rPr>
          <w:bCs/>
          <w:lang w:val="en-US"/>
        </w:rPr>
        <w:t>.</w:t>
      </w:r>
    </w:p>
    <w:p w14:paraId="70496E24" w14:textId="77777777" w:rsidR="003D2371" w:rsidRPr="00B67327" w:rsidRDefault="003D2371" w:rsidP="00CC2A27">
      <w:pPr>
        <w:spacing w:line="360" w:lineRule="auto"/>
        <w:jc w:val="both"/>
        <w:rPr>
          <w:bCs/>
        </w:rPr>
      </w:pPr>
    </w:p>
    <w:p w14:paraId="4C13518A" w14:textId="6D3C52A7" w:rsidR="003D2371" w:rsidRPr="00B67327" w:rsidRDefault="003D2371" w:rsidP="00CC2A27">
      <w:pPr>
        <w:spacing w:line="360" w:lineRule="auto"/>
        <w:jc w:val="both"/>
        <w:rPr>
          <w:bCs/>
        </w:rPr>
      </w:pPr>
      <w:r w:rsidRPr="00B67327">
        <w:rPr>
          <w:bCs/>
          <w:i/>
        </w:rPr>
        <w:t xml:space="preserve">3.1 Interactional </w:t>
      </w:r>
      <w:r w:rsidR="00A51194">
        <w:rPr>
          <w:bCs/>
          <w:i/>
        </w:rPr>
        <w:t>v</w:t>
      </w:r>
      <w:r w:rsidRPr="00B67327">
        <w:rPr>
          <w:bCs/>
          <w:i/>
        </w:rPr>
        <w:t>ariation: Introduction of the memory assessment</w:t>
      </w:r>
    </w:p>
    <w:p w14:paraId="090EA155" w14:textId="1CDE0995" w:rsidR="009B35E0" w:rsidRPr="00B67327" w:rsidRDefault="00B044BA" w:rsidP="00CC2A27">
      <w:pPr>
        <w:spacing w:line="360" w:lineRule="auto"/>
        <w:jc w:val="both"/>
        <w:rPr>
          <w:bCs/>
        </w:rPr>
      </w:pPr>
      <w:r w:rsidRPr="00B67327">
        <w:rPr>
          <w:bCs/>
        </w:rPr>
        <w:t xml:space="preserve">There </w:t>
      </w:r>
      <w:r w:rsidR="00FD462B" w:rsidRPr="00B67327">
        <w:rPr>
          <w:bCs/>
        </w:rPr>
        <w:t xml:space="preserve">is </w:t>
      </w:r>
      <w:r w:rsidR="00FD462B" w:rsidRPr="00B67327">
        <w:rPr>
          <w:bCs/>
          <w:i/>
        </w:rPr>
        <w:t>variation</w:t>
      </w:r>
      <w:r w:rsidR="00FD462B" w:rsidRPr="00B67327">
        <w:rPr>
          <w:bCs/>
        </w:rPr>
        <w:t xml:space="preserve"> in the manner </w:t>
      </w:r>
      <w:r w:rsidR="002F5EE2" w:rsidRPr="00B67327">
        <w:rPr>
          <w:bCs/>
        </w:rPr>
        <w:t>clinicians’</w:t>
      </w:r>
      <w:r w:rsidR="00FD462B" w:rsidRPr="00B67327">
        <w:rPr>
          <w:bCs/>
        </w:rPr>
        <w:t xml:space="preserve"> transition from the history-taking phase of the consultation to administering the ACE-</w:t>
      </w:r>
      <w:r w:rsidR="00B53EAF">
        <w:rPr>
          <w:bCs/>
        </w:rPr>
        <w:t>III</w:t>
      </w:r>
      <w:r w:rsidR="00B53EAF" w:rsidRPr="00B67327">
        <w:rPr>
          <w:bCs/>
        </w:rPr>
        <w:t xml:space="preserve"> </w:t>
      </w:r>
      <w:r w:rsidRPr="00B67327">
        <w:rPr>
          <w:bCs/>
        </w:rPr>
        <w:t>(Jones et al, 2020</w:t>
      </w:r>
      <w:r w:rsidR="00D129AE" w:rsidRPr="00B67327">
        <w:rPr>
          <w:bCs/>
        </w:rPr>
        <w:t>)</w:t>
      </w:r>
      <w:r w:rsidR="00FD462B" w:rsidRPr="00B67327">
        <w:rPr>
          <w:bCs/>
        </w:rPr>
        <w:t>. History</w:t>
      </w:r>
      <w:r w:rsidR="00C228FD">
        <w:rPr>
          <w:bCs/>
        </w:rPr>
        <w:t>-</w:t>
      </w:r>
      <w:r w:rsidR="00FD462B" w:rsidRPr="00B67327">
        <w:rPr>
          <w:bCs/>
        </w:rPr>
        <w:t>taking</w:t>
      </w:r>
      <w:r w:rsidR="002F3780" w:rsidRPr="00B67327">
        <w:rPr>
          <w:bCs/>
        </w:rPr>
        <w:t xml:space="preserve"> </w:t>
      </w:r>
      <w:r w:rsidR="00C51CE0" w:rsidRPr="00B67327">
        <w:rPr>
          <w:bCs/>
        </w:rPr>
        <w:t xml:space="preserve">involves </w:t>
      </w:r>
      <w:r w:rsidR="00FD462B" w:rsidRPr="00B67327">
        <w:rPr>
          <w:bCs/>
        </w:rPr>
        <w:t xml:space="preserve">between 10-20 minutes </w:t>
      </w:r>
      <w:r w:rsidR="00C51CE0" w:rsidRPr="00B67327">
        <w:rPr>
          <w:bCs/>
        </w:rPr>
        <w:t>of</w:t>
      </w:r>
      <w:r w:rsidR="00FD462B" w:rsidRPr="00B67327">
        <w:rPr>
          <w:bCs/>
        </w:rPr>
        <w:t xml:space="preserve"> </w:t>
      </w:r>
      <w:r w:rsidR="00C51CE0" w:rsidRPr="00B67327">
        <w:rPr>
          <w:bCs/>
        </w:rPr>
        <w:t>clinician-led</w:t>
      </w:r>
      <w:r w:rsidR="00FD462B" w:rsidRPr="00B67327">
        <w:rPr>
          <w:bCs/>
        </w:rPr>
        <w:t xml:space="preserve"> questions </w:t>
      </w:r>
      <w:proofErr w:type="gramStart"/>
      <w:r w:rsidR="00FD462B" w:rsidRPr="00B67327">
        <w:rPr>
          <w:bCs/>
        </w:rPr>
        <w:t>in order to</w:t>
      </w:r>
      <w:proofErr w:type="gramEnd"/>
      <w:r w:rsidR="00FD462B" w:rsidRPr="00B67327">
        <w:rPr>
          <w:bCs/>
        </w:rPr>
        <w:t xml:space="preserve"> understand the p</w:t>
      </w:r>
      <w:r w:rsidR="00C228FD">
        <w:rPr>
          <w:bCs/>
        </w:rPr>
        <w:t>erson</w:t>
      </w:r>
      <w:r w:rsidR="00FD462B" w:rsidRPr="00B67327">
        <w:rPr>
          <w:bCs/>
        </w:rPr>
        <w:t xml:space="preserve">’s background and their current concerns. There is no guidance on how to </w:t>
      </w:r>
      <w:r w:rsidR="00C228FD" w:rsidRPr="00B67327">
        <w:rPr>
          <w:bCs/>
        </w:rPr>
        <w:t>in</w:t>
      </w:r>
      <w:r w:rsidR="00C228FD">
        <w:rPr>
          <w:bCs/>
        </w:rPr>
        <w:t>troduce</w:t>
      </w:r>
      <w:r w:rsidR="00C228FD" w:rsidRPr="00B67327">
        <w:rPr>
          <w:bCs/>
        </w:rPr>
        <w:t xml:space="preserve"> </w:t>
      </w:r>
      <w:r w:rsidR="00FD462B" w:rsidRPr="00B67327">
        <w:rPr>
          <w:bCs/>
        </w:rPr>
        <w:t xml:space="preserve">the </w:t>
      </w:r>
      <w:r w:rsidR="00C228FD">
        <w:rPr>
          <w:bCs/>
        </w:rPr>
        <w:t xml:space="preserve">test </w:t>
      </w:r>
      <w:r w:rsidR="00FD462B" w:rsidRPr="00B67327">
        <w:rPr>
          <w:bCs/>
        </w:rPr>
        <w:t xml:space="preserve">and each clinician completes this differently. Furthermore, </w:t>
      </w:r>
      <w:r w:rsidR="00134364">
        <w:rPr>
          <w:bCs/>
        </w:rPr>
        <w:t xml:space="preserve">as </w:t>
      </w:r>
      <w:r w:rsidRPr="00B67327">
        <w:rPr>
          <w:bCs/>
        </w:rPr>
        <w:t xml:space="preserve">Jones </w:t>
      </w:r>
      <w:r w:rsidRPr="00B67327">
        <w:rPr>
          <w:bCs/>
        </w:rPr>
        <w:lastRenderedPageBreak/>
        <w:t>et al, (2020) showed</w:t>
      </w:r>
      <w:r w:rsidR="00134364">
        <w:rPr>
          <w:bCs/>
        </w:rPr>
        <w:t xml:space="preserve">, </w:t>
      </w:r>
      <w:r w:rsidR="00FD462B" w:rsidRPr="00B67327">
        <w:rPr>
          <w:bCs/>
        </w:rPr>
        <w:t>v</w:t>
      </w:r>
      <w:r w:rsidR="003D2371" w:rsidRPr="00B67327">
        <w:rPr>
          <w:bCs/>
        </w:rPr>
        <w:t>ariations in the introduction of the test appear to have implications for patients</w:t>
      </w:r>
      <w:r w:rsidR="00C51CE0" w:rsidRPr="00B67327">
        <w:rPr>
          <w:bCs/>
        </w:rPr>
        <w:t>’</w:t>
      </w:r>
      <w:r w:rsidR="003D2371" w:rsidRPr="00B67327">
        <w:rPr>
          <w:bCs/>
        </w:rPr>
        <w:t xml:space="preserve"> understanding</w:t>
      </w:r>
      <w:r w:rsidR="00C51CE0" w:rsidRPr="00B67327">
        <w:rPr>
          <w:bCs/>
        </w:rPr>
        <w:t xml:space="preserve">, with some patients </w:t>
      </w:r>
      <w:r w:rsidR="003D2371" w:rsidRPr="00B67327">
        <w:rPr>
          <w:bCs/>
        </w:rPr>
        <w:t>display</w:t>
      </w:r>
      <w:r w:rsidR="00C51CE0" w:rsidRPr="00B67327">
        <w:rPr>
          <w:bCs/>
        </w:rPr>
        <w:t>ing uncertainty</w:t>
      </w:r>
      <w:r w:rsidR="003D2371" w:rsidRPr="00B67327">
        <w:rPr>
          <w:bCs/>
        </w:rPr>
        <w:t xml:space="preserve"> </w:t>
      </w:r>
      <w:r w:rsidR="00A51194">
        <w:rPr>
          <w:bCs/>
        </w:rPr>
        <w:t xml:space="preserve">as evident </w:t>
      </w:r>
      <w:r w:rsidR="003D2371" w:rsidRPr="00B67327">
        <w:rPr>
          <w:bCs/>
        </w:rPr>
        <w:t>within</w:t>
      </w:r>
      <w:r w:rsidR="00A51194">
        <w:rPr>
          <w:bCs/>
        </w:rPr>
        <w:t xml:space="preserve"> </w:t>
      </w:r>
      <w:r w:rsidR="003D2371" w:rsidRPr="00B67327">
        <w:rPr>
          <w:bCs/>
        </w:rPr>
        <w:t>their embodied or verbal reactions</w:t>
      </w:r>
      <w:r w:rsidR="00FD462B" w:rsidRPr="00B67327">
        <w:rPr>
          <w:bCs/>
        </w:rPr>
        <w:t>. For example, some clinician</w:t>
      </w:r>
      <w:r w:rsidR="009C5054" w:rsidRPr="00B67327">
        <w:rPr>
          <w:bCs/>
        </w:rPr>
        <w:t>s</w:t>
      </w:r>
      <w:r w:rsidR="00FD462B" w:rsidRPr="00B67327">
        <w:rPr>
          <w:bCs/>
        </w:rPr>
        <w:t xml:space="preserve"> do</w:t>
      </w:r>
      <w:r w:rsidR="00C51CE0" w:rsidRPr="00B67327">
        <w:rPr>
          <w:bCs/>
        </w:rPr>
        <w:t xml:space="preserve"> </w:t>
      </w:r>
      <w:r w:rsidR="00FD462B" w:rsidRPr="00B67327">
        <w:rPr>
          <w:bCs/>
        </w:rPr>
        <w:t>n</w:t>
      </w:r>
      <w:r w:rsidR="00C51CE0" w:rsidRPr="00B67327">
        <w:rPr>
          <w:bCs/>
        </w:rPr>
        <w:t>o</w:t>
      </w:r>
      <w:r w:rsidR="00FD462B" w:rsidRPr="00B67327">
        <w:rPr>
          <w:bCs/>
        </w:rPr>
        <w:t>t</w:t>
      </w:r>
      <w:r w:rsidR="00CC2A27" w:rsidRPr="00B67327">
        <w:rPr>
          <w:bCs/>
        </w:rPr>
        <w:t xml:space="preserve"> mention the test </w:t>
      </w:r>
      <w:r w:rsidR="009B35E0" w:rsidRPr="00B67327">
        <w:rPr>
          <w:bCs/>
        </w:rPr>
        <w:t>explicitly at all</w:t>
      </w:r>
      <w:r w:rsidR="00107378">
        <w:rPr>
          <w:bCs/>
        </w:rPr>
        <w:t xml:space="preserve"> during the consultation itself</w:t>
      </w:r>
      <w:r w:rsidR="00CC2A27" w:rsidRPr="00B67327">
        <w:rPr>
          <w:bCs/>
        </w:rPr>
        <w:t xml:space="preserve">, </w:t>
      </w:r>
      <w:r w:rsidR="00FD462B" w:rsidRPr="00B67327">
        <w:rPr>
          <w:bCs/>
        </w:rPr>
        <w:t>saying,</w:t>
      </w:r>
      <w:r w:rsidR="00C51CE0" w:rsidRPr="00B67327">
        <w:rPr>
          <w:bCs/>
        </w:rPr>
        <w:t xml:space="preserve"> for instance,</w:t>
      </w:r>
      <w:r w:rsidR="00FD462B" w:rsidRPr="00B67327">
        <w:rPr>
          <w:bCs/>
        </w:rPr>
        <w:t xml:space="preserve"> “</w:t>
      </w:r>
      <w:r w:rsidR="002F3780" w:rsidRPr="00B67327">
        <w:rPr>
          <w:bCs/>
        </w:rPr>
        <w:t xml:space="preserve">We’ll just </w:t>
      </w:r>
      <w:r w:rsidR="00FD462B" w:rsidRPr="00B67327">
        <w:rPr>
          <w:bCs/>
        </w:rPr>
        <w:t>run through a few quic</w:t>
      </w:r>
      <w:r w:rsidR="002F3780" w:rsidRPr="00B67327">
        <w:rPr>
          <w:bCs/>
        </w:rPr>
        <w:t>k questions then I’ll examine you</w:t>
      </w:r>
      <w:r w:rsidR="00FD462B" w:rsidRPr="00B67327">
        <w:rPr>
          <w:bCs/>
        </w:rPr>
        <w:t>”</w:t>
      </w:r>
      <w:r w:rsidR="00107378">
        <w:rPr>
          <w:bCs/>
        </w:rPr>
        <w:t xml:space="preserve"> immediately before the test commences</w:t>
      </w:r>
      <w:r w:rsidR="00FD462B" w:rsidRPr="00B67327">
        <w:rPr>
          <w:bCs/>
        </w:rPr>
        <w:t xml:space="preserve">. </w:t>
      </w:r>
      <w:r w:rsidR="009B35E0" w:rsidRPr="00B67327">
        <w:rPr>
          <w:bCs/>
        </w:rPr>
        <w:t>Utterances of this kind</w:t>
      </w:r>
      <w:r w:rsidR="00B46F3E" w:rsidRPr="00B67327">
        <w:rPr>
          <w:bCs/>
        </w:rPr>
        <w:t>,</w:t>
      </w:r>
      <w:r w:rsidR="009B35E0" w:rsidRPr="00B67327">
        <w:rPr>
          <w:bCs/>
        </w:rPr>
        <w:t xml:space="preserve"> coming at the end of what is already a substantial period of questioning (during the history-taking)</w:t>
      </w:r>
      <w:r w:rsidR="00B46F3E" w:rsidRPr="00B67327">
        <w:rPr>
          <w:bCs/>
        </w:rPr>
        <w:t>,</w:t>
      </w:r>
      <w:r w:rsidR="009B35E0" w:rsidRPr="00B67327">
        <w:rPr>
          <w:bCs/>
        </w:rPr>
        <w:t xml:space="preserve"> do not clearly convey that the upcoming questions are part of a </w:t>
      </w:r>
      <w:r w:rsidR="00107378">
        <w:rPr>
          <w:bCs/>
        </w:rPr>
        <w:t xml:space="preserve">discrete </w:t>
      </w:r>
      <w:r w:rsidR="009B35E0" w:rsidRPr="00B67327">
        <w:rPr>
          <w:bCs/>
        </w:rPr>
        <w:t xml:space="preserve">test, </w:t>
      </w:r>
      <w:r w:rsidR="00B46F3E" w:rsidRPr="00B67327">
        <w:rPr>
          <w:bCs/>
        </w:rPr>
        <w:t xml:space="preserve">and </w:t>
      </w:r>
      <w:r w:rsidR="009B35E0" w:rsidRPr="00B67327">
        <w:rPr>
          <w:bCs/>
        </w:rPr>
        <w:t xml:space="preserve">hence </w:t>
      </w:r>
      <w:r w:rsidR="00B46F3E" w:rsidRPr="00B67327">
        <w:rPr>
          <w:bCs/>
        </w:rPr>
        <w:t xml:space="preserve">can </w:t>
      </w:r>
      <w:r w:rsidR="009B35E0" w:rsidRPr="00B67327">
        <w:rPr>
          <w:bCs/>
        </w:rPr>
        <w:t>create</w:t>
      </w:r>
      <w:r w:rsidR="00CC2A27" w:rsidRPr="00B67327">
        <w:rPr>
          <w:bCs/>
        </w:rPr>
        <w:t xml:space="preserve"> </w:t>
      </w:r>
      <w:r w:rsidR="009B35E0" w:rsidRPr="00B67327">
        <w:rPr>
          <w:bCs/>
        </w:rPr>
        <w:t>difficulties</w:t>
      </w:r>
      <w:r w:rsidR="00CC2A27" w:rsidRPr="00B67327">
        <w:rPr>
          <w:bCs/>
        </w:rPr>
        <w:t xml:space="preserve"> for patient</w:t>
      </w:r>
      <w:r w:rsidR="009B35E0" w:rsidRPr="00B67327">
        <w:rPr>
          <w:bCs/>
        </w:rPr>
        <w:t>s</w:t>
      </w:r>
      <w:r w:rsidRPr="00B67327">
        <w:rPr>
          <w:bCs/>
        </w:rPr>
        <w:t xml:space="preserve">. </w:t>
      </w:r>
      <w:r w:rsidR="008D53F7" w:rsidRPr="00B67327">
        <w:rPr>
          <w:bCs/>
        </w:rPr>
        <w:t xml:space="preserve">Other patients </w:t>
      </w:r>
      <w:r w:rsidR="008D53F7" w:rsidRPr="00B67327">
        <w:rPr>
          <w:bCs/>
          <w:lang w:val="en-US"/>
        </w:rPr>
        <w:t xml:space="preserve">appear to be fully aware of the expectations for the next phase of the consultation when the clinician adopts a different approach - </w:t>
      </w:r>
      <w:r w:rsidR="008D53F7" w:rsidRPr="00B67327">
        <w:rPr>
          <w:bCs/>
        </w:rPr>
        <w:t>explicitly naming the test, providing information about the questions within it and how the test was validated (</w:t>
      </w:r>
      <w:r w:rsidR="000878B5">
        <w:rPr>
          <w:bCs/>
        </w:rPr>
        <w:t>s</w:t>
      </w:r>
      <w:r w:rsidR="008D53F7" w:rsidRPr="00B67327">
        <w:rPr>
          <w:bCs/>
        </w:rPr>
        <w:t>ee Jones</w:t>
      </w:r>
      <w:r w:rsidR="009E3CA7">
        <w:rPr>
          <w:bCs/>
        </w:rPr>
        <w:t xml:space="preserve"> et al</w:t>
      </w:r>
      <w:r w:rsidR="00A51194">
        <w:rPr>
          <w:bCs/>
        </w:rPr>
        <w:t>.</w:t>
      </w:r>
      <w:r w:rsidR="008D53F7" w:rsidRPr="00B67327">
        <w:rPr>
          <w:bCs/>
        </w:rPr>
        <w:t>, 20</w:t>
      </w:r>
      <w:r w:rsidR="00C228FD">
        <w:rPr>
          <w:bCs/>
        </w:rPr>
        <w:t>20</w:t>
      </w:r>
      <w:r w:rsidR="00A51194">
        <w:rPr>
          <w:bCs/>
        </w:rPr>
        <w:t>,</w:t>
      </w:r>
      <w:r w:rsidR="008D53F7" w:rsidRPr="00B67327">
        <w:rPr>
          <w:bCs/>
        </w:rPr>
        <w:t xml:space="preserve"> for full analysis). </w:t>
      </w:r>
    </w:p>
    <w:p w14:paraId="42AAA9B9" w14:textId="77777777" w:rsidR="009B35E0" w:rsidRPr="00B67327" w:rsidRDefault="009B35E0" w:rsidP="00CC2A27">
      <w:pPr>
        <w:spacing w:line="360" w:lineRule="auto"/>
        <w:jc w:val="both"/>
        <w:rPr>
          <w:bCs/>
        </w:rPr>
      </w:pPr>
    </w:p>
    <w:p w14:paraId="44013D79" w14:textId="27D95EC9" w:rsidR="006014C5" w:rsidRPr="006014C5" w:rsidRDefault="00134364" w:rsidP="00CC2A27">
      <w:pPr>
        <w:spacing w:line="360" w:lineRule="auto"/>
        <w:jc w:val="both"/>
        <w:rPr>
          <w:bCs/>
          <w:rPrChange w:id="0" w:author="Danielle Jones" w:date="2022-07-08T09:24:00Z">
            <w:rPr>
              <w:bCs/>
              <w:lang w:val="en-US"/>
            </w:rPr>
          </w:rPrChange>
        </w:rPr>
      </w:pPr>
      <w:r>
        <w:rPr>
          <w:bCs/>
        </w:rPr>
        <w:t>Extract 1 shows</w:t>
      </w:r>
      <w:r w:rsidR="00D129AE" w:rsidRPr="00B67327">
        <w:rPr>
          <w:bCs/>
        </w:rPr>
        <w:t xml:space="preserve"> </w:t>
      </w:r>
      <w:r w:rsidR="00C56531" w:rsidRPr="00B67327">
        <w:rPr>
          <w:bCs/>
        </w:rPr>
        <w:t>another</w:t>
      </w:r>
      <w:r w:rsidR="007E7B47" w:rsidRPr="00B67327">
        <w:rPr>
          <w:bCs/>
        </w:rPr>
        <w:t xml:space="preserve"> </w:t>
      </w:r>
      <w:r w:rsidR="00D129AE" w:rsidRPr="00B67327">
        <w:rPr>
          <w:bCs/>
        </w:rPr>
        <w:t>version</w:t>
      </w:r>
      <w:r>
        <w:rPr>
          <w:bCs/>
        </w:rPr>
        <w:t xml:space="preserve"> of test introduction</w:t>
      </w:r>
      <w:r w:rsidR="00C56531" w:rsidRPr="00B67327">
        <w:rPr>
          <w:bCs/>
        </w:rPr>
        <w:t xml:space="preserve"> from a different clinician</w:t>
      </w:r>
      <w:r w:rsidR="007D03D9" w:rsidRPr="00B67327">
        <w:rPr>
          <w:bCs/>
        </w:rPr>
        <w:t xml:space="preserve">. </w:t>
      </w:r>
      <w:r w:rsidR="007E7B47" w:rsidRPr="00B67327">
        <w:rPr>
          <w:bCs/>
        </w:rPr>
        <w:t xml:space="preserve">In this version, </w:t>
      </w:r>
      <w:r w:rsidR="00C56531" w:rsidRPr="00B67327">
        <w:rPr>
          <w:bCs/>
        </w:rPr>
        <w:t>the clinician</w:t>
      </w:r>
      <w:r w:rsidR="007E7B47" w:rsidRPr="00B67327">
        <w:rPr>
          <w:bCs/>
        </w:rPr>
        <w:t xml:space="preserve"> introduce</w:t>
      </w:r>
      <w:r w:rsidR="00C56531" w:rsidRPr="00B67327">
        <w:rPr>
          <w:bCs/>
        </w:rPr>
        <w:t>s</w:t>
      </w:r>
      <w:r w:rsidR="007E7B47" w:rsidRPr="00B67327">
        <w:rPr>
          <w:bCs/>
        </w:rPr>
        <w:t xml:space="preserve"> the upcoming test by both marking and naming a change of activity, characterising it as a ‘memory test’ but without furnishing details. </w:t>
      </w:r>
    </w:p>
    <w:p w14:paraId="415606A9" w14:textId="77777777" w:rsidR="00A514AA" w:rsidRPr="00B67327" w:rsidRDefault="00A514AA" w:rsidP="00A514AA">
      <w:pPr>
        <w:spacing w:line="360" w:lineRule="auto"/>
        <w:jc w:val="both"/>
        <w:rPr>
          <w:bCs/>
        </w:rPr>
      </w:pPr>
    </w:p>
    <w:p w14:paraId="66C5D1F8" w14:textId="019F76E9" w:rsidR="00D129AE" w:rsidRDefault="00D129AE" w:rsidP="00A514AA">
      <w:pPr>
        <w:spacing w:line="360" w:lineRule="auto"/>
        <w:jc w:val="both"/>
        <w:rPr>
          <w:bCs/>
        </w:rPr>
      </w:pPr>
      <w:r w:rsidRPr="00B67327">
        <w:rPr>
          <w:bCs/>
        </w:rPr>
        <w:t>Extract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1"/>
        <w:gridCol w:w="6877"/>
      </w:tblGrid>
      <w:tr w:rsidR="006014C5" w:rsidRPr="00960A70" w14:paraId="571C0EFA" w14:textId="77777777" w:rsidTr="006014C5">
        <w:tc>
          <w:tcPr>
            <w:tcW w:w="562" w:type="dxa"/>
          </w:tcPr>
          <w:p w14:paraId="24188C78" w14:textId="171E359E"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51" w:type="dxa"/>
          </w:tcPr>
          <w:p w14:paraId="5CD18E84" w14:textId="158D0CAA"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77" w:type="dxa"/>
          </w:tcPr>
          <w:p w14:paraId="6E553D42" w14:textId="1BA13526" w:rsidR="006014C5" w:rsidRPr="00960A70" w:rsidRDefault="006014C5" w:rsidP="00A514AA">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Erm::</w:t>
            </w:r>
            <w:proofErr w:type="gramEnd"/>
            <w:r w:rsidRPr="00960A70">
              <w:rPr>
                <w:rFonts w:ascii="Courier New" w:hAnsi="Courier New" w:cs="Courier New"/>
                <w:bCs/>
                <w:sz w:val="20"/>
                <w:szCs w:val="20"/>
              </w:rPr>
              <w:t xml:space="preserve"> So &gt;I’m </w:t>
            </w:r>
            <w:proofErr w:type="spellStart"/>
            <w:r w:rsidRPr="00960A70">
              <w:rPr>
                <w:rFonts w:ascii="Courier New" w:hAnsi="Courier New" w:cs="Courier New"/>
                <w:bCs/>
                <w:sz w:val="20"/>
                <w:szCs w:val="20"/>
              </w:rPr>
              <w:t>gonna</w:t>
            </w:r>
            <w:proofErr w:type="spellEnd"/>
            <w:r w:rsidRPr="00960A70">
              <w:rPr>
                <w:rFonts w:ascii="Courier New" w:hAnsi="Courier New" w:cs="Courier New"/>
                <w:bCs/>
                <w:sz w:val="20"/>
                <w:szCs w:val="20"/>
              </w:rPr>
              <w:t>&gt; do:: (.) a</w:t>
            </w:r>
          </w:p>
        </w:tc>
      </w:tr>
      <w:tr w:rsidR="006014C5" w:rsidRPr="00960A70" w14:paraId="36A91450" w14:textId="77777777" w:rsidTr="006014C5">
        <w:tc>
          <w:tcPr>
            <w:tcW w:w="562" w:type="dxa"/>
          </w:tcPr>
          <w:p w14:paraId="6A776C5A" w14:textId="607EC397"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51" w:type="dxa"/>
          </w:tcPr>
          <w:p w14:paraId="0284A93E" w14:textId="77777777" w:rsidR="006014C5" w:rsidRPr="00960A70" w:rsidRDefault="006014C5" w:rsidP="00A514AA">
            <w:pPr>
              <w:spacing w:line="360" w:lineRule="auto"/>
              <w:jc w:val="both"/>
              <w:rPr>
                <w:rFonts w:ascii="Courier New" w:hAnsi="Courier New" w:cs="Courier New"/>
                <w:bCs/>
                <w:sz w:val="20"/>
                <w:szCs w:val="20"/>
              </w:rPr>
            </w:pPr>
          </w:p>
        </w:tc>
        <w:tc>
          <w:tcPr>
            <w:tcW w:w="6877" w:type="dxa"/>
          </w:tcPr>
          <w:p w14:paraId="365D5C42" w14:textId="6D1D85A3"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sz w:val="20"/>
                <w:szCs w:val="20"/>
              </w:rPr>
              <w:t xml:space="preserve">memory test on you </w:t>
            </w:r>
            <w:proofErr w:type="gramStart"/>
            <w:r w:rsidRPr="00960A70">
              <w:rPr>
                <w:rFonts w:ascii="Courier New" w:hAnsi="Courier New" w:cs="Courier New"/>
                <w:sz w:val="20"/>
                <w:szCs w:val="20"/>
              </w:rPr>
              <w:t>now.=</w:t>
            </w:r>
            <w:proofErr w:type="gramEnd"/>
            <w:r w:rsidRPr="00960A70">
              <w:rPr>
                <w:rFonts w:ascii="Courier New" w:hAnsi="Courier New" w:cs="Courier New"/>
                <w:sz w:val="20"/>
                <w:szCs w:val="20"/>
              </w:rPr>
              <w:t>Is that okay:,</w:t>
            </w:r>
          </w:p>
        </w:tc>
      </w:tr>
      <w:tr w:rsidR="006014C5" w:rsidRPr="00960A70" w14:paraId="111544AD" w14:textId="77777777" w:rsidTr="006014C5">
        <w:tc>
          <w:tcPr>
            <w:tcW w:w="562" w:type="dxa"/>
          </w:tcPr>
          <w:p w14:paraId="0F7D24B8" w14:textId="5C947909"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51" w:type="dxa"/>
          </w:tcPr>
          <w:p w14:paraId="4EF670A6" w14:textId="324668BD"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77" w:type="dxa"/>
          </w:tcPr>
          <w:p w14:paraId="5F4C66EC" w14:textId="41ECFF5F"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Yeah.</w:t>
            </w:r>
          </w:p>
        </w:tc>
      </w:tr>
      <w:tr w:rsidR="006014C5" w:rsidRPr="00960A70" w14:paraId="16090828" w14:textId="77777777" w:rsidTr="006014C5">
        <w:tc>
          <w:tcPr>
            <w:tcW w:w="562" w:type="dxa"/>
          </w:tcPr>
          <w:p w14:paraId="77F86B9F" w14:textId="24E49A5F"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51" w:type="dxa"/>
          </w:tcPr>
          <w:p w14:paraId="1045BD9B" w14:textId="7D00D822"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77" w:type="dxa"/>
          </w:tcPr>
          <w:p w14:paraId="5E87AD1D" w14:textId="47B6753F" w:rsidR="006014C5" w:rsidRPr="00960A70" w:rsidRDefault="006014C5" w:rsidP="00A514AA">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Er: So what day: is it </w:t>
            </w:r>
            <w:proofErr w:type="gramStart"/>
            <w:r w:rsidRPr="00960A70">
              <w:rPr>
                <w:rFonts w:ascii="Courier New" w:hAnsi="Courier New" w:cs="Courier New"/>
                <w:bCs/>
                <w:sz w:val="20"/>
                <w:szCs w:val="20"/>
              </w:rPr>
              <w:t>today:,</w:t>
            </w:r>
            <w:proofErr w:type="gramEnd"/>
          </w:p>
        </w:tc>
      </w:tr>
    </w:tbl>
    <w:p w14:paraId="2254F670" w14:textId="77777777" w:rsidR="007D03D9" w:rsidRPr="00B67327" w:rsidRDefault="007D03D9" w:rsidP="00A514AA">
      <w:pPr>
        <w:spacing w:line="360" w:lineRule="auto"/>
        <w:jc w:val="both"/>
        <w:rPr>
          <w:bCs/>
        </w:rPr>
      </w:pPr>
    </w:p>
    <w:p w14:paraId="4E6311C2" w14:textId="1418B20A" w:rsidR="00393025" w:rsidRPr="00B67327" w:rsidRDefault="007D03D9" w:rsidP="00A514AA">
      <w:pPr>
        <w:spacing w:line="360" w:lineRule="auto"/>
        <w:jc w:val="both"/>
        <w:rPr>
          <w:bCs/>
        </w:rPr>
      </w:pPr>
      <w:r w:rsidRPr="00B67327">
        <w:rPr>
          <w:bCs/>
        </w:rPr>
        <w:t xml:space="preserve">In </w:t>
      </w:r>
      <w:r w:rsidR="007E7B47" w:rsidRPr="00B67327">
        <w:rPr>
          <w:bCs/>
        </w:rPr>
        <w:t>Extract 1,</w:t>
      </w:r>
      <w:r w:rsidRPr="00B67327">
        <w:rPr>
          <w:bCs/>
        </w:rPr>
        <w:t xml:space="preserve"> the clinician </w:t>
      </w:r>
      <w:r w:rsidR="00393025" w:rsidRPr="00B67327">
        <w:rPr>
          <w:bCs/>
        </w:rPr>
        <w:t xml:space="preserve">pronounces to </w:t>
      </w:r>
      <w:r w:rsidR="002F3780" w:rsidRPr="00B67327">
        <w:rPr>
          <w:bCs/>
        </w:rPr>
        <w:t xml:space="preserve">the patient </w:t>
      </w:r>
      <w:r w:rsidR="001A3013" w:rsidRPr="00B67327">
        <w:rPr>
          <w:bCs/>
        </w:rPr>
        <w:t>that they are going to be subject to a memory test (lines 1-2). The turn design conveys the clinician’s high deontic</w:t>
      </w:r>
      <w:r w:rsidR="00714E3A" w:rsidRPr="00B67327">
        <w:rPr>
          <w:bCs/>
        </w:rPr>
        <w:t xml:space="preserve"> and epistemic </w:t>
      </w:r>
      <w:r w:rsidR="001A3013" w:rsidRPr="00B67327">
        <w:rPr>
          <w:bCs/>
        </w:rPr>
        <w:t>authority</w:t>
      </w:r>
      <w:r w:rsidR="00A649D2">
        <w:rPr>
          <w:bCs/>
        </w:rPr>
        <w:t xml:space="preserve"> (</w:t>
      </w:r>
      <w:r w:rsidR="001F19FF">
        <w:rPr>
          <w:bCs/>
        </w:rPr>
        <w:t xml:space="preserve">see </w:t>
      </w:r>
      <w:proofErr w:type="spellStart"/>
      <w:r w:rsidR="00A649D2">
        <w:rPr>
          <w:bCs/>
        </w:rPr>
        <w:t>Stevanovic</w:t>
      </w:r>
      <w:proofErr w:type="spellEnd"/>
      <w:r w:rsidR="00A649D2">
        <w:rPr>
          <w:bCs/>
        </w:rPr>
        <w:t xml:space="preserve"> and </w:t>
      </w:r>
      <w:proofErr w:type="spellStart"/>
      <w:r w:rsidR="00A649D2">
        <w:rPr>
          <w:bCs/>
        </w:rPr>
        <w:t>Per</w:t>
      </w:r>
      <w:r w:rsidR="00B95A9E">
        <w:rPr>
          <w:bCs/>
        </w:rPr>
        <w:t>ä</w:t>
      </w:r>
      <w:r w:rsidR="00A649D2">
        <w:rPr>
          <w:bCs/>
        </w:rPr>
        <w:t>kyl</w:t>
      </w:r>
      <w:r w:rsidR="00B95A9E">
        <w:rPr>
          <w:bCs/>
        </w:rPr>
        <w:t>ä</w:t>
      </w:r>
      <w:proofErr w:type="spellEnd"/>
      <w:r w:rsidR="00A649D2">
        <w:rPr>
          <w:bCs/>
        </w:rPr>
        <w:t>, 2012</w:t>
      </w:r>
      <w:r w:rsidR="00E50FC5">
        <w:rPr>
          <w:bCs/>
        </w:rPr>
        <w:t xml:space="preserve"> or </w:t>
      </w:r>
      <w:proofErr w:type="spellStart"/>
      <w:r w:rsidR="00E50FC5">
        <w:rPr>
          <w:bCs/>
        </w:rPr>
        <w:t>Muntigl</w:t>
      </w:r>
      <w:proofErr w:type="spellEnd"/>
      <w:r w:rsidR="00E50FC5">
        <w:rPr>
          <w:bCs/>
        </w:rPr>
        <w:t>, this edition</w:t>
      </w:r>
      <w:r w:rsidR="00A649D2">
        <w:rPr>
          <w:bCs/>
        </w:rPr>
        <w:t>)</w:t>
      </w:r>
      <w:r w:rsidR="001A3013" w:rsidRPr="00B67327">
        <w:rPr>
          <w:bCs/>
        </w:rPr>
        <w:t xml:space="preserve"> to decide about what happens next (‘I’m going to…’; notwithstanding the tag at the end of line 2) and e</w:t>
      </w:r>
      <w:r w:rsidR="00714E3A" w:rsidRPr="00B67327">
        <w:rPr>
          <w:bCs/>
        </w:rPr>
        <w:t xml:space="preserve">xpertise </w:t>
      </w:r>
      <w:r w:rsidR="001A3013" w:rsidRPr="00B67327">
        <w:rPr>
          <w:bCs/>
        </w:rPr>
        <w:t>to conduct this test ‘on’ the patient (line 2).</w:t>
      </w:r>
      <w:r w:rsidR="00714E3A" w:rsidRPr="00B67327">
        <w:rPr>
          <w:bCs/>
        </w:rPr>
        <w:t xml:space="preserve">  The test itself is characterised as a memory test but no further details are given. The patient </w:t>
      </w:r>
      <w:r w:rsidR="002F3780" w:rsidRPr="00B67327">
        <w:rPr>
          <w:bCs/>
        </w:rPr>
        <w:t xml:space="preserve">confirms </w:t>
      </w:r>
      <w:r w:rsidR="00B044BA" w:rsidRPr="00B67327">
        <w:rPr>
          <w:bCs/>
        </w:rPr>
        <w:t xml:space="preserve">they are </w:t>
      </w:r>
      <w:r w:rsidR="007E7B47" w:rsidRPr="00B67327">
        <w:rPr>
          <w:bCs/>
        </w:rPr>
        <w:t>okay</w:t>
      </w:r>
      <w:r w:rsidR="00B044BA" w:rsidRPr="00B67327">
        <w:rPr>
          <w:bCs/>
        </w:rPr>
        <w:t xml:space="preserve"> to continue</w:t>
      </w:r>
      <w:r w:rsidR="007E7B47" w:rsidRPr="00B67327">
        <w:rPr>
          <w:bCs/>
        </w:rPr>
        <w:t xml:space="preserve"> - </w:t>
      </w:r>
      <w:r w:rsidR="002F3780" w:rsidRPr="00B67327">
        <w:rPr>
          <w:bCs/>
        </w:rPr>
        <w:t>“Yeah” (line 3)</w:t>
      </w:r>
      <w:r w:rsidR="007E7B47" w:rsidRPr="00B67327">
        <w:rPr>
          <w:bCs/>
        </w:rPr>
        <w:t xml:space="preserve"> – thus claiming (but not displaying) understanding of what is coming next</w:t>
      </w:r>
      <w:r w:rsidR="002F3780" w:rsidRPr="00B67327">
        <w:rPr>
          <w:bCs/>
        </w:rPr>
        <w:t>.</w:t>
      </w:r>
      <w:r w:rsidR="007E7B47" w:rsidRPr="00B67327">
        <w:rPr>
          <w:bCs/>
        </w:rPr>
        <w:t xml:space="preserve"> </w:t>
      </w:r>
      <w:r w:rsidR="002F3780" w:rsidRPr="00B67327">
        <w:rPr>
          <w:bCs/>
        </w:rPr>
        <w:t xml:space="preserve"> </w:t>
      </w:r>
    </w:p>
    <w:p w14:paraId="100771BB" w14:textId="77777777" w:rsidR="00393025" w:rsidRPr="00B67327" w:rsidRDefault="00393025" w:rsidP="00A514AA">
      <w:pPr>
        <w:spacing w:line="360" w:lineRule="auto"/>
        <w:jc w:val="both"/>
        <w:rPr>
          <w:bCs/>
        </w:rPr>
      </w:pPr>
    </w:p>
    <w:p w14:paraId="7DBD2378" w14:textId="7D473AA3" w:rsidR="007D03D9" w:rsidRPr="00B67327" w:rsidRDefault="00393025" w:rsidP="00A514AA">
      <w:pPr>
        <w:spacing w:line="360" w:lineRule="auto"/>
        <w:jc w:val="both"/>
        <w:rPr>
          <w:bCs/>
        </w:rPr>
      </w:pPr>
      <w:r w:rsidRPr="00B67327">
        <w:rPr>
          <w:bCs/>
        </w:rPr>
        <w:t>Extract 2 (below) shows the moment of transition from history taking to testing involving the</w:t>
      </w:r>
      <w:r w:rsidR="007D03D9" w:rsidRPr="00B67327">
        <w:rPr>
          <w:bCs/>
        </w:rPr>
        <w:t xml:space="preserve"> same clinician</w:t>
      </w:r>
      <w:r w:rsidRPr="00B67327">
        <w:rPr>
          <w:bCs/>
        </w:rPr>
        <w:t xml:space="preserve"> and another patient. Here, the</w:t>
      </w:r>
      <w:r w:rsidR="007D03D9" w:rsidRPr="00B67327">
        <w:rPr>
          <w:bCs/>
        </w:rPr>
        <w:t xml:space="preserve"> </w:t>
      </w:r>
      <w:r w:rsidR="00D93E3A" w:rsidRPr="00B67327">
        <w:rPr>
          <w:bCs/>
        </w:rPr>
        <w:t>hierarchical</w:t>
      </w:r>
      <w:r w:rsidR="007D03D9" w:rsidRPr="00B67327">
        <w:rPr>
          <w:bCs/>
        </w:rPr>
        <w:t xml:space="preserve"> </w:t>
      </w:r>
      <w:r w:rsidR="00D93E3A" w:rsidRPr="00B67327">
        <w:rPr>
          <w:bCs/>
        </w:rPr>
        <w:t>stance</w:t>
      </w:r>
      <w:r w:rsidR="007D03D9" w:rsidRPr="00B67327">
        <w:rPr>
          <w:bCs/>
        </w:rPr>
        <w:t xml:space="preserve"> </w:t>
      </w:r>
      <w:r w:rsidRPr="00B67327">
        <w:rPr>
          <w:bCs/>
        </w:rPr>
        <w:t>is</w:t>
      </w:r>
      <w:r w:rsidR="007D03D9" w:rsidRPr="00B67327">
        <w:rPr>
          <w:bCs/>
        </w:rPr>
        <w:t xml:space="preserve"> more </w:t>
      </w:r>
      <w:r w:rsidR="007D03D9" w:rsidRPr="00B67327">
        <w:rPr>
          <w:bCs/>
        </w:rPr>
        <w:lastRenderedPageBreak/>
        <w:t>collaborative with</w:t>
      </w:r>
      <w:r w:rsidR="00611718" w:rsidRPr="00B67327">
        <w:rPr>
          <w:bCs/>
        </w:rPr>
        <w:t xml:space="preserve"> the clinician’s proposal that</w:t>
      </w:r>
      <w:r w:rsidR="007D03D9" w:rsidRPr="00B67327">
        <w:rPr>
          <w:bCs/>
        </w:rPr>
        <w:t xml:space="preserve"> “we</w:t>
      </w:r>
      <w:r w:rsidR="00D93E3A" w:rsidRPr="00B67327">
        <w:rPr>
          <w:bCs/>
        </w:rPr>
        <w:t>’ll</w:t>
      </w:r>
      <w:r w:rsidR="007D03D9" w:rsidRPr="00B67327">
        <w:rPr>
          <w:bCs/>
        </w:rPr>
        <w:t xml:space="preserve"> do a memory test now”</w:t>
      </w:r>
      <w:r w:rsidR="00B044BA" w:rsidRPr="00B67327">
        <w:rPr>
          <w:bCs/>
        </w:rPr>
        <w:t xml:space="preserve"> (extract 2, line 1)</w:t>
      </w:r>
      <w:r w:rsidR="007D03D9" w:rsidRPr="00B67327">
        <w:rPr>
          <w:bCs/>
        </w:rPr>
        <w:t xml:space="preserve">, which </w:t>
      </w:r>
      <w:r w:rsidR="00B155F6" w:rsidRPr="00B67327">
        <w:rPr>
          <w:bCs/>
        </w:rPr>
        <w:t xml:space="preserve">suggests more of a joint activity for </w:t>
      </w:r>
      <w:r w:rsidR="007D03D9" w:rsidRPr="00B67327">
        <w:rPr>
          <w:bCs/>
        </w:rPr>
        <w:t>the clinician and the patient</w:t>
      </w:r>
      <w:r w:rsidR="00B155F6" w:rsidRPr="00B67327">
        <w:rPr>
          <w:bCs/>
        </w:rPr>
        <w:t>.</w:t>
      </w:r>
    </w:p>
    <w:p w14:paraId="5C06ADB3" w14:textId="77777777" w:rsidR="007D03D9" w:rsidRPr="00B67327" w:rsidRDefault="007D03D9" w:rsidP="00A514AA">
      <w:pPr>
        <w:spacing w:line="360" w:lineRule="auto"/>
        <w:jc w:val="both"/>
        <w:rPr>
          <w:bCs/>
        </w:rPr>
      </w:pPr>
    </w:p>
    <w:p w14:paraId="1C4A6A4C" w14:textId="327D94A6" w:rsidR="00A514AA" w:rsidRDefault="00D129AE" w:rsidP="00A514AA">
      <w:pPr>
        <w:spacing w:line="360" w:lineRule="auto"/>
        <w:jc w:val="both"/>
        <w:rPr>
          <w:bCs/>
        </w:rPr>
      </w:pPr>
      <w:r w:rsidRPr="00B67327">
        <w:rPr>
          <w:bCs/>
        </w:rPr>
        <w:t>Extract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6014C5" w:rsidRPr="00960A70" w14:paraId="4B4BF40D" w14:textId="77777777" w:rsidTr="006014C5">
        <w:tc>
          <w:tcPr>
            <w:tcW w:w="561" w:type="dxa"/>
          </w:tcPr>
          <w:p w14:paraId="189447B5"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0B8FB443"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52" w:type="dxa"/>
          </w:tcPr>
          <w:p w14:paraId="23032916" w14:textId="0AEEC16E"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OK. So we'll do a memory test </w:t>
            </w:r>
            <w:proofErr w:type="gramStart"/>
            <w:r w:rsidRPr="00960A70">
              <w:rPr>
                <w:rFonts w:ascii="Courier New" w:hAnsi="Courier New" w:cs="Courier New"/>
                <w:bCs/>
                <w:sz w:val="20"/>
                <w:szCs w:val="20"/>
              </w:rPr>
              <w:t>now.=</w:t>
            </w:r>
            <w:proofErr w:type="gramEnd"/>
            <w:r w:rsidRPr="00960A70">
              <w:rPr>
                <w:rFonts w:ascii="Courier New" w:hAnsi="Courier New" w:cs="Courier New"/>
                <w:bCs/>
                <w:sz w:val="20"/>
                <w:szCs w:val="20"/>
              </w:rPr>
              <w:t>Okay:?</w:t>
            </w:r>
          </w:p>
        </w:tc>
      </w:tr>
      <w:tr w:rsidR="006014C5" w:rsidRPr="00960A70" w14:paraId="0FE5196C" w14:textId="77777777" w:rsidTr="006014C5">
        <w:tc>
          <w:tcPr>
            <w:tcW w:w="561" w:type="dxa"/>
          </w:tcPr>
          <w:p w14:paraId="3BDE865E"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62D59059" w14:textId="2FF80B5D"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52" w:type="dxa"/>
          </w:tcPr>
          <w:p w14:paraId="360F9C1F" w14:textId="1B500C2C"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Yeah.</w:t>
            </w:r>
          </w:p>
        </w:tc>
      </w:tr>
      <w:tr w:rsidR="006014C5" w:rsidRPr="00960A70" w14:paraId="12BD69D9" w14:textId="77777777" w:rsidTr="006014C5">
        <w:tc>
          <w:tcPr>
            <w:tcW w:w="561" w:type="dxa"/>
          </w:tcPr>
          <w:p w14:paraId="630CF4A3"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0311F818" w14:textId="345198B0"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52" w:type="dxa"/>
          </w:tcPr>
          <w:p w14:paraId="63677341" w14:textId="0AEF9D6B"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So what day is it </w:t>
            </w:r>
            <w:proofErr w:type="spellStart"/>
            <w:proofErr w:type="gramStart"/>
            <w:r w:rsidRPr="00960A70">
              <w:rPr>
                <w:rFonts w:ascii="Courier New" w:hAnsi="Courier New" w:cs="Courier New"/>
                <w:bCs/>
                <w:sz w:val="20"/>
                <w:szCs w:val="20"/>
              </w:rPr>
              <w:t>toda:y</w:t>
            </w:r>
            <w:proofErr w:type="spellEnd"/>
            <w:proofErr w:type="gramEnd"/>
            <w:r w:rsidRPr="00960A70">
              <w:rPr>
                <w:rFonts w:ascii="Courier New" w:hAnsi="Courier New" w:cs="Courier New"/>
                <w:bCs/>
                <w:sz w:val="20"/>
                <w:szCs w:val="20"/>
              </w:rPr>
              <w:t>?</w:t>
            </w:r>
          </w:p>
        </w:tc>
      </w:tr>
    </w:tbl>
    <w:p w14:paraId="2B592600" w14:textId="77777777" w:rsidR="001A3013" w:rsidRPr="00B67327" w:rsidRDefault="001A3013" w:rsidP="00D129AE">
      <w:pPr>
        <w:spacing w:line="360" w:lineRule="auto"/>
        <w:jc w:val="both"/>
        <w:rPr>
          <w:bCs/>
        </w:rPr>
      </w:pPr>
    </w:p>
    <w:p w14:paraId="24F940CE" w14:textId="480D2C14" w:rsidR="00396DD5" w:rsidRPr="00B67327" w:rsidRDefault="00396DD5" w:rsidP="00D129AE">
      <w:pPr>
        <w:spacing w:line="360" w:lineRule="auto"/>
        <w:jc w:val="both"/>
        <w:rPr>
          <w:bCs/>
        </w:rPr>
      </w:pPr>
      <w:r w:rsidRPr="00B67327">
        <w:rPr>
          <w:bCs/>
        </w:rPr>
        <w:t xml:space="preserve">It is interesting to note that this clinician </w:t>
      </w:r>
      <w:r w:rsidR="00C228FD">
        <w:rPr>
          <w:bCs/>
        </w:rPr>
        <w:t xml:space="preserve">(Neu1) </w:t>
      </w:r>
      <w:r w:rsidRPr="00B67327">
        <w:rPr>
          <w:bCs/>
        </w:rPr>
        <w:t>is the only one</w:t>
      </w:r>
      <w:r w:rsidR="00D25C4E" w:rsidRPr="00B67327">
        <w:rPr>
          <w:bCs/>
        </w:rPr>
        <w:t xml:space="preserve"> (of the </w:t>
      </w:r>
      <w:r w:rsidR="00B321F7" w:rsidRPr="00B67327">
        <w:rPr>
          <w:bCs/>
        </w:rPr>
        <w:t>five</w:t>
      </w:r>
      <w:r w:rsidR="00D25C4E" w:rsidRPr="00B67327">
        <w:rPr>
          <w:bCs/>
        </w:rPr>
        <w:t xml:space="preserve"> clinicians recorded)</w:t>
      </w:r>
      <w:r w:rsidRPr="00B67327">
        <w:rPr>
          <w:bCs/>
        </w:rPr>
        <w:t xml:space="preserve"> to routinely seek consent or permission from the patient to </w:t>
      </w:r>
      <w:r w:rsidR="002C4457" w:rsidRPr="00B67327">
        <w:rPr>
          <w:bCs/>
        </w:rPr>
        <w:t>begin</w:t>
      </w:r>
      <w:r w:rsidRPr="00B67327">
        <w:rPr>
          <w:bCs/>
        </w:rPr>
        <w:t xml:space="preserve"> the test</w:t>
      </w:r>
      <w:r w:rsidR="002C4457" w:rsidRPr="00B67327">
        <w:rPr>
          <w:bCs/>
        </w:rPr>
        <w:t>ing phase of the consultation</w:t>
      </w:r>
      <w:r w:rsidRPr="00B67327">
        <w:rPr>
          <w:bCs/>
        </w:rPr>
        <w:t xml:space="preserve"> - “Is that okay?” (</w:t>
      </w:r>
      <w:proofErr w:type="gramStart"/>
      <w:r w:rsidRPr="00B67327">
        <w:rPr>
          <w:bCs/>
        </w:rPr>
        <w:t>extract</w:t>
      </w:r>
      <w:proofErr w:type="gramEnd"/>
      <w:r w:rsidRPr="00B67327">
        <w:rPr>
          <w:bCs/>
        </w:rPr>
        <w:t xml:space="preserve"> 1, line 2) and “Okay?” (</w:t>
      </w:r>
      <w:proofErr w:type="gramStart"/>
      <w:r w:rsidRPr="00B67327">
        <w:rPr>
          <w:bCs/>
        </w:rPr>
        <w:t>extract</w:t>
      </w:r>
      <w:proofErr w:type="gramEnd"/>
      <w:r w:rsidRPr="00B67327">
        <w:rPr>
          <w:bCs/>
        </w:rPr>
        <w:t xml:space="preserve"> 2, line 1)</w:t>
      </w:r>
      <w:r w:rsidR="009B19D4" w:rsidRPr="00B67327">
        <w:rPr>
          <w:bCs/>
        </w:rPr>
        <w:t>, thus introducing further variation</w:t>
      </w:r>
      <w:r w:rsidRPr="00B67327">
        <w:rPr>
          <w:bCs/>
        </w:rPr>
        <w:t>.</w:t>
      </w:r>
      <w:r w:rsidR="00CA3012" w:rsidRPr="00B67327">
        <w:rPr>
          <w:bCs/>
        </w:rPr>
        <w:t xml:space="preserve"> </w:t>
      </w:r>
      <w:r w:rsidR="009B19D4" w:rsidRPr="00B67327">
        <w:rPr>
          <w:bCs/>
        </w:rPr>
        <w:t xml:space="preserve">Notably though, </w:t>
      </w:r>
      <w:r w:rsidR="00A35732" w:rsidRPr="00B67327">
        <w:rPr>
          <w:bCs/>
        </w:rPr>
        <w:t xml:space="preserve">in both these cases the clinician does not lift </w:t>
      </w:r>
      <w:r w:rsidR="00151206">
        <w:rPr>
          <w:bCs/>
        </w:rPr>
        <w:t>his</w:t>
      </w:r>
      <w:r w:rsidR="00A35732" w:rsidRPr="00B67327">
        <w:rPr>
          <w:bCs/>
        </w:rPr>
        <w:t xml:space="preserve"> gaze to the patient when seeking this consent. Instead</w:t>
      </w:r>
      <w:r w:rsidR="00B155F6" w:rsidRPr="00B67327">
        <w:rPr>
          <w:bCs/>
        </w:rPr>
        <w:t>,</w:t>
      </w:r>
      <w:r w:rsidR="00A35732" w:rsidRPr="00B67327">
        <w:rPr>
          <w:bCs/>
        </w:rPr>
        <w:t xml:space="preserve"> the clinician is </w:t>
      </w:r>
      <w:r w:rsidR="009B19D4" w:rsidRPr="00B67327">
        <w:rPr>
          <w:bCs/>
        </w:rPr>
        <w:t>engaged in</w:t>
      </w:r>
      <w:r w:rsidR="00A35732" w:rsidRPr="00B67327">
        <w:rPr>
          <w:bCs/>
        </w:rPr>
        <w:t xml:space="preserve"> gathering the test paperwork from </w:t>
      </w:r>
      <w:r w:rsidR="009B19D4" w:rsidRPr="00B67327">
        <w:rPr>
          <w:bCs/>
        </w:rPr>
        <w:t>a</w:t>
      </w:r>
      <w:r w:rsidR="00A35732" w:rsidRPr="00B67327">
        <w:rPr>
          <w:bCs/>
        </w:rPr>
        <w:t xml:space="preserve"> cupboard behind him and </w:t>
      </w:r>
      <w:r w:rsidR="009B19D4" w:rsidRPr="00B67327">
        <w:rPr>
          <w:bCs/>
        </w:rPr>
        <w:t>attaching</w:t>
      </w:r>
      <w:r w:rsidR="00A35732" w:rsidRPr="00B67327">
        <w:rPr>
          <w:bCs/>
        </w:rPr>
        <w:t xml:space="preserve"> </w:t>
      </w:r>
      <w:r w:rsidR="009B19D4" w:rsidRPr="00B67327">
        <w:rPr>
          <w:bCs/>
        </w:rPr>
        <w:t>the</w:t>
      </w:r>
      <w:r w:rsidR="00A35732" w:rsidRPr="00B67327">
        <w:rPr>
          <w:bCs/>
        </w:rPr>
        <w:t xml:space="preserve"> patient</w:t>
      </w:r>
      <w:r w:rsidR="009B19D4" w:rsidRPr="00B67327">
        <w:rPr>
          <w:bCs/>
        </w:rPr>
        <w:t>’s</w:t>
      </w:r>
      <w:r w:rsidR="00A35732" w:rsidRPr="00B67327">
        <w:rPr>
          <w:bCs/>
        </w:rPr>
        <w:t xml:space="preserve"> information </w:t>
      </w:r>
      <w:r w:rsidR="009B19D4" w:rsidRPr="00B67327">
        <w:rPr>
          <w:bCs/>
        </w:rPr>
        <w:t>to</w:t>
      </w:r>
      <w:r w:rsidR="00A35732" w:rsidRPr="00B67327">
        <w:rPr>
          <w:bCs/>
        </w:rPr>
        <w:t xml:space="preserve"> the test paper.</w:t>
      </w:r>
      <w:r w:rsidR="00F95312" w:rsidRPr="00B67327">
        <w:rPr>
          <w:bCs/>
        </w:rPr>
        <w:t xml:space="preserve"> </w:t>
      </w:r>
    </w:p>
    <w:p w14:paraId="400D1BE5" w14:textId="77777777" w:rsidR="00396DD5" w:rsidRPr="00B67327" w:rsidRDefault="00396DD5" w:rsidP="00D129AE">
      <w:pPr>
        <w:spacing w:line="360" w:lineRule="auto"/>
        <w:jc w:val="both"/>
        <w:rPr>
          <w:bCs/>
        </w:rPr>
      </w:pPr>
    </w:p>
    <w:p w14:paraId="1375EC50" w14:textId="3DC64029" w:rsidR="00CB6F51" w:rsidRPr="00B67327" w:rsidRDefault="00903110" w:rsidP="00102B11">
      <w:pPr>
        <w:spacing w:line="360" w:lineRule="auto"/>
        <w:jc w:val="both"/>
        <w:rPr>
          <w:bCs/>
        </w:rPr>
      </w:pPr>
      <w:r w:rsidRPr="00B67327">
        <w:rPr>
          <w:bCs/>
        </w:rPr>
        <w:t xml:space="preserve">Further to </w:t>
      </w:r>
      <w:r w:rsidR="003553D5" w:rsidRPr="00B67327">
        <w:rPr>
          <w:bCs/>
        </w:rPr>
        <w:t>exploring</w:t>
      </w:r>
      <w:r w:rsidRPr="00B67327">
        <w:rPr>
          <w:bCs/>
        </w:rPr>
        <w:t xml:space="preserve"> variation </w:t>
      </w:r>
      <w:r w:rsidR="003553D5" w:rsidRPr="00B67327">
        <w:rPr>
          <w:bCs/>
        </w:rPr>
        <w:t>between the individual clinicians</w:t>
      </w:r>
      <w:r w:rsidR="00B321F7" w:rsidRPr="00B67327">
        <w:rPr>
          <w:bCs/>
        </w:rPr>
        <w:t>’</w:t>
      </w:r>
      <w:r w:rsidR="003553D5" w:rsidRPr="00B67327">
        <w:rPr>
          <w:bCs/>
        </w:rPr>
        <w:t xml:space="preserve"> styles of introducing</w:t>
      </w:r>
      <w:r w:rsidR="0084785B">
        <w:rPr>
          <w:bCs/>
        </w:rPr>
        <w:t xml:space="preserve"> the</w:t>
      </w:r>
      <w:r w:rsidR="003553D5" w:rsidRPr="00B67327">
        <w:rPr>
          <w:bCs/>
        </w:rPr>
        <w:t xml:space="preserve"> </w:t>
      </w:r>
      <w:r w:rsidR="00E567A4" w:rsidRPr="00B67327">
        <w:rPr>
          <w:bCs/>
        </w:rPr>
        <w:t xml:space="preserve">formal cognitive assessment, we found that clinicians would alter their </w:t>
      </w:r>
      <w:r w:rsidR="00571513" w:rsidRPr="00B67327">
        <w:rPr>
          <w:bCs/>
        </w:rPr>
        <w:t xml:space="preserve">own </w:t>
      </w:r>
      <w:r w:rsidR="00E567A4" w:rsidRPr="00B67327">
        <w:rPr>
          <w:bCs/>
        </w:rPr>
        <w:t xml:space="preserve">practice for different patients. </w:t>
      </w:r>
      <w:r w:rsidR="00C754F3" w:rsidRPr="00B67327">
        <w:rPr>
          <w:bCs/>
        </w:rPr>
        <w:t xml:space="preserve">The clinicians in the </w:t>
      </w:r>
      <w:r w:rsidR="003553D5" w:rsidRPr="00B67327">
        <w:rPr>
          <w:bCs/>
        </w:rPr>
        <w:t xml:space="preserve">memory </w:t>
      </w:r>
      <w:r w:rsidR="00C754F3" w:rsidRPr="00B67327">
        <w:rPr>
          <w:bCs/>
        </w:rPr>
        <w:t xml:space="preserve">clinic informed us </w:t>
      </w:r>
      <w:r w:rsidR="00571513" w:rsidRPr="00B67327">
        <w:rPr>
          <w:bCs/>
        </w:rPr>
        <w:t xml:space="preserve">during informal discussions </w:t>
      </w:r>
      <w:r w:rsidR="00C754F3" w:rsidRPr="00B67327">
        <w:rPr>
          <w:bCs/>
        </w:rPr>
        <w:t>that they generally form an initial impression of the patients</w:t>
      </w:r>
      <w:r w:rsidR="009B19D4" w:rsidRPr="00B67327">
        <w:rPr>
          <w:bCs/>
        </w:rPr>
        <w:t>’</w:t>
      </w:r>
      <w:r w:rsidR="00C754F3" w:rsidRPr="00B67327">
        <w:rPr>
          <w:bCs/>
        </w:rPr>
        <w:t xml:space="preserve"> abilities during history–taking. They </w:t>
      </w:r>
      <w:r w:rsidR="00B155F6" w:rsidRPr="00B67327">
        <w:rPr>
          <w:bCs/>
        </w:rPr>
        <w:t xml:space="preserve">reported </w:t>
      </w:r>
      <w:r w:rsidR="00C754F3" w:rsidRPr="00B67327">
        <w:rPr>
          <w:bCs/>
        </w:rPr>
        <w:t>that within the first five minutes of talking to the patient they have</w:t>
      </w:r>
      <w:r w:rsidR="00B155F6" w:rsidRPr="00B67327">
        <w:rPr>
          <w:bCs/>
        </w:rPr>
        <w:t xml:space="preserve"> generally</w:t>
      </w:r>
      <w:r w:rsidR="00C754F3" w:rsidRPr="00B67327">
        <w:rPr>
          <w:bCs/>
        </w:rPr>
        <w:t xml:space="preserve"> formed a “working diagnosis”.</w:t>
      </w:r>
      <w:r w:rsidR="0075263D" w:rsidRPr="00B67327">
        <w:rPr>
          <w:bCs/>
        </w:rPr>
        <w:t xml:space="preserve"> </w:t>
      </w:r>
      <w:r w:rsidR="00081D0D" w:rsidRPr="00B67327">
        <w:rPr>
          <w:bCs/>
        </w:rPr>
        <w:t>Clinicians often use an initial “gut-feeling” as part of their clinical decision-making (</w:t>
      </w:r>
      <w:proofErr w:type="spellStart"/>
      <w:r w:rsidR="00081D0D" w:rsidRPr="00B67327">
        <w:rPr>
          <w:bCs/>
        </w:rPr>
        <w:t>Lindeberg</w:t>
      </w:r>
      <w:proofErr w:type="spellEnd"/>
      <w:r w:rsidR="00081D0D" w:rsidRPr="00B67327">
        <w:rPr>
          <w:bCs/>
        </w:rPr>
        <w:t xml:space="preserve"> et al, 2019) and the accuracy of this clinical impression on determining </w:t>
      </w:r>
      <w:proofErr w:type="gramStart"/>
      <w:r w:rsidR="00081D0D" w:rsidRPr="00B67327">
        <w:rPr>
          <w:bCs/>
        </w:rPr>
        <w:t>an</w:t>
      </w:r>
      <w:proofErr w:type="gramEnd"/>
      <w:r w:rsidR="00081D0D" w:rsidRPr="00B67327">
        <w:rPr>
          <w:bCs/>
        </w:rPr>
        <w:t xml:space="preserve"> </w:t>
      </w:r>
      <w:r w:rsidR="0084785B" w:rsidRPr="00B67327">
        <w:rPr>
          <w:bCs/>
        </w:rPr>
        <w:t>correct</w:t>
      </w:r>
      <w:r w:rsidR="00081D0D" w:rsidRPr="00B67327">
        <w:rPr>
          <w:bCs/>
        </w:rPr>
        <w:t xml:space="preserve"> diagnosis has been </w:t>
      </w:r>
      <w:r w:rsidR="00AF055A">
        <w:rPr>
          <w:bCs/>
        </w:rPr>
        <w:t xml:space="preserve">positively </w:t>
      </w:r>
      <w:r w:rsidR="00081D0D" w:rsidRPr="00B67327">
        <w:rPr>
          <w:bCs/>
        </w:rPr>
        <w:t xml:space="preserve">assessed (Pond et al, 2013). </w:t>
      </w:r>
      <w:r w:rsidR="00C754F3" w:rsidRPr="00B67327">
        <w:rPr>
          <w:bCs/>
        </w:rPr>
        <w:t>With this in mind</w:t>
      </w:r>
      <w:r w:rsidR="00B155F6" w:rsidRPr="00B67327">
        <w:rPr>
          <w:bCs/>
        </w:rPr>
        <w:t xml:space="preserve">, we suggest </w:t>
      </w:r>
      <w:r w:rsidR="00C754F3" w:rsidRPr="00B67327">
        <w:rPr>
          <w:bCs/>
        </w:rPr>
        <w:t xml:space="preserve">that </w:t>
      </w:r>
      <w:r w:rsidR="00CB6F51" w:rsidRPr="00B67327">
        <w:rPr>
          <w:bCs/>
        </w:rPr>
        <w:t>clinicians</w:t>
      </w:r>
      <w:r w:rsidR="00B155F6" w:rsidRPr="00B67327">
        <w:rPr>
          <w:bCs/>
        </w:rPr>
        <w:t xml:space="preserve"> may</w:t>
      </w:r>
      <w:r w:rsidR="00CB6F51" w:rsidRPr="00B67327">
        <w:rPr>
          <w:bCs/>
        </w:rPr>
        <w:t xml:space="preserve"> </w:t>
      </w:r>
      <w:r w:rsidR="00622A95">
        <w:rPr>
          <w:bCs/>
        </w:rPr>
        <w:t xml:space="preserve">be </w:t>
      </w:r>
      <w:r w:rsidR="00CB6F51" w:rsidRPr="00B67327">
        <w:rPr>
          <w:bCs/>
        </w:rPr>
        <w:t>adapt</w:t>
      </w:r>
      <w:r w:rsidR="00622A95">
        <w:rPr>
          <w:bCs/>
        </w:rPr>
        <w:t>ing</w:t>
      </w:r>
      <w:r w:rsidR="00CB6F51" w:rsidRPr="00B67327">
        <w:rPr>
          <w:bCs/>
        </w:rPr>
        <w:t xml:space="preserve"> the</w:t>
      </w:r>
      <w:r w:rsidR="00B155F6" w:rsidRPr="00B67327">
        <w:rPr>
          <w:bCs/>
        </w:rPr>
        <w:t>ir</w:t>
      </w:r>
      <w:r w:rsidR="00CB6F51" w:rsidRPr="00B67327">
        <w:rPr>
          <w:bCs/>
        </w:rPr>
        <w:t xml:space="preserve"> </w:t>
      </w:r>
      <w:r w:rsidR="00C754F3" w:rsidRPr="00B67327">
        <w:rPr>
          <w:bCs/>
        </w:rPr>
        <w:t xml:space="preserve">administration of the cognitive assessment tool </w:t>
      </w:r>
      <w:r w:rsidR="00B155F6" w:rsidRPr="00B67327">
        <w:rPr>
          <w:bCs/>
        </w:rPr>
        <w:t xml:space="preserve">according to </w:t>
      </w:r>
      <w:r w:rsidR="00C754F3" w:rsidRPr="00B67327">
        <w:rPr>
          <w:bCs/>
        </w:rPr>
        <w:t>the</w:t>
      </w:r>
      <w:r w:rsidR="00CB6F51" w:rsidRPr="00B67327">
        <w:rPr>
          <w:bCs/>
        </w:rPr>
        <w:t xml:space="preserve">ir working diagnosis. </w:t>
      </w:r>
      <w:r w:rsidR="00622A95">
        <w:rPr>
          <w:bCs/>
        </w:rPr>
        <w:t>That is, in these interactions</w:t>
      </w:r>
      <w:r w:rsidR="00CB6F51" w:rsidRPr="00B67327">
        <w:rPr>
          <w:bCs/>
        </w:rPr>
        <w:t xml:space="preserve">, </w:t>
      </w:r>
      <w:r w:rsidR="00C754F3" w:rsidRPr="00B67327">
        <w:rPr>
          <w:bCs/>
        </w:rPr>
        <w:t xml:space="preserve">clinicians </w:t>
      </w:r>
      <w:r w:rsidR="00622A95">
        <w:rPr>
          <w:bCs/>
        </w:rPr>
        <w:t xml:space="preserve">can </w:t>
      </w:r>
      <w:r w:rsidR="006D1F3C">
        <w:rPr>
          <w:bCs/>
        </w:rPr>
        <w:t xml:space="preserve">be </w:t>
      </w:r>
      <w:r w:rsidR="00622A95">
        <w:rPr>
          <w:bCs/>
        </w:rPr>
        <w:t xml:space="preserve">seen to be </w:t>
      </w:r>
      <w:r w:rsidR="00CB6F51" w:rsidRPr="00B67327">
        <w:rPr>
          <w:bCs/>
        </w:rPr>
        <w:t>(re)</w:t>
      </w:r>
      <w:r w:rsidR="00C754F3" w:rsidRPr="00B67327">
        <w:rPr>
          <w:bCs/>
        </w:rPr>
        <w:t>design</w:t>
      </w:r>
      <w:r w:rsidR="00622A95">
        <w:rPr>
          <w:bCs/>
        </w:rPr>
        <w:t>ing</w:t>
      </w:r>
      <w:r w:rsidR="00C754F3" w:rsidRPr="00B67327">
        <w:rPr>
          <w:bCs/>
        </w:rPr>
        <w:t xml:space="preserve"> aspects of the test to suit the patient’s abilities</w:t>
      </w:r>
      <w:r w:rsidR="00784E6D" w:rsidRPr="00B67327">
        <w:rPr>
          <w:bCs/>
        </w:rPr>
        <w:t xml:space="preserve"> or </w:t>
      </w:r>
      <w:r w:rsidR="00CB6F51" w:rsidRPr="00B67327">
        <w:rPr>
          <w:bCs/>
        </w:rPr>
        <w:t>undert</w:t>
      </w:r>
      <w:r w:rsidR="00622A95">
        <w:rPr>
          <w:bCs/>
        </w:rPr>
        <w:t>aking</w:t>
      </w:r>
      <w:r w:rsidR="00CB6F51" w:rsidRPr="00B67327">
        <w:rPr>
          <w:bCs/>
        </w:rPr>
        <w:t xml:space="preserve"> </w:t>
      </w:r>
      <w:r w:rsidR="00784E6D" w:rsidRPr="00B67327">
        <w:rPr>
          <w:bCs/>
        </w:rPr>
        <w:t xml:space="preserve">extra interactional work to prepare </w:t>
      </w:r>
      <w:r w:rsidR="00B155F6" w:rsidRPr="00B67327">
        <w:rPr>
          <w:bCs/>
        </w:rPr>
        <w:t xml:space="preserve">some </w:t>
      </w:r>
      <w:r w:rsidR="00784E6D" w:rsidRPr="00B67327">
        <w:rPr>
          <w:bCs/>
        </w:rPr>
        <w:t>patients for the potential</w:t>
      </w:r>
      <w:r w:rsidR="00B155F6" w:rsidRPr="00B67327">
        <w:rPr>
          <w:bCs/>
        </w:rPr>
        <w:t>ly</w:t>
      </w:r>
      <w:r w:rsidR="00784E6D" w:rsidRPr="00B67327">
        <w:rPr>
          <w:bCs/>
        </w:rPr>
        <w:t xml:space="preserve"> difficult nature of the test</w:t>
      </w:r>
      <w:r w:rsidR="00C754F3" w:rsidRPr="00B67327">
        <w:rPr>
          <w:bCs/>
        </w:rPr>
        <w:t xml:space="preserve">. </w:t>
      </w:r>
      <w:r w:rsidR="003553D5" w:rsidRPr="00B67327">
        <w:rPr>
          <w:bCs/>
          <w:lang w:val="en-US"/>
        </w:rPr>
        <w:t>This</w:t>
      </w:r>
      <w:r w:rsidR="0067421D" w:rsidRPr="00B67327">
        <w:rPr>
          <w:bCs/>
          <w:lang w:val="en-US"/>
        </w:rPr>
        <w:t xml:space="preserve"> concept of recipient design (Sacks, 1992)</w:t>
      </w:r>
      <w:r w:rsidR="0084785B">
        <w:rPr>
          <w:bCs/>
          <w:lang w:val="en-US"/>
        </w:rPr>
        <w:t xml:space="preserve"> </w:t>
      </w:r>
      <w:r w:rsidR="0067421D" w:rsidRPr="00B67327">
        <w:rPr>
          <w:bCs/>
          <w:lang w:val="en-US"/>
        </w:rPr>
        <w:t xml:space="preserve">relates to the relationship between the tester and recipient of the test. </w:t>
      </w:r>
      <w:r w:rsidR="00C754F3" w:rsidRPr="00B67327">
        <w:rPr>
          <w:bCs/>
        </w:rPr>
        <w:t>This was particularly ev</w:t>
      </w:r>
      <w:r w:rsidR="00CB6F51" w:rsidRPr="00B67327">
        <w:rPr>
          <w:bCs/>
        </w:rPr>
        <w:t>ident</w:t>
      </w:r>
      <w:r w:rsidR="00C754F3" w:rsidRPr="00B67327">
        <w:rPr>
          <w:bCs/>
        </w:rPr>
        <w:t xml:space="preserve"> during the introduction of</w:t>
      </w:r>
      <w:r w:rsidR="00102B11" w:rsidRPr="00B67327">
        <w:rPr>
          <w:bCs/>
        </w:rPr>
        <w:t xml:space="preserve"> the test.</w:t>
      </w:r>
    </w:p>
    <w:p w14:paraId="0AF71A2F" w14:textId="77777777" w:rsidR="00CB6F51" w:rsidRPr="00B67327" w:rsidRDefault="00CB6F51" w:rsidP="00102B11">
      <w:pPr>
        <w:spacing w:line="360" w:lineRule="auto"/>
        <w:jc w:val="both"/>
        <w:rPr>
          <w:bCs/>
        </w:rPr>
      </w:pPr>
    </w:p>
    <w:p w14:paraId="0398DF7E" w14:textId="671F250B" w:rsidR="00903110" w:rsidRPr="00B67327" w:rsidRDefault="00102B11" w:rsidP="00102B11">
      <w:pPr>
        <w:spacing w:line="360" w:lineRule="auto"/>
        <w:jc w:val="both"/>
        <w:rPr>
          <w:bCs/>
          <w:lang w:val="en-US"/>
        </w:rPr>
      </w:pPr>
      <w:r w:rsidRPr="00B67327">
        <w:rPr>
          <w:bCs/>
        </w:rPr>
        <w:lastRenderedPageBreak/>
        <w:t>The two patients in</w:t>
      </w:r>
      <w:r w:rsidR="00C754F3" w:rsidRPr="00B67327">
        <w:rPr>
          <w:bCs/>
        </w:rPr>
        <w:t xml:space="preserve"> extracts</w:t>
      </w:r>
      <w:r w:rsidRPr="00B67327">
        <w:rPr>
          <w:bCs/>
        </w:rPr>
        <w:t xml:space="preserve"> 1 and 2 were given a working diagnosis of </w:t>
      </w:r>
      <w:r w:rsidRPr="00B67327">
        <w:rPr>
          <w:bCs/>
          <w:lang w:val="en-US"/>
        </w:rPr>
        <w:t xml:space="preserve">non-progressive memory problems (which may be summarized under the term </w:t>
      </w:r>
      <w:r w:rsidR="00914511" w:rsidRPr="00B67327">
        <w:rPr>
          <w:bCs/>
          <w:lang w:val="en-US"/>
        </w:rPr>
        <w:t>‘</w:t>
      </w:r>
      <w:r w:rsidRPr="00B67327">
        <w:rPr>
          <w:bCs/>
          <w:lang w:val="en-US"/>
        </w:rPr>
        <w:t xml:space="preserve">functional </w:t>
      </w:r>
      <w:r w:rsidR="00A67C17" w:rsidRPr="00B67327">
        <w:rPr>
          <w:bCs/>
          <w:lang w:val="en-US"/>
        </w:rPr>
        <w:t>cognitive</w:t>
      </w:r>
      <w:r w:rsidRPr="00B67327">
        <w:rPr>
          <w:bCs/>
          <w:lang w:val="en-US"/>
        </w:rPr>
        <w:t xml:space="preserve"> disorder</w:t>
      </w:r>
      <w:r w:rsidR="00914511" w:rsidRPr="00B67327">
        <w:rPr>
          <w:bCs/>
          <w:lang w:val="en-US"/>
        </w:rPr>
        <w:t>’</w:t>
      </w:r>
      <w:r w:rsidR="00A67C17" w:rsidRPr="00B67327">
        <w:rPr>
          <w:bCs/>
          <w:lang w:val="en-US"/>
        </w:rPr>
        <w:t xml:space="preserve"> (FC</w:t>
      </w:r>
      <w:r w:rsidR="004D1879" w:rsidRPr="00B67327">
        <w:rPr>
          <w:bCs/>
          <w:lang w:val="en-US"/>
        </w:rPr>
        <w:t xml:space="preserve">D)) </w:t>
      </w:r>
      <w:r w:rsidRPr="00B67327">
        <w:rPr>
          <w:bCs/>
        </w:rPr>
        <w:t>after the initial consultation and received a formal diagnosis</w:t>
      </w:r>
      <w:r w:rsidR="00C754F3" w:rsidRPr="00B67327">
        <w:rPr>
          <w:bCs/>
        </w:rPr>
        <w:t xml:space="preserve"> </w:t>
      </w:r>
      <w:r w:rsidR="00A67C17" w:rsidRPr="00B67327">
        <w:rPr>
          <w:bCs/>
        </w:rPr>
        <w:t>of FC</w:t>
      </w:r>
      <w:r w:rsidRPr="00B67327">
        <w:rPr>
          <w:bCs/>
        </w:rPr>
        <w:t>D (</w:t>
      </w:r>
      <w:r w:rsidR="00A67C17" w:rsidRPr="00B67327">
        <w:rPr>
          <w:bCs/>
          <w:lang w:val="en-US"/>
        </w:rPr>
        <w:t>Pennington, et al 2015</w:t>
      </w:r>
      <w:r w:rsidRPr="00B67327">
        <w:rPr>
          <w:bCs/>
          <w:lang w:val="en-US"/>
        </w:rPr>
        <w:t>).</w:t>
      </w:r>
      <w:r w:rsidR="004D1879" w:rsidRPr="00B67327">
        <w:rPr>
          <w:bCs/>
        </w:rPr>
        <w:t xml:space="preserve"> In contrast, the following patients</w:t>
      </w:r>
      <w:r w:rsidR="00B155F6" w:rsidRPr="00B67327">
        <w:rPr>
          <w:bCs/>
        </w:rPr>
        <w:t xml:space="preserve"> (Extracts 3 and 4)</w:t>
      </w:r>
      <w:r w:rsidR="004D1879" w:rsidRPr="00B67327">
        <w:rPr>
          <w:bCs/>
        </w:rPr>
        <w:t xml:space="preserve"> </w:t>
      </w:r>
      <w:r w:rsidR="00AD39D7" w:rsidRPr="00B67327">
        <w:rPr>
          <w:bCs/>
        </w:rPr>
        <w:t>both received a dementia diagnosis</w:t>
      </w:r>
      <w:r w:rsidR="00CB6F51" w:rsidRPr="00B67327">
        <w:rPr>
          <w:bCs/>
        </w:rPr>
        <w:t xml:space="preserve"> from the same clinician</w:t>
      </w:r>
      <w:r w:rsidR="00B36B22">
        <w:rPr>
          <w:bCs/>
        </w:rPr>
        <w:t xml:space="preserve"> (Neu1)</w:t>
      </w:r>
      <w:r w:rsidR="00CB6F51" w:rsidRPr="00B67327">
        <w:rPr>
          <w:bCs/>
        </w:rPr>
        <w:t>.</w:t>
      </w:r>
      <w:r w:rsidR="00A50EDB">
        <w:rPr>
          <w:bCs/>
        </w:rPr>
        <w:t xml:space="preserve"> Prior to </w:t>
      </w:r>
      <w:r w:rsidR="00AF055A">
        <w:rPr>
          <w:bCs/>
        </w:rPr>
        <w:t>extract 3</w:t>
      </w:r>
      <w:r w:rsidR="00A50EDB">
        <w:rPr>
          <w:bCs/>
        </w:rPr>
        <w:t xml:space="preserve"> the patient had been asked a series of questions requiring her to recall several details regarding her family’s medical history, which she was struggling to recall, informing the clinician that he was “asking difficult questions”. </w:t>
      </w:r>
    </w:p>
    <w:p w14:paraId="1F334E51" w14:textId="77777777" w:rsidR="00A514AA" w:rsidRPr="00B67327" w:rsidRDefault="00A514AA" w:rsidP="00A514AA">
      <w:pPr>
        <w:spacing w:line="360" w:lineRule="auto"/>
        <w:jc w:val="both"/>
        <w:rPr>
          <w:bCs/>
        </w:rPr>
      </w:pPr>
    </w:p>
    <w:p w14:paraId="38978065" w14:textId="16B9CF37" w:rsidR="00A514AA" w:rsidRDefault="007D03D9" w:rsidP="00A514AA">
      <w:pPr>
        <w:spacing w:line="360" w:lineRule="auto"/>
        <w:jc w:val="both"/>
        <w:rPr>
          <w:bCs/>
        </w:rPr>
      </w:pPr>
      <w:r w:rsidRPr="00B67327">
        <w:rPr>
          <w:bCs/>
        </w:rPr>
        <w:t>Extract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6014C5" w:rsidRPr="00960A70" w14:paraId="6ABFD235" w14:textId="77777777" w:rsidTr="006014C5">
        <w:tc>
          <w:tcPr>
            <w:tcW w:w="561" w:type="dxa"/>
          </w:tcPr>
          <w:p w14:paraId="76A96208"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5B22B847"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52" w:type="dxa"/>
          </w:tcPr>
          <w:p w14:paraId="5E046C69" w14:textId="63C77EB2"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So I’m </w:t>
            </w:r>
            <w:proofErr w:type="spellStart"/>
            <w:r w:rsidRPr="00960A70">
              <w:rPr>
                <w:rFonts w:ascii="Courier New" w:hAnsi="Courier New" w:cs="Courier New"/>
                <w:bCs/>
                <w:sz w:val="20"/>
                <w:szCs w:val="20"/>
              </w:rPr>
              <w:t>gonna</w:t>
            </w:r>
            <w:proofErr w:type="spellEnd"/>
            <w:r w:rsidRPr="00960A70">
              <w:rPr>
                <w:rFonts w:ascii="Courier New" w:hAnsi="Courier New" w:cs="Courier New"/>
                <w:bCs/>
                <w:sz w:val="20"/>
                <w:szCs w:val="20"/>
              </w:rPr>
              <w:t xml:space="preserve"> do a memory test on you </w:t>
            </w:r>
            <w:proofErr w:type="gramStart"/>
            <w:r w:rsidRPr="00960A70">
              <w:rPr>
                <w:rFonts w:ascii="Courier New" w:hAnsi="Courier New" w:cs="Courier New"/>
                <w:bCs/>
                <w:sz w:val="20"/>
                <w:szCs w:val="20"/>
              </w:rPr>
              <w:t>now.=</w:t>
            </w:r>
            <w:proofErr w:type="gramEnd"/>
            <w:r w:rsidRPr="00960A70">
              <w:rPr>
                <w:rFonts w:ascii="Courier New" w:hAnsi="Courier New" w:cs="Courier New"/>
                <w:bCs/>
                <w:sz w:val="20"/>
                <w:szCs w:val="20"/>
              </w:rPr>
              <w:t>Okay,</w:t>
            </w:r>
          </w:p>
        </w:tc>
      </w:tr>
      <w:tr w:rsidR="006014C5" w:rsidRPr="00960A70" w14:paraId="65CDA78A" w14:textId="77777777" w:rsidTr="006014C5">
        <w:tc>
          <w:tcPr>
            <w:tcW w:w="561" w:type="dxa"/>
          </w:tcPr>
          <w:p w14:paraId="5BF021D4"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264EB568"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52" w:type="dxa"/>
          </w:tcPr>
          <w:p w14:paraId="34922622" w14:textId="7D0C201E"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°Yeah°. </w:t>
            </w:r>
            <w:proofErr w:type="gramStart"/>
            <w:r w:rsidRPr="00960A70">
              <w:rPr>
                <w:rFonts w:ascii="Courier New" w:hAnsi="Courier New" w:cs="Courier New"/>
                <w:bCs/>
                <w:sz w:val="20"/>
                <w:szCs w:val="20"/>
              </w:rPr>
              <w:t>.shih</w:t>
            </w:r>
            <w:proofErr w:type="gramEnd"/>
            <w:r w:rsidRPr="00960A70">
              <w:rPr>
                <w:rFonts w:ascii="Courier New" w:hAnsi="Courier New" w:cs="Courier New"/>
                <w:bCs/>
                <w:sz w:val="20"/>
                <w:szCs w:val="20"/>
              </w:rPr>
              <w:t>((</w:t>
            </w:r>
            <w:r w:rsidRPr="00960A70">
              <w:rPr>
                <w:rFonts w:ascii="Courier New" w:hAnsi="Courier New" w:cs="Courier New"/>
                <w:bCs/>
                <w:i/>
                <w:sz w:val="20"/>
                <w:szCs w:val="20"/>
              </w:rPr>
              <w:t>sniff</w:t>
            </w:r>
            <w:r w:rsidRPr="00960A70">
              <w:rPr>
                <w:rFonts w:ascii="Courier New" w:hAnsi="Courier New" w:cs="Courier New"/>
                <w:bCs/>
                <w:sz w:val="20"/>
                <w:szCs w:val="20"/>
              </w:rPr>
              <w:t>))</w:t>
            </w:r>
          </w:p>
        </w:tc>
      </w:tr>
      <w:tr w:rsidR="006014C5" w:rsidRPr="00960A70" w14:paraId="378D254E" w14:textId="77777777" w:rsidTr="006014C5">
        <w:tc>
          <w:tcPr>
            <w:tcW w:w="561" w:type="dxa"/>
          </w:tcPr>
          <w:p w14:paraId="1DA13406" w14:textId="77777777"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4C558A51" w14:textId="45D7AE25" w:rsidR="006014C5" w:rsidRPr="00960A70" w:rsidRDefault="006014C5" w:rsidP="007519D9">
            <w:pPr>
              <w:spacing w:line="360" w:lineRule="auto"/>
              <w:jc w:val="both"/>
              <w:rPr>
                <w:rFonts w:ascii="Courier New" w:hAnsi="Courier New" w:cs="Courier New"/>
                <w:bCs/>
                <w:sz w:val="20"/>
                <w:szCs w:val="20"/>
              </w:rPr>
            </w:pPr>
          </w:p>
        </w:tc>
        <w:tc>
          <w:tcPr>
            <w:tcW w:w="6852" w:type="dxa"/>
          </w:tcPr>
          <w:p w14:paraId="08A831DA" w14:textId="7082C9F3"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r>
      <w:tr w:rsidR="006014C5" w:rsidRPr="00960A70" w14:paraId="069716B7" w14:textId="77777777" w:rsidTr="006014C5">
        <w:tc>
          <w:tcPr>
            <w:tcW w:w="561" w:type="dxa"/>
          </w:tcPr>
          <w:p w14:paraId="663441D4" w14:textId="556D396B"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7DCE5E3E" w14:textId="7D8A3C3D"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52" w:type="dxa"/>
          </w:tcPr>
          <w:p w14:paraId="710276DE" w14:textId="4A2C1CB9" w:rsidR="006014C5" w:rsidRPr="00960A70" w:rsidRDefault="006014C5"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So</w:t>
            </w:r>
            <w:proofErr w:type="gramEnd"/>
            <w:r w:rsidRPr="00960A70">
              <w:rPr>
                <w:rFonts w:ascii="Courier New" w:hAnsi="Courier New" w:cs="Courier New"/>
                <w:bCs/>
                <w:sz w:val="20"/>
                <w:szCs w:val="20"/>
              </w:rPr>
              <w:t xml:space="preserve"> these are (.) </w:t>
            </w:r>
            <w:r w:rsidRPr="00960A70">
              <w:rPr>
                <w:rFonts w:ascii="Courier New" w:hAnsi="Courier New" w:cs="Courier New"/>
                <w:bCs/>
                <w:sz w:val="20"/>
                <w:szCs w:val="20"/>
                <w:u w:val="single"/>
              </w:rPr>
              <w:t>des</w:t>
            </w:r>
            <w:r w:rsidRPr="00960A70">
              <w:rPr>
                <w:rFonts w:ascii="Courier New" w:hAnsi="Courier New" w:cs="Courier New"/>
                <w:bCs/>
                <w:sz w:val="20"/>
                <w:szCs w:val="20"/>
              </w:rPr>
              <w:t>igned to be a</w:t>
            </w:r>
          </w:p>
        </w:tc>
      </w:tr>
      <w:tr w:rsidR="006014C5" w:rsidRPr="00960A70" w14:paraId="10A82E51" w14:textId="77777777" w:rsidTr="006014C5">
        <w:tc>
          <w:tcPr>
            <w:tcW w:w="561" w:type="dxa"/>
          </w:tcPr>
          <w:p w14:paraId="7BC9A251" w14:textId="5E574098"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0164FF95" w14:textId="77777777" w:rsidR="006014C5" w:rsidRPr="00960A70" w:rsidRDefault="006014C5" w:rsidP="007519D9">
            <w:pPr>
              <w:spacing w:line="360" w:lineRule="auto"/>
              <w:jc w:val="both"/>
              <w:rPr>
                <w:rFonts w:ascii="Courier New" w:hAnsi="Courier New" w:cs="Courier New"/>
                <w:bCs/>
                <w:sz w:val="20"/>
                <w:szCs w:val="20"/>
              </w:rPr>
            </w:pPr>
          </w:p>
        </w:tc>
        <w:tc>
          <w:tcPr>
            <w:tcW w:w="6852" w:type="dxa"/>
          </w:tcPr>
          <w:p w14:paraId="1AAD97E0" w14:textId="7AA0A934"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bit tricky a[n::.</w:t>
            </w:r>
            <w:proofErr w:type="spellStart"/>
            <w:proofErr w:type="gramStart"/>
            <w:r w:rsidRPr="00960A70">
              <w:rPr>
                <w:rFonts w:ascii="Courier New" w:hAnsi="Courier New" w:cs="Courier New"/>
                <w:bCs/>
                <w:sz w:val="20"/>
                <w:szCs w:val="20"/>
              </w:rPr>
              <w:t>st</w:t>
            </w:r>
            <w:proofErr w:type="spellEnd"/>
            <w:r w:rsidRPr="00960A70">
              <w:rPr>
                <w:rFonts w:ascii="Courier New" w:hAnsi="Courier New" w:cs="Courier New"/>
                <w:bCs/>
                <w:sz w:val="20"/>
                <w:szCs w:val="20"/>
              </w:rPr>
              <w:t>]retch</w:t>
            </w:r>
            <w:proofErr w:type="gramEnd"/>
            <w:r w:rsidRPr="00960A70">
              <w:rPr>
                <w:rFonts w:ascii="Courier New" w:hAnsi="Courier New" w:cs="Courier New"/>
                <w:bCs/>
                <w:sz w:val="20"/>
                <w:szCs w:val="20"/>
              </w:rPr>
              <w:t xml:space="preserve"> your memory,</w:t>
            </w:r>
          </w:p>
        </w:tc>
      </w:tr>
      <w:tr w:rsidR="006014C5" w:rsidRPr="00960A70" w14:paraId="7FB9E3ED" w14:textId="77777777" w:rsidTr="006014C5">
        <w:tc>
          <w:tcPr>
            <w:tcW w:w="561" w:type="dxa"/>
          </w:tcPr>
          <w:p w14:paraId="333084B9" w14:textId="7963F308"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676076D2" w14:textId="310A3D18"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52" w:type="dxa"/>
          </w:tcPr>
          <w:p w14:paraId="7ABB5507" w14:textId="41A3981A"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            [Yeah</w:t>
            </w:r>
            <w:proofErr w:type="gramStart"/>
            <w:r w:rsidRPr="00960A70">
              <w:rPr>
                <w:rFonts w:ascii="Courier New" w:hAnsi="Courier New" w:cs="Courier New"/>
                <w:bCs/>
                <w:sz w:val="20"/>
                <w:szCs w:val="20"/>
              </w:rPr>
              <w:t>. ]</w:t>
            </w:r>
            <w:proofErr w:type="gramEnd"/>
            <w:r w:rsidRPr="00960A70">
              <w:rPr>
                <w:rFonts w:ascii="Courier New" w:hAnsi="Courier New" w:cs="Courier New"/>
                <w:bCs/>
                <w:sz w:val="20"/>
                <w:szCs w:val="20"/>
              </w:rPr>
              <w:t xml:space="preserve">    </w:t>
            </w:r>
          </w:p>
        </w:tc>
      </w:tr>
      <w:tr w:rsidR="006014C5" w:rsidRPr="00960A70" w14:paraId="7D4253AE" w14:textId="77777777" w:rsidTr="006014C5">
        <w:tc>
          <w:tcPr>
            <w:tcW w:w="561" w:type="dxa"/>
          </w:tcPr>
          <w:p w14:paraId="38F7999B" w14:textId="6D37FA19"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0DCC9080" w14:textId="2337C71D"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7BD03305" w14:textId="1EDE92DE" w:rsidR="006014C5" w:rsidRPr="00960A70" w:rsidRDefault="006014C5"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So</w:t>
            </w:r>
            <w:proofErr w:type="gramEnd"/>
            <w:r w:rsidRPr="00960A70">
              <w:rPr>
                <w:rFonts w:ascii="Courier New" w:hAnsi="Courier New" w:cs="Courier New"/>
                <w:bCs/>
                <w:sz w:val="20"/>
                <w:szCs w:val="20"/>
              </w:rPr>
              <w:t xml:space="preserve"> it’d be ((similar to-)) (.) but even h</w:t>
            </w:r>
            <w:r w:rsidRPr="00960A70">
              <w:rPr>
                <w:rFonts w:ascii="Courier New" w:hAnsi="Courier New" w:cs="Courier New"/>
                <w:bCs/>
                <w:sz w:val="20"/>
                <w:szCs w:val="20"/>
                <w:u w:val="single"/>
              </w:rPr>
              <w:t>ar</w:t>
            </w:r>
            <w:r w:rsidRPr="00960A70">
              <w:rPr>
                <w:rFonts w:ascii="Courier New" w:hAnsi="Courier New" w:cs="Courier New"/>
                <w:bCs/>
                <w:sz w:val="20"/>
                <w:szCs w:val="20"/>
              </w:rPr>
              <w:t>der</w:t>
            </w:r>
          </w:p>
        </w:tc>
      </w:tr>
      <w:tr w:rsidR="006014C5" w:rsidRPr="00960A70" w14:paraId="6C6F124A" w14:textId="77777777" w:rsidTr="006014C5">
        <w:tc>
          <w:tcPr>
            <w:tcW w:w="561" w:type="dxa"/>
          </w:tcPr>
          <w:p w14:paraId="26DC6C88" w14:textId="50AF51D3"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713C658F" w14:textId="77777777" w:rsidR="006014C5" w:rsidRPr="00960A70" w:rsidRDefault="006014C5" w:rsidP="007519D9">
            <w:pPr>
              <w:spacing w:line="360" w:lineRule="auto"/>
              <w:jc w:val="both"/>
              <w:rPr>
                <w:rFonts w:ascii="Courier New" w:hAnsi="Courier New" w:cs="Courier New"/>
                <w:bCs/>
                <w:sz w:val="20"/>
                <w:szCs w:val="20"/>
              </w:rPr>
            </w:pPr>
          </w:p>
        </w:tc>
        <w:tc>
          <w:tcPr>
            <w:tcW w:w="6852" w:type="dxa"/>
          </w:tcPr>
          <w:p w14:paraId="35111C15" w14:textId="2C9A74F3"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questions unfortunately for </w:t>
            </w:r>
            <w:proofErr w:type="gramStart"/>
            <w:r w:rsidRPr="00960A70">
              <w:rPr>
                <w:rFonts w:ascii="Courier New" w:hAnsi="Courier New" w:cs="Courier New"/>
                <w:bCs/>
                <w:sz w:val="20"/>
                <w:szCs w:val="20"/>
              </w:rPr>
              <w:t>you:,</w:t>
            </w:r>
            <w:proofErr w:type="gramEnd"/>
          </w:p>
        </w:tc>
      </w:tr>
      <w:tr w:rsidR="006014C5" w:rsidRPr="00960A70" w14:paraId="439F3584" w14:textId="77777777" w:rsidTr="006014C5">
        <w:tc>
          <w:tcPr>
            <w:tcW w:w="561" w:type="dxa"/>
          </w:tcPr>
          <w:p w14:paraId="1F7D95D0" w14:textId="577C5FA4"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2FE90E93" w14:textId="77777777" w:rsidR="006014C5" w:rsidRPr="00960A70" w:rsidRDefault="006014C5" w:rsidP="007519D9">
            <w:pPr>
              <w:spacing w:line="360" w:lineRule="auto"/>
              <w:jc w:val="both"/>
              <w:rPr>
                <w:rFonts w:ascii="Courier New" w:hAnsi="Courier New" w:cs="Courier New"/>
                <w:bCs/>
                <w:sz w:val="20"/>
                <w:szCs w:val="20"/>
              </w:rPr>
            </w:pPr>
          </w:p>
        </w:tc>
        <w:tc>
          <w:tcPr>
            <w:tcW w:w="6852" w:type="dxa"/>
          </w:tcPr>
          <w:p w14:paraId="1AE0F838" w14:textId="31A3DCA1"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w:t>
            </w:r>
          </w:p>
        </w:tc>
      </w:tr>
      <w:tr w:rsidR="006014C5" w:rsidRPr="00960A70" w14:paraId="1050FFFF" w14:textId="77777777" w:rsidTr="006014C5">
        <w:tc>
          <w:tcPr>
            <w:tcW w:w="561" w:type="dxa"/>
          </w:tcPr>
          <w:p w14:paraId="6E924FCC" w14:textId="5A8F21BF"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7E0C2A56" w14:textId="0FB3C046"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33C10E5E" w14:textId="433EDF7A" w:rsidR="006014C5" w:rsidRPr="00960A70" w:rsidRDefault="006014C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Erm: so, (.) what day is it today?</w:t>
            </w:r>
          </w:p>
        </w:tc>
      </w:tr>
    </w:tbl>
    <w:p w14:paraId="3C33EEF6" w14:textId="30AC13B9" w:rsidR="00A514AA" w:rsidRPr="006014C5" w:rsidRDefault="00A514AA" w:rsidP="00A514AA">
      <w:pPr>
        <w:spacing w:line="360" w:lineRule="auto"/>
        <w:jc w:val="both"/>
        <w:rPr>
          <w:rFonts w:ascii="Courier New" w:hAnsi="Courier New" w:cs="Courier New"/>
          <w:bCs/>
          <w:sz w:val="22"/>
          <w:szCs w:val="22"/>
        </w:rPr>
      </w:pPr>
      <w:r w:rsidRPr="00B67327">
        <w:rPr>
          <w:rFonts w:ascii="Courier New" w:hAnsi="Courier New" w:cs="Courier New"/>
          <w:bCs/>
          <w:sz w:val="22"/>
          <w:szCs w:val="22"/>
        </w:rPr>
        <w:t xml:space="preserve">    </w:t>
      </w:r>
      <w:r w:rsidR="00B36B22">
        <w:rPr>
          <w:rFonts w:ascii="Courier New" w:hAnsi="Courier New" w:cs="Courier New"/>
          <w:bCs/>
          <w:sz w:val="22"/>
          <w:szCs w:val="22"/>
        </w:rPr>
        <w:t xml:space="preserve"> </w:t>
      </w:r>
      <w:r w:rsidRPr="00B67327">
        <w:rPr>
          <w:rFonts w:ascii="Courier New" w:hAnsi="Courier New" w:cs="Courier New"/>
          <w:bCs/>
          <w:sz w:val="22"/>
          <w:szCs w:val="22"/>
        </w:rPr>
        <w:t xml:space="preserve"> </w:t>
      </w:r>
    </w:p>
    <w:p w14:paraId="1E274450" w14:textId="722A47F9" w:rsidR="0067421D" w:rsidRPr="00B67327" w:rsidRDefault="00CB6F51" w:rsidP="00010E13">
      <w:pPr>
        <w:spacing w:line="360" w:lineRule="auto"/>
        <w:jc w:val="both"/>
        <w:rPr>
          <w:bCs/>
        </w:rPr>
      </w:pPr>
      <w:r w:rsidRPr="00B67327">
        <w:rPr>
          <w:bCs/>
        </w:rPr>
        <w:t>Extract 3</w:t>
      </w:r>
      <w:r w:rsidR="00DD2470" w:rsidRPr="00B67327">
        <w:rPr>
          <w:bCs/>
        </w:rPr>
        <w:t xml:space="preserve"> </w:t>
      </w:r>
      <w:r w:rsidRPr="00B67327">
        <w:rPr>
          <w:bCs/>
        </w:rPr>
        <w:t>begins</w:t>
      </w:r>
      <w:r w:rsidR="00DD2470" w:rsidRPr="00B67327">
        <w:rPr>
          <w:bCs/>
        </w:rPr>
        <w:t xml:space="preserve"> in a very similar manner to the previous two extracts, with the clinician informing the patient that </w:t>
      </w:r>
      <w:r w:rsidRPr="00B67327">
        <w:rPr>
          <w:bCs/>
        </w:rPr>
        <w:t xml:space="preserve">a memory test will ensue </w:t>
      </w:r>
      <w:r w:rsidR="00DD2470" w:rsidRPr="00B67327">
        <w:rPr>
          <w:bCs/>
        </w:rPr>
        <w:t>(line 1)</w:t>
      </w:r>
      <w:r w:rsidR="00070538" w:rsidRPr="00B67327">
        <w:rPr>
          <w:bCs/>
        </w:rPr>
        <w:t>,</w:t>
      </w:r>
      <w:r w:rsidR="00DD2470" w:rsidRPr="00B67327">
        <w:rPr>
          <w:bCs/>
        </w:rPr>
        <w:t xml:space="preserve"> and </w:t>
      </w:r>
      <w:r w:rsidRPr="00B67327">
        <w:rPr>
          <w:bCs/>
        </w:rPr>
        <w:t xml:space="preserve">(nominally) </w:t>
      </w:r>
      <w:r w:rsidR="00DD2470" w:rsidRPr="00B67327">
        <w:rPr>
          <w:bCs/>
        </w:rPr>
        <w:t xml:space="preserve">seeking consent, “Okay” (line 1). Although the patient confirms </w:t>
      </w:r>
      <w:r w:rsidRPr="00B67327">
        <w:rPr>
          <w:bCs/>
        </w:rPr>
        <w:t>readiness/willingness</w:t>
      </w:r>
      <w:r w:rsidR="00DD2470" w:rsidRPr="00B67327">
        <w:rPr>
          <w:bCs/>
        </w:rPr>
        <w:t xml:space="preserve"> to perform the test</w:t>
      </w:r>
      <w:r w:rsidRPr="00B67327">
        <w:rPr>
          <w:bCs/>
        </w:rPr>
        <w:t xml:space="preserve"> - </w:t>
      </w:r>
      <w:r w:rsidR="00DD2470" w:rsidRPr="00B67327">
        <w:rPr>
          <w:bCs/>
        </w:rPr>
        <w:t>“Yeah” (line 2)</w:t>
      </w:r>
      <w:r w:rsidRPr="00B67327">
        <w:rPr>
          <w:bCs/>
        </w:rPr>
        <w:t xml:space="preserve"> - </w:t>
      </w:r>
      <w:r w:rsidR="00DD2470" w:rsidRPr="00B67327">
        <w:rPr>
          <w:bCs/>
        </w:rPr>
        <w:t>this is said very quietly</w:t>
      </w:r>
      <w:r w:rsidR="007E6669" w:rsidRPr="00B67327">
        <w:rPr>
          <w:bCs/>
        </w:rPr>
        <w:t xml:space="preserve"> and is </w:t>
      </w:r>
      <w:r w:rsidRPr="00B67327">
        <w:rPr>
          <w:bCs/>
        </w:rPr>
        <w:t>followed</w:t>
      </w:r>
      <w:r w:rsidR="007E6669" w:rsidRPr="00B67327">
        <w:rPr>
          <w:bCs/>
        </w:rPr>
        <w:t xml:space="preserve"> by a</w:t>
      </w:r>
      <w:r w:rsidRPr="00B67327">
        <w:rPr>
          <w:bCs/>
        </w:rPr>
        <w:t>n audible</w:t>
      </w:r>
      <w:r w:rsidR="007E6669" w:rsidRPr="00B67327">
        <w:rPr>
          <w:bCs/>
        </w:rPr>
        <w:t xml:space="preserve"> sniff</w:t>
      </w:r>
      <w:r w:rsidR="00DD2470" w:rsidRPr="00B67327">
        <w:rPr>
          <w:bCs/>
        </w:rPr>
        <w:t xml:space="preserve">. </w:t>
      </w:r>
      <w:r w:rsidRPr="00B67327">
        <w:rPr>
          <w:bCs/>
        </w:rPr>
        <w:t>S</w:t>
      </w:r>
      <w:r w:rsidR="007E6669" w:rsidRPr="00B67327">
        <w:rPr>
          <w:bCs/>
        </w:rPr>
        <w:t>ni</w:t>
      </w:r>
      <w:r w:rsidR="007E6669" w:rsidRPr="00B67327">
        <w:rPr>
          <w:rFonts w:ascii="Palatino Linotype" w:hAnsi="Palatino Linotype" w:cs="Palatino Linotype"/>
          <w:bCs/>
        </w:rPr>
        <w:t>ﬃ</w:t>
      </w:r>
      <w:r w:rsidR="007E6669" w:rsidRPr="00B67327">
        <w:rPr>
          <w:bCs/>
        </w:rPr>
        <w:t xml:space="preserve">ng </w:t>
      </w:r>
      <w:r w:rsidR="00A50EDB">
        <w:rPr>
          <w:bCs/>
        </w:rPr>
        <w:t>can be interactionally relevant</w:t>
      </w:r>
      <w:r w:rsidR="007E6669" w:rsidRPr="00B67327">
        <w:rPr>
          <w:bCs/>
        </w:rPr>
        <w:t xml:space="preserve"> (</w:t>
      </w:r>
      <w:r w:rsidR="00A50EDB">
        <w:rPr>
          <w:bCs/>
        </w:rPr>
        <w:t xml:space="preserve">Hepburn, 2004; </w:t>
      </w:r>
      <w:proofErr w:type="spellStart"/>
      <w:r w:rsidR="007E6669" w:rsidRPr="00B67327">
        <w:rPr>
          <w:bCs/>
        </w:rPr>
        <w:t>Hoey</w:t>
      </w:r>
      <w:proofErr w:type="spellEnd"/>
      <w:r w:rsidR="007E6669" w:rsidRPr="00B67327">
        <w:rPr>
          <w:bCs/>
        </w:rPr>
        <w:t>, 2020)</w:t>
      </w:r>
      <w:r w:rsidR="00A50EDB">
        <w:rPr>
          <w:bCs/>
        </w:rPr>
        <w:t xml:space="preserve"> </w:t>
      </w:r>
      <w:r w:rsidR="00A649D2">
        <w:rPr>
          <w:bCs/>
        </w:rPr>
        <w:t>though, to our knowledge</w:t>
      </w:r>
      <w:r w:rsidR="00D7008A">
        <w:rPr>
          <w:bCs/>
        </w:rPr>
        <w:t>,</w:t>
      </w:r>
      <w:r w:rsidR="00A649D2">
        <w:rPr>
          <w:bCs/>
        </w:rPr>
        <w:t xml:space="preserve"> </w:t>
      </w:r>
      <w:r w:rsidR="00A50EDB">
        <w:rPr>
          <w:bCs/>
        </w:rPr>
        <w:t xml:space="preserve">systematic analysis has not been </w:t>
      </w:r>
      <w:r w:rsidR="00D7008A">
        <w:rPr>
          <w:bCs/>
        </w:rPr>
        <w:t xml:space="preserve">conducted </w:t>
      </w:r>
      <w:r w:rsidR="00A50EDB">
        <w:rPr>
          <w:bCs/>
        </w:rPr>
        <w:t>in this sequential environment</w:t>
      </w:r>
      <w:r w:rsidR="007E6669" w:rsidRPr="00B67327">
        <w:rPr>
          <w:bCs/>
        </w:rPr>
        <w:t xml:space="preserve">. </w:t>
      </w:r>
      <w:r w:rsidR="00D7008A">
        <w:rPr>
          <w:bCs/>
        </w:rPr>
        <w:t xml:space="preserve">Together with the quietly spoken agreement, we speculate that </w:t>
      </w:r>
      <w:r w:rsidR="007E6669" w:rsidRPr="00B67327">
        <w:rPr>
          <w:bCs/>
        </w:rPr>
        <w:t>th</w:t>
      </w:r>
      <w:r w:rsidR="00A50EDB">
        <w:rPr>
          <w:bCs/>
        </w:rPr>
        <w:t>is</w:t>
      </w:r>
      <w:r w:rsidR="007E6669" w:rsidRPr="00B67327">
        <w:rPr>
          <w:bCs/>
        </w:rPr>
        <w:t xml:space="preserve"> sni</w:t>
      </w:r>
      <w:r w:rsidR="007E6669" w:rsidRPr="00B67327">
        <w:rPr>
          <w:rFonts w:ascii="Palatino Linotype" w:hAnsi="Palatino Linotype" w:cs="Palatino Linotype"/>
          <w:bCs/>
        </w:rPr>
        <w:t xml:space="preserve">ﬀ </w:t>
      </w:r>
      <w:r w:rsidR="00D7008A">
        <w:rPr>
          <w:bCs/>
        </w:rPr>
        <w:t>i</w:t>
      </w:r>
      <w:r w:rsidR="007E6669" w:rsidRPr="00B67327">
        <w:rPr>
          <w:bCs/>
        </w:rPr>
        <w:t xml:space="preserve">s </w:t>
      </w:r>
      <w:r w:rsidR="00F04E65" w:rsidRPr="00B67327">
        <w:rPr>
          <w:bCs/>
        </w:rPr>
        <w:t xml:space="preserve">perhaps </w:t>
      </w:r>
      <w:r w:rsidR="007E6669" w:rsidRPr="00B67327">
        <w:rPr>
          <w:bCs/>
        </w:rPr>
        <w:t>a display of unsurenes</w:t>
      </w:r>
      <w:r w:rsidR="00A50EDB">
        <w:rPr>
          <w:bCs/>
        </w:rPr>
        <w:t>s</w:t>
      </w:r>
      <w:r w:rsidR="00BD63FC">
        <w:rPr>
          <w:bCs/>
        </w:rPr>
        <w:t xml:space="preserve"> or apprehension</w:t>
      </w:r>
      <w:r w:rsidR="00D260C7">
        <w:rPr>
          <w:bCs/>
        </w:rPr>
        <w:t xml:space="preserve">. </w:t>
      </w:r>
      <w:r w:rsidR="001F196C" w:rsidRPr="00B67327">
        <w:rPr>
          <w:bCs/>
        </w:rPr>
        <w:t>R</w:t>
      </w:r>
      <w:r w:rsidR="00132C38" w:rsidRPr="00B67327">
        <w:rPr>
          <w:bCs/>
        </w:rPr>
        <w:t>ather than commencing the test</w:t>
      </w:r>
      <w:r w:rsidR="00481215" w:rsidRPr="00B67327">
        <w:rPr>
          <w:bCs/>
        </w:rPr>
        <w:t>,</w:t>
      </w:r>
      <w:r w:rsidR="00132C38" w:rsidRPr="00B67327">
        <w:rPr>
          <w:bCs/>
        </w:rPr>
        <w:t xml:space="preserve"> </w:t>
      </w:r>
      <w:r w:rsidR="001F196C" w:rsidRPr="00B67327">
        <w:rPr>
          <w:bCs/>
        </w:rPr>
        <w:t>as in the previous two examples, the clinician orients to the patient’s</w:t>
      </w:r>
      <w:r w:rsidR="00D93803" w:rsidRPr="00B67327">
        <w:rPr>
          <w:bCs/>
        </w:rPr>
        <w:t xml:space="preserve"> possible</w:t>
      </w:r>
      <w:r w:rsidR="001F196C" w:rsidRPr="00B67327">
        <w:rPr>
          <w:bCs/>
        </w:rPr>
        <w:t xml:space="preserve"> ‘unsureness”. “S</w:t>
      </w:r>
      <w:r w:rsidR="00481215" w:rsidRPr="00B67327">
        <w:rPr>
          <w:bCs/>
        </w:rPr>
        <w:t xml:space="preserve">o” (line 4) in turn-initial position </w:t>
      </w:r>
      <w:r w:rsidR="00481215" w:rsidRPr="00B67327">
        <w:rPr>
          <w:bCs/>
          <w:lang w:val="en-US"/>
        </w:rPr>
        <w:t xml:space="preserve">could be seen to be </w:t>
      </w:r>
      <w:r w:rsidR="00010E13" w:rsidRPr="00B67327">
        <w:rPr>
          <w:bCs/>
          <w:lang w:val="en-US"/>
        </w:rPr>
        <w:t xml:space="preserve">‘other-attentive’ </w:t>
      </w:r>
      <w:r w:rsidR="00481215" w:rsidRPr="00B67327">
        <w:rPr>
          <w:bCs/>
          <w:lang w:val="en-US"/>
        </w:rPr>
        <w:t>(Bolden, 2006</w:t>
      </w:r>
      <w:r w:rsidR="00010E13" w:rsidRPr="00B67327">
        <w:rPr>
          <w:bCs/>
          <w:lang w:val="en-US"/>
        </w:rPr>
        <w:t>).</w:t>
      </w:r>
      <w:r w:rsidR="00621AAC" w:rsidRPr="00B67327">
        <w:rPr>
          <w:bCs/>
          <w:lang w:val="en-US"/>
        </w:rPr>
        <w:t xml:space="preserve"> </w:t>
      </w:r>
      <w:r w:rsidR="003928BB" w:rsidRPr="00B67327">
        <w:rPr>
          <w:bCs/>
          <w:lang w:val="en-US"/>
        </w:rPr>
        <w:t xml:space="preserve">In stating that the test is “designed to be a bit tricky and stretch your memory” (line 4-5) the clinician could be both orienting to his perception of the patient’s cognitive difficulties, as well as to the patient’s lack of conviction in the confirmation to proceed with the test. The clinician is working here to absolve the </w:t>
      </w:r>
      <w:r w:rsidR="003928BB" w:rsidRPr="00B67327">
        <w:rPr>
          <w:bCs/>
          <w:lang w:val="en-US"/>
        </w:rPr>
        <w:lastRenderedPageBreak/>
        <w:t xml:space="preserve">patient </w:t>
      </w:r>
      <w:r w:rsidR="00D93803" w:rsidRPr="00B67327">
        <w:rPr>
          <w:bCs/>
          <w:lang w:val="en-US"/>
        </w:rPr>
        <w:t>should they</w:t>
      </w:r>
      <w:r w:rsidR="003928BB" w:rsidRPr="00B67327">
        <w:rPr>
          <w:bCs/>
          <w:lang w:val="en-US"/>
        </w:rPr>
        <w:t xml:space="preserve"> find the test difficult</w:t>
      </w:r>
      <w:r w:rsidR="00D93803" w:rsidRPr="00B67327">
        <w:rPr>
          <w:bCs/>
          <w:lang w:val="en-US"/>
        </w:rPr>
        <w:t xml:space="preserve"> by </w:t>
      </w:r>
      <w:proofErr w:type="spellStart"/>
      <w:r w:rsidR="009E3CA7" w:rsidRPr="00B67327">
        <w:rPr>
          <w:bCs/>
          <w:lang w:val="en-US"/>
        </w:rPr>
        <w:t>characteri</w:t>
      </w:r>
      <w:r w:rsidR="009E3CA7">
        <w:rPr>
          <w:bCs/>
          <w:lang w:val="en-US"/>
        </w:rPr>
        <w:t>s</w:t>
      </w:r>
      <w:r w:rsidR="009E3CA7" w:rsidRPr="00B67327">
        <w:rPr>
          <w:bCs/>
          <w:lang w:val="en-US"/>
        </w:rPr>
        <w:t>ing</w:t>
      </w:r>
      <w:proofErr w:type="spellEnd"/>
      <w:r w:rsidR="00D93803" w:rsidRPr="00B67327">
        <w:rPr>
          <w:bCs/>
          <w:lang w:val="en-US"/>
        </w:rPr>
        <w:t xml:space="preserve"> the test as </w:t>
      </w:r>
      <w:r w:rsidR="003928BB" w:rsidRPr="00B67327">
        <w:rPr>
          <w:bCs/>
          <w:lang w:val="en-US"/>
        </w:rPr>
        <w:t xml:space="preserve">designedly difficult. The sense that the clinician is orienting to </w:t>
      </w:r>
      <w:r w:rsidR="00D93803" w:rsidRPr="00B67327">
        <w:rPr>
          <w:bCs/>
          <w:lang w:val="en-US"/>
        </w:rPr>
        <w:t xml:space="preserve">an </w:t>
      </w:r>
      <w:r w:rsidR="003928BB" w:rsidRPr="00B67327">
        <w:rPr>
          <w:bCs/>
          <w:lang w:val="en-US"/>
        </w:rPr>
        <w:t xml:space="preserve">already formed working diagnosis </w:t>
      </w:r>
      <w:r w:rsidR="00B82883" w:rsidRPr="00B67327">
        <w:rPr>
          <w:bCs/>
          <w:lang w:val="en-US"/>
        </w:rPr>
        <w:t xml:space="preserve">of </w:t>
      </w:r>
      <w:r w:rsidR="003928BB" w:rsidRPr="00B67327">
        <w:rPr>
          <w:bCs/>
          <w:lang w:val="en-US"/>
        </w:rPr>
        <w:t>more severe cognitive difficulties is supported further when he states that the questions would be “</w:t>
      </w:r>
      <w:r w:rsidR="003928BB" w:rsidRPr="00B67327">
        <w:rPr>
          <w:bCs/>
        </w:rPr>
        <w:t xml:space="preserve">even harder questions unfortunately for you” (line 7 and 8). The questions may be designedly tricky, but here the clinician is expressing that the patient (with their </w:t>
      </w:r>
      <w:proofErr w:type="gramStart"/>
      <w:r w:rsidR="003928BB" w:rsidRPr="00B67327">
        <w:rPr>
          <w:bCs/>
        </w:rPr>
        <w:t>particular cognitive</w:t>
      </w:r>
      <w:proofErr w:type="gramEnd"/>
      <w:r w:rsidR="003928BB" w:rsidRPr="00B67327">
        <w:rPr>
          <w:bCs/>
        </w:rPr>
        <w:t xml:space="preserve"> deficits) would find them even harder</w:t>
      </w:r>
      <w:r w:rsidR="008634F4" w:rsidRPr="00B67327">
        <w:rPr>
          <w:bCs/>
        </w:rPr>
        <w:t xml:space="preserve"> to answer</w:t>
      </w:r>
      <w:r w:rsidR="003928BB" w:rsidRPr="00B67327">
        <w:rPr>
          <w:bCs/>
        </w:rPr>
        <w:t xml:space="preserve">. </w:t>
      </w:r>
      <w:r w:rsidR="005615E8" w:rsidRPr="00B67327">
        <w:rPr>
          <w:bCs/>
        </w:rPr>
        <w:t>The clinician here is engaging in additional interactional work to prepare</w:t>
      </w:r>
      <w:r w:rsidR="008634F4" w:rsidRPr="00B67327">
        <w:rPr>
          <w:bCs/>
        </w:rPr>
        <w:t xml:space="preserve"> the patient for the task ahead and, in expressing regret about the difficulty of the questions with “unfortunately” (line 8), </w:t>
      </w:r>
      <w:r w:rsidR="005615E8" w:rsidRPr="00B67327">
        <w:rPr>
          <w:bCs/>
          <w:lang w:val="en-US"/>
        </w:rPr>
        <w:t xml:space="preserve">he is </w:t>
      </w:r>
      <w:r w:rsidR="005615E8" w:rsidRPr="00B67327">
        <w:rPr>
          <w:bCs/>
        </w:rPr>
        <w:t>working to build solidarity</w:t>
      </w:r>
      <w:r w:rsidR="00E90981" w:rsidRPr="00B67327">
        <w:rPr>
          <w:bCs/>
        </w:rPr>
        <w:t xml:space="preserve"> and set</w:t>
      </w:r>
      <w:r w:rsidR="00194EF5" w:rsidRPr="00B67327">
        <w:rPr>
          <w:bCs/>
        </w:rPr>
        <w:t xml:space="preserve"> (perhaps low)</w:t>
      </w:r>
      <w:r w:rsidR="00E90981" w:rsidRPr="00B67327">
        <w:rPr>
          <w:bCs/>
        </w:rPr>
        <w:t xml:space="preserve"> expectations</w:t>
      </w:r>
      <w:r w:rsidR="005615E8" w:rsidRPr="00B67327">
        <w:rPr>
          <w:bCs/>
          <w:lang w:val="en-US"/>
        </w:rPr>
        <w:t>.</w:t>
      </w:r>
      <w:r w:rsidR="00A70C21" w:rsidRPr="00B67327">
        <w:rPr>
          <w:bCs/>
        </w:rPr>
        <w:t xml:space="preserve"> This introduction is therefore designed for this </w:t>
      </w:r>
      <w:proofErr w:type="gramStart"/>
      <w:r w:rsidR="00A70C21" w:rsidRPr="00B67327">
        <w:rPr>
          <w:bCs/>
        </w:rPr>
        <w:t>particular patient</w:t>
      </w:r>
      <w:proofErr w:type="gramEnd"/>
      <w:r w:rsidR="00A70C21" w:rsidRPr="00B67327">
        <w:rPr>
          <w:bCs/>
        </w:rPr>
        <w:t xml:space="preserve">. </w:t>
      </w:r>
      <w:r w:rsidR="00D114F0">
        <w:rPr>
          <w:bCs/>
        </w:rPr>
        <w:t>E</w:t>
      </w:r>
      <w:r w:rsidR="0067421D" w:rsidRPr="00B67327">
        <w:rPr>
          <w:bCs/>
        </w:rPr>
        <w:t>xtra</w:t>
      </w:r>
      <w:r w:rsidR="00A70C21" w:rsidRPr="00B67327">
        <w:rPr>
          <w:bCs/>
        </w:rPr>
        <w:t>ct</w:t>
      </w:r>
      <w:r w:rsidR="00D114F0">
        <w:rPr>
          <w:bCs/>
        </w:rPr>
        <w:t xml:space="preserve"> (4)</w:t>
      </w:r>
      <w:r w:rsidR="00B82883" w:rsidRPr="00B67327">
        <w:rPr>
          <w:bCs/>
        </w:rPr>
        <w:t>, again with the same clinician</w:t>
      </w:r>
      <w:r w:rsidR="003B2B24">
        <w:rPr>
          <w:bCs/>
        </w:rPr>
        <w:t xml:space="preserve"> (Neu1)</w:t>
      </w:r>
      <w:r w:rsidR="00B82883" w:rsidRPr="00B67327">
        <w:rPr>
          <w:bCs/>
        </w:rPr>
        <w:t>,</w:t>
      </w:r>
      <w:r w:rsidR="00A70C21" w:rsidRPr="00B67327">
        <w:rPr>
          <w:bCs/>
        </w:rPr>
        <w:t xml:space="preserve"> shows very similar features. </w:t>
      </w:r>
      <w:r w:rsidR="0067421D" w:rsidRPr="00B67327">
        <w:rPr>
          <w:bCs/>
        </w:rPr>
        <w:t xml:space="preserve"> </w:t>
      </w:r>
    </w:p>
    <w:p w14:paraId="63974289" w14:textId="77777777" w:rsidR="00256AD7" w:rsidRPr="00B67327" w:rsidRDefault="00256AD7" w:rsidP="00256AD7">
      <w:pPr>
        <w:spacing w:line="0" w:lineRule="auto"/>
        <w:rPr>
          <w:rFonts w:ascii="ff5" w:hAnsi="ff5"/>
          <w:color w:val="000000"/>
          <w:sz w:val="63"/>
          <w:szCs w:val="63"/>
        </w:rPr>
      </w:pPr>
      <w:proofErr w:type="spellStart"/>
      <w:r w:rsidRPr="00B67327">
        <w:rPr>
          <w:rFonts w:ascii="ff5" w:hAnsi="ff5"/>
          <w:color w:val="000000"/>
          <w:sz w:val="63"/>
          <w:szCs w:val="63"/>
        </w:rPr>
        <w:t>Schiffrin</w:t>
      </w:r>
      <w:proofErr w:type="spellEnd"/>
      <w:r w:rsidRPr="00B67327">
        <w:rPr>
          <w:rFonts w:ascii="ff5" w:hAnsi="ff5"/>
          <w:color w:val="000000"/>
          <w:sz w:val="63"/>
          <w:szCs w:val="63"/>
        </w:rPr>
        <w:t xml:space="preserve"> (1987) argues that </w:t>
      </w:r>
      <w:r w:rsidRPr="00B67327">
        <w:rPr>
          <w:rFonts w:ascii="ff5" w:hAnsi="ff5" w:hint="eastAsia"/>
          <w:color w:val="000000"/>
          <w:sz w:val="63"/>
          <w:szCs w:val="63"/>
        </w:rPr>
        <w:t>‘‘</w:t>
      </w:r>
      <w:r w:rsidRPr="00B67327">
        <w:rPr>
          <w:rFonts w:ascii="ff5" w:hAnsi="ff5"/>
          <w:color w:val="000000"/>
          <w:sz w:val="63"/>
          <w:szCs w:val="63"/>
        </w:rPr>
        <w:t>so</w:t>
      </w:r>
      <w:r w:rsidRPr="00B67327">
        <w:rPr>
          <w:rFonts w:ascii="ff5" w:hAnsi="ff5" w:hint="eastAsia"/>
          <w:color w:val="000000"/>
          <w:sz w:val="63"/>
          <w:szCs w:val="63"/>
        </w:rPr>
        <w:t>’’</w:t>
      </w:r>
      <w:r w:rsidRPr="00B67327">
        <w:rPr>
          <w:rFonts w:ascii="ff5" w:hAnsi="ff5"/>
          <w:color w:val="000000"/>
          <w:sz w:val="63"/>
          <w:szCs w:val="63"/>
        </w:rPr>
        <w:t xml:space="preserve"> has the</w:t>
      </w:r>
    </w:p>
    <w:p w14:paraId="3CE070AA" w14:textId="77777777" w:rsidR="00256AD7" w:rsidRPr="00B67327" w:rsidRDefault="00256AD7" w:rsidP="00256AD7">
      <w:pPr>
        <w:spacing w:line="0" w:lineRule="auto"/>
        <w:rPr>
          <w:rFonts w:ascii="ff5" w:hAnsi="ff5"/>
          <w:color w:val="000000"/>
          <w:sz w:val="63"/>
          <w:szCs w:val="63"/>
        </w:rPr>
      </w:pPr>
      <w:r w:rsidRPr="00B67327">
        <w:rPr>
          <w:rFonts w:ascii="ff5" w:hAnsi="ff5"/>
          <w:color w:val="000000"/>
          <w:sz w:val="63"/>
          <w:szCs w:val="63"/>
        </w:rPr>
        <w:t>basic meaning of result</w:t>
      </w:r>
    </w:p>
    <w:p w14:paraId="4921082C" w14:textId="77777777" w:rsidR="007D03D9" w:rsidRPr="00B67327" w:rsidRDefault="007D03D9" w:rsidP="00A514AA">
      <w:pPr>
        <w:spacing w:line="360" w:lineRule="auto"/>
        <w:jc w:val="both"/>
        <w:rPr>
          <w:bCs/>
        </w:rPr>
      </w:pPr>
    </w:p>
    <w:p w14:paraId="0BEF4EBD" w14:textId="23857404" w:rsidR="00A514AA" w:rsidRDefault="007D03D9" w:rsidP="00A514AA">
      <w:pPr>
        <w:spacing w:line="360" w:lineRule="auto"/>
        <w:jc w:val="both"/>
        <w:rPr>
          <w:bCs/>
        </w:rPr>
      </w:pPr>
      <w:r w:rsidRPr="00B67327">
        <w:rPr>
          <w:bCs/>
        </w:rPr>
        <w:t>Extract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944BA4" w:rsidRPr="00960A70" w14:paraId="56B54BB9" w14:textId="77777777" w:rsidTr="00C942D7">
        <w:tc>
          <w:tcPr>
            <w:tcW w:w="561" w:type="dxa"/>
          </w:tcPr>
          <w:p w14:paraId="399B3DFC"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13A5B89A"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Neu1:  </w:t>
            </w:r>
          </w:p>
        </w:tc>
        <w:tc>
          <w:tcPr>
            <w:tcW w:w="6852" w:type="dxa"/>
          </w:tcPr>
          <w:p w14:paraId="57A7AD6E" w14:textId="1C407A3E"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Okay. </w:t>
            </w:r>
            <w:proofErr w:type="gramStart"/>
            <w:r w:rsidRPr="00960A70">
              <w:rPr>
                <w:rFonts w:ascii="Courier New" w:hAnsi="Courier New" w:cs="Courier New"/>
                <w:bCs/>
                <w:sz w:val="20"/>
                <w:szCs w:val="20"/>
              </w:rPr>
              <w:t>So</w:t>
            </w:r>
            <w:proofErr w:type="gramEnd"/>
            <w:r w:rsidRPr="00960A70">
              <w:rPr>
                <w:rFonts w:ascii="Courier New" w:hAnsi="Courier New" w:cs="Courier New"/>
                <w:bCs/>
                <w:sz w:val="20"/>
                <w:szCs w:val="20"/>
              </w:rPr>
              <w:t xml:space="preserve"> I’m going to do a memory test with you</w:t>
            </w:r>
          </w:p>
        </w:tc>
      </w:tr>
      <w:tr w:rsidR="00944BA4" w:rsidRPr="00960A70" w14:paraId="46B8BB7E" w14:textId="77777777" w:rsidTr="00C942D7">
        <w:tc>
          <w:tcPr>
            <w:tcW w:w="561" w:type="dxa"/>
          </w:tcPr>
          <w:p w14:paraId="0426CE3B"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5FC24EA0" w14:textId="3AC99728" w:rsidR="00944BA4" w:rsidRPr="00960A70" w:rsidRDefault="00944BA4" w:rsidP="007519D9">
            <w:pPr>
              <w:spacing w:line="360" w:lineRule="auto"/>
              <w:jc w:val="both"/>
              <w:rPr>
                <w:rFonts w:ascii="Courier New" w:hAnsi="Courier New" w:cs="Courier New"/>
                <w:bCs/>
                <w:sz w:val="20"/>
                <w:szCs w:val="20"/>
              </w:rPr>
            </w:pPr>
          </w:p>
        </w:tc>
        <w:tc>
          <w:tcPr>
            <w:tcW w:w="6852" w:type="dxa"/>
          </w:tcPr>
          <w:p w14:paraId="3C4F3BDF" w14:textId="72426E49" w:rsidR="00944BA4" w:rsidRPr="00960A70" w:rsidRDefault="00944BA4"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now.=</w:t>
            </w:r>
            <w:proofErr w:type="gramEnd"/>
            <w:r w:rsidRPr="00960A70">
              <w:rPr>
                <w:rFonts w:ascii="Courier New" w:hAnsi="Courier New" w:cs="Courier New"/>
                <w:bCs/>
                <w:sz w:val="20"/>
                <w:szCs w:val="20"/>
              </w:rPr>
              <w:t xml:space="preserve"> if that’s </w:t>
            </w:r>
            <w:proofErr w:type="spellStart"/>
            <w:r w:rsidRPr="00960A70">
              <w:rPr>
                <w:rFonts w:ascii="Courier New" w:hAnsi="Courier New" w:cs="Courier New"/>
                <w:bCs/>
                <w:sz w:val="20"/>
                <w:szCs w:val="20"/>
              </w:rPr>
              <w:t>oka:y</w:t>
            </w:r>
            <w:proofErr w:type="spellEnd"/>
            <w:r w:rsidRPr="00960A70">
              <w:rPr>
                <w:rFonts w:ascii="Courier New" w:hAnsi="Courier New" w:cs="Courier New"/>
                <w:bCs/>
                <w:sz w:val="20"/>
                <w:szCs w:val="20"/>
              </w:rPr>
              <w:t>,</w:t>
            </w:r>
          </w:p>
        </w:tc>
      </w:tr>
      <w:tr w:rsidR="00944BA4" w:rsidRPr="00960A70" w14:paraId="29D1A950" w14:textId="77777777" w:rsidTr="00C942D7">
        <w:tc>
          <w:tcPr>
            <w:tcW w:w="561" w:type="dxa"/>
          </w:tcPr>
          <w:p w14:paraId="37FDB6AD"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1B55E5E3" w14:textId="77777777" w:rsidR="00944BA4" w:rsidRPr="00960A70" w:rsidRDefault="00944BA4" w:rsidP="007519D9">
            <w:pPr>
              <w:spacing w:line="360" w:lineRule="auto"/>
              <w:jc w:val="both"/>
              <w:rPr>
                <w:rFonts w:ascii="Courier New" w:hAnsi="Courier New" w:cs="Courier New"/>
                <w:bCs/>
                <w:sz w:val="20"/>
                <w:szCs w:val="20"/>
              </w:rPr>
            </w:pPr>
          </w:p>
        </w:tc>
        <w:tc>
          <w:tcPr>
            <w:tcW w:w="6852" w:type="dxa"/>
          </w:tcPr>
          <w:p w14:paraId="4961038A" w14:textId="46061E86"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 ((Dr looks at Patient))</w:t>
            </w:r>
          </w:p>
        </w:tc>
      </w:tr>
      <w:tr w:rsidR="00944BA4" w:rsidRPr="00960A70" w14:paraId="61C43FC6" w14:textId="77777777" w:rsidTr="00C942D7">
        <w:tc>
          <w:tcPr>
            <w:tcW w:w="561" w:type="dxa"/>
          </w:tcPr>
          <w:p w14:paraId="6B593648"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5884484A" w14:textId="1333FD78"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52" w:type="dxa"/>
          </w:tcPr>
          <w:p w14:paraId="65D61A85" w14:textId="14F60F4A" w:rsidR="00944BA4" w:rsidRPr="00960A70" w:rsidRDefault="00944BA4"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w:t>
            </w:r>
            <w:proofErr w:type="spellStart"/>
            <w:r w:rsidRPr="00960A70">
              <w:rPr>
                <w:rFonts w:ascii="Courier New" w:hAnsi="Courier New" w:cs="Courier New"/>
                <w:bCs/>
                <w:sz w:val="20"/>
                <w:szCs w:val="20"/>
              </w:rPr>
              <w:t>hhh</w:t>
            </w:r>
            <w:proofErr w:type="spellEnd"/>
            <w:proofErr w:type="gramEnd"/>
            <w:r w:rsidRPr="00960A70">
              <w:rPr>
                <w:rFonts w:ascii="Courier New" w:hAnsi="Courier New" w:cs="Courier New"/>
                <w:bCs/>
                <w:sz w:val="20"/>
                <w:szCs w:val="20"/>
              </w:rPr>
              <w:t xml:space="preserve"> HH[</w:t>
            </w:r>
            <w:proofErr w:type="spellStart"/>
            <w:r w:rsidRPr="00960A70">
              <w:rPr>
                <w:rFonts w:ascii="Courier New" w:hAnsi="Courier New" w:cs="Courier New"/>
                <w:bCs/>
                <w:sz w:val="20"/>
                <w:szCs w:val="20"/>
              </w:rPr>
              <w:t>Hhhh</w:t>
            </w:r>
            <w:proofErr w:type="spellEnd"/>
            <w:r w:rsidRPr="00960A70">
              <w:rPr>
                <w:rFonts w:ascii="Courier New" w:hAnsi="Courier New" w:cs="Courier New"/>
                <w:bCs/>
                <w:sz w:val="20"/>
                <w:szCs w:val="20"/>
              </w:rPr>
              <w:t xml:space="preserve"> ]</w:t>
            </w:r>
          </w:p>
        </w:tc>
      </w:tr>
      <w:tr w:rsidR="00944BA4" w:rsidRPr="00960A70" w14:paraId="6F0CFA1A" w14:textId="77777777" w:rsidTr="00C942D7">
        <w:tc>
          <w:tcPr>
            <w:tcW w:w="561" w:type="dxa"/>
          </w:tcPr>
          <w:p w14:paraId="40CF7881"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724EC414" w14:textId="0AC1B28C"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52C51D97" w14:textId="7B40E87B"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       [I </w:t>
            </w:r>
            <w:proofErr w:type="spellStart"/>
            <w:proofErr w:type="gramStart"/>
            <w:r w:rsidRPr="00960A70">
              <w:rPr>
                <w:rFonts w:ascii="Courier New" w:hAnsi="Courier New" w:cs="Courier New"/>
                <w:bCs/>
                <w:sz w:val="20"/>
                <w:szCs w:val="20"/>
              </w:rPr>
              <w:t>kno</w:t>
            </w:r>
            <w:proofErr w:type="spellEnd"/>
            <w:r w:rsidRPr="00960A70">
              <w:rPr>
                <w:rFonts w:ascii="Courier New" w:hAnsi="Courier New" w:cs="Courier New"/>
                <w:bCs/>
                <w:sz w:val="20"/>
                <w:szCs w:val="20"/>
              </w:rPr>
              <w:t>]w</w:t>
            </w:r>
            <w:proofErr w:type="gramEnd"/>
            <w:r w:rsidRPr="00960A70">
              <w:rPr>
                <w:rFonts w:ascii="Courier New" w:hAnsi="Courier New" w:cs="Courier New"/>
                <w:bCs/>
                <w:sz w:val="20"/>
                <w:szCs w:val="20"/>
              </w:rPr>
              <w:t xml:space="preserve"> these </w:t>
            </w:r>
            <w:proofErr w:type="spellStart"/>
            <w:r w:rsidRPr="00960A70">
              <w:rPr>
                <w:rFonts w:ascii="Courier New" w:hAnsi="Courier New" w:cs="Courier New"/>
                <w:bCs/>
                <w:sz w:val="20"/>
                <w:szCs w:val="20"/>
              </w:rPr>
              <w:t>aren</w:t>
            </w:r>
            <w:proofErr w:type="spellEnd"/>
            <w:r w:rsidRPr="00960A70">
              <w:rPr>
                <w:rFonts w:ascii="Courier New" w:hAnsi="Courier New" w:cs="Courier New"/>
                <w:bCs/>
                <w:sz w:val="20"/>
                <w:szCs w:val="20"/>
              </w:rPr>
              <w:t xml:space="preserve">’[t (.) </w:t>
            </w:r>
            <w:proofErr w:type="spellStart"/>
            <w:r w:rsidRPr="00960A70">
              <w:rPr>
                <w:rFonts w:ascii="Courier New" w:hAnsi="Courier New" w:cs="Courier New"/>
                <w:bCs/>
                <w:sz w:val="20"/>
                <w:szCs w:val="20"/>
              </w:rPr>
              <w:t>particularl</w:t>
            </w:r>
            <w:proofErr w:type="spellEnd"/>
            <w:r w:rsidRPr="00960A70">
              <w:rPr>
                <w:rFonts w:ascii="Courier New" w:hAnsi="Courier New" w:cs="Courier New"/>
                <w:bCs/>
                <w:sz w:val="20"/>
                <w:szCs w:val="20"/>
              </w:rPr>
              <w:t>]y</w:t>
            </w:r>
          </w:p>
        </w:tc>
      </w:tr>
      <w:tr w:rsidR="00944BA4" w:rsidRPr="00960A70" w14:paraId="11D21592" w14:textId="77777777" w:rsidTr="00C942D7">
        <w:tc>
          <w:tcPr>
            <w:tcW w:w="561" w:type="dxa"/>
          </w:tcPr>
          <w:p w14:paraId="5FE3A5E3"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3B5FEBC7"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Pat:               </w:t>
            </w:r>
          </w:p>
        </w:tc>
        <w:tc>
          <w:tcPr>
            <w:tcW w:w="6852" w:type="dxa"/>
          </w:tcPr>
          <w:p w14:paraId="69E503DD" w14:textId="10379261"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                           [((</w:t>
            </w:r>
            <w:proofErr w:type="gramStart"/>
            <w:r w:rsidRPr="00960A70">
              <w:rPr>
                <w:rFonts w:ascii="Courier New" w:hAnsi="Courier New" w:cs="Courier New"/>
                <w:bCs/>
                <w:sz w:val="20"/>
                <w:szCs w:val="20"/>
              </w:rPr>
              <w:t>I’ve  haven’t</w:t>
            </w:r>
            <w:proofErr w:type="gramEnd"/>
            <w:r w:rsidRPr="00960A70">
              <w:rPr>
                <w:rFonts w:ascii="Courier New" w:hAnsi="Courier New" w:cs="Courier New"/>
                <w:bCs/>
                <w:sz w:val="20"/>
                <w:szCs w:val="20"/>
              </w:rPr>
              <w:t xml:space="preserve">))]  </w:t>
            </w:r>
          </w:p>
        </w:tc>
      </w:tr>
      <w:tr w:rsidR="00944BA4" w:rsidRPr="00960A70" w14:paraId="5EF0E18E" w14:textId="77777777" w:rsidTr="00C942D7">
        <w:tc>
          <w:tcPr>
            <w:tcW w:w="561" w:type="dxa"/>
          </w:tcPr>
          <w:p w14:paraId="4392452D"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5D749F98"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5E1B78A9" w14:textId="3DDB9CA8" w:rsidR="00944BA4" w:rsidRPr="00960A70" w:rsidRDefault="00944BA4"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nice:,</w:t>
            </w:r>
            <w:proofErr w:type="gramEnd"/>
          </w:p>
        </w:tc>
      </w:tr>
      <w:tr w:rsidR="00944BA4" w:rsidRPr="00960A70" w14:paraId="313E7A2A" w14:textId="77777777" w:rsidTr="00C942D7">
        <w:tc>
          <w:tcPr>
            <w:tcW w:w="561" w:type="dxa"/>
          </w:tcPr>
          <w:p w14:paraId="5A09EF95"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4A390FA7" w14:textId="6893BE06"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0A1A626C" w14:textId="3EBFAA4D"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°um hmm°</w:t>
            </w:r>
          </w:p>
        </w:tc>
      </w:tr>
      <w:tr w:rsidR="00944BA4" w:rsidRPr="00960A70" w14:paraId="18E8BEBE" w14:textId="77777777" w:rsidTr="00C942D7">
        <w:tc>
          <w:tcPr>
            <w:tcW w:w="561" w:type="dxa"/>
          </w:tcPr>
          <w:p w14:paraId="44E16830" w14:textId="777777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1666C57E" w14:textId="0CA07A77"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7FB33442" w14:textId="7641D269" w:rsidR="00944BA4" w:rsidRPr="00960A70" w:rsidRDefault="00944BA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&gt;But they’re </w:t>
            </w:r>
            <w:proofErr w:type="gramStart"/>
            <w:r w:rsidRPr="00960A70">
              <w:rPr>
                <w:rFonts w:ascii="Courier New" w:hAnsi="Courier New" w:cs="Courier New"/>
                <w:bCs/>
                <w:sz w:val="20"/>
                <w:szCs w:val="20"/>
              </w:rPr>
              <w:t>okay,&lt;</w:t>
            </w:r>
            <w:proofErr w:type="gramEnd"/>
            <w:r w:rsidRPr="00960A70">
              <w:rPr>
                <w:rFonts w:ascii="Courier New" w:hAnsi="Courier New" w:cs="Courier New"/>
                <w:bCs/>
                <w:sz w:val="20"/>
                <w:szCs w:val="20"/>
              </w:rPr>
              <w:t>.</w:t>
            </w:r>
            <w:proofErr w:type="spellStart"/>
            <w:r w:rsidRPr="00960A70">
              <w:rPr>
                <w:rFonts w:ascii="Courier New" w:hAnsi="Courier New" w:cs="Courier New"/>
                <w:bCs/>
                <w:sz w:val="20"/>
                <w:szCs w:val="20"/>
              </w:rPr>
              <w:t>hh</w:t>
            </w:r>
            <w:proofErr w:type="spellEnd"/>
            <w:r w:rsidRPr="00960A70">
              <w:rPr>
                <w:rFonts w:ascii="Courier New" w:hAnsi="Courier New" w:cs="Courier New"/>
                <w:bCs/>
                <w:sz w:val="20"/>
                <w:szCs w:val="20"/>
              </w:rPr>
              <w:t xml:space="preserve"> So what </w:t>
            </w:r>
            <w:proofErr w:type="spellStart"/>
            <w:r w:rsidRPr="00960A70">
              <w:rPr>
                <w:rFonts w:ascii="Courier New" w:hAnsi="Courier New" w:cs="Courier New"/>
                <w:bCs/>
                <w:sz w:val="20"/>
                <w:szCs w:val="20"/>
                <w:u w:val="single"/>
              </w:rPr>
              <w:t>da</w:t>
            </w:r>
            <w:r w:rsidRPr="00960A70">
              <w:rPr>
                <w:rFonts w:ascii="Courier New" w:hAnsi="Courier New" w:cs="Courier New"/>
                <w:bCs/>
                <w:sz w:val="20"/>
                <w:szCs w:val="20"/>
              </w:rPr>
              <w:t>:y</w:t>
            </w:r>
            <w:proofErr w:type="spellEnd"/>
            <w:r w:rsidRPr="00960A70">
              <w:rPr>
                <w:rFonts w:ascii="Courier New" w:hAnsi="Courier New" w:cs="Courier New"/>
                <w:bCs/>
                <w:sz w:val="20"/>
                <w:szCs w:val="20"/>
              </w:rPr>
              <w:t xml:space="preserve"> is it today,</w:t>
            </w:r>
          </w:p>
        </w:tc>
      </w:tr>
    </w:tbl>
    <w:p w14:paraId="0DAE847E" w14:textId="77777777" w:rsidR="00A514AA" w:rsidRPr="00B67327" w:rsidRDefault="00A514AA" w:rsidP="00A514AA">
      <w:pPr>
        <w:spacing w:line="360" w:lineRule="auto"/>
        <w:jc w:val="both"/>
        <w:rPr>
          <w:bCs/>
        </w:rPr>
      </w:pPr>
    </w:p>
    <w:p w14:paraId="25C2BD46" w14:textId="440CF50B" w:rsidR="009A30CE" w:rsidRPr="00B67327" w:rsidRDefault="00D44C33" w:rsidP="00CC2A27">
      <w:pPr>
        <w:spacing w:line="360" w:lineRule="auto"/>
        <w:jc w:val="both"/>
        <w:rPr>
          <w:bCs/>
        </w:rPr>
      </w:pPr>
      <w:proofErr w:type="gramStart"/>
      <w:r w:rsidRPr="00B67327">
        <w:rPr>
          <w:bCs/>
        </w:rPr>
        <w:t>Similar to</w:t>
      </w:r>
      <w:proofErr w:type="gramEnd"/>
      <w:r w:rsidRPr="00B67327">
        <w:rPr>
          <w:bCs/>
        </w:rPr>
        <w:t xml:space="preserve"> the collaborative introduction to the test in extract 2 (“we’ll do a memory test now” (line 1)</w:t>
      </w:r>
      <w:r w:rsidR="00C475C0" w:rsidRPr="00B67327">
        <w:rPr>
          <w:bCs/>
        </w:rPr>
        <w:t>), here</w:t>
      </w:r>
      <w:r w:rsidRPr="00B67327">
        <w:rPr>
          <w:bCs/>
        </w:rPr>
        <w:t xml:space="preserve"> the clinician </w:t>
      </w:r>
      <w:r w:rsidR="00C475C0" w:rsidRPr="00B67327">
        <w:rPr>
          <w:bCs/>
        </w:rPr>
        <w:t xml:space="preserve">declaratively </w:t>
      </w:r>
      <w:r w:rsidRPr="00B67327">
        <w:rPr>
          <w:bCs/>
        </w:rPr>
        <w:t xml:space="preserve">introduces the test by </w:t>
      </w:r>
      <w:r w:rsidR="00C475C0" w:rsidRPr="00B67327">
        <w:rPr>
          <w:bCs/>
        </w:rPr>
        <w:t xml:space="preserve">stating “So I’m going to do a memory test with you now” (line 1-2). </w:t>
      </w:r>
      <w:r w:rsidR="00AE3654" w:rsidRPr="00B67327">
        <w:rPr>
          <w:bCs/>
        </w:rPr>
        <w:t>He follows it up again with a tag question seeking consent to proceed, “if that’s okay” (line 2). Apart from the slight change in formation from doing a test “on you” (extract 1 and 3) to “with you” (extract 4), and the tag question being formulated with either “is that okay” (extract 1), “Okay” (extract 2 and 3) and “if that’s okay” (extract 4), these are all very similar introduction</w:t>
      </w:r>
      <w:r w:rsidR="00B82883" w:rsidRPr="00B67327">
        <w:rPr>
          <w:bCs/>
        </w:rPr>
        <w:t>s</w:t>
      </w:r>
      <w:r w:rsidR="00AE3654" w:rsidRPr="00B67327">
        <w:rPr>
          <w:bCs/>
        </w:rPr>
        <w:t xml:space="preserve"> to the test. Unlike in the other extract</w:t>
      </w:r>
      <w:r w:rsidR="00B82883" w:rsidRPr="00B67327">
        <w:rPr>
          <w:bCs/>
        </w:rPr>
        <w:t>s</w:t>
      </w:r>
      <w:r w:rsidR="00AE3654" w:rsidRPr="00B67327">
        <w:rPr>
          <w:bCs/>
        </w:rPr>
        <w:t>,</w:t>
      </w:r>
      <w:r w:rsidR="00B82883" w:rsidRPr="00B67327">
        <w:rPr>
          <w:bCs/>
        </w:rPr>
        <w:t xml:space="preserve"> however,</w:t>
      </w:r>
      <w:r w:rsidR="00AE3654" w:rsidRPr="00B67327">
        <w:rPr>
          <w:bCs/>
        </w:rPr>
        <w:t xml:space="preserve"> here the patient does</w:t>
      </w:r>
      <w:r w:rsidR="00B82883" w:rsidRPr="00B67327">
        <w:rPr>
          <w:bCs/>
        </w:rPr>
        <w:t xml:space="preserve"> </w:t>
      </w:r>
      <w:r w:rsidR="00AE3654" w:rsidRPr="00B67327">
        <w:rPr>
          <w:bCs/>
        </w:rPr>
        <w:t>n</w:t>
      </w:r>
      <w:r w:rsidR="00B82883" w:rsidRPr="00B67327">
        <w:rPr>
          <w:bCs/>
        </w:rPr>
        <w:t>o</w:t>
      </w:r>
      <w:r w:rsidR="00AE3654" w:rsidRPr="00B67327">
        <w:rPr>
          <w:bCs/>
        </w:rPr>
        <w:t>t con</w:t>
      </w:r>
      <w:r w:rsidR="00AC6AE9" w:rsidRPr="00B67327">
        <w:rPr>
          <w:bCs/>
        </w:rPr>
        <w:t>firm that it is okay to proceed. T</w:t>
      </w:r>
      <w:r w:rsidR="00E52EEA" w:rsidRPr="00B67327">
        <w:rPr>
          <w:bCs/>
        </w:rPr>
        <w:t xml:space="preserve">he </w:t>
      </w:r>
      <w:r w:rsidR="00AC6AE9" w:rsidRPr="00B67327">
        <w:rPr>
          <w:bCs/>
        </w:rPr>
        <w:t xml:space="preserve">tag </w:t>
      </w:r>
      <w:r w:rsidR="00E52EEA" w:rsidRPr="00B67327">
        <w:rPr>
          <w:bCs/>
        </w:rPr>
        <w:t xml:space="preserve">question’s format invites a polar response from the </w:t>
      </w:r>
      <w:r w:rsidR="00AC6AE9" w:rsidRPr="00B67327">
        <w:rPr>
          <w:bCs/>
        </w:rPr>
        <w:t>patient</w:t>
      </w:r>
      <w:r w:rsidR="00E52EEA" w:rsidRPr="00B67327">
        <w:rPr>
          <w:bCs/>
        </w:rPr>
        <w:t>, but her response is not type-c</w:t>
      </w:r>
      <w:r w:rsidR="00AC6AE9" w:rsidRPr="00B67327">
        <w:rPr>
          <w:bCs/>
        </w:rPr>
        <w:t xml:space="preserve">onforming (Raymond, 2003), </w:t>
      </w:r>
      <w:r w:rsidR="00622A95">
        <w:rPr>
          <w:bCs/>
        </w:rPr>
        <w:t>suggesting</w:t>
      </w:r>
      <w:r w:rsidR="00E52EEA" w:rsidRPr="00B67327">
        <w:rPr>
          <w:bCs/>
        </w:rPr>
        <w:t xml:space="preserve"> </w:t>
      </w:r>
      <w:r w:rsidR="00D7008A" w:rsidRPr="00B67327">
        <w:rPr>
          <w:bCs/>
        </w:rPr>
        <w:t>po</w:t>
      </w:r>
      <w:r w:rsidR="00D7008A">
        <w:rPr>
          <w:bCs/>
        </w:rPr>
        <w:t>tential</w:t>
      </w:r>
      <w:r w:rsidR="00D7008A" w:rsidRPr="00B67327">
        <w:rPr>
          <w:bCs/>
        </w:rPr>
        <w:t xml:space="preserve"> </w:t>
      </w:r>
      <w:r w:rsidR="00E52EEA" w:rsidRPr="00B67327">
        <w:rPr>
          <w:bCs/>
        </w:rPr>
        <w:t>dis</w:t>
      </w:r>
      <w:r w:rsidR="00AC6AE9" w:rsidRPr="00B67327">
        <w:rPr>
          <w:bCs/>
        </w:rPr>
        <w:t>affiliation</w:t>
      </w:r>
      <w:r w:rsidR="00E52EEA" w:rsidRPr="00B67327">
        <w:rPr>
          <w:bCs/>
        </w:rPr>
        <w:t xml:space="preserve">. </w:t>
      </w:r>
      <w:r w:rsidR="00194EF5" w:rsidRPr="00B67327">
        <w:rPr>
          <w:bCs/>
        </w:rPr>
        <w:t>Possible r</w:t>
      </w:r>
      <w:r w:rsidR="00E52EEA" w:rsidRPr="00B67327">
        <w:rPr>
          <w:bCs/>
        </w:rPr>
        <w:t xml:space="preserve">esistance </w:t>
      </w:r>
      <w:r w:rsidR="00194EF5" w:rsidRPr="00B67327">
        <w:rPr>
          <w:bCs/>
        </w:rPr>
        <w:t xml:space="preserve">on the part of the patient </w:t>
      </w:r>
      <w:r w:rsidR="00E52EEA" w:rsidRPr="00B67327">
        <w:rPr>
          <w:bCs/>
        </w:rPr>
        <w:t xml:space="preserve">is first adumbrated by a </w:t>
      </w:r>
      <w:r w:rsidR="00AC6AE9" w:rsidRPr="00B67327">
        <w:rPr>
          <w:bCs/>
        </w:rPr>
        <w:t xml:space="preserve">gap (line 3) followed by an audible </w:t>
      </w:r>
      <w:r w:rsidR="00E52EEA" w:rsidRPr="00B67327">
        <w:rPr>
          <w:bCs/>
        </w:rPr>
        <w:t xml:space="preserve">sigh </w:t>
      </w:r>
      <w:r w:rsidR="00AC6AE9" w:rsidRPr="00B67327">
        <w:rPr>
          <w:bCs/>
        </w:rPr>
        <w:t xml:space="preserve">(line 4). </w:t>
      </w:r>
      <w:proofErr w:type="spellStart"/>
      <w:r w:rsidR="00761D88" w:rsidRPr="00B67327">
        <w:rPr>
          <w:bCs/>
        </w:rPr>
        <w:t>Hoey</w:t>
      </w:r>
      <w:proofErr w:type="spellEnd"/>
      <w:r w:rsidR="00761D88" w:rsidRPr="00B67327">
        <w:rPr>
          <w:bCs/>
        </w:rPr>
        <w:t xml:space="preserve"> (</w:t>
      </w:r>
      <w:r w:rsidR="00D114F0" w:rsidRPr="00B67327">
        <w:rPr>
          <w:bCs/>
        </w:rPr>
        <w:t>201</w:t>
      </w:r>
      <w:r w:rsidR="00D114F0">
        <w:rPr>
          <w:bCs/>
        </w:rPr>
        <w:t>4</w:t>
      </w:r>
      <w:r w:rsidR="000B5CCF" w:rsidRPr="00B67327">
        <w:rPr>
          <w:bCs/>
        </w:rPr>
        <w:t>) suggest</w:t>
      </w:r>
      <w:r w:rsidR="00B82883" w:rsidRPr="00B67327">
        <w:rPr>
          <w:bCs/>
        </w:rPr>
        <w:t>s</w:t>
      </w:r>
      <w:r w:rsidR="000B5CCF" w:rsidRPr="00B67327">
        <w:rPr>
          <w:bCs/>
        </w:rPr>
        <w:t xml:space="preserve"> that sighing </w:t>
      </w:r>
      <w:r w:rsidR="00B82883" w:rsidRPr="00B67327">
        <w:rPr>
          <w:bCs/>
        </w:rPr>
        <w:t xml:space="preserve">has an </w:t>
      </w:r>
      <w:r w:rsidR="000B5CCF" w:rsidRPr="00B67327">
        <w:rPr>
          <w:bCs/>
        </w:rPr>
        <w:lastRenderedPageBreak/>
        <w:t xml:space="preserve">indexical relationship with emotion – specifically, negative emotion. </w:t>
      </w:r>
      <w:r w:rsidR="00B83AB1" w:rsidRPr="00B67327">
        <w:rPr>
          <w:bCs/>
        </w:rPr>
        <w:t xml:space="preserve">Here the patient could be </w:t>
      </w:r>
      <w:proofErr w:type="spellStart"/>
      <w:r w:rsidR="00B83AB1" w:rsidRPr="00B67327">
        <w:rPr>
          <w:bCs/>
        </w:rPr>
        <w:t>hearably</w:t>
      </w:r>
      <w:proofErr w:type="spellEnd"/>
      <w:r w:rsidR="00B83AB1" w:rsidRPr="00B67327">
        <w:rPr>
          <w:bCs/>
        </w:rPr>
        <w:t xml:space="preserve"> using the sigh to </w:t>
      </w:r>
      <w:r w:rsidR="00194EF5" w:rsidRPr="00B67327">
        <w:rPr>
          <w:bCs/>
        </w:rPr>
        <w:t>convey some level of distress.</w:t>
      </w:r>
      <w:r w:rsidR="00B83AB1" w:rsidRPr="00B67327">
        <w:rPr>
          <w:bCs/>
        </w:rPr>
        <w:t xml:space="preserve"> </w:t>
      </w:r>
      <w:r w:rsidR="00535017" w:rsidRPr="00B67327">
        <w:rPr>
          <w:bCs/>
        </w:rPr>
        <w:t xml:space="preserve">In both these extracts, the patients use non-lexical tokens (the sniff - extract 3, and the sigh - extract 4) to </w:t>
      </w:r>
      <w:r w:rsidR="00875B37">
        <w:rPr>
          <w:bCs/>
        </w:rPr>
        <w:t xml:space="preserve">(possibly) </w:t>
      </w:r>
      <w:r w:rsidR="00231988" w:rsidRPr="00B67327">
        <w:rPr>
          <w:bCs/>
        </w:rPr>
        <w:t>display</w:t>
      </w:r>
      <w:r w:rsidR="00535017" w:rsidRPr="00B67327">
        <w:rPr>
          <w:bCs/>
        </w:rPr>
        <w:t xml:space="preserve"> some problem with the</w:t>
      </w:r>
      <w:r w:rsidR="00194EF5" w:rsidRPr="00B67327">
        <w:rPr>
          <w:bCs/>
        </w:rPr>
        <w:t xml:space="preserve"> proposed</w:t>
      </w:r>
      <w:r w:rsidR="00535017" w:rsidRPr="00B67327">
        <w:rPr>
          <w:bCs/>
        </w:rPr>
        <w:t xml:space="preserve"> course of action. </w:t>
      </w:r>
      <w:r w:rsidR="00231988" w:rsidRPr="00B67327">
        <w:rPr>
          <w:bCs/>
        </w:rPr>
        <w:t>Again</w:t>
      </w:r>
      <w:r w:rsidR="00194EF5" w:rsidRPr="00B67327">
        <w:rPr>
          <w:bCs/>
        </w:rPr>
        <w:t>,</w:t>
      </w:r>
      <w:r w:rsidR="00231988" w:rsidRPr="00B67327">
        <w:rPr>
          <w:bCs/>
        </w:rPr>
        <w:t xml:space="preserve"> the clinician orients to the patient’s negative stance by displaying his awareness of the </w:t>
      </w:r>
      <w:r w:rsidR="003C77E6" w:rsidRPr="00B67327">
        <w:rPr>
          <w:bCs/>
        </w:rPr>
        <w:t>disagreeable nature of the memory test, “I know these aren’t particularly nice”</w:t>
      </w:r>
      <w:r w:rsidR="005B5AE7" w:rsidRPr="00B67327">
        <w:rPr>
          <w:bCs/>
        </w:rPr>
        <w:t xml:space="preserve"> (lines 5-7), before reassuring the patient that “they’re ok” (line 9). Here the extra interactional work appears to arise more out of the contingencies of the patient</w:t>
      </w:r>
      <w:r w:rsidR="00A46E15" w:rsidRPr="00B67327">
        <w:rPr>
          <w:bCs/>
        </w:rPr>
        <w:t>’</w:t>
      </w:r>
      <w:r w:rsidR="005B5AE7" w:rsidRPr="00B67327">
        <w:rPr>
          <w:bCs/>
        </w:rPr>
        <w:t>s response, rather than that clinician</w:t>
      </w:r>
      <w:r w:rsidR="00A46E15" w:rsidRPr="00B67327">
        <w:rPr>
          <w:bCs/>
        </w:rPr>
        <w:t>’</w:t>
      </w:r>
      <w:r w:rsidR="005B5AE7" w:rsidRPr="00B67327">
        <w:rPr>
          <w:bCs/>
        </w:rPr>
        <w:t>s perception of their ability</w:t>
      </w:r>
      <w:r w:rsidR="00CB1FFF" w:rsidRPr="00B67327">
        <w:rPr>
          <w:bCs/>
        </w:rPr>
        <w:t>. However, it is worth noting the contrast between the ways the test is introduced for patients with likely FCD (</w:t>
      </w:r>
      <w:r w:rsidR="00CB57EE">
        <w:rPr>
          <w:bCs/>
        </w:rPr>
        <w:t>e</w:t>
      </w:r>
      <w:r w:rsidR="00CB1FFF" w:rsidRPr="00B67327">
        <w:rPr>
          <w:bCs/>
        </w:rPr>
        <w:t>xtracts 1 and 2) and those with likely dementia (</w:t>
      </w:r>
      <w:r w:rsidR="00CB57EE">
        <w:rPr>
          <w:bCs/>
        </w:rPr>
        <w:t>e</w:t>
      </w:r>
      <w:r w:rsidR="00CB1FFF" w:rsidRPr="00B67327">
        <w:rPr>
          <w:bCs/>
        </w:rPr>
        <w:t xml:space="preserve">xtracts 3 and 4). </w:t>
      </w:r>
      <w:r w:rsidR="0058209C" w:rsidRPr="00B67327">
        <w:rPr>
          <w:bCs/>
        </w:rPr>
        <w:t>Furthermore, when</w:t>
      </w:r>
      <w:r w:rsidR="00AE3654" w:rsidRPr="00B67327">
        <w:rPr>
          <w:bCs/>
        </w:rPr>
        <w:t xml:space="preserve"> the clinician has a working diagnosis of dementia</w:t>
      </w:r>
      <w:r w:rsidR="00745C8F" w:rsidRPr="00B67327">
        <w:rPr>
          <w:bCs/>
        </w:rPr>
        <w:t xml:space="preserve"> (</w:t>
      </w:r>
      <w:r w:rsidR="00521498" w:rsidRPr="00B67327">
        <w:rPr>
          <w:bCs/>
        </w:rPr>
        <w:t>extracts 3 and 4</w:t>
      </w:r>
      <w:r w:rsidR="00745C8F" w:rsidRPr="00B67327">
        <w:rPr>
          <w:bCs/>
        </w:rPr>
        <w:t>)</w:t>
      </w:r>
      <w:r w:rsidR="00AE3654" w:rsidRPr="00B67327">
        <w:rPr>
          <w:bCs/>
        </w:rPr>
        <w:t xml:space="preserve"> he </w:t>
      </w:r>
      <w:r w:rsidR="009A30CE" w:rsidRPr="00B67327">
        <w:rPr>
          <w:bCs/>
        </w:rPr>
        <w:t xml:space="preserve">gazes up at the patient when </w:t>
      </w:r>
      <w:r w:rsidR="00AE3654" w:rsidRPr="00B67327">
        <w:rPr>
          <w:bCs/>
        </w:rPr>
        <w:t>seeking consent</w:t>
      </w:r>
      <w:r w:rsidR="009A30CE" w:rsidRPr="00B67327">
        <w:rPr>
          <w:bCs/>
        </w:rPr>
        <w:t xml:space="preserve"> to complete the memory test. </w:t>
      </w:r>
      <w:r w:rsidR="00CB1FFF" w:rsidRPr="00B67327">
        <w:rPr>
          <w:bCs/>
        </w:rPr>
        <w:t xml:space="preserve">He does not give this </w:t>
      </w:r>
      <w:r w:rsidR="00A4646E" w:rsidRPr="00B67327">
        <w:rPr>
          <w:bCs/>
        </w:rPr>
        <w:t xml:space="preserve">level of attention </w:t>
      </w:r>
      <w:r w:rsidR="00A67C17" w:rsidRPr="00B67327">
        <w:rPr>
          <w:bCs/>
        </w:rPr>
        <w:t xml:space="preserve">to </w:t>
      </w:r>
      <w:r w:rsidR="00CB1FFF" w:rsidRPr="00B67327">
        <w:rPr>
          <w:bCs/>
        </w:rPr>
        <w:t xml:space="preserve">the </w:t>
      </w:r>
      <w:r w:rsidR="00A67C17" w:rsidRPr="00B67327">
        <w:rPr>
          <w:bCs/>
        </w:rPr>
        <w:t>patients with FC</w:t>
      </w:r>
      <w:r w:rsidR="00A4646E" w:rsidRPr="00B67327">
        <w:rPr>
          <w:bCs/>
        </w:rPr>
        <w:t>D.</w:t>
      </w:r>
    </w:p>
    <w:p w14:paraId="56B1D6D5" w14:textId="77777777" w:rsidR="009A30CE" w:rsidRPr="00B67327" w:rsidRDefault="009A30CE" w:rsidP="00CC2A27">
      <w:pPr>
        <w:spacing w:line="360" w:lineRule="auto"/>
        <w:jc w:val="both"/>
        <w:rPr>
          <w:bCs/>
        </w:rPr>
      </w:pPr>
    </w:p>
    <w:p w14:paraId="71049B5C" w14:textId="676E5D8A" w:rsidR="00A514AA" w:rsidRPr="00B67327" w:rsidRDefault="00A4646E" w:rsidP="00CC2A27">
      <w:pPr>
        <w:spacing w:line="360" w:lineRule="auto"/>
        <w:jc w:val="both"/>
        <w:rPr>
          <w:bCs/>
        </w:rPr>
      </w:pPr>
      <w:r w:rsidRPr="00B67327">
        <w:rPr>
          <w:bCs/>
        </w:rPr>
        <w:t>In summary, we have explored variation between clinicians in the way they introduce the formal cognitive examination. We have further shown</w:t>
      </w:r>
      <w:r w:rsidR="00B82883" w:rsidRPr="00B67327">
        <w:rPr>
          <w:bCs/>
        </w:rPr>
        <w:t xml:space="preserve"> through analysing cases from a single clinician</w:t>
      </w:r>
      <w:r w:rsidR="00CB57EE">
        <w:rPr>
          <w:bCs/>
        </w:rPr>
        <w:t xml:space="preserve"> (Neu1)</w:t>
      </w:r>
      <w:r w:rsidR="00B82883" w:rsidRPr="00B67327">
        <w:rPr>
          <w:bCs/>
        </w:rPr>
        <w:t xml:space="preserve"> with different patients,</w:t>
      </w:r>
      <w:r w:rsidRPr="00B67327">
        <w:rPr>
          <w:bCs/>
        </w:rPr>
        <w:t xml:space="preserve"> how the introduction </w:t>
      </w:r>
      <w:r w:rsidR="00B82883" w:rsidRPr="00B67327">
        <w:rPr>
          <w:bCs/>
        </w:rPr>
        <w:t>to the test is</w:t>
      </w:r>
      <w:r w:rsidRPr="00B67327">
        <w:rPr>
          <w:bCs/>
        </w:rPr>
        <w:t xml:space="preserve"> </w:t>
      </w:r>
      <w:r w:rsidR="0056716A" w:rsidRPr="00B67327">
        <w:rPr>
          <w:bCs/>
        </w:rPr>
        <w:t xml:space="preserve">often </w:t>
      </w:r>
      <w:r w:rsidRPr="00B67327">
        <w:rPr>
          <w:bCs/>
        </w:rPr>
        <w:t xml:space="preserve">recipient-designed, with </w:t>
      </w:r>
      <w:r w:rsidR="00B82883" w:rsidRPr="00B67327">
        <w:rPr>
          <w:bCs/>
        </w:rPr>
        <w:t xml:space="preserve">the </w:t>
      </w:r>
      <w:r w:rsidRPr="00B67327">
        <w:rPr>
          <w:bCs/>
        </w:rPr>
        <w:t>clinician a</w:t>
      </w:r>
      <w:r w:rsidR="00B82883" w:rsidRPr="00B67327">
        <w:rPr>
          <w:bCs/>
        </w:rPr>
        <w:t xml:space="preserve">dapting </w:t>
      </w:r>
      <w:r w:rsidRPr="00B67327">
        <w:rPr>
          <w:bCs/>
        </w:rPr>
        <w:t>interactional practice</w:t>
      </w:r>
      <w:r w:rsidR="00B82883" w:rsidRPr="00B67327">
        <w:rPr>
          <w:bCs/>
        </w:rPr>
        <w:t>s</w:t>
      </w:r>
      <w:r w:rsidR="009A30CE" w:rsidRPr="00B67327">
        <w:rPr>
          <w:bCs/>
        </w:rPr>
        <w:t xml:space="preserve"> </w:t>
      </w:r>
      <w:r w:rsidRPr="00B67327">
        <w:rPr>
          <w:bCs/>
        </w:rPr>
        <w:t xml:space="preserve">when patients have more severe cognitive difficulties. This </w:t>
      </w:r>
      <w:r w:rsidR="0056716A" w:rsidRPr="00B67327">
        <w:rPr>
          <w:bCs/>
        </w:rPr>
        <w:t>alteration</w:t>
      </w:r>
      <w:r w:rsidRPr="00B67327">
        <w:rPr>
          <w:bCs/>
        </w:rPr>
        <w:t xml:space="preserve"> </w:t>
      </w:r>
      <w:r w:rsidR="00B82883" w:rsidRPr="00B67327">
        <w:rPr>
          <w:bCs/>
        </w:rPr>
        <w:t>may be</w:t>
      </w:r>
      <w:r w:rsidRPr="00B67327">
        <w:rPr>
          <w:bCs/>
        </w:rPr>
        <w:t xml:space="preserve"> either contingent on </w:t>
      </w:r>
      <w:r w:rsidR="0056716A" w:rsidRPr="00B67327">
        <w:rPr>
          <w:bCs/>
        </w:rPr>
        <w:t>the patient</w:t>
      </w:r>
      <w:r w:rsidR="00B82883" w:rsidRPr="00B67327">
        <w:rPr>
          <w:bCs/>
        </w:rPr>
        <w:t>’</w:t>
      </w:r>
      <w:r w:rsidR="0056716A" w:rsidRPr="00B67327">
        <w:rPr>
          <w:bCs/>
        </w:rPr>
        <w:t>s negative response to the course of action proposed by the clinician, or orients to the clinician</w:t>
      </w:r>
      <w:r w:rsidR="00B82883" w:rsidRPr="00B67327">
        <w:rPr>
          <w:bCs/>
        </w:rPr>
        <w:t>’</w:t>
      </w:r>
      <w:r w:rsidR="0056716A" w:rsidRPr="00B67327">
        <w:rPr>
          <w:bCs/>
        </w:rPr>
        <w:t xml:space="preserve">s perception of </w:t>
      </w:r>
      <w:r w:rsidR="00A46E15" w:rsidRPr="00B67327">
        <w:rPr>
          <w:bCs/>
        </w:rPr>
        <w:t xml:space="preserve">the </w:t>
      </w:r>
      <w:r w:rsidR="0056716A" w:rsidRPr="00B67327">
        <w:rPr>
          <w:bCs/>
        </w:rPr>
        <w:t>patient’s ability. In the consultations where the clinician has formed a working diagnosis of dementia during history taking, they often amend</w:t>
      </w:r>
      <w:r w:rsidR="00B82883" w:rsidRPr="00B67327">
        <w:rPr>
          <w:bCs/>
        </w:rPr>
        <w:t>ed</w:t>
      </w:r>
      <w:r w:rsidR="0056716A" w:rsidRPr="00B67327">
        <w:rPr>
          <w:bCs/>
        </w:rPr>
        <w:t xml:space="preserve"> their introduction to include more attention (in their gaze patterns) and </w:t>
      </w:r>
      <w:r w:rsidR="00B82883" w:rsidRPr="00B67327">
        <w:rPr>
          <w:bCs/>
        </w:rPr>
        <w:t>convey</w:t>
      </w:r>
      <w:r w:rsidR="0056716A" w:rsidRPr="00B67327">
        <w:rPr>
          <w:bCs/>
        </w:rPr>
        <w:t xml:space="preserve"> some of the difficulty the test may pose for the patient. </w:t>
      </w:r>
      <w:r w:rsidR="00751E5A" w:rsidRPr="00B67327">
        <w:rPr>
          <w:bCs/>
        </w:rPr>
        <w:t>These alterations suggest that there may be g</w:t>
      </w:r>
      <w:r w:rsidR="009A30CE" w:rsidRPr="00B67327">
        <w:rPr>
          <w:bCs/>
        </w:rPr>
        <w:t>ood reason</w:t>
      </w:r>
      <w:r w:rsidR="00CD14A4">
        <w:rPr>
          <w:bCs/>
        </w:rPr>
        <w:t>s</w:t>
      </w:r>
      <w:r w:rsidR="009A30CE" w:rsidRPr="00B67327">
        <w:rPr>
          <w:bCs/>
        </w:rPr>
        <w:t xml:space="preserve"> for variation in the introduction to the test. </w:t>
      </w:r>
    </w:p>
    <w:p w14:paraId="2A573D78" w14:textId="77777777" w:rsidR="00307176" w:rsidRPr="00B67327" w:rsidRDefault="00307176" w:rsidP="00307176">
      <w:pPr>
        <w:spacing w:line="360" w:lineRule="auto"/>
        <w:jc w:val="both"/>
        <w:rPr>
          <w:bCs/>
        </w:rPr>
      </w:pPr>
    </w:p>
    <w:p w14:paraId="447E6FB0" w14:textId="7B7652BE" w:rsidR="00617FED" w:rsidRPr="00B67327" w:rsidRDefault="00CF00D3" w:rsidP="00617FED">
      <w:pPr>
        <w:spacing w:line="360" w:lineRule="auto"/>
        <w:jc w:val="both"/>
        <w:rPr>
          <w:bCs/>
          <w:i/>
          <w:lang w:val="en-US"/>
        </w:rPr>
      </w:pPr>
      <w:r w:rsidRPr="00B67327">
        <w:rPr>
          <w:bCs/>
          <w:i/>
          <w:lang w:val="en-US"/>
        </w:rPr>
        <w:t>3.2</w:t>
      </w:r>
      <w:r w:rsidR="00617FED" w:rsidRPr="00B67327">
        <w:rPr>
          <w:bCs/>
          <w:i/>
          <w:lang w:val="en-US"/>
        </w:rPr>
        <w:t xml:space="preserve"> Interactional non-standardization and recipient question design</w:t>
      </w:r>
    </w:p>
    <w:p w14:paraId="418F831C" w14:textId="40218F72" w:rsidR="00617FED" w:rsidRPr="00B67327" w:rsidRDefault="00617FED" w:rsidP="00617FED">
      <w:pPr>
        <w:spacing w:line="360" w:lineRule="auto"/>
        <w:jc w:val="both"/>
        <w:rPr>
          <w:bCs/>
          <w:lang w:val="en-US"/>
        </w:rPr>
      </w:pPr>
      <w:r w:rsidRPr="00B67327">
        <w:rPr>
          <w:bCs/>
          <w:lang w:val="en-US"/>
        </w:rPr>
        <w:t>There are other elements of the test that show evidence of recipient</w:t>
      </w:r>
      <w:r w:rsidR="00284D4A">
        <w:rPr>
          <w:bCs/>
          <w:lang w:val="en-US"/>
        </w:rPr>
        <w:t>-</w:t>
      </w:r>
      <w:r w:rsidRPr="00B67327">
        <w:rPr>
          <w:bCs/>
          <w:lang w:val="en-US"/>
        </w:rPr>
        <w:t xml:space="preserve">design. Different clinicians deviate from the parameters of the test to design questions in ways that function to ‘help’ the patient establish the correct answer. This is evident for both questions that have </w:t>
      </w:r>
      <w:r w:rsidRPr="00B67327">
        <w:rPr>
          <w:bCs/>
        </w:rPr>
        <w:t xml:space="preserve">verbatim instruction, as well as for </w:t>
      </w:r>
      <w:r w:rsidRPr="00B67327">
        <w:rPr>
          <w:bCs/>
          <w:i/>
          <w:iCs/>
        </w:rPr>
        <w:t>quasi</w:t>
      </w:r>
      <w:r w:rsidRPr="00B67327">
        <w:rPr>
          <w:bCs/>
        </w:rPr>
        <w:t xml:space="preserve">-scripted questions. Jones et al, (2020, p. 465-466) showed how clinicians help the patient with the more basic </w:t>
      </w:r>
      <w:r w:rsidRPr="00B67327">
        <w:rPr>
          <w:bCs/>
        </w:rPr>
        <w:lastRenderedPageBreak/>
        <w:t xml:space="preserve">questions, like identifying the </w:t>
      </w:r>
      <w:r w:rsidRPr="00B67327">
        <w:rPr>
          <w:bCs/>
          <w:lang w:val="en-US"/>
        </w:rPr>
        <w:t>season of the year (extracts represented here). Extract 5 demonstrates how the question ordinarily runs off.</w:t>
      </w:r>
    </w:p>
    <w:p w14:paraId="39A5B0A6" w14:textId="77777777" w:rsidR="00617FED" w:rsidRPr="00B67327" w:rsidRDefault="00617FED" w:rsidP="00617FED">
      <w:pPr>
        <w:spacing w:line="360" w:lineRule="auto"/>
        <w:jc w:val="both"/>
        <w:rPr>
          <w:bCs/>
          <w:lang w:val="en-US"/>
        </w:rPr>
      </w:pPr>
    </w:p>
    <w:p w14:paraId="2476A43A" w14:textId="21828866" w:rsidR="00617FED" w:rsidRDefault="00617FED" w:rsidP="00617FED">
      <w:pPr>
        <w:spacing w:line="360" w:lineRule="auto"/>
        <w:jc w:val="both"/>
        <w:rPr>
          <w:b/>
          <w:bCs/>
          <w:lang w:val="en-US"/>
        </w:rPr>
      </w:pPr>
      <w:r w:rsidRPr="00B67327">
        <w:rPr>
          <w:b/>
          <w:bCs/>
          <w:lang w:val="en-US"/>
        </w:rPr>
        <w:t>Extract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C942D7" w:rsidRPr="00960A70" w14:paraId="10E82A5E" w14:textId="77777777" w:rsidTr="00C942D7">
        <w:tc>
          <w:tcPr>
            <w:tcW w:w="561" w:type="dxa"/>
          </w:tcPr>
          <w:p w14:paraId="06E2985D"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3DFBCCF3" w14:textId="2F77ABF3"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7FF263B6" w14:textId="7F17B66D"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what s</w:t>
            </w:r>
            <w:r w:rsidRPr="00960A70">
              <w:rPr>
                <w:rFonts w:ascii="Courier New" w:hAnsi="Courier New" w:cs="Courier New"/>
                <w:bCs/>
                <w:sz w:val="20"/>
                <w:szCs w:val="20"/>
                <w:u w:val="single"/>
              </w:rPr>
              <w:t>ea</w:t>
            </w:r>
            <w:r w:rsidRPr="00960A70">
              <w:rPr>
                <w:rFonts w:ascii="Courier New" w:hAnsi="Courier New" w:cs="Courier New"/>
                <w:bCs/>
                <w:sz w:val="20"/>
                <w:szCs w:val="20"/>
              </w:rPr>
              <w:t xml:space="preserve">son of the year is </w:t>
            </w:r>
            <w:proofErr w:type="gramStart"/>
            <w:r w:rsidRPr="00960A70">
              <w:rPr>
                <w:rFonts w:ascii="Courier New" w:hAnsi="Courier New" w:cs="Courier New"/>
                <w:bCs/>
                <w:sz w:val="20"/>
                <w:szCs w:val="20"/>
              </w:rPr>
              <w:t>it,=</w:t>
            </w:r>
            <w:proofErr w:type="gramEnd"/>
          </w:p>
        </w:tc>
      </w:tr>
      <w:tr w:rsidR="00C942D7" w:rsidRPr="00960A70" w14:paraId="5B7E24C4" w14:textId="77777777" w:rsidTr="00C942D7">
        <w:tc>
          <w:tcPr>
            <w:tcW w:w="561" w:type="dxa"/>
          </w:tcPr>
          <w:p w14:paraId="35AE0555"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700F55A8" w14:textId="00EC2034"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17560EB0" w14:textId="47E597A2"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=Autumn.</w:t>
            </w:r>
          </w:p>
        </w:tc>
      </w:tr>
      <w:tr w:rsidR="00C942D7" w:rsidRPr="00960A70" w14:paraId="4C499B5C" w14:textId="77777777" w:rsidTr="00C942D7">
        <w:tc>
          <w:tcPr>
            <w:tcW w:w="561" w:type="dxa"/>
          </w:tcPr>
          <w:p w14:paraId="11556133"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137EADE2" w14:textId="77777777" w:rsidR="00C942D7" w:rsidRPr="00960A70" w:rsidRDefault="00C942D7" w:rsidP="007519D9">
            <w:pPr>
              <w:spacing w:line="360" w:lineRule="auto"/>
              <w:jc w:val="both"/>
              <w:rPr>
                <w:rFonts w:ascii="Courier New" w:hAnsi="Courier New" w:cs="Courier New"/>
                <w:bCs/>
                <w:sz w:val="20"/>
                <w:szCs w:val="20"/>
              </w:rPr>
            </w:pPr>
          </w:p>
        </w:tc>
        <w:tc>
          <w:tcPr>
            <w:tcW w:w="6852" w:type="dxa"/>
          </w:tcPr>
          <w:p w14:paraId="7DE16E18" w14:textId="1ADB51BA"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r>
      <w:tr w:rsidR="00C942D7" w:rsidRPr="00960A70" w14:paraId="43FAE8D3" w14:textId="77777777" w:rsidTr="00C942D7">
        <w:tc>
          <w:tcPr>
            <w:tcW w:w="561" w:type="dxa"/>
          </w:tcPr>
          <w:p w14:paraId="3ED9F003"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49D989E4" w14:textId="6004DDB2"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398BD1C3" w14:textId="3F757A99" w:rsidR="00C942D7" w:rsidRPr="00960A70" w:rsidRDefault="00C942D7"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w:t>
            </w:r>
            <w:proofErr w:type="spellStart"/>
            <w:r w:rsidRPr="00960A70">
              <w:rPr>
                <w:rFonts w:ascii="Courier New" w:hAnsi="Courier New" w:cs="Courier New"/>
                <w:bCs/>
                <w:sz w:val="20"/>
                <w:szCs w:val="20"/>
              </w:rPr>
              <w:t>hhh</w:t>
            </w:r>
            <w:proofErr w:type="spellEnd"/>
            <w:proofErr w:type="gramEnd"/>
            <w:r w:rsidRPr="00960A70">
              <w:rPr>
                <w:rFonts w:ascii="Courier New" w:hAnsi="Courier New" w:cs="Courier New"/>
                <w:bCs/>
                <w:sz w:val="20"/>
                <w:szCs w:val="20"/>
              </w:rPr>
              <w:t xml:space="preserve"> Where are we,=What’s the name of this place,</w:t>
            </w:r>
          </w:p>
        </w:tc>
      </w:tr>
    </w:tbl>
    <w:p w14:paraId="534ED36E" w14:textId="77777777" w:rsidR="00617FED" w:rsidRPr="009E3CA7" w:rsidRDefault="00617FED" w:rsidP="00617FED">
      <w:pPr>
        <w:spacing w:line="360" w:lineRule="auto"/>
        <w:jc w:val="both"/>
        <w:rPr>
          <w:bCs/>
          <w:lang w:val="en-US"/>
        </w:rPr>
      </w:pPr>
    </w:p>
    <w:p w14:paraId="12120A11" w14:textId="4163F9C7" w:rsidR="00617FED" w:rsidRPr="00B67327" w:rsidRDefault="00997173" w:rsidP="00617FED">
      <w:pPr>
        <w:spacing w:line="360" w:lineRule="auto"/>
        <w:jc w:val="both"/>
        <w:rPr>
          <w:bCs/>
          <w:lang w:val="en-US"/>
        </w:rPr>
      </w:pPr>
      <w:r>
        <w:rPr>
          <w:bCs/>
          <w:lang w:val="en-US"/>
        </w:rPr>
        <w:t xml:space="preserve">This extract shows an unproblematic question-answer sequence which </w:t>
      </w:r>
      <w:r w:rsidR="00617FED" w:rsidRPr="00B67327">
        <w:rPr>
          <w:bCs/>
          <w:lang w:val="en-US"/>
        </w:rPr>
        <w:t>follows the standard</w:t>
      </w:r>
      <w:r>
        <w:rPr>
          <w:bCs/>
          <w:lang w:val="en-US"/>
        </w:rPr>
        <w:t xml:space="preserve"> administrative</w:t>
      </w:r>
      <w:r w:rsidR="00617FED" w:rsidRPr="00B67327">
        <w:rPr>
          <w:bCs/>
          <w:lang w:val="en-US"/>
        </w:rPr>
        <w:t xml:space="preserve"> procedure for the test</w:t>
      </w:r>
      <w:r w:rsidR="00AD6AAF">
        <w:rPr>
          <w:bCs/>
          <w:lang w:val="en-US"/>
        </w:rPr>
        <w:t xml:space="preserve">, continuing with the next question (line </w:t>
      </w:r>
      <w:r>
        <w:rPr>
          <w:bCs/>
          <w:lang w:val="en-US"/>
        </w:rPr>
        <w:t>4</w:t>
      </w:r>
      <w:r w:rsidR="00AD6AAF">
        <w:rPr>
          <w:bCs/>
          <w:lang w:val="en-US"/>
        </w:rPr>
        <w:t>)</w:t>
      </w:r>
      <w:r w:rsidR="00CD14A4">
        <w:rPr>
          <w:bCs/>
          <w:lang w:val="en-US"/>
        </w:rPr>
        <w:t>.</w:t>
      </w:r>
      <w:r w:rsidR="008D0395">
        <w:rPr>
          <w:bCs/>
          <w:lang w:val="en-US"/>
        </w:rPr>
        <w:t xml:space="preserve"> This extract is taken from someone who </w:t>
      </w:r>
      <w:r w:rsidR="00BA780C">
        <w:rPr>
          <w:bCs/>
          <w:lang w:val="en-US"/>
        </w:rPr>
        <w:t xml:space="preserve">reported subjective cognitive complaints. </w:t>
      </w:r>
      <w:r w:rsidR="00617FED" w:rsidRPr="00B67327">
        <w:rPr>
          <w:bCs/>
          <w:lang w:val="en-US"/>
        </w:rPr>
        <w:t xml:space="preserve">In </w:t>
      </w:r>
      <w:r w:rsidR="00AB2EB2" w:rsidRPr="00B67327">
        <w:rPr>
          <w:bCs/>
          <w:lang w:val="en-US"/>
        </w:rPr>
        <w:t>contrast</w:t>
      </w:r>
      <w:r w:rsidR="00617FED" w:rsidRPr="00B67327">
        <w:rPr>
          <w:bCs/>
          <w:lang w:val="en-US"/>
        </w:rPr>
        <w:t xml:space="preserve">, in extract 6 the clinician engages in extra interactional work, orienting to the patient’s difficulty in responding to the question and helping the patient establish the correct answer. </w:t>
      </w:r>
    </w:p>
    <w:p w14:paraId="5918DF41" w14:textId="77777777" w:rsidR="00617FED" w:rsidRPr="00B67327" w:rsidRDefault="00617FED" w:rsidP="00617FED">
      <w:pPr>
        <w:spacing w:line="360" w:lineRule="auto"/>
        <w:jc w:val="both"/>
        <w:rPr>
          <w:bCs/>
          <w:lang w:val="en-US"/>
        </w:rPr>
      </w:pPr>
    </w:p>
    <w:p w14:paraId="2A39997B" w14:textId="3A6B8094" w:rsidR="00617FED" w:rsidRDefault="00617FED" w:rsidP="00617FED">
      <w:pPr>
        <w:spacing w:line="360" w:lineRule="auto"/>
        <w:jc w:val="both"/>
        <w:rPr>
          <w:b/>
          <w:bCs/>
          <w:lang w:val="en-US"/>
        </w:rPr>
      </w:pPr>
      <w:r w:rsidRPr="00B67327">
        <w:rPr>
          <w:b/>
          <w:bCs/>
          <w:lang w:val="en-US"/>
        </w:rPr>
        <w:t>Extract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C942D7" w:rsidRPr="00960A70" w14:paraId="44F3CDC3" w14:textId="77777777" w:rsidTr="00AE2734">
        <w:tc>
          <w:tcPr>
            <w:tcW w:w="561" w:type="dxa"/>
          </w:tcPr>
          <w:p w14:paraId="536B944D"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61251F31" w14:textId="20D3EF18"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6852" w:type="dxa"/>
          </w:tcPr>
          <w:p w14:paraId="682A971B" w14:textId="6535AA8F"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Erm, what erm, what s</w:t>
            </w:r>
            <w:r w:rsidRPr="00960A70">
              <w:rPr>
                <w:rFonts w:ascii="Courier New" w:hAnsi="Courier New" w:cs="Courier New"/>
                <w:bCs/>
                <w:sz w:val="20"/>
                <w:szCs w:val="20"/>
                <w:u w:val="single"/>
              </w:rPr>
              <w:t>ea</w:t>
            </w:r>
            <w:r w:rsidRPr="00960A70">
              <w:rPr>
                <w:rFonts w:ascii="Courier New" w:hAnsi="Courier New" w:cs="Courier New"/>
                <w:bCs/>
                <w:sz w:val="20"/>
                <w:szCs w:val="20"/>
              </w:rPr>
              <w:t>son of the year are</w:t>
            </w:r>
          </w:p>
        </w:tc>
      </w:tr>
      <w:tr w:rsidR="00C942D7" w:rsidRPr="00960A70" w14:paraId="7D8A99CB" w14:textId="77777777" w:rsidTr="00AE2734">
        <w:tc>
          <w:tcPr>
            <w:tcW w:w="561" w:type="dxa"/>
          </w:tcPr>
          <w:p w14:paraId="58297B58"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4A6DC013" w14:textId="253A8A9A" w:rsidR="00C942D7" w:rsidRPr="00960A70" w:rsidRDefault="00C942D7" w:rsidP="007519D9">
            <w:pPr>
              <w:spacing w:line="360" w:lineRule="auto"/>
              <w:jc w:val="both"/>
              <w:rPr>
                <w:rFonts w:ascii="Courier New" w:hAnsi="Courier New" w:cs="Courier New"/>
                <w:bCs/>
                <w:sz w:val="20"/>
                <w:szCs w:val="20"/>
              </w:rPr>
            </w:pPr>
          </w:p>
        </w:tc>
        <w:tc>
          <w:tcPr>
            <w:tcW w:w="6852" w:type="dxa"/>
          </w:tcPr>
          <w:p w14:paraId="6F6E8253" w14:textId="1D554FD1"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we in? Is it spring, summer, autumn, winter?</w:t>
            </w:r>
          </w:p>
        </w:tc>
      </w:tr>
      <w:tr w:rsidR="00C942D7" w:rsidRPr="00960A70" w14:paraId="25F91DE4" w14:textId="77777777" w:rsidTr="00AE2734">
        <w:tc>
          <w:tcPr>
            <w:tcW w:w="561" w:type="dxa"/>
          </w:tcPr>
          <w:p w14:paraId="493AF376"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759AD34D" w14:textId="77777777" w:rsidR="00C942D7" w:rsidRPr="00960A70" w:rsidRDefault="00C942D7" w:rsidP="007519D9">
            <w:pPr>
              <w:spacing w:line="360" w:lineRule="auto"/>
              <w:jc w:val="both"/>
              <w:rPr>
                <w:rFonts w:ascii="Courier New" w:hAnsi="Courier New" w:cs="Courier New"/>
                <w:bCs/>
                <w:sz w:val="20"/>
                <w:szCs w:val="20"/>
              </w:rPr>
            </w:pPr>
          </w:p>
        </w:tc>
        <w:tc>
          <w:tcPr>
            <w:tcW w:w="6852" w:type="dxa"/>
          </w:tcPr>
          <w:p w14:paraId="4FA91E38" w14:textId="2167DB76"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What season is it?</w:t>
            </w:r>
          </w:p>
        </w:tc>
      </w:tr>
      <w:tr w:rsidR="00C942D7" w:rsidRPr="00960A70" w14:paraId="36E31713" w14:textId="77777777" w:rsidTr="00AE2734">
        <w:tc>
          <w:tcPr>
            <w:tcW w:w="561" w:type="dxa"/>
          </w:tcPr>
          <w:p w14:paraId="60FC7B9C" w14:textId="7777777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511EE9F6" w14:textId="74BBC006"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2A02577D" w14:textId="7CC9A705"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Erm. (0.4)</w:t>
            </w:r>
          </w:p>
        </w:tc>
      </w:tr>
      <w:tr w:rsidR="00C942D7" w:rsidRPr="00960A70" w14:paraId="35BC19F8" w14:textId="77777777" w:rsidTr="00AE2734">
        <w:tc>
          <w:tcPr>
            <w:tcW w:w="561" w:type="dxa"/>
          </w:tcPr>
          <w:p w14:paraId="5CC07F0E" w14:textId="60767607"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5FD72DE7" w14:textId="1F7F0A5D"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6852" w:type="dxa"/>
          </w:tcPr>
          <w:p w14:paraId="5D08CD62" w14:textId="6DB7978C"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£I know it’s hard to tell at the</w:t>
            </w:r>
          </w:p>
        </w:tc>
      </w:tr>
      <w:tr w:rsidR="00C942D7" w:rsidRPr="00960A70" w14:paraId="20982AE0" w14:textId="77777777" w:rsidTr="00AE2734">
        <w:tc>
          <w:tcPr>
            <w:tcW w:w="561" w:type="dxa"/>
          </w:tcPr>
          <w:p w14:paraId="7553C5C7" w14:textId="0EA73AC3"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29D75988" w14:textId="77777777" w:rsidR="00C942D7" w:rsidRPr="00960A70" w:rsidRDefault="00C942D7" w:rsidP="007519D9">
            <w:pPr>
              <w:spacing w:line="360" w:lineRule="auto"/>
              <w:jc w:val="both"/>
              <w:rPr>
                <w:rFonts w:ascii="Courier New" w:hAnsi="Courier New" w:cs="Courier New"/>
                <w:bCs/>
                <w:sz w:val="20"/>
                <w:szCs w:val="20"/>
              </w:rPr>
            </w:pPr>
          </w:p>
        </w:tc>
        <w:tc>
          <w:tcPr>
            <w:tcW w:w="6852" w:type="dxa"/>
          </w:tcPr>
          <w:p w14:paraId="45928229" w14:textId="502C64D9" w:rsidR="00C942D7" w:rsidRPr="00960A70" w:rsidRDefault="00C942D7"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moment. Huh </w:t>
            </w:r>
            <w:proofErr w:type="spellStart"/>
            <w:r w:rsidRPr="00960A70">
              <w:rPr>
                <w:rFonts w:ascii="Courier New" w:hAnsi="Courier New" w:cs="Courier New"/>
                <w:bCs/>
                <w:sz w:val="20"/>
                <w:szCs w:val="20"/>
              </w:rPr>
              <w:t>huh</w:t>
            </w:r>
            <w:proofErr w:type="spellEnd"/>
            <w:r w:rsidRPr="00960A70">
              <w:rPr>
                <w:rFonts w:ascii="Courier New" w:hAnsi="Courier New" w:cs="Courier New"/>
                <w:bCs/>
                <w:sz w:val="20"/>
                <w:szCs w:val="20"/>
              </w:rPr>
              <w:t xml:space="preserve"> </w:t>
            </w:r>
            <w:proofErr w:type="spellStart"/>
            <w:r w:rsidRPr="00960A70">
              <w:rPr>
                <w:rFonts w:ascii="Courier New" w:hAnsi="Courier New" w:cs="Courier New"/>
                <w:bCs/>
                <w:sz w:val="20"/>
                <w:szCs w:val="20"/>
              </w:rPr>
              <w:t>huh</w:t>
            </w:r>
            <w:proofErr w:type="spellEnd"/>
            <w:r w:rsidRPr="00960A70">
              <w:rPr>
                <w:rFonts w:ascii="Courier New" w:hAnsi="Courier New" w:cs="Courier New"/>
                <w:bCs/>
                <w:sz w:val="20"/>
                <w:szCs w:val="20"/>
              </w:rPr>
              <w:t xml:space="preserve"> </w:t>
            </w:r>
            <w:proofErr w:type="spellStart"/>
            <w:r w:rsidRPr="00960A70">
              <w:rPr>
                <w:rFonts w:ascii="Courier New" w:hAnsi="Courier New" w:cs="Courier New"/>
                <w:bCs/>
                <w:sz w:val="20"/>
                <w:szCs w:val="20"/>
              </w:rPr>
              <w:t>huh</w:t>
            </w:r>
            <w:proofErr w:type="spellEnd"/>
          </w:p>
        </w:tc>
      </w:tr>
      <w:tr w:rsidR="008E62CD" w:rsidRPr="00960A70" w14:paraId="1F9F2630" w14:textId="77777777" w:rsidTr="00AE2734">
        <w:tc>
          <w:tcPr>
            <w:tcW w:w="561" w:type="dxa"/>
          </w:tcPr>
          <w:p w14:paraId="71376DE5" w14:textId="67A5F818"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767FCB98" w14:textId="626B3B4B"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1FB28B85" w14:textId="0E77B0DD" w:rsidR="008E62CD" w:rsidRPr="00960A70" w:rsidRDefault="008E62CD"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Yeah.=</w:t>
            </w:r>
            <w:proofErr w:type="gramEnd"/>
          </w:p>
        </w:tc>
      </w:tr>
      <w:tr w:rsidR="008E62CD" w:rsidRPr="00960A70" w14:paraId="64146206" w14:textId="77777777" w:rsidTr="00AE2734">
        <w:tc>
          <w:tcPr>
            <w:tcW w:w="561" w:type="dxa"/>
          </w:tcPr>
          <w:p w14:paraId="784F3730" w14:textId="22CAF879"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12052586" w14:textId="692A70B2"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6852" w:type="dxa"/>
          </w:tcPr>
          <w:p w14:paraId="6A7D4D89" w14:textId="620EE25F"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=What would you say?</w:t>
            </w:r>
          </w:p>
        </w:tc>
      </w:tr>
      <w:tr w:rsidR="008E62CD" w:rsidRPr="00960A70" w14:paraId="22D3D486" w14:textId="77777777" w:rsidTr="00AE2734">
        <w:tc>
          <w:tcPr>
            <w:tcW w:w="561" w:type="dxa"/>
          </w:tcPr>
          <w:p w14:paraId="7786B082" w14:textId="48FBA00E"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052E7360" w14:textId="31D1802D"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620CDEFF" w14:textId="6EC5C92F"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Erm, (0.4) Autumn.</w:t>
            </w:r>
          </w:p>
        </w:tc>
      </w:tr>
      <w:tr w:rsidR="008E62CD" w:rsidRPr="00960A70" w14:paraId="22D77FFF" w14:textId="77777777" w:rsidTr="00AE2734">
        <w:tc>
          <w:tcPr>
            <w:tcW w:w="561" w:type="dxa"/>
          </w:tcPr>
          <w:p w14:paraId="5F59AAF6" w14:textId="0251C979"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0E0089FE" w14:textId="07FA4918"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6852" w:type="dxa"/>
          </w:tcPr>
          <w:p w14:paraId="45BA9AF5" w14:textId="5519B863" w:rsidR="008E62CD" w:rsidRPr="00960A70" w:rsidRDefault="008E62C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Oh Okay. That’s great.</w:t>
            </w:r>
          </w:p>
        </w:tc>
      </w:tr>
    </w:tbl>
    <w:p w14:paraId="7714CDE9" w14:textId="77777777" w:rsidR="00617FED" w:rsidRPr="009E3CA7" w:rsidRDefault="00617FED" w:rsidP="00617FED">
      <w:pPr>
        <w:spacing w:line="360" w:lineRule="auto"/>
        <w:jc w:val="both"/>
        <w:rPr>
          <w:b/>
          <w:bCs/>
          <w:lang w:val="en-US"/>
        </w:rPr>
      </w:pPr>
    </w:p>
    <w:p w14:paraId="742C6C3C" w14:textId="3D9039F6" w:rsidR="00617FED" w:rsidRPr="00B67327" w:rsidRDefault="00617FED" w:rsidP="008708C2">
      <w:pPr>
        <w:spacing w:line="360" w:lineRule="auto"/>
        <w:jc w:val="both"/>
        <w:rPr>
          <w:bCs/>
          <w:lang w:val="en-US"/>
        </w:rPr>
      </w:pPr>
      <w:r w:rsidRPr="00B67327">
        <w:rPr>
          <w:bCs/>
          <w:lang w:val="en-US"/>
        </w:rPr>
        <w:t>The patient in extract 6 displayed extreme level</w:t>
      </w:r>
      <w:r w:rsidR="00AB2EB2" w:rsidRPr="00B67327">
        <w:rPr>
          <w:bCs/>
          <w:lang w:val="en-US"/>
        </w:rPr>
        <w:t>s</w:t>
      </w:r>
      <w:r w:rsidRPr="00B67327">
        <w:rPr>
          <w:bCs/>
          <w:lang w:val="en-US"/>
        </w:rPr>
        <w:t xml:space="preserve"> of cognitive decline during history-taking (he did not know his age or why he was at the clinic)</w:t>
      </w:r>
      <w:r w:rsidR="00CD14A4">
        <w:rPr>
          <w:bCs/>
          <w:lang w:val="en-US"/>
        </w:rPr>
        <w:t>.</w:t>
      </w:r>
      <w:r w:rsidRPr="00B67327">
        <w:rPr>
          <w:bCs/>
          <w:lang w:val="en-US"/>
        </w:rPr>
        <w:t xml:space="preserve"> </w:t>
      </w:r>
      <w:r w:rsidR="00CD14A4">
        <w:rPr>
          <w:bCs/>
          <w:lang w:val="en-US"/>
        </w:rPr>
        <w:t>He subsequently</w:t>
      </w:r>
      <w:r w:rsidRPr="00B67327">
        <w:rPr>
          <w:bCs/>
          <w:lang w:val="en-US"/>
        </w:rPr>
        <w:t xml:space="preserve"> scored only 31</w:t>
      </w:r>
      <w:r w:rsidR="008708C2" w:rsidRPr="00B67327">
        <w:rPr>
          <w:bCs/>
          <w:lang w:val="en-US"/>
        </w:rPr>
        <w:t xml:space="preserve"> out of 100</w:t>
      </w:r>
      <w:r w:rsidRPr="00B67327">
        <w:rPr>
          <w:bCs/>
          <w:lang w:val="en-US"/>
        </w:rPr>
        <w:t xml:space="preserve"> on the ACE-</w:t>
      </w:r>
      <w:r w:rsidR="00AB2EB2" w:rsidRPr="00B67327">
        <w:rPr>
          <w:bCs/>
          <w:lang w:val="en-US"/>
        </w:rPr>
        <w:t>III</w:t>
      </w:r>
      <w:r w:rsidR="000D3469" w:rsidRPr="00B67327">
        <w:rPr>
          <w:bCs/>
          <w:lang w:val="en-US"/>
        </w:rPr>
        <w:t xml:space="preserve">, </w:t>
      </w:r>
      <w:r w:rsidR="00CD14A4">
        <w:rPr>
          <w:bCs/>
          <w:lang w:val="en-US"/>
        </w:rPr>
        <w:t>which is</w:t>
      </w:r>
      <w:r w:rsidR="00CD14A4" w:rsidRPr="00B67327">
        <w:rPr>
          <w:bCs/>
          <w:lang w:val="en-US"/>
        </w:rPr>
        <w:t xml:space="preserve"> </w:t>
      </w:r>
      <w:r w:rsidR="000D3469" w:rsidRPr="00B67327">
        <w:rPr>
          <w:bCs/>
          <w:lang w:val="en-US"/>
        </w:rPr>
        <w:t>highly indicative of dementia</w:t>
      </w:r>
      <w:r w:rsidR="00AB2EB2" w:rsidRPr="00B67327">
        <w:rPr>
          <w:bCs/>
          <w:lang w:val="en-US"/>
        </w:rPr>
        <w:t>.</w:t>
      </w:r>
      <w:r w:rsidR="008708C2" w:rsidRPr="00B67327">
        <w:rPr>
          <w:bCs/>
          <w:lang w:val="en-US"/>
        </w:rPr>
        <w:t xml:space="preserve"> </w:t>
      </w:r>
      <w:r w:rsidR="00DE347D" w:rsidRPr="00DE347D">
        <w:rPr>
          <w:bCs/>
          <w:lang w:val="en-US"/>
        </w:rPr>
        <w:t>In the test immediately before this question</w:t>
      </w:r>
      <w:r w:rsidR="00DE347D">
        <w:rPr>
          <w:bCs/>
          <w:lang w:val="en-US"/>
        </w:rPr>
        <w:t xml:space="preserve"> about the season</w:t>
      </w:r>
      <w:r w:rsidR="00DE347D" w:rsidRPr="00DE347D">
        <w:rPr>
          <w:bCs/>
          <w:lang w:val="en-US"/>
        </w:rPr>
        <w:t xml:space="preserve"> the patient said the wrong day, didn’t know the date, replied with “Monday” when asked the month, and replied with the name of the country when asked what year it was. </w:t>
      </w:r>
      <w:r w:rsidRPr="00B67327">
        <w:rPr>
          <w:bCs/>
          <w:lang w:val="en-US"/>
        </w:rPr>
        <w:t xml:space="preserve">Here the clinician is again asking, “what season of the year are we in” (lines 1 </w:t>
      </w:r>
      <w:r w:rsidR="006D1F3C">
        <w:rPr>
          <w:bCs/>
          <w:lang w:val="en-US"/>
        </w:rPr>
        <w:t>and</w:t>
      </w:r>
      <w:r w:rsidRPr="00B67327">
        <w:rPr>
          <w:bCs/>
          <w:lang w:val="en-US"/>
        </w:rPr>
        <w:t xml:space="preserve"> 2), and then proceeds to produce </w:t>
      </w:r>
      <w:r w:rsidR="00924A27" w:rsidRPr="00B67327">
        <w:rPr>
          <w:bCs/>
          <w:lang w:val="en-US"/>
        </w:rPr>
        <w:t>candidate</w:t>
      </w:r>
      <w:r w:rsidRPr="00B67327">
        <w:rPr>
          <w:bCs/>
          <w:lang w:val="en-US"/>
        </w:rPr>
        <w:t xml:space="preserve"> options for the patient (line 2). </w:t>
      </w:r>
      <w:r w:rsidR="00DE347D" w:rsidRPr="00DE347D">
        <w:rPr>
          <w:bCs/>
          <w:lang w:val="en-US"/>
        </w:rPr>
        <w:t xml:space="preserve">Given the patient had just prior responded </w:t>
      </w:r>
      <w:r w:rsidR="00DE347D" w:rsidRPr="00DE347D">
        <w:rPr>
          <w:bCs/>
          <w:lang w:val="en-US"/>
        </w:rPr>
        <w:lastRenderedPageBreak/>
        <w:t xml:space="preserve">with the name of the country when asked the year the </w:t>
      </w:r>
      <w:r w:rsidR="00B419BE">
        <w:rPr>
          <w:bCs/>
          <w:lang w:val="en-US"/>
        </w:rPr>
        <w:t>clinician</w:t>
      </w:r>
      <w:r w:rsidR="00DE347D" w:rsidRPr="00DE347D">
        <w:rPr>
          <w:bCs/>
          <w:lang w:val="en-US"/>
        </w:rPr>
        <w:t xml:space="preserve"> is </w:t>
      </w:r>
      <w:r w:rsidR="009C4B3D">
        <w:rPr>
          <w:bCs/>
          <w:lang w:val="en-US"/>
        </w:rPr>
        <w:t xml:space="preserve">here </w:t>
      </w:r>
      <w:proofErr w:type="spellStart"/>
      <w:r w:rsidR="009C4B3D">
        <w:rPr>
          <w:bCs/>
          <w:lang w:val="en-US"/>
        </w:rPr>
        <w:t>mobilising</w:t>
      </w:r>
      <w:proofErr w:type="spellEnd"/>
      <w:r w:rsidR="009C4B3D">
        <w:rPr>
          <w:bCs/>
          <w:lang w:val="en-US"/>
        </w:rPr>
        <w:t xml:space="preserve"> recipient-design by </w:t>
      </w:r>
      <w:r w:rsidR="00DE347D" w:rsidRPr="00DE347D">
        <w:rPr>
          <w:bCs/>
          <w:lang w:val="en-US"/>
        </w:rPr>
        <w:t>restricting the category of responses the patient can produce</w:t>
      </w:r>
      <w:r w:rsidR="009C4B3D">
        <w:rPr>
          <w:bCs/>
          <w:lang w:val="en-US"/>
        </w:rPr>
        <w:t>.</w:t>
      </w:r>
      <w:r w:rsidR="00DE347D" w:rsidRPr="00DE347D">
        <w:rPr>
          <w:bCs/>
          <w:lang w:val="en-US"/>
        </w:rPr>
        <w:t xml:space="preserve"> </w:t>
      </w:r>
      <w:r w:rsidRPr="00B67327">
        <w:rPr>
          <w:bCs/>
          <w:lang w:val="en-US"/>
        </w:rPr>
        <w:t>This kind of anticipatory work – anticipating trouble and explicating possible answers for the patient</w:t>
      </w:r>
      <w:r w:rsidR="00AF055A">
        <w:rPr>
          <w:bCs/>
          <w:lang w:val="en-US"/>
        </w:rPr>
        <w:t xml:space="preserve"> </w:t>
      </w:r>
      <w:r w:rsidRPr="00B67327">
        <w:rPr>
          <w:bCs/>
          <w:lang w:val="en-US"/>
        </w:rPr>
        <w:t xml:space="preserve">deviates from the guidance. Trouble in responding is confirmed when the patient </w:t>
      </w:r>
      <w:r w:rsidR="00924A27" w:rsidRPr="00B67327">
        <w:rPr>
          <w:bCs/>
          <w:lang w:val="en-US"/>
        </w:rPr>
        <w:t xml:space="preserve">utters a marker of </w:t>
      </w:r>
      <w:r w:rsidRPr="00B67327">
        <w:rPr>
          <w:bCs/>
          <w:lang w:val="en-US"/>
        </w:rPr>
        <w:t>hesitat</w:t>
      </w:r>
      <w:r w:rsidR="00924A27" w:rsidRPr="00B67327">
        <w:rPr>
          <w:bCs/>
          <w:lang w:val="en-US"/>
        </w:rPr>
        <w:t>ion</w:t>
      </w:r>
      <w:r w:rsidRPr="00B67327">
        <w:rPr>
          <w:bCs/>
          <w:lang w:val="en-US"/>
        </w:rPr>
        <w:t xml:space="preserve"> and pause</w:t>
      </w:r>
      <w:r w:rsidR="00924A27" w:rsidRPr="00B67327">
        <w:rPr>
          <w:bCs/>
          <w:lang w:val="en-US"/>
        </w:rPr>
        <w:t>s</w:t>
      </w:r>
      <w:r w:rsidRPr="00B67327">
        <w:rPr>
          <w:bCs/>
          <w:lang w:val="en-US"/>
        </w:rPr>
        <w:t xml:space="preserve"> (line 4). Instead of moving on or reasserting the same question (which is a more typical course of action when a patient delays a response), the clinician states, “I know it’s hard to tell at the moment” (lines 5-6). This implies that the current weather condition, which is visible from the window, is atypical for the season they are in</w:t>
      </w:r>
      <w:r w:rsidR="00CD14A4">
        <w:rPr>
          <w:bCs/>
          <w:lang w:val="en-US"/>
        </w:rPr>
        <w:t xml:space="preserve">, thus assisting the </w:t>
      </w:r>
      <w:r w:rsidRPr="00B67327">
        <w:rPr>
          <w:bCs/>
          <w:lang w:val="en-US"/>
        </w:rPr>
        <w:t>patient</w:t>
      </w:r>
      <w:r w:rsidR="00CD14A4">
        <w:rPr>
          <w:bCs/>
          <w:lang w:val="en-US"/>
        </w:rPr>
        <w:t xml:space="preserve"> to</w:t>
      </w:r>
      <w:r w:rsidRPr="00B67327">
        <w:rPr>
          <w:bCs/>
          <w:lang w:val="en-US"/>
        </w:rPr>
        <w:t xml:space="preserve"> determine the correct answer</w:t>
      </w:r>
      <w:r w:rsidR="00CD14A4">
        <w:rPr>
          <w:bCs/>
          <w:lang w:val="en-US"/>
        </w:rPr>
        <w:t xml:space="preserve"> (e.g., </w:t>
      </w:r>
      <w:r w:rsidRPr="00B67327">
        <w:rPr>
          <w:bCs/>
          <w:lang w:val="en-US"/>
        </w:rPr>
        <w:t xml:space="preserve">if it was snowing, and the weather was atypical, one </w:t>
      </w:r>
      <w:r w:rsidR="00CD14A4">
        <w:rPr>
          <w:bCs/>
          <w:lang w:val="en-US"/>
        </w:rPr>
        <w:t>might</w:t>
      </w:r>
      <w:r w:rsidR="00CD14A4" w:rsidRPr="00B67327">
        <w:rPr>
          <w:bCs/>
          <w:lang w:val="en-US"/>
        </w:rPr>
        <w:t xml:space="preserve"> </w:t>
      </w:r>
      <w:r w:rsidRPr="00B67327">
        <w:rPr>
          <w:bCs/>
          <w:lang w:val="en-US"/>
        </w:rPr>
        <w:t>deduce that it was perhaps spring or summer</w:t>
      </w:r>
      <w:r w:rsidR="00CD14A4">
        <w:rPr>
          <w:bCs/>
          <w:lang w:val="en-US"/>
        </w:rPr>
        <w:t>)</w:t>
      </w:r>
      <w:r w:rsidRPr="00B67327">
        <w:rPr>
          <w:bCs/>
          <w:lang w:val="en-US"/>
        </w:rPr>
        <w:t xml:space="preserve">. It </w:t>
      </w:r>
      <w:r w:rsidR="002E62A4">
        <w:rPr>
          <w:bCs/>
          <w:lang w:val="en-US"/>
        </w:rPr>
        <w:t xml:space="preserve">could </w:t>
      </w:r>
      <w:r w:rsidRPr="00B67327">
        <w:rPr>
          <w:bCs/>
          <w:lang w:val="en-US"/>
        </w:rPr>
        <w:t>also work to excuse the patient for his displayed lack of knowledge – placing the blame for his inability to respond on the atypical weather rather than the patient</w:t>
      </w:r>
      <w:r w:rsidR="00924A27" w:rsidRPr="00B67327">
        <w:rPr>
          <w:bCs/>
          <w:lang w:val="en-US"/>
        </w:rPr>
        <w:t>’</w:t>
      </w:r>
      <w:r w:rsidRPr="00B67327">
        <w:rPr>
          <w:bCs/>
          <w:lang w:val="en-US"/>
        </w:rPr>
        <w:t>s failing cognition.</w:t>
      </w:r>
      <w:r w:rsidR="009C4B3D">
        <w:rPr>
          <w:bCs/>
          <w:lang w:val="en-US"/>
        </w:rPr>
        <w:t xml:space="preserve"> </w:t>
      </w:r>
      <w:r w:rsidR="009C4B3D" w:rsidRPr="009C4B3D">
        <w:rPr>
          <w:bCs/>
          <w:lang w:val="en-US"/>
        </w:rPr>
        <w:t xml:space="preserve">The </w:t>
      </w:r>
      <w:r w:rsidR="00B419BE">
        <w:rPr>
          <w:bCs/>
          <w:lang w:val="en-US"/>
        </w:rPr>
        <w:t>clinician</w:t>
      </w:r>
      <w:r w:rsidR="009C4B3D" w:rsidRPr="009C4B3D">
        <w:rPr>
          <w:bCs/>
          <w:lang w:val="en-US"/>
        </w:rPr>
        <w:t xml:space="preserve"> further prompts for a reply</w:t>
      </w:r>
      <w:r w:rsidR="009C4B3D">
        <w:rPr>
          <w:bCs/>
          <w:lang w:val="en-US"/>
        </w:rPr>
        <w:t xml:space="preserve">, </w:t>
      </w:r>
      <w:r w:rsidR="009C4B3D" w:rsidRPr="009C4B3D">
        <w:rPr>
          <w:bCs/>
          <w:lang w:val="en-US"/>
        </w:rPr>
        <w:t>“what would you say”</w:t>
      </w:r>
      <w:r w:rsidR="009C4B3D">
        <w:rPr>
          <w:bCs/>
          <w:lang w:val="en-US"/>
        </w:rPr>
        <w:t xml:space="preserve"> (line 8)</w:t>
      </w:r>
      <w:r w:rsidR="009C4B3D" w:rsidRPr="009C4B3D">
        <w:rPr>
          <w:bCs/>
          <w:lang w:val="en-US"/>
        </w:rPr>
        <w:t xml:space="preserve"> – this implies that a guess based on this information may be acceptable.</w:t>
      </w:r>
      <w:r w:rsidRPr="00B67327">
        <w:rPr>
          <w:bCs/>
          <w:lang w:val="en-US"/>
        </w:rPr>
        <w:t xml:space="preserve"> </w:t>
      </w:r>
      <w:r w:rsidR="00C72A45">
        <w:rPr>
          <w:bCs/>
          <w:lang w:val="en-US"/>
        </w:rPr>
        <w:t>Despite this extra interactional work</w:t>
      </w:r>
      <w:r w:rsidR="00CD14A4">
        <w:rPr>
          <w:bCs/>
          <w:lang w:val="en-US"/>
        </w:rPr>
        <w:t>,</w:t>
      </w:r>
      <w:r w:rsidR="00C72A45">
        <w:rPr>
          <w:bCs/>
          <w:lang w:val="en-US"/>
        </w:rPr>
        <w:t xml:space="preserve"> </w:t>
      </w:r>
      <w:r w:rsidRPr="00B67327">
        <w:rPr>
          <w:bCs/>
          <w:lang w:val="en-US"/>
        </w:rPr>
        <w:t>the patient incorrectly responds with “autumn” (line 9) (when in fact it is spring)</w:t>
      </w:r>
      <w:r w:rsidR="00C72A45">
        <w:rPr>
          <w:bCs/>
          <w:lang w:val="en-US"/>
        </w:rPr>
        <w:t>.</w:t>
      </w:r>
      <w:r w:rsidR="00C97E93" w:rsidRPr="00B67327">
        <w:rPr>
          <w:bCs/>
          <w:lang w:val="en-US"/>
        </w:rPr>
        <w:t xml:space="preserve"> </w:t>
      </w:r>
      <w:r w:rsidR="00C72A45">
        <w:rPr>
          <w:bCs/>
          <w:lang w:val="en-US"/>
        </w:rPr>
        <w:t>T</w:t>
      </w:r>
      <w:r w:rsidR="00C97E93" w:rsidRPr="00B67327">
        <w:rPr>
          <w:bCs/>
          <w:lang w:val="en-US"/>
        </w:rPr>
        <w:t xml:space="preserve">he clinician receipts </w:t>
      </w:r>
      <w:r w:rsidR="00C72A45">
        <w:rPr>
          <w:bCs/>
          <w:lang w:val="en-US"/>
        </w:rPr>
        <w:t>the incorrect response</w:t>
      </w:r>
      <w:r w:rsidR="00C97E93" w:rsidRPr="00B67327">
        <w:rPr>
          <w:bCs/>
          <w:lang w:val="en-US"/>
        </w:rPr>
        <w:t xml:space="preserve"> with ‘Oh okay’ (line 10), a turn in which the oh-prefacing is the only indicator that the response was in some way unexpected</w:t>
      </w:r>
      <w:r w:rsidR="002E62A4">
        <w:rPr>
          <w:bCs/>
          <w:lang w:val="en-US"/>
        </w:rPr>
        <w:t xml:space="preserve"> (Heritage, 1998)</w:t>
      </w:r>
      <w:r w:rsidR="00C97E93" w:rsidRPr="00B67327">
        <w:rPr>
          <w:bCs/>
          <w:lang w:val="en-US"/>
        </w:rPr>
        <w:t xml:space="preserve">.  </w:t>
      </w:r>
      <w:r w:rsidRPr="00B67327">
        <w:rPr>
          <w:bCs/>
          <w:lang w:val="en-US"/>
        </w:rPr>
        <w:t xml:space="preserve"> </w:t>
      </w:r>
    </w:p>
    <w:p w14:paraId="67413F18" w14:textId="77777777" w:rsidR="00617FED" w:rsidRPr="00B67327" w:rsidRDefault="00617FED" w:rsidP="00617FED">
      <w:pPr>
        <w:spacing w:line="360" w:lineRule="auto"/>
        <w:jc w:val="both"/>
        <w:rPr>
          <w:bCs/>
          <w:lang w:val="en-US"/>
        </w:rPr>
      </w:pPr>
    </w:p>
    <w:p w14:paraId="4D1E5AF4" w14:textId="64265DB1" w:rsidR="00617FED" w:rsidRPr="00B67327" w:rsidRDefault="00617FED" w:rsidP="00617FED">
      <w:pPr>
        <w:spacing w:line="360" w:lineRule="auto"/>
        <w:jc w:val="both"/>
        <w:rPr>
          <w:bCs/>
        </w:rPr>
      </w:pPr>
      <w:r w:rsidRPr="00B67327">
        <w:rPr>
          <w:bCs/>
          <w:lang w:val="en-US"/>
        </w:rPr>
        <w:t>Jones, et al (2020) also showed how clinicians deviate from the administrative guide during the ‘attention-subtraction’ task</w:t>
      </w:r>
      <w:r w:rsidR="00C97E93" w:rsidRPr="00B67327">
        <w:rPr>
          <w:bCs/>
          <w:lang w:val="en-US"/>
        </w:rPr>
        <w:t>,</w:t>
      </w:r>
      <w:r w:rsidRPr="00B67327">
        <w:rPr>
          <w:bCs/>
          <w:lang w:val="en-US"/>
        </w:rPr>
        <w:t xml:space="preserve"> which states, “</w:t>
      </w:r>
      <w:r w:rsidRPr="00B67327">
        <w:rPr>
          <w:bCs/>
        </w:rPr>
        <w:t>Ask the participant to subtract seven from 100, record the answer, and then ask the participant to keep subtracting seven from each new number until you ask them to stop”. This ordinarily runs o</w:t>
      </w:r>
      <w:r w:rsidR="00924A27" w:rsidRPr="00B67327">
        <w:rPr>
          <w:bCs/>
        </w:rPr>
        <w:t>ff as follows:</w:t>
      </w:r>
    </w:p>
    <w:p w14:paraId="20941750" w14:textId="77777777" w:rsidR="00617FED" w:rsidRPr="00B67327" w:rsidRDefault="00617FED" w:rsidP="00617FED">
      <w:pPr>
        <w:spacing w:line="360" w:lineRule="auto"/>
        <w:jc w:val="both"/>
        <w:rPr>
          <w:bCs/>
        </w:rPr>
      </w:pPr>
    </w:p>
    <w:p w14:paraId="60725AF7" w14:textId="05173BDB" w:rsidR="00AE2734" w:rsidRDefault="00617FED" w:rsidP="00617FED">
      <w:pPr>
        <w:spacing w:line="360" w:lineRule="auto"/>
        <w:jc w:val="both"/>
        <w:rPr>
          <w:b/>
          <w:bCs/>
        </w:rPr>
      </w:pPr>
      <w:r w:rsidRPr="00B67327">
        <w:rPr>
          <w:b/>
          <w:bCs/>
        </w:rPr>
        <w:t>Extract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AE2734" w:rsidRPr="00960A70" w14:paraId="70DF7025" w14:textId="77777777" w:rsidTr="00AE2734">
        <w:tc>
          <w:tcPr>
            <w:tcW w:w="561" w:type="dxa"/>
          </w:tcPr>
          <w:p w14:paraId="0F93E38D"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378D6121" w14:textId="2E3F9F91"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45D3FEB6" w14:textId="63BF2A80"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 xml:space="preserve">Can you subtract </w:t>
            </w:r>
            <w:r w:rsidRPr="00960A70">
              <w:rPr>
                <w:rFonts w:ascii="Courier New" w:hAnsi="Courier New" w:cs="Courier New"/>
                <w:sz w:val="20"/>
                <w:szCs w:val="20"/>
                <w:u w:val="single"/>
              </w:rPr>
              <w:t>sev</w:t>
            </w:r>
            <w:r w:rsidRPr="00960A70">
              <w:rPr>
                <w:rFonts w:ascii="Courier New" w:hAnsi="Courier New" w:cs="Courier New"/>
                <w:sz w:val="20"/>
                <w:szCs w:val="20"/>
              </w:rPr>
              <w:t>en from one hundred,</w:t>
            </w:r>
          </w:p>
        </w:tc>
      </w:tr>
      <w:tr w:rsidR="00AE2734" w:rsidRPr="00960A70" w14:paraId="3BDB5CAF" w14:textId="77777777" w:rsidTr="00AE2734">
        <w:tc>
          <w:tcPr>
            <w:tcW w:w="561" w:type="dxa"/>
          </w:tcPr>
          <w:p w14:paraId="46DE2816"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53B4BC84" w14:textId="42864AC0"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57B0FCB4" w14:textId="032E651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N</w:t>
            </w:r>
            <w:r w:rsidRPr="00960A70">
              <w:rPr>
                <w:rFonts w:ascii="Courier New" w:hAnsi="Courier New" w:cs="Courier New"/>
                <w:sz w:val="20"/>
                <w:szCs w:val="20"/>
                <w:u w:val="single"/>
              </w:rPr>
              <w:t>in</w:t>
            </w:r>
            <w:r w:rsidRPr="00960A70">
              <w:rPr>
                <w:rFonts w:ascii="Courier New" w:hAnsi="Courier New" w:cs="Courier New"/>
                <w:sz w:val="20"/>
                <w:szCs w:val="20"/>
              </w:rPr>
              <w:t>ety-three.</w:t>
            </w:r>
          </w:p>
        </w:tc>
      </w:tr>
      <w:tr w:rsidR="00AE2734" w:rsidRPr="00960A70" w14:paraId="6D413051" w14:textId="77777777" w:rsidTr="00AE2734">
        <w:tc>
          <w:tcPr>
            <w:tcW w:w="561" w:type="dxa"/>
          </w:tcPr>
          <w:p w14:paraId="697F7080"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590BD0EA" w14:textId="1C519248"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355A88DC" w14:textId="2459132B" w:rsidR="00AE2734" w:rsidRPr="00960A70" w:rsidRDefault="00AE2734" w:rsidP="00AE2734">
            <w:pPr>
              <w:spacing w:line="360" w:lineRule="auto"/>
              <w:rPr>
                <w:rFonts w:ascii="Courier New" w:hAnsi="Courier New" w:cs="Courier New"/>
                <w:sz w:val="20"/>
                <w:szCs w:val="20"/>
              </w:rPr>
            </w:pPr>
            <w:r w:rsidRPr="00960A70">
              <w:rPr>
                <w:rFonts w:ascii="Courier New" w:hAnsi="Courier New" w:cs="Courier New"/>
                <w:sz w:val="20"/>
                <w:szCs w:val="20"/>
              </w:rPr>
              <w:t xml:space="preserve">And then keep taking seven from the </w:t>
            </w:r>
          </w:p>
        </w:tc>
      </w:tr>
      <w:tr w:rsidR="00AE2734" w:rsidRPr="00960A70" w14:paraId="2F8ACB47" w14:textId="77777777" w:rsidTr="00AE2734">
        <w:tc>
          <w:tcPr>
            <w:tcW w:w="561" w:type="dxa"/>
          </w:tcPr>
          <w:p w14:paraId="78E78FCE"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6684BFC1" w14:textId="090F48BB" w:rsidR="00AE2734" w:rsidRPr="00960A70" w:rsidRDefault="00AE2734" w:rsidP="007519D9">
            <w:pPr>
              <w:spacing w:line="360" w:lineRule="auto"/>
              <w:jc w:val="both"/>
              <w:rPr>
                <w:rFonts w:ascii="Courier New" w:hAnsi="Courier New" w:cs="Courier New"/>
                <w:bCs/>
                <w:sz w:val="20"/>
                <w:szCs w:val="20"/>
              </w:rPr>
            </w:pPr>
          </w:p>
        </w:tc>
        <w:tc>
          <w:tcPr>
            <w:tcW w:w="6852" w:type="dxa"/>
          </w:tcPr>
          <w:p w14:paraId="0DBD3AF0" w14:textId="3A6D2305"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number that you get.</w:t>
            </w:r>
          </w:p>
        </w:tc>
      </w:tr>
      <w:tr w:rsidR="00AE2734" w:rsidRPr="00960A70" w14:paraId="2944C871" w14:textId="77777777" w:rsidTr="00AE2734">
        <w:tc>
          <w:tcPr>
            <w:tcW w:w="561" w:type="dxa"/>
          </w:tcPr>
          <w:p w14:paraId="7AA51E35"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2B84D908" w14:textId="21740B98" w:rsidR="00AE2734" w:rsidRPr="00960A70" w:rsidRDefault="00AE2734" w:rsidP="007519D9">
            <w:pPr>
              <w:spacing w:line="360" w:lineRule="auto"/>
              <w:jc w:val="both"/>
              <w:rPr>
                <w:rFonts w:ascii="Courier New" w:hAnsi="Courier New" w:cs="Courier New"/>
                <w:bCs/>
                <w:sz w:val="20"/>
                <w:szCs w:val="20"/>
              </w:rPr>
            </w:pPr>
          </w:p>
        </w:tc>
        <w:tc>
          <w:tcPr>
            <w:tcW w:w="6852" w:type="dxa"/>
          </w:tcPr>
          <w:p w14:paraId="2286D276" w14:textId="2CAE2F9B"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(0.4)</w:t>
            </w:r>
          </w:p>
        </w:tc>
      </w:tr>
      <w:tr w:rsidR="00AE2734" w:rsidRPr="00960A70" w14:paraId="1F57E5EB" w14:textId="77777777" w:rsidTr="00AE2734">
        <w:tc>
          <w:tcPr>
            <w:tcW w:w="561" w:type="dxa"/>
          </w:tcPr>
          <w:p w14:paraId="4ECA6D25"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46C9F2F7" w14:textId="6796771B"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C7AD55B" w14:textId="076C5746" w:rsidR="00AE2734" w:rsidRPr="00960A70" w:rsidRDefault="00AE2734" w:rsidP="007519D9">
            <w:pPr>
              <w:spacing w:line="360" w:lineRule="auto"/>
              <w:jc w:val="both"/>
              <w:rPr>
                <w:rFonts w:ascii="Courier New" w:hAnsi="Courier New" w:cs="Courier New"/>
                <w:bCs/>
                <w:sz w:val="20"/>
                <w:szCs w:val="20"/>
              </w:rPr>
            </w:pPr>
            <w:proofErr w:type="spellStart"/>
            <w:proofErr w:type="gramStart"/>
            <w:r w:rsidRPr="00960A70">
              <w:rPr>
                <w:rFonts w:ascii="Courier New" w:hAnsi="Courier New" w:cs="Courier New"/>
                <w:sz w:val="20"/>
                <w:szCs w:val="20"/>
              </w:rPr>
              <w:t>Eigh</w:t>
            </w:r>
            <w:proofErr w:type="spellEnd"/>
            <w:r w:rsidRPr="00960A70">
              <w:rPr>
                <w:rFonts w:ascii="Courier New" w:hAnsi="Courier New" w:cs="Courier New"/>
                <w:sz w:val="20"/>
                <w:szCs w:val="20"/>
              </w:rPr>
              <w:t>::</w:t>
            </w:r>
            <w:proofErr w:type="gramEnd"/>
            <w:r w:rsidRPr="00960A70">
              <w:rPr>
                <w:rFonts w:ascii="Courier New" w:hAnsi="Courier New" w:cs="Courier New"/>
                <w:sz w:val="20"/>
                <w:szCs w:val="20"/>
                <w:u w:val="single"/>
              </w:rPr>
              <w:t>t</w:t>
            </w:r>
            <w:r w:rsidRPr="00960A70">
              <w:rPr>
                <w:rFonts w:ascii="Courier New" w:hAnsi="Courier New" w:cs="Courier New"/>
                <w:sz w:val="20"/>
                <w:szCs w:val="20"/>
              </w:rPr>
              <w:t xml:space="preserve">y-four::,(0.6)s:: </w:t>
            </w:r>
            <w:proofErr w:type="spellStart"/>
            <w:r w:rsidRPr="00960A70">
              <w:rPr>
                <w:rFonts w:ascii="Courier New" w:hAnsi="Courier New" w:cs="Courier New"/>
                <w:sz w:val="20"/>
                <w:szCs w:val="20"/>
              </w:rPr>
              <w:t>seventy-s:even</w:t>
            </w:r>
            <w:proofErr w:type="spellEnd"/>
            <w:r w:rsidRPr="00960A70">
              <w:rPr>
                <w:rFonts w:ascii="Courier New" w:hAnsi="Courier New" w:cs="Courier New"/>
                <w:sz w:val="20"/>
                <w:szCs w:val="20"/>
              </w:rPr>
              <w:t>, (0.2)</w:t>
            </w:r>
          </w:p>
        </w:tc>
      </w:tr>
      <w:tr w:rsidR="00AE2734" w:rsidRPr="00960A70" w14:paraId="16520608" w14:textId="77777777" w:rsidTr="00AE2734">
        <w:tc>
          <w:tcPr>
            <w:tcW w:w="561" w:type="dxa"/>
          </w:tcPr>
          <w:p w14:paraId="0A1C2464"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74ACD6C2" w14:textId="4D0D885B" w:rsidR="00AE2734" w:rsidRPr="00960A70" w:rsidRDefault="00AE2734" w:rsidP="007519D9">
            <w:pPr>
              <w:spacing w:line="360" w:lineRule="auto"/>
              <w:jc w:val="both"/>
              <w:rPr>
                <w:rFonts w:ascii="Courier New" w:hAnsi="Courier New" w:cs="Courier New"/>
                <w:bCs/>
                <w:sz w:val="20"/>
                <w:szCs w:val="20"/>
              </w:rPr>
            </w:pPr>
          </w:p>
        </w:tc>
        <w:tc>
          <w:tcPr>
            <w:tcW w:w="6852" w:type="dxa"/>
          </w:tcPr>
          <w:p w14:paraId="25B7C6CA" w14:textId="15F87D92" w:rsidR="00AE2734" w:rsidRPr="00960A70" w:rsidRDefault="00AE2734" w:rsidP="007519D9">
            <w:pPr>
              <w:spacing w:line="360" w:lineRule="auto"/>
              <w:jc w:val="both"/>
              <w:rPr>
                <w:rFonts w:ascii="Courier New" w:hAnsi="Courier New" w:cs="Courier New"/>
                <w:bCs/>
                <w:sz w:val="20"/>
                <w:szCs w:val="20"/>
              </w:rPr>
            </w:pPr>
            <w:proofErr w:type="gramStart"/>
            <w:r w:rsidRPr="00960A70">
              <w:rPr>
                <w:rFonts w:ascii="Courier New" w:hAnsi="Courier New" w:cs="Courier New"/>
                <w:sz w:val="20"/>
                <w:szCs w:val="20"/>
                <w:u w:val="single"/>
              </w:rPr>
              <w:t>se</w:t>
            </w:r>
            <w:r w:rsidRPr="00960A70">
              <w:rPr>
                <w:rFonts w:ascii="Courier New" w:hAnsi="Courier New" w:cs="Courier New"/>
                <w:sz w:val="20"/>
                <w:szCs w:val="20"/>
              </w:rPr>
              <w:t>venty,(</w:t>
            </w:r>
            <w:proofErr w:type="gramEnd"/>
            <w:r w:rsidRPr="00960A70">
              <w:rPr>
                <w:rFonts w:ascii="Courier New" w:hAnsi="Courier New" w:cs="Courier New"/>
                <w:sz w:val="20"/>
                <w:szCs w:val="20"/>
              </w:rPr>
              <w:t xml:space="preserve">0.6) </w:t>
            </w:r>
            <w:proofErr w:type="spellStart"/>
            <w:r w:rsidRPr="00960A70">
              <w:rPr>
                <w:rFonts w:ascii="Courier New" w:hAnsi="Courier New" w:cs="Courier New"/>
                <w:sz w:val="20"/>
                <w:szCs w:val="20"/>
              </w:rPr>
              <w:t>s:ixty-three</w:t>
            </w:r>
            <w:proofErr w:type="spellEnd"/>
            <w:r w:rsidRPr="00960A70">
              <w:rPr>
                <w:rFonts w:ascii="Courier New" w:hAnsi="Courier New" w:cs="Courier New"/>
                <w:sz w:val="20"/>
                <w:szCs w:val="20"/>
              </w:rPr>
              <w:t>:,</w:t>
            </w:r>
          </w:p>
        </w:tc>
      </w:tr>
      <w:tr w:rsidR="00AE2734" w:rsidRPr="00960A70" w14:paraId="7BF245CE" w14:textId="77777777" w:rsidTr="00AE2734">
        <w:tc>
          <w:tcPr>
            <w:tcW w:w="561" w:type="dxa"/>
          </w:tcPr>
          <w:p w14:paraId="63BE21CB"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10234E21" w14:textId="50B7056B"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3578F240" w14:textId="428E02F8"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Good.</w:t>
            </w:r>
          </w:p>
        </w:tc>
      </w:tr>
    </w:tbl>
    <w:p w14:paraId="61F12732" w14:textId="77777777" w:rsidR="007148F3" w:rsidRPr="00B67327" w:rsidRDefault="007148F3" w:rsidP="00617FED">
      <w:pPr>
        <w:spacing w:line="360" w:lineRule="auto"/>
        <w:rPr>
          <w:rFonts w:ascii="Courier New" w:hAnsi="Courier New" w:cs="Courier New"/>
          <w:sz w:val="22"/>
          <w:szCs w:val="22"/>
        </w:rPr>
      </w:pPr>
    </w:p>
    <w:p w14:paraId="15930B05" w14:textId="2B4FA04B" w:rsidR="00617FED" w:rsidRPr="00B67327" w:rsidRDefault="007148F3" w:rsidP="00617FED">
      <w:pPr>
        <w:spacing w:line="360" w:lineRule="auto"/>
        <w:jc w:val="both"/>
        <w:rPr>
          <w:bCs/>
        </w:rPr>
      </w:pPr>
      <w:r w:rsidRPr="00B67327">
        <w:rPr>
          <w:bCs/>
          <w:lang w:val="en-US"/>
        </w:rPr>
        <w:t xml:space="preserve">In Extract 7, the </w:t>
      </w:r>
      <w:r w:rsidR="00B43F8C">
        <w:rPr>
          <w:bCs/>
          <w:lang w:val="en-US"/>
        </w:rPr>
        <w:t>clinician</w:t>
      </w:r>
      <w:r w:rsidRPr="00B67327">
        <w:rPr>
          <w:bCs/>
          <w:lang w:val="en-US"/>
        </w:rPr>
        <w:t xml:space="preserve"> does not offer any further guidance to the patient and does not attempt to support the patient’s handling of the calculations. </w:t>
      </w:r>
      <w:r w:rsidRPr="00B67327">
        <w:rPr>
          <w:bCs/>
        </w:rPr>
        <w:t xml:space="preserve">However, </w:t>
      </w:r>
      <w:r w:rsidR="00617FED" w:rsidRPr="00B67327">
        <w:rPr>
          <w:bCs/>
        </w:rPr>
        <w:t xml:space="preserve">Jones et al, </w:t>
      </w:r>
      <w:r w:rsidRPr="00B67327">
        <w:rPr>
          <w:bCs/>
        </w:rPr>
        <w:t>(</w:t>
      </w:r>
      <w:r w:rsidR="00617FED" w:rsidRPr="00B67327">
        <w:rPr>
          <w:bCs/>
        </w:rPr>
        <w:t>2020</w:t>
      </w:r>
      <w:r w:rsidRPr="00B67327">
        <w:rPr>
          <w:bCs/>
        </w:rPr>
        <w:t>)</w:t>
      </w:r>
      <w:r w:rsidR="00617FED" w:rsidRPr="00B67327">
        <w:rPr>
          <w:bCs/>
        </w:rPr>
        <w:t xml:space="preserve"> showed </w:t>
      </w:r>
      <w:r w:rsidRPr="00B67327">
        <w:rPr>
          <w:bCs/>
        </w:rPr>
        <w:t xml:space="preserve">that </w:t>
      </w:r>
      <w:r w:rsidR="00617FED" w:rsidRPr="00B67327">
        <w:rPr>
          <w:bCs/>
        </w:rPr>
        <w:t xml:space="preserve">some clinicians alter this </w:t>
      </w:r>
      <w:r w:rsidR="00924A27" w:rsidRPr="00B67327">
        <w:rPr>
          <w:bCs/>
        </w:rPr>
        <w:t xml:space="preserve">sequence </w:t>
      </w:r>
      <w:r w:rsidR="00617FED" w:rsidRPr="00B67327">
        <w:rPr>
          <w:bCs/>
        </w:rPr>
        <w:t xml:space="preserve">by repeating the patient’s response after each subtraction within the design of the next sum, meaning the number of </w:t>
      </w:r>
      <w:proofErr w:type="gramStart"/>
      <w:r w:rsidR="00617FED" w:rsidRPr="00B67327">
        <w:rPr>
          <w:bCs/>
        </w:rPr>
        <w:t>origin</w:t>
      </w:r>
      <w:proofErr w:type="gramEnd"/>
      <w:r w:rsidR="00617FED" w:rsidRPr="00B67327">
        <w:rPr>
          <w:bCs/>
        </w:rPr>
        <w:t xml:space="preserve"> is repeated back to the patient, for example, “and seven away from ninety-three” (Jones et al, 2020, p. 465). </w:t>
      </w:r>
      <w:r w:rsidR="00924A27" w:rsidRPr="00B67327">
        <w:rPr>
          <w:bCs/>
        </w:rPr>
        <w:t>We</w:t>
      </w:r>
      <w:r w:rsidR="00617FED" w:rsidRPr="00B67327">
        <w:rPr>
          <w:bCs/>
        </w:rPr>
        <w:t xml:space="preserve"> </w:t>
      </w:r>
      <w:r w:rsidR="00924A27" w:rsidRPr="00B67327">
        <w:rPr>
          <w:bCs/>
        </w:rPr>
        <w:t>suggested</w:t>
      </w:r>
      <w:r w:rsidR="00617FED" w:rsidRPr="00B67327">
        <w:rPr>
          <w:bCs/>
        </w:rPr>
        <w:t xml:space="preserve"> that this showed evidence of co-construction, where the clinician appear</w:t>
      </w:r>
      <w:r w:rsidR="00924A27" w:rsidRPr="00B67327">
        <w:rPr>
          <w:bCs/>
        </w:rPr>
        <w:t>s</w:t>
      </w:r>
      <w:r w:rsidR="00617FED" w:rsidRPr="00B67327">
        <w:rPr>
          <w:bCs/>
        </w:rPr>
        <w:t xml:space="preserve"> to be helping the patients by adding information into the question and thus placing less of a burden on the patient’s attention</w:t>
      </w:r>
      <w:r w:rsidR="00924A27" w:rsidRPr="00B67327">
        <w:rPr>
          <w:bCs/>
        </w:rPr>
        <w:t xml:space="preserve"> skills</w:t>
      </w:r>
      <w:r w:rsidR="00617FED" w:rsidRPr="00B67327">
        <w:rPr>
          <w:bCs/>
        </w:rPr>
        <w:t xml:space="preserve"> to independently remember the numbers. These different designs demonstrate a divergence from the standardized test requirements given in the guidance but also places differential ‘cognitive load’ (Chandler </w:t>
      </w:r>
      <w:r w:rsidR="00D260C7">
        <w:rPr>
          <w:bCs/>
        </w:rPr>
        <w:t>and</w:t>
      </w:r>
      <w:r w:rsidR="00617FED" w:rsidRPr="00B67327">
        <w:rPr>
          <w:bCs/>
        </w:rPr>
        <w:t xml:space="preserve"> </w:t>
      </w:r>
      <w:proofErr w:type="spellStart"/>
      <w:r w:rsidR="00617FED" w:rsidRPr="00B67327">
        <w:rPr>
          <w:bCs/>
        </w:rPr>
        <w:t>Sweller</w:t>
      </w:r>
      <w:proofErr w:type="spellEnd"/>
      <w:r w:rsidR="00617FED" w:rsidRPr="00B67327">
        <w:rPr>
          <w:bCs/>
        </w:rPr>
        <w:t>, 1991</w:t>
      </w:r>
      <w:r w:rsidR="007F201F">
        <w:rPr>
          <w:bCs/>
        </w:rPr>
        <w:t xml:space="preserve">; </w:t>
      </w:r>
      <w:proofErr w:type="spellStart"/>
      <w:r w:rsidRPr="00B67327">
        <w:rPr>
          <w:bCs/>
        </w:rPr>
        <w:t>Majlesi</w:t>
      </w:r>
      <w:proofErr w:type="spellEnd"/>
      <w:r w:rsidRPr="00B67327">
        <w:rPr>
          <w:bCs/>
        </w:rPr>
        <w:t xml:space="preserve"> </w:t>
      </w:r>
      <w:r w:rsidR="00D260C7">
        <w:rPr>
          <w:bCs/>
        </w:rPr>
        <w:t>and</w:t>
      </w:r>
      <w:r w:rsidR="002E62A4">
        <w:rPr>
          <w:bCs/>
        </w:rPr>
        <w:t xml:space="preserve"> </w:t>
      </w:r>
      <w:proofErr w:type="spellStart"/>
      <w:r w:rsidRPr="00B67327">
        <w:rPr>
          <w:bCs/>
        </w:rPr>
        <w:t>Plejert</w:t>
      </w:r>
      <w:proofErr w:type="spellEnd"/>
      <w:r w:rsidRPr="00B67327">
        <w:rPr>
          <w:bCs/>
        </w:rPr>
        <w:t>, 2018</w:t>
      </w:r>
      <w:r w:rsidR="00617FED" w:rsidRPr="00B67327">
        <w:rPr>
          <w:bCs/>
        </w:rPr>
        <w:t xml:space="preserve">) on patients. </w:t>
      </w:r>
    </w:p>
    <w:p w14:paraId="451A87F2" w14:textId="77777777" w:rsidR="00617FED" w:rsidRPr="00B67327" w:rsidRDefault="00617FED" w:rsidP="00617FED">
      <w:pPr>
        <w:spacing w:line="360" w:lineRule="auto"/>
        <w:jc w:val="both"/>
        <w:rPr>
          <w:bCs/>
        </w:rPr>
      </w:pPr>
    </w:p>
    <w:p w14:paraId="25DE338B" w14:textId="4F6532ED" w:rsidR="00617FED" w:rsidRPr="00B67327" w:rsidRDefault="00617FED" w:rsidP="00617FED">
      <w:pPr>
        <w:spacing w:line="360" w:lineRule="auto"/>
        <w:jc w:val="both"/>
        <w:rPr>
          <w:bCs/>
        </w:rPr>
      </w:pPr>
      <w:r w:rsidRPr="00B67327">
        <w:rPr>
          <w:bCs/>
        </w:rPr>
        <w:t>We have also found</w:t>
      </w:r>
      <w:r w:rsidR="007148F3" w:rsidRPr="00B67327">
        <w:rPr>
          <w:bCs/>
        </w:rPr>
        <w:t xml:space="preserve"> occasions when</w:t>
      </w:r>
      <w:r w:rsidRPr="00B67327">
        <w:rPr>
          <w:bCs/>
        </w:rPr>
        <w:t xml:space="preserve"> the same question is amended, or </w:t>
      </w:r>
      <w:r w:rsidR="00DF72D8">
        <w:rPr>
          <w:bCs/>
        </w:rPr>
        <w:t xml:space="preserve">as </w:t>
      </w:r>
      <w:r w:rsidRPr="00B67327">
        <w:rPr>
          <w:bCs/>
        </w:rPr>
        <w:t xml:space="preserve">in </w:t>
      </w:r>
      <w:r w:rsidR="00DF72D8" w:rsidRPr="00B67327">
        <w:rPr>
          <w:bCs/>
        </w:rPr>
        <w:t>th</w:t>
      </w:r>
      <w:r w:rsidR="00DF72D8">
        <w:rPr>
          <w:bCs/>
        </w:rPr>
        <w:t>e next</w:t>
      </w:r>
      <w:r w:rsidR="00DF72D8" w:rsidRPr="00B67327">
        <w:rPr>
          <w:bCs/>
        </w:rPr>
        <w:t xml:space="preserve"> </w:t>
      </w:r>
      <w:r w:rsidRPr="00B67327">
        <w:rPr>
          <w:bCs/>
        </w:rPr>
        <w:t>case</w:t>
      </w:r>
      <w:r w:rsidR="00DF72D8">
        <w:rPr>
          <w:bCs/>
        </w:rPr>
        <w:t xml:space="preserve"> (extract 8)</w:t>
      </w:r>
      <w:r w:rsidR="00DF72D8" w:rsidRPr="00B67327">
        <w:rPr>
          <w:bCs/>
        </w:rPr>
        <w:t>,</w:t>
      </w:r>
      <w:r w:rsidR="00DF72D8">
        <w:rPr>
          <w:bCs/>
        </w:rPr>
        <w:t xml:space="preserve"> </w:t>
      </w:r>
      <w:r w:rsidRPr="00B67327">
        <w:rPr>
          <w:bCs/>
        </w:rPr>
        <w:t>abandoned</w:t>
      </w:r>
      <w:r w:rsidR="00DF72D8">
        <w:rPr>
          <w:bCs/>
        </w:rPr>
        <w:t xml:space="preserve"> </w:t>
      </w:r>
      <w:r w:rsidRPr="00B67327">
        <w:rPr>
          <w:bCs/>
        </w:rPr>
        <w:t xml:space="preserve">by the clinicians when </w:t>
      </w:r>
      <w:proofErr w:type="gramStart"/>
      <w:r w:rsidR="00DF72D8">
        <w:rPr>
          <w:bCs/>
        </w:rPr>
        <w:t>it is clear that the</w:t>
      </w:r>
      <w:proofErr w:type="gramEnd"/>
      <w:r w:rsidRPr="00B67327">
        <w:rPr>
          <w:bCs/>
        </w:rPr>
        <w:t xml:space="preserve"> patient is </w:t>
      </w:r>
      <w:r w:rsidR="00DF72D8">
        <w:rPr>
          <w:bCs/>
        </w:rPr>
        <w:t>unable</w:t>
      </w:r>
      <w:r w:rsidRPr="00B67327">
        <w:rPr>
          <w:bCs/>
        </w:rPr>
        <w:t xml:space="preserve"> to complete it accurately. </w:t>
      </w:r>
      <w:r w:rsidR="00DF72D8">
        <w:rPr>
          <w:bCs/>
        </w:rPr>
        <w:t>T</w:t>
      </w:r>
      <w:r w:rsidRPr="00B67327">
        <w:rPr>
          <w:bCs/>
        </w:rPr>
        <w:t>he patient</w:t>
      </w:r>
      <w:r w:rsidR="00DF72D8">
        <w:rPr>
          <w:bCs/>
        </w:rPr>
        <w:t xml:space="preserve"> in Extract 8</w:t>
      </w:r>
      <w:r w:rsidRPr="00B67327">
        <w:rPr>
          <w:bCs/>
        </w:rPr>
        <w:t xml:space="preserve"> scored 65</w:t>
      </w:r>
      <w:r w:rsidR="00555909" w:rsidRPr="00B67327">
        <w:rPr>
          <w:bCs/>
        </w:rPr>
        <w:t xml:space="preserve"> out of 100</w:t>
      </w:r>
      <w:r w:rsidRPr="00B67327">
        <w:rPr>
          <w:bCs/>
        </w:rPr>
        <w:t xml:space="preserve"> on the ACE-</w:t>
      </w:r>
      <w:r w:rsidR="00B53EAF">
        <w:rPr>
          <w:bCs/>
        </w:rPr>
        <w:t>III</w:t>
      </w:r>
      <w:r w:rsidRPr="00B67327">
        <w:rPr>
          <w:bCs/>
        </w:rPr>
        <w:t xml:space="preserve"> and was diagnosed with dementia. Again</w:t>
      </w:r>
      <w:r w:rsidR="00924A27" w:rsidRPr="00B67327">
        <w:rPr>
          <w:bCs/>
        </w:rPr>
        <w:t>,</w:t>
      </w:r>
      <w:r w:rsidRPr="00B67327">
        <w:rPr>
          <w:bCs/>
        </w:rPr>
        <w:t xml:space="preserve"> the patient has displayed interactional signs of dementia during history-taking (Jones et al, 2015; </w:t>
      </w:r>
      <w:proofErr w:type="spellStart"/>
      <w:r w:rsidRPr="00B67327">
        <w:rPr>
          <w:bCs/>
        </w:rPr>
        <w:t>Reuber</w:t>
      </w:r>
      <w:proofErr w:type="spellEnd"/>
      <w:r w:rsidRPr="00B67327">
        <w:rPr>
          <w:bCs/>
        </w:rPr>
        <w:t xml:space="preserve"> et al, 2018) and was given a working diagnosis of dementia by the clinician after the initial consultation. The scoring guide states that clinicians should </w:t>
      </w:r>
      <w:r w:rsidRPr="00B67327">
        <w:rPr>
          <w:bCs/>
          <w:lang w:val="en-US"/>
        </w:rPr>
        <w:t>“not stop the participant if they make a mistake. Allow them to carry on and</w:t>
      </w:r>
      <w:r w:rsidRPr="00B67327">
        <w:rPr>
          <w:bCs/>
        </w:rPr>
        <w:t xml:space="preserve"> </w:t>
      </w:r>
      <w:r w:rsidRPr="00B67327">
        <w:rPr>
          <w:bCs/>
          <w:lang w:val="en-US"/>
        </w:rPr>
        <w:t>check subsequent answers for scoring”</w:t>
      </w:r>
      <w:r w:rsidR="00924A27" w:rsidRPr="00B67327">
        <w:rPr>
          <w:bCs/>
          <w:lang w:val="en-US"/>
        </w:rPr>
        <w:t>,</w:t>
      </w:r>
      <w:r w:rsidRPr="00B67327">
        <w:rPr>
          <w:bCs/>
          <w:lang w:val="en-US"/>
        </w:rPr>
        <w:t xml:space="preserve"> </w:t>
      </w:r>
      <w:r w:rsidR="00924A27" w:rsidRPr="00B67327">
        <w:rPr>
          <w:bCs/>
          <w:lang w:val="en-US"/>
        </w:rPr>
        <w:t>a</w:t>
      </w:r>
      <w:r w:rsidRPr="00B67327">
        <w:rPr>
          <w:bCs/>
          <w:lang w:val="en-US"/>
        </w:rPr>
        <w:t>s the patients can score up to 5 points on this question, one for each correct subtraction. For example, in Extract 7, the patient got the first subtraction correct</w:t>
      </w:r>
      <w:r w:rsidR="007148F3" w:rsidRPr="00B67327">
        <w:rPr>
          <w:bCs/>
          <w:lang w:val="en-US"/>
        </w:rPr>
        <w:t xml:space="preserve"> (line</w:t>
      </w:r>
      <w:r w:rsidR="00FD7053" w:rsidRPr="00B67327">
        <w:rPr>
          <w:bCs/>
          <w:lang w:val="en-US"/>
        </w:rPr>
        <w:t xml:space="preserve"> 2)</w:t>
      </w:r>
      <w:r w:rsidR="007148F3" w:rsidRPr="00B67327">
        <w:rPr>
          <w:bCs/>
          <w:lang w:val="en-US"/>
        </w:rPr>
        <w:t xml:space="preserve"> </w:t>
      </w:r>
      <w:r w:rsidRPr="00B67327">
        <w:rPr>
          <w:bCs/>
          <w:lang w:val="en-US"/>
        </w:rPr>
        <w:t>but all the subsequent subtractions wrong</w:t>
      </w:r>
      <w:r w:rsidR="00FD7053" w:rsidRPr="00B67327">
        <w:rPr>
          <w:bCs/>
          <w:lang w:val="en-US"/>
        </w:rPr>
        <w:t xml:space="preserve"> (lines 6-7) </w:t>
      </w:r>
      <w:r w:rsidRPr="00B67327">
        <w:rPr>
          <w:bCs/>
          <w:lang w:val="en-US"/>
        </w:rPr>
        <w:t>so would have scored 1 for this question</w:t>
      </w:r>
      <w:r w:rsidR="00FD7053" w:rsidRPr="00B67327">
        <w:rPr>
          <w:bCs/>
          <w:lang w:val="en-US"/>
        </w:rPr>
        <w:t xml:space="preserve"> (although notably the error arises from the first incorrect answer because the remaining </w:t>
      </w:r>
      <w:r w:rsidR="007F201F">
        <w:rPr>
          <w:bCs/>
          <w:lang w:val="en-US"/>
        </w:rPr>
        <w:t xml:space="preserve">answers </w:t>
      </w:r>
      <w:r w:rsidR="00FD7053" w:rsidRPr="00B67327">
        <w:rPr>
          <w:bCs/>
          <w:lang w:val="en-US"/>
        </w:rPr>
        <w:t xml:space="preserve">are correct in terms of subtracting </w:t>
      </w:r>
      <w:r w:rsidR="003A5C4A" w:rsidRPr="00B67327">
        <w:rPr>
          <w:bCs/>
          <w:lang w:val="en-US"/>
        </w:rPr>
        <w:t>seven</w:t>
      </w:r>
      <w:r w:rsidR="00FD7053" w:rsidRPr="00B67327">
        <w:rPr>
          <w:bCs/>
          <w:lang w:val="en-US"/>
        </w:rPr>
        <w:t xml:space="preserve"> each time)</w:t>
      </w:r>
      <w:r w:rsidRPr="00B67327">
        <w:rPr>
          <w:bCs/>
          <w:lang w:val="en-US"/>
        </w:rPr>
        <w:t>. Despite getting the second subtraction wrong the clinician allowed the patient to continue with the course of the question. The</w:t>
      </w:r>
      <w:r w:rsidR="00DF72D8">
        <w:rPr>
          <w:bCs/>
          <w:lang w:val="en-US"/>
        </w:rPr>
        <w:t xml:space="preserve"> </w:t>
      </w:r>
      <w:r w:rsidR="002E62A4">
        <w:rPr>
          <w:bCs/>
          <w:lang w:val="en-US"/>
        </w:rPr>
        <w:t>clinician</w:t>
      </w:r>
      <w:r w:rsidR="00DF72D8">
        <w:rPr>
          <w:bCs/>
          <w:lang w:val="en-US"/>
        </w:rPr>
        <w:t xml:space="preserve"> in the</w:t>
      </w:r>
      <w:r w:rsidRPr="00B67327">
        <w:rPr>
          <w:bCs/>
          <w:lang w:val="en-US"/>
        </w:rPr>
        <w:t xml:space="preserve"> following extract</w:t>
      </w:r>
      <w:r w:rsidR="00DF72D8">
        <w:rPr>
          <w:bCs/>
          <w:lang w:val="en-US"/>
        </w:rPr>
        <w:t xml:space="preserve"> administers this question quite differently:</w:t>
      </w:r>
      <w:r w:rsidRPr="00B67327">
        <w:rPr>
          <w:bCs/>
          <w:lang w:val="en-US"/>
        </w:rPr>
        <w:t xml:space="preserve"> </w:t>
      </w:r>
    </w:p>
    <w:p w14:paraId="586C3329" w14:textId="77777777" w:rsidR="00617FED" w:rsidRPr="00B67327" w:rsidRDefault="00617FED" w:rsidP="00617FED">
      <w:pPr>
        <w:spacing w:line="360" w:lineRule="auto"/>
        <w:jc w:val="both"/>
        <w:rPr>
          <w:bCs/>
        </w:rPr>
      </w:pPr>
    </w:p>
    <w:p w14:paraId="49F399AA" w14:textId="2B437CAE" w:rsidR="00617FED" w:rsidRDefault="00617FED" w:rsidP="00617FED">
      <w:pPr>
        <w:spacing w:line="360" w:lineRule="auto"/>
        <w:jc w:val="both"/>
        <w:rPr>
          <w:bCs/>
        </w:rPr>
      </w:pPr>
      <w:r w:rsidRPr="00B67327">
        <w:rPr>
          <w:bCs/>
        </w:rPr>
        <w:t>Extract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AE2734" w:rsidRPr="00960A70" w14:paraId="4B171700" w14:textId="77777777" w:rsidTr="00A25A00">
        <w:tc>
          <w:tcPr>
            <w:tcW w:w="561" w:type="dxa"/>
          </w:tcPr>
          <w:p w14:paraId="116BBD19"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6D42346E" w14:textId="2D054CAC"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1FE263B0" w14:textId="1EB33B91"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Can you subtract seven from a hundred,</w:t>
            </w:r>
          </w:p>
        </w:tc>
      </w:tr>
      <w:tr w:rsidR="00AE2734" w:rsidRPr="00960A70" w14:paraId="7F21CB3A" w14:textId="77777777" w:rsidTr="00A25A00">
        <w:tc>
          <w:tcPr>
            <w:tcW w:w="561" w:type="dxa"/>
          </w:tcPr>
          <w:p w14:paraId="4FDA4074"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02E779BC" w14:textId="7D0DB4BC" w:rsidR="00AE2734" w:rsidRPr="00960A70" w:rsidRDefault="00AE2734" w:rsidP="007519D9">
            <w:pPr>
              <w:spacing w:line="360" w:lineRule="auto"/>
              <w:jc w:val="both"/>
              <w:rPr>
                <w:rFonts w:ascii="Courier New" w:hAnsi="Courier New" w:cs="Courier New"/>
                <w:bCs/>
                <w:sz w:val="20"/>
                <w:szCs w:val="20"/>
              </w:rPr>
            </w:pPr>
          </w:p>
        </w:tc>
        <w:tc>
          <w:tcPr>
            <w:tcW w:w="6852" w:type="dxa"/>
          </w:tcPr>
          <w:p w14:paraId="0535E1BD" w14:textId="21AE8464"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(1.2)</w:t>
            </w:r>
          </w:p>
        </w:tc>
      </w:tr>
      <w:tr w:rsidR="00AE2734" w:rsidRPr="00960A70" w14:paraId="73293587" w14:textId="77777777" w:rsidTr="00A25A00">
        <w:tc>
          <w:tcPr>
            <w:tcW w:w="561" w:type="dxa"/>
          </w:tcPr>
          <w:p w14:paraId="4E7E706A"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lastRenderedPageBreak/>
              <w:t>03</w:t>
            </w:r>
          </w:p>
        </w:tc>
        <w:tc>
          <w:tcPr>
            <w:tcW w:w="877" w:type="dxa"/>
          </w:tcPr>
          <w:p w14:paraId="63AB62E7" w14:textId="3EA84453"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0FE344D" w14:textId="4A640F29" w:rsidR="00AE2734" w:rsidRPr="00960A70" w:rsidRDefault="00AE2734"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w:t>
            </w:r>
            <w:proofErr w:type="spellStart"/>
            <w:r w:rsidRPr="00960A70">
              <w:rPr>
                <w:rFonts w:ascii="Courier New" w:hAnsi="Courier New" w:cs="Courier New"/>
                <w:sz w:val="20"/>
                <w:szCs w:val="20"/>
              </w:rPr>
              <w:t>hh</w:t>
            </w:r>
            <w:proofErr w:type="spellEnd"/>
            <w:proofErr w:type="gramEnd"/>
            <w:r w:rsidRPr="00960A70">
              <w:rPr>
                <w:rFonts w:ascii="Courier New" w:hAnsi="Courier New" w:cs="Courier New"/>
                <w:sz w:val="20"/>
                <w:szCs w:val="20"/>
              </w:rPr>
              <w:t xml:space="preserve"> Er:::(0.2) ninety-two:.</w:t>
            </w:r>
          </w:p>
        </w:tc>
      </w:tr>
      <w:tr w:rsidR="00AE2734" w:rsidRPr="00960A70" w14:paraId="2E2C2D42" w14:textId="77777777" w:rsidTr="00A25A00">
        <w:tc>
          <w:tcPr>
            <w:tcW w:w="561" w:type="dxa"/>
          </w:tcPr>
          <w:p w14:paraId="0EF767CB"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44559204" w14:textId="77777777" w:rsidR="00AE2734" w:rsidRPr="00960A70" w:rsidRDefault="00AE2734" w:rsidP="007519D9">
            <w:pPr>
              <w:spacing w:line="360" w:lineRule="auto"/>
              <w:jc w:val="both"/>
              <w:rPr>
                <w:rFonts w:ascii="Courier New" w:hAnsi="Courier New" w:cs="Courier New"/>
                <w:bCs/>
                <w:sz w:val="20"/>
                <w:szCs w:val="20"/>
              </w:rPr>
            </w:pPr>
          </w:p>
        </w:tc>
        <w:tc>
          <w:tcPr>
            <w:tcW w:w="6852" w:type="dxa"/>
          </w:tcPr>
          <w:p w14:paraId="21CF70EE" w14:textId="6E3529DD" w:rsidR="00AE2734" w:rsidRPr="00960A70" w:rsidRDefault="00AE2734" w:rsidP="00AE2734">
            <w:pPr>
              <w:spacing w:line="360" w:lineRule="auto"/>
              <w:rPr>
                <w:rFonts w:ascii="Courier New" w:hAnsi="Courier New" w:cs="Courier New"/>
                <w:sz w:val="20"/>
                <w:szCs w:val="20"/>
              </w:rPr>
            </w:pPr>
            <w:r w:rsidRPr="00960A70">
              <w:rPr>
                <w:rFonts w:ascii="Courier New" w:hAnsi="Courier New" w:cs="Courier New"/>
                <w:sz w:val="20"/>
                <w:szCs w:val="20"/>
              </w:rPr>
              <w:t>(0.6)</w:t>
            </w:r>
          </w:p>
        </w:tc>
      </w:tr>
      <w:tr w:rsidR="00AE2734" w:rsidRPr="00960A70" w14:paraId="1489C7C0" w14:textId="77777777" w:rsidTr="00A25A00">
        <w:tc>
          <w:tcPr>
            <w:tcW w:w="561" w:type="dxa"/>
          </w:tcPr>
          <w:p w14:paraId="6FD10BCC"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41BE949C" w14:textId="46C7CDDC" w:rsidR="00AE2734" w:rsidRPr="00960A70" w:rsidRDefault="00A25A0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4757F61E" w14:textId="72A98E07" w:rsidR="00AE2734" w:rsidRPr="00960A70" w:rsidRDefault="00AE2734" w:rsidP="00A25A00">
            <w:pPr>
              <w:spacing w:line="360" w:lineRule="auto"/>
              <w:rPr>
                <w:rFonts w:ascii="Courier New" w:hAnsi="Courier New" w:cs="Courier New"/>
                <w:sz w:val="20"/>
                <w:szCs w:val="20"/>
              </w:rPr>
            </w:pPr>
            <w:r w:rsidRPr="00960A70">
              <w:rPr>
                <w:rFonts w:ascii="Courier New" w:hAnsi="Courier New" w:cs="Courier New"/>
                <w:sz w:val="20"/>
                <w:szCs w:val="20"/>
              </w:rPr>
              <w:t xml:space="preserve">Okay what we’ll do is- er: can you spell me the </w:t>
            </w:r>
          </w:p>
        </w:tc>
      </w:tr>
      <w:tr w:rsidR="00AE2734" w:rsidRPr="00960A70" w14:paraId="1C0782D7" w14:textId="77777777" w:rsidTr="00A25A00">
        <w:tc>
          <w:tcPr>
            <w:tcW w:w="561" w:type="dxa"/>
          </w:tcPr>
          <w:p w14:paraId="04C0C4FB" w14:textId="77777777" w:rsidR="00AE2734" w:rsidRPr="00960A70" w:rsidRDefault="00AE273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72517572" w14:textId="324247A8" w:rsidR="00AE2734" w:rsidRPr="00960A70" w:rsidRDefault="00AE2734" w:rsidP="007519D9">
            <w:pPr>
              <w:spacing w:line="360" w:lineRule="auto"/>
              <w:jc w:val="both"/>
              <w:rPr>
                <w:rFonts w:ascii="Courier New" w:hAnsi="Courier New" w:cs="Courier New"/>
                <w:bCs/>
                <w:sz w:val="20"/>
                <w:szCs w:val="20"/>
              </w:rPr>
            </w:pPr>
          </w:p>
        </w:tc>
        <w:tc>
          <w:tcPr>
            <w:tcW w:w="6852" w:type="dxa"/>
          </w:tcPr>
          <w:p w14:paraId="3A139352" w14:textId="3E324CF3" w:rsidR="00AE2734" w:rsidRPr="00960A70" w:rsidRDefault="00A25A00" w:rsidP="007519D9">
            <w:pPr>
              <w:spacing w:line="360" w:lineRule="auto"/>
              <w:jc w:val="both"/>
              <w:rPr>
                <w:rFonts w:ascii="Courier New" w:hAnsi="Courier New" w:cs="Courier New"/>
                <w:bCs/>
                <w:sz w:val="20"/>
                <w:szCs w:val="20"/>
              </w:rPr>
            </w:pPr>
            <w:r w:rsidRPr="00960A70">
              <w:rPr>
                <w:rFonts w:ascii="Courier New" w:hAnsi="Courier New" w:cs="Courier New"/>
                <w:sz w:val="20"/>
                <w:szCs w:val="20"/>
              </w:rPr>
              <w:t>word ‘world’,</w:t>
            </w:r>
          </w:p>
        </w:tc>
      </w:tr>
    </w:tbl>
    <w:p w14:paraId="77BF4143" w14:textId="77777777" w:rsidR="00617FED" w:rsidRPr="00B67327" w:rsidRDefault="00617FED" w:rsidP="00617FED">
      <w:pPr>
        <w:rPr>
          <w:rFonts w:ascii="Courier New" w:hAnsi="Courier New" w:cs="Courier New"/>
          <w:sz w:val="20"/>
          <w:szCs w:val="20"/>
        </w:rPr>
      </w:pPr>
    </w:p>
    <w:p w14:paraId="12886F40" w14:textId="780ABA9E" w:rsidR="00617FED" w:rsidRPr="00B67327" w:rsidRDefault="00617FED" w:rsidP="00617FED">
      <w:pPr>
        <w:spacing w:line="360" w:lineRule="auto"/>
        <w:jc w:val="both"/>
        <w:rPr>
          <w:bCs/>
        </w:rPr>
      </w:pPr>
      <w:r w:rsidRPr="00B67327">
        <w:rPr>
          <w:bCs/>
        </w:rPr>
        <w:t>The patient projects trouble in answering, with a long gap (line 2) and the turn initial delay, “er” (line 3)</w:t>
      </w:r>
      <w:r w:rsidR="00DF72D8">
        <w:rPr>
          <w:bCs/>
        </w:rPr>
        <w:t xml:space="preserve"> before </w:t>
      </w:r>
      <w:r w:rsidRPr="00B67327">
        <w:rPr>
          <w:bCs/>
        </w:rPr>
        <w:t>produc</w:t>
      </w:r>
      <w:r w:rsidR="00DF72D8">
        <w:rPr>
          <w:bCs/>
        </w:rPr>
        <w:t>ing</w:t>
      </w:r>
      <w:r w:rsidRPr="00B67327">
        <w:rPr>
          <w:bCs/>
        </w:rPr>
        <w:t xml:space="preserve"> the wrong answer, “Ninety-two” (line 3)</w:t>
      </w:r>
      <w:r w:rsidR="00480465">
        <w:rPr>
          <w:bCs/>
        </w:rPr>
        <w:t xml:space="preserve"> (albeit only incorrect by one number)</w:t>
      </w:r>
      <w:r w:rsidRPr="00B67327">
        <w:rPr>
          <w:bCs/>
        </w:rPr>
        <w:t>. The clinician then starts to narrate the next course of action he is going to take, which departs from purs</w:t>
      </w:r>
      <w:r w:rsidR="00B56BDF" w:rsidRPr="00B67327">
        <w:rPr>
          <w:bCs/>
        </w:rPr>
        <w:t>u</w:t>
      </w:r>
      <w:r w:rsidRPr="00B67327">
        <w:rPr>
          <w:bCs/>
        </w:rPr>
        <w:t>ing further answers from the patient</w:t>
      </w:r>
      <w:r w:rsidR="00B56BDF" w:rsidRPr="00B67327">
        <w:rPr>
          <w:bCs/>
        </w:rPr>
        <w:t xml:space="preserve"> (</w:t>
      </w:r>
      <w:r w:rsidRPr="00B67327">
        <w:rPr>
          <w:bCs/>
        </w:rPr>
        <w:t>“Okay what we’ll do is”</w:t>
      </w:r>
      <w:r w:rsidR="00B56BDF" w:rsidRPr="00B67327">
        <w:rPr>
          <w:bCs/>
        </w:rPr>
        <w:t xml:space="preserve">, </w:t>
      </w:r>
      <w:r w:rsidRPr="00B67327">
        <w:rPr>
          <w:bCs/>
        </w:rPr>
        <w:t>line 0</w:t>
      </w:r>
      <w:r w:rsidR="00723E64">
        <w:rPr>
          <w:bCs/>
        </w:rPr>
        <w:t>5</w:t>
      </w:r>
      <w:r w:rsidRPr="00B67327">
        <w:rPr>
          <w:bCs/>
        </w:rPr>
        <w:t xml:space="preserve">). Instead of completing this with something like, “move to the next question”, the clinician </w:t>
      </w:r>
      <w:r w:rsidR="000770B2">
        <w:rPr>
          <w:bCs/>
        </w:rPr>
        <w:t>proceeds</w:t>
      </w:r>
      <w:r w:rsidR="000770B2" w:rsidRPr="00B67327">
        <w:rPr>
          <w:bCs/>
        </w:rPr>
        <w:t xml:space="preserve"> </w:t>
      </w:r>
      <w:r w:rsidRPr="00B67327">
        <w:rPr>
          <w:bCs/>
        </w:rPr>
        <w:t xml:space="preserve">to </w:t>
      </w:r>
      <w:r w:rsidR="000770B2">
        <w:rPr>
          <w:bCs/>
        </w:rPr>
        <w:t xml:space="preserve">actually </w:t>
      </w:r>
      <w:r w:rsidRPr="00B67327">
        <w:rPr>
          <w:bCs/>
        </w:rPr>
        <w:t xml:space="preserve">produce the next question, “can you spell me the word world” (lines </w:t>
      </w:r>
      <w:r w:rsidR="00723E64">
        <w:rPr>
          <w:bCs/>
        </w:rPr>
        <w:t>5</w:t>
      </w:r>
      <w:r w:rsidRPr="00B67327">
        <w:rPr>
          <w:bCs/>
        </w:rPr>
        <w:t>-</w:t>
      </w:r>
      <w:r w:rsidR="00723E64">
        <w:rPr>
          <w:bCs/>
        </w:rPr>
        <w:t>6</w:t>
      </w:r>
      <w:r w:rsidRPr="00B67327">
        <w:rPr>
          <w:bCs/>
        </w:rPr>
        <w:t>). The clinician is here orienting to the patient’s troubles, and perhaps his own working diagnosis of the patient’s abilities</w:t>
      </w:r>
      <w:r w:rsidR="009E3CA7">
        <w:rPr>
          <w:bCs/>
        </w:rPr>
        <w:t xml:space="preserve"> </w:t>
      </w:r>
      <w:r w:rsidRPr="00B67327">
        <w:rPr>
          <w:bCs/>
        </w:rPr>
        <w:t xml:space="preserve">and is choosing not to follow the administrative and scoring guidance by abandoning the question. This is another way in which the clinicians design and administer the assessment for </w:t>
      </w:r>
      <w:proofErr w:type="gramStart"/>
      <w:r w:rsidRPr="00B67327">
        <w:rPr>
          <w:bCs/>
        </w:rPr>
        <w:t>particular patients</w:t>
      </w:r>
      <w:proofErr w:type="gramEnd"/>
      <w:r w:rsidRPr="00B67327">
        <w:rPr>
          <w:bCs/>
        </w:rPr>
        <w:t>.</w:t>
      </w:r>
    </w:p>
    <w:p w14:paraId="6DC3CD84" w14:textId="77777777" w:rsidR="00EE2F79" w:rsidRPr="00B67327" w:rsidRDefault="00EE2F79" w:rsidP="00617FED">
      <w:pPr>
        <w:spacing w:line="360" w:lineRule="auto"/>
        <w:jc w:val="both"/>
        <w:rPr>
          <w:bCs/>
        </w:rPr>
      </w:pPr>
    </w:p>
    <w:p w14:paraId="0BB0322C" w14:textId="31A3262A" w:rsidR="00EE2F79" w:rsidRPr="00B67327" w:rsidRDefault="00EE2F79" w:rsidP="00617FED">
      <w:pPr>
        <w:spacing w:line="360" w:lineRule="auto"/>
        <w:jc w:val="both"/>
        <w:rPr>
          <w:bCs/>
        </w:rPr>
      </w:pPr>
      <w:r w:rsidRPr="00B67327">
        <w:rPr>
          <w:bCs/>
        </w:rPr>
        <w:t>We have shown how clinicians vary the administration of the ACE-</w:t>
      </w:r>
      <w:r w:rsidR="00427534" w:rsidRPr="00B67327">
        <w:rPr>
          <w:bCs/>
        </w:rPr>
        <w:t>III</w:t>
      </w:r>
      <w:r w:rsidRPr="00B67327">
        <w:rPr>
          <w:bCs/>
        </w:rPr>
        <w:t>,</w:t>
      </w:r>
      <w:r w:rsidR="00EF2F8D" w:rsidRPr="00B67327">
        <w:rPr>
          <w:bCs/>
        </w:rPr>
        <w:t xml:space="preserve"> </w:t>
      </w:r>
      <w:r w:rsidR="00A46E15" w:rsidRPr="00B67327">
        <w:rPr>
          <w:bCs/>
        </w:rPr>
        <w:t xml:space="preserve">both </w:t>
      </w:r>
      <w:r w:rsidR="00EF2F8D" w:rsidRPr="00B67327">
        <w:rPr>
          <w:bCs/>
        </w:rPr>
        <w:t xml:space="preserve">in the </w:t>
      </w:r>
      <w:proofErr w:type="gramStart"/>
      <w:r w:rsidR="00EF2F8D" w:rsidRPr="00B67327">
        <w:rPr>
          <w:bCs/>
        </w:rPr>
        <w:t>manner in which</w:t>
      </w:r>
      <w:proofErr w:type="gramEnd"/>
      <w:r w:rsidR="00EF2F8D" w:rsidRPr="00B67327">
        <w:rPr>
          <w:bCs/>
        </w:rPr>
        <w:t xml:space="preserve"> it is</w:t>
      </w:r>
      <w:r w:rsidRPr="00B67327">
        <w:rPr>
          <w:bCs/>
        </w:rPr>
        <w:t xml:space="preserve"> introduced</w:t>
      </w:r>
      <w:r w:rsidR="00EF2F8D" w:rsidRPr="00B67327">
        <w:rPr>
          <w:bCs/>
        </w:rPr>
        <w:t xml:space="preserve"> within the initial consultation,</w:t>
      </w:r>
      <w:r w:rsidRPr="00B67327">
        <w:rPr>
          <w:bCs/>
        </w:rPr>
        <w:t xml:space="preserve"> and within the design of certain questions, deviating from the scripted or quasi-scripted guidance meant to ensure standard administrative procedures are followed. </w:t>
      </w:r>
      <w:r w:rsidR="00D2485D" w:rsidRPr="00B67327">
        <w:rPr>
          <w:bCs/>
        </w:rPr>
        <w:t xml:space="preserve">There is evidence of recipient-design, which is </w:t>
      </w:r>
      <w:r w:rsidR="00525B7B" w:rsidRPr="00B67327">
        <w:rPr>
          <w:bCs/>
        </w:rPr>
        <w:t xml:space="preserve">often </w:t>
      </w:r>
      <w:r w:rsidR="00D2485D" w:rsidRPr="00B67327">
        <w:rPr>
          <w:bCs/>
        </w:rPr>
        <w:t>locally occasion</w:t>
      </w:r>
      <w:r w:rsidR="00924A27" w:rsidRPr="00B67327">
        <w:rPr>
          <w:bCs/>
        </w:rPr>
        <w:t>ed</w:t>
      </w:r>
      <w:r w:rsidR="00D2485D" w:rsidRPr="00B67327">
        <w:rPr>
          <w:bCs/>
        </w:rPr>
        <w:t xml:space="preserve"> </w:t>
      </w:r>
      <w:r w:rsidR="00924A27" w:rsidRPr="00B67327">
        <w:rPr>
          <w:bCs/>
        </w:rPr>
        <w:t>in</w:t>
      </w:r>
      <w:r w:rsidR="00D2485D" w:rsidRPr="00B67327">
        <w:rPr>
          <w:bCs/>
        </w:rPr>
        <w:t xml:space="preserve"> the interaction itself, for example when patients display some troubles with the course of action or in responding to a particular question. </w:t>
      </w:r>
      <w:r w:rsidR="00525B7B" w:rsidRPr="00B67327">
        <w:rPr>
          <w:bCs/>
        </w:rPr>
        <w:t xml:space="preserve">These troubles </w:t>
      </w:r>
      <w:r w:rsidR="00427534" w:rsidRPr="00B67327">
        <w:rPr>
          <w:bCs/>
        </w:rPr>
        <w:t xml:space="preserve">may </w:t>
      </w:r>
      <w:r w:rsidR="00525B7B" w:rsidRPr="00B67327">
        <w:rPr>
          <w:bCs/>
        </w:rPr>
        <w:t>also</w:t>
      </w:r>
      <w:r w:rsidR="00427534" w:rsidRPr="00B67327">
        <w:rPr>
          <w:bCs/>
        </w:rPr>
        <w:t xml:space="preserve"> be</w:t>
      </w:r>
      <w:r w:rsidR="00525B7B" w:rsidRPr="00B67327">
        <w:rPr>
          <w:bCs/>
        </w:rPr>
        <w:t xml:space="preserve"> predicted by the clinicians based on their perception of ‘how the patient is doing’ in the consultation</w:t>
      </w:r>
      <w:r w:rsidR="00E96395">
        <w:rPr>
          <w:bCs/>
        </w:rPr>
        <w:t xml:space="preserve"> more generally</w:t>
      </w:r>
      <w:r w:rsidR="00525B7B" w:rsidRPr="00B67327">
        <w:rPr>
          <w:bCs/>
        </w:rPr>
        <w:t xml:space="preserve"> and the working diagnosis they have formed. </w:t>
      </w:r>
      <w:r w:rsidR="00D2485D" w:rsidRPr="00B67327">
        <w:rPr>
          <w:bCs/>
        </w:rPr>
        <w:t>The clinicians do extra interactional work to orient to these troubles and work to help the patients with the questions</w:t>
      </w:r>
      <w:r w:rsidR="00F40A95">
        <w:rPr>
          <w:bCs/>
        </w:rPr>
        <w:t xml:space="preserve">. </w:t>
      </w:r>
      <w:r w:rsidR="00525B7B" w:rsidRPr="00B67327">
        <w:rPr>
          <w:bCs/>
        </w:rPr>
        <w:t>We now move to show how this ‘special attention’</w:t>
      </w:r>
      <w:r w:rsidR="00D27CC4" w:rsidRPr="00B67327">
        <w:rPr>
          <w:bCs/>
        </w:rPr>
        <w:t xml:space="preserve"> appears in different sequential locations within the administration of the ACE-</w:t>
      </w:r>
      <w:r w:rsidR="00B53EAF">
        <w:rPr>
          <w:bCs/>
        </w:rPr>
        <w:t>III</w:t>
      </w:r>
      <w:r w:rsidR="00D27CC4" w:rsidRPr="00B67327">
        <w:rPr>
          <w:bCs/>
        </w:rPr>
        <w:t xml:space="preserve">, notably in the </w:t>
      </w:r>
      <w:r w:rsidR="00B9632B" w:rsidRPr="00B67327">
        <w:rPr>
          <w:bCs/>
        </w:rPr>
        <w:t>clinician’s</w:t>
      </w:r>
      <w:r w:rsidR="00D27CC4" w:rsidRPr="00B67327">
        <w:rPr>
          <w:bCs/>
        </w:rPr>
        <w:t xml:space="preserve"> third-turn responses </w:t>
      </w:r>
      <w:r w:rsidR="00B9632B" w:rsidRPr="00B67327">
        <w:rPr>
          <w:bCs/>
        </w:rPr>
        <w:t>(</w:t>
      </w:r>
      <w:r w:rsidR="003B0617" w:rsidRPr="00B67327">
        <w:rPr>
          <w:rFonts w:eastAsiaTheme="minorEastAsia"/>
          <w:lang w:val="en-US"/>
        </w:rPr>
        <w:t xml:space="preserve">Sacks, 1992; </w:t>
      </w:r>
      <w:proofErr w:type="spellStart"/>
      <w:r w:rsidR="00B9632B" w:rsidRPr="00B67327">
        <w:rPr>
          <w:bCs/>
        </w:rPr>
        <w:t>Schegloff</w:t>
      </w:r>
      <w:proofErr w:type="spellEnd"/>
      <w:r w:rsidR="00B9632B" w:rsidRPr="00B67327">
        <w:rPr>
          <w:bCs/>
        </w:rPr>
        <w:t>, 1995</w:t>
      </w:r>
      <w:r w:rsidR="003D234F" w:rsidRPr="00B67327">
        <w:rPr>
          <w:bCs/>
        </w:rPr>
        <w:t xml:space="preserve">; </w:t>
      </w:r>
      <w:proofErr w:type="spellStart"/>
      <w:r w:rsidR="003D234F" w:rsidRPr="00B67327">
        <w:rPr>
          <w:bCs/>
        </w:rPr>
        <w:t>Schegloff</w:t>
      </w:r>
      <w:proofErr w:type="spellEnd"/>
      <w:r w:rsidR="003D234F" w:rsidRPr="00B67327">
        <w:rPr>
          <w:bCs/>
        </w:rPr>
        <w:t>, 2007</w:t>
      </w:r>
      <w:r w:rsidR="00D27CC4" w:rsidRPr="00B67327">
        <w:rPr>
          <w:bCs/>
        </w:rPr>
        <w:t xml:space="preserve">). </w:t>
      </w:r>
    </w:p>
    <w:p w14:paraId="3F1FAE83" w14:textId="77777777" w:rsidR="00C33201" w:rsidRPr="00B67327" w:rsidRDefault="00C33201" w:rsidP="00617FED">
      <w:pPr>
        <w:spacing w:line="360" w:lineRule="auto"/>
        <w:jc w:val="both"/>
        <w:rPr>
          <w:bCs/>
        </w:rPr>
      </w:pPr>
    </w:p>
    <w:p w14:paraId="0BEC4CDF" w14:textId="77777777" w:rsidR="00C33201" w:rsidRPr="00B67327" w:rsidRDefault="00C33201" w:rsidP="00C33201">
      <w:pPr>
        <w:spacing w:line="360" w:lineRule="auto"/>
        <w:jc w:val="both"/>
        <w:rPr>
          <w:bCs/>
        </w:rPr>
      </w:pPr>
      <w:r w:rsidRPr="00B67327">
        <w:rPr>
          <w:bCs/>
          <w:i/>
        </w:rPr>
        <w:t>3.3 Recipient design in third turn - FCD</w:t>
      </w:r>
    </w:p>
    <w:p w14:paraId="034DBFA9" w14:textId="3D584567" w:rsidR="00C33201" w:rsidRPr="00B67327" w:rsidRDefault="00C33201" w:rsidP="00C33201">
      <w:pPr>
        <w:spacing w:line="360" w:lineRule="auto"/>
        <w:jc w:val="both"/>
        <w:rPr>
          <w:bCs/>
          <w:lang w:val="en-US"/>
        </w:rPr>
      </w:pPr>
      <w:r w:rsidRPr="00B67327">
        <w:rPr>
          <w:bCs/>
        </w:rPr>
        <w:t>Another place where clinicians demonstrate some additional interactional attention to the patient is in the third turn. Elaborations after a potentially completed sequence of talk has been widely discussed in CA literature (</w:t>
      </w:r>
      <w:proofErr w:type="spellStart"/>
      <w:r w:rsidRPr="00B67327">
        <w:rPr>
          <w:bCs/>
        </w:rPr>
        <w:t>Schegloff</w:t>
      </w:r>
      <w:proofErr w:type="spellEnd"/>
      <w:r w:rsidRPr="00B67327">
        <w:rPr>
          <w:bCs/>
        </w:rPr>
        <w:t xml:space="preserve">, 2007), </w:t>
      </w:r>
      <w:r w:rsidR="00B419BE" w:rsidRPr="00B67327">
        <w:rPr>
          <w:bCs/>
        </w:rPr>
        <w:t>identify</w:t>
      </w:r>
      <w:r w:rsidR="00B419BE">
        <w:rPr>
          <w:bCs/>
        </w:rPr>
        <w:t>ing</w:t>
      </w:r>
      <w:r w:rsidRPr="00B67327">
        <w:rPr>
          <w:bCs/>
        </w:rPr>
        <w:t xml:space="preserve"> different </w:t>
      </w:r>
      <w:r w:rsidRPr="00B67327">
        <w:rPr>
          <w:bCs/>
        </w:rPr>
        <w:lastRenderedPageBreak/>
        <w:t>purposes for third</w:t>
      </w:r>
      <w:r w:rsidR="000770B2">
        <w:rPr>
          <w:bCs/>
        </w:rPr>
        <w:t>-</w:t>
      </w:r>
      <w:r w:rsidRPr="00B67327">
        <w:rPr>
          <w:bCs/>
        </w:rPr>
        <w:t xml:space="preserve">turn utterances in different interactional environments, such as in everyday interaction (Beach, 1993), in </w:t>
      </w:r>
      <w:r w:rsidRPr="00B67327">
        <w:rPr>
          <w:bCs/>
          <w:lang w:val="en-US"/>
        </w:rPr>
        <w:t>courtrooms (Atkinson and Drew, 1979), job interviews (Button, 1987), news interviews (</w:t>
      </w:r>
      <w:proofErr w:type="spellStart"/>
      <w:r w:rsidRPr="00B67327">
        <w:rPr>
          <w:bCs/>
          <w:lang w:val="en-US"/>
        </w:rPr>
        <w:t>Clayman</w:t>
      </w:r>
      <w:proofErr w:type="spellEnd"/>
      <w:r w:rsidRPr="00B67327">
        <w:rPr>
          <w:bCs/>
          <w:lang w:val="en-US"/>
        </w:rPr>
        <w:t xml:space="preserve">, 1988; </w:t>
      </w:r>
      <w:proofErr w:type="spellStart"/>
      <w:r w:rsidR="007D43DD">
        <w:rPr>
          <w:bCs/>
          <w:lang w:val="en-US"/>
        </w:rPr>
        <w:t>Clayman</w:t>
      </w:r>
      <w:proofErr w:type="spellEnd"/>
      <w:r w:rsidR="007D43DD">
        <w:rPr>
          <w:bCs/>
          <w:lang w:val="en-US"/>
        </w:rPr>
        <w:t xml:space="preserve"> &amp; Heritage, 2002; </w:t>
      </w:r>
      <w:proofErr w:type="spellStart"/>
      <w:r w:rsidR="007D43DD">
        <w:rPr>
          <w:bCs/>
          <w:lang w:val="en-US"/>
        </w:rPr>
        <w:t>Clayman</w:t>
      </w:r>
      <w:proofErr w:type="spellEnd"/>
      <w:r w:rsidR="007D43DD">
        <w:rPr>
          <w:bCs/>
          <w:lang w:val="en-US"/>
        </w:rPr>
        <w:t xml:space="preserve"> et al, 2020</w:t>
      </w:r>
      <w:r w:rsidRPr="00B67327">
        <w:rPr>
          <w:bCs/>
          <w:lang w:val="en-US"/>
        </w:rPr>
        <w:t>), classrooms (</w:t>
      </w:r>
      <w:r w:rsidR="00BC79BE">
        <w:rPr>
          <w:bCs/>
          <w:lang w:val="en-US"/>
        </w:rPr>
        <w:t xml:space="preserve">McHoul, 1978; </w:t>
      </w:r>
      <w:proofErr w:type="spellStart"/>
      <w:r w:rsidR="00BC79BE">
        <w:rPr>
          <w:bCs/>
        </w:rPr>
        <w:t>Koole</w:t>
      </w:r>
      <w:proofErr w:type="spellEnd"/>
      <w:r w:rsidR="00BC79BE">
        <w:rPr>
          <w:bCs/>
        </w:rPr>
        <w:t>, 2010</w:t>
      </w:r>
      <w:r w:rsidRPr="00B67327">
        <w:rPr>
          <w:bCs/>
        </w:rPr>
        <w:t>)</w:t>
      </w:r>
      <w:r w:rsidRPr="00B67327">
        <w:rPr>
          <w:bCs/>
          <w:lang w:val="en-US"/>
        </w:rPr>
        <w:t xml:space="preserve"> and survey interviews (</w:t>
      </w:r>
      <w:r w:rsidRPr="00B67327">
        <w:rPr>
          <w:bCs/>
        </w:rPr>
        <w:t xml:space="preserve">Maynard and Schaeffer, 2005; </w:t>
      </w:r>
      <w:proofErr w:type="spellStart"/>
      <w:r w:rsidRPr="00B67327">
        <w:rPr>
          <w:bCs/>
        </w:rPr>
        <w:t>Houtkoop</w:t>
      </w:r>
      <w:proofErr w:type="spellEnd"/>
      <w:r w:rsidRPr="00B67327">
        <w:rPr>
          <w:bCs/>
        </w:rPr>
        <w:t>-Steenstra, 2000</w:t>
      </w:r>
      <w:r w:rsidRPr="00B67327">
        <w:rPr>
          <w:bCs/>
          <w:lang w:val="en-US"/>
        </w:rPr>
        <w:t>). Expansion in the third turn might be designed to be either minimal or non-minimal (</w:t>
      </w:r>
      <w:proofErr w:type="spellStart"/>
      <w:r w:rsidRPr="00B67327">
        <w:rPr>
          <w:bCs/>
          <w:lang w:val="en-US"/>
        </w:rPr>
        <w:t>Schegloff</w:t>
      </w:r>
      <w:proofErr w:type="spellEnd"/>
      <w:r w:rsidRPr="00B67327">
        <w:rPr>
          <w:bCs/>
          <w:lang w:val="en-US"/>
        </w:rPr>
        <w:t xml:space="preserve">, 2007). </w:t>
      </w:r>
      <w:r w:rsidR="006053BA" w:rsidRPr="006053BA">
        <w:rPr>
          <w:bCs/>
          <w:lang w:val="en-US"/>
        </w:rPr>
        <w:t>Non-minimal post expansions project further talk, such as repair.</w:t>
      </w:r>
      <w:r w:rsidR="0002309E">
        <w:rPr>
          <w:bCs/>
          <w:lang w:val="en-US"/>
        </w:rPr>
        <w:t xml:space="preserve"> </w:t>
      </w:r>
      <w:r w:rsidRPr="00B67327">
        <w:rPr>
          <w:bCs/>
          <w:lang w:val="en-US"/>
        </w:rPr>
        <w:t xml:space="preserve">Minimal expansions represent one further turn at talk following the second pair part and do not project further talk; hence they are also known as “sequence-closing thirds” </w:t>
      </w:r>
      <w:r w:rsidR="000E5C9E" w:rsidRPr="00B67327">
        <w:rPr>
          <w:bCs/>
          <w:lang w:val="en-US"/>
        </w:rPr>
        <w:t>(</w:t>
      </w:r>
      <w:proofErr w:type="spellStart"/>
      <w:r w:rsidRPr="00B67327">
        <w:rPr>
          <w:bCs/>
          <w:lang w:val="en-US"/>
        </w:rPr>
        <w:t>Schegloff</w:t>
      </w:r>
      <w:proofErr w:type="spellEnd"/>
      <w:r w:rsidR="000E5C9E" w:rsidRPr="00B67327">
        <w:rPr>
          <w:bCs/>
          <w:lang w:val="en-US"/>
        </w:rPr>
        <w:t xml:space="preserve">, </w:t>
      </w:r>
      <w:r w:rsidRPr="00B67327">
        <w:rPr>
          <w:bCs/>
          <w:lang w:val="en-US"/>
        </w:rPr>
        <w:t>2007, p.118). Minimal post-expansions accomplish a range of actions, including receipts of information using tokens such as “okay” (Beach, 199</w:t>
      </w:r>
      <w:r w:rsidR="00254236">
        <w:rPr>
          <w:bCs/>
          <w:lang w:val="en-US"/>
        </w:rPr>
        <w:t>3</w:t>
      </w:r>
      <w:r w:rsidRPr="00B67327">
        <w:rPr>
          <w:bCs/>
          <w:lang w:val="en-US"/>
        </w:rPr>
        <w:t xml:space="preserve">), minimal confirmatory/assessing responses such as “good” (Maynard and </w:t>
      </w:r>
      <w:proofErr w:type="spellStart"/>
      <w:r w:rsidRPr="00B67327">
        <w:rPr>
          <w:bCs/>
          <w:lang w:val="en-US"/>
        </w:rPr>
        <w:t>Marlaire</w:t>
      </w:r>
      <w:proofErr w:type="spellEnd"/>
      <w:r w:rsidRPr="00B67327">
        <w:rPr>
          <w:bCs/>
          <w:lang w:val="en-US"/>
        </w:rPr>
        <w:t>, 1992), and</w:t>
      </w:r>
      <w:r w:rsidR="00D260C7">
        <w:rPr>
          <w:bCs/>
          <w:lang w:val="en-US"/>
        </w:rPr>
        <w:t xml:space="preserve"> </w:t>
      </w:r>
      <w:r w:rsidRPr="00B67327">
        <w:rPr>
          <w:bCs/>
          <w:lang w:val="en-US"/>
        </w:rPr>
        <w:t xml:space="preserve">what survey methodologists </w:t>
      </w:r>
      <w:proofErr w:type="spellStart"/>
      <w:r w:rsidR="000770B2">
        <w:rPr>
          <w:bCs/>
          <w:lang w:val="en-US"/>
        </w:rPr>
        <w:t>characterise</w:t>
      </w:r>
      <w:proofErr w:type="spellEnd"/>
      <w:r w:rsidR="000770B2" w:rsidRPr="00B67327">
        <w:rPr>
          <w:bCs/>
          <w:lang w:val="en-US"/>
        </w:rPr>
        <w:t xml:space="preserve"> </w:t>
      </w:r>
      <w:r w:rsidRPr="00B67327">
        <w:rPr>
          <w:bCs/>
          <w:lang w:val="en-US"/>
        </w:rPr>
        <w:t>as feedback (</w:t>
      </w:r>
      <w:proofErr w:type="spellStart"/>
      <w:r w:rsidRPr="00B67327">
        <w:rPr>
          <w:bCs/>
        </w:rPr>
        <w:t>Houtkoop</w:t>
      </w:r>
      <w:proofErr w:type="spellEnd"/>
      <w:r w:rsidRPr="00B67327">
        <w:rPr>
          <w:bCs/>
        </w:rPr>
        <w:t>-St</w:t>
      </w:r>
      <w:r w:rsidR="00E243FC">
        <w:rPr>
          <w:bCs/>
        </w:rPr>
        <w:t>e</w:t>
      </w:r>
      <w:r w:rsidRPr="00B67327">
        <w:rPr>
          <w:bCs/>
        </w:rPr>
        <w:t>enstra, 1997; Maynard and Schaeffer, 2005)</w:t>
      </w:r>
      <w:r w:rsidRPr="00B67327">
        <w:rPr>
          <w:bCs/>
          <w:lang w:val="en-US"/>
        </w:rPr>
        <w:t>. Interviewers can use this third</w:t>
      </w:r>
      <w:r w:rsidR="000770B2">
        <w:rPr>
          <w:bCs/>
          <w:lang w:val="en-US"/>
        </w:rPr>
        <w:t>-</w:t>
      </w:r>
      <w:r w:rsidRPr="00B67327">
        <w:rPr>
          <w:bCs/>
          <w:lang w:val="en-US"/>
        </w:rPr>
        <w:t xml:space="preserve">turn position, not only to acknowledge a response, but also to convey evaluations of it for the purpose of providing reassurance and motivation (Swallow </w:t>
      </w:r>
      <w:r w:rsidR="006D1F3C">
        <w:rPr>
          <w:bCs/>
          <w:lang w:val="en-US"/>
        </w:rPr>
        <w:t>and</w:t>
      </w:r>
      <w:r w:rsidRPr="00B67327">
        <w:rPr>
          <w:bCs/>
          <w:lang w:val="en-US"/>
        </w:rPr>
        <w:t xml:space="preserve"> Hillman, 2018). However, interviewing protocols often advi</w:t>
      </w:r>
      <w:r w:rsidR="00595EDB">
        <w:rPr>
          <w:bCs/>
          <w:lang w:val="en-US"/>
        </w:rPr>
        <w:t>s</w:t>
      </w:r>
      <w:r w:rsidRPr="00B67327">
        <w:rPr>
          <w:bCs/>
          <w:lang w:val="en-US"/>
        </w:rPr>
        <w:t xml:space="preserve">e administrators to produce “neutral” acknowledgements only, </w:t>
      </w:r>
      <w:r w:rsidR="00595EDB">
        <w:rPr>
          <w:bCs/>
          <w:lang w:val="en-US"/>
        </w:rPr>
        <w:t xml:space="preserve">thus </w:t>
      </w:r>
      <w:r w:rsidRPr="00B67327">
        <w:rPr>
          <w:bCs/>
          <w:lang w:val="en-US"/>
        </w:rPr>
        <w:t>refraining from indicating whether a response is correct or incorrect (</w:t>
      </w:r>
      <w:proofErr w:type="spellStart"/>
      <w:r w:rsidRPr="00B67327">
        <w:rPr>
          <w:bCs/>
          <w:lang w:val="en-US"/>
        </w:rPr>
        <w:t>Mehan</w:t>
      </w:r>
      <w:proofErr w:type="spellEnd"/>
      <w:r w:rsidRPr="00B67327">
        <w:rPr>
          <w:bCs/>
          <w:lang w:val="en-US"/>
        </w:rPr>
        <w:t xml:space="preserve">, </w:t>
      </w:r>
      <w:proofErr w:type="spellStart"/>
      <w:r w:rsidRPr="00B67327">
        <w:rPr>
          <w:bCs/>
          <w:lang w:val="en-US"/>
        </w:rPr>
        <w:t>Hertweck</w:t>
      </w:r>
      <w:proofErr w:type="spellEnd"/>
      <w:r w:rsidRPr="00B67327">
        <w:rPr>
          <w:bCs/>
          <w:lang w:val="en-US"/>
        </w:rPr>
        <w:t xml:space="preserve">, and </w:t>
      </w:r>
      <w:proofErr w:type="spellStart"/>
      <w:r w:rsidRPr="00B67327">
        <w:rPr>
          <w:bCs/>
          <w:lang w:val="en-US"/>
        </w:rPr>
        <w:t>Meihls</w:t>
      </w:r>
      <w:proofErr w:type="spellEnd"/>
      <w:r w:rsidRPr="00B67327">
        <w:rPr>
          <w:bCs/>
          <w:lang w:val="en-US"/>
        </w:rPr>
        <w:t xml:space="preserve">, 1986). Maynard and </w:t>
      </w:r>
      <w:proofErr w:type="spellStart"/>
      <w:r w:rsidRPr="00B67327">
        <w:rPr>
          <w:bCs/>
          <w:lang w:val="en-US"/>
        </w:rPr>
        <w:t>Marlaire</w:t>
      </w:r>
      <w:proofErr w:type="spellEnd"/>
      <w:r w:rsidRPr="00B67327">
        <w:rPr>
          <w:bCs/>
          <w:lang w:val="en-US"/>
        </w:rPr>
        <w:t xml:space="preserve"> (1992) demonstrated how acknowledgments (such as smiling and nodding following a correct response) do not necessarily affect an individual answer but may have a cumulative influence on performance. </w:t>
      </w:r>
    </w:p>
    <w:p w14:paraId="58BE7628" w14:textId="77777777" w:rsidR="00C33201" w:rsidRPr="00B67327" w:rsidRDefault="00C33201" w:rsidP="00C33201">
      <w:pPr>
        <w:spacing w:line="360" w:lineRule="auto"/>
        <w:jc w:val="both"/>
        <w:rPr>
          <w:bCs/>
          <w:lang w:val="en-US"/>
        </w:rPr>
      </w:pPr>
    </w:p>
    <w:p w14:paraId="4E03072C" w14:textId="1DA7578D" w:rsidR="000F29E6" w:rsidRPr="00B67327" w:rsidRDefault="00C33201" w:rsidP="00C33201">
      <w:pPr>
        <w:spacing w:line="360" w:lineRule="auto"/>
        <w:jc w:val="both"/>
        <w:rPr>
          <w:bCs/>
          <w:lang w:val="en-US"/>
        </w:rPr>
      </w:pPr>
      <w:r w:rsidRPr="00B67327">
        <w:rPr>
          <w:bCs/>
          <w:lang w:val="en-US"/>
        </w:rPr>
        <w:t>Importantly, the ACE-</w:t>
      </w:r>
      <w:r w:rsidR="000E5C9E" w:rsidRPr="00B67327">
        <w:rPr>
          <w:bCs/>
          <w:lang w:val="en-US"/>
        </w:rPr>
        <w:t xml:space="preserve">III </w:t>
      </w:r>
      <w:r w:rsidR="006053BA">
        <w:rPr>
          <w:bCs/>
          <w:lang w:val="en-US"/>
        </w:rPr>
        <w:t xml:space="preserve">administrative </w:t>
      </w:r>
      <w:r w:rsidRPr="00B67327">
        <w:rPr>
          <w:bCs/>
          <w:lang w:val="en-US"/>
        </w:rPr>
        <w:t xml:space="preserve">guide has no advice on how clinicians should respond to answers. </w:t>
      </w:r>
      <w:r w:rsidR="000770B2">
        <w:rPr>
          <w:bCs/>
          <w:lang w:val="en-US"/>
        </w:rPr>
        <w:t>In our dataset, t</w:t>
      </w:r>
      <w:r w:rsidRPr="00B67327">
        <w:rPr>
          <w:bCs/>
          <w:lang w:val="en-US"/>
        </w:rPr>
        <w:t>here appear</w:t>
      </w:r>
      <w:r w:rsidR="00D260C7">
        <w:rPr>
          <w:bCs/>
          <w:lang w:val="en-US"/>
        </w:rPr>
        <w:t xml:space="preserve"> </w:t>
      </w:r>
      <w:r w:rsidRPr="00B67327">
        <w:rPr>
          <w:bCs/>
          <w:lang w:val="en-US"/>
        </w:rPr>
        <w:t>to be different approaches adopted by different clinicians and for different patients and their abilities.</w:t>
      </w:r>
      <w:r w:rsidR="000F29E6" w:rsidRPr="00B67327">
        <w:rPr>
          <w:bCs/>
          <w:lang w:val="en-US"/>
        </w:rPr>
        <w:t xml:space="preserve"> That is, we see a </w:t>
      </w:r>
      <w:r w:rsidR="00B56BDF" w:rsidRPr="00B67327">
        <w:rPr>
          <w:bCs/>
          <w:lang w:val="en-US"/>
        </w:rPr>
        <w:t>distinction</w:t>
      </w:r>
      <w:r w:rsidR="000F29E6" w:rsidRPr="00B67327">
        <w:rPr>
          <w:bCs/>
          <w:lang w:val="en-US"/>
        </w:rPr>
        <w:t xml:space="preserve"> in the interactional uses of </w:t>
      </w:r>
      <w:proofErr w:type="gramStart"/>
      <w:r w:rsidR="000F29E6" w:rsidRPr="00B67327">
        <w:rPr>
          <w:bCs/>
          <w:lang w:val="en-US"/>
        </w:rPr>
        <w:t>thir</w:t>
      </w:r>
      <w:r w:rsidR="00B56BDF" w:rsidRPr="00B67327">
        <w:rPr>
          <w:bCs/>
          <w:lang w:val="en-US"/>
        </w:rPr>
        <w:t>d</w:t>
      </w:r>
      <w:r w:rsidR="000F29E6" w:rsidRPr="00B67327">
        <w:rPr>
          <w:bCs/>
          <w:lang w:val="en-US"/>
        </w:rPr>
        <w:t>-turns</w:t>
      </w:r>
      <w:proofErr w:type="gramEnd"/>
      <w:r w:rsidR="000F29E6" w:rsidRPr="00B67327">
        <w:rPr>
          <w:bCs/>
          <w:lang w:val="en-US"/>
        </w:rPr>
        <w:t xml:space="preserve"> depending on whether the patient has FCD or dementia.</w:t>
      </w:r>
      <w:r w:rsidRPr="00B67327">
        <w:rPr>
          <w:bCs/>
          <w:lang w:val="en-US"/>
        </w:rPr>
        <w:t xml:space="preserve"> The first three examples below (extracts 9-11) exemplify routine practice when a patient has a working diagnosis of FCD</w:t>
      </w:r>
      <w:r w:rsidR="000770B2">
        <w:rPr>
          <w:bCs/>
          <w:lang w:val="en-US"/>
        </w:rPr>
        <w:t xml:space="preserve"> and t</w:t>
      </w:r>
      <w:r w:rsidR="000F29E6" w:rsidRPr="00B67327">
        <w:rPr>
          <w:bCs/>
          <w:lang w:val="en-US"/>
        </w:rPr>
        <w:t xml:space="preserve">he </w:t>
      </w:r>
      <w:r w:rsidR="000770B2">
        <w:rPr>
          <w:bCs/>
          <w:lang w:val="en-US"/>
        </w:rPr>
        <w:t>subsequent</w:t>
      </w:r>
      <w:r w:rsidR="000770B2" w:rsidRPr="00B67327">
        <w:rPr>
          <w:bCs/>
          <w:lang w:val="en-US"/>
        </w:rPr>
        <w:t xml:space="preserve"> </w:t>
      </w:r>
      <w:r w:rsidR="000F29E6" w:rsidRPr="00B67327">
        <w:rPr>
          <w:bCs/>
          <w:lang w:val="en-US"/>
        </w:rPr>
        <w:t xml:space="preserve">four (extracts 12-15, </w:t>
      </w:r>
      <w:r w:rsidR="000770B2">
        <w:rPr>
          <w:bCs/>
          <w:lang w:val="en-US"/>
        </w:rPr>
        <w:t>S</w:t>
      </w:r>
      <w:r w:rsidR="000F29E6" w:rsidRPr="00B67327">
        <w:rPr>
          <w:bCs/>
          <w:lang w:val="en-US"/>
        </w:rPr>
        <w:t xml:space="preserve">ection 3.4) feature patients with dementia. </w:t>
      </w:r>
      <w:r w:rsidR="00710BA7" w:rsidRPr="00710BA7">
        <w:rPr>
          <w:bCs/>
          <w:lang w:val="en-US"/>
        </w:rPr>
        <w:t>We found that when there is a working diagnosis of FCD the clinicians generally do not produce third-turn responses or, if they are produced, they are typically minimal, either “okay” or “good”, and appear at the end of a task sequence rather than between individual question-answer sequences.</w:t>
      </w:r>
      <w:r w:rsidR="00710BA7">
        <w:rPr>
          <w:bCs/>
          <w:lang w:val="en-US"/>
        </w:rPr>
        <w:t xml:space="preserve"> </w:t>
      </w:r>
      <w:r w:rsidRPr="00B67327">
        <w:rPr>
          <w:bCs/>
          <w:lang w:val="en-US"/>
        </w:rPr>
        <w:t xml:space="preserve">The </w:t>
      </w:r>
      <w:r w:rsidR="000F29E6" w:rsidRPr="00B67327">
        <w:rPr>
          <w:bCs/>
          <w:lang w:val="en-US"/>
        </w:rPr>
        <w:t xml:space="preserve">focal </w:t>
      </w:r>
      <w:r w:rsidRPr="00B67327">
        <w:rPr>
          <w:bCs/>
          <w:lang w:val="en-US"/>
        </w:rPr>
        <w:t>sequence within extracts</w:t>
      </w:r>
      <w:r w:rsidR="000F29E6" w:rsidRPr="00B67327">
        <w:rPr>
          <w:bCs/>
          <w:lang w:val="en-US"/>
        </w:rPr>
        <w:t xml:space="preserve"> 9-14</w:t>
      </w:r>
      <w:r w:rsidRPr="00B67327">
        <w:rPr>
          <w:bCs/>
          <w:lang w:val="en-US"/>
        </w:rPr>
        <w:t xml:space="preserve"> is taken from an ‘attention</w:t>
      </w:r>
      <w:r w:rsidR="000E5C9E" w:rsidRPr="00B67327">
        <w:rPr>
          <w:bCs/>
          <w:lang w:val="en-US"/>
        </w:rPr>
        <w:t>-</w:t>
      </w:r>
      <w:r w:rsidRPr="00B67327">
        <w:rPr>
          <w:bCs/>
          <w:lang w:val="en-US"/>
        </w:rPr>
        <w:lastRenderedPageBreak/>
        <w:t>orientation’ task on the ACE</w:t>
      </w:r>
      <w:r w:rsidR="000E5C9E" w:rsidRPr="00B67327">
        <w:rPr>
          <w:bCs/>
          <w:lang w:val="en-US"/>
        </w:rPr>
        <w:t>-III</w:t>
      </w:r>
      <w:r w:rsidRPr="00B67327">
        <w:rPr>
          <w:bCs/>
          <w:lang w:val="en-US"/>
        </w:rPr>
        <w:t>, which is scored out of 5</w:t>
      </w:r>
      <w:r w:rsidR="00943BA0">
        <w:rPr>
          <w:bCs/>
          <w:lang w:val="en-US"/>
        </w:rPr>
        <w:t xml:space="preserve"> (extract 15 deals with a different question)</w:t>
      </w:r>
      <w:r w:rsidRPr="00B67327">
        <w:rPr>
          <w:bCs/>
          <w:lang w:val="en-US"/>
        </w:rPr>
        <w:t xml:space="preserve">. On the test paper clinicians are told, “Ask: which – No./Floor, Street/Hospital, Town, County, Country”. The test then moves to an ‘attention-registration’ task where the participants are asked to repeat and remember three words. </w:t>
      </w:r>
    </w:p>
    <w:p w14:paraId="08B95449" w14:textId="77777777" w:rsidR="000F29E6" w:rsidRPr="00B67327" w:rsidRDefault="000F29E6" w:rsidP="00C33201">
      <w:pPr>
        <w:spacing w:line="360" w:lineRule="auto"/>
        <w:jc w:val="both"/>
        <w:rPr>
          <w:bCs/>
          <w:lang w:val="en-US"/>
        </w:rPr>
      </w:pPr>
    </w:p>
    <w:p w14:paraId="1DC7CC7B" w14:textId="793D87FF" w:rsidR="00C33201" w:rsidRPr="00B67327" w:rsidRDefault="000F29E6" w:rsidP="00C33201">
      <w:pPr>
        <w:spacing w:line="360" w:lineRule="auto"/>
        <w:jc w:val="both"/>
        <w:rPr>
          <w:bCs/>
          <w:lang w:val="en-US"/>
        </w:rPr>
      </w:pPr>
      <w:r w:rsidRPr="00B67327">
        <w:rPr>
          <w:bCs/>
          <w:lang w:val="en-US"/>
        </w:rPr>
        <w:t>In our first example</w:t>
      </w:r>
      <w:r w:rsidR="000770B2">
        <w:rPr>
          <w:bCs/>
          <w:lang w:val="en-US"/>
        </w:rPr>
        <w:t xml:space="preserve"> (extract 9)</w:t>
      </w:r>
      <w:r w:rsidRPr="00B67327">
        <w:rPr>
          <w:bCs/>
          <w:lang w:val="en-US"/>
        </w:rPr>
        <w:t>, t</w:t>
      </w:r>
      <w:r w:rsidR="00C33201" w:rsidRPr="00B67327">
        <w:rPr>
          <w:bCs/>
          <w:lang w:val="en-US"/>
        </w:rPr>
        <w:t>he clinician</w:t>
      </w:r>
      <w:r w:rsidR="00733757">
        <w:rPr>
          <w:bCs/>
          <w:lang w:val="en-US"/>
        </w:rPr>
        <w:t xml:space="preserve"> uses no</w:t>
      </w:r>
      <w:r w:rsidR="00C33201" w:rsidRPr="00B67327">
        <w:rPr>
          <w:bCs/>
          <w:lang w:val="en-US"/>
        </w:rPr>
        <w:t xml:space="preserve"> post-expansion in third-turn</w:t>
      </w:r>
      <w:r w:rsidR="00804FC2" w:rsidRPr="00B67327">
        <w:rPr>
          <w:bCs/>
          <w:lang w:val="en-US"/>
        </w:rPr>
        <w:t xml:space="preserve"> position. </w:t>
      </w:r>
    </w:p>
    <w:p w14:paraId="14FC3D0A" w14:textId="77777777" w:rsidR="00C33201" w:rsidRPr="00B67327" w:rsidRDefault="00C33201" w:rsidP="00C33201">
      <w:pPr>
        <w:spacing w:line="360" w:lineRule="auto"/>
        <w:jc w:val="both"/>
        <w:rPr>
          <w:bCs/>
          <w:lang w:val="en-US"/>
        </w:rPr>
      </w:pPr>
    </w:p>
    <w:p w14:paraId="2BBE5E82" w14:textId="0E5B8003" w:rsidR="00C33201" w:rsidRDefault="00C33201" w:rsidP="00C33201">
      <w:pPr>
        <w:spacing w:line="360" w:lineRule="auto"/>
        <w:jc w:val="both"/>
        <w:rPr>
          <w:bCs/>
        </w:rPr>
      </w:pPr>
      <w:r w:rsidRPr="00B67327">
        <w:rPr>
          <w:bCs/>
        </w:rPr>
        <w:t>Extract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723E64" w:rsidRPr="00960A70" w14:paraId="5C4C9454" w14:textId="77777777" w:rsidTr="006F7223">
        <w:tc>
          <w:tcPr>
            <w:tcW w:w="561" w:type="dxa"/>
          </w:tcPr>
          <w:p w14:paraId="460813E1"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3EEF7E92"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04D78D18" w14:textId="4430BEA7"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An- Where are </w:t>
            </w:r>
            <w:proofErr w:type="gramStart"/>
            <w:r w:rsidRPr="00960A70">
              <w:rPr>
                <w:rFonts w:ascii="Courier New" w:hAnsi="Courier New" w:cs="Courier New"/>
                <w:bCs/>
                <w:sz w:val="20"/>
                <w:szCs w:val="20"/>
              </w:rPr>
              <w:t>we,=</w:t>
            </w:r>
            <w:proofErr w:type="gramEnd"/>
            <w:r w:rsidRPr="00960A70">
              <w:rPr>
                <w:rFonts w:ascii="Courier New" w:hAnsi="Courier New" w:cs="Courier New"/>
                <w:bCs/>
                <w:sz w:val="20"/>
                <w:szCs w:val="20"/>
              </w:rPr>
              <w:t>What’s the name of this place,</w:t>
            </w:r>
          </w:p>
        </w:tc>
      </w:tr>
      <w:tr w:rsidR="00723E64" w:rsidRPr="00960A70" w14:paraId="6E8E268E" w14:textId="77777777" w:rsidTr="006F7223">
        <w:tc>
          <w:tcPr>
            <w:tcW w:w="561" w:type="dxa"/>
          </w:tcPr>
          <w:p w14:paraId="00E346B7"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2A1C990C" w14:textId="6EF3BDC2"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26282E8A" w14:textId="37583C92"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(City name).</w:t>
            </w:r>
          </w:p>
        </w:tc>
      </w:tr>
      <w:tr w:rsidR="00723E64" w:rsidRPr="00960A70" w14:paraId="50D0641E" w14:textId="77777777" w:rsidTr="006F7223">
        <w:tc>
          <w:tcPr>
            <w:tcW w:w="561" w:type="dxa"/>
          </w:tcPr>
          <w:p w14:paraId="5E6A038B"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2416C796" w14:textId="6AFE4B20" w:rsidR="00723E64" w:rsidRPr="00960A70" w:rsidRDefault="00723E64" w:rsidP="007519D9">
            <w:pPr>
              <w:spacing w:line="360" w:lineRule="auto"/>
              <w:jc w:val="both"/>
              <w:rPr>
                <w:rFonts w:ascii="Courier New" w:hAnsi="Courier New" w:cs="Courier New"/>
                <w:bCs/>
                <w:sz w:val="20"/>
                <w:szCs w:val="20"/>
              </w:rPr>
            </w:pPr>
          </w:p>
        </w:tc>
        <w:tc>
          <w:tcPr>
            <w:tcW w:w="6852" w:type="dxa"/>
          </w:tcPr>
          <w:p w14:paraId="18F38209" w14:textId="65880B2E" w:rsidR="00723E64" w:rsidRPr="00960A70" w:rsidRDefault="006F7223" w:rsidP="007519D9">
            <w:pPr>
              <w:spacing w:line="360" w:lineRule="auto"/>
              <w:rPr>
                <w:rFonts w:ascii="Courier New" w:hAnsi="Courier New" w:cs="Courier New"/>
                <w:sz w:val="20"/>
                <w:szCs w:val="20"/>
              </w:rPr>
            </w:pPr>
            <w:r w:rsidRPr="00960A70">
              <w:rPr>
                <w:rFonts w:ascii="Courier New" w:hAnsi="Courier New" w:cs="Courier New"/>
                <w:sz w:val="20"/>
                <w:szCs w:val="20"/>
              </w:rPr>
              <w:t>(0.8)</w:t>
            </w:r>
          </w:p>
        </w:tc>
      </w:tr>
      <w:tr w:rsidR="00723E64" w:rsidRPr="00960A70" w14:paraId="2C7EB247" w14:textId="77777777" w:rsidTr="006F7223">
        <w:tc>
          <w:tcPr>
            <w:tcW w:w="561" w:type="dxa"/>
          </w:tcPr>
          <w:p w14:paraId="659DAC5C"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6CEA40FA" w14:textId="27C47DBB"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71CBA4D0" w14:textId="08757DC8" w:rsidR="00723E64" w:rsidRPr="00960A70" w:rsidRDefault="006F7223" w:rsidP="007519D9">
            <w:pPr>
              <w:spacing w:line="360" w:lineRule="auto"/>
              <w:rPr>
                <w:rFonts w:ascii="Courier New" w:hAnsi="Courier New" w:cs="Courier New"/>
                <w:sz w:val="20"/>
                <w:szCs w:val="20"/>
              </w:rPr>
            </w:pPr>
            <w:r w:rsidRPr="00960A70">
              <w:rPr>
                <w:rFonts w:ascii="Courier New" w:hAnsi="Courier New" w:cs="Courier New"/>
                <w:bCs/>
                <w:sz w:val="20"/>
                <w:szCs w:val="20"/>
              </w:rPr>
              <w:t xml:space="preserve">Um- </w:t>
            </w:r>
            <w:proofErr w:type="spellStart"/>
            <w:r w:rsidRPr="00960A70">
              <w:rPr>
                <w:rFonts w:ascii="Courier New" w:hAnsi="Courier New" w:cs="Courier New"/>
                <w:bCs/>
                <w:sz w:val="20"/>
                <w:szCs w:val="20"/>
              </w:rPr>
              <w:t>th</w:t>
            </w:r>
            <w:proofErr w:type="spellEnd"/>
            <w:r w:rsidRPr="00960A70">
              <w:rPr>
                <w:rFonts w:ascii="Courier New" w:hAnsi="Courier New" w:cs="Courier New"/>
                <w:bCs/>
                <w:sz w:val="20"/>
                <w:szCs w:val="20"/>
              </w:rPr>
              <w:t>- the name of this specific building,</w:t>
            </w:r>
          </w:p>
        </w:tc>
      </w:tr>
      <w:tr w:rsidR="00723E64" w:rsidRPr="00960A70" w14:paraId="07AB9B80" w14:textId="77777777" w:rsidTr="006F7223">
        <w:tc>
          <w:tcPr>
            <w:tcW w:w="561" w:type="dxa"/>
          </w:tcPr>
          <w:p w14:paraId="138A2B3B"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36A93D51" w14:textId="71D802F3"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15A21FD3" w14:textId="00D46E19" w:rsidR="00723E64" w:rsidRPr="00960A70" w:rsidRDefault="006F7223" w:rsidP="007519D9">
            <w:pPr>
              <w:spacing w:line="360" w:lineRule="auto"/>
              <w:rPr>
                <w:rFonts w:ascii="Courier New" w:hAnsi="Courier New" w:cs="Courier New"/>
                <w:sz w:val="20"/>
                <w:szCs w:val="20"/>
              </w:rPr>
            </w:pPr>
            <w:r w:rsidRPr="00960A70">
              <w:rPr>
                <w:rFonts w:ascii="Courier New" w:hAnsi="Courier New" w:cs="Courier New"/>
                <w:bCs/>
                <w:sz w:val="20"/>
                <w:szCs w:val="20"/>
              </w:rPr>
              <w:t>Er (Hospital name).</w:t>
            </w:r>
          </w:p>
        </w:tc>
      </w:tr>
      <w:tr w:rsidR="00723E64" w:rsidRPr="00960A70" w14:paraId="6C70D800" w14:textId="77777777" w:rsidTr="006F7223">
        <w:tc>
          <w:tcPr>
            <w:tcW w:w="561" w:type="dxa"/>
          </w:tcPr>
          <w:p w14:paraId="5D7939AA" w14:textId="77777777" w:rsidR="00723E64" w:rsidRPr="00960A70" w:rsidRDefault="00723E64"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0EA6297E" w14:textId="72E9D65B"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17928E7C" w14:textId="3BA93457" w:rsidR="00723E64"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&gt;do you know what&lt; f</w:t>
            </w:r>
            <w:r w:rsidRPr="00960A70">
              <w:rPr>
                <w:rFonts w:ascii="Courier New" w:hAnsi="Courier New" w:cs="Courier New"/>
                <w:bCs/>
                <w:sz w:val="20"/>
                <w:szCs w:val="20"/>
                <w:u w:val="single"/>
              </w:rPr>
              <w:t>lo</w:t>
            </w:r>
            <w:r w:rsidRPr="00960A70">
              <w:rPr>
                <w:rFonts w:ascii="Courier New" w:hAnsi="Courier New" w:cs="Courier New"/>
                <w:bCs/>
                <w:sz w:val="20"/>
                <w:szCs w:val="20"/>
              </w:rPr>
              <w:t>or we’re on,</w:t>
            </w:r>
          </w:p>
        </w:tc>
      </w:tr>
      <w:tr w:rsidR="006F7223" w:rsidRPr="00960A70" w14:paraId="6DB9B8C1" w14:textId="77777777" w:rsidTr="006F7223">
        <w:tc>
          <w:tcPr>
            <w:tcW w:w="561" w:type="dxa"/>
          </w:tcPr>
          <w:p w14:paraId="51C7A0DD" w14:textId="7F4F40F2"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72733053" w14:textId="76BC643D"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811CB86" w14:textId="1AF7E7C7" w:rsidR="006F722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(Floor letter)</w:t>
            </w:r>
          </w:p>
        </w:tc>
      </w:tr>
      <w:tr w:rsidR="006F7223" w:rsidRPr="00960A70" w14:paraId="5C58D781" w14:textId="77777777" w:rsidTr="006F7223">
        <w:tc>
          <w:tcPr>
            <w:tcW w:w="561" w:type="dxa"/>
          </w:tcPr>
          <w:p w14:paraId="40802F8A" w14:textId="6F0ED455"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10ACA05F" w14:textId="2DA369B9"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49910AD1" w14:textId="190BFADE"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what county is (City name) in,</w:t>
            </w:r>
          </w:p>
        </w:tc>
      </w:tr>
      <w:tr w:rsidR="006F7223" w:rsidRPr="00960A70" w14:paraId="5B0E1623" w14:textId="77777777" w:rsidTr="006F7223">
        <w:tc>
          <w:tcPr>
            <w:tcW w:w="561" w:type="dxa"/>
          </w:tcPr>
          <w:p w14:paraId="7E6D1E03" w14:textId="3757EB0F"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3B256548" w14:textId="579B7075"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24AB4F4D" w14:textId="0923D0CF"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(County name).</w:t>
            </w:r>
          </w:p>
        </w:tc>
      </w:tr>
      <w:tr w:rsidR="006F7223" w:rsidRPr="00960A70" w14:paraId="298ADA8D" w14:textId="77777777" w:rsidTr="006F7223">
        <w:tc>
          <w:tcPr>
            <w:tcW w:w="561" w:type="dxa"/>
          </w:tcPr>
          <w:p w14:paraId="0130642F" w14:textId="71CBA135"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387FFDA5" w14:textId="32722038"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213280FB" w14:textId="54B3BD1C"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what country is, n- do we live in,</w:t>
            </w:r>
          </w:p>
        </w:tc>
      </w:tr>
      <w:tr w:rsidR="006F7223" w:rsidRPr="00960A70" w14:paraId="0FFF7ACB" w14:textId="77777777" w:rsidTr="006F7223">
        <w:tc>
          <w:tcPr>
            <w:tcW w:w="561" w:type="dxa"/>
          </w:tcPr>
          <w:p w14:paraId="6F331550" w14:textId="1FEA769A"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11</w:t>
            </w:r>
          </w:p>
        </w:tc>
        <w:tc>
          <w:tcPr>
            <w:tcW w:w="877" w:type="dxa"/>
          </w:tcPr>
          <w:p w14:paraId="15C58252" w14:textId="2558C659"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552538C3" w14:textId="58D16366"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England.</w:t>
            </w:r>
          </w:p>
        </w:tc>
      </w:tr>
      <w:tr w:rsidR="006F7223" w:rsidRPr="00960A70" w14:paraId="77F69CF5" w14:textId="77777777" w:rsidTr="006F7223">
        <w:tc>
          <w:tcPr>
            <w:tcW w:w="561" w:type="dxa"/>
          </w:tcPr>
          <w:p w14:paraId="7076AF83" w14:textId="5B081946"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12</w:t>
            </w:r>
          </w:p>
        </w:tc>
        <w:tc>
          <w:tcPr>
            <w:tcW w:w="877" w:type="dxa"/>
          </w:tcPr>
          <w:p w14:paraId="14382CC7" w14:textId="3A14D866"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6852" w:type="dxa"/>
          </w:tcPr>
          <w:p w14:paraId="4A1A8F41" w14:textId="7823266A" w:rsidR="006F7223" w:rsidRPr="00960A70" w:rsidRDefault="006F7223"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w:t>
            </w:r>
            <w:proofErr w:type="spellStart"/>
            <w:r w:rsidRPr="00960A70">
              <w:rPr>
                <w:rFonts w:ascii="Courier New" w:hAnsi="Courier New" w:cs="Courier New"/>
                <w:bCs/>
                <w:sz w:val="20"/>
                <w:szCs w:val="20"/>
              </w:rPr>
              <w:t>hh</w:t>
            </w:r>
            <w:proofErr w:type="spellEnd"/>
            <w:proofErr w:type="gramEnd"/>
            <w:r w:rsidRPr="00960A70">
              <w:rPr>
                <w:rFonts w:ascii="Courier New" w:hAnsi="Courier New" w:cs="Courier New"/>
                <w:bCs/>
                <w:sz w:val="20"/>
                <w:szCs w:val="20"/>
              </w:rPr>
              <w:t xml:space="preserve"> I’m going to give you the name of three things</w:t>
            </w:r>
          </w:p>
        </w:tc>
      </w:tr>
      <w:tr w:rsidR="006F7223" w:rsidRPr="00960A70" w14:paraId="701E7C31" w14:textId="77777777" w:rsidTr="006F7223">
        <w:tc>
          <w:tcPr>
            <w:tcW w:w="561" w:type="dxa"/>
          </w:tcPr>
          <w:p w14:paraId="1278097A" w14:textId="39C69022"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13</w:t>
            </w:r>
          </w:p>
        </w:tc>
        <w:tc>
          <w:tcPr>
            <w:tcW w:w="877" w:type="dxa"/>
          </w:tcPr>
          <w:p w14:paraId="22105075" w14:textId="77777777" w:rsidR="006F7223" w:rsidRPr="00960A70" w:rsidRDefault="006F7223" w:rsidP="007519D9">
            <w:pPr>
              <w:spacing w:line="360" w:lineRule="auto"/>
              <w:jc w:val="both"/>
              <w:rPr>
                <w:rFonts w:ascii="Courier New" w:hAnsi="Courier New" w:cs="Courier New"/>
                <w:bCs/>
                <w:sz w:val="20"/>
                <w:szCs w:val="20"/>
              </w:rPr>
            </w:pPr>
          </w:p>
        </w:tc>
        <w:tc>
          <w:tcPr>
            <w:tcW w:w="6852" w:type="dxa"/>
          </w:tcPr>
          <w:p w14:paraId="66EB68C0" w14:textId="3FD5F2D1" w:rsidR="006F7223" w:rsidRPr="00960A70" w:rsidRDefault="006F722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I want you to remember,</w:t>
            </w:r>
          </w:p>
        </w:tc>
      </w:tr>
    </w:tbl>
    <w:p w14:paraId="5F63747F" w14:textId="77777777" w:rsidR="00C33201" w:rsidRPr="00B67327" w:rsidRDefault="00C33201" w:rsidP="00C33201">
      <w:pPr>
        <w:spacing w:line="360" w:lineRule="auto"/>
        <w:jc w:val="both"/>
        <w:rPr>
          <w:bCs/>
          <w:lang w:val="en-US"/>
        </w:rPr>
      </w:pPr>
    </w:p>
    <w:p w14:paraId="05791AE2" w14:textId="73A51A22" w:rsidR="00C33201" w:rsidRPr="00B67327" w:rsidRDefault="00C33201" w:rsidP="00C33201">
      <w:pPr>
        <w:spacing w:line="360" w:lineRule="auto"/>
        <w:jc w:val="both"/>
        <w:rPr>
          <w:bCs/>
          <w:lang w:val="en-US"/>
        </w:rPr>
      </w:pPr>
      <w:r w:rsidRPr="00B67327">
        <w:rPr>
          <w:bCs/>
          <w:lang w:val="en-US"/>
        </w:rPr>
        <w:t xml:space="preserve">After each response the clinician moves to the next question in the sequence, even when the task is changing (line </w:t>
      </w:r>
      <w:r w:rsidR="00733757" w:rsidRPr="00B67327">
        <w:rPr>
          <w:bCs/>
          <w:lang w:val="en-US"/>
        </w:rPr>
        <w:t>1</w:t>
      </w:r>
      <w:r w:rsidR="00733757">
        <w:rPr>
          <w:bCs/>
          <w:lang w:val="en-US"/>
        </w:rPr>
        <w:t>2</w:t>
      </w:r>
      <w:r w:rsidRPr="00B67327">
        <w:rPr>
          <w:bCs/>
          <w:lang w:val="en-US"/>
        </w:rPr>
        <w:t xml:space="preserve">). </w:t>
      </w:r>
      <w:r w:rsidR="004729D2" w:rsidRPr="00B67327">
        <w:rPr>
          <w:bCs/>
          <w:lang w:val="en-US"/>
        </w:rPr>
        <w:t>Looking across the dataset, t</w:t>
      </w:r>
      <w:r w:rsidRPr="00B67327">
        <w:rPr>
          <w:bCs/>
          <w:lang w:val="en-US"/>
        </w:rPr>
        <w:t xml:space="preserve">his lack of </w:t>
      </w:r>
      <w:r w:rsidR="00710BA7">
        <w:rPr>
          <w:bCs/>
          <w:lang w:val="en-US"/>
        </w:rPr>
        <w:t xml:space="preserve">minimal </w:t>
      </w:r>
      <w:r w:rsidRPr="00B67327">
        <w:rPr>
          <w:bCs/>
          <w:lang w:val="en-US"/>
        </w:rPr>
        <w:t xml:space="preserve">post-expansion is typical when the patient has FCD. However, there is </w:t>
      </w:r>
      <w:r w:rsidR="006053BA">
        <w:rPr>
          <w:bCs/>
          <w:lang w:val="en-US"/>
        </w:rPr>
        <w:t xml:space="preserve">often </w:t>
      </w:r>
      <w:r w:rsidRPr="00B67327">
        <w:rPr>
          <w:bCs/>
          <w:lang w:val="en-US"/>
        </w:rPr>
        <w:t>some ambiguity in the initial question in this section</w:t>
      </w:r>
      <w:r w:rsidR="00077852" w:rsidRPr="00B67327">
        <w:rPr>
          <w:bCs/>
          <w:lang w:val="en-US"/>
        </w:rPr>
        <w:t xml:space="preserve"> </w:t>
      </w:r>
      <w:r w:rsidRPr="00B67327">
        <w:rPr>
          <w:bCs/>
          <w:lang w:val="en-US"/>
        </w:rPr>
        <w:t>“what’s the name of this place?”</w:t>
      </w:r>
      <w:r w:rsidR="00077852" w:rsidRPr="00B67327">
        <w:rPr>
          <w:bCs/>
          <w:lang w:val="en-US"/>
        </w:rPr>
        <w:t xml:space="preserve"> (</w:t>
      </w:r>
      <w:proofErr w:type="gramStart"/>
      <w:r w:rsidR="00077852" w:rsidRPr="00B67327">
        <w:rPr>
          <w:bCs/>
          <w:lang w:val="en-US"/>
        </w:rPr>
        <w:t>line</w:t>
      </w:r>
      <w:proofErr w:type="gramEnd"/>
      <w:r w:rsidR="00077852" w:rsidRPr="00B67327">
        <w:rPr>
          <w:bCs/>
          <w:lang w:val="en-US"/>
        </w:rPr>
        <w:t xml:space="preserve"> 1)</w:t>
      </w:r>
      <w:r w:rsidR="00733757">
        <w:rPr>
          <w:bCs/>
          <w:lang w:val="en-US"/>
        </w:rPr>
        <w:t xml:space="preserve">. As </w:t>
      </w:r>
      <w:proofErr w:type="spellStart"/>
      <w:r w:rsidR="00733757">
        <w:rPr>
          <w:bCs/>
          <w:lang w:val="en-US"/>
        </w:rPr>
        <w:t>Schegloff</w:t>
      </w:r>
      <w:proofErr w:type="spellEnd"/>
      <w:r w:rsidR="00733757">
        <w:rPr>
          <w:bCs/>
          <w:lang w:val="en-US"/>
        </w:rPr>
        <w:t xml:space="preserve"> (1972) shows, a range of possibly correct answers are </w:t>
      </w:r>
      <w:r w:rsidR="002E62A4">
        <w:rPr>
          <w:bCs/>
          <w:lang w:val="en-US"/>
        </w:rPr>
        <w:t>relevant</w:t>
      </w:r>
      <w:r w:rsidR="00733757">
        <w:rPr>
          <w:bCs/>
          <w:lang w:val="en-US"/>
        </w:rPr>
        <w:t xml:space="preserve"> </w:t>
      </w:r>
      <w:r w:rsidR="002E62A4">
        <w:rPr>
          <w:bCs/>
          <w:lang w:val="en-US"/>
        </w:rPr>
        <w:t>in response to</w:t>
      </w:r>
      <w:r w:rsidR="00733757">
        <w:rPr>
          <w:bCs/>
          <w:lang w:val="en-US"/>
        </w:rPr>
        <w:t xml:space="preserve"> such a question (e.g., the specific room, the building, city and so on). I</w:t>
      </w:r>
      <w:r w:rsidR="003D36F3">
        <w:rPr>
          <w:bCs/>
          <w:lang w:val="en-US"/>
        </w:rPr>
        <w:t>n this case the patient responds with</w:t>
      </w:r>
      <w:r w:rsidR="00077852" w:rsidRPr="00B67327">
        <w:rPr>
          <w:bCs/>
          <w:lang w:val="en-US"/>
        </w:rPr>
        <w:t xml:space="preserve"> </w:t>
      </w:r>
      <w:r w:rsidRPr="00B67327">
        <w:rPr>
          <w:bCs/>
          <w:lang w:val="en-US"/>
        </w:rPr>
        <w:t xml:space="preserve">the name of the city (line 2) </w:t>
      </w:r>
      <w:r w:rsidR="00077852" w:rsidRPr="00B67327">
        <w:rPr>
          <w:bCs/>
          <w:lang w:val="en-US"/>
        </w:rPr>
        <w:t xml:space="preserve">(other patients provide </w:t>
      </w:r>
      <w:r w:rsidR="00413F59">
        <w:rPr>
          <w:bCs/>
          <w:lang w:val="en-US"/>
        </w:rPr>
        <w:t xml:space="preserve">alternative place terms including </w:t>
      </w:r>
      <w:r w:rsidR="00077852" w:rsidRPr="00B67327">
        <w:rPr>
          <w:bCs/>
          <w:lang w:val="en-US"/>
        </w:rPr>
        <w:t xml:space="preserve">more </w:t>
      </w:r>
      <w:r w:rsidRPr="00B67327">
        <w:rPr>
          <w:bCs/>
          <w:lang w:val="en-US"/>
        </w:rPr>
        <w:t>generic response</w:t>
      </w:r>
      <w:r w:rsidR="00413F59">
        <w:rPr>
          <w:bCs/>
          <w:lang w:val="en-US"/>
        </w:rPr>
        <w:t>s</w:t>
      </w:r>
      <w:r w:rsidRPr="00B67327">
        <w:rPr>
          <w:bCs/>
          <w:lang w:val="en-US"/>
        </w:rPr>
        <w:t xml:space="preserve"> such as “a hospital”</w:t>
      </w:r>
      <w:r w:rsidR="00077852" w:rsidRPr="00B67327">
        <w:rPr>
          <w:bCs/>
          <w:lang w:val="en-US"/>
        </w:rPr>
        <w:t>)</w:t>
      </w:r>
      <w:r w:rsidR="00733757">
        <w:rPr>
          <w:bCs/>
          <w:lang w:val="en-US"/>
        </w:rPr>
        <w:t xml:space="preserve">. </w:t>
      </w:r>
      <w:r w:rsidRPr="00B67327">
        <w:rPr>
          <w:bCs/>
          <w:lang w:val="en-US"/>
        </w:rPr>
        <w:t xml:space="preserve">The test is here seeking the name of the specific hospital as the ‘correct’ response and therefore, in the </w:t>
      </w:r>
      <w:proofErr w:type="gramStart"/>
      <w:r w:rsidRPr="00B67327">
        <w:rPr>
          <w:bCs/>
          <w:lang w:val="en-US"/>
        </w:rPr>
        <w:t>third-</w:t>
      </w:r>
      <w:r w:rsidR="001C0BDB">
        <w:rPr>
          <w:bCs/>
          <w:lang w:val="en-US"/>
        </w:rPr>
        <w:t>turn</w:t>
      </w:r>
      <w:proofErr w:type="gramEnd"/>
      <w:r w:rsidRPr="00B67327">
        <w:rPr>
          <w:bCs/>
          <w:lang w:val="en-US"/>
        </w:rPr>
        <w:t xml:space="preserve"> (line </w:t>
      </w:r>
      <w:r w:rsidR="00910132">
        <w:rPr>
          <w:bCs/>
          <w:lang w:val="en-US"/>
        </w:rPr>
        <w:t>4</w:t>
      </w:r>
      <w:r w:rsidRPr="00B67327">
        <w:rPr>
          <w:bCs/>
          <w:lang w:val="en-US"/>
        </w:rPr>
        <w:t xml:space="preserve">), the clinician </w:t>
      </w:r>
      <w:r w:rsidR="001C0BDB" w:rsidRPr="00B67327">
        <w:rPr>
          <w:bCs/>
          <w:lang w:val="en-US"/>
        </w:rPr>
        <w:t>re</w:t>
      </w:r>
      <w:r w:rsidR="001C0BDB">
        <w:rPr>
          <w:bCs/>
          <w:lang w:val="en-US"/>
        </w:rPr>
        <w:t>pairs</w:t>
      </w:r>
      <w:r w:rsidR="001C0BDB" w:rsidRPr="00B67327">
        <w:rPr>
          <w:bCs/>
          <w:lang w:val="en-US"/>
        </w:rPr>
        <w:t xml:space="preserve"> </w:t>
      </w:r>
      <w:r w:rsidRPr="00B67327">
        <w:rPr>
          <w:bCs/>
          <w:lang w:val="en-US"/>
        </w:rPr>
        <w:t>her question to be more specific, “the name of the specific building</w:t>
      </w:r>
      <w:r w:rsidR="001C0BDB">
        <w:rPr>
          <w:bCs/>
          <w:lang w:val="en-US"/>
        </w:rPr>
        <w:t xml:space="preserve">”. Although this is not prefaced by an explicit marker of repair, for example “I mean” (see </w:t>
      </w:r>
      <w:proofErr w:type="spellStart"/>
      <w:r w:rsidR="001C0BDB">
        <w:rPr>
          <w:bCs/>
          <w:lang w:val="en-US"/>
        </w:rPr>
        <w:t>Schegloff</w:t>
      </w:r>
      <w:proofErr w:type="spellEnd"/>
      <w:r w:rsidR="001C0BDB">
        <w:rPr>
          <w:bCs/>
          <w:lang w:val="en-US"/>
        </w:rPr>
        <w:t xml:space="preserve">, 1992), </w:t>
      </w:r>
      <w:r w:rsidR="00A16DBC">
        <w:rPr>
          <w:bCs/>
          <w:lang w:val="en-US"/>
        </w:rPr>
        <w:t>following a</w:t>
      </w:r>
      <w:r w:rsidR="00910132">
        <w:rPr>
          <w:bCs/>
          <w:lang w:val="en-US"/>
        </w:rPr>
        <w:t xml:space="preserve"> gap (line 3) and</w:t>
      </w:r>
      <w:r w:rsidR="00A16DBC">
        <w:rPr>
          <w:bCs/>
          <w:lang w:val="en-US"/>
        </w:rPr>
        <w:t xml:space="preserve"> turn-initial de</w:t>
      </w:r>
      <w:r w:rsidR="003D36F3">
        <w:rPr>
          <w:bCs/>
          <w:lang w:val="en-US"/>
        </w:rPr>
        <w:t>lay</w:t>
      </w:r>
      <w:r w:rsidR="00A16DBC">
        <w:rPr>
          <w:bCs/>
          <w:lang w:val="en-US"/>
        </w:rPr>
        <w:t xml:space="preserve"> </w:t>
      </w:r>
      <w:r w:rsidR="001C0BDB">
        <w:rPr>
          <w:bCs/>
          <w:lang w:val="en-US"/>
        </w:rPr>
        <w:t xml:space="preserve">the clinician partially repeats her prior turn (“the name of the”) before replacing the </w:t>
      </w:r>
      <w:r w:rsidR="001C0BDB">
        <w:rPr>
          <w:bCs/>
          <w:lang w:val="en-US"/>
        </w:rPr>
        <w:lastRenderedPageBreak/>
        <w:t xml:space="preserve">ambiguous </w:t>
      </w:r>
      <w:r w:rsidR="00710BA7">
        <w:rPr>
          <w:bCs/>
          <w:lang w:val="en-US"/>
        </w:rPr>
        <w:t>term</w:t>
      </w:r>
      <w:r w:rsidR="001C0BDB">
        <w:rPr>
          <w:bCs/>
          <w:lang w:val="en-US"/>
        </w:rPr>
        <w:t xml:space="preserve">, “place” with the more </w:t>
      </w:r>
      <w:r w:rsidR="003D36F3">
        <w:rPr>
          <w:bCs/>
          <w:lang w:val="en-US"/>
        </w:rPr>
        <w:t>particular</w:t>
      </w:r>
      <w:r w:rsidR="001C0BDB">
        <w:rPr>
          <w:bCs/>
          <w:lang w:val="en-US"/>
        </w:rPr>
        <w:t xml:space="preserve"> location</w:t>
      </w:r>
      <w:r w:rsidR="003D36F3">
        <w:rPr>
          <w:bCs/>
          <w:lang w:val="en-US"/>
        </w:rPr>
        <w:t>al formulation</w:t>
      </w:r>
      <w:r w:rsidR="001C0BDB">
        <w:rPr>
          <w:bCs/>
          <w:lang w:val="en-US"/>
        </w:rPr>
        <w:t>, “this building”. This attends to the lack of specificity inherent in the initial question as required by the question on the test papers</w:t>
      </w:r>
      <w:r w:rsidR="00733757">
        <w:rPr>
          <w:bCs/>
          <w:lang w:val="en-US"/>
        </w:rPr>
        <w:t>. That is,</w:t>
      </w:r>
      <w:r w:rsidR="001C0BDB">
        <w:rPr>
          <w:bCs/>
          <w:lang w:val="en-US"/>
        </w:rPr>
        <w:t xml:space="preserve"> </w:t>
      </w:r>
      <w:proofErr w:type="gramStart"/>
      <w:r w:rsidR="001C0BDB">
        <w:rPr>
          <w:bCs/>
          <w:lang w:val="en-US"/>
        </w:rPr>
        <w:t>in order to</w:t>
      </w:r>
      <w:proofErr w:type="gramEnd"/>
      <w:r w:rsidR="001C0BDB">
        <w:rPr>
          <w:bCs/>
          <w:lang w:val="en-US"/>
        </w:rPr>
        <w:t xml:space="preserve"> gain a point on the test the patient needs to produce the name of the building </w:t>
      </w:r>
      <w:r w:rsidR="00733757">
        <w:rPr>
          <w:bCs/>
          <w:lang w:val="en-US"/>
        </w:rPr>
        <w:t xml:space="preserve">in response to </w:t>
      </w:r>
      <w:r w:rsidR="001C0BDB">
        <w:rPr>
          <w:bCs/>
          <w:lang w:val="en-US"/>
        </w:rPr>
        <w:t xml:space="preserve">this question. </w:t>
      </w:r>
      <w:r w:rsidR="00F54819">
        <w:rPr>
          <w:bCs/>
          <w:lang w:val="en-US"/>
        </w:rPr>
        <w:t>Following the reformulated question, t</w:t>
      </w:r>
      <w:r w:rsidRPr="00B67327">
        <w:rPr>
          <w:bCs/>
          <w:lang w:val="en-US"/>
        </w:rPr>
        <w:t>he patient does produce the required response</w:t>
      </w:r>
      <w:r w:rsidR="001C0BDB">
        <w:rPr>
          <w:bCs/>
          <w:lang w:val="en-US"/>
        </w:rPr>
        <w:t xml:space="preserve"> (line </w:t>
      </w:r>
      <w:r w:rsidR="00910132">
        <w:rPr>
          <w:bCs/>
          <w:lang w:val="en-US"/>
        </w:rPr>
        <w:t>5</w:t>
      </w:r>
      <w:r w:rsidR="001C0BDB">
        <w:rPr>
          <w:bCs/>
          <w:lang w:val="en-US"/>
        </w:rPr>
        <w:t>)</w:t>
      </w:r>
      <w:r w:rsidRPr="00B67327">
        <w:rPr>
          <w:bCs/>
          <w:lang w:val="en-US"/>
        </w:rPr>
        <w:t xml:space="preserve"> and the clinician moves on with no further elaboration or acknowledgment.  The next extract is very similar, in that the initial question requires some revision. However, in this extract (10), the clinician acknowledges the end of the task sequence before moving to a new activity (“Good” – line 13). </w:t>
      </w:r>
    </w:p>
    <w:p w14:paraId="1209156A" w14:textId="77777777" w:rsidR="00C33201" w:rsidRPr="00B67327" w:rsidRDefault="00C33201" w:rsidP="00C33201">
      <w:pPr>
        <w:spacing w:line="360" w:lineRule="auto"/>
        <w:jc w:val="both"/>
        <w:rPr>
          <w:bCs/>
          <w:lang w:val="en-US"/>
        </w:rPr>
      </w:pPr>
    </w:p>
    <w:p w14:paraId="018737A9" w14:textId="4E83ECB4" w:rsidR="00C33201" w:rsidRDefault="00C33201" w:rsidP="00C33201">
      <w:pPr>
        <w:spacing w:line="360" w:lineRule="auto"/>
        <w:jc w:val="both"/>
        <w:rPr>
          <w:bCs/>
        </w:rPr>
      </w:pPr>
      <w:r w:rsidRPr="00B67327">
        <w:rPr>
          <w:bCs/>
        </w:rPr>
        <w:t xml:space="preserve">Extract 10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35057D" w:rsidRPr="00960A70" w14:paraId="76AC977E" w14:textId="77777777" w:rsidTr="00951195">
        <w:tc>
          <w:tcPr>
            <w:tcW w:w="561" w:type="dxa"/>
          </w:tcPr>
          <w:p w14:paraId="02D00204"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00EA141F" w14:textId="3783E296"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2F129360" w14:textId="610A28E6"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What b</w:t>
            </w:r>
            <w:r w:rsidRPr="00960A70">
              <w:rPr>
                <w:rFonts w:ascii="Courier New" w:hAnsi="Courier New" w:cs="Courier New"/>
                <w:bCs/>
                <w:sz w:val="20"/>
                <w:szCs w:val="20"/>
                <w:u w:val="single"/>
              </w:rPr>
              <w:t>uil</w:t>
            </w:r>
            <w:r w:rsidRPr="00960A70">
              <w:rPr>
                <w:rFonts w:ascii="Courier New" w:hAnsi="Courier New" w:cs="Courier New"/>
                <w:bCs/>
                <w:sz w:val="20"/>
                <w:szCs w:val="20"/>
              </w:rPr>
              <w:t xml:space="preserve">ding are we </w:t>
            </w:r>
            <w:proofErr w:type="gramStart"/>
            <w:r w:rsidRPr="00960A70">
              <w:rPr>
                <w:rFonts w:ascii="Courier New" w:hAnsi="Courier New" w:cs="Courier New"/>
                <w:bCs/>
                <w:sz w:val="20"/>
                <w:szCs w:val="20"/>
              </w:rPr>
              <w:t>in,</w:t>
            </w:r>
            <w:proofErr w:type="gramEnd"/>
          </w:p>
        </w:tc>
      </w:tr>
      <w:tr w:rsidR="0035057D" w:rsidRPr="00960A70" w14:paraId="4EF43846" w14:textId="77777777" w:rsidTr="00951195">
        <w:tc>
          <w:tcPr>
            <w:tcW w:w="561" w:type="dxa"/>
          </w:tcPr>
          <w:p w14:paraId="563CB0B9"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715499AC" w14:textId="528E4505"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55984DF9" w14:textId="04AF995B"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Hospital.</w:t>
            </w:r>
          </w:p>
        </w:tc>
      </w:tr>
      <w:tr w:rsidR="0035057D" w:rsidRPr="00960A70" w14:paraId="3F444311" w14:textId="77777777" w:rsidTr="00951195">
        <w:tc>
          <w:tcPr>
            <w:tcW w:w="561" w:type="dxa"/>
          </w:tcPr>
          <w:p w14:paraId="0A1FC813"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004B30F0" w14:textId="7667879A"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5FA104DC" w14:textId="31D0AC68" w:rsidR="0035057D" w:rsidRPr="00960A70" w:rsidRDefault="0035057D" w:rsidP="007519D9">
            <w:pPr>
              <w:spacing w:line="360" w:lineRule="auto"/>
              <w:rPr>
                <w:rFonts w:ascii="Courier New" w:hAnsi="Courier New" w:cs="Courier New"/>
                <w:sz w:val="20"/>
                <w:szCs w:val="20"/>
              </w:rPr>
            </w:pPr>
            <w:r w:rsidRPr="00960A70">
              <w:rPr>
                <w:rFonts w:ascii="Courier New" w:hAnsi="Courier New" w:cs="Courier New"/>
                <w:bCs/>
                <w:sz w:val="20"/>
                <w:szCs w:val="20"/>
              </w:rPr>
              <w:t xml:space="preserve">What’s the </w:t>
            </w:r>
            <w:proofErr w:type="spellStart"/>
            <w:r w:rsidRPr="00960A70">
              <w:rPr>
                <w:rFonts w:ascii="Courier New" w:hAnsi="Courier New" w:cs="Courier New"/>
                <w:bCs/>
                <w:sz w:val="20"/>
                <w:szCs w:val="20"/>
              </w:rPr>
              <w:t>n</w:t>
            </w:r>
            <w:r w:rsidRPr="00960A70">
              <w:rPr>
                <w:rFonts w:ascii="Courier New" w:hAnsi="Courier New" w:cs="Courier New"/>
                <w:bCs/>
                <w:sz w:val="20"/>
                <w:szCs w:val="20"/>
                <w:u w:val="single"/>
              </w:rPr>
              <w:t>a:</w:t>
            </w:r>
            <w:r w:rsidRPr="00960A70">
              <w:rPr>
                <w:rFonts w:ascii="Courier New" w:hAnsi="Courier New" w:cs="Courier New"/>
                <w:bCs/>
                <w:sz w:val="20"/>
                <w:szCs w:val="20"/>
              </w:rPr>
              <w:t>me</w:t>
            </w:r>
            <w:proofErr w:type="spellEnd"/>
            <w:r w:rsidRPr="00960A70">
              <w:rPr>
                <w:rFonts w:ascii="Courier New" w:hAnsi="Courier New" w:cs="Courier New"/>
                <w:bCs/>
                <w:sz w:val="20"/>
                <w:szCs w:val="20"/>
              </w:rPr>
              <w:t xml:space="preserve"> of the hospital,</w:t>
            </w:r>
          </w:p>
        </w:tc>
      </w:tr>
      <w:tr w:rsidR="0035057D" w:rsidRPr="00960A70" w14:paraId="2BA0958C" w14:textId="77777777" w:rsidTr="00951195">
        <w:tc>
          <w:tcPr>
            <w:tcW w:w="561" w:type="dxa"/>
          </w:tcPr>
          <w:p w14:paraId="38CDAE8E"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45AE4D16" w14:textId="38D050B9"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AD0141E" w14:textId="4C26C603" w:rsidR="0035057D" w:rsidRPr="00960A70" w:rsidRDefault="0035057D" w:rsidP="007519D9">
            <w:pPr>
              <w:spacing w:line="360" w:lineRule="auto"/>
              <w:rPr>
                <w:rFonts w:ascii="Courier New" w:hAnsi="Courier New" w:cs="Courier New"/>
                <w:sz w:val="20"/>
                <w:szCs w:val="20"/>
              </w:rPr>
            </w:pPr>
            <w:r w:rsidRPr="00960A70">
              <w:rPr>
                <w:rFonts w:ascii="Courier New" w:hAnsi="Courier New" w:cs="Courier New"/>
                <w:sz w:val="20"/>
                <w:szCs w:val="20"/>
              </w:rPr>
              <w:t>(Hospital name)</w:t>
            </w:r>
          </w:p>
        </w:tc>
      </w:tr>
      <w:tr w:rsidR="0035057D" w:rsidRPr="00960A70" w14:paraId="0F538C94" w14:textId="77777777" w:rsidTr="00951195">
        <w:tc>
          <w:tcPr>
            <w:tcW w:w="561" w:type="dxa"/>
          </w:tcPr>
          <w:p w14:paraId="4A95DCBF"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724270C3" w14:textId="5199C79C"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79ECDFD3" w14:textId="58FBB661" w:rsidR="0035057D" w:rsidRPr="00960A70" w:rsidRDefault="0035057D" w:rsidP="007519D9">
            <w:pPr>
              <w:spacing w:line="360" w:lineRule="auto"/>
              <w:rPr>
                <w:rFonts w:ascii="Courier New" w:hAnsi="Courier New" w:cs="Courier New"/>
                <w:sz w:val="20"/>
                <w:szCs w:val="20"/>
              </w:rPr>
            </w:pPr>
            <w:r w:rsidRPr="00960A70">
              <w:rPr>
                <w:rFonts w:ascii="Courier New" w:hAnsi="Courier New" w:cs="Courier New"/>
                <w:bCs/>
                <w:sz w:val="20"/>
                <w:szCs w:val="20"/>
              </w:rPr>
              <w:t>And what f</w:t>
            </w:r>
            <w:r w:rsidRPr="00960A70">
              <w:rPr>
                <w:rFonts w:ascii="Courier New" w:hAnsi="Courier New" w:cs="Courier New"/>
                <w:bCs/>
                <w:sz w:val="20"/>
                <w:szCs w:val="20"/>
                <w:u w:val="single"/>
              </w:rPr>
              <w:t>lo</w:t>
            </w:r>
            <w:r w:rsidRPr="00960A70">
              <w:rPr>
                <w:rFonts w:ascii="Courier New" w:hAnsi="Courier New" w:cs="Courier New"/>
                <w:bCs/>
                <w:sz w:val="20"/>
                <w:szCs w:val="20"/>
              </w:rPr>
              <w:t>or are we on,</w:t>
            </w:r>
          </w:p>
        </w:tc>
      </w:tr>
      <w:tr w:rsidR="0035057D" w:rsidRPr="00960A70" w14:paraId="2377F2E7" w14:textId="77777777" w:rsidTr="00951195">
        <w:tc>
          <w:tcPr>
            <w:tcW w:w="561" w:type="dxa"/>
          </w:tcPr>
          <w:p w14:paraId="1344C509"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5047B7BF" w14:textId="7823FF45"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6A60ED2E" w14:textId="547C100A"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(Floor letter).</w:t>
            </w:r>
          </w:p>
        </w:tc>
      </w:tr>
      <w:tr w:rsidR="0035057D" w:rsidRPr="00960A70" w14:paraId="30581592" w14:textId="77777777" w:rsidTr="00951195">
        <w:tc>
          <w:tcPr>
            <w:tcW w:w="561" w:type="dxa"/>
          </w:tcPr>
          <w:p w14:paraId="4BAE3EB1"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76A7DDAB" w14:textId="24132E51"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20EFF35E" w14:textId="2A2D58B2"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what town,</w:t>
            </w:r>
          </w:p>
        </w:tc>
      </w:tr>
      <w:tr w:rsidR="0035057D" w:rsidRPr="00960A70" w14:paraId="2061C7AE" w14:textId="77777777" w:rsidTr="00951195">
        <w:tc>
          <w:tcPr>
            <w:tcW w:w="561" w:type="dxa"/>
          </w:tcPr>
          <w:p w14:paraId="3E405343"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44C70748" w14:textId="2F042E9A"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226F3C1C" w14:textId="73690489"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(City name)</w:t>
            </w:r>
          </w:p>
        </w:tc>
      </w:tr>
      <w:tr w:rsidR="0035057D" w:rsidRPr="00960A70" w14:paraId="130777B6" w14:textId="77777777" w:rsidTr="00951195">
        <w:tc>
          <w:tcPr>
            <w:tcW w:w="561" w:type="dxa"/>
          </w:tcPr>
          <w:p w14:paraId="623618F4"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50683210" w14:textId="3D268A64"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48557F75" w14:textId="08D46DDA"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the c</w:t>
            </w:r>
            <w:r w:rsidRPr="00960A70">
              <w:rPr>
                <w:rFonts w:ascii="Courier New" w:hAnsi="Courier New" w:cs="Courier New"/>
                <w:bCs/>
                <w:sz w:val="20"/>
                <w:szCs w:val="20"/>
                <w:u w:val="single"/>
              </w:rPr>
              <w:t>ou</w:t>
            </w:r>
            <w:r w:rsidRPr="00960A70">
              <w:rPr>
                <w:rFonts w:ascii="Courier New" w:hAnsi="Courier New" w:cs="Courier New"/>
                <w:bCs/>
                <w:sz w:val="20"/>
                <w:szCs w:val="20"/>
              </w:rPr>
              <w:t>nty,</w:t>
            </w:r>
          </w:p>
        </w:tc>
      </w:tr>
      <w:tr w:rsidR="0035057D" w:rsidRPr="00960A70" w14:paraId="10C57663" w14:textId="77777777" w:rsidTr="00951195">
        <w:tc>
          <w:tcPr>
            <w:tcW w:w="561" w:type="dxa"/>
          </w:tcPr>
          <w:p w14:paraId="20882A2E"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22C6EEDE" w14:textId="3F82FEBC"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4C6916A" w14:textId="7772A051"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(County name).</w:t>
            </w:r>
          </w:p>
        </w:tc>
      </w:tr>
      <w:tr w:rsidR="0035057D" w:rsidRPr="00960A70" w14:paraId="6FD4988E" w14:textId="77777777" w:rsidTr="00951195">
        <w:tc>
          <w:tcPr>
            <w:tcW w:w="561" w:type="dxa"/>
          </w:tcPr>
          <w:p w14:paraId="025B7681"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11</w:t>
            </w:r>
          </w:p>
        </w:tc>
        <w:tc>
          <w:tcPr>
            <w:tcW w:w="877" w:type="dxa"/>
          </w:tcPr>
          <w:p w14:paraId="09DDF1BB" w14:textId="5042C76E"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228F55A0" w14:textId="6D4827C8"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And the country,</w:t>
            </w:r>
          </w:p>
        </w:tc>
      </w:tr>
      <w:tr w:rsidR="0035057D" w:rsidRPr="00960A70" w14:paraId="1AC5388E" w14:textId="77777777" w:rsidTr="00951195">
        <w:tc>
          <w:tcPr>
            <w:tcW w:w="561" w:type="dxa"/>
          </w:tcPr>
          <w:p w14:paraId="49ED6E71"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12</w:t>
            </w:r>
          </w:p>
        </w:tc>
        <w:tc>
          <w:tcPr>
            <w:tcW w:w="877" w:type="dxa"/>
          </w:tcPr>
          <w:p w14:paraId="34B2C808" w14:textId="54E905F7"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9B0B2B9" w14:textId="32C609DD"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England.</w:t>
            </w:r>
          </w:p>
        </w:tc>
      </w:tr>
      <w:tr w:rsidR="0035057D" w:rsidRPr="00960A70" w14:paraId="10B87F5C" w14:textId="77777777" w:rsidTr="00951195">
        <w:tc>
          <w:tcPr>
            <w:tcW w:w="561" w:type="dxa"/>
          </w:tcPr>
          <w:p w14:paraId="1B174ECB" w14:textId="77777777" w:rsidR="0035057D" w:rsidRPr="00960A70" w:rsidRDefault="0035057D"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13</w:t>
            </w:r>
          </w:p>
        </w:tc>
        <w:tc>
          <w:tcPr>
            <w:tcW w:w="877" w:type="dxa"/>
          </w:tcPr>
          <w:p w14:paraId="683685DB" w14:textId="55E7C49C"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0EBA00AC" w14:textId="25555526" w:rsidR="0035057D"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Good.</w:t>
            </w:r>
          </w:p>
        </w:tc>
      </w:tr>
      <w:tr w:rsidR="00951195" w:rsidRPr="00960A70" w14:paraId="4CC86304" w14:textId="77777777" w:rsidTr="00951195">
        <w:tc>
          <w:tcPr>
            <w:tcW w:w="561" w:type="dxa"/>
          </w:tcPr>
          <w:p w14:paraId="3981B913" w14:textId="3FFCC46F"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14</w:t>
            </w:r>
          </w:p>
        </w:tc>
        <w:tc>
          <w:tcPr>
            <w:tcW w:w="877" w:type="dxa"/>
          </w:tcPr>
          <w:p w14:paraId="40A5DCCD" w14:textId="77777777" w:rsidR="00951195" w:rsidRPr="00960A70" w:rsidRDefault="00951195" w:rsidP="007519D9">
            <w:pPr>
              <w:spacing w:line="360" w:lineRule="auto"/>
              <w:jc w:val="both"/>
              <w:rPr>
                <w:rFonts w:ascii="Courier New" w:hAnsi="Courier New" w:cs="Courier New"/>
                <w:bCs/>
                <w:sz w:val="20"/>
                <w:szCs w:val="20"/>
              </w:rPr>
            </w:pPr>
          </w:p>
        </w:tc>
        <w:tc>
          <w:tcPr>
            <w:tcW w:w="6852" w:type="dxa"/>
          </w:tcPr>
          <w:p w14:paraId="36148894" w14:textId="460C6FA8"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r>
      <w:tr w:rsidR="00951195" w:rsidRPr="00960A70" w14:paraId="6CDB9BF8" w14:textId="77777777" w:rsidTr="00951195">
        <w:tc>
          <w:tcPr>
            <w:tcW w:w="561" w:type="dxa"/>
          </w:tcPr>
          <w:p w14:paraId="079EA102" w14:textId="7263D96F"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15</w:t>
            </w:r>
          </w:p>
        </w:tc>
        <w:tc>
          <w:tcPr>
            <w:tcW w:w="877" w:type="dxa"/>
          </w:tcPr>
          <w:p w14:paraId="6B937435" w14:textId="18BDBE8D"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852" w:type="dxa"/>
          </w:tcPr>
          <w:p w14:paraId="12DE1516" w14:textId="7CC38D86"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&gt;Now I’m g-&lt; I’m going to ask you to repeat t</w:t>
            </w:r>
            <w:r w:rsidRPr="00960A70">
              <w:rPr>
                <w:rFonts w:ascii="Courier New" w:hAnsi="Courier New" w:cs="Courier New"/>
                <w:bCs/>
                <w:sz w:val="20"/>
                <w:szCs w:val="20"/>
                <w:u w:val="single"/>
              </w:rPr>
              <w:t>hr</w:t>
            </w:r>
            <w:r w:rsidRPr="00960A70">
              <w:rPr>
                <w:rFonts w:ascii="Courier New" w:hAnsi="Courier New" w:cs="Courier New"/>
                <w:bCs/>
                <w:sz w:val="20"/>
                <w:szCs w:val="20"/>
              </w:rPr>
              <w:t>ee words…</w:t>
            </w:r>
          </w:p>
        </w:tc>
      </w:tr>
    </w:tbl>
    <w:p w14:paraId="4FED482E" w14:textId="77777777" w:rsidR="00C33201" w:rsidRPr="00B67327" w:rsidRDefault="00C33201" w:rsidP="00C33201">
      <w:pPr>
        <w:spacing w:line="360" w:lineRule="auto"/>
        <w:jc w:val="both"/>
        <w:rPr>
          <w:bCs/>
          <w:lang w:val="en-US"/>
        </w:rPr>
      </w:pPr>
    </w:p>
    <w:p w14:paraId="5CF6E832" w14:textId="64611816" w:rsidR="00C33201" w:rsidRPr="00B67327" w:rsidRDefault="00C33201" w:rsidP="00C33201">
      <w:pPr>
        <w:spacing w:line="360" w:lineRule="auto"/>
        <w:jc w:val="both"/>
        <w:rPr>
          <w:bCs/>
        </w:rPr>
      </w:pPr>
      <w:r w:rsidRPr="00B67327">
        <w:rPr>
          <w:bCs/>
          <w:lang w:val="en-US"/>
        </w:rPr>
        <w:t>The clinician’s initial question here is a little more constrained than in extract 9, asking, “what building are we in?” (</w:t>
      </w:r>
      <w:proofErr w:type="gramStart"/>
      <w:r w:rsidRPr="00B67327">
        <w:rPr>
          <w:bCs/>
          <w:lang w:val="en-US"/>
        </w:rPr>
        <w:t>extract</w:t>
      </w:r>
      <w:proofErr w:type="gramEnd"/>
      <w:r w:rsidRPr="00B67327">
        <w:rPr>
          <w:bCs/>
          <w:lang w:val="en-US"/>
        </w:rPr>
        <w:t xml:space="preserve"> 10, line 1). Despite needing to identify a “building” (extract 10) instead of a “place” (extract 9), the patient does not respond with the name of the hospital but labels the type of building, i.e.</w:t>
      </w:r>
      <w:r w:rsidR="00F54819">
        <w:rPr>
          <w:bCs/>
          <w:lang w:val="en-US"/>
        </w:rPr>
        <w:t>,</w:t>
      </w:r>
      <w:r w:rsidRPr="00B67327">
        <w:rPr>
          <w:bCs/>
          <w:lang w:val="en-US"/>
        </w:rPr>
        <w:t xml:space="preserve"> a “hospital” (line 2). Again</w:t>
      </w:r>
      <w:r w:rsidR="00077852" w:rsidRPr="00B67327">
        <w:rPr>
          <w:bCs/>
          <w:lang w:val="en-US"/>
        </w:rPr>
        <w:t>,</w:t>
      </w:r>
      <w:r w:rsidRPr="00B67327">
        <w:rPr>
          <w:bCs/>
          <w:lang w:val="en-US"/>
        </w:rPr>
        <w:t xml:space="preserve"> the clinician</w:t>
      </w:r>
      <w:r w:rsidR="00AF5055">
        <w:rPr>
          <w:bCs/>
          <w:lang w:val="en-US"/>
        </w:rPr>
        <w:t xml:space="preserve"> attends to the test requirements for a more specific locational formulation </w:t>
      </w:r>
      <w:r w:rsidRPr="00B67327">
        <w:rPr>
          <w:bCs/>
          <w:lang w:val="en-US"/>
        </w:rPr>
        <w:t>by asking the patient “</w:t>
      </w:r>
      <w:r w:rsidRPr="00B67327">
        <w:rPr>
          <w:bCs/>
        </w:rPr>
        <w:t>What’s the name of the hospital” (line 3)</w:t>
      </w:r>
      <w:r w:rsidR="005D4DD3">
        <w:rPr>
          <w:bCs/>
        </w:rPr>
        <w:t xml:space="preserve">. Although this may not be interactionally salient to the patient, analysing the data in relation to the external requirements of a standardised test reveals the clinician’s orientation to be more specific. Reformulating the question enables the patient to produce the ‘correct’ </w:t>
      </w:r>
      <w:r w:rsidR="005D4DD3">
        <w:rPr>
          <w:bCs/>
        </w:rPr>
        <w:lastRenderedPageBreak/>
        <w:t xml:space="preserve">locational formulation to gain a point on the test. </w:t>
      </w:r>
      <w:r w:rsidRPr="00B67327">
        <w:rPr>
          <w:bCs/>
        </w:rPr>
        <w:t xml:space="preserve">As noted, this question appears to be a source of troubles in many of the interactions we have examined, suggesting a need for further advice to clinicians regarding the specificities of this question. In this case, the patient </w:t>
      </w:r>
      <w:r w:rsidR="00177079">
        <w:rPr>
          <w:bCs/>
        </w:rPr>
        <w:t xml:space="preserve">continues to </w:t>
      </w:r>
      <w:r w:rsidRPr="00B67327">
        <w:rPr>
          <w:bCs/>
        </w:rPr>
        <w:t>produce the required response (line 4) and the clinician moves forward</w:t>
      </w:r>
      <w:r w:rsidR="00F54819">
        <w:rPr>
          <w:bCs/>
        </w:rPr>
        <w:t>, notably using and-prefaced questions</w:t>
      </w:r>
      <w:r w:rsidR="008D357C">
        <w:rPr>
          <w:bCs/>
        </w:rPr>
        <w:t xml:space="preserve"> (Heritage and </w:t>
      </w:r>
      <w:proofErr w:type="spellStart"/>
      <w:r w:rsidR="008D357C">
        <w:rPr>
          <w:bCs/>
        </w:rPr>
        <w:t>Sorjonen</w:t>
      </w:r>
      <w:proofErr w:type="spellEnd"/>
      <w:r w:rsidR="008D357C">
        <w:rPr>
          <w:bCs/>
        </w:rPr>
        <w:t>, 1994)</w:t>
      </w:r>
      <w:r w:rsidR="00F54819">
        <w:rPr>
          <w:bCs/>
        </w:rPr>
        <w:t>, which was not a feature of the revised question at line 3</w:t>
      </w:r>
      <w:r w:rsidR="00AB2DAF">
        <w:rPr>
          <w:bCs/>
        </w:rPr>
        <w:t>. This</w:t>
      </w:r>
      <w:r w:rsidR="00F54819">
        <w:rPr>
          <w:bCs/>
        </w:rPr>
        <w:t xml:space="preserve"> further suggest</w:t>
      </w:r>
      <w:r w:rsidR="00AB2DAF">
        <w:rPr>
          <w:bCs/>
        </w:rPr>
        <w:t>s</w:t>
      </w:r>
      <w:r w:rsidR="00F54819">
        <w:rPr>
          <w:bCs/>
        </w:rPr>
        <w:t xml:space="preserve"> that</w:t>
      </w:r>
      <w:r w:rsidR="00AB2DAF">
        <w:rPr>
          <w:bCs/>
        </w:rPr>
        <w:t xml:space="preserve"> the</w:t>
      </w:r>
      <w:r w:rsidR="00F54819">
        <w:rPr>
          <w:bCs/>
        </w:rPr>
        <w:t xml:space="preserve"> </w:t>
      </w:r>
      <w:r w:rsidR="00AB2DAF">
        <w:rPr>
          <w:bCs/>
        </w:rPr>
        <w:t xml:space="preserve">question at line 3 </w:t>
      </w:r>
      <w:r w:rsidR="00F54819">
        <w:rPr>
          <w:bCs/>
        </w:rPr>
        <w:t>was not the next in a sequence of questions</w:t>
      </w:r>
      <w:r w:rsidR="00AB2DAF">
        <w:rPr>
          <w:bCs/>
        </w:rPr>
        <w:t>, but rather, a clarification of the earlier question</w:t>
      </w:r>
      <w:r w:rsidR="00F54819">
        <w:rPr>
          <w:bCs/>
        </w:rPr>
        <w:t xml:space="preserve">. </w:t>
      </w:r>
      <w:r w:rsidRPr="00B67327">
        <w:rPr>
          <w:bCs/>
        </w:rPr>
        <w:t xml:space="preserve"> </w:t>
      </w:r>
      <w:r w:rsidR="008D357C">
        <w:rPr>
          <w:bCs/>
        </w:rPr>
        <w:t>There is no</w:t>
      </w:r>
      <w:r w:rsidR="008D357C" w:rsidRPr="00B67327">
        <w:rPr>
          <w:bCs/>
        </w:rPr>
        <w:t xml:space="preserve"> </w:t>
      </w:r>
      <w:r w:rsidRPr="00B67327">
        <w:rPr>
          <w:bCs/>
        </w:rPr>
        <w:t xml:space="preserve">overt </w:t>
      </w:r>
      <w:r w:rsidR="008D357C" w:rsidRPr="00B67327">
        <w:rPr>
          <w:bCs/>
        </w:rPr>
        <w:t>acknowledg</w:t>
      </w:r>
      <w:r w:rsidR="008D357C">
        <w:rPr>
          <w:bCs/>
        </w:rPr>
        <w:t>ment of the patient’s</w:t>
      </w:r>
      <w:r w:rsidR="008D357C" w:rsidRPr="00B67327">
        <w:rPr>
          <w:bCs/>
        </w:rPr>
        <w:t xml:space="preserve"> </w:t>
      </w:r>
      <w:r w:rsidRPr="00B67327">
        <w:rPr>
          <w:bCs/>
        </w:rPr>
        <w:t xml:space="preserve">responses until the end of the task sequence - “Good” (line 13). This minimal post-expansion is designed to close the prior sequence, before initiating the next (Beach, 1993; </w:t>
      </w:r>
      <w:proofErr w:type="spellStart"/>
      <w:r w:rsidRPr="00B67327">
        <w:rPr>
          <w:bCs/>
        </w:rPr>
        <w:t>Schegloff</w:t>
      </w:r>
      <w:proofErr w:type="spellEnd"/>
      <w:r w:rsidRPr="00B67327">
        <w:rPr>
          <w:bCs/>
        </w:rPr>
        <w:t xml:space="preserve">, 2007). It could also be </w:t>
      </w:r>
      <w:proofErr w:type="spellStart"/>
      <w:r w:rsidRPr="00B67327">
        <w:rPr>
          <w:bCs/>
        </w:rPr>
        <w:t>hearably</w:t>
      </w:r>
      <w:proofErr w:type="spellEnd"/>
      <w:r w:rsidRPr="00B67327">
        <w:rPr>
          <w:bCs/>
        </w:rPr>
        <w:t xml:space="preserve"> assessing the prior responses as being accurate, </w:t>
      </w:r>
      <w:r w:rsidR="00CC3E89" w:rsidRPr="00B67327">
        <w:rPr>
          <w:bCs/>
        </w:rPr>
        <w:t xml:space="preserve">hence, </w:t>
      </w:r>
      <w:r w:rsidRPr="00B67327">
        <w:rPr>
          <w:bCs/>
        </w:rPr>
        <w:t xml:space="preserve">providing the patient with reassurance (Swallow and Hillman, 2018). </w:t>
      </w:r>
    </w:p>
    <w:p w14:paraId="0736BE0E" w14:textId="77777777" w:rsidR="00C33201" w:rsidRPr="00B67327" w:rsidRDefault="00C33201" w:rsidP="00C33201">
      <w:pPr>
        <w:spacing w:line="360" w:lineRule="auto"/>
        <w:jc w:val="both"/>
        <w:rPr>
          <w:bCs/>
          <w:lang w:val="en-US"/>
        </w:rPr>
      </w:pPr>
    </w:p>
    <w:p w14:paraId="5A25C42D" w14:textId="77777777" w:rsidR="00C33201" w:rsidRPr="00B67327" w:rsidRDefault="00C33201" w:rsidP="00C33201">
      <w:pPr>
        <w:spacing w:line="360" w:lineRule="auto"/>
        <w:jc w:val="both"/>
        <w:rPr>
          <w:bCs/>
          <w:lang w:val="en-US"/>
        </w:rPr>
      </w:pPr>
      <w:r w:rsidRPr="00B67327">
        <w:rPr>
          <w:bCs/>
          <w:lang w:val="en-US"/>
        </w:rPr>
        <w:t>We see something similar in Extract 11, where “</w:t>
      </w:r>
      <w:r w:rsidRPr="00B67327">
        <w:rPr>
          <w:bCs/>
        </w:rPr>
        <w:t xml:space="preserve">Okay” (line 12) is used to </w:t>
      </w:r>
      <w:r w:rsidRPr="00B67327">
        <w:rPr>
          <w:bCs/>
          <w:lang w:val="en-US"/>
        </w:rPr>
        <w:t>receipt the answer and to close the sequence before moving to the next task.</w:t>
      </w:r>
    </w:p>
    <w:p w14:paraId="3E9BC4EE" w14:textId="77777777" w:rsidR="00C33201" w:rsidRPr="00B67327" w:rsidRDefault="00C33201" w:rsidP="00C33201">
      <w:pPr>
        <w:spacing w:line="360" w:lineRule="auto"/>
        <w:jc w:val="both"/>
        <w:rPr>
          <w:bCs/>
          <w:lang w:val="en-US"/>
        </w:rPr>
      </w:pPr>
    </w:p>
    <w:p w14:paraId="78DEB18E" w14:textId="07EEB445" w:rsidR="00C33201" w:rsidRDefault="00C33201" w:rsidP="00C33201">
      <w:pPr>
        <w:spacing w:line="360" w:lineRule="auto"/>
        <w:jc w:val="both"/>
        <w:rPr>
          <w:bCs/>
        </w:rPr>
      </w:pPr>
      <w:r w:rsidRPr="00B67327">
        <w:rPr>
          <w:bCs/>
        </w:rPr>
        <w:t>Extract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852"/>
      </w:tblGrid>
      <w:tr w:rsidR="00951195" w:rsidRPr="00960A70" w14:paraId="12358B46" w14:textId="77777777" w:rsidTr="00951195">
        <w:tc>
          <w:tcPr>
            <w:tcW w:w="561" w:type="dxa"/>
          </w:tcPr>
          <w:p w14:paraId="2672DC80"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1F81EA00" w14:textId="0E59E8B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55FAD120" w14:textId="696375D7" w:rsidR="00951195" w:rsidRPr="00960A70" w:rsidRDefault="00951195"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A::</w:t>
            </w:r>
            <w:proofErr w:type="spellStart"/>
            <w:proofErr w:type="gramEnd"/>
            <w:r w:rsidRPr="00960A70">
              <w:rPr>
                <w:rFonts w:ascii="Courier New" w:hAnsi="Courier New" w:cs="Courier New"/>
                <w:bCs/>
                <w:sz w:val="20"/>
                <w:szCs w:val="20"/>
              </w:rPr>
              <w:t>nd</w:t>
            </w:r>
            <w:proofErr w:type="spellEnd"/>
            <w:r w:rsidRPr="00960A70">
              <w:rPr>
                <w:rFonts w:ascii="Courier New" w:hAnsi="Courier New" w:cs="Courier New"/>
                <w:bCs/>
                <w:sz w:val="20"/>
                <w:szCs w:val="20"/>
              </w:rPr>
              <w:t xml:space="preserve"> can you tell me the name of the </w:t>
            </w:r>
          </w:p>
        </w:tc>
      </w:tr>
      <w:tr w:rsidR="00951195" w:rsidRPr="00960A70" w14:paraId="420DFF6D" w14:textId="77777777" w:rsidTr="00951195">
        <w:tc>
          <w:tcPr>
            <w:tcW w:w="561" w:type="dxa"/>
          </w:tcPr>
          <w:p w14:paraId="2B2CBD52"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6E67B1CD" w14:textId="681F6AA5" w:rsidR="00951195" w:rsidRPr="00960A70" w:rsidRDefault="00951195" w:rsidP="007519D9">
            <w:pPr>
              <w:spacing w:line="360" w:lineRule="auto"/>
              <w:jc w:val="both"/>
              <w:rPr>
                <w:rFonts w:ascii="Courier New" w:hAnsi="Courier New" w:cs="Courier New"/>
                <w:bCs/>
                <w:sz w:val="20"/>
                <w:szCs w:val="20"/>
              </w:rPr>
            </w:pPr>
          </w:p>
        </w:tc>
        <w:tc>
          <w:tcPr>
            <w:tcW w:w="6852" w:type="dxa"/>
          </w:tcPr>
          <w:p w14:paraId="1B1CFC76" w14:textId="6FC95216"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building we’re in,</w:t>
            </w:r>
          </w:p>
        </w:tc>
      </w:tr>
      <w:tr w:rsidR="00951195" w:rsidRPr="00960A70" w14:paraId="46D91CAC" w14:textId="77777777" w:rsidTr="00951195">
        <w:tc>
          <w:tcPr>
            <w:tcW w:w="561" w:type="dxa"/>
          </w:tcPr>
          <w:p w14:paraId="2E0CDA28"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3E19F70A" w14:textId="03BEDDD8"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0527118E" w14:textId="2B47F626" w:rsidR="00951195" w:rsidRPr="00960A70" w:rsidRDefault="00951195" w:rsidP="007519D9">
            <w:pPr>
              <w:spacing w:line="360" w:lineRule="auto"/>
              <w:rPr>
                <w:rFonts w:ascii="Courier New" w:hAnsi="Courier New" w:cs="Courier New"/>
                <w:sz w:val="20"/>
                <w:szCs w:val="20"/>
              </w:rPr>
            </w:pPr>
            <w:proofErr w:type="gramStart"/>
            <w:r w:rsidRPr="00960A70">
              <w:rPr>
                <w:rFonts w:ascii="Courier New" w:hAnsi="Courier New" w:cs="Courier New"/>
                <w:bCs/>
                <w:sz w:val="20"/>
                <w:szCs w:val="20"/>
              </w:rPr>
              <w:t>.tch</w:t>
            </w:r>
            <w:proofErr w:type="gramEnd"/>
            <w:r w:rsidRPr="00960A70">
              <w:rPr>
                <w:rFonts w:ascii="Courier New" w:hAnsi="Courier New" w:cs="Courier New"/>
                <w:bCs/>
                <w:sz w:val="20"/>
                <w:szCs w:val="20"/>
              </w:rPr>
              <w:t xml:space="preserve"> .</w:t>
            </w:r>
            <w:proofErr w:type="spellStart"/>
            <w:r w:rsidRPr="00960A70">
              <w:rPr>
                <w:rFonts w:ascii="Courier New" w:hAnsi="Courier New" w:cs="Courier New"/>
                <w:bCs/>
                <w:sz w:val="20"/>
                <w:szCs w:val="20"/>
              </w:rPr>
              <w:t>hh</w:t>
            </w:r>
            <w:proofErr w:type="spellEnd"/>
            <w:r w:rsidRPr="00960A70">
              <w:rPr>
                <w:rFonts w:ascii="Courier New" w:hAnsi="Courier New" w:cs="Courier New"/>
                <w:bCs/>
                <w:sz w:val="20"/>
                <w:szCs w:val="20"/>
              </w:rPr>
              <w:t xml:space="preserve"> (Hospital name)</w:t>
            </w:r>
          </w:p>
        </w:tc>
      </w:tr>
      <w:tr w:rsidR="00951195" w:rsidRPr="00960A70" w14:paraId="713C93AC" w14:textId="77777777" w:rsidTr="00951195">
        <w:tc>
          <w:tcPr>
            <w:tcW w:w="561" w:type="dxa"/>
          </w:tcPr>
          <w:p w14:paraId="122DD325"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0309F20F" w14:textId="22C8EF74"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2F97E518" w14:textId="34B892FA" w:rsidR="00951195" w:rsidRPr="00960A70" w:rsidRDefault="00951195" w:rsidP="007519D9">
            <w:pPr>
              <w:spacing w:line="360" w:lineRule="auto"/>
              <w:rPr>
                <w:rFonts w:ascii="Courier New" w:hAnsi="Courier New" w:cs="Courier New"/>
                <w:sz w:val="20"/>
                <w:szCs w:val="20"/>
              </w:rPr>
            </w:pPr>
            <w:r w:rsidRPr="00960A70">
              <w:rPr>
                <w:rFonts w:ascii="Courier New" w:hAnsi="Courier New" w:cs="Courier New"/>
                <w:bCs/>
                <w:sz w:val="20"/>
                <w:szCs w:val="20"/>
              </w:rPr>
              <w:t>And the f</w:t>
            </w:r>
            <w:r w:rsidRPr="00960A70">
              <w:rPr>
                <w:rFonts w:ascii="Courier New" w:hAnsi="Courier New" w:cs="Courier New"/>
                <w:bCs/>
                <w:sz w:val="20"/>
                <w:szCs w:val="20"/>
                <w:u w:val="single"/>
              </w:rPr>
              <w:t>lo</w:t>
            </w:r>
            <w:r w:rsidRPr="00960A70">
              <w:rPr>
                <w:rFonts w:ascii="Courier New" w:hAnsi="Courier New" w:cs="Courier New"/>
                <w:bCs/>
                <w:sz w:val="20"/>
                <w:szCs w:val="20"/>
              </w:rPr>
              <w:t>or that we’re on,</w:t>
            </w:r>
          </w:p>
        </w:tc>
      </w:tr>
      <w:tr w:rsidR="00951195" w:rsidRPr="00960A70" w14:paraId="7F9C9D5A" w14:textId="77777777" w:rsidTr="00951195">
        <w:tc>
          <w:tcPr>
            <w:tcW w:w="561" w:type="dxa"/>
          </w:tcPr>
          <w:p w14:paraId="3BFA290B"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070552B5" w14:textId="6C545F7F"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724296B5" w14:textId="3620E9E1" w:rsidR="00951195" w:rsidRPr="00960A70" w:rsidRDefault="00951195" w:rsidP="007519D9">
            <w:pPr>
              <w:spacing w:line="360" w:lineRule="auto"/>
              <w:rPr>
                <w:rFonts w:ascii="Courier New" w:hAnsi="Courier New" w:cs="Courier New"/>
                <w:sz w:val="20"/>
                <w:szCs w:val="20"/>
              </w:rPr>
            </w:pPr>
            <w:r w:rsidRPr="00960A70">
              <w:rPr>
                <w:rFonts w:ascii="Courier New" w:hAnsi="Courier New" w:cs="Courier New"/>
                <w:bCs/>
                <w:sz w:val="20"/>
                <w:szCs w:val="20"/>
              </w:rPr>
              <w:t>Er:(letter) floor.</w:t>
            </w:r>
          </w:p>
        </w:tc>
      </w:tr>
      <w:tr w:rsidR="00951195" w:rsidRPr="00960A70" w14:paraId="406AD5DC" w14:textId="77777777" w:rsidTr="00951195">
        <w:tc>
          <w:tcPr>
            <w:tcW w:w="561" w:type="dxa"/>
          </w:tcPr>
          <w:p w14:paraId="364D92C9"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5905040E" w14:textId="799F1415"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30798187" w14:textId="1BF59A80"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And </w:t>
            </w:r>
            <w:proofErr w:type="gramStart"/>
            <w:r w:rsidRPr="00960A70">
              <w:rPr>
                <w:rFonts w:ascii="Courier New" w:hAnsi="Courier New" w:cs="Courier New"/>
                <w:bCs/>
                <w:sz w:val="20"/>
                <w:szCs w:val="20"/>
              </w:rPr>
              <w:t>the::</w:t>
            </w:r>
            <w:proofErr w:type="gramEnd"/>
            <w:r w:rsidRPr="00960A70">
              <w:rPr>
                <w:rFonts w:ascii="Courier New" w:hAnsi="Courier New" w:cs="Courier New"/>
                <w:bCs/>
                <w:sz w:val="20"/>
                <w:szCs w:val="20"/>
              </w:rPr>
              <w:t xml:space="preserve"> city,</w:t>
            </w:r>
          </w:p>
        </w:tc>
      </w:tr>
      <w:tr w:rsidR="00951195" w:rsidRPr="00960A70" w14:paraId="6D3B1233" w14:textId="77777777" w:rsidTr="00951195">
        <w:tc>
          <w:tcPr>
            <w:tcW w:w="561" w:type="dxa"/>
          </w:tcPr>
          <w:p w14:paraId="5D9B2D24"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251F9E37" w14:textId="13B8C888"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4905592E" w14:textId="4F175473"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(City </w:t>
            </w:r>
            <w:proofErr w:type="gramStart"/>
            <w:r w:rsidRPr="00960A70">
              <w:rPr>
                <w:rFonts w:ascii="Courier New" w:hAnsi="Courier New" w:cs="Courier New"/>
                <w:bCs/>
                <w:sz w:val="20"/>
                <w:szCs w:val="20"/>
              </w:rPr>
              <w:t>name)=</w:t>
            </w:r>
            <w:proofErr w:type="gramEnd"/>
          </w:p>
        </w:tc>
      </w:tr>
      <w:tr w:rsidR="00951195" w:rsidRPr="00960A70" w14:paraId="0B3DDB2C" w14:textId="77777777" w:rsidTr="00951195">
        <w:tc>
          <w:tcPr>
            <w:tcW w:w="561" w:type="dxa"/>
          </w:tcPr>
          <w:p w14:paraId="0E361C3A"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4CE58D8C" w14:textId="2440658D"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1D7421B5" w14:textId="4C9B8EE8"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=The c</w:t>
            </w:r>
            <w:r w:rsidRPr="00960A70">
              <w:rPr>
                <w:rFonts w:ascii="Courier New" w:hAnsi="Courier New" w:cs="Courier New"/>
                <w:bCs/>
                <w:sz w:val="20"/>
                <w:szCs w:val="20"/>
                <w:u w:val="single"/>
              </w:rPr>
              <w:t>ou</w:t>
            </w:r>
            <w:r w:rsidRPr="00960A70">
              <w:rPr>
                <w:rFonts w:ascii="Courier New" w:hAnsi="Courier New" w:cs="Courier New"/>
                <w:bCs/>
                <w:sz w:val="20"/>
                <w:szCs w:val="20"/>
              </w:rPr>
              <w:t>nty,</w:t>
            </w:r>
          </w:p>
        </w:tc>
      </w:tr>
      <w:tr w:rsidR="00951195" w:rsidRPr="00960A70" w14:paraId="212DDFBE" w14:textId="77777777" w:rsidTr="00951195">
        <w:tc>
          <w:tcPr>
            <w:tcW w:w="561" w:type="dxa"/>
          </w:tcPr>
          <w:p w14:paraId="5F0DE639"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3345FE3C" w14:textId="46039C0F"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1F37225C" w14:textId="63271080"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(City name) is (county) isn’t [it,]</w:t>
            </w:r>
          </w:p>
        </w:tc>
      </w:tr>
      <w:tr w:rsidR="00951195" w:rsidRPr="00960A70" w14:paraId="161D6FE3" w14:textId="77777777" w:rsidTr="00951195">
        <w:tc>
          <w:tcPr>
            <w:tcW w:w="561" w:type="dxa"/>
          </w:tcPr>
          <w:p w14:paraId="77ED37F7"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6288E48E" w14:textId="000D0771"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38B51618" w14:textId="2792AD82"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                              [And] country,</w:t>
            </w:r>
          </w:p>
        </w:tc>
      </w:tr>
      <w:tr w:rsidR="00951195" w:rsidRPr="00960A70" w14:paraId="0C5F4121" w14:textId="77777777" w:rsidTr="00951195">
        <w:tc>
          <w:tcPr>
            <w:tcW w:w="561" w:type="dxa"/>
          </w:tcPr>
          <w:p w14:paraId="025A10CA"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11</w:t>
            </w:r>
          </w:p>
        </w:tc>
        <w:tc>
          <w:tcPr>
            <w:tcW w:w="877" w:type="dxa"/>
          </w:tcPr>
          <w:p w14:paraId="5442C722" w14:textId="55F8B1C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852" w:type="dxa"/>
          </w:tcPr>
          <w:p w14:paraId="20DE5493" w14:textId="3F788AB9"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 xml:space="preserve">UK. Huh </w:t>
            </w:r>
            <w:proofErr w:type="spellStart"/>
            <w:r w:rsidRPr="00960A70">
              <w:rPr>
                <w:rFonts w:ascii="Courier New" w:hAnsi="Courier New" w:cs="Courier New"/>
                <w:bCs/>
                <w:sz w:val="20"/>
                <w:szCs w:val="20"/>
              </w:rPr>
              <w:t>hh</w:t>
            </w:r>
            <w:proofErr w:type="spellEnd"/>
          </w:p>
        </w:tc>
      </w:tr>
      <w:tr w:rsidR="00951195" w:rsidRPr="00960A70" w14:paraId="37DC6876" w14:textId="77777777" w:rsidTr="00951195">
        <w:tc>
          <w:tcPr>
            <w:tcW w:w="561" w:type="dxa"/>
          </w:tcPr>
          <w:p w14:paraId="3D524B88" w14:textId="77777777"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12</w:t>
            </w:r>
          </w:p>
        </w:tc>
        <w:tc>
          <w:tcPr>
            <w:tcW w:w="877" w:type="dxa"/>
          </w:tcPr>
          <w:p w14:paraId="19287142" w14:textId="79CB0CE5" w:rsidR="00951195" w:rsidRPr="00960A70" w:rsidRDefault="00951195"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Neu2:</w:t>
            </w:r>
          </w:p>
        </w:tc>
        <w:tc>
          <w:tcPr>
            <w:tcW w:w="6852" w:type="dxa"/>
          </w:tcPr>
          <w:p w14:paraId="3F8DA414" w14:textId="24D331AB" w:rsidR="00951195" w:rsidRPr="00960A70" w:rsidRDefault="00951195"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Okay.=</w:t>
            </w:r>
            <w:proofErr w:type="gramEnd"/>
            <w:r w:rsidRPr="00960A70">
              <w:rPr>
                <w:rFonts w:ascii="Courier New" w:hAnsi="Courier New" w:cs="Courier New"/>
                <w:bCs/>
                <w:sz w:val="20"/>
                <w:szCs w:val="20"/>
              </w:rPr>
              <w:t xml:space="preserve"> And just repeat these three words…</w:t>
            </w:r>
          </w:p>
        </w:tc>
      </w:tr>
    </w:tbl>
    <w:p w14:paraId="53F24DCF" w14:textId="77777777" w:rsidR="00C33201" w:rsidRPr="00B67327" w:rsidRDefault="00C33201" w:rsidP="00C33201">
      <w:pPr>
        <w:spacing w:line="360" w:lineRule="auto"/>
        <w:jc w:val="both"/>
        <w:rPr>
          <w:bCs/>
        </w:rPr>
      </w:pPr>
    </w:p>
    <w:p w14:paraId="119FD558" w14:textId="1C2F5FED" w:rsidR="00C33201" w:rsidRPr="00B67327" w:rsidRDefault="00C33201" w:rsidP="009E3CA7">
      <w:pPr>
        <w:spacing w:line="360" w:lineRule="auto"/>
        <w:jc w:val="both"/>
        <w:rPr>
          <w:bCs/>
          <w:lang w:val="en-US"/>
        </w:rPr>
      </w:pPr>
      <w:r w:rsidRPr="00B67327">
        <w:rPr>
          <w:bCs/>
        </w:rPr>
        <w:t xml:space="preserve">Merritt (1980, p. 144) </w:t>
      </w:r>
      <w:r w:rsidR="00CC3E89" w:rsidRPr="00B67327">
        <w:rPr>
          <w:bCs/>
        </w:rPr>
        <w:t xml:space="preserve">suggests that </w:t>
      </w:r>
      <w:r w:rsidRPr="00B67327">
        <w:rPr>
          <w:bCs/>
        </w:rPr>
        <w:t xml:space="preserve">‘Okay’ </w:t>
      </w:r>
      <w:r w:rsidR="00CC3E89" w:rsidRPr="00B67327">
        <w:rPr>
          <w:bCs/>
        </w:rPr>
        <w:t xml:space="preserve">acts as </w:t>
      </w:r>
      <w:r w:rsidRPr="00B67327">
        <w:rPr>
          <w:bCs/>
        </w:rPr>
        <w:t>a “bridge, a linking device between two stages or phases</w:t>
      </w:r>
      <w:r w:rsidR="00BD63FC">
        <w:rPr>
          <w:bCs/>
        </w:rPr>
        <w:t xml:space="preserve"> </w:t>
      </w:r>
      <w:r w:rsidRPr="00B67327">
        <w:rPr>
          <w:bCs/>
        </w:rPr>
        <w:t xml:space="preserve">of the [service] encounter”.  Furthermore, Maynard and Schaeffer (2005) </w:t>
      </w:r>
      <w:r w:rsidRPr="00B67327">
        <w:rPr>
          <w:bCs/>
          <w:lang w:val="en-US"/>
        </w:rPr>
        <w:t>suggest</w:t>
      </w:r>
      <w:r w:rsidR="00360D8B">
        <w:rPr>
          <w:bCs/>
          <w:lang w:val="en-US"/>
        </w:rPr>
        <w:t>,</w:t>
      </w:r>
      <w:r w:rsidRPr="00B67327">
        <w:rPr>
          <w:bCs/>
          <w:lang w:val="en-US"/>
        </w:rPr>
        <w:t xml:space="preserve"> “okay” signifies the boundaries of related questions </w:t>
      </w:r>
      <w:r w:rsidR="00360D8B">
        <w:rPr>
          <w:bCs/>
          <w:lang w:val="en-US"/>
        </w:rPr>
        <w:t>in that</w:t>
      </w:r>
      <w:r w:rsidRPr="00B67327">
        <w:rPr>
          <w:bCs/>
          <w:lang w:val="en-US"/>
        </w:rPr>
        <w:t xml:space="preserve"> interviewers withhold</w:t>
      </w:r>
      <w:r w:rsidRPr="00B67327">
        <w:rPr>
          <w:bCs/>
        </w:rPr>
        <w:t xml:space="preserve"> </w:t>
      </w:r>
      <w:r w:rsidRPr="00B67327">
        <w:rPr>
          <w:bCs/>
          <w:lang w:val="en-US"/>
        </w:rPr>
        <w:t xml:space="preserve">third-turn acknowledgment when a subsequent question links to the topic of its </w:t>
      </w:r>
      <w:r w:rsidR="00360D8B" w:rsidRPr="00B67327">
        <w:rPr>
          <w:bCs/>
          <w:lang w:val="en-US"/>
        </w:rPr>
        <w:t>predecessor and</w:t>
      </w:r>
      <w:r w:rsidRPr="00B67327">
        <w:rPr>
          <w:bCs/>
          <w:lang w:val="en-US"/>
        </w:rPr>
        <w:t xml:space="preserve"> produce acknowledgments when the next question shifts topic.</w:t>
      </w:r>
      <w:r w:rsidR="00CC3E89" w:rsidRPr="00B67327">
        <w:rPr>
          <w:bCs/>
          <w:lang w:val="en-US"/>
        </w:rPr>
        <w:t xml:space="preserve"> In extract 11,</w:t>
      </w:r>
      <w:r w:rsidRPr="00B67327">
        <w:rPr>
          <w:bCs/>
          <w:lang w:val="en-US"/>
        </w:rPr>
        <w:t xml:space="preserve"> </w:t>
      </w:r>
      <w:r w:rsidRPr="00B67327">
        <w:rPr>
          <w:bCs/>
        </w:rPr>
        <w:t xml:space="preserve">“Okay” (line 12) bridges topics and shifts between two discrete tasks on the </w:t>
      </w:r>
      <w:r w:rsidRPr="00B67327">
        <w:rPr>
          <w:bCs/>
        </w:rPr>
        <w:lastRenderedPageBreak/>
        <w:t>ACE-</w:t>
      </w:r>
      <w:r w:rsidR="00CC3E89" w:rsidRPr="00B67327">
        <w:rPr>
          <w:bCs/>
        </w:rPr>
        <w:t>III</w:t>
      </w:r>
      <w:r w:rsidRPr="00B67327">
        <w:rPr>
          <w:bCs/>
        </w:rPr>
        <w:t xml:space="preserve">. </w:t>
      </w:r>
      <w:r w:rsidRPr="00B67327">
        <w:rPr>
          <w:bCs/>
          <w:lang w:val="en-US"/>
        </w:rPr>
        <w:t>Clinicians also do not appear to confirm the responses of patients with FCD, even if they seek confirmation. For example, the patient</w:t>
      </w:r>
      <w:r w:rsidR="00360D8B">
        <w:rPr>
          <w:bCs/>
          <w:lang w:val="en-US"/>
        </w:rPr>
        <w:t xml:space="preserve"> in extract 11</w:t>
      </w:r>
      <w:r w:rsidRPr="00B67327">
        <w:rPr>
          <w:bCs/>
          <w:lang w:val="en-US"/>
        </w:rPr>
        <w:t xml:space="preserve"> is uncertain of the county but nevertheless gives the correct response, followed by a confirmation check “isn’t it” (line 9). The clinician does not confirm that the patient has given the correct response and instead continues with the next question. </w:t>
      </w:r>
    </w:p>
    <w:p w14:paraId="3BC84DF6" w14:textId="77E6ECEC" w:rsidR="00C33201" w:rsidRPr="00B67327" w:rsidRDefault="00C33201" w:rsidP="00C33201">
      <w:pPr>
        <w:spacing w:line="360" w:lineRule="auto"/>
        <w:jc w:val="both"/>
        <w:rPr>
          <w:bCs/>
          <w:lang w:val="en-US"/>
        </w:rPr>
      </w:pPr>
      <w:r w:rsidRPr="00B67327">
        <w:rPr>
          <w:bCs/>
        </w:rPr>
        <w:br/>
      </w:r>
      <w:r w:rsidRPr="00B67327">
        <w:rPr>
          <w:bCs/>
          <w:lang w:val="en-US"/>
        </w:rPr>
        <w:t xml:space="preserve">In sum, when there is a working diagnosis of FCD the clinicians </w:t>
      </w:r>
      <w:r w:rsidR="00905C72">
        <w:rPr>
          <w:bCs/>
          <w:lang w:val="en-US"/>
        </w:rPr>
        <w:t xml:space="preserve">generally </w:t>
      </w:r>
      <w:r w:rsidRPr="00B67327">
        <w:rPr>
          <w:bCs/>
          <w:lang w:val="en-US"/>
        </w:rPr>
        <w:t>do not produce third-turn responses or, if they are produced</w:t>
      </w:r>
      <w:r w:rsidR="00B539F9">
        <w:rPr>
          <w:bCs/>
          <w:lang w:val="en-US"/>
        </w:rPr>
        <w:t>,</w:t>
      </w:r>
      <w:r w:rsidRPr="00B67327">
        <w:rPr>
          <w:bCs/>
          <w:lang w:val="en-US"/>
        </w:rPr>
        <w:t xml:space="preserve"> they are typically minimal, either “okay” or “good”</w:t>
      </w:r>
      <w:r w:rsidR="00862371" w:rsidRPr="00B67327">
        <w:rPr>
          <w:bCs/>
          <w:lang w:val="en-US"/>
        </w:rPr>
        <w:t>,</w:t>
      </w:r>
      <w:r w:rsidRPr="00B67327">
        <w:rPr>
          <w:bCs/>
          <w:lang w:val="en-US"/>
        </w:rPr>
        <w:t xml:space="preserve"> and appear at the end of a task sequence rather than between individual question-answer sequences. The </w:t>
      </w:r>
      <w:proofErr w:type="gramStart"/>
      <w:r w:rsidRPr="00B67327">
        <w:rPr>
          <w:bCs/>
          <w:lang w:val="en-US"/>
        </w:rPr>
        <w:t>third</w:t>
      </w:r>
      <w:r w:rsidR="00B539F9">
        <w:rPr>
          <w:bCs/>
          <w:lang w:val="en-US"/>
        </w:rPr>
        <w:t>-</w:t>
      </w:r>
      <w:r w:rsidRPr="00B67327">
        <w:rPr>
          <w:bCs/>
          <w:lang w:val="en-US"/>
        </w:rPr>
        <w:t>turn</w:t>
      </w:r>
      <w:proofErr w:type="gramEnd"/>
      <w:r w:rsidRPr="00B67327">
        <w:rPr>
          <w:bCs/>
          <w:lang w:val="en-US"/>
        </w:rPr>
        <w:t xml:space="preserve"> </w:t>
      </w:r>
      <w:r w:rsidR="000A5CCC">
        <w:rPr>
          <w:bCs/>
          <w:lang w:val="en-US"/>
        </w:rPr>
        <w:t xml:space="preserve">can </w:t>
      </w:r>
      <w:r w:rsidRPr="00B67327">
        <w:rPr>
          <w:bCs/>
          <w:lang w:val="en-US"/>
        </w:rPr>
        <w:t xml:space="preserve">also </w:t>
      </w:r>
      <w:r w:rsidR="00360D8B">
        <w:rPr>
          <w:bCs/>
          <w:lang w:val="en-US"/>
        </w:rPr>
        <w:t xml:space="preserve">be </w:t>
      </w:r>
      <w:r w:rsidRPr="00B67327">
        <w:rPr>
          <w:bCs/>
          <w:lang w:val="en-US"/>
        </w:rPr>
        <w:t xml:space="preserve">used to </w:t>
      </w:r>
      <w:r w:rsidR="009E3CA7">
        <w:rPr>
          <w:bCs/>
          <w:lang w:val="en-US"/>
        </w:rPr>
        <w:t xml:space="preserve">address </w:t>
      </w:r>
      <w:r w:rsidR="00360D8B">
        <w:rPr>
          <w:bCs/>
          <w:lang w:val="en-US"/>
        </w:rPr>
        <w:t xml:space="preserve">a lack of </w:t>
      </w:r>
      <w:r w:rsidR="000A5CCC">
        <w:rPr>
          <w:bCs/>
          <w:lang w:val="en-US"/>
        </w:rPr>
        <w:t>specificity</w:t>
      </w:r>
      <w:r w:rsidR="00360D8B">
        <w:rPr>
          <w:bCs/>
          <w:lang w:val="en-US"/>
        </w:rPr>
        <w:t xml:space="preserve"> within the design of the initial question as</w:t>
      </w:r>
      <w:r w:rsidR="000A5CCC">
        <w:rPr>
          <w:bCs/>
          <w:lang w:val="en-US"/>
        </w:rPr>
        <w:t xml:space="preserve"> required by the test</w:t>
      </w:r>
      <w:r w:rsidRPr="00B67327">
        <w:rPr>
          <w:bCs/>
          <w:lang w:val="en-US"/>
        </w:rPr>
        <w:t>. The clinicians use this turn to</w:t>
      </w:r>
      <w:r w:rsidR="00360D8B">
        <w:rPr>
          <w:bCs/>
          <w:lang w:val="en-US"/>
        </w:rPr>
        <w:t xml:space="preserve"> restrict the range of place terms to a specific locational formulation to enable to patient to score a point on the test. </w:t>
      </w:r>
      <w:r w:rsidRPr="00B67327">
        <w:rPr>
          <w:bCs/>
          <w:lang w:val="en-US"/>
        </w:rPr>
        <w:t xml:space="preserve">Third-turn utterances often look different when clinicians interact with people with a working diagnosis of dementia. </w:t>
      </w:r>
    </w:p>
    <w:p w14:paraId="0E63AAAA" w14:textId="77777777" w:rsidR="00C33201" w:rsidRPr="00B67327" w:rsidRDefault="00C33201" w:rsidP="00C33201">
      <w:pPr>
        <w:spacing w:line="360" w:lineRule="auto"/>
        <w:jc w:val="both"/>
        <w:rPr>
          <w:bCs/>
          <w:lang w:val="en-US"/>
        </w:rPr>
      </w:pPr>
    </w:p>
    <w:p w14:paraId="2096FC80" w14:textId="711C1D88" w:rsidR="00C33201" w:rsidRPr="00B67327" w:rsidRDefault="00C33201" w:rsidP="00C33201">
      <w:pPr>
        <w:spacing w:line="360" w:lineRule="auto"/>
        <w:jc w:val="both"/>
        <w:rPr>
          <w:bCs/>
        </w:rPr>
      </w:pPr>
      <w:r w:rsidRPr="00B67327">
        <w:rPr>
          <w:bCs/>
          <w:i/>
        </w:rPr>
        <w:t>3.4 Recipient design in third</w:t>
      </w:r>
      <w:r w:rsidR="00B539F9">
        <w:rPr>
          <w:bCs/>
          <w:i/>
        </w:rPr>
        <w:t>-</w:t>
      </w:r>
      <w:r w:rsidRPr="00B67327">
        <w:rPr>
          <w:bCs/>
          <w:i/>
        </w:rPr>
        <w:t>turn - Dementia</w:t>
      </w:r>
    </w:p>
    <w:p w14:paraId="5B616B94" w14:textId="5EA5D7BA" w:rsidR="00C33201" w:rsidRPr="00B67327" w:rsidRDefault="00C33201" w:rsidP="00C33201">
      <w:pPr>
        <w:spacing w:line="360" w:lineRule="auto"/>
        <w:jc w:val="both"/>
        <w:rPr>
          <w:bCs/>
          <w:lang w:val="en-US"/>
        </w:rPr>
      </w:pPr>
      <w:r w:rsidRPr="00B67327">
        <w:rPr>
          <w:bCs/>
          <w:lang w:val="en-US"/>
        </w:rPr>
        <w:t>When clinicians have established a working diagnosis of dementia based on a patient’s ‘performance’ during history-taking, they often conduct the ACE-</w:t>
      </w:r>
      <w:r w:rsidR="000F29E6" w:rsidRPr="00B67327">
        <w:rPr>
          <w:bCs/>
          <w:lang w:val="en-US"/>
        </w:rPr>
        <w:t xml:space="preserve">III </w:t>
      </w:r>
      <w:r w:rsidRPr="00B67327">
        <w:rPr>
          <w:bCs/>
          <w:lang w:val="en-US"/>
        </w:rPr>
        <w:t>differently. Some clinicians</w:t>
      </w:r>
      <w:r w:rsidR="00D1205A">
        <w:rPr>
          <w:bCs/>
          <w:lang w:val="en-US"/>
        </w:rPr>
        <w:t xml:space="preserve"> do not </w:t>
      </w:r>
      <w:r w:rsidRPr="00B67327">
        <w:rPr>
          <w:bCs/>
          <w:lang w:val="en-US"/>
        </w:rPr>
        <w:t xml:space="preserve">require these patients to be as specific in their responses (as compared with examples above - extracts 9 and 10). </w:t>
      </w:r>
      <w:r w:rsidR="00905C72">
        <w:rPr>
          <w:bCs/>
          <w:lang w:val="en-US"/>
        </w:rPr>
        <w:t>Also, t</w:t>
      </w:r>
      <w:r w:rsidRPr="00B67327">
        <w:rPr>
          <w:bCs/>
          <w:lang w:val="en-US"/>
        </w:rPr>
        <w:t xml:space="preserve">hey do not </w:t>
      </w:r>
      <w:r w:rsidR="00D1205A">
        <w:rPr>
          <w:bCs/>
          <w:lang w:val="en-US"/>
        </w:rPr>
        <w:t xml:space="preserve">use the </w:t>
      </w:r>
      <w:proofErr w:type="gramStart"/>
      <w:r w:rsidRPr="00B67327">
        <w:rPr>
          <w:bCs/>
          <w:lang w:val="en-US"/>
        </w:rPr>
        <w:t>third-turn</w:t>
      </w:r>
      <w:proofErr w:type="gramEnd"/>
      <w:r w:rsidRPr="00B67327">
        <w:rPr>
          <w:bCs/>
          <w:lang w:val="en-US"/>
        </w:rPr>
        <w:t xml:space="preserve"> to seek a more specific</w:t>
      </w:r>
      <w:r w:rsidR="000F29E6" w:rsidRPr="00B67327">
        <w:rPr>
          <w:bCs/>
          <w:lang w:val="en-US"/>
        </w:rPr>
        <w:t>,</w:t>
      </w:r>
      <w:r w:rsidRPr="00B67327">
        <w:rPr>
          <w:bCs/>
          <w:lang w:val="en-US"/>
        </w:rPr>
        <w:t xml:space="preserve"> and thus</w:t>
      </w:r>
      <w:r w:rsidR="000F29E6" w:rsidRPr="00B67327">
        <w:rPr>
          <w:bCs/>
          <w:lang w:val="en-US"/>
        </w:rPr>
        <w:t>,</w:t>
      </w:r>
      <w:r w:rsidRPr="00B67327">
        <w:rPr>
          <w:bCs/>
          <w:lang w:val="en-US"/>
        </w:rPr>
        <w:t xml:space="preserve"> correct response. For example, in the extract below (12), the patient responds to the question about the “name of the building</w:t>
      </w:r>
      <w:r w:rsidR="00CD3894">
        <w:rPr>
          <w:bCs/>
          <w:lang w:val="en-US"/>
        </w:rPr>
        <w:t xml:space="preserve"> you’re in</w:t>
      </w:r>
      <w:r w:rsidRPr="00B67327">
        <w:rPr>
          <w:bCs/>
          <w:lang w:val="en-US"/>
        </w:rPr>
        <w:t xml:space="preserve">” (line 1) with “Hospital” (line 2). As we have seen above (extract 10) this </w:t>
      </w:r>
      <w:r w:rsidR="00D1205A">
        <w:rPr>
          <w:bCs/>
          <w:lang w:val="en-US"/>
        </w:rPr>
        <w:t>locational formulation</w:t>
      </w:r>
      <w:r w:rsidRPr="00B67327">
        <w:rPr>
          <w:bCs/>
          <w:lang w:val="en-US"/>
        </w:rPr>
        <w:t xml:space="preserve"> is not accurate and requires further revision to receive a point on the test. Here, the patient has a diagnosis of </w:t>
      </w:r>
      <w:proofErr w:type="gramStart"/>
      <w:r w:rsidRPr="00B67327">
        <w:rPr>
          <w:bCs/>
          <w:lang w:val="en-US"/>
        </w:rPr>
        <w:t>dementia</w:t>
      </w:r>
      <w:proofErr w:type="gramEnd"/>
      <w:r w:rsidRPr="00B67327">
        <w:rPr>
          <w:bCs/>
          <w:lang w:val="en-US"/>
        </w:rPr>
        <w:t xml:space="preserve"> and the clinician does not </w:t>
      </w:r>
      <w:r w:rsidR="00E053A5">
        <w:rPr>
          <w:bCs/>
          <w:lang w:val="en-US"/>
        </w:rPr>
        <w:t>alter</w:t>
      </w:r>
      <w:r w:rsidR="000A5CCC">
        <w:rPr>
          <w:bCs/>
          <w:lang w:val="en-US"/>
        </w:rPr>
        <w:t xml:space="preserve"> the question</w:t>
      </w:r>
      <w:r w:rsidRPr="00B67327">
        <w:rPr>
          <w:bCs/>
          <w:lang w:val="en-US"/>
        </w:rPr>
        <w:t xml:space="preserve"> in the third-turn and instead appears to accept this more general </w:t>
      </w:r>
      <w:r w:rsidR="00E053A5">
        <w:rPr>
          <w:bCs/>
          <w:lang w:val="en-US"/>
        </w:rPr>
        <w:t>locational formulation</w:t>
      </w:r>
      <w:r w:rsidR="00E053A5" w:rsidRPr="00B67327">
        <w:rPr>
          <w:bCs/>
          <w:lang w:val="en-US"/>
        </w:rPr>
        <w:t xml:space="preserve"> </w:t>
      </w:r>
      <w:r w:rsidRPr="00B67327">
        <w:rPr>
          <w:bCs/>
          <w:lang w:val="en-US"/>
        </w:rPr>
        <w:t xml:space="preserve">and moves to the next question (although it is not clear if the patient received a point on the test paper). </w:t>
      </w:r>
    </w:p>
    <w:p w14:paraId="4368E5A1" w14:textId="77777777" w:rsidR="00C33201" w:rsidRPr="00B67327" w:rsidRDefault="00C33201" w:rsidP="00C33201">
      <w:pPr>
        <w:spacing w:line="360" w:lineRule="auto"/>
        <w:jc w:val="both"/>
        <w:rPr>
          <w:bCs/>
          <w:lang w:val="en-US"/>
        </w:rPr>
      </w:pPr>
    </w:p>
    <w:p w14:paraId="2A3E3BAA" w14:textId="5A50AD3F" w:rsidR="00C33201" w:rsidRDefault="00C33201" w:rsidP="00C33201">
      <w:pPr>
        <w:spacing w:line="360" w:lineRule="auto"/>
        <w:jc w:val="both"/>
        <w:rPr>
          <w:bCs/>
          <w:lang w:val="en-US"/>
        </w:rPr>
      </w:pPr>
      <w:r w:rsidRPr="00B67327">
        <w:rPr>
          <w:bCs/>
          <w:lang w:val="en-US"/>
        </w:rPr>
        <w:t>Extract 12</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7062"/>
      </w:tblGrid>
      <w:tr w:rsidR="003550A0" w:rsidRPr="00960A70" w14:paraId="07F7E81B" w14:textId="77777777" w:rsidTr="003550A0">
        <w:tc>
          <w:tcPr>
            <w:tcW w:w="561" w:type="dxa"/>
          </w:tcPr>
          <w:p w14:paraId="4B8C8FE9"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6A79AD4B" w14:textId="6FC7254C"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7062" w:type="dxa"/>
          </w:tcPr>
          <w:p w14:paraId="58F9F34E" w14:textId="31A3EAB7" w:rsidR="003550A0" w:rsidRPr="00960A70" w:rsidRDefault="003550A0" w:rsidP="007519D9">
            <w:pPr>
              <w:spacing w:line="360" w:lineRule="auto"/>
              <w:jc w:val="both"/>
              <w:rPr>
                <w:rFonts w:ascii="Courier New" w:hAnsi="Courier New" w:cs="Courier New"/>
                <w:bCs/>
                <w:sz w:val="20"/>
                <w:szCs w:val="20"/>
              </w:rPr>
            </w:pPr>
            <w:proofErr w:type="gramStart"/>
            <w:r w:rsidRPr="00960A70">
              <w:rPr>
                <w:rFonts w:ascii="Courier New" w:hAnsi="Courier New" w:cs="Courier New"/>
                <w:bCs/>
                <w:sz w:val="20"/>
                <w:szCs w:val="20"/>
              </w:rPr>
              <w:t>Okay.=</w:t>
            </w:r>
            <w:proofErr w:type="gramEnd"/>
            <w:r w:rsidRPr="00960A70">
              <w:rPr>
                <w:rFonts w:ascii="Courier New" w:hAnsi="Courier New" w:cs="Courier New"/>
                <w:bCs/>
                <w:sz w:val="20"/>
                <w:szCs w:val="20"/>
              </w:rPr>
              <w:t xml:space="preserve"> Can you tell me the name of the b</w:t>
            </w:r>
            <w:r w:rsidRPr="00960A70">
              <w:rPr>
                <w:rFonts w:ascii="Courier New" w:hAnsi="Courier New" w:cs="Courier New"/>
                <w:bCs/>
                <w:sz w:val="20"/>
                <w:szCs w:val="20"/>
                <w:u w:val="single"/>
              </w:rPr>
              <w:t>ui</w:t>
            </w:r>
            <w:r w:rsidRPr="00960A70">
              <w:rPr>
                <w:rFonts w:ascii="Courier New" w:hAnsi="Courier New" w:cs="Courier New"/>
                <w:bCs/>
                <w:sz w:val="20"/>
                <w:szCs w:val="20"/>
              </w:rPr>
              <w:t>lding you’re in,</w:t>
            </w:r>
          </w:p>
        </w:tc>
      </w:tr>
      <w:tr w:rsidR="003550A0" w:rsidRPr="00960A70" w14:paraId="37309E5A" w14:textId="77777777" w:rsidTr="003550A0">
        <w:tc>
          <w:tcPr>
            <w:tcW w:w="561" w:type="dxa"/>
          </w:tcPr>
          <w:p w14:paraId="4C901572"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4E9394C0" w14:textId="77777777" w:rsidR="003550A0" w:rsidRPr="00960A70" w:rsidRDefault="003550A0" w:rsidP="007519D9">
            <w:pPr>
              <w:spacing w:line="360" w:lineRule="auto"/>
              <w:jc w:val="both"/>
              <w:rPr>
                <w:rFonts w:ascii="Courier New" w:hAnsi="Courier New" w:cs="Courier New"/>
                <w:bCs/>
                <w:sz w:val="20"/>
                <w:szCs w:val="20"/>
              </w:rPr>
            </w:pPr>
          </w:p>
        </w:tc>
        <w:tc>
          <w:tcPr>
            <w:tcW w:w="7062" w:type="dxa"/>
          </w:tcPr>
          <w:p w14:paraId="0EBE5787" w14:textId="3ABC0B4A"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r>
      <w:tr w:rsidR="003550A0" w:rsidRPr="00960A70" w14:paraId="5412F802" w14:textId="77777777" w:rsidTr="003550A0">
        <w:tc>
          <w:tcPr>
            <w:tcW w:w="561" w:type="dxa"/>
          </w:tcPr>
          <w:p w14:paraId="5F37A109"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7429B4E7" w14:textId="77AAAC41"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7F0DEB90" w14:textId="54A4082C" w:rsidR="003550A0" w:rsidRPr="00960A70" w:rsidRDefault="003550A0" w:rsidP="007519D9">
            <w:pPr>
              <w:spacing w:line="360" w:lineRule="auto"/>
              <w:rPr>
                <w:rFonts w:ascii="Courier New" w:hAnsi="Courier New" w:cs="Courier New"/>
                <w:sz w:val="20"/>
                <w:szCs w:val="20"/>
              </w:rPr>
            </w:pPr>
            <w:r w:rsidRPr="00960A70">
              <w:rPr>
                <w:rFonts w:ascii="Courier New" w:hAnsi="Courier New" w:cs="Courier New"/>
                <w:sz w:val="20"/>
                <w:szCs w:val="20"/>
              </w:rPr>
              <w:t>Hospital.</w:t>
            </w:r>
          </w:p>
        </w:tc>
      </w:tr>
      <w:tr w:rsidR="003550A0" w:rsidRPr="00960A70" w14:paraId="074BC3A0" w14:textId="77777777" w:rsidTr="003550A0">
        <w:tc>
          <w:tcPr>
            <w:tcW w:w="561" w:type="dxa"/>
          </w:tcPr>
          <w:p w14:paraId="76C158F0"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lastRenderedPageBreak/>
              <w:t>04</w:t>
            </w:r>
          </w:p>
        </w:tc>
        <w:tc>
          <w:tcPr>
            <w:tcW w:w="877" w:type="dxa"/>
          </w:tcPr>
          <w:p w14:paraId="727DE4D2" w14:textId="1EA1E6A2"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Neu4:</w:t>
            </w:r>
          </w:p>
        </w:tc>
        <w:tc>
          <w:tcPr>
            <w:tcW w:w="7062" w:type="dxa"/>
          </w:tcPr>
          <w:p w14:paraId="62C05362" w14:textId="690BC502" w:rsidR="003550A0" w:rsidRPr="00960A70" w:rsidRDefault="003550A0" w:rsidP="003550A0">
            <w:pPr>
              <w:spacing w:line="360" w:lineRule="auto"/>
              <w:jc w:val="both"/>
              <w:rPr>
                <w:rFonts w:ascii="Courier New" w:hAnsi="Courier New" w:cs="Courier New"/>
                <w:bCs/>
                <w:sz w:val="20"/>
                <w:szCs w:val="20"/>
              </w:rPr>
            </w:pPr>
            <w:proofErr w:type="spellStart"/>
            <w:proofErr w:type="gramStart"/>
            <w:r w:rsidRPr="00960A70">
              <w:rPr>
                <w:rFonts w:ascii="Courier New" w:hAnsi="Courier New" w:cs="Courier New"/>
                <w:bCs/>
                <w:sz w:val="20"/>
                <w:szCs w:val="20"/>
              </w:rPr>
              <w:t>A:nd</w:t>
            </w:r>
            <w:proofErr w:type="spellEnd"/>
            <w:proofErr w:type="gramEnd"/>
            <w:r w:rsidRPr="00960A70">
              <w:rPr>
                <w:rFonts w:ascii="Courier New" w:hAnsi="Courier New" w:cs="Courier New"/>
                <w:bCs/>
                <w:sz w:val="20"/>
                <w:szCs w:val="20"/>
              </w:rPr>
              <w:t xml:space="preserve"> the floor that you’re on,</w:t>
            </w:r>
          </w:p>
        </w:tc>
      </w:tr>
    </w:tbl>
    <w:p w14:paraId="0EE8BB61" w14:textId="77777777" w:rsidR="00C33201" w:rsidRPr="00B67327" w:rsidRDefault="00C33201" w:rsidP="00C33201">
      <w:pPr>
        <w:spacing w:line="360" w:lineRule="auto"/>
        <w:jc w:val="both"/>
        <w:rPr>
          <w:bCs/>
        </w:rPr>
      </w:pPr>
    </w:p>
    <w:p w14:paraId="11692520" w14:textId="3D5256C5" w:rsidR="00C33201" w:rsidRPr="00B67327" w:rsidRDefault="00C33201" w:rsidP="00C33201">
      <w:pPr>
        <w:spacing w:line="360" w:lineRule="auto"/>
        <w:jc w:val="both"/>
        <w:rPr>
          <w:bCs/>
        </w:rPr>
      </w:pPr>
      <w:r w:rsidRPr="00B67327">
        <w:rPr>
          <w:bCs/>
        </w:rPr>
        <w:t>The next extract</w:t>
      </w:r>
      <w:r w:rsidR="00B61101">
        <w:rPr>
          <w:bCs/>
        </w:rPr>
        <w:t xml:space="preserve"> (13)</w:t>
      </w:r>
      <w:r w:rsidRPr="00B67327">
        <w:rPr>
          <w:bCs/>
        </w:rPr>
        <w:t xml:space="preserve"> also demonstrates the clinician’s lack of orientation to eliciting a full and correct response to this question. </w:t>
      </w:r>
      <w:proofErr w:type="gramStart"/>
      <w:r w:rsidRPr="00B67327">
        <w:rPr>
          <w:bCs/>
        </w:rPr>
        <w:t>For the purpose of</w:t>
      </w:r>
      <w:proofErr w:type="gramEnd"/>
      <w:r w:rsidRPr="00B67327">
        <w:rPr>
          <w:bCs/>
        </w:rPr>
        <w:t xml:space="preserve"> the transcript below we have used the pseudonym ‘</w:t>
      </w:r>
      <w:proofErr w:type="spellStart"/>
      <w:r w:rsidRPr="00B67327">
        <w:rPr>
          <w:bCs/>
        </w:rPr>
        <w:t>Sandington</w:t>
      </w:r>
      <w:proofErr w:type="spellEnd"/>
      <w:r w:rsidRPr="00B67327">
        <w:rPr>
          <w:bCs/>
        </w:rPr>
        <w:t>’ for the hospital name.</w:t>
      </w:r>
    </w:p>
    <w:p w14:paraId="09C1E889" w14:textId="77777777" w:rsidR="00C33201" w:rsidRPr="00B67327" w:rsidRDefault="00C33201" w:rsidP="00C33201">
      <w:pPr>
        <w:spacing w:line="360" w:lineRule="auto"/>
        <w:jc w:val="both"/>
        <w:rPr>
          <w:rFonts w:ascii="Courier New" w:hAnsi="Courier New" w:cs="Courier New"/>
          <w:bCs/>
          <w:sz w:val="20"/>
          <w:szCs w:val="20"/>
          <w:lang w:val="en-US"/>
        </w:rPr>
      </w:pPr>
    </w:p>
    <w:p w14:paraId="6F02942D" w14:textId="1F4DC833" w:rsidR="00C33201" w:rsidRDefault="00C33201" w:rsidP="00C33201">
      <w:pPr>
        <w:spacing w:line="360" w:lineRule="auto"/>
        <w:jc w:val="both"/>
        <w:rPr>
          <w:bCs/>
          <w:lang w:val="en-US"/>
        </w:rPr>
      </w:pPr>
      <w:r w:rsidRPr="00B67327">
        <w:rPr>
          <w:bCs/>
          <w:lang w:val="en-US"/>
        </w:rPr>
        <w:t xml:space="preserve">Extract 13 </w:t>
      </w:r>
    </w:p>
    <w:tbl>
      <w:tblPr>
        <w:tblStyle w:val="TableGrid"/>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6779"/>
      </w:tblGrid>
      <w:tr w:rsidR="003550A0" w:rsidRPr="00960A70" w14:paraId="1648D71C" w14:textId="77777777" w:rsidTr="00334B83">
        <w:tc>
          <w:tcPr>
            <w:tcW w:w="561" w:type="dxa"/>
          </w:tcPr>
          <w:p w14:paraId="16BC8200"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58D3FB90" w14:textId="42C26F4C"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57669AAE" w14:textId="52315513" w:rsidR="003550A0" w:rsidRPr="00960A70" w:rsidRDefault="003550A0"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What </w:t>
            </w:r>
            <w:r w:rsidRPr="00960A70">
              <w:rPr>
                <w:rFonts w:ascii="Courier New" w:hAnsi="Courier New" w:cs="Courier New"/>
                <w:bCs/>
                <w:sz w:val="20"/>
                <w:szCs w:val="20"/>
                <w:u w:val="single"/>
                <w:lang w:val="en-US"/>
              </w:rPr>
              <w:t>bui</w:t>
            </w:r>
            <w:r w:rsidRPr="00960A70">
              <w:rPr>
                <w:rFonts w:ascii="Courier New" w:hAnsi="Courier New" w:cs="Courier New"/>
                <w:bCs/>
                <w:sz w:val="20"/>
                <w:szCs w:val="20"/>
                <w:lang w:val="en-US"/>
              </w:rPr>
              <w:t xml:space="preserve">lding are we in at the </w:t>
            </w:r>
            <w:proofErr w:type="gramStart"/>
            <w:r w:rsidRPr="00960A70">
              <w:rPr>
                <w:rFonts w:ascii="Courier New" w:hAnsi="Courier New" w:cs="Courier New"/>
                <w:bCs/>
                <w:sz w:val="20"/>
                <w:szCs w:val="20"/>
                <w:lang w:val="en-US"/>
              </w:rPr>
              <w:t>moment,</w:t>
            </w:r>
            <w:proofErr w:type="gramEnd"/>
          </w:p>
        </w:tc>
      </w:tr>
      <w:tr w:rsidR="003550A0" w:rsidRPr="00960A70" w14:paraId="05177634" w14:textId="77777777" w:rsidTr="00334B83">
        <w:tc>
          <w:tcPr>
            <w:tcW w:w="561" w:type="dxa"/>
          </w:tcPr>
          <w:p w14:paraId="0371151B"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24436EAC" w14:textId="5A7C392E"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49F9895C" w14:textId="481998EC"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Pardon,</w:t>
            </w:r>
          </w:p>
        </w:tc>
      </w:tr>
      <w:tr w:rsidR="003550A0" w:rsidRPr="00960A70" w14:paraId="7622BCE6" w14:textId="77777777" w:rsidTr="00334B83">
        <w:tc>
          <w:tcPr>
            <w:tcW w:w="561" w:type="dxa"/>
          </w:tcPr>
          <w:p w14:paraId="701E4BF4"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5554D024" w14:textId="3070B8B0"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31C1E2B3" w14:textId="04B55807" w:rsidR="003550A0" w:rsidRPr="00960A70" w:rsidRDefault="003550A0" w:rsidP="007519D9">
            <w:pPr>
              <w:spacing w:line="360" w:lineRule="auto"/>
              <w:rPr>
                <w:rFonts w:ascii="Courier New" w:hAnsi="Courier New" w:cs="Courier New"/>
                <w:sz w:val="20"/>
                <w:szCs w:val="20"/>
              </w:rPr>
            </w:pPr>
            <w:r w:rsidRPr="00960A70">
              <w:rPr>
                <w:rFonts w:ascii="Courier New" w:hAnsi="Courier New" w:cs="Courier New"/>
                <w:bCs/>
                <w:sz w:val="20"/>
                <w:szCs w:val="20"/>
                <w:lang w:val="en-US"/>
              </w:rPr>
              <w:t xml:space="preserve">What's the name of this </w:t>
            </w:r>
            <w:proofErr w:type="gramStart"/>
            <w:r w:rsidRPr="00960A70">
              <w:rPr>
                <w:rFonts w:ascii="Courier New" w:hAnsi="Courier New" w:cs="Courier New"/>
                <w:bCs/>
                <w:sz w:val="20"/>
                <w:szCs w:val="20"/>
                <w:u w:val="single"/>
                <w:lang w:val="en-US"/>
              </w:rPr>
              <w:t>bui</w:t>
            </w:r>
            <w:r w:rsidRPr="00960A70">
              <w:rPr>
                <w:rFonts w:ascii="Courier New" w:hAnsi="Courier New" w:cs="Courier New"/>
                <w:bCs/>
                <w:sz w:val="20"/>
                <w:szCs w:val="20"/>
                <w:lang w:val="en-US"/>
              </w:rPr>
              <w:t>lding,</w:t>
            </w:r>
            <w:proofErr w:type="gramEnd"/>
          </w:p>
        </w:tc>
      </w:tr>
      <w:tr w:rsidR="003550A0" w:rsidRPr="00960A70" w14:paraId="283281C2" w14:textId="77777777" w:rsidTr="00334B83">
        <w:tc>
          <w:tcPr>
            <w:tcW w:w="561" w:type="dxa"/>
          </w:tcPr>
          <w:p w14:paraId="2DB5B586" w14:textId="77777777"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2F0193CC" w14:textId="54F97EAF" w:rsidR="003550A0" w:rsidRPr="00960A70" w:rsidRDefault="003550A0"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6A8FC2D6" w14:textId="16A4A2E8" w:rsidR="003550A0"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lang w:val="sv-SE"/>
              </w:rPr>
              <w:t xml:space="preserve">Oh </w:t>
            </w:r>
            <w:proofErr w:type="spellStart"/>
            <w:r w:rsidRPr="00960A70">
              <w:rPr>
                <w:rFonts w:ascii="Courier New" w:hAnsi="Courier New" w:cs="Courier New"/>
                <w:bCs/>
                <w:sz w:val="20"/>
                <w:szCs w:val="20"/>
                <w:lang w:val="sv-SE"/>
              </w:rPr>
              <w:t>it's</w:t>
            </w:r>
            <w:proofErr w:type="spellEnd"/>
            <w:r w:rsidRPr="00960A70">
              <w:rPr>
                <w:rFonts w:ascii="Courier New" w:hAnsi="Courier New" w:cs="Courier New"/>
                <w:bCs/>
                <w:sz w:val="20"/>
                <w:szCs w:val="20"/>
                <w:lang w:val="sv-SE"/>
              </w:rPr>
              <w:t xml:space="preserve"> er </w:t>
            </w:r>
            <w:proofErr w:type="gramStart"/>
            <w:r w:rsidRPr="00960A70">
              <w:rPr>
                <w:rFonts w:ascii="Courier New" w:hAnsi="Courier New" w:cs="Courier New"/>
                <w:bCs/>
                <w:sz w:val="20"/>
                <w:szCs w:val="20"/>
                <w:lang w:val="sv-SE"/>
              </w:rPr>
              <w:t>a- Sa</w:t>
            </w:r>
            <w:proofErr w:type="gramEnd"/>
            <w:r w:rsidRPr="00960A70">
              <w:rPr>
                <w:rFonts w:ascii="Courier New" w:hAnsi="Courier New" w:cs="Courier New"/>
                <w:bCs/>
                <w:sz w:val="20"/>
                <w:szCs w:val="20"/>
                <w:lang w:val="sv-SE"/>
              </w:rPr>
              <w:t xml:space="preserve">- Sa- Sa- (0.4) </w:t>
            </w:r>
            <w:proofErr w:type="spellStart"/>
            <w:r w:rsidRPr="00960A70">
              <w:rPr>
                <w:rFonts w:ascii="Courier New" w:hAnsi="Courier New" w:cs="Courier New"/>
                <w:bCs/>
                <w:sz w:val="20"/>
                <w:szCs w:val="20"/>
                <w:lang w:val="sv-SE"/>
              </w:rPr>
              <w:t>hhh</w:t>
            </w:r>
            <w:proofErr w:type="spellEnd"/>
            <w:r w:rsidRPr="00960A70">
              <w:rPr>
                <w:rFonts w:ascii="Courier New" w:hAnsi="Courier New" w:cs="Courier New"/>
                <w:bCs/>
                <w:sz w:val="20"/>
                <w:szCs w:val="20"/>
                <w:lang w:val="sv-SE"/>
              </w:rPr>
              <w:t xml:space="preserve"> </w:t>
            </w:r>
            <w:proofErr w:type="spellStart"/>
            <w:r w:rsidRPr="00960A70">
              <w:rPr>
                <w:rFonts w:ascii="Courier New" w:hAnsi="Courier New" w:cs="Courier New"/>
                <w:bCs/>
                <w:sz w:val="20"/>
                <w:szCs w:val="20"/>
                <w:lang w:val="sv-SE"/>
              </w:rPr>
              <w:t>it's</w:t>
            </w:r>
            <w:proofErr w:type="spellEnd"/>
          </w:p>
        </w:tc>
      </w:tr>
      <w:tr w:rsidR="00334B83" w:rsidRPr="00960A70" w14:paraId="440E22C8" w14:textId="77777777" w:rsidTr="00334B83">
        <w:tc>
          <w:tcPr>
            <w:tcW w:w="561" w:type="dxa"/>
          </w:tcPr>
          <w:p w14:paraId="19CB3047" w14:textId="30E51968"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2307C09A"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7B749F3F" w14:textId="4F621A5B" w:rsidR="00334B83" w:rsidRPr="00960A70" w:rsidRDefault="00334B83" w:rsidP="007519D9">
            <w:pPr>
              <w:spacing w:line="360" w:lineRule="auto"/>
              <w:jc w:val="both"/>
              <w:rPr>
                <w:rFonts w:ascii="Courier New" w:hAnsi="Courier New" w:cs="Courier New"/>
                <w:bCs/>
                <w:sz w:val="20"/>
                <w:szCs w:val="20"/>
                <w:lang w:val="sv-SE"/>
              </w:rPr>
            </w:pPr>
            <w:r w:rsidRPr="00960A70">
              <w:rPr>
                <w:rFonts w:ascii="Courier New" w:hAnsi="Courier New" w:cs="Courier New"/>
                <w:bCs/>
                <w:sz w:val="20"/>
                <w:szCs w:val="20"/>
                <w:lang w:val="en-US"/>
              </w:rPr>
              <w:t xml:space="preserve">got S (0.6) </w:t>
            </w:r>
            <w:proofErr w:type="gramStart"/>
            <w:r w:rsidRPr="00960A70">
              <w:rPr>
                <w:rFonts w:ascii="Courier New" w:hAnsi="Courier New" w:cs="Courier New"/>
                <w:bCs/>
                <w:sz w:val="20"/>
                <w:szCs w:val="20"/>
                <w:lang w:val="en-US"/>
              </w:rPr>
              <w:t>um::,</w:t>
            </w:r>
            <w:proofErr w:type="gramEnd"/>
            <w:r w:rsidRPr="00960A70">
              <w:rPr>
                <w:rFonts w:ascii="Courier New" w:hAnsi="Courier New" w:cs="Courier New"/>
                <w:bCs/>
                <w:sz w:val="20"/>
                <w:szCs w:val="20"/>
                <w:lang w:val="en-US"/>
              </w:rPr>
              <w:t xml:space="preserve"> (0.4) tch I've been</w:t>
            </w:r>
          </w:p>
        </w:tc>
      </w:tr>
      <w:tr w:rsidR="00334B83" w:rsidRPr="00960A70" w14:paraId="327FC200" w14:textId="77777777" w:rsidTr="00334B83">
        <w:tc>
          <w:tcPr>
            <w:tcW w:w="561" w:type="dxa"/>
          </w:tcPr>
          <w:p w14:paraId="1216DB0F" w14:textId="00683AA4"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11DE7A5C"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1F08DFD5" w14:textId="70FAE344"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here (.) </w:t>
            </w:r>
            <w:r w:rsidRPr="00960A70">
              <w:rPr>
                <w:rFonts w:ascii="Courier New" w:hAnsi="Courier New" w:cs="Courier New"/>
                <w:bCs/>
                <w:sz w:val="20"/>
                <w:szCs w:val="20"/>
                <w:u w:val="single"/>
                <w:lang w:val="en-US"/>
              </w:rPr>
              <w:t>man</w:t>
            </w:r>
            <w:r w:rsidRPr="00960A70">
              <w:rPr>
                <w:rFonts w:ascii="Courier New" w:hAnsi="Courier New" w:cs="Courier New"/>
                <w:bCs/>
                <w:sz w:val="20"/>
                <w:szCs w:val="20"/>
                <w:lang w:val="en-US"/>
              </w:rPr>
              <w:t xml:space="preserve">y times. </w:t>
            </w:r>
            <w:proofErr w:type="spellStart"/>
            <w:r w:rsidRPr="00960A70">
              <w:rPr>
                <w:rFonts w:ascii="Courier New" w:hAnsi="Courier New" w:cs="Courier New"/>
                <w:bCs/>
                <w:sz w:val="20"/>
                <w:szCs w:val="20"/>
                <w:u w:val="single"/>
                <w:lang w:val="en-US"/>
              </w:rPr>
              <w:t>Sad</w:t>
            </w:r>
            <w:r w:rsidRPr="00960A70">
              <w:rPr>
                <w:rFonts w:ascii="Courier New" w:hAnsi="Courier New" w:cs="Courier New"/>
                <w:bCs/>
                <w:sz w:val="20"/>
                <w:szCs w:val="20"/>
                <w:lang w:val="en-US"/>
              </w:rPr>
              <w:t>n</w:t>
            </w:r>
            <w:proofErr w:type="spellEnd"/>
            <w:r w:rsidRPr="00960A70">
              <w:rPr>
                <w:rFonts w:ascii="Courier New" w:hAnsi="Courier New" w:cs="Courier New"/>
                <w:bCs/>
                <w:sz w:val="20"/>
                <w:szCs w:val="20"/>
                <w:lang w:val="en-US"/>
              </w:rPr>
              <w:t>- Sandi- Sandi-</w:t>
            </w:r>
          </w:p>
        </w:tc>
      </w:tr>
      <w:tr w:rsidR="00334B83" w:rsidRPr="00960A70" w14:paraId="7CFCA43D" w14:textId="77777777" w:rsidTr="00334B83">
        <w:tc>
          <w:tcPr>
            <w:tcW w:w="561" w:type="dxa"/>
          </w:tcPr>
          <w:p w14:paraId="561532F8" w14:textId="01544F5A"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065142B1"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767837AB" w14:textId="48ABD58D"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w:t>
            </w:r>
            <w:proofErr w:type="gramStart"/>
            <w:r w:rsidRPr="00960A70">
              <w:rPr>
                <w:rFonts w:ascii="Courier New" w:hAnsi="Courier New" w:cs="Courier New"/>
                <w:bCs/>
                <w:sz w:val="20"/>
                <w:szCs w:val="20"/>
                <w:lang w:val="en-US"/>
              </w:rPr>
              <w:t>0.4)HHH</w:t>
            </w:r>
            <w:proofErr w:type="gramEnd"/>
            <w:r w:rsidRPr="00960A70">
              <w:rPr>
                <w:rFonts w:ascii="Courier New" w:hAnsi="Courier New" w:cs="Courier New"/>
                <w:bCs/>
                <w:sz w:val="20"/>
                <w:szCs w:val="20"/>
                <w:lang w:val="en-US"/>
              </w:rPr>
              <w:t xml:space="preserve"> Sa- </w:t>
            </w:r>
            <w:proofErr w:type="spellStart"/>
            <w:r w:rsidRPr="00960A70">
              <w:rPr>
                <w:rFonts w:ascii="Courier New" w:hAnsi="Courier New" w:cs="Courier New"/>
                <w:bCs/>
                <w:sz w:val="20"/>
                <w:szCs w:val="20"/>
                <w:lang w:val="en-US"/>
              </w:rPr>
              <w:t>Sadding</w:t>
            </w:r>
            <w:proofErr w:type="spellEnd"/>
            <w:r w:rsidRPr="00960A70">
              <w:rPr>
                <w:rFonts w:ascii="Courier New" w:hAnsi="Courier New" w:cs="Courier New"/>
                <w:bCs/>
                <w:sz w:val="20"/>
                <w:szCs w:val="20"/>
                <w:lang w:val="en-US"/>
              </w:rPr>
              <w:t>- or something like that.</w:t>
            </w:r>
          </w:p>
        </w:tc>
      </w:tr>
      <w:tr w:rsidR="00334B83" w:rsidRPr="00960A70" w14:paraId="573FF57C" w14:textId="77777777" w:rsidTr="00334B83">
        <w:tc>
          <w:tcPr>
            <w:tcW w:w="561" w:type="dxa"/>
          </w:tcPr>
          <w:p w14:paraId="288EB270" w14:textId="75B9E8FE"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05603C59" w14:textId="498396AE"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57F7C4A6" w14:textId="524147D9"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That's </w:t>
            </w:r>
            <w:proofErr w:type="gramStart"/>
            <w:r w:rsidRPr="00960A70">
              <w:rPr>
                <w:rFonts w:ascii="Courier New" w:hAnsi="Courier New" w:cs="Courier New"/>
                <w:bCs/>
                <w:sz w:val="20"/>
                <w:szCs w:val="20"/>
                <w:lang w:val="en-US"/>
              </w:rPr>
              <w:t>right.=</w:t>
            </w:r>
            <w:proofErr w:type="gramEnd"/>
            <w:r w:rsidRPr="00960A70">
              <w:rPr>
                <w:rFonts w:ascii="Courier New" w:hAnsi="Courier New" w:cs="Courier New"/>
                <w:bCs/>
                <w:sz w:val="20"/>
                <w:szCs w:val="20"/>
                <w:lang w:val="en-US"/>
              </w:rPr>
              <w:t xml:space="preserve"> Yeah. The </w:t>
            </w:r>
            <w:proofErr w:type="spellStart"/>
            <w:proofErr w:type="gramStart"/>
            <w:r w:rsidRPr="00960A70">
              <w:rPr>
                <w:rFonts w:ascii="Courier New" w:hAnsi="Courier New" w:cs="Courier New"/>
                <w:bCs/>
                <w:sz w:val="20"/>
                <w:szCs w:val="20"/>
                <w:lang w:val="en-US"/>
              </w:rPr>
              <w:t>Sandington</w:t>
            </w:r>
            <w:proofErr w:type="spellEnd"/>
            <w:r w:rsidRPr="00960A70">
              <w:rPr>
                <w:rFonts w:ascii="Courier New" w:hAnsi="Courier New" w:cs="Courier New"/>
                <w:bCs/>
                <w:sz w:val="20"/>
                <w:szCs w:val="20"/>
                <w:lang w:val="en-US"/>
              </w:rPr>
              <w:t>.=</w:t>
            </w:r>
            <w:proofErr w:type="gramEnd"/>
          </w:p>
        </w:tc>
      </w:tr>
      <w:tr w:rsidR="00334B83" w:rsidRPr="00960A70" w14:paraId="394E29D4" w14:textId="77777777" w:rsidTr="00334B83">
        <w:tc>
          <w:tcPr>
            <w:tcW w:w="561" w:type="dxa"/>
          </w:tcPr>
          <w:p w14:paraId="47FD36CE" w14:textId="2B959674"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582C527A" w14:textId="42006FFD"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376503C3" w14:textId="302BF8D9" w:rsidR="00334B83" w:rsidRPr="00960A70" w:rsidRDefault="00334B83" w:rsidP="007519D9">
            <w:pPr>
              <w:spacing w:line="360" w:lineRule="auto"/>
              <w:jc w:val="both"/>
              <w:rPr>
                <w:rFonts w:ascii="Courier New" w:hAnsi="Courier New" w:cs="Courier New"/>
                <w:bCs/>
                <w:sz w:val="20"/>
                <w:szCs w:val="20"/>
                <w:lang w:val="en-US"/>
              </w:rPr>
            </w:pPr>
            <w:proofErr w:type="spellStart"/>
            <w:r w:rsidRPr="00960A70">
              <w:rPr>
                <w:rFonts w:ascii="Courier New" w:hAnsi="Courier New" w:cs="Courier New"/>
                <w:bCs/>
                <w:sz w:val="20"/>
                <w:szCs w:val="20"/>
                <w:lang w:val="en-US"/>
              </w:rPr>
              <w:t>SANDington</w:t>
            </w:r>
            <w:proofErr w:type="spellEnd"/>
            <w:r w:rsidRPr="00960A70">
              <w:rPr>
                <w:rFonts w:ascii="Courier New" w:hAnsi="Courier New" w:cs="Courier New"/>
                <w:bCs/>
                <w:sz w:val="20"/>
                <w:szCs w:val="20"/>
                <w:lang w:val="en-US"/>
              </w:rPr>
              <w:t>. Yeah.</w:t>
            </w:r>
          </w:p>
        </w:tc>
      </w:tr>
      <w:tr w:rsidR="00334B83" w:rsidRPr="00960A70" w14:paraId="3AA312E5" w14:textId="77777777" w:rsidTr="00334B83">
        <w:tc>
          <w:tcPr>
            <w:tcW w:w="561" w:type="dxa"/>
          </w:tcPr>
          <w:p w14:paraId="1568BD84" w14:textId="4AAF04C2"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6E3B2B9F" w14:textId="5F45FB8C"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6F055537" w14:textId="5AE9FC97"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&gt;°Good°. And </w:t>
            </w:r>
            <w:proofErr w:type="spellStart"/>
            <w:r w:rsidRPr="00960A70">
              <w:rPr>
                <w:rFonts w:ascii="Courier New" w:hAnsi="Courier New" w:cs="Courier New"/>
                <w:bCs/>
                <w:sz w:val="20"/>
                <w:szCs w:val="20"/>
                <w:lang w:val="en-US"/>
              </w:rPr>
              <w:t>wha</w:t>
            </w:r>
            <w:proofErr w:type="spellEnd"/>
            <w:r w:rsidRPr="00960A70">
              <w:rPr>
                <w:rFonts w:ascii="Courier New" w:hAnsi="Courier New" w:cs="Courier New"/>
                <w:bCs/>
                <w:sz w:val="20"/>
                <w:szCs w:val="20"/>
                <w:lang w:val="en-US"/>
              </w:rPr>
              <w:t xml:space="preserve">-&lt; do you know what </w:t>
            </w:r>
            <w:r w:rsidRPr="00960A70">
              <w:rPr>
                <w:rFonts w:ascii="Courier New" w:hAnsi="Courier New" w:cs="Courier New"/>
                <w:bCs/>
                <w:sz w:val="20"/>
                <w:szCs w:val="20"/>
                <w:u w:val="single"/>
                <w:lang w:val="en-US"/>
              </w:rPr>
              <w:t>floo</w:t>
            </w:r>
            <w:r w:rsidRPr="00960A70">
              <w:rPr>
                <w:rFonts w:ascii="Courier New" w:hAnsi="Courier New" w:cs="Courier New"/>
                <w:bCs/>
                <w:sz w:val="20"/>
                <w:szCs w:val="20"/>
                <w:lang w:val="en-US"/>
              </w:rPr>
              <w:t>r we're on,</w:t>
            </w:r>
          </w:p>
        </w:tc>
      </w:tr>
      <w:tr w:rsidR="00334B83" w:rsidRPr="00960A70" w14:paraId="2EA6E42F" w14:textId="77777777" w:rsidTr="00334B83">
        <w:tc>
          <w:tcPr>
            <w:tcW w:w="561" w:type="dxa"/>
          </w:tcPr>
          <w:p w14:paraId="56D2FAE2" w14:textId="03F60C95"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11</w:t>
            </w:r>
          </w:p>
        </w:tc>
        <w:tc>
          <w:tcPr>
            <w:tcW w:w="877" w:type="dxa"/>
          </w:tcPr>
          <w:p w14:paraId="76EF873D" w14:textId="4E3E9C8B"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5E2438E0" w14:textId="07E6523D" w:rsidR="00334B83" w:rsidRPr="00960A70" w:rsidRDefault="00334B83" w:rsidP="007519D9">
            <w:pPr>
              <w:spacing w:line="360" w:lineRule="auto"/>
              <w:jc w:val="both"/>
              <w:rPr>
                <w:rFonts w:ascii="Courier New" w:hAnsi="Courier New" w:cs="Courier New"/>
                <w:bCs/>
                <w:sz w:val="20"/>
                <w:szCs w:val="20"/>
                <w:lang w:val="en-US"/>
              </w:rPr>
            </w:pPr>
            <w:proofErr w:type="gramStart"/>
            <w:r w:rsidRPr="00960A70">
              <w:rPr>
                <w:rFonts w:ascii="Courier New" w:hAnsi="Courier New" w:cs="Courier New"/>
                <w:bCs/>
                <w:sz w:val="20"/>
                <w:szCs w:val="20"/>
                <w:lang w:val="en-US"/>
              </w:rPr>
              <w:t>Yes:.</w:t>
            </w:r>
            <w:proofErr w:type="gramEnd"/>
          </w:p>
        </w:tc>
      </w:tr>
      <w:tr w:rsidR="00334B83" w:rsidRPr="00960A70" w14:paraId="3442E33A" w14:textId="77777777" w:rsidTr="00334B83">
        <w:tc>
          <w:tcPr>
            <w:tcW w:w="561" w:type="dxa"/>
          </w:tcPr>
          <w:p w14:paraId="3F4774C5" w14:textId="40234797"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12</w:t>
            </w:r>
          </w:p>
        </w:tc>
        <w:tc>
          <w:tcPr>
            <w:tcW w:w="877" w:type="dxa"/>
          </w:tcPr>
          <w:p w14:paraId="335792B1" w14:textId="2D6A252E"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41A36412" w14:textId="76866966"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What floor is it,</w:t>
            </w:r>
          </w:p>
        </w:tc>
      </w:tr>
      <w:tr w:rsidR="00334B83" w:rsidRPr="00960A70" w14:paraId="44C0D80E" w14:textId="77777777" w:rsidTr="00334B83">
        <w:tc>
          <w:tcPr>
            <w:tcW w:w="561" w:type="dxa"/>
          </w:tcPr>
          <w:p w14:paraId="71A26462" w14:textId="75BC318B"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13</w:t>
            </w:r>
          </w:p>
        </w:tc>
        <w:tc>
          <w:tcPr>
            <w:tcW w:w="877" w:type="dxa"/>
          </w:tcPr>
          <w:p w14:paraId="7DF1F304"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4604E48D" w14:textId="75077B0C"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(0.2)</w:t>
            </w:r>
          </w:p>
        </w:tc>
      </w:tr>
      <w:tr w:rsidR="00334B83" w:rsidRPr="00960A70" w14:paraId="4F3A49E7" w14:textId="77777777" w:rsidTr="00334B83">
        <w:tc>
          <w:tcPr>
            <w:tcW w:w="561" w:type="dxa"/>
          </w:tcPr>
          <w:p w14:paraId="07A7338A" w14:textId="0F8ACDF7"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14</w:t>
            </w:r>
          </w:p>
        </w:tc>
        <w:tc>
          <w:tcPr>
            <w:tcW w:w="877" w:type="dxa"/>
          </w:tcPr>
          <w:p w14:paraId="3470E83C" w14:textId="14F27B72"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6A8A1AFD" w14:textId="418803ED"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(Floor letter)</w:t>
            </w:r>
          </w:p>
        </w:tc>
      </w:tr>
      <w:tr w:rsidR="00334B83" w:rsidRPr="00960A70" w14:paraId="34E42686" w14:textId="77777777" w:rsidTr="00334B83">
        <w:tc>
          <w:tcPr>
            <w:tcW w:w="561" w:type="dxa"/>
          </w:tcPr>
          <w:p w14:paraId="77B093E7" w14:textId="6B829FF3"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15</w:t>
            </w:r>
          </w:p>
        </w:tc>
        <w:tc>
          <w:tcPr>
            <w:tcW w:w="877" w:type="dxa"/>
          </w:tcPr>
          <w:p w14:paraId="4C27099E" w14:textId="6A2798EA"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10A8C041" w14:textId="5C2CC152"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Very good. What's the name of the town we're </w:t>
            </w:r>
            <w:proofErr w:type="gramStart"/>
            <w:r w:rsidRPr="00960A70">
              <w:rPr>
                <w:rFonts w:ascii="Courier New" w:hAnsi="Courier New" w:cs="Courier New"/>
                <w:bCs/>
                <w:sz w:val="20"/>
                <w:szCs w:val="20"/>
                <w:lang w:val="en-US"/>
              </w:rPr>
              <w:t>in,</w:t>
            </w:r>
            <w:proofErr w:type="gramEnd"/>
          </w:p>
        </w:tc>
      </w:tr>
      <w:tr w:rsidR="00334B83" w:rsidRPr="00960A70" w14:paraId="4F804C0A" w14:textId="77777777" w:rsidTr="00334B83">
        <w:tc>
          <w:tcPr>
            <w:tcW w:w="561" w:type="dxa"/>
          </w:tcPr>
          <w:p w14:paraId="6370564D" w14:textId="4845F06F"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16</w:t>
            </w:r>
          </w:p>
        </w:tc>
        <w:tc>
          <w:tcPr>
            <w:tcW w:w="877" w:type="dxa"/>
          </w:tcPr>
          <w:p w14:paraId="67ABB30B" w14:textId="668DFABD"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41009C7D" w14:textId="23AD0D4F"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^Well it’s (City </w:t>
            </w:r>
            <w:proofErr w:type="gramStart"/>
            <w:r w:rsidRPr="00960A70">
              <w:rPr>
                <w:rFonts w:ascii="Courier New" w:hAnsi="Courier New" w:cs="Courier New"/>
                <w:bCs/>
                <w:sz w:val="20"/>
                <w:szCs w:val="20"/>
                <w:lang w:val="en-US"/>
              </w:rPr>
              <w:t>name)^</w:t>
            </w:r>
            <w:proofErr w:type="gramEnd"/>
            <w:r w:rsidRPr="00960A70">
              <w:rPr>
                <w:rFonts w:ascii="Courier New" w:hAnsi="Courier New" w:cs="Courier New"/>
                <w:bCs/>
                <w:sz w:val="20"/>
                <w:szCs w:val="20"/>
                <w:lang w:val="en-US"/>
              </w:rPr>
              <w:t>.</w:t>
            </w:r>
          </w:p>
        </w:tc>
      </w:tr>
      <w:tr w:rsidR="00334B83" w:rsidRPr="00960A70" w14:paraId="0ED5C334" w14:textId="77777777" w:rsidTr="00334B83">
        <w:tc>
          <w:tcPr>
            <w:tcW w:w="561" w:type="dxa"/>
          </w:tcPr>
          <w:p w14:paraId="2D1ADF63" w14:textId="5ACB883A"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17</w:t>
            </w:r>
          </w:p>
        </w:tc>
        <w:tc>
          <w:tcPr>
            <w:tcW w:w="877" w:type="dxa"/>
          </w:tcPr>
          <w:p w14:paraId="7AF89C79" w14:textId="2F8DBA2D"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2E97C10C" w14:textId="2D401395"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And the county,</w:t>
            </w:r>
          </w:p>
        </w:tc>
      </w:tr>
      <w:tr w:rsidR="00334B83" w:rsidRPr="00960A70" w14:paraId="23985281" w14:textId="77777777" w:rsidTr="00334B83">
        <w:tc>
          <w:tcPr>
            <w:tcW w:w="561" w:type="dxa"/>
          </w:tcPr>
          <w:p w14:paraId="3EF86D47" w14:textId="426E5458"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18</w:t>
            </w:r>
          </w:p>
        </w:tc>
        <w:tc>
          <w:tcPr>
            <w:tcW w:w="877" w:type="dxa"/>
          </w:tcPr>
          <w:p w14:paraId="5B850CBD" w14:textId="49A37879"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1A46A799" w14:textId="25094117" w:rsidR="00334B83" w:rsidRPr="00960A70" w:rsidRDefault="00334B83" w:rsidP="007519D9">
            <w:pPr>
              <w:spacing w:line="360" w:lineRule="auto"/>
              <w:jc w:val="both"/>
              <w:rPr>
                <w:rFonts w:ascii="Courier New" w:hAnsi="Courier New" w:cs="Courier New"/>
                <w:bCs/>
                <w:sz w:val="20"/>
                <w:szCs w:val="20"/>
                <w:lang w:val="en-US"/>
              </w:rPr>
            </w:pPr>
            <w:proofErr w:type="gramStart"/>
            <w:r w:rsidRPr="00960A70">
              <w:rPr>
                <w:rFonts w:ascii="Courier New" w:hAnsi="Courier New" w:cs="Courier New"/>
                <w:bCs/>
                <w:sz w:val="20"/>
                <w:szCs w:val="20"/>
                <w:lang w:val="en-US"/>
              </w:rPr>
              <w:t>Er::</w:t>
            </w:r>
            <w:proofErr w:type="gramEnd"/>
            <w:r w:rsidRPr="00960A70">
              <w:rPr>
                <w:rFonts w:ascii="Courier New" w:hAnsi="Courier New" w:cs="Courier New"/>
                <w:bCs/>
                <w:sz w:val="20"/>
                <w:szCs w:val="20"/>
                <w:lang w:val="en-US"/>
              </w:rPr>
              <w:t xml:space="preserve"> (County name).</w:t>
            </w:r>
          </w:p>
        </w:tc>
      </w:tr>
      <w:tr w:rsidR="00334B83" w:rsidRPr="00960A70" w14:paraId="0B879209" w14:textId="77777777" w:rsidTr="00334B83">
        <w:tc>
          <w:tcPr>
            <w:tcW w:w="561" w:type="dxa"/>
          </w:tcPr>
          <w:p w14:paraId="041CEAF3" w14:textId="53A7D993"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19</w:t>
            </w:r>
          </w:p>
        </w:tc>
        <w:tc>
          <w:tcPr>
            <w:tcW w:w="877" w:type="dxa"/>
          </w:tcPr>
          <w:p w14:paraId="646E1928" w14:textId="2A7977C4"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6EC80C2A" w14:textId="6316B144"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And the: country,</w:t>
            </w:r>
          </w:p>
        </w:tc>
      </w:tr>
      <w:tr w:rsidR="00334B83" w:rsidRPr="00960A70" w14:paraId="0AEA88A7" w14:textId="77777777" w:rsidTr="00334B83">
        <w:tc>
          <w:tcPr>
            <w:tcW w:w="561" w:type="dxa"/>
          </w:tcPr>
          <w:p w14:paraId="27B3BE55" w14:textId="310EC865"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20</w:t>
            </w:r>
          </w:p>
        </w:tc>
        <w:tc>
          <w:tcPr>
            <w:tcW w:w="877" w:type="dxa"/>
          </w:tcPr>
          <w:p w14:paraId="3599923B"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5F8BA29F" w14:textId="7AD87255"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(0.2)</w:t>
            </w:r>
          </w:p>
        </w:tc>
      </w:tr>
      <w:tr w:rsidR="00334B83" w:rsidRPr="00960A70" w14:paraId="59AEEBB2" w14:textId="77777777" w:rsidTr="00334B83">
        <w:tc>
          <w:tcPr>
            <w:tcW w:w="561" w:type="dxa"/>
          </w:tcPr>
          <w:p w14:paraId="507DEF6B" w14:textId="7936F3D6"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21</w:t>
            </w:r>
          </w:p>
        </w:tc>
        <w:tc>
          <w:tcPr>
            <w:tcW w:w="877" w:type="dxa"/>
          </w:tcPr>
          <w:p w14:paraId="0A56BBEF" w14:textId="051A0AF3"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3C746E0E" w14:textId="7DD2A643"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And the country, (0.2) </w:t>
            </w:r>
            <w:proofErr w:type="gramStart"/>
            <w:r w:rsidRPr="00960A70">
              <w:rPr>
                <w:rFonts w:ascii="Courier New" w:hAnsi="Courier New" w:cs="Courier New"/>
                <w:bCs/>
                <w:sz w:val="20"/>
                <w:szCs w:val="20"/>
                <w:lang w:val="en-US"/>
              </w:rPr>
              <w:t>erm:::</w:t>
            </w:r>
            <w:proofErr w:type="gramEnd"/>
            <w:r w:rsidRPr="00960A70">
              <w:rPr>
                <w:rFonts w:ascii="Courier New" w:hAnsi="Courier New" w:cs="Courier New"/>
                <w:bCs/>
                <w:sz w:val="20"/>
                <w:szCs w:val="20"/>
                <w:lang w:val="en-US"/>
              </w:rPr>
              <w:t xml:space="preserve"> ye- the whole</w:t>
            </w:r>
          </w:p>
        </w:tc>
      </w:tr>
      <w:tr w:rsidR="00334B83" w:rsidRPr="00960A70" w14:paraId="269F3FEF" w14:textId="77777777" w:rsidTr="00334B83">
        <w:tc>
          <w:tcPr>
            <w:tcW w:w="561" w:type="dxa"/>
          </w:tcPr>
          <w:p w14:paraId="51321E26" w14:textId="247967C8"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22</w:t>
            </w:r>
          </w:p>
        </w:tc>
        <w:tc>
          <w:tcPr>
            <w:tcW w:w="877" w:type="dxa"/>
          </w:tcPr>
          <w:p w14:paraId="0ABB826E"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56877BA5" w14:textId="46A7E289"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of it, erm: ^I don't know^,</w:t>
            </w:r>
          </w:p>
        </w:tc>
      </w:tr>
      <w:tr w:rsidR="00334B83" w:rsidRPr="00960A70" w14:paraId="1FAB471C" w14:textId="77777777" w:rsidTr="00334B83">
        <w:tc>
          <w:tcPr>
            <w:tcW w:w="561" w:type="dxa"/>
          </w:tcPr>
          <w:p w14:paraId="25C04521" w14:textId="007E5181"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23</w:t>
            </w:r>
          </w:p>
        </w:tc>
        <w:tc>
          <w:tcPr>
            <w:tcW w:w="877" w:type="dxa"/>
          </w:tcPr>
          <w:p w14:paraId="5C28DCFA"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26B2426E" w14:textId="46318AAF"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(0.4)</w:t>
            </w:r>
          </w:p>
        </w:tc>
      </w:tr>
      <w:tr w:rsidR="00334B83" w:rsidRPr="00960A70" w14:paraId="4536F07F" w14:textId="77777777" w:rsidTr="00334B83">
        <w:tc>
          <w:tcPr>
            <w:tcW w:w="561" w:type="dxa"/>
          </w:tcPr>
          <w:p w14:paraId="039CF0E6" w14:textId="7DE0B42E"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24</w:t>
            </w:r>
          </w:p>
        </w:tc>
        <w:tc>
          <w:tcPr>
            <w:tcW w:w="877" w:type="dxa"/>
          </w:tcPr>
          <w:p w14:paraId="36D256AF" w14:textId="21832436"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Com:</w:t>
            </w:r>
          </w:p>
        </w:tc>
        <w:tc>
          <w:tcPr>
            <w:tcW w:w="6779" w:type="dxa"/>
          </w:tcPr>
          <w:p w14:paraId="3E545B14" w14:textId="44389451" w:rsidR="00334B83" w:rsidRPr="00960A70" w:rsidRDefault="00334B83" w:rsidP="007519D9">
            <w:pPr>
              <w:spacing w:line="360" w:lineRule="auto"/>
              <w:jc w:val="both"/>
              <w:rPr>
                <w:rFonts w:ascii="Courier New" w:hAnsi="Courier New" w:cs="Courier New"/>
                <w:b/>
                <w:sz w:val="20"/>
                <w:szCs w:val="20"/>
                <w:lang w:val="en-US"/>
              </w:rPr>
            </w:pPr>
            <w:proofErr w:type="gramStart"/>
            <w:r w:rsidRPr="00960A70">
              <w:rPr>
                <w:rFonts w:ascii="Courier New" w:hAnsi="Courier New" w:cs="Courier New"/>
                <w:bCs/>
                <w:sz w:val="20"/>
                <w:szCs w:val="20"/>
                <w:lang w:val="en-US"/>
              </w:rPr>
              <w:t>.</w:t>
            </w:r>
            <w:proofErr w:type="spellStart"/>
            <w:r w:rsidRPr="00960A70">
              <w:rPr>
                <w:rFonts w:ascii="Courier New" w:hAnsi="Courier New" w:cs="Courier New"/>
                <w:bCs/>
                <w:sz w:val="20"/>
                <w:szCs w:val="20"/>
                <w:lang w:val="en-US"/>
              </w:rPr>
              <w:t>hhhhh</w:t>
            </w:r>
            <w:proofErr w:type="spellEnd"/>
            <w:proofErr w:type="gramEnd"/>
            <w:r w:rsidRPr="00960A70">
              <w:rPr>
                <w:rFonts w:ascii="Courier New" w:hAnsi="Courier New" w:cs="Courier New"/>
                <w:bCs/>
                <w:sz w:val="20"/>
                <w:szCs w:val="20"/>
                <w:lang w:val="en-US"/>
              </w:rPr>
              <w:t xml:space="preserve"> </w:t>
            </w:r>
            <w:proofErr w:type="spellStart"/>
            <w:r w:rsidRPr="00960A70">
              <w:rPr>
                <w:rFonts w:ascii="Courier New" w:hAnsi="Courier New" w:cs="Courier New"/>
                <w:bCs/>
                <w:sz w:val="20"/>
                <w:szCs w:val="20"/>
                <w:lang w:val="en-US"/>
              </w:rPr>
              <w:t>hhhh</w:t>
            </w:r>
            <w:proofErr w:type="spellEnd"/>
          </w:p>
        </w:tc>
      </w:tr>
      <w:tr w:rsidR="00334B83" w:rsidRPr="00960A70" w14:paraId="26A2F1E5" w14:textId="77777777" w:rsidTr="00334B83">
        <w:tc>
          <w:tcPr>
            <w:tcW w:w="561" w:type="dxa"/>
          </w:tcPr>
          <w:p w14:paraId="60E241E3" w14:textId="2FA1A424"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25</w:t>
            </w:r>
          </w:p>
        </w:tc>
        <w:tc>
          <w:tcPr>
            <w:tcW w:w="877" w:type="dxa"/>
          </w:tcPr>
          <w:p w14:paraId="63068DF6" w14:textId="77777777" w:rsidR="00334B83" w:rsidRPr="00960A70" w:rsidRDefault="00334B83" w:rsidP="007519D9">
            <w:pPr>
              <w:spacing w:line="360" w:lineRule="auto"/>
              <w:jc w:val="both"/>
              <w:rPr>
                <w:rFonts w:ascii="Courier New" w:hAnsi="Courier New" w:cs="Courier New"/>
                <w:bCs/>
                <w:sz w:val="20"/>
                <w:szCs w:val="20"/>
              </w:rPr>
            </w:pPr>
          </w:p>
        </w:tc>
        <w:tc>
          <w:tcPr>
            <w:tcW w:w="6779" w:type="dxa"/>
          </w:tcPr>
          <w:p w14:paraId="0D80F0CF" w14:textId="230F1716"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(0.6)</w:t>
            </w:r>
          </w:p>
        </w:tc>
      </w:tr>
      <w:tr w:rsidR="00334B83" w:rsidRPr="00960A70" w14:paraId="4E60474F" w14:textId="77777777" w:rsidTr="00334B83">
        <w:tc>
          <w:tcPr>
            <w:tcW w:w="561" w:type="dxa"/>
          </w:tcPr>
          <w:p w14:paraId="445B66D6" w14:textId="0E6AF18E"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26</w:t>
            </w:r>
          </w:p>
        </w:tc>
        <w:tc>
          <w:tcPr>
            <w:tcW w:w="877" w:type="dxa"/>
          </w:tcPr>
          <w:p w14:paraId="018507AC" w14:textId="54438EB4"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6779" w:type="dxa"/>
          </w:tcPr>
          <w:p w14:paraId="6784027C" w14:textId="7EEF8E5D"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No, it goes, you see,</w:t>
            </w:r>
          </w:p>
        </w:tc>
      </w:tr>
      <w:tr w:rsidR="00334B83" w:rsidRPr="00960A70" w14:paraId="052DEB08" w14:textId="77777777" w:rsidTr="00334B83">
        <w:tc>
          <w:tcPr>
            <w:tcW w:w="561" w:type="dxa"/>
          </w:tcPr>
          <w:p w14:paraId="7C32FD3A" w14:textId="6F262EE8"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27</w:t>
            </w:r>
          </w:p>
        </w:tc>
        <w:tc>
          <w:tcPr>
            <w:tcW w:w="877" w:type="dxa"/>
          </w:tcPr>
          <w:p w14:paraId="4B298644" w14:textId="0C000442"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Neu1:</w:t>
            </w:r>
          </w:p>
        </w:tc>
        <w:tc>
          <w:tcPr>
            <w:tcW w:w="6779" w:type="dxa"/>
          </w:tcPr>
          <w:p w14:paraId="1310C3A2" w14:textId="205FBA4E" w:rsidR="00334B83" w:rsidRPr="00960A70" w:rsidRDefault="00334B83"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lang w:val="en-US"/>
              </w:rPr>
              <w:t xml:space="preserve">Okay. Can you repeat after me these three </w:t>
            </w:r>
            <w:proofErr w:type="gramStart"/>
            <w:r w:rsidRPr="00960A70">
              <w:rPr>
                <w:rFonts w:ascii="Courier New" w:hAnsi="Courier New" w:cs="Courier New"/>
                <w:bCs/>
                <w:sz w:val="20"/>
                <w:szCs w:val="20"/>
                <w:lang w:val="en-US"/>
              </w:rPr>
              <w:t>words:</w:t>
            </w:r>
            <w:proofErr w:type="gramEnd"/>
          </w:p>
        </w:tc>
      </w:tr>
    </w:tbl>
    <w:p w14:paraId="6FA87FDB" w14:textId="77777777" w:rsidR="00C33201" w:rsidRPr="00B67327" w:rsidRDefault="00C33201" w:rsidP="00C33201">
      <w:pPr>
        <w:spacing w:line="360" w:lineRule="auto"/>
        <w:jc w:val="both"/>
        <w:rPr>
          <w:bCs/>
        </w:rPr>
      </w:pPr>
    </w:p>
    <w:p w14:paraId="2E3DDA63" w14:textId="2C702771" w:rsidR="00C33201" w:rsidRPr="00B67327" w:rsidRDefault="00C33201" w:rsidP="00C33201">
      <w:pPr>
        <w:spacing w:line="360" w:lineRule="auto"/>
        <w:jc w:val="both"/>
        <w:rPr>
          <w:bCs/>
        </w:rPr>
      </w:pPr>
      <w:r w:rsidRPr="00B67327">
        <w:rPr>
          <w:bCs/>
        </w:rPr>
        <w:t xml:space="preserve">Despite the patient only partially and somewhat incorrectly </w:t>
      </w:r>
      <w:r w:rsidR="008A7421" w:rsidRPr="00B67327">
        <w:rPr>
          <w:bCs/>
        </w:rPr>
        <w:t>establish</w:t>
      </w:r>
      <w:r w:rsidR="008A7421">
        <w:rPr>
          <w:bCs/>
        </w:rPr>
        <w:t>ing</w:t>
      </w:r>
      <w:r w:rsidR="008A7421" w:rsidRPr="00B67327">
        <w:rPr>
          <w:bCs/>
        </w:rPr>
        <w:t xml:space="preserve"> </w:t>
      </w:r>
      <w:r w:rsidRPr="00B67327">
        <w:rPr>
          <w:bCs/>
        </w:rPr>
        <w:t xml:space="preserve">the first sounds of the </w:t>
      </w:r>
      <w:r w:rsidR="008A7421">
        <w:rPr>
          <w:bCs/>
        </w:rPr>
        <w:t xml:space="preserve">hospital </w:t>
      </w:r>
      <w:r w:rsidRPr="00B67327">
        <w:rPr>
          <w:bCs/>
        </w:rPr>
        <w:t>name, “Sandi</w:t>
      </w:r>
      <w:r w:rsidR="009E3CA7">
        <w:rPr>
          <w:bCs/>
        </w:rPr>
        <w:t xml:space="preserve">-” </w:t>
      </w:r>
      <w:r w:rsidRPr="00B67327">
        <w:rPr>
          <w:bCs/>
        </w:rPr>
        <w:t>and “</w:t>
      </w:r>
      <w:proofErr w:type="spellStart"/>
      <w:r w:rsidRPr="00B67327">
        <w:rPr>
          <w:bCs/>
        </w:rPr>
        <w:t>Sadding</w:t>
      </w:r>
      <w:proofErr w:type="spellEnd"/>
      <w:r w:rsidRPr="00B67327">
        <w:rPr>
          <w:bCs/>
        </w:rPr>
        <w:t xml:space="preserve">” (lines 6-7), the clinician confirms this as being correct, “that’s right. Yeah” (line 8) and provides the correct name for the patient, “The </w:t>
      </w:r>
      <w:proofErr w:type="spellStart"/>
      <w:r w:rsidRPr="00B67327">
        <w:rPr>
          <w:bCs/>
        </w:rPr>
        <w:t>Sandington</w:t>
      </w:r>
      <w:proofErr w:type="spellEnd"/>
      <w:r w:rsidRPr="00B67327">
        <w:rPr>
          <w:bCs/>
        </w:rPr>
        <w:t xml:space="preserve">” (line 8). Clinicians, thus, seem to permit more leeway in what counts </w:t>
      </w:r>
      <w:r w:rsidRPr="00B67327">
        <w:rPr>
          <w:bCs/>
        </w:rPr>
        <w:lastRenderedPageBreak/>
        <w:t>as accurate responses when a person has dementia</w:t>
      </w:r>
      <w:r w:rsidR="00905C72">
        <w:rPr>
          <w:bCs/>
        </w:rPr>
        <w:t xml:space="preserve">; </w:t>
      </w:r>
      <w:r w:rsidRPr="00B67327">
        <w:rPr>
          <w:bCs/>
        </w:rPr>
        <w:t>here the clinician can be seen to be ticking the box on the sheet following this response.</w:t>
      </w:r>
    </w:p>
    <w:p w14:paraId="15EFDC1D" w14:textId="77777777" w:rsidR="00C33201" w:rsidRPr="00B67327" w:rsidRDefault="00C33201" w:rsidP="00C33201">
      <w:pPr>
        <w:spacing w:line="360" w:lineRule="auto"/>
        <w:jc w:val="both"/>
        <w:rPr>
          <w:rFonts w:ascii="Courier New" w:hAnsi="Courier New" w:cs="Courier New"/>
          <w:bCs/>
          <w:sz w:val="20"/>
          <w:szCs w:val="20"/>
        </w:rPr>
      </w:pPr>
    </w:p>
    <w:p w14:paraId="2DDBF757" w14:textId="3A99305F" w:rsidR="00C33201" w:rsidRPr="00B67327" w:rsidRDefault="00C33201" w:rsidP="00C33201">
      <w:pPr>
        <w:spacing w:line="360" w:lineRule="auto"/>
        <w:jc w:val="both"/>
        <w:rPr>
          <w:bCs/>
        </w:rPr>
      </w:pPr>
      <w:r w:rsidRPr="00B67327">
        <w:rPr>
          <w:bCs/>
        </w:rPr>
        <w:t>Clinicians also appear to ‘help’ and reassure the patients by using the third</w:t>
      </w:r>
      <w:r w:rsidR="008A7421">
        <w:rPr>
          <w:bCs/>
        </w:rPr>
        <w:t>-</w:t>
      </w:r>
      <w:r w:rsidRPr="00B67327">
        <w:rPr>
          <w:bCs/>
        </w:rPr>
        <w:t>turn to explicitly confirm responses as being correct, e.g.</w:t>
      </w:r>
      <w:r w:rsidR="000F29E6" w:rsidRPr="00B67327">
        <w:rPr>
          <w:bCs/>
        </w:rPr>
        <w:t>,</w:t>
      </w:r>
      <w:r w:rsidRPr="00B67327">
        <w:rPr>
          <w:bCs/>
        </w:rPr>
        <w:t xml:space="preserve"> “that’s right” (extract 13, line 8), or to offer a reassuring assessment of their performance when they get a question right, </w:t>
      </w:r>
      <w:proofErr w:type="gramStart"/>
      <w:r w:rsidRPr="00B67327">
        <w:rPr>
          <w:bCs/>
        </w:rPr>
        <w:t>e.g.</w:t>
      </w:r>
      <w:proofErr w:type="gramEnd"/>
      <w:r w:rsidRPr="00B67327">
        <w:rPr>
          <w:bCs/>
        </w:rPr>
        <w:t xml:space="preserve"> “very good” (extract 13, line 15). The extract ends with the clinician closing the task sequence with “okay” (extract 13, line 27). </w:t>
      </w:r>
      <w:r w:rsidRPr="00B67327">
        <w:rPr>
          <w:bCs/>
          <w:lang w:val="en-US"/>
        </w:rPr>
        <w:t xml:space="preserve">Maynard and </w:t>
      </w:r>
      <w:proofErr w:type="spellStart"/>
      <w:r w:rsidRPr="00B67327">
        <w:rPr>
          <w:bCs/>
          <w:lang w:val="en-US"/>
        </w:rPr>
        <w:t>Marlaire</w:t>
      </w:r>
      <w:proofErr w:type="spellEnd"/>
      <w:r w:rsidRPr="00B67327">
        <w:rPr>
          <w:bCs/>
          <w:lang w:val="en-US"/>
        </w:rPr>
        <w:t xml:space="preserve"> (1992) demonstrate that administrators</w:t>
      </w:r>
      <w:r w:rsidRPr="00B67327">
        <w:rPr>
          <w:bCs/>
        </w:rPr>
        <w:t xml:space="preserve"> typically </w:t>
      </w:r>
      <w:r w:rsidRPr="00B67327">
        <w:rPr>
          <w:bCs/>
          <w:lang w:val="en-US"/>
        </w:rPr>
        <w:t>use "good" when an answer is</w:t>
      </w:r>
      <w:r w:rsidRPr="00B67327">
        <w:rPr>
          <w:bCs/>
        </w:rPr>
        <w:t xml:space="preserve"> </w:t>
      </w:r>
      <w:r w:rsidRPr="00B67327">
        <w:rPr>
          <w:bCs/>
          <w:lang w:val="en-US"/>
        </w:rPr>
        <w:t xml:space="preserve">correct and “okay” when it is incorrect. In extract 13, “good” (line 10) and </w:t>
      </w:r>
      <w:r w:rsidRPr="00B67327">
        <w:rPr>
          <w:bCs/>
        </w:rPr>
        <w:t xml:space="preserve">“very good” (line 15) are used when the individual question is </w:t>
      </w:r>
      <w:r w:rsidR="00FD1979">
        <w:rPr>
          <w:bCs/>
        </w:rPr>
        <w:t xml:space="preserve">(accepted as) </w:t>
      </w:r>
      <w:r w:rsidRPr="00B67327">
        <w:rPr>
          <w:bCs/>
        </w:rPr>
        <w:t xml:space="preserve">correct and “okay” (line 27) following an incorrect response. Although </w:t>
      </w:r>
      <w:r w:rsidR="008A7421">
        <w:rPr>
          <w:bCs/>
        </w:rPr>
        <w:t>further systematic research is required,</w:t>
      </w:r>
      <w:r w:rsidRPr="00B67327">
        <w:rPr>
          <w:bCs/>
        </w:rPr>
        <w:t xml:space="preserve"> it appear</w:t>
      </w:r>
      <w:r w:rsidR="008A7421">
        <w:rPr>
          <w:bCs/>
        </w:rPr>
        <w:t>s</w:t>
      </w:r>
      <w:r w:rsidRPr="00B67327">
        <w:rPr>
          <w:bCs/>
        </w:rPr>
        <w:t xml:space="preserve"> to be the case, certainly with people with dementia, that </w:t>
      </w:r>
      <w:r w:rsidR="00CD6C84" w:rsidRPr="00B67327">
        <w:rPr>
          <w:bCs/>
        </w:rPr>
        <w:t>“</w:t>
      </w:r>
      <w:r w:rsidRPr="00B67327">
        <w:rPr>
          <w:bCs/>
        </w:rPr>
        <w:t>good</w:t>
      </w:r>
      <w:r w:rsidR="00CD6C84" w:rsidRPr="00B67327">
        <w:rPr>
          <w:bCs/>
        </w:rPr>
        <w:t>”</w:t>
      </w:r>
      <w:r w:rsidRPr="00B67327">
        <w:rPr>
          <w:bCs/>
        </w:rPr>
        <w:t xml:space="preserve"> is often used when a response is correct and “okay” when it is incorrect (also see extract 14 below). </w:t>
      </w:r>
    </w:p>
    <w:p w14:paraId="6AAC7DEC" w14:textId="77777777" w:rsidR="00C33201" w:rsidRPr="00B67327" w:rsidRDefault="00C33201" w:rsidP="00C33201">
      <w:pPr>
        <w:spacing w:line="360" w:lineRule="auto"/>
        <w:jc w:val="both"/>
        <w:rPr>
          <w:bCs/>
        </w:rPr>
      </w:pPr>
    </w:p>
    <w:p w14:paraId="7667C536" w14:textId="607FD638" w:rsidR="00C33201" w:rsidRPr="00B67327" w:rsidRDefault="00C33201" w:rsidP="00C33201">
      <w:pPr>
        <w:spacing w:line="360" w:lineRule="auto"/>
        <w:jc w:val="both"/>
        <w:rPr>
          <w:bCs/>
          <w:lang w:val="en-US"/>
        </w:rPr>
      </w:pPr>
      <w:r w:rsidRPr="00B67327">
        <w:rPr>
          <w:bCs/>
        </w:rPr>
        <w:t>The next extract</w:t>
      </w:r>
      <w:r w:rsidR="00573ACF">
        <w:rPr>
          <w:bCs/>
        </w:rPr>
        <w:t xml:space="preserve"> (14)</w:t>
      </w:r>
      <w:r w:rsidRPr="00B67327">
        <w:rPr>
          <w:bCs/>
        </w:rPr>
        <w:t xml:space="preserve"> demonstrates this pattern of clinicians using “</w:t>
      </w:r>
      <w:r w:rsidR="00CD6C84" w:rsidRPr="00B67327">
        <w:rPr>
          <w:bCs/>
        </w:rPr>
        <w:t>o</w:t>
      </w:r>
      <w:r w:rsidRPr="00B67327">
        <w:rPr>
          <w:bCs/>
        </w:rPr>
        <w:t xml:space="preserve">kay” more frequently throughout each task sequence following incorrect answers. On these </w:t>
      </w:r>
      <w:r w:rsidR="00BD63FC" w:rsidRPr="00B67327">
        <w:rPr>
          <w:bCs/>
        </w:rPr>
        <w:t>occasions’</w:t>
      </w:r>
      <w:r w:rsidRPr="00B67327">
        <w:rPr>
          <w:bCs/>
        </w:rPr>
        <w:t xml:space="preserve"> clinicians are more likely to excuse the patient</w:t>
      </w:r>
      <w:r w:rsidR="00CD6C84" w:rsidRPr="00B67327">
        <w:rPr>
          <w:bCs/>
        </w:rPr>
        <w:t>’</w:t>
      </w:r>
      <w:r w:rsidRPr="00B67327">
        <w:rPr>
          <w:bCs/>
        </w:rPr>
        <w:t xml:space="preserve">s inability and reassure them, for example “Okay. Not to worry” (extract 14, line 11). </w:t>
      </w:r>
    </w:p>
    <w:p w14:paraId="060599D6" w14:textId="77777777" w:rsidR="00C33201" w:rsidRPr="00B67327" w:rsidRDefault="00C33201" w:rsidP="00C33201">
      <w:pPr>
        <w:spacing w:line="360" w:lineRule="auto"/>
        <w:jc w:val="both"/>
        <w:rPr>
          <w:bCs/>
        </w:rPr>
      </w:pPr>
    </w:p>
    <w:p w14:paraId="1FEB6BE7" w14:textId="5451022F" w:rsidR="00C33201" w:rsidRDefault="00C33201" w:rsidP="00C33201">
      <w:pPr>
        <w:spacing w:line="360" w:lineRule="auto"/>
        <w:jc w:val="both"/>
        <w:rPr>
          <w:bCs/>
        </w:rPr>
      </w:pPr>
      <w:r w:rsidRPr="00B67327">
        <w:rPr>
          <w:bCs/>
        </w:rPr>
        <w:t>Extract 14</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7062"/>
      </w:tblGrid>
      <w:tr w:rsidR="00334B83" w:rsidRPr="00960A70" w14:paraId="1982B2A9" w14:textId="77777777" w:rsidTr="000D41C9">
        <w:tc>
          <w:tcPr>
            <w:tcW w:w="561" w:type="dxa"/>
          </w:tcPr>
          <w:p w14:paraId="31F16D79" w14:textId="77777777"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16017B06" w14:textId="04FABD0F"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51D95445" w14:textId="393A3B65" w:rsidR="00334B83" w:rsidRPr="00960A70" w:rsidRDefault="00334B83" w:rsidP="007519D9">
            <w:pPr>
              <w:spacing w:line="360" w:lineRule="auto"/>
              <w:jc w:val="both"/>
              <w:rPr>
                <w:rFonts w:ascii="Courier New" w:hAnsi="Courier New" w:cs="Courier New"/>
                <w:bCs/>
                <w:sz w:val="20"/>
                <w:szCs w:val="20"/>
                <w:lang w:val="en-US"/>
              </w:rPr>
            </w:pPr>
            <w:proofErr w:type="gramStart"/>
            <w:r w:rsidRPr="00960A70">
              <w:rPr>
                <w:rFonts w:ascii="Courier New" w:hAnsi="Courier New" w:cs="Courier New"/>
                <w:sz w:val="20"/>
                <w:szCs w:val="20"/>
              </w:rPr>
              <w:t>Um::</w:t>
            </w:r>
            <w:proofErr w:type="gramEnd"/>
            <w:r w:rsidRPr="00960A70">
              <w:rPr>
                <w:rFonts w:ascii="Courier New" w:hAnsi="Courier New" w:cs="Courier New"/>
                <w:sz w:val="20"/>
                <w:szCs w:val="20"/>
              </w:rPr>
              <w:t xml:space="preserve"> a few quick questions about where</w:t>
            </w:r>
          </w:p>
        </w:tc>
      </w:tr>
      <w:tr w:rsidR="00334B83" w:rsidRPr="00960A70" w14:paraId="14FA1B30" w14:textId="77777777" w:rsidTr="000D41C9">
        <w:tc>
          <w:tcPr>
            <w:tcW w:w="561" w:type="dxa"/>
          </w:tcPr>
          <w:p w14:paraId="460CBDD5" w14:textId="77777777"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71DB764F" w14:textId="12A5E240" w:rsidR="00334B83" w:rsidRPr="00960A70" w:rsidRDefault="00334B83" w:rsidP="007519D9">
            <w:pPr>
              <w:spacing w:line="360" w:lineRule="auto"/>
              <w:jc w:val="both"/>
              <w:rPr>
                <w:rFonts w:ascii="Courier New" w:hAnsi="Courier New" w:cs="Courier New"/>
                <w:bCs/>
                <w:sz w:val="20"/>
                <w:szCs w:val="20"/>
              </w:rPr>
            </w:pPr>
          </w:p>
        </w:tc>
        <w:tc>
          <w:tcPr>
            <w:tcW w:w="7062" w:type="dxa"/>
          </w:tcPr>
          <w:p w14:paraId="0B569E0D" w14:textId="287C32A4" w:rsidR="00334B83" w:rsidRPr="00960A70" w:rsidRDefault="00334B83" w:rsidP="00334B83">
            <w:pPr>
              <w:spacing w:line="360" w:lineRule="auto"/>
              <w:rPr>
                <w:rFonts w:ascii="Courier New" w:hAnsi="Courier New" w:cs="Courier New"/>
                <w:sz w:val="20"/>
                <w:szCs w:val="20"/>
              </w:rPr>
            </w:pPr>
            <w:r w:rsidRPr="00960A70">
              <w:rPr>
                <w:rFonts w:ascii="Courier New" w:hAnsi="Courier New" w:cs="Courier New"/>
                <w:sz w:val="20"/>
                <w:szCs w:val="20"/>
              </w:rPr>
              <w:t xml:space="preserve">we </w:t>
            </w:r>
            <w:proofErr w:type="gramStart"/>
            <w:r w:rsidRPr="00960A70">
              <w:rPr>
                <w:rFonts w:ascii="Courier New" w:hAnsi="Courier New" w:cs="Courier New"/>
                <w:sz w:val="20"/>
                <w:szCs w:val="20"/>
              </w:rPr>
              <w:t>are:,</w:t>
            </w:r>
            <w:proofErr w:type="gramEnd"/>
            <w:r w:rsidRPr="00960A70">
              <w:rPr>
                <w:rFonts w:ascii="Courier New" w:hAnsi="Courier New" w:cs="Courier New"/>
                <w:sz w:val="20"/>
                <w:szCs w:val="20"/>
              </w:rPr>
              <w:t xml:space="preserve"> right now,=Do you know what this </w:t>
            </w:r>
          </w:p>
        </w:tc>
      </w:tr>
      <w:tr w:rsidR="00334B83" w:rsidRPr="00960A70" w14:paraId="70E90B22" w14:textId="77777777" w:rsidTr="000D41C9">
        <w:tc>
          <w:tcPr>
            <w:tcW w:w="561" w:type="dxa"/>
          </w:tcPr>
          <w:p w14:paraId="59F1B855" w14:textId="77777777" w:rsidR="00334B83" w:rsidRPr="00960A70" w:rsidRDefault="00334B83"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2939820D" w14:textId="7EF67B77" w:rsidR="00334B83" w:rsidRPr="00960A70" w:rsidRDefault="00334B83" w:rsidP="007519D9">
            <w:pPr>
              <w:spacing w:line="360" w:lineRule="auto"/>
              <w:jc w:val="both"/>
              <w:rPr>
                <w:rFonts w:ascii="Courier New" w:hAnsi="Courier New" w:cs="Courier New"/>
                <w:bCs/>
                <w:sz w:val="20"/>
                <w:szCs w:val="20"/>
              </w:rPr>
            </w:pPr>
          </w:p>
        </w:tc>
        <w:tc>
          <w:tcPr>
            <w:tcW w:w="7062" w:type="dxa"/>
          </w:tcPr>
          <w:p w14:paraId="1E3EF927" w14:textId="563CC2EE" w:rsidR="00334B83" w:rsidRPr="00960A70" w:rsidRDefault="00334B83"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building </w:t>
            </w:r>
            <w:proofErr w:type="gramStart"/>
            <w:r w:rsidRPr="00960A70">
              <w:rPr>
                <w:rFonts w:ascii="Courier New" w:hAnsi="Courier New" w:cs="Courier New"/>
                <w:sz w:val="20"/>
                <w:szCs w:val="20"/>
              </w:rPr>
              <w:t>is,=</w:t>
            </w:r>
            <w:proofErr w:type="gramEnd"/>
            <w:r w:rsidRPr="00960A70">
              <w:rPr>
                <w:rFonts w:ascii="Courier New" w:hAnsi="Courier New" w:cs="Courier New"/>
                <w:sz w:val="20"/>
                <w:szCs w:val="20"/>
              </w:rPr>
              <w:t xml:space="preserve"> What’s this place that we’re in,</w:t>
            </w:r>
          </w:p>
        </w:tc>
      </w:tr>
      <w:tr w:rsidR="00EE275A" w:rsidRPr="00960A70" w14:paraId="7A7FE47C" w14:textId="77777777" w:rsidTr="000D41C9">
        <w:tc>
          <w:tcPr>
            <w:tcW w:w="561" w:type="dxa"/>
          </w:tcPr>
          <w:p w14:paraId="775B9F44" w14:textId="08B0D3FF"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10F9E72C"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5E263303" w14:textId="3312DB8C"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(0.2)</w:t>
            </w:r>
          </w:p>
        </w:tc>
      </w:tr>
      <w:tr w:rsidR="00EE275A" w:rsidRPr="00960A70" w14:paraId="2B918612" w14:textId="77777777" w:rsidTr="000D41C9">
        <w:tc>
          <w:tcPr>
            <w:tcW w:w="561" w:type="dxa"/>
          </w:tcPr>
          <w:p w14:paraId="72FB66B5" w14:textId="3E968EE3"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31A01E39" w14:textId="36E46318"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66B43CE8" w14:textId="3FD0F196"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Um: (0.2) your, your job. Huh [huh </w:t>
            </w:r>
            <w:proofErr w:type="spellStart"/>
            <w:proofErr w:type="gramStart"/>
            <w:r w:rsidRPr="00960A70">
              <w:rPr>
                <w:rFonts w:ascii="Courier New" w:hAnsi="Courier New" w:cs="Courier New"/>
                <w:sz w:val="20"/>
                <w:szCs w:val="20"/>
              </w:rPr>
              <w:t>huh</w:t>
            </w:r>
            <w:proofErr w:type="spellEnd"/>
            <w:r w:rsidRPr="00960A70">
              <w:rPr>
                <w:rFonts w:ascii="Courier New" w:hAnsi="Courier New" w:cs="Courier New"/>
                <w:sz w:val="20"/>
                <w:szCs w:val="20"/>
              </w:rPr>
              <w:t xml:space="preserve"> ]</w:t>
            </w:r>
            <w:proofErr w:type="gramEnd"/>
          </w:p>
        </w:tc>
      </w:tr>
      <w:tr w:rsidR="00EE275A" w:rsidRPr="00960A70" w14:paraId="3068B9B0" w14:textId="77777777" w:rsidTr="000D41C9">
        <w:tc>
          <w:tcPr>
            <w:tcW w:w="561" w:type="dxa"/>
          </w:tcPr>
          <w:p w14:paraId="7E8A03C4" w14:textId="4E78C442"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0FBF6BD8" w14:textId="453A636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D98F7D7" w14:textId="735FB162"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                              [Yeah, W</w:t>
            </w:r>
            <w:proofErr w:type="gramStart"/>
            <w:r w:rsidRPr="00960A70">
              <w:rPr>
                <w:rFonts w:ascii="Courier New" w:hAnsi="Courier New" w:cs="Courier New"/>
                <w:sz w:val="20"/>
                <w:szCs w:val="20"/>
              </w:rPr>
              <w:t>-]What’s</w:t>
            </w:r>
            <w:proofErr w:type="gramEnd"/>
            <w:r w:rsidRPr="00960A70">
              <w:rPr>
                <w:rFonts w:ascii="Courier New" w:hAnsi="Courier New" w:cs="Courier New"/>
                <w:sz w:val="20"/>
                <w:szCs w:val="20"/>
              </w:rPr>
              <w:t xml:space="preserve"> this</w:t>
            </w:r>
          </w:p>
        </w:tc>
      </w:tr>
      <w:tr w:rsidR="00EE275A" w:rsidRPr="00960A70" w14:paraId="6B287C7C" w14:textId="77777777" w:rsidTr="000D41C9">
        <w:tc>
          <w:tcPr>
            <w:tcW w:w="561" w:type="dxa"/>
          </w:tcPr>
          <w:p w14:paraId="7BE07FC5" w14:textId="34AA6FE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6E929596"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0881806D" w14:textId="26FCBFC3"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building,=</w:t>
            </w:r>
            <w:proofErr w:type="gramEnd"/>
            <w:r w:rsidRPr="00960A70">
              <w:rPr>
                <w:rFonts w:ascii="Courier New" w:hAnsi="Courier New" w:cs="Courier New"/>
                <w:sz w:val="20"/>
                <w:szCs w:val="20"/>
              </w:rPr>
              <w:t xml:space="preserve"> </w:t>
            </w:r>
            <w:proofErr w:type="spellStart"/>
            <w:r w:rsidRPr="00960A70">
              <w:rPr>
                <w:rFonts w:ascii="Courier New" w:hAnsi="Courier New" w:cs="Courier New"/>
                <w:sz w:val="20"/>
                <w:szCs w:val="20"/>
              </w:rPr>
              <w:t>whe</w:t>
            </w:r>
            <w:proofErr w:type="spellEnd"/>
            <w:r w:rsidRPr="00960A70">
              <w:rPr>
                <w:rFonts w:ascii="Courier New" w:hAnsi="Courier New" w:cs="Courier New"/>
                <w:sz w:val="20"/>
                <w:szCs w:val="20"/>
              </w:rPr>
              <w:t>- what is it, Er, (0.2) do you</w:t>
            </w:r>
          </w:p>
        </w:tc>
      </w:tr>
      <w:tr w:rsidR="00EE275A" w:rsidRPr="00960A70" w14:paraId="6F67C318" w14:textId="77777777" w:rsidTr="000D41C9">
        <w:tc>
          <w:tcPr>
            <w:tcW w:w="561" w:type="dxa"/>
          </w:tcPr>
          <w:p w14:paraId="07FD0D05" w14:textId="35775A07"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11E91E5C"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373E62F9" w14:textId="65AC0BF0"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know what it’s called, (.) ^this building that we’re</w:t>
            </w:r>
          </w:p>
        </w:tc>
      </w:tr>
      <w:tr w:rsidR="00EE275A" w:rsidRPr="00960A70" w14:paraId="383CF219" w14:textId="77777777" w:rsidTr="000D41C9">
        <w:tc>
          <w:tcPr>
            <w:tcW w:w="561" w:type="dxa"/>
          </w:tcPr>
          <w:p w14:paraId="27456944" w14:textId="54B27F8D"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2CE42068"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46BC134B" w14:textId="433886F2"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in at the </w:t>
            </w:r>
            <w:proofErr w:type="gramStart"/>
            <w:r w:rsidRPr="00960A70">
              <w:rPr>
                <w:rFonts w:ascii="Courier New" w:hAnsi="Courier New" w:cs="Courier New"/>
                <w:sz w:val="20"/>
                <w:szCs w:val="20"/>
              </w:rPr>
              <w:t>moment,^</w:t>
            </w:r>
            <w:proofErr w:type="gramEnd"/>
          </w:p>
        </w:tc>
      </w:tr>
      <w:tr w:rsidR="00EE275A" w:rsidRPr="00960A70" w14:paraId="0628FF24" w14:textId="77777777" w:rsidTr="000D41C9">
        <w:tc>
          <w:tcPr>
            <w:tcW w:w="561" w:type="dxa"/>
          </w:tcPr>
          <w:p w14:paraId="30E36164" w14:textId="1F672CC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10</w:t>
            </w:r>
          </w:p>
        </w:tc>
        <w:tc>
          <w:tcPr>
            <w:tcW w:w="877" w:type="dxa"/>
          </w:tcPr>
          <w:p w14:paraId="1E1BF4AC" w14:textId="103361A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31863EEE" w14:textId="26FAF0D2"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No:,</w:t>
            </w:r>
            <w:proofErr w:type="gramEnd"/>
            <w:r w:rsidRPr="00960A70">
              <w:rPr>
                <w:rFonts w:ascii="Courier New" w:hAnsi="Courier New" w:cs="Courier New"/>
                <w:sz w:val="20"/>
                <w:szCs w:val="20"/>
              </w:rPr>
              <w:t xml:space="preserve"> not at the moment.</w:t>
            </w:r>
          </w:p>
        </w:tc>
      </w:tr>
      <w:tr w:rsidR="00EE275A" w:rsidRPr="00960A70" w14:paraId="34ED260F" w14:textId="77777777" w:rsidTr="000D41C9">
        <w:tc>
          <w:tcPr>
            <w:tcW w:w="561" w:type="dxa"/>
          </w:tcPr>
          <w:p w14:paraId="66B508C0" w14:textId="49598652"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11</w:t>
            </w:r>
          </w:p>
        </w:tc>
        <w:tc>
          <w:tcPr>
            <w:tcW w:w="877" w:type="dxa"/>
          </w:tcPr>
          <w:p w14:paraId="4A1DA6AF" w14:textId="41D5BD90"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6E9067DB" w14:textId="3FF64840"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Okay,=</w:t>
            </w:r>
            <w:proofErr w:type="gramEnd"/>
            <w:r w:rsidRPr="00960A70">
              <w:rPr>
                <w:rFonts w:ascii="Courier New" w:hAnsi="Courier New" w:cs="Courier New"/>
                <w:sz w:val="20"/>
                <w:szCs w:val="20"/>
              </w:rPr>
              <w:t xml:space="preserve"> Not to worry. </w:t>
            </w:r>
            <w:proofErr w:type="gramStart"/>
            <w:r w:rsidRPr="00960A70">
              <w:rPr>
                <w:rFonts w:ascii="Courier New" w:hAnsi="Courier New" w:cs="Courier New"/>
                <w:sz w:val="20"/>
                <w:szCs w:val="20"/>
              </w:rPr>
              <w:t>.</w:t>
            </w:r>
            <w:proofErr w:type="spellStart"/>
            <w:r w:rsidRPr="00960A70">
              <w:rPr>
                <w:rFonts w:ascii="Courier New" w:hAnsi="Courier New" w:cs="Courier New"/>
                <w:sz w:val="20"/>
                <w:szCs w:val="20"/>
              </w:rPr>
              <w:t>hh</w:t>
            </w:r>
            <w:proofErr w:type="spellEnd"/>
            <w:proofErr w:type="gramEnd"/>
            <w:r w:rsidRPr="00960A70">
              <w:rPr>
                <w:rFonts w:ascii="Courier New" w:hAnsi="Courier New" w:cs="Courier New"/>
                <w:sz w:val="20"/>
                <w:szCs w:val="20"/>
              </w:rPr>
              <w:t xml:space="preserve"> Um ((coughs)) &gt;excuse me,&lt;</w:t>
            </w:r>
          </w:p>
        </w:tc>
      </w:tr>
      <w:tr w:rsidR="00EE275A" w:rsidRPr="00960A70" w14:paraId="1C15ECA6" w14:textId="77777777" w:rsidTr="000D41C9">
        <w:tc>
          <w:tcPr>
            <w:tcW w:w="561" w:type="dxa"/>
          </w:tcPr>
          <w:p w14:paraId="3D357F21" w14:textId="62163CD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12</w:t>
            </w:r>
          </w:p>
        </w:tc>
        <w:tc>
          <w:tcPr>
            <w:tcW w:w="877" w:type="dxa"/>
          </w:tcPr>
          <w:p w14:paraId="485AE037"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615885E8" w14:textId="7572045C"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Do you know what floor we’re </w:t>
            </w:r>
            <w:proofErr w:type="gramStart"/>
            <w:r w:rsidRPr="00960A70">
              <w:rPr>
                <w:rFonts w:ascii="Courier New" w:hAnsi="Courier New" w:cs="Courier New"/>
                <w:sz w:val="20"/>
                <w:szCs w:val="20"/>
              </w:rPr>
              <w:t>on,=</w:t>
            </w:r>
            <w:proofErr w:type="gramEnd"/>
            <w:r w:rsidRPr="00960A70">
              <w:rPr>
                <w:rFonts w:ascii="Courier New" w:hAnsi="Courier New" w:cs="Courier New"/>
                <w:sz w:val="20"/>
                <w:szCs w:val="20"/>
              </w:rPr>
              <w:t xml:space="preserve"> What floor of</w:t>
            </w:r>
          </w:p>
        </w:tc>
      </w:tr>
      <w:tr w:rsidR="00EE275A" w:rsidRPr="00960A70" w14:paraId="715E008D" w14:textId="77777777" w:rsidTr="000D41C9">
        <w:tc>
          <w:tcPr>
            <w:tcW w:w="561" w:type="dxa"/>
          </w:tcPr>
          <w:p w14:paraId="385BFA4A" w14:textId="28D95035"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13</w:t>
            </w:r>
          </w:p>
        </w:tc>
        <w:tc>
          <w:tcPr>
            <w:tcW w:w="877" w:type="dxa"/>
          </w:tcPr>
          <w:p w14:paraId="3B9DAA72"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2AA0AEC8" w14:textId="478E2567"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the building we’re on,</w:t>
            </w:r>
          </w:p>
        </w:tc>
      </w:tr>
      <w:tr w:rsidR="00EE275A" w:rsidRPr="00960A70" w14:paraId="7135965D" w14:textId="77777777" w:rsidTr="000D41C9">
        <w:tc>
          <w:tcPr>
            <w:tcW w:w="561" w:type="dxa"/>
          </w:tcPr>
          <w:p w14:paraId="735BAB6F" w14:textId="513DCE88"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14</w:t>
            </w:r>
          </w:p>
        </w:tc>
        <w:tc>
          <w:tcPr>
            <w:tcW w:w="877" w:type="dxa"/>
          </w:tcPr>
          <w:p w14:paraId="1ECCC487" w14:textId="5553688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309C249E" w14:textId="62DBD90A"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Third I think.</w:t>
            </w:r>
          </w:p>
        </w:tc>
      </w:tr>
      <w:tr w:rsidR="00EE275A" w:rsidRPr="00960A70" w14:paraId="578F08ED" w14:textId="77777777" w:rsidTr="000D41C9">
        <w:tc>
          <w:tcPr>
            <w:tcW w:w="561" w:type="dxa"/>
          </w:tcPr>
          <w:p w14:paraId="50EB9B61" w14:textId="1BBD5EFA"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15</w:t>
            </w:r>
          </w:p>
        </w:tc>
        <w:tc>
          <w:tcPr>
            <w:tcW w:w="877" w:type="dxa"/>
          </w:tcPr>
          <w:p w14:paraId="79B4C0E9" w14:textId="4FB7B8F9"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2659A155" w14:textId="01E91808"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Okay, no worries. </w:t>
            </w:r>
            <w:proofErr w:type="spellStart"/>
            <w:proofErr w:type="gramStart"/>
            <w:r w:rsidRPr="00960A70">
              <w:rPr>
                <w:rFonts w:ascii="Courier New" w:hAnsi="Courier New" w:cs="Courier New"/>
                <w:sz w:val="20"/>
                <w:szCs w:val="20"/>
              </w:rPr>
              <w:t>Oka:y</w:t>
            </w:r>
            <w:proofErr w:type="spellEnd"/>
            <w:r w:rsidRPr="00960A70">
              <w:rPr>
                <w:rFonts w:ascii="Courier New" w:hAnsi="Courier New" w:cs="Courier New"/>
                <w:sz w:val="20"/>
                <w:szCs w:val="20"/>
              </w:rPr>
              <w:t>:.,</w:t>
            </w:r>
            <w:proofErr w:type="gramEnd"/>
            <w:r w:rsidRPr="00960A70">
              <w:rPr>
                <w:rFonts w:ascii="Courier New" w:hAnsi="Courier New" w:cs="Courier New"/>
                <w:sz w:val="20"/>
                <w:szCs w:val="20"/>
              </w:rPr>
              <w:t xml:space="preserve"> Do you know what </w:t>
            </w:r>
            <w:r w:rsidRPr="00960A70">
              <w:rPr>
                <w:rFonts w:ascii="Courier New" w:hAnsi="Courier New" w:cs="Courier New"/>
                <w:sz w:val="20"/>
                <w:szCs w:val="20"/>
                <w:u w:val="single"/>
              </w:rPr>
              <w:t>to</w:t>
            </w:r>
            <w:r w:rsidRPr="00960A70">
              <w:rPr>
                <w:rFonts w:ascii="Courier New" w:hAnsi="Courier New" w:cs="Courier New"/>
                <w:sz w:val="20"/>
                <w:szCs w:val="20"/>
              </w:rPr>
              <w:t>wn</w:t>
            </w:r>
          </w:p>
        </w:tc>
      </w:tr>
      <w:tr w:rsidR="00EE275A" w:rsidRPr="00960A70" w14:paraId="109725A0" w14:textId="77777777" w:rsidTr="000D41C9">
        <w:tc>
          <w:tcPr>
            <w:tcW w:w="561" w:type="dxa"/>
          </w:tcPr>
          <w:p w14:paraId="7442D049" w14:textId="0CF0260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lastRenderedPageBreak/>
              <w:t>16</w:t>
            </w:r>
          </w:p>
        </w:tc>
        <w:tc>
          <w:tcPr>
            <w:tcW w:w="877" w:type="dxa"/>
          </w:tcPr>
          <w:p w14:paraId="423D7EEC"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4C3B0E0F" w14:textId="47891D49"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we’re in?</w:t>
            </w:r>
          </w:p>
        </w:tc>
      </w:tr>
      <w:tr w:rsidR="00EE275A" w:rsidRPr="00960A70" w14:paraId="4254968E" w14:textId="77777777" w:rsidTr="000D41C9">
        <w:tc>
          <w:tcPr>
            <w:tcW w:w="561" w:type="dxa"/>
          </w:tcPr>
          <w:p w14:paraId="36E13845" w14:textId="220C4B1F"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17</w:t>
            </w:r>
          </w:p>
        </w:tc>
        <w:tc>
          <w:tcPr>
            <w:tcW w:w="877" w:type="dxa"/>
          </w:tcPr>
          <w:p w14:paraId="79387E43" w14:textId="0C94D551"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0750D052" w14:textId="30A603E5"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Pard[on.]</w:t>
            </w:r>
          </w:p>
        </w:tc>
      </w:tr>
      <w:tr w:rsidR="00EE275A" w:rsidRPr="00960A70" w14:paraId="639C349A" w14:textId="77777777" w:rsidTr="000D41C9">
        <w:tc>
          <w:tcPr>
            <w:tcW w:w="561" w:type="dxa"/>
          </w:tcPr>
          <w:p w14:paraId="4B7C2046" w14:textId="2F08DC33"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18</w:t>
            </w:r>
          </w:p>
        </w:tc>
        <w:tc>
          <w:tcPr>
            <w:tcW w:w="877" w:type="dxa"/>
          </w:tcPr>
          <w:p w14:paraId="73EEEF66" w14:textId="7186E7C6"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0631152" w14:textId="169501D1"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    [</w:t>
            </w:r>
            <w:proofErr w:type="spellStart"/>
            <w:r w:rsidRPr="00960A70">
              <w:rPr>
                <w:rFonts w:ascii="Courier New" w:hAnsi="Courier New" w:cs="Courier New"/>
                <w:sz w:val="20"/>
                <w:szCs w:val="20"/>
              </w:rPr>
              <w:t>Whi</w:t>
            </w:r>
            <w:proofErr w:type="spellEnd"/>
            <w:r w:rsidRPr="00960A70">
              <w:rPr>
                <w:rFonts w:ascii="Courier New" w:hAnsi="Courier New" w:cs="Courier New"/>
                <w:sz w:val="20"/>
                <w:szCs w:val="20"/>
              </w:rPr>
              <w:t>]</w:t>
            </w:r>
            <w:proofErr w:type="spellStart"/>
            <w:r w:rsidRPr="00960A70">
              <w:rPr>
                <w:rFonts w:ascii="Courier New" w:hAnsi="Courier New" w:cs="Courier New"/>
                <w:sz w:val="20"/>
                <w:szCs w:val="20"/>
              </w:rPr>
              <w:t>ch</w:t>
            </w:r>
            <w:proofErr w:type="spellEnd"/>
            <w:r w:rsidRPr="00960A70">
              <w:rPr>
                <w:rFonts w:ascii="Courier New" w:hAnsi="Courier New" w:cs="Courier New"/>
                <w:sz w:val="20"/>
                <w:szCs w:val="20"/>
              </w:rPr>
              <w:t xml:space="preserve">- which </w:t>
            </w:r>
            <w:proofErr w:type="spellStart"/>
            <w:proofErr w:type="gramStart"/>
            <w:r w:rsidRPr="00960A70">
              <w:rPr>
                <w:rFonts w:ascii="Courier New" w:hAnsi="Courier New" w:cs="Courier New"/>
                <w:sz w:val="20"/>
                <w:szCs w:val="20"/>
              </w:rPr>
              <w:t>to:wn</w:t>
            </w:r>
            <w:proofErr w:type="spellEnd"/>
            <w:proofErr w:type="gramEnd"/>
            <w:r w:rsidRPr="00960A70">
              <w:rPr>
                <w:rFonts w:ascii="Courier New" w:hAnsi="Courier New" w:cs="Courier New"/>
                <w:sz w:val="20"/>
                <w:szCs w:val="20"/>
              </w:rPr>
              <w:t>: or which city are we in</w:t>
            </w:r>
          </w:p>
        </w:tc>
      </w:tr>
      <w:tr w:rsidR="00EE275A" w:rsidRPr="00960A70" w14:paraId="25A392CF" w14:textId="77777777" w:rsidTr="000D41C9">
        <w:tc>
          <w:tcPr>
            <w:tcW w:w="561" w:type="dxa"/>
          </w:tcPr>
          <w:p w14:paraId="738CEFFC" w14:textId="3763E522"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19</w:t>
            </w:r>
          </w:p>
        </w:tc>
        <w:tc>
          <w:tcPr>
            <w:tcW w:w="877" w:type="dxa"/>
          </w:tcPr>
          <w:p w14:paraId="00DF95DB"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1C84970D" w14:textId="1EAD4594"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at the moment</w:t>
            </w:r>
            <w:proofErr w:type="gramEnd"/>
            <w:r w:rsidRPr="00960A70">
              <w:rPr>
                <w:rFonts w:ascii="Courier New" w:hAnsi="Courier New" w:cs="Courier New"/>
                <w:sz w:val="20"/>
                <w:szCs w:val="20"/>
              </w:rPr>
              <w:t>,</w:t>
            </w:r>
          </w:p>
        </w:tc>
      </w:tr>
      <w:tr w:rsidR="00EE275A" w:rsidRPr="00960A70" w14:paraId="6E4F4AF2" w14:textId="77777777" w:rsidTr="000D41C9">
        <w:tc>
          <w:tcPr>
            <w:tcW w:w="561" w:type="dxa"/>
          </w:tcPr>
          <w:p w14:paraId="20F7D5E8" w14:textId="06D45FBD"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20</w:t>
            </w:r>
          </w:p>
        </w:tc>
        <w:tc>
          <w:tcPr>
            <w:tcW w:w="877" w:type="dxa"/>
          </w:tcPr>
          <w:p w14:paraId="5ED5E126"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4E2B4DAA" w14:textId="1251C754"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(0.2)</w:t>
            </w:r>
          </w:p>
        </w:tc>
      </w:tr>
      <w:tr w:rsidR="00EE275A" w:rsidRPr="00960A70" w14:paraId="017C9EB0" w14:textId="77777777" w:rsidTr="000D41C9">
        <w:tc>
          <w:tcPr>
            <w:tcW w:w="561" w:type="dxa"/>
          </w:tcPr>
          <w:p w14:paraId="4399E134" w14:textId="5E11241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21</w:t>
            </w:r>
          </w:p>
        </w:tc>
        <w:tc>
          <w:tcPr>
            <w:tcW w:w="877" w:type="dxa"/>
          </w:tcPr>
          <w:p w14:paraId="0161610F" w14:textId="31054532"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0FD535C6" w14:textId="375652DA"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Um::</w:t>
            </w:r>
            <w:proofErr w:type="gramEnd"/>
            <w:r w:rsidRPr="00960A70">
              <w:rPr>
                <w:rFonts w:ascii="Courier New" w:hAnsi="Courier New" w:cs="Courier New"/>
                <w:sz w:val="20"/>
                <w:szCs w:val="20"/>
              </w:rPr>
              <w:t xml:space="preserve"> (0.2) tch (1.2) No.</w:t>
            </w:r>
          </w:p>
        </w:tc>
      </w:tr>
      <w:tr w:rsidR="00EE275A" w:rsidRPr="00960A70" w14:paraId="4443E866" w14:textId="77777777" w:rsidTr="000D41C9">
        <w:tc>
          <w:tcPr>
            <w:tcW w:w="561" w:type="dxa"/>
          </w:tcPr>
          <w:p w14:paraId="4B72D6E7" w14:textId="6607409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22</w:t>
            </w:r>
          </w:p>
        </w:tc>
        <w:tc>
          <w:tcPr>
            <w:tcW w:w="877" w:type="dxa"/>
          </w:tcPr>
          <w:p w14:paraId="0FAB39BB" w14:textId="0C4C6A6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6D27E4C" w14:textId="1F320E4F" w:rsidR="00EE275A" w:rsidRPr="00960A70" w:rsidRDefault="00EE275A" w:rsidP="007519D9">
            <w:pPr>
              <w:spacing w:line="360" w:lineRule="auto"/>
              <w:rPr>
                <w:rFonts w:ascii="Courier New" w:hAnsi="Courier New" w:cs="Courier New"/>
                <w:sz w:val="20"/>
                <w:szCs w:val="20"/>
              </w:rPr>
            </w:pPr>
            <w:proofErr w:type="spellStart"/>
            <w:proofErr w:type="gramStart"/>
            <w:r w:rsidRPr="00960A70">
              <w:rPr>
                <w:rFonts w:ascii="Courier New" w:hAnsi="Courier New" w:cs="Courier New"/>
                <w:sz w:val="20"/>
                <w:szCs w:val="20"/>
              </w:rPr>
              <w:t>O:kay</w:t>
            </w:r>
            <w:proofErr w:type="spellEnd"/>
            <w:r w:rsidRPr="00960A70">
              <w:rPr>
                <w:rFonts w:ascii="Courier New" w:hAnsi="Courier New" w:cs="Courier New"/>
                <w:sz w:val="20"/>
                <w:szCs w:val="20"/>
              </w:rPr>
              <w:t>:,</w:t>
            </w:r>
            <w:proofErr w:type="gramEnd"/>
            <w:r w:rsidRPr="00960A70">
              <w:rPr>
                <w:rFonts w:ascii="Courier New" w:hAnsi="Courier New" w:cs="Courier New"/>
                <w:sz w:val="20"/>
                <w:szCs w:val="20"/>
              </w:rPr>
              <w:t xml:space="preserve"> don’t </w:t>
            </w:r>
            <w:proofErr w:type="spellStart"/>
            <w:r w:rsidRPr="00960A70">
              <w:rPr>
                <w:rFonts w:ascii="Courier New" w:hAnsi="Courier New" w:cs="Courier New"/>
                <w:sz w:val="20"/>
                <w:szCs w:val="20"/>
              </w:rPr>
              <w:t>wor</w:t>
            </w:r>
            <w:proofErr w:type="spellEnd"/>
            <w:r w:rsidRPr="00960A70">
              <w:rPr>
                <w:rFonts w:ascii="Courier New" w:hAnsi="Courier New" w:cs="Courier New"/>
                <w:sz w:val="20"/>
                <w:szCs w:val="20"/>
              </w:rPr>
              <w:t>[ry.]</w:t>
            </w:r>
          </w:p>
        </w:tc>
      </w:tr>
      <w:tr w:rsidR="00EE275A" w:rsidRPr="00960A70" w14:paraId="7135D022" w14:textId="77777777" w:rsidTr="000D41C9">
        <w:tc>
          <w:tcPr>
            <w:tcW w:w="561" w:type="dxa"/>
          </w:tcPr>
          <w:p w14:paraId="32003FD5" w14:textId="74F10DD8"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23</w:t>
            </w:r>
          </w:p>
        </w:tc>
        <w:tc>
          <w:tcPr>
            <w:tcW w:w="877" w:type="dxa"/>
          </w:tcPr>
          <w:p w14:paraId="4E9DA1D9" w14:textId="1F941770"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1056E903" w14:textId="18D5710B"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                 [</w:t>
            </w:r>
            <w:proofErr w:type="spellStart"/>
            <w:r w:rsidRPr="00960A70">
              <w:rPr>
                <w:rFonts w:ascii="Courier New" w:hAnsi="Courier New" w:cs="Courier New"/>
                <w:sz w:val="20"/>
                <w:szCs w:val="20"/>
              </w:rPr>
              <w:t>Sho</w:t>
            </w:r>
            <w:proofErr w:type="spellEnd"/>
            <w:r w:rsidRPr="00960A70">
              <w:rPr>
                <w:rFonts w:ascii="Courier New" w:hAnsi="Courier New" w:cs="Courier New"/>
                <w:sz w:val="20"/>
                <w:szCs w:val="20"/>
              </w:rPr>
              <w:t>]</w:t>
            </w:r>
            <w:proofErr w:type="spellStart"/>
            <w:r w:rsidRPr="00960A70">
              <w:rPr>
                <w:rFonts w:ascii="Courier New" w:hAnsi="Courier New" w:cs="Courier New"/>
                <w:sz w:val="20"/>
                <w:szCs w:val="20"/>
              </w:rPr>
              <w:t>uld</w:t>
            </w:r>
            <w:proofErr w:type="spellEnd"/>
            <w:r w:rsidRPr="00960A70">
              <w:rPr>
                <w:rFonts w:ascii="Courier New" w:hAnsi="Courier New" w:cs="Courier New"/>
                <w:sz w:val="20"/>
                <w:szCs w:val="20"/>
              </w:rPr>
              <w:t xml:space="preserve"> be- I should be-</w:t>
            </w:r>
          </w:p>
        </w:tc>
      </w:tr>
      <w:tr w:rsidR="00EE275A" w:rsidRPr="00960A70" w14:paraId="6073637D" w14:textId="77777777" w:rsidTr="000D41C9">
        <w:tc>
          <w:tcPr>
            <w:tcW w:w="561" w:type="dxa"/>
          </w:tcPr>
          <w:p w14:paraId="11D77156" w14:textId="4CAE17D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24</w:t>
            </w:r>
          </w:p>
        </w:tc>
        <w:tc>
          <w:tcPr>
            <w:tcW w:w="877" w:type="dxa"/>
          </w:tcPr>
          <w:p w14:paraId="1123B362" w14:textId="30503223"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21A5607D" w14:textId="5C4E219B"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^No </w:t>
            </w:r>
            <w:proofErr w:type="spellStart"/>
            <w:r w:rsidRPr="00960A70">
              <w:rPr>
                <w:rFonts w:ascii="Courier New" w:hAnsi="Courier New" w:cs="Courier New"/>
                <w:sz w:val="20"/>
                <w:szCs w:val="20"/>
              </w:rPr>
              <w:t>it’s</w:t>
            </w:r>
            <w:proofErr w:type="spellEnd"/>
            <w:r w:rsidRPr="00960A70">
              <w:rPr>
                <w:rFonts w:ascii="Courier New" w:hAnsi="Courier New" w:cs="Courier New"/>
                <w:sz w:val="20"/>
                <w:szCs w:val="20"/>
              </w:rPr>
              <w:t xml:space="preserve"> </w:t>
            </w:r>
            <w:proofErr w:type="spellStart"/>
            <w:r w:rsidRPr="00960A70">
              <w:rPr>
                <w:rFonts w:ascii="Courier New" w:hAnsi="Courier New" w:cs="Courier New"/>
                <w:sz w:val="20"/>
                <w:szCs w:val="20"/>
              </w:rPr>
              <w:t>alrig</w:t>
            </w:r>
            <w:proofErr w:type="spellEnd"/>
            <w:r w:rsidRPr="00960A70">
              <w:rPr>
                <w:rFonts w:ascii="Courier New" w:hAnsi="Courier New" w:cs="Courier New"/>
                <w:sz w:val="20"/>
                <w:szCs w:val="20"/>
              </w:rPr>
              <w:t>[</w:t>
            </w:r>
            <w:proofErr w:type="spellStart"/>
            <w:r w:rsidRPr="00960A70">
              <w:rPr>
                <w:rFonts w:ascii="Courier New" w:hAnsi="Courier New" w:cs="Courier New"/>
                <w:sz w:val="20"/>
                <w:szCs w:val="20"/>
              </w:rPr>
              <w:t>ht</w:t>
            </w:r>
            <w:proofErr w:type="spellEnd"/>
            <w:r w:rsidRPr="00960A70">
              <w:rPr>
                <w:rFonts w:ascii="Courier New" w:hAnsi="Courier New" w:cs="Courier New"/>
                <w:sz w:val="20"/>
                <w:szCs w:val="20"/>
              </w:rPr>
              <w:t>^,]</w:t>
            </w:r>
          </w:p>
        </w:tc>
      </w:tr>
      <w:tr w:rsidR="00EE275A" w:rsidRPr="00960A70" w14:paraId="5127820D" w14:textId="77777777" w:rsidTr="000D41C9">
        <w:tc>
          <w:tcPr>
            <w:tcW w:w="561" w:type="dxa"/>
          </w:tcPr>
          <w:p w14:paraId="78D76217" w14:textId="3BCAF7C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25</w:t>
            </w:r>
          </w:p>
        </w:tc>
        <w:tc>
          <w:tcPr>
            <w:tcW w:w="877" w:type="dxa"/>
          </w:tcPr>
          <w:p w14:paraId="79DB09EF" w14:textId="5F5064F3"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63190025" w14:textId="3B5AB8CF"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              [Bu</w:t>
            </w:r>
            <w:proofErr w:type="gramStart"/>
            <w:r w:rsidRPr="00960A70">
              <w:rPr>
                <w:rFonts w:ascii="Courier New" w:hAnsi="Courier New" w:cs="Courier New"/>
                <w:sz w:val="20"/>
                <w:szCs w:val="20"/>
              </w:rPr>
              <w:t>- ]</w:t>
            </w:r>
            <w:proofErr w:type="gramEnd"/>
          </w:p>
        </w:tc>
      </w:tr>
      <w:tr w:rsidR="00EE275A" w:rsidRPr="00960A70" w14:paraId="3AF680B3" w14:textId="77777777" w:rsidTr="000D41C9">
        <w:tc>
          <w:tcPr>
            <w:tcW w:w="561" w:type="dxa"/>
          </w:tcPr>
          <w:p w14:paraId="31E89EE3" w14:textId="6AE3BCFF"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26</w:t>
            </w:r>
          </w:p>
        </w:tc>
        <w:tc>
          <w:tcPr>
            <w:tcW w:w="877" w:type="dxa"/>
          </w:tcPr>
          <w:p w14:paraId="44242DFA" w14:textId="251091AD"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B049C8C" w14:textId="54C25F4B"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You’ve been moving around a bit. That’s okay, Um:</w:t>
            </w:r>
          </w:p>
        </w:tc>
      </w:tr>
      <w:tr w:rsidR="00EE275A" w:rsidRPr="00960A70" w14:paraId="6A989482" w14:textId="77777777" w:rsidTr="000D41C9">
        <w:tc>
          <w:tcPr>
            <w:tcW w:w="561" w:type="dxa"/>
          </w:tcPr>
          <w:p w14:paraId="7B035AD4" w14:textId="0C62D9B6"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27</w:t>
            </w:r>
          </w:p>
        </w:tc>
        <w:tc>
          <w:tcPr>
            <w:tcW w:w="877" w:type="dxa"/>
          </w:tcPr>
          <w:p w14:paraId="4AC07D70"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5599066E" w14:textId="689CDCBA"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do you know what </w:t>
            </w:r>
            <w:r w:rsidRPr="00960A70">
              <w:rPr>
                <w:rFonts w:ascii="Courier New" w:hAnsi="Courier New" w:cs="Courier New"/>
                <w:sz w:val="20"/>
                <w:szCs w:val="20"/>
                <w:u w:val="single"/>
              </w:rPr>
              <w:t>cou</w:t>
            </w:r>
            <w:r w:rsidRPr="00960A70">
              <w:rPr>
                <w:rFonts w:ascii="Courier New" w:hAnsi="Courier New" w:cs="Courier New"/>
                <w:sz w:val="20"/>
                <w:szCs w:val="20"/>
              </w:rPr>
              <w:t xml:space="preserve">nty we’re </w:t>
            </w:r>
            <w:proofErr w:type="gramStart"/>
            <w:r w:rsidRPr="00960A70">
              <w:rPr>
                <w:rFonts w:ascii="Courier New" w:hAnsi="Courier New" w:cs="Courier New"/>
                <w:sz w:val="20"/>
                <w:szCs w:val="20"/>
              </w:rPr>
              <w:t>in,</w:t>
            </w:r>
            <w:proofErr w:type="gramEnd"/>
          </w:p>
        </w:tc>
      </w:tr>
      <w:tr w:rsidR="00EE275A" w:rsidRPr="00960A70" w14:paraId="00BE6647" w14:textId="77777777" w:rsidTr="000D41C9">
        <w:tc>
          <w:tcPr>
            <w:tcW w:w="561" w:type="dxa"/>
          </w:tcPr>
          <w:p w14:paraId="713194B8" w14:textId="3A75BDD6"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28</w:t>
            </w:r>
          </w:p>
        </w:tc>
        <w:tc>
          <w:tcPr>
            <w:tcW w:w="877" w:type="dxa"/>
          </w:tcPr>
          <w:p w14:paraId="16235793" w14:textId="79FE8EA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64E35846" w14:textId="6BB572EA"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(County name).</w:t>
            </w:r>
          </w:p>
        </w:tc>
      </w:tr>
      <w:tr w:rsidR="00EE275A" w:rsidRPr="00960A70" w14:paraId="1BEDA48C" w14:textId="77777777" w:rsidTr="000D41C9">
        <w:tc>
          <w:tcPr>
            <w:tcW w:w="561" w:type="dxa"/>
          </w:tcPr>
          <w:p w14:paraId="587765DC" w14:textId="12696B8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29</w:t>
            </w:r>
          </w:p>
        </w:tc>
        <w:tc>
          <w:tcPr>
            <w:tcW w:w="877" w:type="dxa"/>
          </w:tcPr>
          <w:p w14:paraId="778B8E12" w14:textId="6B9E718E"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FD650FC" w14:textId="0051D9E7"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Yes:,</w:t>
            </w:r>
            <w:proofErr w:type="gramEnd"/>
            <w:r w:rsidRPr="00960A70">
              <w:rPr>
                <w:rFonts w:ascii="Courier New" w:hAnsi="Courier New" w:cs="Courier New"/>
                <w:sz w:val="20"/>
                <w:szCs w:val="20"/>
              </w:rPr>
              <w:t xml:space="preserve"> </w:t>
            </w:r>
            <w:proofErr w:type="spellStart"/>
            <w:r w:rsidRPr="00960A70">
              <w:rPr>
                <w:rFonts w:ascii="Courier New" w:hAnsi="Courier New" w:cs="Courier New"/>
                <w:sz w:val="20"/>
                <w:szCs w:val="20"/>
              </w:rPr>
              <w:t>ABSolutely</w:t>
            </w:r>
            <w:proofErr w:type="spellEnd"/>
            <w:r w:rsidRPr="00960A70">
              <w:rPr>
                <w:rFonts w:ascii="Courier New" w:hAnsi="Courier New" w:cs="Courier New"/>
                <w:sz w:val="20"/>
                <w:szCs w:val="20"/>
              </w:rPr>
              <w:t>. [= Good.]</w:t>
            </w:r>
          </w:p>
        </w:tc>
      </w:tr>
      <w:tr w:rsidR="00EE275A" w:rsidRPr="00960A70" w14:paraId="2343E481" w14:textId="77777777" w:rsidTr="000D41C9">
        <w:tc>
          <w:tcPr>
            <w:tcW w:w="561" w:type="dxa"/>
          </w:tcPr>
          <w:p w14:paraId="002FE64F" w14:textId="08983EB0"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30</w:t>
            </w:r>
          </w:p>
        </w:tc>
        <w:tc>
          <w:tcPr>
            <w:tcW w:w="877" w:type="dxa"/>
          </w:tcPr>
          <w:p w14:paraId="48A32284" w14:textId="6C4489AC"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356FF62D" w14:textId="592BD6CF" w:rsidR="00EE275A" w:rsidRPr="00960A70" w:rsidRDefault="00EE275A" w:rsidP="007519D9">
            <w:pPr>
              <w:spacing w:line="360" w:lineRule="auto"/>
              <w:rPr>
                <w:rFonts w:ascii="Courier New" w:hAnsi="Courier New" w:cs="Courier New"/>
                <w:b/>
                <w:bCs/>
                <w:sz w:val="20"/>
                <w:szCs w:val="20"/>
              </w:rPr>
            </w:pPr>
            <w:r w:rsidRPr="00960A70">
              <w:rPr>
                <w:rFonts w:ascii="Courier New" w:hAnsi="Courier New" w:cs="Courier New"/>
                <w:sz w:val="20"/>
                <w:szCs w:val="20"/>
              </w:rPr>
              <w:t xml:space="preserve">                  [huh huh] huh</w:t>
            </w:r>
          </w:p>
        </w:tc>
      </w:tr>
      <w:tr w:rsidR="00EE275A" w:rsidRPr="00960A70" w14:paraId="117BEEB4" w14:textId="77777777" w:rsidTr="000D41C9">
        <w:tc>
          <w:tcPr>
            <w:tcW w:w="561" w:type="dxa"/>
          </w:tcPr>
          <w:p w14:paraId="2DB98771" w14:textId="4A09CF56"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31</w:t>
            </w:r>
          </w:p>
        </w:tc>
        <w:tc>
          <w:tcPr>
            <w:tcW w:w="877" w:type="dxa"/>
          </w:tcPr>
          <w:p w14:paraId="418DB47F" w14:textId="1842ADF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745239AF" w14:textId="177AB673"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That’s good. And do you know what country we’re in?</w:t>
            </w:r>
          </w:p>
        </w:tc>
      </w:tr>
      <w:tr w:rsidR="00EE275A" w:rsidRPr="00960A70" w14:paraId="54B2E6C6" w14:textId="77777777" w:rsidTr="000D41C9">
        <w:tc>
          <w:tcPr>
            <w:tcW w:w="561" w:type="dxa"/>
          </w:tcPr>
          <w:p w14:paraId="79BEA17B" w14:textId="5AB45E3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32</w:t>
            </w:r>
          </w:p>
        </w:tc>
        <w:tc>
          <w:tcPr>
            <w:tcW w:w="877" w:type="dxa"/>
          </w:tcPr>
          <w:p w14:paraId="2145F6E7" w14:textId="34848DEF"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141DC247" w14:textId="64C71DBE"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England.</w:t>
            </w:r>
          </w:p>
        </w:tc>
      </w:tr>
      <w:tr w:rsidR="00EE275A" w:rsidRPr="00960A70" w14:paraId="54A662A8" w14:textId="77777777" w:rsidTr="000D41C9">
        <w:tc>
          <w:tcPr>
            <w:tcW w:w="561" w:type="dxa"/>
          </w:tcPr>
          <w:p w14:paraId="1988F571" w14:textId="4643360B"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33</w:t>
            </w:r>
          </w:p>
        </w:tc>
        <w:tc>
          <w:tcPr>
            <w:tcW w:w="877" w:type="dxa"/>
          </w:tcPr>
          <w:p w14:paraId="363CAD45" w14:textId="00A66584"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50CFF2E7" w14:textId="331FAE3C" w:rsidR="00EE275A" w:rsidRPr="00960A70" w:rsidRDefault="00EE275A" w:rsidP="007519D9">
            <w:pPr>
              <w:spacing w:line="360" w:lineRule="auto"/>
              <w:rPr>
                <w:rFonts w:ascii="Courier New" w:hAnsi="Courier New" w:cs="Courier New"/>
                <w:sz w:val="20"/>
                <w:szCs w:val="20"/>
              </w:rPr>
            </w:pPr>
            <w:proofErr w:type="gramStart"/>
            <w:r w:rsidRPr="00960A70">
              <w:rPr>
                <w:rFonts w:ascii="Courier New" w:hAnsi="Courier New" w:cs="Courier New"/>
                <w:sz w:val="20"/>
                <w:szCs w:val="20"/>
              </w:rPr>
              <w:t>Yeah,=</w:t>
            </w:r>
            <w:proofErr w:type="gramEnd"/>
            <w:r w:rsidRPr="00960A70">
              <w:rPr>
                <w:rFonts w:ascii="Courier New" w:hAnsi="Courier New" w:cs="Courier New"/>
                <w:sz w:val="20"/>
                <w:szCs w:val="20"/>
              </w:rPr>
              <w:t>I know it sounds daft doesn’t it.=Bu[t er ]we have</w:t>
            </w:r>
          </w:p>
        </w:tc>
      </w:tr>
      <w:tr w:rsidR="00EE275A" w:rsidRPr="00960A70" w14:paraId="4FB28F51" w14:textId="77777777" w:rsidTr="000D41C9">
        <w:tc>
          <w:tcPr>
            <w:tcW w:w="561" w:type="dxa"/>
          </w:tcPr>
          <w:p w14:paraId="0878E062" w14:textId="5D6ED627"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34</w:t>
            </w:r>
          </w:p>
        </w:tc>
        <w:tc>
          <w:tcPr>
            <w:tcW w:w="877" w:type="dxa"/>
          </w:tcPr>
          <w:p w14:paraId="2044CF98" w14:textId="5036868E"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0ADCB258" w14:textId="4383CFDB"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                                          [Yeah.]</w:t>
            </w:r>
          </w:p>
        </w:tc>
      </w:tr>
      <w:tr w:rsidR="00EE275A" w:rsidRPr="00960A70" w14:paraId="099EB5BC" w14:textId="77777777" w:rsidTr="000D41C9">
        <w:tc>
          <w:tcPr>
            <w:tcW w:w="561" w:type="dxa"/>
          </w:tcPr>
          <w:p w14:paraId="7A7C1E30" w14:textId="4FB644F9"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35</w:t>
            </w:r>
          </w:p>
        </w:tc>
        <w:tc>
          <w:tcPr>
            <w:tcW w:w="877" w:type="dxa"/>
          </w:tcPr>
          <w:p w14:paraId="069F1C4A" w14:textId="1099FF9D"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210CF84F" w14:textId="5BCA309B"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to check these </w:t>
            </w:r>
            <w:proofErr w:type="gramStart"/>
            <w:r w:rsidRPr="00960A70">
              <w:rPr>
                <w:rFonts w:ascii="Courier New" w:hAnsi="Courier New" w:cs="Courier New"/>
                <w:sz w:val="20"/>
                <w:szCs w:val="20"/>
              </w:rPr>
              <w:t>things.=</w:t>
            </w:r>
            <w:proofErr w:type="gramEnd"/>
            <w:r w:rsidRPr="00960A70">
              <w:rPr>
                <w:rFonts w:ascii="Courier New" w:hAnsi="Courier New" w:cs="Courier New"/>
                <w:sz w:val="20"/>
                <w:szCs w:val="20"/>
              </w:rPr>
              <w:t>Okay, now I’m just going to</w:t>
            </w:r>
          </w:p>
        </w:tc>
      </w:tr>
      <w:tr w:rsidR="00EE275A" w:rsidRPr="00960A70" w14:paraId="00EE4804" w14:textId="77777777" w:rsidTr="000D41C9">
        <w:tc>
          <w:tcPr>
            <w:tcW w:w="561" w:type="dxa"/>
          </w:tcPr>
          <w:p w14:paraId="4682887E" w14:textId="0EF7A403" w:rsidR="00EE275A" w:rsidRPr="00960A70" w:rsidRDefault="00EE275A"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36</w:t>
            </w:r>
          </w:p>
        </w:tc>
        <w:tc>
          <w:tcPr>
            <w:tcW w:w="877" w:type="dxa"/>
          </w:tcPr>
          <w:p w14:paraId="18BB3586" w14:textId="77777777" w:rsidR="00EE275A" w:rsidRPr="00960A70" w:rsidRDefault="00EE275A" w:rsidP="007519D9">
            <w:pPr>
              <w:spacing w:line="360" w:lineRule="auto"/>
              <w:jc w:val="both"/>
              <w:rPr>
                <w:rFonts w:ascii="Courier New" w:hAnsi="Courier New" w:cs="Courier New"/>
                <w:bCs/>
                <w:sz w:val="20"/>
                <w:szCs w:val="20"/>
              </w:rPr>
            </w:pPr>
          </w:p>
        </w:tc>
        <w:tc>
          <w:tcPr>
            <w:tcW w:w="7062" w:type="dxa"/>
          </w:tcPr>
          <w:p w14:paraId="610110CC" w14:textId="107F462E" w:rsidR="00EE275A" w:rsidRPr="00960A70" w:rsidRDefault="00EE275A" w:rsidP="007519D9">
            <w:pPr>
              <w:spacing w:line="360" w:lineRule="auto"/>
              <w:rPr>
                <w:rFonts w:ascii="Courier New" w:hAnsi="Courier New" w:cs="Courier New"/>
                <w:sz w:val="20"/>
                <w:szCs w:val="20"/>
              </w:rPr>
            </w:pPr>
            <w:r w:rsidRPr="00960A70">
              <w:rPr>
                <w:rFonts w:ascii="Courier New" w:hAnsi="Courier New" w:cs="Courier New"/>
                <w:sz w:val="20"/>
                <w:szCs w:val="20"/>
              </w:rPr>
              <w:t>mention three objects…</w:t>
            </w:r>
          </w:p>
        </w:tc>
      </w:tr>
    </w:tbl>
    <w:p w14:paraId="4127AF8C" w14:textId="4AE567FE" w:rsidR="00C33201" w:rsidRPr="00EE275A" w:rsidRDefault="00C33201" w:rsidP="00EE275A">
      <w:pPr>
        <w:spacing w:line="360" w:lineRule="auto"/>
        <w:rPr>
          <w:rFonts w:ascii="Courier New" w:hAnsi="Courier New" w:cs="Courier New"/>
          <w:sz w:val="20"/>
          <w:szCs w:val="20"/>
        </w:rPr>
      </w:pPr>
      <w:r w:rsidRPr="00B67327">
        <w:rPr>
          <w:rFonts w:ascii="Courier New" w:hAnsi="Courier New" w:cs="Courier New"/>
          <w:sz w:val="20"/>
          <w:szCs w:val="20"/>
        </w:rPr>
        <w:t xml:space="preserve"> </w:t>
      </w:r>
    </w:p>
    <w:p w14:paraId="2A8657D1" w14:textId="329917BC" w:rsidR="00C33201" w:rsidRPr="00B67327" w:rsidRDefault="00C33201" w:rsidP="00C33201">
      <w:pPr>
        <w:spacing w:line="360" w:lineRule="auto"/>
        <w:jc w:val="both"/>
        <w:rPr>
          <w:bCs/>
        </w:rPr>
      </w:pPr>
      <w:r w:rsidRPr="00B67327">
        <w:rPr>
          <w:bCs/>
        </w:rPr>
        <w:t xml:space="preserve">Interestingly in this extract the clinician does </w:t>
      </w:r>
      <w:r w:rsidR="00743AE1">
        <w:rPr>
          <w:bCs/>
        </w:rPr>
        <w:t>reformulate</w:t>
      </w:r>
      <w:r w:rsidRPr="00B67327">
        <w:rPr>
          <w:bCs/>
        </w:rPr>
        <w:t xml:space="preserve"> the first question about the name of the building. The patient’s response “your job” (line 05) is not ‘close enough’ to being correct to enable the clinician to accept it as an adequate response and therefore he re-issues it, “what’s this building” (lines 6-7), then reformulates it, “do you know what it’s called this building” (lines 7-8).  The patient then answers, “no” (line 10) and continues to suggest that not knowing is temporary, “not at the moment</w:t>
      </w:r>
      <w:r w:rsidR="00CD6C84" w:rsidRPr="00B67327">
        <w:rPr>
          <w:bCs/>
        </w:rPr>
        <w:t>”</w:t>
      </w:r>
      <w:r w:rsidRPr="00B67327">
        <w:rPr>
          <w:bCs/>
        </w:rPr>
        <w:t xml:space="preserve"> (line 10).  The clinician expands this sequence with “Okay” (line 11) and then offers the patient some reassurance that he should</w:t>
      </w:r>
      <w:r w:rsidR="00FD110D" w:rsidRPr="00B67327">
        <w:rPr>
          <w:bCs/>
        </w:rPr>
        <w:t xml:space="preserve"> </w:t>
      </w:r>
      <w:r w:rsidRPr="00B67327">
        <w:rPr>
          <w:bCs/>
        </w:rPr>
        <w:t>n</w:t>
      </w:r>
      <w:r w:rsidR="00FD110D" w:rsidRPr="00B67327">
        <w:rPr>
          <w:bCs/>
        </w:rPr>
        <w:t>o</w:t>
      </w:r>
      <w:r w:rsidRPr="00B67327">
        <w:rPr>
          <w:bCs/>
        </w:rPr>
        <w:t xml:space="preserve">t worry about not knowing, “Not to worry” (line 11). The third-turn utterances across this extract - including “okay” + reassurance, for example “not to worry” (line 11), “no worries” (line 15), “don’t worry” (line 22) occur after all three of the incorrect responses in the task sequence. Following the patient’s two correct responses in this task sequence, when correctly identifying the county (line 28) and country (line 32), the clinician uses the third turn to confirm the response and positively and emphatically assess it, “Yes. </w:t>
      </w:r>
      <w:proofErr w:type="spellStart"/>
      <w:r w:rsidRPr="00B67327">
        <w:rPr>
          <w:bCs/>
        </w:rPr>
        <w:t>ABSolutely</w:t>
      </w:r>
      <w:proofErr w:type="spellEnd"/>
      <w:r w:rsidRPr="00B67327">
        <w:rPr>
          <w:bCs/>
        </w:rPr>
        <w:t xml:space="preserve">. Good” (line 29) and “Yeah” (line 33). </w:t>
      </w:r>
      <w:r w:rsidRPr="00B67327">
        <w:rPr>
          <w:bCs/>
        </w:rPr>
        <w:lastRenderedPageBreak/>
        <w:t xml:space="preserve">This illustrates </w:t>
      </w:r>
      <w:r w:rsidR="00905C72">
        <w:rPr>
          <w:bCs/>
        </w:rPr>
        <w:t>how</w:t>
      </w:r>
      <w:r w:rsidR="00905C72" w:rsidRPr="00B67327">
        <w:rPr>
          <w:bCs/>
        </w:rPr>
        <w:t xml:space="preserve"> </w:t>
      </w:r>
      <w:r w:rsidRPr="00B67327">
        <w:rPr>
          <w:bCs/>
        </w:rPr>
        <w:t xml:space="preserve">clinicians are far more likely to use the third-turn in these question-answer sequences when the patient has dementia. </w:t>
      </w:r>
    </w:p>
    <w:p w14:paraId="7EE3AB1D" w14:textId="77777777" w:rsidR="00C33201" w:rsidRPr="00B67327" w:rsidRDefault="00C33201" w:rsidP="00C33201">
      <w:pPr>
        <w:spacing w:line="360" w:lineRule="auto"/>
        <w:jc w:val="both"/>
        <w:rPr>
          <w:bCs/>
        </w:rPr>
      </w:pPr>
    </w:p>
    <w:p w14:paraId="7F286E98" w14:textId="33BB28B2" w:rsidR="00C33201" w:rsidRPr="00B67327" w:rsidRDefault="00C33201" w:rsidP="00C33201">
      <w:pPr>
        <w:spacing w:line="360" w:lineRule="auto"/>
        <w:jc w:val="both"/>
        <w:rPr>
          <w:bCs/>
        </w:rPr>
      </w:pPr>
      <w:r w:rsidRPr="00B67327">
        <w:rPr>
          <w:bCs/>
        </w:rPr>
        <w:t xml:space="preserve">Furthermore, clinicians sometimes use post-expansion sequences to do extra interactional work to account for a patient’s inability to answer correctly. The patient in extract 14 is unable to identify the town or city, and further </w:t>
      </w:r>
      <w:proofErr w:type="spellStart"/>
      <w:r w:rsidRPr="00B67327">
        <w:rPr>
          <w:bCs/>
        </w:rPr>
        <w:t>hearably</w:t>
      </w:r>
      <w:proofErr w:type="spellEnd"/>
      <w:r w:rsidRPr="00B67327">
        <w:rPr>
          <w:bCs/>
        </w:rPr>
        <w:t xml:space="preserve"> implies that he should be able to so, “I should be</w:t>
      </w:r>
      <w:r w:rsidR="00F630BB">
        <w:rPr>
          <w:bCs/>
        </w:rPr>
        <w:t>-”</w:t>
      </w:r>
      <w:r w:rsidRPr="00B67327">
        <w:rPr>
          <w:bCs/>
        </w:rPr>
        <w:t xml:space="preserve"> (line 23) (although he stops before completing this, which could be heading for “I should be able to…”). The clinician again offers a reassuring response, “No it’s alright” (line 24), and then continues with a reasonable account for why the patient legitimately </w:t>
      </w:r>
      <w:r w:rsidR="0081262C" w:rsidRPr="00B67327">
        <w:rPr>
          <w:bCs/>
        </w:rPr>
        <w:t xml:space="preserve">cannot </w:t>
      </w:r>
      <w:r w:rsidRPr="00B67327">
        <w:rPr>
          <w:bCs/>
        </w:rPr>
        <w:t xml:space="preserve">respond, “You’ve been moving around a bit. That’s okay” (line 27). In extract 15 below, this extra interactional work is also evident when the patient is unable to name the president of America who was assassinated in the 1960s. </w:t>
      </w:r>
    </w:p>
    <w:p w14:paraId="4D27AF2F" w14:textId="77777777" w:rsidR="00C33201" w:rsidRPr="00B67327" w:rsidRDefault="00C33201" w:rsidP="00C33201">
      <w:pPr>
        <w:spacing w:line="360" w:lineRule="auto"/>
        <w:jc w:val="both"/>
        <w:rPr>
          <w:bCs/>
        </w:rPr>
      </w:pPr>
    </w:p>
    <w:p w14:paraId="0678828F" w14:textId="6D0CF944" w:rsidR="00C33201" w:rsidRDefault="00C33201" w:rsidP="00C33201">
      <w:pPr>
        <w:spacing w:line="360" w:lineRule="auto"/>
        <w:jc w:val="both"/>
        <w:rPr>
          <w:bCs/>
        </w:rPr>
      </w:pPr>
      <w:r w:rsidRPr="00B67327">
        <w:rPr>
          <w:bCs/>
        </w:rPr>
        <w:t xml:space="preserve">Extract 15 </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77"/>
        <w:gridCol w:w="7062"/>
      </w:tblGrid>
      <w:tr w:rsidR="000D41C9" w:rsidRPr="00960A70" w14:paraId="3789AAA5" w14:textId="77777777" w:rsidTr="00960A70">
        <w:tc>
          <w:tcPr>
            <w:tcW w:w="561" w:type="dxa"/>
          </w:tcPr>
          <w:p w14:paraId="5B9EBA76"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01</w:t>
            </w:r>
          </w:p>
        </w:tc>
        <w:tc>
          <w:tcPr>
            <w:tcW w:w="877" w:type="dxa"/>
          </w:tcPr>
          <w:p w14:paraId="73641A41" w14:textId="17C02734"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62502433" w14:textId="3CD4F65D" w:rsidR="000D41C9" w:rsidRPr="00960A70" w:rsidRDefault="000D41C9" w:rsidP="007519D9">
            <w:pPr>
              <w:spacing w:line="360" w:lineRule="auto"/>
              <w:jc w:val="both"/>
              <w:rPr>
                <w:rFonts w:ascii="Courier New" w:hAnsi="Courier New" w:cs="Courier New"/>
                <w:bCs/>
                <w:sz w:val="20"/>
                <w:szCs w:val="20"/>
                <w:lang w:val="en-US"/>
              </w:rPr>
            </w:pPr>
            <w:r w:rsidRPr="00960A70">
              <w:rPr>
                <w:rFonts w:ascii="Courier New" w:hAnsi="Courier New" w:cs="Courier New"/>
                <w:bCs/>
                <w:sz w:val="20"/>
                <w:szCs w:val="20"/>
              </w:rPr>
              <w:t xml:space="preserve">Can you tell me, who was </w:t>
            </w:r>
            <w:proofErr w:type="gramStart"/>
            <w:r w:rsidRPr="00960A70">
              <w:rPr>
                <w:rFonts w:ascii="Courier New" w:hAnsi="Courier New" w:cs="Courier New"/>
                <w:bCs/>
                <w:sz w:val="20"/>
                <w:szCs w:val="20"/>
              </w:rPr>
              <w:t>the::</w:t>
            </w:r>
            <w:proofErr w:type="gramEnd"/>
            <w:r w:rsidRPr="00960A70">
              <w:rPr>
                <w:rFonts w:ascii="Courier New" w:hAnsi="Courier New" w:cs="Courier New"/>
                <w:bCs/>
                <w:sz w:val="20"/>
                <w:szCs w:val="20"/>
              </w:rPr>
              <w:t xml:space="preserve"> um the</w:t>
            </w:r>
          </w:p>
        </w:tc>
      </w:tr>
      <w:tr w:rsidR="000D41C9" w:rsidRPr="00960A70" w14:paraId="7FD932FE" w14:textId="77777777" w:rsidTr="00960A70">
        <w:tc>
          <w:tcPr>
            <w:tcW w:w="561" w:type="dxa"/>
          </w:tcPr>
          <w:p w14:paraId="376447EB"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02</w:t>
            </w:r>
          </w:p>
        </w:tc>
        <w:tc>
          <w:tcPr>
            <w:tcW w:w="877" w:type="dxa"/>
          </w:tcPr>
          <w:p w14:paraId="1D27E341" w14:textId="77777777" w:rsidR="000D41C9" w:rsidRPr="00960A70" w:rsidRDefault="000D41C9" w:rsidP="007519D9">
            <w:pPr>
              <w:spacing w:line="360" w:lineRule="auto"/>
              <w:jc w:val="both"/>
              <w:rPr>
                <w:rFonts w:ascii="Courier New" w:hAnsi="Courier New" w:cs="Courier New"/>
                <w:bCs/>
                <w:sz w:val="20"/>
                <w:szCs w:val="20"/>
              </w:rPr>
            </w:pPr>
          </w:p>
        </w:tc>
        <w:tc>
          <w:tcPr>
            <w:tcW w:w="7062" w:type="dxa"/>
          </w:tcPr>
          <w:p w14:paraId="1E460923" w14:textId="48ED71CC"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president of t- of A</w:t>
            </w:r>
            <w:r w:rsidRPr="00960A70">
              <w:rPr>
                <w:rFonts w:ascii="Courier New" w:hAnsi="Courier New" w:cs="Courier New"/>
                <w:sz w:val="20"/>
                <w:szCs w:val="20"/>
                <w:u w:val="single"/>
              </w:rPr>
              <w:t>mer</w:t>
            </w:r>
            <w:r w:rsidRPr="00960A70">
              <w:rPr>
                <w:rFonts w:ascii="Courier New" w:hAnsi="Courier New" w:cs="Courier New"/>
                <w:sz w:val="20"/>
                <w:szCs w:val="20"/>
              </w:rPr>
              <w:t>ica that was assassinated</w:t>
            </w:r>
          </w:p>
        </w:tc>
      </w:tr>
      <w:tr w:rsidR="000D41C9" w:rsidRPr="00960A70" w14:paraId="65DCCBD1" w14:textId="77777777" w:rsidTr="00960A70">
        <w:tc>
          <w:tcPr>
            <w:tcW w:w="561" w:type="dxa"/>
          </w:tcPr>
          <w:p w14:paraId="4A862BB7"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03</w:t>
            </w:r>
          </w:p>
        </w:tc>
        <w:tc>
          <w:tcPr>
            <w:tcW w:w="877" w:type="dxa"/>
          </w:tcPr>
          <w:p w14:paraId="1847E59F" w14:textId="77777777" w:rsidR="000D41C9" w:rsidRPr="00960A70" w:rsidRDefault="000D41C9" w:rsidP="007519D9">
            <w:pPr>
              <w:spacing w:line="360" w:lineRule="auto"/>
              <w:jc w:val="both"/>
              <w:rPr>
                <w:rFonts w:ascii="Courier New" w:hAnsi="Courier New" w:cs="Courier New"/>
                <w:bCs/>
                <w:sz w:val="20"/>
                <w:szCs w:val="20"/>
              </w:rPr>
            </w:pPr>
          </w:p>
        </w:tc>
        <w:tc>
          <w:tcPr>
            <w:tcW w:w="7062" w:type="dxa"/>
          </w:tcPr>
          <w:p w14:paraId="1940CBF2" w14:textId="13CE0273"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back in the nineteen-sixties,</w:t>
            </w:r>
          </w:p>
        </w:tc>
      </w:tr>
      <w:tr w:rsidR="000D41C9" w:rsidRPr="00960A70" w14:paraId="5D180E05" w14:textId="77777777" w:rsidTr="00960A70">
        <w:tc>
          <w:tcPr>
            <w:tcW w:w="561" w:type="dxa"/>
          </w:tcPr>
          <w:p w14:paraId="62840703"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04</w:t>
            </w:r>
          </w:p>
        </w:tc>
        <w:tc>
          <w:tcPr>
            <w:tcW w:w="877" w:type="dxa"/>
          </w:tcPr>
          <w:p w14:paraId="7E0DE21E" w14:textId="77777777" w:rsidR="000D41C9" w:rsidRPr="00960A70" w:rsidRDefault="000D41C9" w:rsidP="007519D9">
            <w:pPr>
              <w:spacing w:line="360" w:lineRule="auto"/>
              <w:jc w:val="both"/>
              <w:rPr>
                <w:rFonts w:ascii="Courier New" w:hAnsi="Courier New" w:cs="Courier New"/>
                <w:bCs/>
                <w:sz w:val="20"/>
                <w:szCs w:val="20"/>
              </w:rPr>
            </w:pPr>
          </w:p>
        </w:tc>
        <w:tc>
          <w:tcPr>
            <w:tcW w:w="7062" w:type="dxa"/>
          </w:tcPr>
          <w:p w14:paraId="75A8858B" w14:textId="092E32EA"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(0.6)</w:t>
            </w:r>
          </w:p>
        </w:tc>
      </w:tr>
      <w:tr w:rsidR="000D41C9" w:rsidRPr="00960A70" w14:paraId="04DE522E" w14:textId="77777777" w:rsidTr="00960A70">
        <w:tc>
          <w:tcPr>
            <w:tcW w:w="561" w:type="dxa"/>
          </w:tcPr>
          <w:p w14:paraId="7EDEBEA3"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05</w:t>
            </w:r>
          </w:p>
        </w:tc>
        <w:tc>
          <w:tcPr>
            <w:tcW w:w="877" w:type="dxa"/>
          </w:tcPr>
          <w:p w14:paraId="424477D7" w14:textId="402F31B1"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57B63A10" w14:textId="27605DD5"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 xml:space="preserve">He was the President of </w:t>
            </w:r>
            <w:proofErr w:type="spellStart"/>
            <w:r w:rsidRPr="00960A70">
              <w:rPr>
                <w:rFonts w:ascii="Courier New" w:hAnsi="Courier New" w:cs="Courier New"/>
                <w:sz w:val="20"/>
                <w:szCs w:val="20"/>
              </w:rPr>
              <w:t>th</w:t>
            </w:r>
            <w:proofErr w:type="spellEnd"/>
            <w:r w:rsidRPr="00960A70">
              <w:rPr>
                <w:rFonts w:ascii="Courier New" w:hAnsi="Courier New" w:cs="Courier New"/>
                <w:sz w:val="20"/>
                <w:szCs w:val="20"/>
              </w:rPr>
              <w:t>- of the United States</w:t>
            </w:r>
          </w:p>
        </w:tc>
      </w:tr>
      <w:tr w:rsidR="000D41C9" w:rsidRPr="00960A70" w14:paraId="6B750CB1" w14:textId="77777777" w:rsidTr="00960A70">
        <w:tc>
          <w:tcPr>
            <w:tcW w:w="561" w:type="dxa"/>
          </w:tcPr>
          <w:p w14:paraId="6003646F"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06</w:t>
            </w:r>
          </w:p>
        </w:tc>
        <w:tc>
          <w:tcPr>
            <w:tcW w:w="877" w:type="dxa"/>
          </w:tcPr>
          <w:p w14:paraId="7D30D93A" w14:textId="496F6E23" w:rsidR="000D41C9" w:rsidRPr="00960A70" w:rsidRDefault="000D41C9" w:rsidP="007519D9">
            <w:pPr>
              <w:spacing w:line="360" w:lineRule="auto"/>
              <w:jc w:val="both"/>
              <w:rPr>
                <w:rFonts w:ascii="Courier New" w:hAnsi="Courier New" w:cs="Courier New"/>
                <w:bCs/>
                <w:sz w:val="20"/>
                <w:szCs w:val="20"/>
              </w:rPr>
            </w:pPr>
          </w:p>
        </w:tc>
        <w:tc>
          <w:tcPr>
            <w:tcW w:w="7062" w:type="dxa"/>
          </w:tcPr>
          <w:p w14:paraId="560A7D48" w14:textId="2D073AB7"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that was a</w:t>
            </w:r>
            <w:r w:rsidRPr="00960A70">
              <w:rPr>
                <w:rFonts w:ascii="Courier New" w:hAnsi="Courier New" w:cs="Courier New"/>
                <w:sz w:val="20"/>
                <w:szCs w:val="20"/>
                <w:u w:val="single"/>
              </w:rPr>
              <w:t>ss</w:t>
            </w:r>
            <w:r w:rsidRPr="00960A70">
              <w:rPr>
                <w:rFonts w:ascii="Courier New" w:hAnsi="Courier New" w:cs="Courier New"/>
                <w:sz w:val="20"/>
                <w:szCs w:val="20"/>
              </w:rPr>
              <w:t xml:space="preserve">assinated in the </w:t>
            </w:r>
            <w:proofErr w:type="gramStart"/>
            <w:r w:rsidRPr="00960A70">
              <w:rPr>
                <w:rFonts w:ascii="Courier New" w:hAnsi="Courier New" w:cs="Courier New"/>
                <w:sz w:val="20"/>
                <w:szCs w:val="20"/>
              </w:rPr>
              <w:t>sixties,=</w:t>
            </w:r>
            <w:proofErr w:type="gramEnd"/>
            <w:r w:rsidRPr="00960A70">
              <w:rPr>
                <w:rFonts w:ascii="Courier New" w:hAnsi="Courier New" w:cs="Courier New"/>
                <w:sz w:val="20"/>
                <w:szCs w:val="20"/>
              </w:rPr>
              <w:t>Can you</w:t>
            </w:r>
          </w:p>
        </w:tc>
      </w:tr>
      <w:tr w:rsidR="000D41C9" w:rsidRPr="00960A70" w14:paraId="3C87FA30" w14:textId="77777777" w:rsidTr="00960A70">
        <w:tc>
          <w:tcPr>
            <w:tcW w:w="561" w:type="dxa"/>
          </w:tcPr>
          <w:p w14:paraId="0474E4D4"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07</w:t>
            </w:r>
          </w:p>
        </w:tc>
        <w:tc>
          <w:tcPr>
            <w:tcW w:w="877" w:type="dxa"/>
          </w:tcPr>
          <w:p w14:paraId="137B5CAE" w14:textId="77777777" w:rsidR="000D41C9" w:rsidRPr="00960A70" w:rsidRDefault="000D41C9" w:rsidP="007519D9">
            <w:pPr>
              <w:spacing w:line="360" w:lineRule="auto"/>
              <w:jc w:val="both"/>
              <w:rPr>
                <w:rFonts w:ascii="Courier New" w:hAnsi="Courier New" w:cs="Courier New"/>
                <w:bCs/>
                <w:sz w:val="20"/>
                <w:szCs w:val="20"/>
              </w:rPr>
            </w:pPr>
          </w:p>
        </w:tc>
        <w:tc>
          <w:tcPr>
            <w:tcW w:w="7062" w:type="dxa"/>
          </w:tcPr>
          <w:p w14:paraId="7E9F3382" w14:textId="3FA36CFD"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sz w:val="20"/>
                <w:szCs w:val="20"/>
              </w:rPr>
              <w:t>remember who that was,</w:t>
            </w:r>
          </w:p>
        </w:tc>
      </w:tr>
      <w:tr w:rsidR="000D41C9" w:rsidRPr="00960A70" w14:paraId="4348521E" w14:textId="77777777" w:rsidTr="00960A70">
        <w:tc>
          <w:tcPr>
            <w:tcW w:w="561" w:type="dxa"/>
          </w:tcPr>
          <w:p w14:paraId="4795D5EF"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08</w:t>
            </w:r>
          </w:p>
        </w:tc>
        <w:tc>
          <w:tcPr>
            <w:tcW w:w="877" w:type="dxa"/>
          </w:tcPr>
          <w:p w14:paraId="5A3D0B23" w14:textId="25C55F93"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Pat:</w:t>
            </w:r>
          </w:p>
        </w:tc>
        <w:tc>
          <w:tcPr>
            <w:tcW w:w="7062" w:type="dxa"/>
          </w:tcPr>
          <w:p w14:paraId="72E12B55" w14:textId="1E83C0D8"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bCs/>
                <w:sz w:val="20"/>
                <w:szCs w:val="20"/>
              </w:rPr>
              <w:t xml:space="preserve">No.=I didn’t even know. </w:t>
            </w:r>
            <w:proofErr w:type="gramStart"/>
            <w:r w:rsidRPr="00960A70">
              <w:rPr>
                <w:rFonts w:ascii="Courier New" w:hAnsi="Courier New" w:cs="Courier New"/>
                <w:bCs/>
                <w:sz w:val="20"/>
                <w:szCs w:val="20"/>
              </w:rPr>
              <w:t xml:space="preserve">((  </w:t>
            </w:r>
            <w:proofErr w:type="gramEnd"/>
            <w:r w:rsidRPr="00960A70">
              <w:rPr>
                <w:rFonts w:ascii="Courier New" w:hAnsi="Courier New" w:cs="Courier New"/>
                <w:bCs/>
                <w:sz w:val="20"/>
                <w:szCs w:val="20"/>
              </w:rPr>
              <w:t xml:space="preserve"> )) </w:t>
            </w:r>
            <w:proofErr w:type="spellStart"/>
            <w:r w:rsidRPr="00960A70">
              <w:rPr>
                <w:rFonts w:ascii="Courier New" w:hAnsi="Courier New" w:cs="Courier New"/>
                <w:bCs/>
                <w:sz w:val="20"/>
                <w:szCs w:val="20"/>
              </w:rPr>
              <w:t>huhuhu</w:t>
            </w:r>
            <w:proofErr w:type="spellEnd"/>
          </w:p>
        </w:tc>
      </w:tr>
      <w:tr w:rsidR="000D41C9" w:rsidRPr="00960A70" w14:paraId="459CAB2C" w14:textId="77777777" w:rsidTr="00960A70">
        <w:tc>
          <w:tcPr>
            <w:tcW w:w="561" w:type="dxa"/>
          </w:tcPr>
          <w:p w14:paraId="488314A7" w14:textId="77777777"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09</w:t>
            </w:r>
          </w:p>
        </w:tc>
        <w:tc>
          <w:tcPr>
            <w:tcW w:w="877" w:type="dxa"/>
          </w:tcPr>
          <w:p w14:paraId="67BC16A5" w14:textId="67176B0B" w:rsidR="000D41C9" w:rsidRPr="00960A70" w:rsidRDefault="000D41C9" w:rsidP="007519D9">
            <w:pPr>
              <w:spacing w:line="360" w:lineRule="auto"/>
              <w:jc w:val="both"/>
              <w:rPr>
                <w:rFonts w:ascii="Courier New" w:hAnsi="Courier New" w:cs="Courier New"/>
                <w:bCs/>
                <w:sz w:val="20"/>
                <w:szCs w:val="20"/>
              </w:rPr>
            </w:pPr>
            <w:r w:rsidRPr="00960A70">
              <w:rPr>
                <w:rFonts w:ascii="Courier New" w:hAnsi="Courier New" w:cs="Courier New"/>
                <w:bCs/>
                <w:sz w:val="20"/>
                <w:szCs w:val="20"/>
              </w:rPr>
              <w:t>Neu3:</w:t>
            </w:r>
          </w:p>
        </w:tc>
        <w:tc>
          <w:tcPr>
            <w:tcW w:w="7062" w:type="dxa"/>
          </w:tcPr>
          <w:p w14:paraId="35BD98D3" w14:textId="1605EA04" w:rsidR="000D41C9" w:rsidRPr="00960A70" w:rsidRDefault="000D41C9" w:rsidP="007519D9">
            <w:pPr>
              <w:spacing w:line="360" w:lineRule="auto"/>
              <w:rPr>
                <w:rFonts w:ascii="Courier New" w:hAnsi="Courier New" w:cs="Courier New"/>
                <w:sz w:val="20"/>
                <w:szCs w:val="20"/>
              </w:rPr>
            </w:pPr>
            <w:r w:rsidRPr="00960A70">
              <w:rPr>
                <w:rFonts w:ascii="Courier New" w:hAnsi="Courier New" w:cs="Courier New"/>
                <w:bCs/>
                <w:sz w:val="20"/>
                <w:szCs w:val="20"/>
              </w:rPr>
              <w:t>°No°, it was a long time ago,</w:t>
            </w:r>
          </w:p>
        </w:tc>
      </w:tr>
    </w:tbl>
    <w:p w14:paraId="154AF6B0" w14:textId="77777777" w:rsidR="00C33201" w:rsidRPr="00B67327" w:rsidRDefault="00C33201" w:rsidP="00C33201">
      <w:pPr>
        <w:spacing w:line="360" w:lineRule="auto"/>
        <w:jc w:val="both"/>
        <w:rPr>
          <w:bCs/>
        </w:rPr>
      </w:pPr>
    </w:p>
    <w:p w14:paraId="77E6814C" w14:textId="31F49A41" w:rsidR="00C33201" w:rsidRPr="00B67327" w:rsidRDefault="00C33201" w:rsidP="00C33201">
      <w:pPr>
        <w:spacing w:line="360" w:lineRule="auto"/>
        <w:jc w:val="both"/>
        <w:rPr>
          <w:bCs/>
        </w:rPr>
      </w:pPr>
      <w:r w:rsidRPr="00B67327">
        <w:rPr>
          <w:bCs/>
        </w:rPr>
        <w:t xml:space="preserve">In the third-turn the clinician accounts for the patient’s inability to answer, </w:t>
      </w:r>
      <w:r w:rsidR="007B656C">
        <w:rPr>
          <w:bCs/>
        </w:rPr>
        <w:t>mitigating</w:t>
      </w:r>
      <w:r w:rsidR="007B656C" w:rsidRPr="00B67327">
        <w:rPr>
          <w:bCs/>
        </w:rPr>
        <w:t xml:space="preserve"> </w:t>
      </w:r>
      <w:r w:rsidRPr="00B67327">
        <w:rPr>
          <w:bCs/>
        </w:rPr>
        <w:t xml:space="preserve">the ‘fault’ or inability from the patient and instead suggesting it is legitimate to not </w:t>
      </w:r>
      <w:r w:rsidR="0050452C" w:rsidRPr="0050452C">
        <w:rPr>
          <w:bCs/>
          <w:i/>
          <w:iCs/>
        </w:rPr>
        <w:t>know</w:t>
      </w:r>
      <w:r w:rsidR="0050452C">
        <w:rPr>
          <w:bCs/>
        </w:rPr>
        <w:t xml:space="preserve"> the</w:t>
      </w:r>
      <w:r w:rsidRPr="00B67327">
        <w:rPr>
          <w:bCs/>
        </w:rPr>
        <w:t xml:space="preserve"> answer given the time period since the indexed event’s occurrence, </w:t>
      </w:r>
      <w:proofErr w:type="gramStart"/>
      <w:r w:rsidRPr="00B67327">
        <w:rPr>
          <w:bCs/>
        </w:rPr>
        <w:t>i.e.</w:t>
      </w:r>
      <w:proofErr w:type="gramEnd"/>
      <w:r w:rsidRPr="00B67327">
        <w:rPr>
          <w:bCs/>
        </w:rPr>
        <w:t xml:space="preserve"> “it was a long time ago” (line 09). </w:t>
      </w:r>
      <w:r w:rsidR="0050452C">
        <w:rPr>
          <w:bCs/>
        </w:rPr>
        <w:t xml:space="preserve">Interesting to note here the clinician asks the patient if he can </w:t>
      </w:r>
      <w:r w:rsidR="0050452C" w:rsidRPr="0050452C">
        <w:rPr>
          <w:bCs/>
          <w:i/>
          <w:iCs/>
        </w:rPr>
        <w:t>remember</w:t>
      </w:r>
      <w:r w:rsidR="0050452C">
        <w:rPr>
          <w:bCs/>
          <w:i/>
          <w:iCs/>
        </w:rPr>
        <w:t xml:space="preserve"> </w:t>
      </w:r>
      <w:r w:rsidR="0050452C" w:rsidRPr="0050452C">
        <w:rPr>
          <w:bCs/>
        </w:rPr>
        <w:t>the event</w:t>
      </w:r>
      <w:r w:rsidR="0050452C">
        <w:rPr>
          <w:bCs/>
          <w:i/>
          <w:iCs/>
        </w:rPr>
        <w:t xml:space="preserve"> </w:t>
      </w:r>
      <w:r w:rsidR="0050452C" w:rsidRPr="0050452C">
        <w:rPr>
          <w:bCs/>
        </w:rPr>
        <w:t>(line 07)</w:t>
      </w:r>
      <w:r w:rsidR="0050452C">
        <w:rPr>
          <w:bCs/>
        </w:rPr>
        <w:t>. T</w:t>
      </w:r>
      <w:r w:rsidR="0050452C" w:rsidRPr="0050452C">
        <w:rPr>
          <w:bCs/>
        </w:rPr>
        <w:t xml:space="preserve">he patient </w:t>
      </w:r>
      <w:r w:rsidR="0050452C">
        <w:rPr>
          <w:bCs/>
        </w:rPr>
        <w:t xml:space="preserve">resists the implication that non-answering is </w:t>
      </w:r>
      <w:r w:rsidR="00170BD1">
        <w:rPr>
          <w:bCs/>
        </w:rPr>
        <w:t xml:space="preserve">because of his </w:t>
      </w:r>
      <w:r w:rsidR="0050452C">
        <w:rPr>
          <w:bCs/>
        </w:rPr>
        <w:t xml:space="preserve">cognitive </w:t>
      </w:r>
      <w:r w:rsidR="00170BD1">
        <w:rPr>
          <w:bCs/>
        </w:rPr>
        <w:t xml:space="preserve">inability to </w:t>
      </w:r>
      <w:r w:rsidR="0050452C">
        <w:rPr>
          <w:bCs/>
        </w:rPr>
        <w:t xml:space="preserve">remember, but instead imbues an epistemic dimension </w:t>
      </w:r>
      <w:r w:rsidR="00170BD1">
        <w:rPr>
          <w:bCs/>
        </w:rPr>
        <w:t xml:space="preserve">asserting </w:t>
      </w:r>
      <w:r w:rsidR="0050452C">
        <w:rPr>
          <w:bCs/>
        </w:rPr>
        <w:t xml:space="preserve">that he didn’t possess the knowledge in the first place </w:t>
      </w:r>
      <w:r w:rsidR="00170BD1">
        <w:rPr>
          <w:bCs/>
        </w:rPr>
        <w:t xml:space="preserve">– “I </w:t>
      </w:r>
      <w:r w:rsidR="0050452C">
        <w:rPr>
          <w:bCs/>
        </w:rPr>
        <w:t>didn’t even know” (line 08).</w:t>
      </w:r>
      <w:r w:rsidR="0050452C" w:rsidRPr="0050452C">
        <w:rPr>
          <w:bCs/>
        </w:rPr>
        <w:t xml:space="preserve"> </w:t>
      </w:r>
      <w:r w:rsidR="00960A70">
        <w:rPr>
          <w:bCs/>
        </w:rPr>
        <w:t>Nevertheless, the</w:t>
      </w:r>
      <w:r w:rsidRPr="00B67327">
        <w:rPr>
          <w:bCs/>
        </w:rPr>
        <w:t xml:space="preserve"> clinicians </w:t>
      </w:r>
      <w:r w:rsidR="00943BA0">
        <w:rPr>
          <w:bCs/>
        </w:rPr>
        <w:t>can work</w:t>
      </w:r>
      <w:r w:rsidRPr="00B67327">
        <w:rPr>
          <w:bCs/>
        </w:rPr>
        <w:t xml:space="preserve"> to account for an incorrect response and reassure the patient in more-than-minimal expansion of the sequence. This </w:t>
      </w:r>
      <w:r w:rsidRPr="00B67327">
        <w:rPr>
          <w:bCs/>
        </w:rPr>
        <w:lastRenderedPageBreak/>
        <w:t xml:space="preserve">type of expansion and inability account it not </w:t>
      </w:r>
      <w:r w:rsidR="00905C72">
        <w:rPr>
          <w:bCs/>
        </w:rPr>
        <w:t xml:space="preserve">generally </w:t>
      </w:r>
      <w:r w:rsidRPr="00B67327">
        <w:rPr>
          <w:bCs/>
        </w:rPr>
        <w:t xml:space="preserve">seen in </w:t>
      </w:r>
      <w:r w:rsidR="00905C72">
        <w:rPr>
          <w:bCs/>
        </w:rPr>
        <w:t xml:space="preserve">relation to </w:t>
      </w:r>
      <w:r w:rsidRPr="00B67327">
        <w:rPr>
          <w:bCs/>
        </w:rPr>
        <w:t>people with FCD.</w:t>
      </w:r>
    </w:p>
    <w:p w14:paraId="60FB25C3" w14:textId="77777777" w:rsidR="00C33201" w:rsidRPr="00B67327" w:rsidRDefault="00C33201" w:rsidP="00C33201">
      <w:pPr>
        <w:spacing w:line="360" w:lineRule="auto"/>
        <w:jc w:val="both"/>
        <w:rPr>
          <w:bCs/>
        </w:rPr>
      </w:pPr>
    </w:p>
    <w:p w14:paraId="1DE48C13" w14:textId="15194555" w:rsidR="00C33201" w:rsidRPr="00B67327" w:rsidRDefault="00C33201" w:rsidP="00C33201">
      <w:pPr>
        <w:spacing w:line="360" w:lineRule="auto"/>
        <w:jc w:val="both"/>
        <w:rPr>
          <w:b/>
          <w:bCs/>
        </w:rPr>
      </w:pPr>
      <w:r w:rsidRPr="00B67327">
        <w:rPr>
          <w:b/>
          <w:bCs/>
        </w:rPr>
        <w:tab/>
        <w:t xml:space="preserve">4. </w:t>
      </w:r>
      <w:r w:rsidR="00EC3B7D" w:rsidRPr="00B67327">
        <w:rPr>
          <w:b/>
          <w:bCs/>
        </w:rPr>
        <w:t xml:space="preserve">Discussion and </w:t>
      </w:r>
      <w:r w:rsidRPr="00B67327">
        <w:rPr>
          <w:b/>
          <w:bCs/>
        </w:rPr>
        <w:t>Conclusion</w:t>
      </w:r>
    </w:p>
    <w:p w14:paraId="63DE6D65" w14:textId="77777777" w:rsidR="00C33201" w:rsidRPr="00B67327" w:rsidRDefault="00C33201" w:rsidP="00C33201">
      <w:pPr>
        <w:spacing w:line="360" w:lineRule="auto"/>
        <w:jc w:val="both"/>
        <w:rPr>
          <w:bCs/>
        </w:rPr>
      </w:pPr>
    </w:p>
    <w:p w14:paraId="6717BA3E" w14:textId="506BD6E5" w:rsidR="00C33201" w:rsidRPr="0001499D" w:rsidRDefault="00EC3B7D" w:rsidP="009E3CA7">
      <w:pPr>
        <w:spacing w:line="360" w:lineRule="auto"/>
        <w:jc w:val="both"/>
        <w:rPr>
          <w:lang w:eastAsia="en-GB"/>
        </w:rPr>
      </w:pPr>
      <w:r w:rsidRPr="00B67327">
        <w:rPr>
          <w:bCs/>
        </w:rPr>
        <w:t>We have continued our earlier work (Jones et al, 2020), further demonstrating variation and non-standard administration of the ACE-</w:t>
      </w:r>
      <w:r w:rsidR="007802F5" w:rsidRPr="00B67327">
        <w:rPr>
          <w:bCs/>
        </w:rPr>
        <w:t>III</w:t>
      </w:r>
      <w:r w:rsidRPr="00B67327">
        <w:rPr>
          <w:bCs/>
        </w:rPr>
        <w:t xml:space="preserve"> in clinical practice. </w:t>
      </w:r>
      <w:r w:rsidR="007B656C">
        <w:rPr>
          <w:bCs/>
        </w:rPr>
        <w:t>W</w:t>
      </w:r>
      <w:r w:rsidR="00C33201" w:rsidRPr="00B67327">
        <w:rPr>
          <w:bCs/>
        </w:rPr>
        <w:t>e have shown</w:t>
      </w:r>
      <w:r w:rsidR="006532CC" w:rsidRPr="00B67327">
        <w:rPr>
          <w:bCs/>
        </w:rPr>
        <w:t>, for example,</w:t>
      </w:r>
      <w:r w:rsidR="00C33201" w:rsidRPr="00B67327">
        <w:rPr>
          <w:bCs/>
        </w:rPr>
        <w:t xml:space="preserve"> </w:t>
      </w:r>
      <w:r w:rsidR="002C3AA1" w:rsidRPr="00B67327">
        <w:rPr>
          <w:bCs/>
        </w:rPr>
        <w:t>that</w:t>
      </w:r>
      <w:r w:rsidR="00C33201" w:rsidRPr="00B67327">
        <w:rPr>
          <w:bCs/>
        </w:rPr>
        <w:t xml:space="preserve"> clinicians actively redesign test implementation, stepping away from standardization, to prioritise recipiency and emotional labour</w:t>
      </w:r>
      <w:r w:rsidR="0001499D">
        <w:rPr>
          <w:bCs/>
        </w:rPr>
        <w:t xml:space="preserve"> (Swallow </w:t>
      </w:r>
      <w:r w:rsidR="006D1F3C">
        <w:rPr>
          <w:bCs/>
        </w:rPr>
        <w:t>and</w:t>
      </w:r>
      <w:r w:rsidR="0001499D">
        <w:rPr>
          <w:bCs/>
        </w:rPr>
        <w:t xml:space="preserve"> Hillman, 201</w:t>
      </w:r>
      <w:r w:rsidR="002F3FEE">
        <w:rPr>
          <w:bCs/>
        </w:rPr>
        <w:t>8</w:t>
      </w:r>
      <w:r w:rsidR="0001499D">
        <w:rPr>
          <w:bCs/>
        </w:rPr>
        <w:t>)</w:t>
      </w:r>
      <w:r w:rsidR="00D508E0" w:rsidRPr="009E3CA7">
        <w:rPr>
          <w:bCs/>
        </w:rPr>
        <w:t xml:space="preserve"> i.e.</w:t>
      </w:r>
      <w:r w:rsidR="00943BA0">
        <w:rPr>
          <w:bCs/>
        </w:rPr>
        <w:t>,</w:t>
      </w:r>
      <w:r w:rsidR="00D508E0" w:rsidRPr="009E3CA7">
        <w:rPr>
          <w:bCs/>
        </w:rPr>
        <w:t xml:space="preserve"> they incorporate elements of recipient design</w:t>
      </w:r>
      <w:r w:rsidR="007B656C">
        <w:rPr>
          <w:bCs/>
        </w:rPr>
        <w:t xml:space="preserve"> within the questions they ask (</w:t>
      </w:r>
      <w:r w:rsidR="0001499D">
        <w:rPr>
          <w:bCs/>
        </w:rPr>
        <w:t>e.g.</w:t>
      </w:r>
      <w:r w:rsidR="00943BA0">
        <w:rPr>
          <w:bCs/>
        </w:rPr>
        <w:t>,</w:t>
      </w:r>
      <w:r w:rsidR="0001499D">
        <w:rPr>
          <w:bCs/>
        </w:rPr>
        <w:t xml:space="preserve"> extract 6)</w:t>
      </w:r>
      <w:r w:rsidR="00C33201" w:rsidRPr="00B67327">
        <w:rPr>
          <w:bCs/>
        </w:rPr>
        <w:t xml:space="preserve">. </w:t>
      </w:r>
      <w:r w:rsidR="00B60F7F" w:rsidRPr="00B67327">
        <w:rPr>
          <w:lang w:eastAsia="en-GB"/>
        </w:rPr>
        <w:t xml:space="preserve">While this variation in administration may undermine standard assessment procedures, it could be seen to be an important component for enhancing patient experience. </w:t>
      </w:r>
      <w:r w:rsidR="0001499D">
        <w:rPr>
          <w:lang w:eastAsia="en-GB"/>
        </w:rPr>
        <w:t>Furthermore, we have drawn an important distinction within the clinicians</w:t>
      </w:r>
      <w:r w:rsidR="00595EDB">
        <w:rPr>
          <w:lang w:eastAsia="en-GB"/>
        </w:rPr>
        <w:t>’</w:t>
      </w:r>
      <w:r w:rsidR="0001499D">
        <w:rPr>
          <w:lang w:eastAsia="en-GB"/>
        </w:rPr>
        <w:t xml:space="preserve"> conduct when testing patients with a ‘working diagnosis’ of FCD as compared to those with a dementia diagnosis. </w:t>
      </w:r>
      <w:r w:rsidR="0001499D">
        <w:rPr>
          <w:bCs/>
        </w:rPr>
        <w:t>C</w:t>
      </w:r>
      <w:r w:rsidR="00C33201">
        <w:rPr>
          <w:bCs/>
        </w:rPr>
        <w:t>linicians appear to orient to the patients</w:t>
      </w:r>
      <w:r w:rsidR="00CD6C84">
        <w:rPr>
          <w:bCs/>
        </w:rPr>
        <w:t>’</w:t>
      </w:r>
      <w:r w:rsidR="00C33201">
        <w:rPr>
          <w:bCs/>
        </w:rPr>
        <w:t xml:space="preserve"> needs and abilities when introducing the test and seeking consent, working harder to </w:t>
      </w:r>
      <w:r w:rsidR="0001499D">
        <w:rPr>
          <w:bCs/>
        </w:rPr>
        <w:t xml:space="preserve">set expectations, provide reassurance and to </w:t>
      </w:r>
      <w:r w:rsidR="00C33201">
        <w:rPr>
          <w:bCs/>
        </w:rPr>
        <w:t>prepare the patients with dementia for the task ahead</w:t>
      </w:r>
      <w:r w:rsidR="0001499D">
        <w:rPr>
          <w:bCs/>
        </w:rPr>
        <w:t>.</w:t>
      </w:r>
      <w:r w:rsidR="00C33201">
        <w:rPr>
          <w:bCs/>
        </w:rPr>
        <w:t xml:space="preserve"> Clinicians often </w:t>
      </w:r>
      <w:r w:rsidR="00C33201">
        <w:rPr>
          <w:bCs/>
          <w:lang w:val="en-US"/>
        </w:rPr>
        <w:t>deviate</w:t>
      </w:r>
      <w:r w:rsidR="00C33201" w:rsidRPr="00865275">
        <w:rPr>
          <w:bCs/>
          <w:lang w:val="en-US"/>
        </w:rPr>
        <w:t xml:space="preserve"> from the parameters of the test to design questions in ways that function to ‘help’ the patient</w:t>
      </w:r>
      <w:r w:rsidR="00C33201">
        <w:rPr>
          <w:bCs/>
          <w:lang w:val="en-US"/>
        </w:rPr>
        <w:t>s with dementia</w:t>
      </w:r>
      <w:r w:rsidR="0001499D">
        <w:rPr>
          <w:bCs/>
          <w:lang w:val="en-US"/>
        </w:rPr>
        <w:t xml:space="preserve">. </w:t>
      </w:r>
    </w:p>
    <w:p w14:paraId="1450D4B6" w14:textId="77777777" w:rsidR="00C33201" w:rsidRDefault="00C33201" w:rsidP="00C33201">
      <w:pPr>
        <w:spacing w:line="360" w:lineRule="auto"/>
        <w:jc w:val="both"/>
        <w:rPr>
          <w:bCs/>
          <w:lang w:val="en-US"/>
        </w:rPr>
      </w:pPr>
    </w:p>
    <w:p w14:paraId="439186A6" w14:textId="3B0A584E" w:rsidR="00471675" w:rsidRDefault="00C33201" w:rsidP="00617FED">
      <w:pPr>
        <w:spacing w:line="360" w:lineRule="auto"/>
        <w:jc w:val="both"/>
        <w:rPr>
          <w:bCs/>
        </w:rPr>
      </w:pPr>
      <w:r>
        <w:rPr>
          <w:bCs/>
        </w:rPr>
        <w:t>We have also demonstrated variation in clinical practice when administering the ACE-</w:t>
      </w:r>
      <w:r w:rsidR="00FD110D">
        <w:rPr>
          <w:bCs/>
        </w:rPr>
        <w:t>III</w:t>
      </w:r>
      <w:r>
        <w:rPr>
          <w:bCs/>
        </w:rPr>
        <w:t xml:space="preserve"> in how clinicians respond to patients</w:t>
      </w:r>
      <w:r w:rsidR="00595EDB">
        <w:rPr>
          <w:bCs/>
        </w:rPr>
        <w:t>’</w:t>
      </w:r>
      <w:r>
        <w:rPr>
          <w:bCs/>
        </w:rPr>
        <w:t xml:space="preserve"> answers and how they expand question-answer sequences. When patients have FCD the clinicians </w:t>
      </w:r>
      <w:r w:rsidR="00943BA0">
        <w:rPr>
          <w:bCs/>
        </w:rPr>
        <w:t xml:space="preserve">either </w:t>
      </w:r>
      <w:r>
        <w:rPr>
          <w:bCs/>
        </w:rPr>
        <w:t xml:space="preserve">do not use the third-turn at </w:t>
      </w:r>
      <w:proofErr w:type="gramStart"/>
      <w:r>
        <w:rPr>
          <w:bCs/>
        </w:rPr>
        <w:t>all, or</w:t>
      </w:r>
      <w:proofErr w:type="gramEnd"/>
      <w:r>
        <w:rPr>
          <w:bCs/>
        </w:rPr>
        <w:t xml:space="preserve"> </w:t>
      </w:r>
      <w:r w:rsidR="00943BA0">
        <w:rPr>
          <w:bCs/>
        </w:rPr>
        <w:t xml:space="preserve">do so only minimally </w:t>
      </w:r>
      <w:r w:rsidR="00A00EC4">
        <w:rPr>
          <w:bCs/>
        </w:rPr>
        <w:t>to close the task sequence</w:t>
      </w:r>
      <w:r>
        <w:rPr>
          <w:bCs/>
        </w:rPr>
        <w:t xml:space="preserve">. Third-turns are also used to orient to the need for the patient to produce a more specific response </w:t>
      </w:r>
      <w:r w:rsidR="00B45D1F">
        <w:rPr>
          <w:bCs/>
        </w:rPr>
        <w:t>to</w:t>
      </w:r>
      <w:r>
        <w:rPr>
          <w:bCs/>
        </w:rPr>
        <w:t xml:space="preserve"> achieve a mark on the test. However, when a patient has dementia</w:t>
      </w:r>
      <w:r w:rsidR="00595EDB">
        <w:rPr>
          <w:bCs/>
        </w:rPr>
        <w:t>,</w:t>
      </w:r>
      <w:r>
        <w:rPr>
          <w:bCs/>
        </w:rPr>
        <w:t xml:space="preserve"> clinicians often use the third-turn more frequently within each task sequence</w:t>
      </w:r>
      <w:r w:rsidR="00C2618E">
        <w:rPr>
          <w:bCs/>
        </w:rPr>
        <w:t xml:space="preserve"> either</w:t>
      </w:r>
      <w:r>
        <w:rPr>
          <w:bCs/>
        </w:rPr>
        <w:t xml:space="preserve"> to confirm</w:t>
      </w:r>
      <w:r w:rsidR="002741F8">
        <w:rPr>
          <w:bCs/>
        </w:rPr>
        <w:t xml:space="preserve"> and assess</w:t>
      </w:r>
      <w:r>
        <w:rPr>
          <w:bCs/>
        </w:rPr>
        <w:t xml:space="preserve"> a correct response, with “good” or </w:t>
      </w:r>
      <w:r w:rsidRPr="00C2618E">
        <w:rPr>
          <w:bCs/>
        </w:rPr>
        <w:t>even “very good”, to reassure a patient following an incorrect response</w:t>
      </w:r>
      <w:r w:rsidR="00C2618E" w:rsidRPr="00804FC2">
        <w:rPr>
          <w:bCs/>
        </w:rPr>
        <w:t xml:space="preserve"> (</w:t>
      </w:r>
      <w:r w:rsidRPr="00C2618E">
        <w:rPr>
          <w:bCs/>
        </w:rPr>
        <w:t>for example, “don’t worry”</w:t>
      </w:r>
      <w:r w:rsidR="00C2618E" w:rsidRPr="00804FC2">
        <w:rPr>
          <w:bCs/>
        </w:rPr>
        <w:t>)</w:t>
      </w:r>
      <w:r w:rsidRPr="00C2618E">
        <w:rPr>
          <w:bCs/>
        </w:rPr>
        <w:t>, or</w:t>
      </w:r>
      <w:r>
        <w:rPr>
          <w:bCs/>
        </w:rPr>
        <w:t xml:space="preserve"> to provide a legitimate account for why the patient may not be able to provide the correct answer</w:t>
      </w:r>
      <w:r w:rsidR="002741F8">
        <w:rPr>
          <w:bCs/>
        </w:rPr>
        <w:t>, thus absolving them of ‘fault’ in the inability to correctly answer a question</w:t>
      </w:r>
      <w:r>
        <w:rPr>
          <w:bCs/>
        </w:rPr>
        <w:t>. Clinicians are also</w:t>
      </w:r>
      <w:r w:rsidR="002741F8">
        <w:rPr>
          <w:bCs/>
        </w:rPr>
        <w:t xml:space="preserve"> less likely to pursue specific responses from people with dementia, for example a specific locational formulation, accepting a wider range of formulations as being correct. </w:t>
      </w:r>
      <w:r>
        <w:rPr>
          <w:bCs/>
        </w:rPr>
        <w:t xml:space="preserve">Some clinicians do not always appear to hold patients with dementia to the same standards to acquire a point on the </w:t>
      </w:r>
      <w:r>
        <w:rPr>
          <w:bCs/>
        </w:rPr>
        <w:lastRenderedPageBreak/>
        <w:t>test. These tests shine a light on people’s cognitive difficulties, exposing them in the consultation</w:t>
      </w:r>
      <w:r w:rsidR="00A00EC4">
        <w:rPr>
          <w:bCs/>
        </w:rPr>
        <w:t>, which</w:t>
      </w:r>
      <w:r>
        <w:rPr>
          <w:bCs/>
        </w:rPr>
        <w:t xml:space="preserve"> can </w:t>
      </w:r>
      <w:r w:rsidR="00A00EC4">
        <w:rPr>
          <w:bCs/>
        </w:rPr>
        <w:t xml:space="preserve">create </w:t>
      </w:r>
      <w:r>
        <w:rPr>
          <w:bCs/>
        </w:rPr>
        <w:t xml:space="preserve">a significant emotional burden on people undertaking </w:t>
      </w:r>
      <w:r w:rsidR="00A00EC4">
        <w:rPr>
          <w:bCs/>
        </w:rPr>
        <w:t>them</w:t>
      </w:r>
      <w:r>
        <w:rPr>
          <w:bCs/>
        </w:rPr>
        <w:t xml:space="preserve"> (Cheston, 2000; Cahill et al, 2008). </w:t>
      </w:r>
      <w:r w:rsidR="00323C6E">
        <w:rPr>
          <w:bCs/>
        </w:rPr>
        <w:t xml:space="preserve">Akin to the work of </w:t>
      </w:r>
      <w:proofErr w:type="spellStart"/>
      <w:r w:rsidR="00323C6E" w:rsidRPr="00323C6E">
        <w:rPr>
          <w:bCs/>
        </w:rPr>
        <w:t>Houtkoop</w:t>
      </w:r>
      <w:proofErr w:type="spellEnd"/>
      <w:r w:rsidR="00323C6E" w:rsidRPr="00323C6E">
        <w:rPr>
          <w:bCs/>
        </w:rPr>
        <w:t xml:space="preserve">-Steenstra and </w:t>
      </w:r>
      <w:proofErr w:type="spellStart"/>
      <w:r w:rsidR="00323C6E" w:rsidRPr="00323C6E">
        <w:rPr>
          <w:bCs/>
        </w:rPr>
        <w:t>Antaki</w:t>
      </w:r>
      <w:proofErr w:type="spellEnd"/>
      <w:r w:rsidR="00323C6E" w:rsidRPr="00323C6E">
        <w:rPr>
          <w:bCs/>
        </w:rPr>
        <w:t xml:space="preserve"> (1997:) </w:t>
      </w:r>
      <w:r w:rsidR="00323C6E">
        <w:rPr>
          <w:bCs/>
        </w:rPr>
        <w:t xml:space="preserve">we </w:t>
      </w:r>
      <w:r w:rsidR="00323C6E" w:rsidRPr="00323C6E">
        <w:rPr>
          <w:bCs/>
        </w:rPr>
        <w:t xml:space="preserve">show how </w:t>
      </w:r>
      <w:r w:rsidR="00323C6E">
        <w:rPr>
          <w:bCs/>
        </w:rPr>
        <w:t>clinicians</w:t>
      </w:r>
      <w:r w:rsidR="00323C6E" w:rsidRPr="00323C6E">
        <w:rPr>
          <w:bCs/>
        </w:rPr>
        <w:t xml:space="preserve"> use recipient-design to </w:t>
      </w:r>
      <w:r w:rsidR="00323C6E">
        <w:rPr>
          <w:bCs/>
        </w:rPr>
        <w:t xml:space="preserve">help patient’s </w:t>
      </w:r>
      <w:r w:rsidR="00323C6E" w:rsidRPr="00EF1E04">
        <w:rPr>
          <w:bCs/>
          <w:i/>
          <w:iCs/>
        </w:rPr>
        <w:t>save face</w:t>
      </w:r>
      <w:r w:rsidR="00323C6E">
        <w:rPr>
          <w:bCs/>
        </w:rPr>
        <w:t xml:space="preserve"> </w:t>
      </w:r>
      <w:r w:rsidR="00323C6E" w:rsidRPr="00323C6E">
        <w:rPr>
          <w:bCs/>
        </w:rPr>
        <w:t xml:space="preserve">in environments that are marked by </w:t>
      </w:r>
      <w:r w:rsidR="00323C6E">
        <w:rPr>
          <w:bCs/>
        </w:rPr>
        <w:t xml:space="preserve">both </w:t>
      </w:r>
      <w:r w:rsidR="00323C6E" w:rsidRPr="00323C6E">
        <w:rPr>
          <w:bCs/>
        </w:rPr>
        <w:t>interactional</w:t>
      </w:r>
      <w:r w:rsidR="00323C6E">
        <w:rPr>
          <w:bCs/>
        </w:rPr>
        <w:t xml:space="preserve"> and </w:t>
      </w:r>
      <w:r w:rsidR="006D2885">
        <w:rPr>
          <w:bCs/>
        </w:rPr>
        <w:t xml:space="preserve">(perceived) </w:t>
      </w:r>
      <w:r w:rsidR="00323C6E">
        <w:rPr>
          <w:bCs/>
        </w:rPr>
        <w:t>cognitive</w:t>
      </w:r>
      <w:r w:rsidR="00323C6E" w:rsidRPr="00323C6E">
        <w:rPr>
          <w:bCs/>
        </w:rPr>
        <w:t xml:space="preserve"> troubles</w:t>
      </w:r>
      <w:r w:rsidR="00323C6E">
        <w:rPr>
          <w:bCs/>
        </w:rPr>
        <w:t>. C</w:t>
      </w:r>
      <w:r>
        <w:rPr>
          <w:bCs/>
        </w:rPr>
        <w:t>linicians work harder in their interaction to provide support and reassurance during the administration of the tests</w:t>
      </w:r>
      <w:r w:rsidR="00471675">
        <w:rPr>
          <w:bCs/>
        </w:rPr>
        <w:t xml:space="preserve"> with patients they suspect have dementia</w:t>
      </w:r>
      <w:r>
        <w:rPr>
          <w:bCs/>
        </w:rPr>
        <w:t xml:space="preserve">. </w:t>
      </w:r>
    </w:p>
    <w:p w14:paraId="0D5C5940" w14:textId="2AD8A86B" w:rsidR="002A433B" w:rsidRDefault="002A433B" w:rsidP="00617FED">
      <w:pPr>
        <w:spacing w:line="360" w:lineRule="auto"/>
        <w:jc w:val="both"/>
        <w:rPr>
          <w:bCs/>
        </w:rPr>
      </w:pPr>
    </w:p>
    <w:p w14:paraId="236C2472" w14:textId="22CBDE80" w:rsidR="00B9632B" w:rsidRDefault="00471675" w:rsidP="00617FED">
      <w:pPr>
        <w:spacing w:line="360" w:lineRule="auto"/>
        <w:jc w:val="both"/>
        <w:rPr>
          <w:bCs/>
        </w:rPr>
      </w:pPr>
      <w:r>
        <w:rPr>
          <w:bCs/>
        </w:rPr>
        <w:t xml:space="preserve">This raises the question of why patients with FCD </w:t>
      </w:r>
      <w:r w:rsidR="00114FB2">
        <w:rPr>
          <w:bCs/>
        </w:rPr>
        <w:t>receive a more ‘standard’ approach to testing.</w:t>
      </w:r>
      <w:r>
        <w:rPr>
          <w:bCs/>
        </w:rPr>
        <w:t xml:space="preserve"> </w:t>
      </w:r>
      <w:r w:rsidR="00114FB2">
        <w:rPr>
          <w:bCs/>
        </w:rPr>
        <w:t xml:space="preserve">The ACE-III in this context </w:t>
      </w:r>
      <w:r w:rsidR="00D260C7">
        <w:rPr>
          <w:bCs/>
        </w:rPr>
        <w:t xml:space="preserve">follows </w:t>
      </w:r>
      <w:r w:rsidR="00114FB2">
        <w:rPr>
          <w:bCs/>
        </w:rPr>
        <w:t>history-taking, during which the patient’s social and interactional competence (or incompetence) has begun to be exposed (</w:t>
      </w:r>
      <w:r w:rsidR="00114FB2" w:rsidRPr="00114FB2">
        <w:rPr>
          <w:bCs/>
        </w:rPr>
        <w:t>Elsey et al, 2015; Jones et al, 2016</w:t>
      </w:r>
      <w:r w:rsidR="00114FB2">
        <w:rPr>
          <w:bCs/>
        </w:rPr>
        <w:t xml:space="preserve">). Clinicians report forming a working diagnosis during these interactions, and perhaps respond to this clinical </w:t>
      </w:r>
      <w:r w:rsidR="00D260C7">
        <w:rPr>
          <w:bCs/>
        </w:rPr>
        <w:t xml:space="preserve">expertise </w:t>
      </w:r>
      <w:r w:rsidR="00114FB2">
        <w:rPr>
          <w:bCs/>
        </w:rPr>
        <w:t xml:space="preserve">by choosing to follow standard procedure for patients they perceive to be cognitively competent. In turn, for those patients who have struggled to respond to basic questions in history-taking, clinicians adapt their delivery of the ACE-III. Aside from the larger structure of the consultation, these adaptations are also, in part, generated within the sequential unfolding of the interaction itself.  For example, the clinicians reacting with reassurance when a patient displays some distress at the introduction to the test. This raises the </w:t>
      </w:r>
      <w:r w:rsidR="00114FB2" w:rsidRPr="00114FB2">
        <w:rPr>
          <w:bCs/>
        </w:rPr>
        <w:t xml:space="preserve">inherent tension between </w:t>
      </w:r>
      <w:r w:rsidR="00114FB2">
        <w:rPr>
          <w:bCs/>
        </w:rPr>
        <w:t xml:space="preserve">the demands for the clinician to follow the standard administrative procedures </w:t>
      </w:r>
      <w:r w:rsidR="00114FB2" w:rsidRPr="00114FB2">
        <w:rPr>
          <w:bCs/>
        </w:rPr>
        <w:t xml:space="preserve">on one hand and the demands of recipient design on the other. </w:t>
      </w:r>
      <w:r w:rsidR="00C33201" w:rsidRPr="009E3CA7">
        <w:rPr>
          <w:bCs/>
        </w:rPr>
        <w:t xml:space="preserve">It can be suggested therefore that there </w:t>
      </w:r>
      <w:r w:rsidR="00D508E0" w:rsidRPr="009E3CA7">
        <w:rPr>
          <w:bCs/>
        </w:rPr>
        <w:t xml:space="preserve">are </w:t>
      </w:r>
      <w:r w:rsidR="00C33201" w:rsidRPr="009E3CA7">
        <w:rPr>
          <w:bCs/>
        </w:rPr>
        <w:t xml:space="preserve">often good </w:t>
      </w:r>
      <w:r w:rsidR="00D508E0" w:rsidRPr="009E3CA7">
        <w:rPr>
          <w:bCs/>
        </w:rPr>
        <w:t xml:space="preserve">interactional </w:t>
      </w:r>
      <w:r w:rsidR="00C33201" w:rsidRPr="009E3CA7">
        <w:rPr>
          <w:bCs/>
        </w:rPr>
        <w:t>reason</w:t>
      </w:r>
      <w:r w:rsidR="00D508E0" w:rsidRPr="009E3CA7">
        <w:rPr>
          <w:bCs/>
        </w:rPr>
        <w:t>s</w:t>
      </w:r>
      <w:r w:rsidR="00C33201" w:rsidRPr="009E3CA7">
        <w:rPr>
          <w:bCs/>
        </w:rPr>
        <w:t xml:space="preserve"> for non-standard administration of cognitive </w:t>
      </w:r>
      <w:r w:rsidR="006D1F3C">
        <w:rPr>
          <w:bCs/>
        </w:rPr>
        <w:t>assessments</w:t>
      </w:r>
      <w:r w:rsidR="00C33201" w:rsidRPr="009E3CA7">
        <w:rPr>
          <w:bCs/>
        </w:rPr>
        <w:t>.</w:t>
      </w:r>
    </w:p>
    <w:p w14:paraId="0223A7FA" w14:textId="2CEFCAA8" w:rsidR="00817974" w:rsidRDefault="00817974" w:rsidP="00617FED">
      <w:pPr>
        <w:spacing w:line="360" w:lineRule="auto"/>
        <w:jc w:val="both"/>
        <w:rPr>
          <w:bCs/>
        </w:rPr>
      </w:pPr>
    </w:p>
    <w:p w14:paraId="23417C14" w14:textId="77777777" w:rsidR="00817974" w:rsidRDefault="00817974" w:rsidP="00817974">
      <w:pPr>
        <w:ind w:firstLine="720"/>
        <w:outlineLvl w:val="0"/>
        <w:rPr>
          <w:b/>
          <w:color w:val="000000" w:themeColor="text1"/>
        </w:rPr>
      </w:pPr>
      <w:r w:rsidRPr="00DC3B6B">
        <w:rPr>
          <w:b/>
          <w:color w:val="000000" w:themeColor="text1"/>
        </w:rPr>
        <w:t>References</w:t>
      </w:r>
    </w:p>
    <w:p w14:paraId="2241C197" w14:textId="77777777" w:rsidR="00817974" w:rsidRPr="00DC3B6B" w:rsidRDefault="00817974" w:rsidP="00817974">
      <w:pPr>
        <w:ind w:firstLine="720"/>
        <w:outlineLvl w:val="0"/>
        <w:rPr>
          <w:b/>
          <w:color w:val="000000" w:themeColor="text1"/>
        </w:rPr>
      </w:pPr>
    </w:p>
    <w:p w14:paraId="4FAC8BC8" w14:textId="77777777" w:rsidR="00817974" w:rsidRPr="00DC3B6B" w:rsidRDefault="00817974" w:rsidP="00817974">
      <w:pPr>
        <w:ind w:left="720" w:hanging="720"/>
        <w:rPr>
          <w:bCs/>
          <w:color w:val="000000" w:themeColor="text1"/>
        </w:rPr>
      </w:pPr>
      <w:r w:rsidRPr="00DC3B6B">
        <w:rPr>
          <w:bCs/>
          <w:color w:val="000000" w:themeColor="text1"/>
        </w:rPr>
        <w:t xml:space="preserve">Alzheimer’s Society (2015) Helping you to assess cognition: A practical toolkit for clinicians. Available: &gt;https://www.alzheimers.org.uk/sites/default/files/migrate/downloads/alzheimers_society_cognitive_assessment_toolkit.pdf&gt; </w:t>
      </w:r>
    </w:p>
    <w:p w14:paraId="297B4DE7" w14:textId="77777777" w:rsidR="00817974" w:rsidRPr="00DC3B6B" w:rsidRDefault="00817974" w:rsidP="00817974">
      <w:pPr>
        <w:ind w:left="720" w:hanging="720"/>
        <w:rPr>
          <w:bCs/>
          <w:color w:val="000000" w:themeColor="text1"/>
        </w:rPr>
      </w:pPr>
      <w:r w:rsidRPr="00E8702F">
        <w:rPr>
          <w:bCs/>
          <w:color w:val="000000" w:themeColor="text1"/>
        </w:rPr>
        <w:t xml:space="preserve">Atkinson, M. and Drew, P (1979) </w:t>
      </w:r>
      <w:r w:rsidRPr="00E8702F">
        <w:rPr>
          <w:bCs/>
          <w:i/>
          <w:iCs/>
          <w:color w:val="000000" w:themeColor="text1"/>
        </w:rPr>
        <w:t>Order in Court: The organization of verbal interaction in Judicial settings</w:t>
      </w:r>
      <w:r w:rsidRPr="00E8702F">
        <w:rPr>
          <w:bCs/>
          <w:color w:val="000000" w:themeColor="text1"/>
        </w:rPr>
        <w:t xml:space="preserve">. London: The Macmillan Press </w:t>
      </w:r>
    </w:p>
    <w:p w14:paraId="7A684D03" w14:textId="77777777" w:rsidR="00817974" w:rsidRPr="00DC3B6B" w:rsidRDefault="00817974" w:rsidP="00817974">
      <w:pPr>
        <w:ind w:left="720" w:hanging="720"/>
        <w:rPr>
          <w:bCs/>
          <w:color w:val="000000" w:themeColor="text1"/>
          <w:lang w:val="en-US"/>
        </w:rPr>
      </w:pPr>
      <w:r w:rsidRPr="008C2DCB">
        <w:rPr>
          <w:bCs/>
          <w:color w:val="000000" w:themeColor="text1"/>
          <w:lang w:val="en-US"/>
        </w:rPr>
        <w:t xml:space="preserve">Beach, W. A. (1993) Transitional regularities for ‘casual’ ‘‘Okay’’ usages. </w:t>
      </w:r>
      <w:r w:rsidRPr="008C2DCB">
        <w:rPr>
          <w:bCs/>
          <w:i/>
          <w:iCs/>
          <w:color w:val="000000" w:themeColor="text1"/>
          <w:lang w:val="en-US"/>
        </w:rPr>
        <w:t>Journal of Pragmatics,</w:t>
      </w:r>
      <w:r w:rsidRPr="008C2DCB">
        <w:rPr>
          <w:bCs/>
          <w:color w:val="000000" w:themeColor="text1"/>
          <w:lang w:val="en-US"/>
        </w:rPr>
        <w:t xml:space="preserve"> 19, 325–352</w:t>
      </w:r>
    </w:p>
    <w:p w14:paraId="0E5F71D7" w14:textId="77777777" w:rsidR="00817974" w:rsidRPr="00DC3B6B" w:rsidRDefault="00817974" w:rsidP="00817974">
      <w:pPr>
        <w:ind w:left="720" w:hanging="720"/>
        <w:rPr>
          <w:bCs/>
          <w:color w:val="000000" w:themeColor="text1"/>
        </w:rPr>
      </w:pPr>
      <w:proofErr w:type="spellStart"/>
      <w:r w:rsidRPr="0002249B">
        <w:rPr>
          <w:rFonts w:eastAsia="Arial"/>
          <w:bCs/>
          <w:color w:val="000000" w:themeColor="text1"/>
        </w:rPr>
        <w:t>Beishon</w:t>
      </w:r>
      <w:proofErr w:type="spellEnd"/>
      <w:r w:rsidRPr="00DC3B6B">
        <w:rPr>
          <w:bCs/>
          <w:color w:val="000000" w:themeColor="text1"/>
        </w:rPr>
        <w:t>,</w:t>
      </w:r>
      <w:r w:rsidRPr="0002249B">
        <w:rPr>
          <w:rFonts w:eastAsia="Arial"/>
          <w:bCs/>
          <w:color w:val="000000" w:themeColor="text1"/>
        </w:rPr>
        <w:t xml:space="preserve"> L</w:t>
      </w:r>
      <w:r w:rsidRPr="00DC3B6B">
        <w:rPr>
          <w:bCs/>
          <w:color w:val="000000" w:themeColor="text1"/>
        </w:rPr>
        <w:t>.</w:t>
      </w:r>
      <w:r w:rsidRPr="0002249B">
        <w:rPr>
          <w:rFonts w:eastAsia="Arial"/>
          <w:bCs/>
          <w:color w:val="000000" w:themeColor="text1"/>
        </w:rPr>
        <w:t>C</w:t>
      </w:r>
      <w:r w:rsidRPr="00DC3B6B">
        <w:rPr>
          <w:bCs/>
          <w:color w:val="000000" w:themeColor="text1"/>
        </w:rPr>
        <w:t>.</w:t>
      </w:r>
      <w:r w:rsidRPr="0002249B">
        <w:rPr>
          <w:rFonts w:eastAsia="Arial"/>
          <w:bCs/>
          <w:color w:val="000000" w:themeColor="text1"/>
        </w:rPr>
        <w:t xml:space="preserve">, </w:t>
      </w:r>
      <w:proofErr w:type="spellStart"/>
      <w:r w:rsidRPr="0002249B">
        <w:rPr>
          <w:rFonts w:eastAsia="Arial"/>
          <w:bCs/>
          <w:color w:val="000000" w:themeColor="text1"/>
        </w:rPr>
        <w:t>Batterham</w:t>
      </w:r>
      <w:proofErr w:type="spellEnd"/>
      <w:r w:rsidRPr="00DC3B6B">
        <w:rPr>
          <w:bCs/>
          <w:color w:val="000000" w:themeColor="text1"/>
        </w:rPr>
        <w:t xml:space="preserve">, </w:t>
      </w:r>
      <w:r w:rsidRPr="0002249B">
        <w:rPr>
          <w:rFonts w:eastAsia="Arial"/>
          <w:bCs/>
          <w:color w:val="000000" w:themeColor="text1"/>
        </w:rPr>
        <w:t>A</w:t>
      </w:r>
      <w:r w:rsidRPr="00DC3B6B">
        <w:rPr>
          <w:bCs/>
          <w:color w:val="000000" w:themeColor="text1"/>
        </w:rPr>
        <w:t>.</w:t>
      </w:r>
      <w:r w:rsidRPr="0002249B">
        <w:rPr>
          <w:rFonts w:eastAsia="Arial"/>
          <w:bCs/>
          <w:color w:val="000000" w:themeColor="text1"/>
        </w:rPr>
        <w:t>P</w:t>
      </w:r>
      <w:r w:rsidRPr="00DC3B6B">
        <w:rPr>
          <w:bCs/>
          <w:color w:val="000000" w:themeColor="text1"/>
        </w:rPr>
        <w:t>.</w:t>
      </w:r>
      <w:r w:rsidRPr="0002249B">
        <w:rPr>
          <w:rFonts w:eastAsia="Arial"/>
          <w:bCs/>
          <w:color w:val="000000" w:themeColor="text1"/>
        </w:rPr>
        <w:t>, Quinn</w:t>
      </w:r>
      <w:r w:rsidRPr="00DC3B6B">
        <w:rPr>
          <w:bCs/>
          <w:color w:val="000000" w:themeColor="text1"/>
        </w:rPr>
        <w:t xml:space="preserve">, </w:t>
      </w:r>
      <w:r w:rsidRPr="0002249B">
        <w:rPr>
          <w:rFonts w:eastAsia="Arial"/>
          <w:bCs/>
          <w:color w:val="000000" w:themeColor="text1"/>
        </w:rPr>
        <w:t>T</w:t>
      </w:r>
      <w:r w:rsidRPr="00DC3B6B">
        <w:rPr>
          <w:bCs/>
          <w:color w:val="000000" w:themeColor="text1"/>
        </w:rPr>
        <w:t>.</w:t>
      </w:r>
      <w:r w:rsidRPr="0002249B">
        <w:rPr>
          <w:rFonts w:eastAsia="Arial"/>
          <w:bCs/>
          <w:color w:val="000000" w:themeColor="text1"/>
        </w:rPr>
        <w:t>J</w:t>
      </w:r>
      <w:r w:rsidRPr="00DC3B6B">
        <w:rPr>
          <w:bCs/>
          <w:color w:val="000000" w:themeColor="text1"/>
        </w:rPr>
        <w:t>.</w:t>
      </w:r>
      <w:r w:rsidRPr="0002249B">
        <w:rPr>
          <w:rFonts w:eastAsia="Arial"/>
          <w:bCs/>
          <w:color w:val="000000" w:themeColor="text1"/>
        </w:rPr>
        <w:t>, Nelson</w:t>
      </w:r>
      <w:r w:rsidRPr="00DC3B6B">
        <w:rPr>
          <w:bCs/>
          <w:color w:val="000000" w:themeColor="text1"/>
        </w:rPr>
        <w:t>, C.</w:t>
      </w:r>
      <w:r w:rsidRPr="0002249B">
        <w:rPr>
          <w:rFonts w:eastAsia="Arial"/>
          <w:bCs/>
          <w:color w:val="000000" w:themeColor="text1"/>
        </w:rPr>
        <w:t>P</w:t>
      </w:r>
      <w:r w:rsidRPr="00DC3B6B">
        <w:rPr>
          <w:bCs/>
          <w:color w:val="000000" w:themeColor="text1"/>
        </w:rPr>
        <w:t>.</w:t>
      </w:r>
      <w:r w:rsidRPr="0002249B">
        <w:rPr>
          <w:rFonts w:eastAsia="Arial"/>
          <w:bCs/>
          <w:color w:val="000000" w:themeColor="text1"/>
        </w:rPr>
        <w:t>, Panerai</w:t>
      </w:r>
      <w:r w:rsidRPr="00DC3B6B">
        <w:rPr>
          <w:bCs/>
          <w:color w:val="000000" w:themeColor="text1"/>
        </w:rPr>
        <w:t xml:space="preserve">, </w:t>
      </w:r>
      <w:r w:rsidRPr="0002249B">
        <w:rPr>
          <w:rFonts w:eastAsia="Arial"/>
          <w:bCs/>
          <w:color w:val="000000" w:themeColor="text1"/>
        </w:rPr>
        <w:t>R</w:t>
      </w:r>
      <w:r w:rsidRPr="00DC3B6B">
        <w:rPr>
          <w:bCs/>
          <w:color w:val="000000" w:themeColor="text1"/>
        </w:rPr>
        <w:t>.</w:t>
      </w:r>
      <w:r w:rsidRPr="0002249B">
        <w:rPr>
          <w:rFonts w:eastAsia="Arial"/>
          <w:bCs/>
          <w:color w:val="000000" w:themeColor="text1"/>
        </w:rPr>
        <w:t>B</w:t>
      </w:r>
      <w:r w:rsidRPr="00DC3B6B">
        <w:rPr>
          <w:bCs/>
          <w:color w:val="000000" w:themeColor="text1"/>
        </w:rPr>
        <w:t>.</w:t>
      </w:r>
      <w:r w:rsidRPr="0002249B">
        <w:rPr>
          <w:rFonts w:eastAsia="Arial"/>
          <w:bCs/>
          <w:color w:val="000000" w:themeColor="text1"/>
        </w:rPr>
        <w:t>, Robinson</w:t>
      </w:r>
      <w:r w:rsidRPr="00DC3B6B">
        <w:rPr>
          <w:bCs/>
          <w:color w:val="000000" w:themeColor="text1"/>
        </w:rPr>
        <w:t xml:space="preserve">, </w:t>
      </w:r>
      <w:r w:rsidRPr="0002249B">
        <w:rPr>
          <w:rFonts w:eastAsia="Arial"/>
          <w:bCs/>
          <w:color w:val="000000" w:themeColor="text1"/>
        </w:rPr>
        <w:t>T</w:t>
      </w:r>
      <w:r w:rsidRPr="00DC3B6B">
        <w:rPr>
          <w:bCs/>
          <w:color w:val="000000" w:themeColor="text1"/>
        </w:rPr>
        <w:t>.</w:t>
      </w:r>
      <w:r w:rsidRPr="0002249B">
        <w:rPr>
          <w:rFonts w:eastAsia="Arial"/>
          <w:bCs/>
          <w:color w:val="000000" w:themeColor="text1"/>
        </w:rPr>
        <w:t xml:space="preserve">, </w:t>
      </w:r>
      <w:proofErr w:type="spellStart"/>
      <w:proofErr w:type="gramStart"/>
      <w:r w:rsidRPr="0002249B">
        <w:rPr>
          <w:rFonts w:eastAsia="Arial"/>
          <w:bCs/>
          <w:color w:val="000000" w:themeColor="text1"/>
        </w:rPr>
        <w:t>Haunton</w:t>
      </w:r>
      <w:r w:rsidRPr="00DC3B6B">
        <w:rPr>
          <w:bCs/>
          <w:color w:val="000000" w:themeColor="text1"/>
        </w:rPr>
        <w:t>,</w:t>
      </w:r>
      <w:r w:rsidRPr="0002249B">
        <w:rPr>
          <w:rFonts w:eastAsia="Arial"/>
          <w:bCs/>
          <w:color w:val="000000" w:themeColor="text1"/>
        </w:rPr>
        <w:t>V</w:t>
      </w:r>
      <w:r w:rsidRPr="00DC3B6B">
        <w:rPr>
          <w:bCs/>
          <w:color w:val="000000" w:themeColor="text1"/>
        </w:rPr>
        <w:t>.</w:t>
      </w:r>
      <w:r w:rsidRPr="0002249B">
        <w:rPr>
          <w:rFonts w:eastAsia="Arial"/>
          <w:bCs/>
          <w:color w:val="000000" w:themeColor="text1"/>
        </w:rPr>
        <w:t>J</w:t>
      </w:r>
      <w:proofErr w:type="spellEnd"/>
      <w:r w:rsidRPr="0002249B">
        <w:rPr>
          <w:rFonts w:eastAsia="Arial"/>
          <w:bCs/>
          <w:color w:val="000000" w:themeColor="text1"/>
        </w:rPr>
        <w:t>.</w:t>
      </w:r>
      <w:proofErr w:type="gramEnd"/>
      <w:r w:rsidRPr="00DC3B6B">
        <w:rPr>
          <w:bCs/>
          <w:color w:val="000000" w:themeColor="text1"/>
        </w:rPr>
        <w:t xml:space="preserve"> (2019)</w:t>
      </w:r>
      <w:r w:rsidRPr="0002249B">
        <w:rPr>
          <w:rFonts w:eastAsia="Arial"/>
          <w:bCs/>
          <w:color w:val="000000" w:themeColor="text1"/>
        </w:rPr>
        <w:t xml:space="preserve"> Addenbrooke’s Cognitive Examination III (ACE‐III) and mini‐ACE for the detection of dementia and mild cognitive impairment. </w:t>
      </w:r>
      <w:r w:rsidRPr="0002249B">
        <w:rPr>
          <w:rFonts w:eastAsia="Arial"/>
          <w:bCs/>
          <w:i/>
          <w:iCs/>
          <w:color w:val="000000" w:themeColor="text1"/>
        </w:rPr>
        <w:lastRenderedPageBreak/>
        <w:t>Cochrane Database of Systematic Reviews</w:t>
      </w:r>
      <w:r w:rsidRPr="0002249B">
        <w:rPr>
          <w:rFonts w:eastAsia="Arial"/>
          <w:bCs/>
          <w:color w:val="000000" w:themeColor="text1"/>
        </w:rPr>
        <w:t xml:space="preserve"> </w:t>
      </w:r>
      <w:r w:rsidRPr="00DC3B6B">
        <w:rPr>
          <w:bCs/>
          <w:color w:val="000000" w:themeColor="text1"/>
        </w:rPr>
        <w:t>(</w:t>
      </w:r>
      <w:r w:rsidRPr="0002249B">
        <w:rPr>
          <w:rFonts w:eastAsia="Arial"/>
          <w:bCs/>
          <w:color w:val="000000" w:themeColor="text1"/>
        </w:rPr>
        <w:t>12</w:t>
      </w:r>
      <w:r w:rsidRPr="00DC3B6B">
        <w:rPr>
          <w:bCs/>
          <w:color w:val="000000" w:themeColor="text1"/>
        </w:rPr>
        <w:t>)</w:t>
      </w:r>
      <w:r w:rsidRPr="0002249B">
        <w:rPr>
          <w:rFonts w:eastAsia="Arial"/>
          <w:bCs/>
          <w:color w:val="000000" w:themeColor="text1"/>
        </w:rPr>
        <w:t xml:space="preserve"> CD013282. DOI: 10.1002/14651858.CD013282.pub2</w:t>
      </w:r>
    </w:p>
    <w:p w14:paraId="7E9F016B" w14:textId="77777777" w:rsidR="00817974" w:rsidRPr="00DC3B6B" w:rsidRDefault="00817974" w:rsidP="00817974">
      <w:pPr>
        <w:ind w:left="720" w:hanging="720"/>
        <w:rPr>
          <w:b/>
          <w:bCs/>
          <w:color w:val="000000" w:themeColor="text1"/>
        </w:rPr>
      </w:pPr>
      <w:r w:rsidRPr="002B575F">
        <w:rPr>
          <w:bCs/>
          <w:color w:val="000000" w:themeColor="text1"/>
        </w:rPr>
        <w:t>Bolden, G (2006) Little Words That Matter: Discourse Markers “So” and “Oh” and the Doing of Other‐Attentiveness in Social Interaction</w:t>
      </w:r>
      <w:r w:rsidRPr="002B575F">
        <w:rPr>
          <w:b/>
          <w:bCs/>
          <w:color w:val="000000" w:themeColor="text1"/>
        </w:rPr>
        <w:t xml:space="preserve">. </w:t>
      </w:r>
      <w:r w:rsidRPr="002B575F">
        <w:rPr>
          <w:bCs/>
          <w:i/>
          <w:iCs/>
          <w:color w:val="000000" w:themeColor="text1"/>
        </w:rPr>
        <w:t>Journal of Communication</w:t>
      </w:r>
      <w:r w:rsidRPr="002B575F">
        <w:rPr>
          <w:bCs/>
          <w:color w:val="000000" w:themeColor="text1"/>
        </w:rPr>
        <w:t>, 56(4): 661-688</w:t>
      </w:r>
    </w:p>
    <w:p w14:paraId="35066E8B" w14:textId="77777777" w:rsidR="00817974" w:rsidRPr="00DC3B6B" w:rsidRDefault="00817974" w:rsidP="00817974">
      <w:pPr>
        <w:ind w:left="720" w:hanging="720"/>
        <w:rPr>
          <w:b/>
          <w:bCs/>
          <w:color w:val="000000" w:themeColor="text1"/>
        </w:rPr>
      </w:pPr>
      <w:r w:rsidRPr="00224BB6">
        <w:rPr>
          <w:bCs/>
          <w:color w:val="000000" w:themeColor="text1"/>
        </w:rPr>
        <w:t xml:space="preserve">Bruno, D. and </w:t>
      </w:r>
      <w:proofErr w:type="spellStart"/>
      <w:r w:rsidRPr="00224BB6">
        <w:rPr>
          <w:bCs/>
          <w:color w:val="000000" w:themeColor="text1"/>
        </w:rPr>
        <w:t>Schurmann</w:t>
      </w:r>
      <w:proofErr w:type="spellEnd"/>
      <w:r w:rsidRPr="00224BB6">
        <w:rPr>
          <w:bCs/>
          <w:color w:val="000000" w:themeColor="text1"/>
        </w:rPr>
        <w:t xml:space="preserve"> </w:t>
      </w:r>
      <w:proofErr w:type="spellStart"/>
      <w:r w:rsidRPr="00224BB6">
        <w:rPr>
          <w:bCs/>
          <w:color w:val="000000" w:themeColor="text1"/>
        </w:rPr>
        <w:t>Vignaga</w:t>
      </w:r>
      <w:proofErr w:type="spellEnd"/>
      <w:r w:rsidRPr="00224BB6">
        <w:rPr>
          <w:bCs/>
          <w:color w:val="000000" w:themeColor="text1"/>
        </w:rPr>
        <w:t>, S. (2019) Addenbrooke's cognitive examination III in the diagnosis of dementia: a critical review.</w:t>
      </w:r>
      <w:r w:rsidRPr="00224BB6">
        <w:rPr>
          <w:b/>
          <w:bCs/>
          <w:color w:val="000000" w:themeColor="text1"/>
        </w:rPr>
        <w:t xml:space="preserve"> </w:t>
      </w:r>
      <w:r w:rsidRPr="00224BB6">
        <w:rPr>
          <w:bCs/>
          <w:i/>
          <w:iCs/>
          <w:color w:val="000000" w:themeColor="text1"/>
        </w:rPr>
        <w:t>Neuropsychiatric Disease and Treatment</w:t>
      </w:r>
      <w:r w:rsidRPr="00224BB6">
        <w:rPr>
          <w:b/>
          <w:bCs/>
          <w:i/>
          <w:iCs/>
          <w:color w:val="000000" w:themeColor="text1"/>
        </w:rPr>
        <w:t>,</w:t>
      </w:r>
      <w:r w:rsidRPr="00224BB6">
        <w:rPr>
          <w:b/>
          <w:bCs/>
          <w:color w:val="000000" w:themeColor="text1"/>
        </w:rPr>
        <w:t xml:space="preserve"> </w:t>
      </w:r>
      <w:r w:rsidRPr="00224BB6">
        <w:rPr>
          <w:bCs/>
          <w:color w:val="000000" w:themeColor="text1"/>
        </w:rPr>
        <w:t>15(15):441-447.</w:t>
      </w:r>
    </w:p>
    <w:p w14:paraId="52CB89F6" w14:textId="77777777" w:rsidR="00817974" w:rsidRPr="00DC3B6B" w:rsidRDefault="00817974" w:rsidP="00817974">
      <w:pPr>
        <w:ind w:left="720" w:hanging="720"/>
        <w:rPr>
          <w:color w:val="000000" w:themeColor="text1"/>
        </w:rPr>
      </w:pPr>
      <w:r w:rsidRPr="00D74B46">
        <w:rPr>
          <w:color w:val="000000" w:themeColor="text1"/>
        </w:rPr>
        <w:t xml:space="preserve">Button, G. (1987) Answers as Interactional Products: Two Sequential Practices Used in Interviews. </w:t>
      </w:r>
      <w:r w:rsidRPr="00D74B46">
        <w:rPr>
          <w:i/>
          <w:iCs/>
          <w:color w:val="000000" w:themeColor="text1"/>
        </w:rPr>
        <w:t>Social Psychology Quarterly</w:t>
      </w:r>
      <w:r w:rsidRPr="00D74B46">
        <w:rPr>
          <w:color w:val="000000" w:themeColor="text1"/>
        </w:rPr>
        <w:t>, 50(2):160-171 </w:t>
      </w:r>
    </w:p>
    <w:p w14:paraId="6578766F" w14:textId="77777777" w:rsidR="00817974" w:rsidRPr="00DC3B6B" w:rsidRDefault="00817974" w:rsidP="00817974">
      <w:pPr>
        <w:ind w:left="720" w:hanging="720"/>
        <w:rPr>
          <w:bCs/>
          <w:color w:val="000000" w:themeColor="text1"/>
        </w:rPr>
      </w:pPr>
      <w:r w:rsidRPr="00DC3B6B">
        <w:rPr>
          <w:bCs/>
          <w:color w:val="000000" w:themeColor="text1"/>
        </w:rPr>
        <w:t xml:space="preserve">Cahill, S.M., Gibb, M., Bruce, I., </w:t>
      </w:r>
      <w:proofErr w:type="spellStart"/>
      <w:r w:rsidRPr="00DC3B6B">
        <w:rPr>
          <w:bCs/>
          <w:color w:val="000000" w:themeColor="text1"/>
        </w:rPr>
        <w:t>Headon</w:t>
      </w:r>
      <w:proofErr w:type="spellEnd"/>
      <w:r w:rsidRPr="00DC3B6B">
        <w:rPr>
          <w:bCs/>
          <w:color w:val="000000" w:themeColor="text1"/>
        </w:rPr>
        <w:t>, M., Drury, M. (2008) ‘I was worried coming in because I don’t really know why it was arranged’</w:t>
      </w:r>
      <w:r w:rsidRPr="00DC3B6B">
        <w:rPr>
          <w:rFonts w:eastAsia="MS Mincho"/>
          <w:b/>
          <w:bCs/>
          <w:color w:val="000000" w:themeColor="text1"/>
        </w:rPr>
        <w:t> </w:t>
      </w:r>
      <w:r w:rsidRPr="00DC3B6B">
        <w:rPr>
          <w:bCs/>
          <w:iCs/>
          <w:color w:val="000000" w:themeColor="text1"/>
        </w:rPr>
        <w:t xml:space="preserve">The subjective experience of new patients and their primary caregivers attending a memory clinic. </w:t>
      </w:r>
      <w:r w:rsidRPr="00DC3B6B">
        <w:rPr>
          <w:bCs/>
          <w:i/>
          <w:iCs/>
          <w:color w:val="000000" w:themeColor="text1"/>
        </w:rPr>
        <w:t>Dementia</w:t>
      </w:r>
      <w:r w:rsidRPr="00DC3B6B">
        <w:rPr>
          <w:bCs/>
          <w:iCs/>
          <w:color w:val="000000" w:themeColor="text1"/>
        </w:rPr>
        <w:t xml:space="preserve">, 7(2):175-189 </w:t>
      </w:r>
      <w:r w:rsidRPr="00DC3B6B">
        <w:rPr>
          <w:bCs/>
          <w:i/>
          <w:iCs/>
          <w:color w:val="000000" w:themeColor="text1"/>
        </w:rPr>
        <w:t xml:space="preserve"> </w:t>
      </w:r>
    </w:p>
    <w:p w14:paraId="7E7E59E7" w14:textId="77777777" w:rsidR="00817974" w:rsidRPr="00DC3B6B" w:rsidRDefault="00817974" w:rsidP="00817974">
      <w:pPr>
        <w:ind w:left="720" w:hanging="720"/>
        <w:rPr>
          <w:bCs/>
          <w:color w:val="000000" w:themeColor="text1"/>
        </w:rPr>
      </w:pPr>
      <w:r w:rsidRPr="00DC3B6B">
        <w:rPr>
          <w:bCs/>
          <w:color w:val="000000" w:themeColor="text1"/>
        </w:rPr>
        <w:t xml:space="preserve">Chandler, P. &amp; </w:t>
      </w:r>
      <w:proofErr w:type="spellStart"/>
      <w:r w:rsidRPr="00DC3B6B">
        <w:rPr>
          <w:bCs/>
          <w:color w:val="000000" w:themeColor="text1"/>
        </w:rPr>
        <w:t>Sweller</w:t>
      </w:r>
      <w:proofErr w:type="spellEnd"/>
      <w:r w:rsidRPr="00DC3B6B">
        <w:rPr>
          <w:bCs/>
          <w:color w:val="000000" w:themeColor="text1"/>
        </w:rPr>
        <w:t>, J. (1991) Cognitive Load Theory and the Format of Instruction. </w:t>
      </w:r>
      <w:r w:rsidRPr="00DC3B6B">
        <w:rPr>
          <w:bCs/>
          <w:i/>
          <w:iCs/>
          <w:color w:val="000000" w:themeColor="text1"/>
        </w:rPr>
        <w:t>Cognition and Instruction</w:t>
      </w:r>
      <w:r w:rsidRPr="00DC3B6B">
        <w:rPr>
          <w:bCs/>
          <w:color w:val="000000" w:themeColor="text1"/>
        </w:rPr>
        <w:t>. 8(4): 293–332.</w:t>
      </w:r>
    </w:p>
    <w:p w14:paraId="504BF106" w14:textId="77777777" w:rsidR="00817974" w:rsidRPr="00DC3B6B" w:rsidRDefault="00817974" w:rsidP="00817974">
      <w:pPr>
        <w:ind w:left="720" w:hanging="720"/>
        <w:rPr>
          <w:bCs/>
          <w:color w:val="000000" w:themeColor="text1"/>
        </w:rPr>
      </w:pPr>
      <w:r w:rsidRPr="00DC3B6B">
        <w:rPr>
          <w:bCs/>
          <w:color w:val="000000" w:themeColor="text1"/>
        </w:rPr>
        <w:t xml:space="preserve">Cheston, R., Bender, M., &amp; Byatt, S. (2000). Involving people who have dementia in the evaluation of services: A review. </w:t>
      </w:r>
      <w:r w:rsidRPr="00DC3B6B">
        <w:rPr>
          <w:bCs/>
          <w:i/>
          <w:iCs/>
          <w:color w:val="000000" w:themeColor="text1"/>
        </w:rPr>
        <w:t>Journal of Mental Health</w:t>
      </w:r>
      <w:r w:rsidRPr="00DC3B6B">
        <w:rPr>
          <w:bCs/>
          <w:color w:val="000000" w:themeColor="text1"/>
        </w:rPr>
        <w:t xml:space="preserve">, </w:t>
      </w:r>
      <w:r w:rsidRPr="00DC3B6B">
        <w:rPr>
          <w:bCs/>
          <w:i/>
          <w:iCs/>
          <w:color w:val="000000" w:themeColor="text1"/>
        </w:rPr>
        <w:t>9</w:t>
      </w:r>
      <w:r w:rsidRPr="00DC3B6B">
        <w:rPr>
          <w:bCs/>
          <w:color w:val="000000" w:themeColor="text1"/>
        </w:rPr>
        <w:t xml:space="preserve">(5): 471–479. </w:t>
      </w:r>
    </w:p>
    <w:p w14:paraId="0C6A41A2" w14:textId="77777777" w:rsidR="00817974" w:rsidRPr="009158E9" w:rsidRDefault="00817974" w:rsidP="00817974">
      <w:pPr>
        <w:ind w:left="720" w:hanging="720"/>
        <w:rPr>
          <w:bCs/>
          <w:color w:val="000000" w:themeColor="text1"/>
        </w:rPr>
      </w:pPr>
      <w:proofErr w:type="spellStart"/>
      <w:r w:rsidRPr="00D71F13">
        <w:rPr>
          <w:bCs/>
          <w:color w:val="000000" w:themeColor="text1"/>
        </w:rPr>
        <w:t>Clayman</w:t>
      </w:r>
      <w:proofErr w:type="spellEnd"/>
      <w:r w:rsidRPr="00D71F13">
        <w:rPr>
          <w:bCs/>
          <w:color w:val="000000" w:themeColor="text1"/>
        </w:rPr>
        <w:t xml:space="preserve">, S.E. (1988) Displaying neutrality in television news interviews, </w:t>
      </w:r>
      <w:r w:rsidRPr="00D71F13">
        <w:rPr>
          <w:bCs/>
          <w:i/>
          <w:iCs/>
          <w:color w:val="000000" w:themeColor="text1"/>
        </w:rPr>
        <w:t>Social Problems</w:t>
      </w:r>
      <w:r w:rsidRPr="00D71F13">
        <w:rPr>
          <w:bCs/>
          <w:color w:val="000000" w:themeColor="text1"/>
        </w:rPr>
        <w:t>, 35(4):474–492</w:t>
      </w:r>
    </w:p>
    <w:p w14:paraId="63649E25" w14:textId="77777777" w:rsidR="00817974" w:rsidRPr="00DC3B6B" w:rsidRDefault="00817974" w:rsidP="00817974">
      <w:pPr>
        <w:ind w:left="720" w:hanging="720"/>
        <w:rPr>
          <w:bCs/>
          <w:color w:val="000000" w:themeColor="text1"/>
        </w:rPr>
      </w:pPr>
      <w:proofErr w:type="spellStart"/>
      <w:r w:rsidRPr="009158E9">
        <w:rPr>
          <w:bCs/>
          <w:color w:val="000000" w:themeColor="text1"/>
        </w:rPr>
        <w:t>Clayman</w:t>
      </w:r>
      <w:proofErr w:type="spellEnd"/>
      <w:r w:rsidRPr="009158E9">
        <w:rPr>
          <w:bCs/>
          <w:color w:val="000000" w:themeColor="text1"/>
        </w:rPr>
        <w:t>, S.</w:t>
      </w:r>
      <w:r w:rsidRPr="00DC3B6B">
        <w:rPr>
          <w:bCs/>
          <w:color w:val="000000" w:themeColor="text1"/>
        </w:rPr>
        <w:t>E.</w:t>
      </w:r>
      <w:r w:rsidRPr="009158E9">
        <w:rPr>
          <w:bCs/>
          <w:color w:val="000000" w:themeColor="text1"/>
        </w:rPr>
        <w:t xml:space="preserve"> &amp; Heritage, J. (2002) </w:t>
      </w:r>
      <w:r w:rsidRPr="009158E9">
        <w:rPr>
          <w:bCs/>
          <w:i/>
          <w:iCs/>
          <w:color w:val="000000" w:themeColor="text1"/>
        </w:rPr>
        <w:t>The News Interview: Journalists and Public Figures on the air</w:t>
      </w:r>
      <w:r w:rsidRPr="009158E9">
        <w:rPr>
          <w:bCs/>
          <w:color w:val="000000" w:themeColor="text1"/>
        </w:rPr>
        <w:t>. Cambridge University Press</w:t>
      </w:r>
    </w:p>
    <w:p w14:paraId="2613D76C" w14:textId="77777777" w:rsidR="00817974" w:rsidRPr="00DC3B6B" w:rsidRDefault="00817974" w:rsidP="00817974">
      <w:pPr>
        <w:ind w:left="720" w:hanging="720"/>
        <w:rPr>
          <w:bCs/>
          <w:color w:val="000000" w:themeColor="text1"/>
        </w:rPr>
      </w:pPr>
      <w:proofErr w:type="spellStart"/>
      <w:r w:rsidRPr="00D71F13">
        <w:rPr>
          <w:bCs/>
          <w:color w:val="000000" w:themeColor="text1"/>
        </w:rPr>
        <w:t>Clayman</w:t>
      </w:r>
      <w:proofErr w:type="spellEnd"/>
      <w:r w:rsidRPr="00D71F13">
        <w:rPr>
          <w:bCs/>
          <w:color w:val="000000" w:themeColor="text1"/>
        </w:rPr>
        <w:t xml:space="preserve">, S.E., Heritage, J., Hill, A.M.J. (2020) Gender matters in questioning presidents, </w:t>
      </w:r>
      <w:r w:rsidRPr="00D71F13">
        <w:rPr>
          <w:bCs/>
          <w:i/>
          <w:iCs/>
          <w:color w:val="000000" w:themeColor="text1"/>
        </w:rPr>
        <w:t>Journal of Language and Politics</w:t>
      </w:r>
      <w:r w:rsidRPr="00D71F13">
        <w:rPr>
          <w:bCs/>
          <w:color w:val="000000" w:themeColor="text1"/>
        </w:rPr>
        <w:t>, 19(1):125-143.</w:t>
      </w:r>
    </w:p>
    <w:p w14:paraId="623C05E0" w14:textId="77777777" w:rsidR="00817974" w:rsidRPr="00DC3B6B" w:rsidRDefault="00817974" w:rsidP="00817974">
      <w:pPr>
        <w:ind w:left="720" w:hanging="720"/>
        <w:rPr>
          <w:bCs/>
          <w:color w:val="000000" w:themeColor="text1"/>
        </w:rPr>
      </w:pPr>
      <w:r w:rsidRPr="00DC3B6B">
        <w:rPr>
          <w:bCs/>
          <w:color w:val="000000" w:themeColor="text1"/>
        </w:rPr>
        <w:t xml:space="preserve">Crawford, S., </w:t>
      </w:r>
      <w:proofErr w:type="spellStart"/>
      <w:r w:rsidRPr="00DC3B6B">
        <w:rPr>
          <w:bCs/>
          <w:color w:val="000000" w:themeColor="text1"/>
        </w:rPr>
        <w:t>Whitnall</w:t>
      </w:r>
      <w:proofErr w:type="spellEnd"/>
      <w:r w:rsidRPr="00DC3B6B">
        <w:rPr>
          <w:bCs/>
          <w:color w:val="000000" w:themeColor="text1"/>
        </w:rPr>
        <w:t xml:space="preserve">, L., Robertson, J., &amp; Evans, J.J. (2012) A </w:t>
      </w:r>
    </w:p>
    <w:p w14:paraId="33BA52B2" w14:textId="77777777" w:rsidR="00817974" w:rsidRPr="00DC3B6B" w:rsidRDefault="00817974" w:rsidP="00817974">
      <w:pPr>
        <w:ind w:left="720"/>
        <w:rPr>
          <w:bCs/>
          <w:color w:val="000000" w:themeColor="text1"/>
        </w:rPr>
      </w:pPr>
      <w:r w:rsidRPr="00DC3B6B">
        <w:rPr>
          <w:bCs/>
          <w:color w:val="000000" w:themeColor="text1"/>
        </w:rPr>
        <w:t xml:space="preserve">systematic review of the accuracy and clinical utility of the Addenbrooke’s Cognitive Examination and the Addenbrooke’s Cognitive Examination-Revised in the diagnosis of dementia. </w:t>
      </w:r>
      <w:r w:rsidRPr="00DC3B6B">
        <w:rPr>
          <w:bCs/>
          <w:i/>
          <w:color w:val="000000" w:themeColor="text1"/>
        </w:rPr>
        <w:t>International Journal of Geriatric Psychiatry</w:t>
      </w:r>
      <w:r w:rsidRPr="00DC3B6B">
        <w:rPr>
          <w:bCs/>
          <w:color w:val="000000" w:themeColor="text1"/>
        </w:rPr>
        <w:t>, 27:659-669</w:t>
      </w:r>
    </w:p>
    <w:p w14:paraId="0E0334DC" w14:textId="77777777" w:rsidR="00817974" w:rsidRPr="00DC3B6B" w:rsidRDefault="00817974" w:rsidP="00817974">
      <w:pPr>
        <w:ind w:left="720" w:hanging="720"/>
        <w:rPr>
          <w:bCs/>
          <w:color w:val="000000" w:themeColor="text1"/>
        </w:rPr>
      </w:pPr>
      <w:r w:rsidRPr="00DC3B6B">
        <w:rPr>
          <w:bCs/>
          <w:color w:val="000000" w:themeColor="text1"/>
        </w:rPr>
        <w:t xml:space="preserve">Dooley, J., Bass, N., McCabe, R (2018) How do doctors deliver a diagnosis of dementia in memory clinics? </w:t>
      </w:r>
      <w:r w:rsidRPr="00DC3B6B">
        <w:rPr>
          <w:bCs/>
          <w:i/>
          <w:color w:val="000000" w:themeColor="text1"/>
        </w:rPr>
        <w:t>British Journal of Psychiatry</w:t>
      </w:r>
      <w:r w:rsidRPr="00DC3B6B">
        <w:rPr>
          <w:bCs/>
          <w:color w:val="000000" w:themeColor="text1"/>
        </w:rPr>
        <w:t>, 212(4):239-245.</w:t>
      </w:r>
    </w:p>
    <w:p w14:paraId="2C0F8642" w14:textId="77777777" w:rsidR="00817974" w:rsidRPr="00DC3B6B" w:rsidRDefault="00817974" w:rsidP="00817974">
      <w:pPr>
        <w:tabs>
          <w:tab w:val="left" w:pos="-1440"/>
          <w:tab w:val="left"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
          <w:color w:val="000000" w:themeColor="text1"/>
        </w:rPr>
      </w:pPr>
      <w:r w:rsidRPr="00DC3B6B">
        <w:rPr>
          <w:color w:val="000000" w:themeColor="text1"/>
        </w:rPr>
        <w:t xml:space="preserve">Drew, P., Raymond, G., Weinberg, D. (eds) (2006) </w:t>
      </w:r>
      <w:r w:rsidRPr="00DC3B6B">
        <w:rPr>
          <w:i/>
          <w:color w:val="000000" w:themeColor="text1"/>
        </w:rPr>
        <w:t>Talking Research:</w:t>
      </w:r>
    </w:p>
    <w:p w14:paraId="6A9E5D81" w14:textId="77777777" w:rsidR="00817974" w:rsidRPr="00DC3B6B" w:rsidRDefault="00817974" w:rsidP="00817974">
      <w:pPr>
        <w:tabs>
          <w:tab w:val="left" w:pos="-1440"/>
          <w:tab w:val="left"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color w:val="000000" w:themeColor="text1"/>
        </w:rPr>
      </w:pPr>
      <w:r w:rsidRPr="00DC3B6B">
        <w:rPr>
          <w:i/>
          <w:color w:val="000000" w:themeColor="text1"/>
        </w:rPr>
        <w:t xml:space="preserve"> Language and Interaction in Sociological Methodology</w:t>
      </w:r>
      <w:r w:rsidRPr="00DC3B6B">
        <w:rPr>
          <w:color w:val="000000" w:themeColor="text1"/>
        </w:rPr>
        <w:t>. London, Sage.</w:t>
      </w:r>
    </w:p>
    <w:p w14:paraId="5875FB4C" w14:textId="3B3483E1" w:rsidR="00817974" w:rsidRDefault="00817974" w:rsidP="00817974">
      <w:pPr>
        <w:ind w:left="720" w:hanging="720"/>
        <w:rPr>
          <w:bCs/>
          <w:color w:val="000000" w:themeColor="text1"/>
          <w:lang w:val="nl-NL"/>
        </w:rPr>
      </w:pPr>
      <w:proofErr w:type="spellStart"/>
      <w:r w:rsidRPr="00DC3B6B">
        <w:rPr>
          <w:bCs/>
          <w:color w:val="000000" w:themeColor="text1"/>
          <w:lang w:val="nl-NL"/>
        </w:rPr>
        <w:t>Elsey</w:t>
      </w:r>
      <w:proofErr w:type="spellEnd"/>
      <w:r w:rsidRPr="00DC3B6B">
        <w:rPr>
          <w:bCs/>
          <w:color w:val="000000" w:themeColor="text1"/>
          <w:lang w:val="nl-NL"/>
        </w:rPr>
        <w:t xml:space="preserve">, C., Drew, P., Jones, D., Blackburn, D., Wakefield, S., </w:t>
      </w:r>
      <w:proofErr w:type="spellStart"/>
      <w:r w:rsidRPr="00DC3B6B">
        <w:rPr>
          <w:bCs/>
          <w:color w:val="000000" w:themeColor="text1"/>
          <w:lang w:val="nl-NL"/>
        </w:rPr>
        <w:t>Harkness</w:t>
      </w:r>
      <w:proofErr w:type="spellEnd"/>
      <w:r w:rsidRPr="00DC3B6B">
        <w:rPr>
          <w:bCs/>
          <w:color w:val="000000" w:themeColor="text1"/>
          <w:lang w:val="nl-NL"/>
        </w:rPr>
        <w:t xml:space="preserve">, K. </w:t>
      </w:r>
      <w:proofErr w:type="spellStart"/>
      <w:r w:rsidRPr="00DC3B6B">
        <w:rPr>
          <w:bCs/>
          <w:color w:val="000000" w:themeColor="text1"/>
          <w:lang w:val="nl-NL"/>
        </w:rPr>
        <w:t>and</w:t>
      </w:r>
      <w:proofErr w:type="spellEnd"/>
      <w:r w:rsidRPr="00DC3B6B">
        <w:rPr>
          <w:bCs/>
          <w:color w:val="000000" w:themeColor="text1"/>
          <w:lang w:val="nl-NL"/>
        </w:rPr>
        <w:t xml:space="preserve"> </w:t>
      </w:r>
      <w:proofErr w:type="spellStart"/>
      <w:r w:rsidRPr="00DC3B6B">
        <w:rPr>
          <w:bCs/>
          <w:color w:val="000000" w:themeColor="text1"/>
          <w:lang w:val="nl-NL"/>
        </w:rPr>
        <w:t>Reuber</w:t>
      </w:r>
      <w:proofErr w:type="spellEnd"/>
      <w:r w:rsidRPr="00DC3B6B">
        <w:rPr>
          <w:bCs/>
          <w:color w:val="000000" w:themeColor="text1"/>
          <w:lang w:val="nl-NL"/>
        </w:rPr>
        <w:t xml:space="preserve">, M. (2015) </w:t>
      </w:r>
      <w:proofErr w:type="spellStart"/>
      <w:r w:rsidRPr="00DC3B6B">
        <w:rPr>
          <w:bCs/>
          <w:color w:val="000000" w:themeColor="text1"/>
          <w:lang w:val="nl-NL"/>
        </w:rPr>
        <w:t>Towards</w:t>
      </w:r>
      <w:proofErr w:type="spellEnd"/>
      <w:r w:rsidRPr="00DC3B6B">
        <w:rPr>
          <w:bCs/>
          <w:color w:val="000000" w:themeColor="text1"/>
          <w:lang w:val="nl-NL"/>
        </w:rPr>
        <w:t xml:space="preserve"> </w:t>
      </w:r>
      <w:proofErr w:type="spellStart"/>
      <w:r w:rsidRPr="00DC3B6B">
        <w:rPr>
          <w:bCs/>
          <w:color w:val="000000" w:themeColor="text1"/>
          <w:lang w:val="nl-NL"/>
        </w:rPr>
        <w:t>diagnostic</w:t>
      </w:r>
      <w:proofErr w:type="spellEnd"/>
      <w:r w:rsidRPr="00DC3B6B">
        <w:rPr>
          <w:bCs/>
          <w:color w:val="000000" w:themeColor="text1"/>
          <w:lang w:val="nl-NL"/>
        </w:rPr>
        <w:t xml:space="preserve"> </w:t>
      </w:r>
      <w:proofErr w:type="spellStart"/>
      <w:r w:rsidRPr="00DC3B6B">
        <w:rPr>
          <w:bCs/>
          <w:color w:val="000000" w:themeColor="text1"/>
          <w:lang w:val="nl-NL"/>
        </w:rPr>
        <w:t>conversational</w:t>
      </w:r>
      <w:proofErr w:type="spellEnd"/>
      <w:r w:rsidRPr="00DC3B6B">
        <w:rPr>
          <w:bCs/>
          <w:color w:val="000000" w:themeColor="text1"/>
          <w:lang w:val="nl-NL"/>
        </w:rPr>
        <w:t xml:space="preserve"> </w:t>
      </w:r>
      <w:proofErr w:type="spellStart"/>
      <w:r w:rsidRPr="00DC3B6B">
        <w:rPr>
          <w:bCs/>
          <w:color w:val="000000" w:themeColor="text1"/>
          <w:lang w:val="nl-NL"/>
        </w:rPr>
        <w:t>profiles</w:t>
      </w:r>
      <w:proofErr w:type="spellEnd"/>
      <w:r w:rsidRPr="00DC3B6B">
        <w:rPr>
          <w:bCs/>
          <w:color w:val="000000" w:themeColor="text1"/>
          <w:lang w:val="nl-NL"/>
        </w:rPr>
        <w:t xml:space="preserve"> of </w:t>
      </w:r>
      <w:proofErr w:type="spellStart"/>
      <w:r w:rsidRPr="00DC3B6B">
        <w:rPr>
          <w:bCs/>
          <w:color w:val="000000" w:themeColor="text1"/>
          <w:lang w:val="nl-NL"/>
        </w:rPr>
        <w:t>patients</w:t>
      </w:r>
      <w:proofErr w:type="spellEnd"/>
      <w:r w:rsidRPr="00DC3B6B">
        <w:rPr>
          <w:bCs/>
          <w:color w:val="000000" w:themeColor="text1"/>
          <w:lang w:val="nl-NL"/>
        </w:rPr>
        <w:t xml:space="preserve"> presenting </w:t>
      </w:r>
      <w:proofErr w:type="spellStart"/>
      <w:r w:rsidRPr="00DC3B6B">
        <w:rPr>
          <w:bCs/>
          <w:color w:val="000000" w:themeColor="text1"/>
          <w:lang w:val="nl-NL"/>
        </w:rPr>
        <w:t>with</w:t>
      </w:r>
      <w:proofErr w:type="spellEnd"/>
      <w:r w:rsidRPr="00DC3B6B">
        <w:rPr>
          <w:bCs/>
          <w:color w:val="000000" w:themeColor="text1"/>
          <w:lang w:val="nl-NL"/>
        </w:rPr>
        <w:t xml:space="preserve"> dementia or </w:t>
      </w:r>
      <w:proofErr w:type="spellStart"/>
      <w:r w:rsidRPr="00DC3B6B">
        <w:rPr>
          <w:bCs/>
          <w:color w:val="000000" w:themeColor="text1"/>
          <w:lang w:val="nl-NL"/>
        </w:rPr>
        <w:t>functional</w:t>
      </w:r>
      <w:proofErr w:type="spellEnd"/>
      <w:r w:rsidRPr="00DC3B6B">
        <w:rPr>
          <w:bCs/>
          <w:color w:val="000000" w:themeColor="text1"/>
          <w:lang w:val="nl-NL"/>
        </w:rPr>
        <w:t xml:space="preserve"> memory disorders </w:t>
      </w:r>
      <w:proofErr w:type="spellStart"/>
      <w:r w:rsidRPr="00DC3B6B">
        <w:rPr>
          <w:bCs/>
          <w:color w:val="000000" w:themeColor="text1"/>
          <w:lang w:val="nl-NL"/>
        </w:rPr>
        <w:t>to</w:t>
      </w:r>
      <w:proofErr w:type="spellEnd"/>
      <w:r w:rsidRPr="00DC3B6B">
        <w:rPr>
          <w:bCs/>
          <w:color w:val="000000" w:themeColor="text1"/>
          <w:lang w:val="nl-NL"/>
        </w:rPr>
        <w:t xml:space="preserve"> memory </w:t>
      </w:r>
      <w:proofErr w:type="spellStart"/>
      <w:r w:rsidRPr="00DC3B6B">
        <w:rPr>
          <w:bCs/>
          <w:color w:val="000000" w:themeColor="text1"/>
          <w:lang w:val="nl-NL"/>
        </w:rPr>
        <w:t>clinics</w:t>
      </w:r>
      <w:proofErr w:type="spellEnd"/>
      <w:r w:rsidRPr="00DC3B6B">
        <w:rPr>
          <w:bCs/>
          <w:color w:val="000000" w:themeColor="text1"/>
          <w:lang w:val="nl-NL"/>
        </w:rPr>
        <w:t xml:space="preserve">. </w:t>
      </w:r>
      <w:proofErr w:type="spellStart"/>
      <w:r w:rsidRPr="00DC3B6B">
        <w:rPr>
          <w:bCs/>
          <w:i/>
          <w:color w:val="000000" w:themeColor="text1"/>
          <w:lang w:val="nl-NL"/>
        </w:rPr>
        <w:t>Patient</w:t>
      </w:r>
      <w:proofErr w:type="spellEnd"/>
      <w:r w:rsidRPr="00DC3B6B">
        <w:rPr>
          <w:bCs/>
          <w:i/>
          <w:color w:val="000000" w:themeColor="text1"/>
          <w:lang w:val="nl-NL"/>
        </w:rPr>
        <w:t xml:space="preserve"> </w:t>
      </w:r>
      <w:proofErr w:type="spellStart"/>
      <w:r w:rsidRPr="00DC3B6B">
        <w:rPr>
          <w:bCs/>
          <w:i/>
          <w:color w:val="000000" w:themeColor="text1"/>
          <w:lang w:val="nl-NL"/>
        </w:rPr>
        <w:t>Education</w:t>
      </w:r>
      <w:proofErr w:type="spellEnd"/>
      <w:r w:rsidRPr="00DC3B6B">
        <w:rPr>
          <w:bCs/>
          <w:i/>
          <w:color w:val="000000" w:themeColor="text1"/>
          <w:lang w:val="nl-NL"/>
        </w:rPr>
        <w:t xml:space="preserve"> </w:t>
      </w:r>
      <w:proofErr w:type="spellStart"/>
      <w:r w:rsidRPr="00DC3B6B">
        <w:rPr>
          <w:bCs/>
          <w:i/>
          <w:color w:val="000000" w:themeColor="text1"/>
          <w:lang w:val="nl-NL"/>
        </w:rPr>
        <w:t>and</w:t>
      </w:r>
      <w:proofErr w:type="spellEnd"/>
      <w:r w:rsidRPr="00DC3B6B">
        <w:rPr>
          <w:bCs/>
          <w:i/>
          <w:color w:val="000000" w:themeColor="text1"/>
          <w:lang w:val="nl-NL"/>
        </w:rPr>
        <w:t xml:space="preserve"> </w:t>
      </w:r>
      <w:proofErr w:type="spellStart"/>
      <w:r w:rsidRPr="00DC3B6B">
        <w:rPr>
          <w:bCs/>
          <w:i/>
          <w:color w:val="000000" w:themeColor="text1"/>
          <w:lang w:val="nl-NL"/>
        </w:rPr>
        <w:t>Counselling</w:t>
      </w:r>
      <w:proofErr w:type="spellEnd"/>
      <w:r w:rsidRPr="00DC3B6B">
        <w:rPr>
          <w:bCs/>
          <w:color w:val="000000" w:themeColor="text1"/>
          <w:lang w:val="nl-NL"/>
        </w:rPr>
        <w:t>, 98(9):1071-7.</w:t>
      </w:r>
    </w:p>
    <w:p w14:paraId="68B431A4" w14:textId="1FF5060F" w:rsidR="008A748D" w:rsidRPr="00EF1E04" w:rsidRDefault="008A748D" w:rsidP="008A748D">
      <w:pPr>
        <w:ind w:left="720" w:hanging="720"/>
        <w:rPr>
          <w:bCs/>
          <w:color w:val="000000" w:themeColor="text1"/>
        </w:rPr>
      </w:pPr>
      <w:r w:rsidRPr="008A748D">
        <w:rPr>
          <w:bCs/>
          <w:color w:val="000000" w:themeColor="text1"/>
        </w:rPr>
        <w:t xml:space="preserve">Goffman, E. (1967). </w:t>
      </w:r>
      <w:r w:rsidRPr="008A748D">
        <w:rPr>
          <w:bCs/>
          <w:i/>
          <w:iCs/>
          <w:color w:val="000000" w:themeColor="text1"/>
        </w:rPr>
        <w:t xml:space="preserve">Interaction ritual: Essays on face to face </w:t>
      </w:r>
      <w:proofErr w:type="spellStart"/>
      <w:r w:rsidRPr="008A748D">
        <w:rPr>
          <w:bCs/>
          <w:i/>
          <w:iCs/>
          <w:color w:val="000000" w:themeColor="text1"/>
        </w:rPr>
        <w:t>behavior</w:t>
      </w:r>
      <w:proofErr w:type="spellEnd"/>
      <w:r w:rsidRPr="008A748D">
        <w:rPr>
          <w:bCs/>
          <w:i/>
          <w:iCs/>
          <w:color w:val="000000" w:themeColor="text1"/>
        </w:rPr>
        <w:t xml:space="preserve">. </w:t>
      </w:r>
      <w:r w:rsidRPr="008A748D">
        <w:rPr>
          <w:bCs/>
          <w:color w:val="000000" w:themeColor="text1"/>
        </w:rPr>
        <w:t xml:space="preserve">New York: Doubleday Anchor. </w:t>
      </w:r>
    </w:p>
    <w:p w14:paraId="41367FDB" w14:textId="77777777" w:rsidR="00817974" w:rsidRPr="00DC3B6B" w:rsidRDefault="00817974" w:rsidP="00817974">
      <w:pPr>
        <w:ind w:left="720" w:hanging="720"/>
        <w:rPr>
          <w:bCs/>
          <w:color w:val="000000" w:themeColor="text1"/>
        </w:rPr>
      </w:pPr>
      <w:r w:rsidRPr="00DC3B6B">
        <w:rPr>
          <w:bCs/>
          <w:color w:val="000000" w:themeColor="text1"/>
        </w:rPr>
        <w:t xml:space="preserve">Heath, C. (1992) The delivery and reception of diagnosis in the general-practice consultation, in P. Drew &amp; J. Heritage (Eds.) </w:t>
      </w:r>
      <w:r w:rsidRPr="00DC3B6B">
        <w:rPr>
          <w:bCs/>
          <w:i/>
          <w:color w:val="000000" w:themeColor="text1"/>
        </w:rPr>
        <w:t>Talk at work: Interaction in institutional settings</w:t>
      </w:r>
      <w:r w:rsidRPr="00DC3B6B">
        <w:rPr>
          <w:bCs/>
          <w:color w:val="000000" w:themeColor="text1"/>
        </w:rPr>
        <w:t xml:space="preserve"> (pp. 235-267). Cambridge, UK: Cambridge University Press. </w:t>
      </w:r>
    </w:p>
    <w:p w14:paraId="62D3C7F4" w14:textId="77777777" w:rsidR="00817974" w:rsidRPr="00DD05BD" w:rsidRDefault="00817974" w:rsidP="00817974">
      <w:pPr>
        <w:ind w:left="720" w:hanging="720"/>
        <w:rPr>
          <w:bCs/>
          <w:color w:val="000000" w:themeColor="text1"/>
        </w:rPr>
      </w:pPr>
      <w:r w:rsidRPr="00DD05BD">
        <w:rPr>
          <w:bCs/>
          <w:color w:val="000000" w:themeColor="text1"/>
        </w:rPr>
        <w:t xml:space="preserve">Hepburn, A. (2004) Crying: Notes on Description, Transcription, and Interaction, </w:t>
      </w:r>
      <w:r w:rsidRPr="00DD05BD">
        <w:rPr>
          <w:bCs/>
          <w:i/>
          <w:iCs/>
          <w:color w:val="000000" w:themeColor="text1"/>
        </w:rPr>
        <w:t>Research on Language and Social Interaction</w:t>
      </w:r>
      <w:r w:rsidRPr="00DD05BD">
        <w:rPr>
          <w:bCs/>
          <w:color w:val="000000" w:themeColor="text1"/>
        </w:rPr>
        <w:t>, 37(3):251-290.</w:t>
      </w:r>
    </w:p>
    <w:p w14:paraId="71AABBD9" w14:textId="77777777" w:rsidR="00817974" w:rsidRPr="00DC3B6B" w:rsidRDefault="00817974" w:rsidP="00817974">
      <w:pPr>
        <w:ind w:left="720" w:hanging="720"/>
        <w:rPr>
          <w:bCs/>
          <w:color w:val="000000" w:themeColor="text1"/>
        </w:rPr>
      </w:pPr>
      <w:r w:rsidRPr="00DC3B6B">
        <w:rPr>
          <w:bCs/>
          <w:color w:val="000000" w:themeColor="text1"/>
        </w:rPr>
        <w:t xml:space="preserve">Heritage, J. (1998) Oh-prefaced responses to inquiry. </w:t>
      </w:r>
      <w:r w:rsidRPr="00DC3B6B">
        <w:rPr>
          <w:bCs/>
          <w:i/>
          <w:iCs/>
          <w:color w:val="000000" w:themeColor="text1"/>
        </w:rPr>
        <w:t>Language in Society</w:t>
      </w:r>
      <w:r w:rsidRPr="00DC3B6B">
        <w:rPr>
          <w:bCs/>
          <w:color w:val="000000" w:themeColor="text1"/>
        </w:rPr>
        <w:t>, 27: 291–334.</w:t>
      </w:r>
    </w:p>
    <w:p w14:paraId="3DF5565D" w14:textId="77777777" w:rsidR="00817974" w:rsidRPr="00DC3B6B" w:rsidRDefault="00817974" w:rsidP="00817974">
      <w:pPr>
        <w:ind w:left="720" w:hanging="720"/>
        <w:rPr>
          <w:bCs/>
          <w:color w:val="000000" w:themeColor="text1"/>
        </w:rPr>
      </w:pPr>
      <w:r w:rsidRPr="004642B3">
        <w:rPr>
          <w:bCs/>
          <w:color w:val="000000" w:themeColor="text1"/>
        </w:rPr>
        <w:t xml:space="preserve">Heritage, J. (2002) ‘Ad hoc inquiries: Two preferences in the design of routine questions in an open context’, in D. W. Maynard., H. </w:t>
      </w:r>
      <w:proofErr w:type="spellStart"/>
      <w:r w:rsidRPr="004642B3">
        <w:rPr>
          <w:bCs/>
          <w:color w:val="000000" w:themeColor="text1"/>
        </w:rPr>
        <w:t>Houtkoop</w:t>
      </w:r>
      <w:proofErr w:type="spellEnd"/>
      <w:r w:rsidRPr="004642B3">
        <w:rPr>
          <w:bCs/>
          <w:color w:val="000000" w:themeColor="text1"/>
        </w:rPr>
        <w:t xml:space="preserve">-Steenstra., N.C. Schaeffer., and H. van der </w:t>
      </w:r>
      <w:proofErr w:type="spellStart"/>
      <w:r w:rsidRPr="004642B3">
        <w:rPr>
          <w:bCs/>
          <w:color w:val="000000" w:themeColor="text1"/>
        </w:rPr>
        <w:t>Zouwen</w:t>
      </w:r>
      <w:proofErr w:type="spellEnd"/>
      <w:r w:rsidRPr="004642B3">
        <w:rPr>
          <w:bCs/>
          <w:color w:val="000000" w:themeColor="text1"/>
        </w:rPr>
        <w:t xml:space="preserve">. (eds) </w:t>
      </w:r>
      <w:r w:rsidRPr="004642B3">
        <w:rPr>
          <w:bCs/>
          <w:i/>
          <w:iCs/>
          <w:color w:val="000000" w:themeColor="text1"/>
        </w:rPr>
        <w:t xml:space="preserve">Standardization and Tacit </w:t>
      </w:r>
      <w:r w:rsidRPr="004642B3">
        <w:rPr>
          <w:bCs/>
          <w:i/>
          <w:iCs/>
          <w:color w:val="000000" w:themeColor="text1"/>
        </w:rPr>
        <w:lastRenderedPageBreak/>
        <w:t>Knowledge Interaction and Practice in the Survey Interview</w:t>
      </w:r>
      <w:r w:rsidRPr="004642B3">
        <w:rPr>
          <w:bCs/>
          <w:color w:val="000000" w:themeColor="text1"/>
        </w:rPr>
        <w:t>. New York: Wiley, p. 313-333</w:t>
      </w:r>
    </w:p>
    <w:p w14:paraId="07FF023C" w14:textId="77777777" w:rsidR="00817974" w:rsidRPr="00DC3B6B" w:rsidRDefault="00817974" w:rsidP="00817974">
      <w:pPr>
        <w:ind w:left="720" w:hanging="720"/>
        <w:rPr>
          <w:bCs/>
          <w:color w:val="000000" w:themeColor="text1"/>
        </w:rPr>
      </w:pPr>
      <w:r w:rsidRPr="00DC3B6B">
        <w:rPr>
          <w:bCs/>
          <w:color w:val="000000" w:themeColor="text1"/>
        </w:rPr>
        <w:t xml:space="preserve">Heritage, J., Robinson, J., Elliott, M., </w:t>
      </w:r>
      <w:proofErr w:type="spellStart"/>
      <w:r w:rsidRPr="00DC3B6B">
        <w:rPr>
          <w:bCs/>
          <w:color w:val="000000" w:themeColor="text1"/>
        </w:rPr>
        <w:t>Veckett</w:t>
      </w:r>
      <w:proofErr w:type="spellEnd"/>
      <w:r w:rsidRPr="00DC3B6B">
        <w:rPr>
          <w:bCs/>
          <w:color w:val="000000" w:themeColor="text1"/>
        </w:rPr>
        <w:t xml:space="preserve">, M., &amp; Wilkes, M. (2007) Reducing patients’ unmet concerns in primary care: The difference one word can make. </w:t>
      </w:r>
      <w:r w:rsidRPr="00DC3B6B">
        <w:rPr>
          <w:bCs/>
          <w:i/>
          <w:color w:val="000000" w:themeColor="text1"/>
        </w:rPr>
        <w:t>Journal of General Internal Medicine</w:t>
      </w:r>
      <w:r w:rsidRPr="00DC3B6B">
        <w:rPr>
          <w:bCs/>
          <w:color w:val="000000" w:themeColor="text1"/>
        </w:rPr>
        <w:t xml:space="preserve">, 22: 1429—1433. </w:t>
      </w:r>
    </w:p>
    <w:p w14:paraId="5D05601B" w14:textId="77777777" w:rsidR="00817974" w:rsidRPr="00DC3B6B" w:rsidRDefault="00817974" w:rsidP="00817974">
      <w:pPr>
        <w:ind w:left="720" w:hanging="720"/>
        <w:rPr>
          <w:bCs/>
          <w:color w:val="000000" w:themeColor="text1"/>
        </w:rPr>
      </w:pPr>
      <w:r w:rsidRPr="00DC3B6B">
        <w:rPr>
          <w:bCs/>
          <w:color w:val="000000" w:themeColor="text1"/>
        </w:rPr>
        <w:t xml:space="preserve">Heritage, J., &amp; Maynard, D.W. (2006) Communication in medical care. Cambridge: Cambridge University Press. </w:t>
      </w:r>
    </w:p>
    <w:p w14:paraId="3244E15F" w14:textId="77777777" w:rsidR="00817974" w:rsidRPr="00DC3B6B" w:rsidRDefault="00817974" w:rsidP="00817974">
      <w:pPr>
        <w:ind w:left="720" w:hanging="720"/>
        <w:rPr>
          <w:bCs/>
          <w:color w:val="000000" w:themeColor="text1"/>
        </w:rPr>
      </w:pPr>
      <w:r w:rsidRPr="004407FB">
        <w:rPr>
          <w:bCs/>
          <w:color w:val="000000" w:themeColor="text1"/>
        </w:rPr>
        <w:t xml:space="preserve">Heritage, J. and </w:t>
      </w:r>
      <w:proofErr w:type="spellStart"/>
      <w:r w:rsidRPr="004407FB">
        <w:rPr>
          <w:bCs/>
          <w:color w:val="000000" w:themeColor="text1"/>
        </w:rPr>
        <w:t>Sorjonen</w:t>
      </w:r>
      <w:proofErr w:type="spellEnd"/>
      <w:r w:rsidRPr="004407FB">
        <w:rPr>
          <w:bCs/>
          <w:color w:val="000000" w:themeColor="text1"/>
        </w:rPr>
        <w:t>, M.L., (1994) Constituting and maintaining activities across sequences: And-prefacing as a feature of question design. </w:t>
      </w:r>
      <w:r w:rsidRPr="004407FB">
        <w:rPr>
          <w:bCs/>
          <w:i/>
          <w:iCs/>
          <w:color w:val="000000" w:themeColor="text1"/>
        </w:rPr>
        <w:t>Language in society</w:t>
      </w:r>
      <w:r w:rsidRPr="004407FB">
        <w:rPr>
          <w:bCs/>
          <w:color w:val="000000" w:themeColor="text1"/>
        </w:rPr>
        <w:t>, 23(1): 1-29.</w:t>
      </w:r>
    </w:p>
    <w:p w14:paraId="1786D321" w14:textId="77777777" w:rsidR="00817974" w:rsidRPr="00DC3B6B" w:rsidRDefault="00817974" w:rsidP="00817974">
      <w:pPr>
        <w:ind w:left="720" w:hanging="720"/>
        <w:rPr>
          <w:bCs/>
          <w:color w:val="000000" w:themeColor="text1"/>
        </w:rPr>
      </w:pPr>
      <w:r w:rsidRPr="00DC3B6B">
        <w:rPr>
          <w:bCs/>
          <w:color w:val="000000" w:themeColor="text1"/>
        </w:rPr>
        <w:t xml:space="preserve">Heritage, J., &amp; Stivers, T (1999) Online commentary in acute medical visits: A method of shaping patient expectations. </w:t>
      </w:r>
      <w:r w:rsidRPr="00DC3B6B">
        <w:rPr>
          <w:bCs/>
          <w:i/>
          <w:color w:val="000000" w:themeColor="text1"/>
        </w:rPr>
        <w:t>Social Science &amp; Medicine</w:t>
      </w:r>
      <w:r w:rsidRPr="00DC3B6B">
        <w:rPr>
          <w:bCs/>
          <w:color w:val="000000" w:themeColor="text1"/>
        </w:rPr>
        <w:t xml:space="preserve">, 49: 1501-1517. </w:t>
      </w:r>
    </w:p>
    <w:p w14:paraId="2A5E55C2" w14:textId="77777777" w:rsidR="00817974" w:rsidRPr="00DC3B6B" w:rsidRDefault="00817974" w:rsidP="00817974">
      <w:pPr>
        <w:ind w:left="720" w:hanging="720"/>
        <w:rPr>
          <w:bCs/>
          <w:color w:val="000000" w:themeColor="text1"/>
        </w:rPr>
      </w:pPr>
      <w:proofErr w:type="spellStart"/>
      <w:r w:rsidRPr="00CA3117">
        <w:rPr>
          <w:bCs/>
          <w:color w:val="000000" w:themeColor="text1"/>
        </w:rPr>
        <w:t>Hoey</w:t>
      </w:r>
      <w:proofErr w:type="spellEnd"/>
      <w:r w:rsidRPr="00CA3117">
        <w:rPr>
          <w:bCs/>
          <w:color w:val="000000" w:themeColor="text1"/>
        </w:rPr>
        <w:t xml:space="preserve">, E.M. (2013) Do sighs matter? Interactional perspectives on sighing, </w:t>
      </w:r>
      <w:r w:rsidRPr="00CA3117">
        <w:rPr>
          <w:bCs/>
          <w:i/>
          <w:iCs/>
          <w:color w:val="000000" w:themeColor="text1"/>
        </w:rPr>
        <w:t>Berkeley Linguistics Society</w:t>
      </w:r>
      <w:r w:rsidRPr="00CA3117">
        <w:rPr>
          <w:bCs/>
          <w:color w:val="000000" w:themeColor="text1"/>
        </w:rPr>
        <w:t>. 61-74. doi.org/10.3765/</w:t>
      </w:r>
      <w:proofErr w:type="gramStart"/>
      <w:r w:rsidRPr="00CA3117">
        <w:rPr>
          <w:bCs/>
          <w:color w:val="000000" w:themeColor="text1"/>
        </w:rPr>
        <w:t>bls.v</w:t>
      </w:r>
      <w:proofErr w:type="gramEnd"/>
      <w:r w:rsidRPr="00CA3117">
        <w:rPr>
          <w:bCs/>
          <w:color w:val="000000" w:themeColor="text1"/>
        </w:rPr>
        <w:t>39i1.3870</w:t>
      </w:r>
    </w:p>
    <w:p w14:paraId="000CB2DF" w14:textId="77777777" w:rsidR="00817974" w:rsidRPr="00DC3B6B" w:rsidRDefault="00817974" w:rsidP="00817974">
      <w:pPr>
        <w:ind w:left="720" w:hanging="720"/>
        <w:rPr>
          <w:bCs/>
          <w:color w:val="000000" w:themeColor="text1"/>
        </w:rPr>
      </w:pPr>
      <w:proofErr w:type="spellStart"/>
      <w:r w:rsidRPr="00743CF9">
        <w:rPr>
          <w:bCs/>
          <w:color w:val="000000" w:themeColor="text1"/>
        </w:rPr>
        <w:t>Hoey</w:t>
      </w:r>
      <w:proofErr w:type="spellEnd"/>
      <w:r w:rsidRPr="00743CF9">
        <w:rPr>
          <w:bCs/>
          <w:color w:val="000000" w:themeColor="text1"/>
        </w:rPr>
        <w:t>, E.M. (2020) Waiting to inhale: On sniffing in conversation, Research on Language and Social Interaction, 53(1): 118-139</w:t>
      </w:r>
    </w:p>
    <w:p w14:paraId="16BE15C0" w14:textId="228ADD20" w:rsidR="00812F99" w:rsidRDefault="00812F99" w:rsidP="00812F99">
      <w:pPr>
        <w:ind w:left="720" w:hanging="720"/>
        <w:rPr>
          <w:bCs/>
          <w:color w:val="000000" w:themeColor="text1"/>
        </w:rPr>
      </w:pPr>
      <w:proofErr w:type="spellStart"/>
      <w:r w:rsidRPr="00812F99">
        <w:rPr>
          <w:bCs/>
          <w:color w:val="000000" w:themeColor="text1"/>
        </w:rPr>
        <w:t>Houtkoop</w:t>
      </w:r>
      <w:proofErr w:type="spellEnd"/>
      <w:r w:rsidRPr="00812F99">
        <w:rPr>
          <w:bCs/>
          <w:color w:val="000000" w:themeColor="text1"/>
        </w:rPr>
        <w:t xml:space="preserve">-Steenstra, H. (1995). Meeting both ends: Between standardization and recipient design in telephone survey interviews. In P. Ten Have &amp; </w:t>
      </w:r>
      <w:proofErr w:type="spellStart"/>
      <w:proofErr w:type="gramStart"/>
      <w:r w:rsidRPr="00EF1E04">
        <w:rPr>
          <w:bCs/>
          <w:color w:val="000000" w:themeColor="text1"/>
        </w:rPr>
        <w:t>G.</w:t>
      </w:r>
      <w:r w:rsidRPr="00812F99">
        <w:rPr>
          <w:bCs/>
          <w:color w:val="000000" w:themeColor="text1"/>
        </w:rPr>
        <w:t>Psathas</w:t>
      </w:r>
      <w:proofErr w:type="spellEnd"/>
      <w:proofErr w:type="gramEnd"/>
      <w:r w:rsidRPr="00812F99">
        <w:rPr>
          <w:bCs/>
          <w:color w:val="000000" w:themeColor="text1"/>
        </w:rPr>
        <w:t xml:space="preserve"> (Eds.), </w:t>
      </w:r>
      <w:r w:rsidRPr="00812F99">
        <w:rPr>
          <w:bCs/>
          <w:i/>
          <w:iCs/>
          <w:color w:val="000000" w:themeColor="text1"/>
        </w:rPr>
        <w:t xml:space="preserve">Situated order: Studies in the social organization of talk and embodied activities </w:t>
      </w:r>
      <w:r w:rsidRPr="00812F99">
        <w:rPr>
          <w:bCs/>
          <w:color w:val="000000" w:themeColor="text1"/>
        </w:rPr>
        <w:t xml:space="preserve">(pp. 91-107). Washington, DC: University Press of America. </w:t>
      </w:r>
    </w:p>
    <w:p w14:paraId="0236BBC1" w14:textId="36347D77" w:rsidR="00817974" w:rsidRDefault="00817974" w:rsidP="00817974">
      <w:pPr>
        <w:ind w:left="720" w:hanging="720"/>
        <w:rPr>
          <w:bCs/>
          <w:color w:val="000000" w:themeColor="text1"/>
        </w:rPr>
      </w:pPr>
      <w:proofErr w:type="spellStart"/>
      <w:r w:rsidRPr="00A51254">
        <w:rPr>
          <w:bCs/>
          <w:color w:val="000000" w:themeColor="text1"/>
        </w:rPr>
        <w:t>Houtkoop</w:t>
      </w:r>
      <w:proofErr w:type="spellEnd"/>
      <w:r w:rsidRPr="00A51254">
        <w:rPr>
          <w:bCs/>
          <w:color w:val="000000" w:themeColor="text1"/>
        </w:rPr>
        <w:t xml:space="preserve">-Steenstra, H, (1997) Being friendly in survey interviews.  </w:t>
      </w:r>
      <w:r w:rsidRPr="00A51254">
        <w:rPr>
          <w:bCs/>
          <w:i/>
          <w:iCs/>
          <w:color w:val="000000" w:themeColor="text1"/>
        </w:rPr>
        <w:t>Journal of Pragmatics,</w:t>
      </w:r>
      <w:r w:rsidRPr="00A51254">
        <w:rPr>
          <w:bCs/>
          <w:color w:val="000000" w:themeColor="text1"/>
        </w:rPr>
        <w:t xml:space="preserve"> 28: 591-623</w:t>
      </w:r>
    </w:p>
    <w:p w14:paraId="5366C1A0" w14:textId="48B6BA92" w:rsidR="00465352" w:rsidRPr="00DC3B6B" w:rsidRDefault="00465352" w:rsidP="00817974">
      <w:pPr>
        <w:ind w:left="720" w:hanging="720"/>
        <w:rPr>
          <w:bCs/>
          <w:color w:val="000000" w:themeColor="text1"/>
        </w:rPr>
      </w:pPr>
      <w:proofErr w:type="spellStart"/>
      <w:r w:rsidRPr="00465352">
        <w:rPr>
          <w:bCs/>
          <w:color w:val="000000" w:themeColor="text1"/>
        </w:rPr>
        <w:t>Houtkoop</w:t>
      </w:r>
      <w:proofErr w:type="spellEnd"/>
      <w:r w:rsidRPr="00465352">
        <w:rPr>
          <w:bCs/>
          <w:color w:val="000000" w:themeColor="text1"/>
        </w:rPr>
        <w:t>-Steenstra</w:t>
      </w:r>
      <w:r>
        <w:rPr>
          <w:bCs/>
          <w:color w:val="000000" w:themeColor="text1"/>
        </w:rPr>
        <w:t>, H.,</w:t>
      </w:r>
      <w:r w:rsidRPr="00465352">
        <w:rPr>
          <w:bCs/>
          <w:color w:val="000000" w:themeColor="text1"/>
        </w:rPr>
        <w:t xml:space="preserve"> &amp; </w:t>
      </w:r>
      <w:proofErr w:type="spellStart"/>
      <w:r w:rsidRPr="00465352">
        <w:rPr>
          <w:bCs/>
          <w:color w:val="000000" w:themeColor="text1"/>
        </w:rPr>
        <w:t>Antaki</w:t>
      </w:r>
      <w:proofErr w:type="spellEnd"/>
      <w:r w:rsidRPr="00465352">
        <w:rPr>
          <w:bCs/>
          <w:color w:val="000000" w:themeColor="text1"/>
        </w:rPr>
        <w:t xml:space="preserve">, </w:t>
      </w:r>
      <w:r>
        <w:rPr>
          <w:bCs/>
          <w:color w:val="000000" w:themeColor="text1"/>
        </w:rPr>
        <w:t>C. (</w:t>
      </w:r>
      <w:r w:rsidRPr="00465352">
        <w:rPr>
          <w:bCs/>
          <w:color w:val="000000" w:themeColor="text1"/>
        </w:rPr>
        <w:t>1997</w:t>
      </w:r>
      <w:r>
        <w:rPr>
          <w:bCs/>
          <w:color w:val="000000" w:themeColor="text1"/>
        </w:rPr>
        <w:t xml:space="preserve">) Creating happy people by asking yes-no questions. </w:t>
      </w:r>
      <w:r w:rsidRPr="00EF1E04">
        <w:rPr>
          <w:bCs/>
          <w:i/>
          <w:iCs/>
          <w:color w:val="000000" w:themeColor="text1"/>
        </w:rPr>
        <w:t>Research on Language and Social Interaction</w:t>
      </w:r>
      <w:r>
        <w:rPr>
          <w:bCs/>
          <w:color w:val="000000" w:themeColor="text1"/>
        </w:rPr>
        <w:t>, 30(4):285-313.</w:t>
      </w:r>
    </w:p>
    <w:p w14:paraId="08CD8B13" w14:textId="77777777" w:rsidR="00817974" w:rsidRPr="00DC3B6B" w:rsidRDefault="00817974" w:rsidP="00817974">
      <w:pPr>
        <w:ind w:left="720" w:hanging="720"/>
        <w:rPr>
          <w:bCs/>
          <w:color w:val="000000" w:themeColor="text1"/>
        </w:rPr>
      </w:pPr>
      <w:proofErr w:type="spellStart"/>
      <w:r w:rsidRPr="00A51254">
        <w:rPr>
          <w:bCs/>
          <w:color w:val="000000" w:themeColor="text1"/>
        </w:rPr>
        <w:t>Houtkoop</w:t>
      </w:r>
      <w:proofErr w:type="spellEnd"/>
      <w:r w:rsidRPr="00A51254">
        <w:rPr>
          <w:bCs/>
          <w:color w:val="000000" w:themeColor="text1"/>
        </w:rPr>
        <w:t xml:space="preserve">-Steenstra, H (2000) </w:t>
      </w:r>
      <w:r w:rsidRPr="00A51254">
        <w:rPr>
          <w:bCs/>
          <w:i/>
          <w:iCs/>
          <w:color w:val="000000" w:themeColor="text1"/>
        </w:rPr>
        <w:t>Interaction and the Standardized Survey Interview. The Living Questionnaire.</w:t>
      </w:r>
      <w:r w:rsidRPr="00A51254">
        <w:rPr>
          <w:bCs/>
          <w:color w:val="000000" w:themeColor="text1"/>
        </w:rPr>
        <w:t xml:space="preserve"> Cambridge: Cambridge University Press. </w:t>
      </w:r>
    </w:p>
    <w:p w14:paraId="505CFC43" w14:textId="77777777" w:rsidR="00817974" w:rsidRPr="00DC3B6B" w:rsidRDefault="00817974" w:rsidP="00817974">
      <w:pPr>
        <w:ind w:left="720" w:hanging="720"/>
        <w:rPr>
          <w:bCs/>
          <w:color w:val="000000" w:themeColor="text1"/>
        </w:rPr>
      </w:pPr>
      <w:r w:rsidRPr="00DC3B6B">
        <w:rPr>
          <w:bCs/>
          <w:color w:val="000000" w:themeColor="text1"/>
        </w:rPr>
        <w:t xml:space="preserve">Hsieh, S., Schubert, S., </w:t>
      </w:r>
      <w:proofErr w:type="spellStart"/>
      <w:r w:rsidRPr="00DC3B6B">
        <w:rPr>
          <w:bCs/>
          <w:color w:val="000000" w:themeColor="text1"/>
        </w:rPr>
        <w:t>Hoon</w:t>
      </w:r>
      <w:proofErr w:type="spellEnd"/>
      <w:r w:rsidRPr="00DC3B6B">
        <w:rPr>
          <w:bCs/>
          <w:color w:val="000000" w:themeColor="text1"/>
        </w:rPr>
        <w:t xml:space="preserve">, C., </w:t>
      </w:r>
      <w:proofErr w:type="spellStart"/>
      <w:r w:rsidRPr="00DC3B6B">
        <w:rPr>
          <w:bCs/>
          <w:color w:val="000000" w:themeColor="text1"/>
        </w:rPr>
        <w:t>Mioshi</w:t>
      </w:r>
      <w:proofErr w:type="spellEnd"/>
      <w:r w:rsidRPr="00DC3B6B">
        <w:rPr>
          <w:bCs/>
          <w:color w:val="000000" w:themeColor="text1"/>
        </w:rPr>
        <w:t xml:space="preserve">, E., &amp; Hodges, J. R. (2013). Validation of the Addenbrooke's Cognitive Examination III in frontotemporal dementia and Alzheimer's disease. </w:t>
      </w:r>
      <w:r w:rsidRPr="00DC3B6B">
        <w:rPr>
          <w:bCs/>
          <w:i/>
          <w:color w:val="000000" w:themeColor="text1"/>
        </w:rPr>
        <w:t>Dementia and Geriatric Cognitive Disorders</w:t>
      </w:r>
      <w:r w:rsidRPr="00DC3B6B">
        <w:rPr>
          <w:bCs/>
          <w:color w:val="000000" w:themeColor="text1"/>
        </w:rPr>
        <w:t>, 36(3-4): 242-250.</w:t>
      </w:r>
    </w:p>
    <w:p w14:paraId="1A466C01" w14:textId="77777777" w:rsidR="00817974" w:rsidRPr="00DC3B6B" w:rsidRDefault="00817974" w:rsidP="00817974">
      <w:pPr>
        <w:ind w:left="720" w:hanging="720"/>
        <w:rPr>
          <w:bCs/>
          <w:color w:val="000000" w:themeColor="text1"/>
          <w:lang w:val="nl-NL"/>
        </w:rPr>
      </w:pPr>
      <w:r w:rsidRPr="00DC3B6B">
        <w:rPr>
          <w:bCs/>
          <w:color w:val="000000" w:themeColor="text1"/>
          <w:lang w:val="nl-NL"/>
        </w:rPr>
        <w:t xml:space="preserve">Jones, D., Drew, P., </w:t>
      </w:r>
      <w:proofErr w:type="spellStart"/>
      <w:r w:rsidRPr="00DC3B6B">
        <w:rPr>
          <w:bCs/>
          <w:color w:val="000000" w:themeColor="text1"/>
          <w:lang w:val="nl-NL"/>
        </w:rPr>
        <w:t>Elsey</w:t>
      </w:r>
      <w:proofErr w:type="spellEnd"/>
      <w:r w:rsidRPr="00DC3B6B">
        <w:rPr>
          <w:bCs/>
          <w:color w:val="000000" w:themeColor="text1"/>
          <w:lang w:val="nl-NL"/>
        </w:rPr>
        <w:t xml:space="preserve">, C., Blackburn, D., Wakefield, S., </w:t>
      </w:r>
      <w:proofErr w:type="spellStart"/>
      <w:r w:rsidRPr="00DC3B6B">
        <w:rPr>
          <w:bCs/>
          <w:color w:val="000000" w:themeColor="text1"/>
          <w:lang w:val="nl-NL"/>
        </w:rPr>
        <w:t>Harkness</w:t>
      </w:r>
      <w:proofErr w:type="spellEnd"/>
      <w:r w:rsidRPr="00DC3B6B">
        <w:rPr>
          <w:bCs/>
          <w:color w:val="000000" w:themeColor="text1"/>
          <w:lang w:val="nl-NL"/>
        </w:rPr>
        <w:t xml:space="preserve">, K. </w:t>
      </w:r>
      <w:proofErr w:type="spellStart"/>
      <w:r w:rsidRPr="00DC3B6B">
        <w:rPr>
          <w:bCs/>
          <w:color w:val="000000" w:themeColor="text1"/>
          <w:lang w:val="nl-NL"/>
        </w:rPr>
        <w:t>and</w:t>
      </w:r>
      <w:proofErr w:type="spellEnd"/>
      <w:r w:rsidRPr="00DC3B6B">
        <w:rPr>
          <w:bCs/>
          <w:color w:val="000000" w:themeColor="text1"/>
          <w:lang w:val="nl-NL"/>
        </w:rPr>
        <w:t xml:space="preserve"> </w:t>
      </w:r>
      <w:proofErr w:type="spellStart"/>
      <w:r w:rsidRPr="00DC3B6B">
        <w:rPr>
          <w:bCs/>
          <w:color w:val="000000" w:themeColor="text1"/>
          <w:lang w:val="nl-NL"/>
        </w:rPr>
        <w:t>Reuber</w:t>
      </w:r>
      <w:proofErr w:type="spellEnd"/>
      <w:r w:rsidRPr="00DC3B6B">
        <w:rPr>
          <w:bCs/>
          <w:color w:val="000000" w:themeColor="text1"/>
          <w:lang w:val="nl-NL"/>
        </w:rPr>
        <w:t xml:space="preserve">, M. (2016) </w:t>
      </w:r>
      <w:proofErr w:type="spellStart"/>
      <w:r w:rsidRPr="00DC3B6B">
        <w:rPr>
          <w:bCs/>
          <w:color w:val="000000" w:themeColor="text1"/>
          <w:lang w:val="nl-NL"/>
        </w:rPr>
        <w:t>Conversational</w:t>
      </w:r>
      <w:proofErr w:type="spellEnd"/>
      <w:r w:rsidRPr="00DC3B6B">
        <w:rPr>
          <w:bCs/>
          <w:color w:val="000000" w:themeColor="text1"/>
          <w:lang w:val="nl-NL"/>
        </w:rPr>
        <w:t xml:space="preserve"> assessment in memory </w:t>
      </w:r>
      <w:proofErr w:type="spellStart"/>
      <w:r w:rsidRPr="00DC3B6B">
        <w:rPr>
          <w:bCs/>
          <w:color w:val="000000" w:themeColor="text1"/>
          <w:lang w:val="nl-NL"/>
        </w:rPr>
        <w:t>clinic</w:t>
      </w:r>
      <w:proofErr w:type="spellEnd"/>
      <w:r w:rsidRPr="00DC3B6B">
        <w:rPr>
          <w:bCs/>
          <w:color w:val="000000" w:themeColor="text1"/>
          <w:lang w:val="nl-NL"/>
        </w:rPr>
        <w:t xml:space="preserve"> </w:t>
      </w:r>
      <w:proofErr w:type="spellStart"/>
      <w:r w:rsidRPr="00DC3B6B">
        <w:rPr>
          <w:bCs/>
          <w:color w:val="000000" w:themeColor="text1"/>
          <w:lang w:val="nl-NL"/>
        </w:rPr>
        <w:t>encounters</w:t>
      </w:r>
      <w:proofErr w:type="spellEnd"/>
      <w:r w:rsidRPr="00DC3B6B">
        <w:rPr>
          <w:bCs/>
          <w:color w:val="000000" w:themeColor="text1"/>
          <w:lang w:val="nl-NL"/>
        </w:rPr>
        <w:t xml:space="preserve">: </w:t>
      </w:r>
      <w:proofErr w:type="spellStart"/>
      <w:r w:rsidRPr="00DC3B6B">
        <w:rPr>
          <w:bCs/>
          <w:color w:val="000000" w:themeColor="text1"/>
          <w:lang w:val="nl-NL"/>
        </w:rPr>
        <w:t>interactional</w:t>
      </w:r>
      <w:proofErr w:type="spellEnd"/>
      <w:r w:rsidRPr="00DC3B6B">
        <w:rPr>
          <w:bCs/>
          <w:color w:val="000000" w:themeColor="text1"/>
          <w:lang w:val="nl-NL"/>
        </w:rPr>
        <w:t xml:space="preserve"> </w:t>
      </w:r>
      <w:proofErr w:type="spellStart"/>
      <w:r w:rsidRPr="00DC3B6B">
        <w:rPr>
          <w:bCs/>
          <w:color w:val="000000" w:themeColor="text1"/>
          <w:lang w:val="nl-NL"/>
        </w:rPr>
        <w:t>profiling</w:t>
      </w:r>
      <w:proofErr w:type="spellEnd"/>
      <w:r w:rsidRPr="00DC3B6B">
        <w:rPr>
          <w:bCs/>
          <w:color w:val="000000" w:themeColor="text1"/>
          <w:lang w:val="nl-NL"/>
        </w:rPr>
        <w:t xml:space="preserve"> </w:t>
      </w:r>
      <w:proofErr w:type="spellStart"/>
      <w:r w:rsidRPr="00DC3B6B">
        <w:rPr>
          <w:bCs/>
          <w:color w:val="000000" w:themeColor="text1"/>
          <w:lang w:val="nl-NL"/>
        </w:rPr>
        <w:t>for</w:t>
      </w:r>
      <w:proofErr w:type="spellEnd"/>
      <w:r w:rsidRPr="00DC3B6B">
        <w:rPr>
          <w:bCs/>
          <w:color w:val="000000" w:themeColor="text1"/>
          <w:lang w:val="nl-NL"/>
        </w:rPr>
        <w:t xml:space="preserve"> </w:t>
      </w:r>
      <w:proofErr w:type="spellStart"/>
      <w:r w:rsidRPr="00DC3B6B">
        <w:rPr>
          <w:bCs/>
          <w:color w:val="000000" w:themeColor="text1"/>
          <w:lang w:val="nl-NL"/>
        </w:rPr>
        <w:t>differentiating</w:t>
      </w:r>
      <w:proofErr w:type="spellEnd"/>
      <w:r w:rsidRPr="00DC3B6B">
        <w:rPr>
          <w:bCs/>
          <w:color w:val="000000" w:themeColor="text1"/>
          <w:lang w:val="nl-NL"/>
        </w:rPr>
        <w:t xml:space="preserve"> dementia </w:t>
      </w:r>
      <w:proofErr w:type="spellStart"/>
      <w:r w:rsidRPr="00DC3B6B">
        <w:rPr>
          <w:bCs/>
          <w:color w:val="000000" w:themeColor="text1"/>
          <w:lang w:val="nl-NL"/>
        </w:rPr>
        <w:t>from</w:t>
      </w:r>
      <w:proofErr w:type="spellEnd"/>
      <w:r w:rsidRPr="00DC3B6B">
        <w:rPr>
          <w:bCs/>
          <w:color w:val="000000" w:themeColor="text1"/>
          <w:lang w:val="nl-NL"/>
        </w:rPr>
        <w:t xml:space="preserve"> </w:t>
      </w:r>
      <w:proofErr w:type="spellStart"/>
      <w:r w:rsidRPr="00DC3B6B">
        <w:rPr>
          <w:bCs/>
          <w:color w:val="000000" w:themeColor="text1"/>
          <w:lang w:val="nl-NL"/>
        </w:rPr>
        <w:t>functional</w:t>
      </w:r>
      <w:proofErr w:type="spellEnd"/>
      <w:r w:rsidRPr="00DC3B6B">
        <w:rPr>
          <w:bCs/>
          <w:color w:val="000000" w:themeColor="text1"/>
          <w:lang w:val="nl-NL"/>
        </w:rPr>
        <w:t xml:space="preserve"> memory disorders. </w:t>
      </w:r>
      <w:proofErr w:type="spellStart"/>
      <w:r w:rsidRPr="00DC3B6B">
        <w:rPr>
          <w:bCs/>
          <w:i/>
          <w:iCs/>
          <w:color w:val="000000" w:themeColor="text1"/>
          <w:lang w:val="nl-NL"/>
        </w:rPr>
        <w:t>Aging</w:t>
      </w:r>
      <w:proofErr w:type="spellEnd"/>
      <w:r w:rsidRPr="00DC3B6B">
        <w:rPr>
          <w:bCs/>
          <w:i/>
          <w:iCs/>
          <w:color w:val="000000" w:themeColor="text1"/>
          <w:lang w:val="nl-NL"/>
        </w:rPr>
        <w:t xml:space="preserve"> &amp; </w:t>
      </w:r>
      <w:proofErr w:type="spellStart"/>
      <w:r w:rsidRPr="00DC3B6B">
        <w:rPr>
          <w:bCs/>
          <w:i/>
          <w:iCs/>
          <w:color w:val="000000" w:themeColor="text1"/>
          <w:lang w:val="nl-NL"/>
        </w:rPr>
        <w:t>Mental</w:t>
      </w:r>
      <w:proofErr w:type="spellEnd"/>
      <w:r w:rsidRPr="00DC3B6B">
        <w:rPr>
          <w:bCs/>
          <w:i/>
          <w:iCs/>
          <w:color w:val="000000" w:themeColor="text1"/>
          <w:lang w:val="nl-NL"/>
        </w:rPr>
        <w:t xml:space="preserve"> Health</w:t>
      </w:r>
      <w:r w:rsidRPr="00DC3B6B">
        <w:rPr>
          <w:bCs/>
          <w:color w:val="000000" w:themeColor="text1"/>
          <w:lang w:val="nl-NL"/>
        </w:rPr>
        <w:t>, 20(5): 500-509.</w:t>
      </w:r>
    </w:p>
    <w:p w14:paraId="1AAA2594" w14:textId="77777777" w:rsidR="00817974" w:rsidRPr="00DC3B6B" w:rsidRDefault="00817974" w:rsidP="00817974">
      <w:pPr>
        <w:ind w:left="720" w:hanging="720"/>
        <w:rPr>
          <w:bCs/>
          <w:color w:val="000000" w:themeColor="text1"/>
        </w:rPr>
      </w:pPr>
      <w:r w:rsidRPr="00DC3B6B">
        <w:rPr>
          <w:bCs/>
          <w:color w:val="000000" w:themeColor="text1"/>
        </w:rPr>
        <w:t>Jones, D., Wilkinson, R., Jackson, C., Drew, P. (2020) Variation and Interactional Non-</w:t>
      </w:r>
      <w:r w:rsidRPr="00B56796">
        <w:rPr>
          <w:bCs/>
          <w:color w:val="000000" w:themeColor="text1"/>
        </w:rPr>
        <w:t>Standardization in Neuropsychological</w:t>
      </w:r>
      <w:r w:rsidRPr="00DC3B6B">
        <w:rPr>
          <w:bCs/>
          <w:color w:val="000000" w:themeColor="text1"/>
        </w:rPr>
        <w:t xml:space="preserve"> </w:t>
      </w:r>
      <w:r w:rsidRPr="00B56796">
        <w:rPr>
          <w:bCs/>
          <w:color w:val="000000" w:themeColor="text1"/>
        </w:rPr>
        <w:t>Tests: The Case of the Addenbrooke’s</w:t>
      </w:r>
      <w:r w:rsidRPr="00DC3B6B">
        <w:rPr>
          <w:bCs/>
          <w:color w:val="000000" w:themeColor="text1"/>
        </w:rPr>
        <w:t xml:space="preserve"> </w:t>
      </w:r>
      <w:r w:rsidRPr="00B56796">
        <w:rPr>
          <w:bCs/>
          <w:color w:val="000000" w:themeColor="text1"/>
        </w:rPr>
        <w:t>Cognitive Examination</w:t>
      </w:r>
      <w:r w:rsidRPr="00DC3B6B">
        <w:rPr>
          <w:bCs/>
          <w:color w:val="000000" w:themeColor="text1"/>
        </w:rPr>
        <w:t xml:space="preserve">. </w:t>
      </w:r>
      <w:r w:rsidRPr="00DC3B6B">
        <w:rPr>
          <w:bCs/>
          <w:i/>
          <w:iCs/>
          <w:color w:val="000000" w:themeColor="text1"/>
        </w:rPr>
        <w:t>Qualitative Health Research</w:t>
      </w:r>
      <w:r w:rsidRPr="00DC3B6B">
        <w:rPr>
          <w:bCs/>
          <w:color w:val="000000" w:themeColor="text1"/>
        </w:rPr>
        <w:t>, 30(3): 458–470</w:t>
      </w:r>
    </w:p>
    <w:p w14:paraId="0C704F9F" w14:textId="77777777" w:rsidR="00817974" w:rsidRPr="00DC3B6B" w:rsidRDefault="00817974" w:rsidP="00817974">
      <w:pPr>
        <w:ind w:left="720" w:hanging="720"/>
        <w:rPr>
          <w:bCs/>
          <w:color w:val="000000" w:themeColor="text1"/>
        </w:rPr>
      </w:pPr>
      <w:proofErr w:type="spellStart"/>
      <w:r w:rsidRPr="001A15A8">
        <w:rPr>
          <w:bCs/>
          <w:color w:val="000000" w:themeColor="text1"/>
        </w:rPr>
        <w:t>Koole</w:t>
      </w:r>
      <w:proofErr w:type="spellEnd"/>
      <w:r w:rsidRPr="001A15A8">
        <w:rPr>
          <w:bCs/>
          <w:color w:val="000000" w:themeColor="text1"/>
        </w:rPr>
        <w:t xml:space="preserve">, T. (2010) Displays of epistemic access: Student responses to teacher explanations. </w:t>
      </w:r>
      <w:r w:rsidRPr="001A15A8">
        <w:rPr>
          <w:bCs/>
          <w:i/>
          <w:iCs/>
          <w:color w:val="000000" w:themeColor="text1"/>
        </w:rPr>
        <w:t>Research on Language and Social Interaction</w:t>
      </w:r>
      <w:r w:rsidRPr="001A15A8">
        <w:rPr>
          <w:bCs/>
          <w:color w:val="000000" w:themeColor="text1"/>
        </w:rPr>
        <w:t>, 43(2), 183–209</w:t>
      </w:r>
    </w:p>
    <w:p w14:paraId="4BAB4AB9" w14:textId="77777777" w:rsidR="00817974" w:rsidRPr="00DC3B6B" w:rsidRDefault="00817974" w:rsidP="00817974">
      <w:pPr>
        <w:ind w:left="720" w:hanging="720"/>
        <w:rPr>
          <w:bCs/>
          <w:color w:val="000000" w:themeColor="text1"/>
          <w:lang w:val="en-US"/>
        </w:rPr>
      </w:pPr>
      <w:proofErr w:type="spellStart"/>
      <w:r w:rsidRPr="007B7017">
        <w:rPr>
          <w:bCs/>
          <w:color w:val="000000" w:themeColor="text1"/>
          <w:lang w:val="en-US"/>
        </w:rPr>
        <w:t>Lindeberg</w:t>
      </w:r>
      <w:proofErr w:type="spellEnd"/>
      <w:r w:rsidRPr="007B7017">
        <w:rPr>
          <w:bCs/>
          <w:color w:val="000000" w:themeColor="text1"/>
          <w:lang w:val="en-US"/>
        </w:rPr>
        <w:t xml:space="preserve">, S., Samuelsson, C., &amp; </w:t>
      </w:r>
      <w:proofErr w:type="spellStart"/>
      <w:r w:rsidRPr="007B7017">
        <w:rPr>
          <w:bCs/>
          <w:color w:val="000000" w:themeColor="text1"/>
          <w:lang w:val="en-US"/>
        </w:rPr>
        <w:t>Müller</w:t>
      </w:r>
      <w:proofErr w:type="spellEnd"/>
      <w:r w:rsidRPr="007B7017">
        <w:rPr>
          <w:bCs/>
          <w:color w:val="000000" w:themeColor="text1"/>
          <w:lang w:val="en-US"/>
        </w:rPr>
        <w:t xml:space="preserve">, N. (2019) Swedish clinical professionals’ perspectives on evaluating cognitive and communicative function in dementia. </w:t>
      </w:r>
      <w:r w:rsidRPr="007B7017">
        <w:rPr>
          <w:bCs/>
          <w:i/>
          <w:iCs/>
          <w:color w:val="000000" w:themeColor="text1"/>
          <w:lang w:val="en-US"/>
        </w:rPr>
        <w:t>Clinical Gerontologist</w:t>
      </w:r>
      <w:r w:rsidRPr="007B7017">
        <w:rPr>
          <w:bCs/>
          <w:color w:val="000000" w:themeColor="text1"/>
          <w:lang w:val="en-US"/>
        </w:rPr>
        <w:t>, 1-15</w:t>
      </w:r>
      <w:r w:rsidRPr="00DC3B6B">
        <w:rPr>
          <w:bCs/>
          <w:color w:val="000000" w:themeColor="text1"/>
        </w:rPr>
        <w:t xml:space="preserve">. </w:t>
      </w:r>
      <w:r w:rsidRPr="007B7017">
        <w:rPr>
          <w:bCs/>
          <w:color w:val="000000" w:themeColor="text1"/>
          <w:lang w:val="en-US"/>
        </w:rPr>
        <w:t>DOI:10.1080/07317115.2019.1701168.</w:t>
      </w:r>
    </w:p>
    <w:p w14:paraId="055E6B62" w14:textId="77777777" w:rsidR="00817974" w:rsidRPr="00DC3B6B" w:rsidRDefault="00817974" w:rsidP="00817974">
      <w:pPr>
        <w:ind w:left="720" w:hanging="720"/>
        <w:rPr>
          <w:bCs/>
          <w:color w:val="000000" w:themeColor="text1"/>
        </w:rPr>
      </w:pPr>
      <w:proofErr w:type="spellStart"/>
      <w:r w:rsidRPr="00933E8D">
        <w:rPr>
          <w:rFonts w:eastAsia="Arial"/>
          <w:bCs/>
          <w:color w:val="000000" w:themeColor="text1"/>
        </w:rPr>
        <w:t>Leydon</w:t>
      </w:r>
      <w:proofErr w:type="spellEnd"/>
      <w:r w:rsidRPr="00933E8D">
        <w:rPr>
          <w:rFonts w:eastAsia="Arial"/>
          <w:bCs/>
          <w:color w:val="000000" w:themeColor="text1"/>
        </w:rPr>
        <w:t xml:space="preserve">, G.M. and Barnes, R.K., </w:t>
      </w:r>
      <w:r w:rsidRPr="00DC3B6B">
        <w:rPr>
          <w:bCs/>
          <w:color w:val="000000" w:themeColor="text1"/>
        </w:rPr>
        <w:t>(</w:t>
      </w:r>
      <w:r w:rsidRPr="00933E8D">
        <w:rPr>
          <w:rFonts w:eastAsia="Arial"/>
          <w:bCs/>
          <w:color w:val="000000" w:themeColor="text1"/>
        </w:rPr>
        <w:t>2020</w:t>
      </w:r>
      <w:r w:rsidRPr="00DC3B6B">
        <w:rPr>
          <w:bCs/>
          <w:color w:val="000000" w:themeColor="text1"/>
        </w:rPr>
        <w:t>)</w:t>
      </w:r>
      <w:r w:rsidRPr="00933E8D">
        <w:rPr>
          <w:rFonts w:eastAsia="Arial"/>
          <w:bCs/>
          <w:color w:val="000000" w:themeColor="text1"/>
        </w:rPr>
        <w:t xml:space="preserve"> </w:t>
      </w:r>
      <w:r w:rsidRPr="00DC3B6B">
        <w:rPr>
          <w:bCs/>
          <w:color w:val="000000" w:themeColor="text1"/>
        </w:rPr>
        <w:t>‘</w:t>
      </w:r>
      <w:r w:rsidRPr="00933E8D">
        <w:rPr>
          <w:rFonts w:eastAsia="Arial"/>
          <w:bCs/>
          <w:color w:val="000000" w:themeColor="text1"/>
        </w:rPr>
        <w:t>Conversation Analysis</w:t>
      </w:r>
      <w:r w:rsidRPr="00DC3B6B">
        <w:rPr>
          <w:bCs/>
          <w:color w:val="000000" w:themeColor="text1"/>
        </w:rPr>
        <w:t>’, in C. Pope &amp; N. Mays (4 eds.)</w:t>
      </w:r>
      <w:r w:rsidRPr="00933E8D">
        <w:rPr>
          <w:rFonts w:eastAsia="Arial"/>
          <w:bCs/>
          <w:color w:val="000000" w:themeColor="text1"/>
        </w:rPr>
        <w:t xml:space="preserve"> </w:t>
      </w:r>
      <w:r w:rsidRPr="00933E8D">
        <w:rPr>
          <w:rFonts w:eastAsia="Arial"/>
          <w:bCs/>
          <w:i/>
          <w:iCs/>
          <w:color w:val="000000" w:themeColor="text1"/>
        </w:rPr>
        <w:t>Qualitative Research in Health Care</w:t>
      </w:r>
      <w:r w:rsidRPr="00DC3B6B">
        <w:rPr>
          <w:bCs/>
          <w:i/>
          <w:iCs/>
          <w:color w:val="000000" w:themeColor="text1"/>
        </w:rPr>
        <w:t xml:space="preserve">. </w:t>
      </w:r>
      <w:r w:rsidRPr="00DC3B6B">
        <w:rPr>
          <w:bCs/>
          <w:color w:val="000000" w:themeColor="text1"/>
        </w:rPr>
        <w:t>Wiley Publications, UK</w:t>
      </w:r>
      <w:r w:rsidRPr="00933E8D">
        <w:rPr>
          <w:rFonts w:eastAsia="Arial"/>
          <w:bCs/>
          <w:color w:val="000000" w:themeColor="text1"/>
        </w:rPr>
        <w:t>, pp.135-150.</w:t>
      </w:r>
    </w:p>
    <w:p w14:paraId="124A4FB8" w14:textId="77777777" w:rsidR="00817974" w:rsidRPr="00DC3B6B" w:rsidRDefault="00817974" w:rsidP="00817974">
      <w:pPr>
        <w:ind w:left="720" w:hanging="720"/>
        <w:rPr>
          <w:bCs/>
          <w:color w:val="000000" w:themeColor="text1"/>
        </w:rPr>
      </w:pPr>
      <w:proofErr w:type="spellStart"/>
      <w:r w:rsidRPr="00610534">
        <w:rPr>
          <w:bCs/>
          <w:color w:val="000000" w:themeColor="text1"/>
        </w:rPr>
        <w:t>Majlesi</w:t>
      </w:r>
      <w:proofErr w:type="spellEnd"/>
      <w:r w:rsidRPr="00610534">
        <w:rPr>
          <w:bCs/>
          <w:color w:val="000000" w:themeColor="text1"/>
        </w:rPr>
        <w:t xml:space="preserve">, A.R. and </w:t>
      </w:r>
      <w:proofErr w:type="spellStart"/>
      <w:r w:rsidRPr="00610534">
        <w:rPr>
          <w:bCs/>
          <w:color w:val="000000" w:themeColor="text1"/>
        </w:rPr>
        <w:t>Plejert</w:t>
      </w:r>
      <w:proofErr w:type="spellEnd"/>
      <w:r w:rsidRPr="00610534">
        <w:rPr>
          <w:bCs/>
          <w:color w:val="000000" w:themeColor="text1"/>
        </w:rPr>
        <w:t>, C. (2018) Embodiment in tests of cognitive functioning: A study of an interpreter-mediated dementia evaluation</w:t>
      </w:r>
      <w:r w:rsidRPr="00610534">
        <w:rPr>
          <w:b/>
          <w:bCs/>
          <w:color w:val="000000" w:themeColor="text1"/>
        </w:rPr>
        <w:t xml:space="preserve">. </w:t>
      </w:r>
      <w:r w:rsidRPr="00610534">
        <w:rPr>
          <w:bCs/>
          <w:i/>
          <w:iCs/>
          <w:color w:val="000000" w:themeColor="text1"/>
        </w:rPr>
        <w:t>Dementia</w:t>
      </w:r>
      <w:r w:rsidRPr="00610534">
        <w:rPr>
          <w:bCs/>
          <w:color w:val="000000" w:themeColor="text1"/>
        </w:rPr>
        <w:t>, 17(2): 138-163</w:t>
      </w:r>
    </w:p>
    <w:p w14:paraId="47E0F366" w14:textId="77777777" w:rsidR="00817974" w:rsidRPr="00DC3B6B" w:rsidRDefault="00817974" w:rsidP="00817974">
      <w:pPr>
        <w:ind w:left="720" w:hanging="720"/>
        <w:rPr>
          <w:bCs/>
          <w:color w:val="000000" w:themeColor="text1"/>
        </w:rPr>
      </w:pPr>
      <w:proofErr w:type="spellStart"/>
      <w:r w:rsidRPr="00DC3B6B">
        <w:rPr>
          <w:bCs/>
          <w:color w:val="000000" w:themeColor="text1"/>
        </w:rPr>
        <w:lastRenderedPageBreak/>
        <w:t>Marlaire</w:t>
      </w:r>
      <w:proofErr w:type="spellEnd"/>
      <w:r w:rsidRPr="00DC3B6B">
        <w:rPr>
          <w:bCs/>
          <w:color w:val="000000" w:themeColor="text1"/>
        </w:rPr>
        <w:t xml:space="preserve">, C. &amp; Maynard, D.W. (1990) Standardized testing as an interactional phenomenon. </w:t>
      </w:r>
      <w:r w:rsidRPr="00DC3B6B">
        <w:rPr>
          <w:bCs/>
          <w:i/>
          <w:iCs/>
          <w:color w:val="000000" w:themeColor="text1"/>
        </w:rPr>
        <w:t xml:space="preserve">Sociology of Education 63, </w:t>
      </w:r>
      <w:r w:rsidRPr="00DC3B6B">
        <w:rPr>
          <w:bCs/>
          <w:color w:val="000000" w:themeColor="text1"/>
        </w:rPr>
        <w:t>83-101.</w:t>
      </w:r>
    </w:p>
    <w:p w14:paraId="1BE67AAE" w14:textId="77777777" w:rsidR="00817974" w:rsidRPr="00DC3B6B" w:rsidRDefault="00817974" w:rsidP="00817974">
      <w:pPr>
        <w:ind w:left="720" w:hanging="720"/>
        <w:rPr>
          <w:bCs/>
          <w:color w:val="000000" w:themeColor="text1"/>
        </w:rPr>
      </w:pPr>
      <w:r w:rsidRPr="00DC3B6B">
        <w:rPr>
          <w:bCs/>
          <w:color w:val="000000" w:themeColor="text1"/>
        </w:rPr>
        <w:t>Maynard, D. W. (2017) </w:t>
      </w:r>
      <w:hyperlink r:id="rId8" w:tgtFrame="_blank" w:history="1">
        <w:r w:rsidRPr="00DC3B6B">
          <w:rPr>
            <w:rStyle w:val="Hyperlink"/>
            <w:bCs/>
            <w:color w:val="000000" w:themeColor="text1"/>
          </w:rPr>
          <w:t>"Delivering bad news in emergency care medicine"</w:t>
        </w:r>
      </w:hyperlink>
      <w:r w:rsidRPr="00DC3B6B">
        <w:rPr>
          <w:bCs/>
          <w:color w:val="000000" w:themeColor="text1"/>
        </w:rPr>
        <w:t>, </w:t>
      </w:r>
      <w:r w:rsidRPr="00DC3B6B">
        <w:rPr>
          <w:bCs/>
          <w:i/>
          <w:iCs/>
          <w:color w:val="000000" w:themeColor="text1"/>
        </w:rPr>
        <w:t>Acute Medicine &amp; Surgery</w:t>
      </w:r>
      <w:r w:rsidRPr="00DC3B6B">
        <w:rPr>
          <w:bCs/>
          <w:color w:val="000000" w:themeColor="text1"/>
        </w:rPr>
        <w:t>, 4 (1):3-11.</w:t>
      </w:r>
    </w:p>
    <w:p w14:paraId="73FD2AE4" w14:textId="77777777" w:rsidR="00817974" w:rsidRPr="00DC3B6B" w:rsidRDefault="00817974" w:rsidP="00817974">
      <w:pPr>
        <w:ind w:left="720" w:hanging="720"/>
        <w:rPr>
          <w:bCs/>
          <w:color w:val="000000" w:themeColor="text1"/>
        </w:rPr>
      </w:pPr>
      <w:r w:rsidRPr="00DC3B6B">
        <w:rPr>
          <w:bCs/>
          <w:color w:val="000000" w:themeColor="text1"/>
        </w:rPr>
        <w:t xml:space="preserve">Maynard, D.W., &amp; </w:t>
      </w:r>
      <w:proofErr w:type="spellStart"/>
      <w:r w:rsidRPr="00DC3B6B">
        <w:rPr>
          <w:bCs/>
          <w:color w:val="000000" w:themeColor="text1"/>
        </w:rPr>
        <w:t>Marlaire</w:t>
      </w:r>
      <w:proofErr w:type="spellEnd"/>
      <w:r w:rsidRPr="00DC3B6B">
        <w:rPr>
          <w:bCs/>
          <w:color w:val="000000" w:themeColor="text1"/>
        </w:rPr>
        <w:t xml:space="preserve">, C.L. (1992) Good Reasons for Bad Testing Performance: The Interactional Substrate of Educational Exams. </w:t>
      </w:r>
      <w:r w:rsidRPr="00DC3B6B">
        <w:rPr>
          <w:bCs/>
          <w:i/>
          <w:color w:val="000000" w:themeColor="text1"/>
        </w:rPr>
        <w:t>Qualitative Sociology</w:t>
      </w:r>
      <w:r w:rsidRPr="00DC3B6B">
        <w:rPr>
          <w:bCs/>
          <w:color w:val="000000" w:themeColor="text1"/>
        </w:rPr>
        <w:t>, 15(2):177-202.</w:t>
      </w:r>
    </w:p>
    <w:p w14:paraId="52636A2F" w14:textId="77777777" w:rsidR="00817974" w:rsidRPr="00DC3B6B" w:rsidRDefault="00817974" w:rsidP="00817974">
      <w:pPr>
        <w:ind w:left="720" w:hanging="720"/>
        <w:rPr>
          <w:bCs/>
          <w:color w:val="000000" w:themeColor="text1"/>
        </w:rPr>
      </w:pPr>
      <w:r w:rsidRPr="00DC3B6B">
        <w:rPr>
          <w:bCs/>
          <w:color w:val="000000" w:themeColor="text1"/>
        </w:rPr>
        <w:t xml:space="preserve">Maynard, D.W., &amp; </w:t>
      </w:r>
      <w:proofErr w:type="spellStart"/>
      <w:r w:rsidRPr="00DC3B6B">
        <w:rPr>
          <w:bCs/>
          <w:color w:val="000000" w:themeColor="text1"/>
        </w:rPr>
        <w:t>Turowetz</w:t>
      </w:r>
      <w:proofErr w:type="spellEnd"/>
      <w:r w:rsidRPr="00DC3B6B">
        <w:rPr>
          <w:bCs/>
          <w:color w:val="000000" w:themeColor="text1"/>
        </w:rPr>
        <w:t>, J. (2017) </w:t>
      </w:r>
      <w:hyperlink r:id="rId9" w:tgtFrame="_blank" w:history="1">
        <w:r w:rsidRPr="00DC3B6B">
          <w:rPr>
            <w:rStyle w:val="Hyperlink"/>
            <w:bCs/>
            <w:color w:val="000000" w:themeColor="text1"/>
          </w:rPr>
          <w:t>"Doing Testing: How Concrete Competence can Facilitate or Inhibit Performances of Children with Autism Spectrum Disorder"</w:t>
        </w:r>
      </w:hyperlink>
      <w:r w:rsidRPr="00DC3B6B">
        <w:rPr>
          <w:bCs/>
          <w:color w:val="000000" w:themeColor="text1"/>
        </w:rPr>
        <w:t>, </w:t>
      </w:r>
      <w:r w:rsidRPr="00DC3B6B">
        <w:rPr>
          <w:bCs/>
          <w:i/>
          <w:iCs/>
          <w:color w:val="000000" w:themeColor="text1"/>
        </w:rPr>
        <w:t>Qualitative Sociology</w:t>
      </w:r>
      <w:r w:rsidRPr="00DC3B6B">
        <w:rPr>
          <w:bCs/>
          <w:color w:val="000000" w:themeColor="text1"/>
        </w:rPr>
        <w:t>, 40: 467–491</w:t>
      </w:r>
    </w:p>
    <w:p w14:paraId="4AED6291" w14:textId="77777777" w:rsidR="00817974" w:rsidRPr="00DC3B6B" w:rsidRDefault="00817974" w:rsidP="00817974">
      <w:pPr>
        <w:ind w:left="720" w:hanging="720"/>
        <w:rPr>
          <w:bCs/>
          <w:color w:val="000000" w:themeColor="text1"/>
        </w:rPr>
      </w:pPr>
      <w:r w:rsidRPr="00E425F4">
        <w:rPr>
          <w:bCs/>
          <w:color w:val="000000" w:themeColor="text1"/>
        </w:rPr>
        <w:t xml:space="preserve">Maynard, D.W., </w:t>
      </w:r>
      <w:proofErr w:type="spellStart"/>
      <w:r w:rsidRPr="00E425F4">
        <w:rPr>
          <w:bCs/>
          <w:color w:val="000000" w:themeColor="text1"/>
        </w:rPr>
        <w:t>Houtkoop</w:t>
      </w:r>
      <w:proofErr w:type="spellEnd"/>
      <w:r w:rsidRPr="00E425F4">
        <w:rPr>
          <w:bCs/>
          <w:color w:val="000000" w:themeColor="text1"/>
        </w:rPr>
        <w:t xml:space="preserve">-Steenstra, H., Schaeffer, N.C., and H. van der </w:t>
      </w:r>
      <w:proofErr w:type="spellStart"/>
      <w:r w:rsidRPr="00E425F4">
        <w:rPr>
          <w:bCs/>
          <w:color w:val="000000" w:themeColor="text1"/>
        </w:rPr>
        <w:t>Zouwen</w:t>
      </w:r>
      <w:proofErr w:type="spellEnd"/>
      <w:r w:rsidRPr="00E425F4">
        <w:rPr>
          <w:bCs/>
          <w:color w:val="000000" w:themeColor="text1"/>
        </w:rPr>
        <w:t>, H. (2002). Standardization and Tacit Knowledge Interaction and Practice in the Survey Interview (eds). New York: Wiley.</w:t>
      </w:r>
    </w:p>
    <w:p w14:paraId="0FEB382F" w14:textId="77777777" w:rsidR="00817974" w:rsidRPr="00DC3B6B" w:rsidRDefault="00817974" w:rsidP="00817974">
      <w:pPr>
        <w:ind w:left="720" w:hanging="720"/>
        <w:rPr>
          <w:bCs/>
          <w:i/>
          <w:color w:val="000000" w:themeColor="text1"/>
          <w:lang w:val="en-US"/>
        </w:rPr>
      </w:pPr>
      <w:r w:rsidRPr="00C8424A">
        <w:rPr>
          <w:bCs/>
          <w:color w:val="000000" w:themeColor="text1"/>
          <w:lang w:val="en-US"/>
        </w:rPr>
        <w:t xml:space="preserve">Maynard, D., and </w:t>
      </w:r>
      <w:proofErr w:type="gramStart"/>
      <w:r w:rsidRPr="00C8424A">
        <w:rPr>
          <w:bCs/>
          <w:color w:val="000000" w:themeColor="text1"/>
          <w:lang w:val="en-US"/>
        </w:rPr>
        <w:t>Schaeffer,  N.C.</w:t>
      </w:r>
      <w:proofErr w:type="gramEnd"/>
      <w:r w:rsidRPr="00C8424A">
        <w:rPr>
          <w:bCs/>
          <w:color w:val="000000" w:themeColor="text1"/>
          <w:lang w:val="en-US"/>
        </w:rPr>
        <w:t xml:space="preserve"> (2006) ‘</w:t>
      </w:r>
      <w:r w:rsidRPr="00DC3B6B">
        <w:rPr>
          <w:bCs/>
          <w:color w:val="000000" w:themeColor="text1"/>
        </w:rPr>
        <w:t>Standardization-in-interaction: The survey interview’</w:t>
      </w:r>
      <w:r w:rsidRPr="00C8424A">
        <w:rPr>
          <w:bCs/>
          <w:color w:val="000000" w:themeColor="text1"/>
          <w:lang w:val="en-US"/>
        </w:rPr>
        <w:t xml:space="preserve">, in P. Drew., G. Raymond., &amp; D. Weinberg. (eds) </w:t>
      </w:r>
      <w:r w:rsidRPr="00C8424A">
        <w:rPr>
          <w:bCs/>
          <w:i/>
          <w:color w:val="000000" w:themeColor="text1"/>
          <w:lang w:val="en-US"/>
        </w:rPr>
        <w:t>Talking Research: Language and Interaction in Sociological Methodology</w:t>
      </w:r>
      <w:r w:rsidRPr="00C8424A">
        <w:rPr>
          <w:bCs/>
          <w:color w:val="000000" w:themeColor="text1"/>
          <w:lang w:val="en-US"/>
        </w:rPr>
        <w:t>. London, Sage. Pp.</w:t>
      </w:r>
      <w:r w:rsidRPr="00C8424A">
        <w:rPr>
          <w:bCs/>
          <w:i/>
          <w:color w:val="000000" w:themeColor="text1"/>
          <w:lang w:val="en-US"/>
        </w:rPr>
        <w:t xml:space="preserve"> </w:t>
      </w:r>
      <w:r w:rsidRPr="00C8424A">
        <w:rPr>
          <w:bCs/>
          <w:color w:val="000000" w:themeColor="text1"/>
        </w:rPr>
        <w:t>9-27.</w:t>
      </w:r>
    </w:p>
    <w:p w14:paraId="4DD71EF1" w14:textId="77777777" w:rsidR="00817974" w:rsidRPr="00DC3B6B" w:rsidRDefault="00817974" w:rsidP="00817974">
      <w:pPr>
        <w:ind w:left="720" w:hanging="720"/>
        <w:rPr>
          <w:bCs/>
          <w:color w:val="000000" w:themeColor="text1"/>
        </w:rPr>
      </w:pPr>
      <w:r w:rsidRPr="00D067C1">
        <w:rPr>
          <w:bCs/>
          <w:color w:val="000000" w:themeColor="text1"/>
        </w:rPr>
        <w:t xml:space="preserve">McHoul, A. (1978). The organization of turns at formal talk in the classroom. </w:t>
      </w:r>
      <w:r w:rsidRPr="00D067C1">
        <w:rPr>
          <w:bCs/>
          <w:i/>
          <w:iCs/>
          <w:color w:val="000000" w:themeColor="text1"/>
        </w:rPr>
        <w:t>Language in Society</w:t>
      </w:r>
      <w:r w:rsidRPr="00D067C1">
        <w:rPr>
          <w:bCs/>
          <w:color w:val="000000" w:themeColor="text1"/>
        </w:rPr>
        <w:t xml:space="preserve">, 7, 183–213 </w:t>
      </w:r>
    </w:p>
    <w:p w14:paraId="50CAE269" w14:textId="77777777" w:rsidR="00817974" w:rsidRPr="00DC3B6B" w:rsidRDefault="00817974" w:rsidP="00817974">
      <w:pPr>
        <w:ind w:left="720" w:hanging="720"/>
        <w:rPr>
          <w:bCs/>
          <w:color w:val="000000" w:themeColor="text1"/>
        </w:rPr>
      </w:pPr>
      <w:proofErr w:type="spellStart"/>
      <w:r w:rsidRPr="00DC3B6B">
        <w:rPr>
          <w:bCs/>
          <w:color w:val="000000" w:themeColor="text1"/>
        </w:rPr>
        <w:t>Mehan</w:t>
      </w:r>
      <w:proofErr w:type="spellEnd"/>
      <w:r w:rsidRPr="00DC3B6B">
        <w:rPr>
          <w:bCs/>
          <w:color w:val="000000" w:themeColor="text1"/>
        </w:rPr>
        <w:t xml:space="preserve">, H., </w:t>
      </w:r>
      <w:proofErr w:type="spellStart"/>
      <w:r w:rsidRPr="00DC3B6B">
        <w:rPr>
          <w:bCs/>
          <w:color w:val="000000" w:themeColor="text1"/>
        </w:rPr>
        <w:t>Hertweck</w:t>
      </w:r>
      <w:proofErr w:type="spellEnd"/>
      <w:r w:rsidRPr="00DC3B6B">
        <w:rPr>
          <w:bCs/>
          <w:color w:val="000000" w:themeColor="text1"/>
        </w:rPr>
        <w:t xml:space="preserve">, A., and </w:t>
      </w:r>
      <w:proofErr w:type="spellStart"/>
      <w:r w:rsidRPr="00DC3B6B">
        <w:rPr>
          <w:bCs/>
          <w:color w:val="000000" w:themeColor="text1"/>
        </w:rPr>
        <w:t>Meihls</w:t>
      </w:r>
      <w:proofErr w:type="spellEnd"/>
      <w:r w:rsidRPr="00DC3B6B">
        <w:rPr>
          <w:bCs/>
          <w:color w:val="000000" w:themeColor="text1"/>
        </w:rPr>
        <w:t xml:space="preserve">. J.L. (1986) </w:t>
      </w:r>
      <w:r w:rsidRPr="00DC3B6B">
        <w:rPr>
          <w:bCs/>
          <w:i/>
          <w:iCs/>
          <w:color w:val="000000" w:themeColor="text1"/>
        </w:rPr>
        <w:t>Handicapping the Handicapped: Decision-Making in Students' Educational Careers.</w:t>
      </w:r>
      <w:r w:rsidRPr="00DC3B6B">
        <w:rPr>
          <w:bCs/>
          <w:color w:val="000000" w:themeColor="text1"/>
        </w:rPr>
        <w:t xml:space="preserve"> Stanford: Stanford University Press.</w:t>
      </w:r>
    </w:p>
    <w:p w14:paraId="125CAE57" w14:textId="77777777" w:rsidR="00817974" w:rsidRPr="00DC3B6B" w:rsidRDefault="00817974" w:rsidP="00817974">
      <w:pPr>
        <w:ind w:left="720" w:hanging="720"/>
        <w:rPr>
          <w:bCs/>
          <w:color w:val="000000" w:themeColor="text1"/>
        </w:rPr>
      </w:pPr>
      <w:r w:rsidRPr="009C4188">
        <w:rPr>
          <w:bCs/>
          <w:color w:val="000000" w:themeColor="text1"/>
        </w:rPr>
        <w:t xml:space="preserve">Merritt, M, (1980) ‘On the use of ‘OK’ in service </w:t>
      </w:r>
      <w:proofErr w:type="gramStart"/>
      <w:r w:rsidRPr="009C4188">
        <w:rPr>
          <w:bCs/>
          <w:color w:val="000000" w:themeColor="text1"/>
        </w:rPr>
        <w:t>encounters;,</w:t>
      </w:r>
      <w:proofErr w:type="gramEnd"/>
      <w:r w:rsidRPr="009C4188">
        <w:rPr>
          <w:bCs/>
          <w:color w:val="000000" w:themeColor="text1"/>
        </w:rPr>
        <w:t xml:space="preserve"> in R.W. </w:t>
      </w:r>
      <w:proofErr w:type="spellStart"/>
      <w:r w:rsidRPr="009C4188">
        <w:rPr>
          <w:bCs/>
          <w:color w:val="000000" w:themeColor="text1"/>
        </w:rPr>
        <w:t>Shuy</w:t>
      </w:r>
      <w:proofErr w:type="spellEnd"/>
      <w:r w:rsidRPr="009C4188">
        <w:rPr>
          <w:bCs/>
          <w:color w:val="000000" w:themeColor="text1"/>
        </w:rPr>
        <w:t xml:space="preserve"> and A. </w:t>
      </w:r>
      <w:proofErr w:type="spellStart"/>
      <w:r w:rsidRPr="009C4188">
        <w:rPr>
          <w:bCs/>
          <w:color w:val="000000" w:themeColor="text1"/>
        </w:rPr>
        <w:t>Shnukal</w:t>
      </w:r>
      <w:proofErr w:type="spellEnd"/>
      <w:r w:rsidRPr="009C4188">
        <w:rPr>
          <w:bCs/>
          <w:color w:val="000000" w:themeColor="text1"/>
        </w:rPr>
        <w:t xml:space="preserve">. (Eds.), </w:t>
      </w:r>
      <w:r w:rsidRPr="009C4188">
        <w:rPr>
          <w:bCs/>
          <w:i/>
          <w:iCs/>
          <w:color w:val="000000" w:themeColor="text1"/>
        </w:rPr>
        <w:t>Language Use and the Uses of Language</w:t>
      </w:r>
      <w:r w:rsidRPr="009C4188">
        <w:rPr>
          <w:bCs/>
          <w:color w:val="000000" w:themeColor="text1"/>
        </w:rPr>
        <w:t>. Georgetown University Press, Washington, DC, pp. 162–172.</w:t>
      </w:r>
    </w:p>
    <w:p w14:paraId="0898EB11" w14:textId="77777777" w:rsidR="00817974" w:rsidRPr="00DC3B6B" w:rsidRDefault="00817974" w:rsidP="00817974">
      <w:pPr>
        <w:ind w:left="720" w:hanging="720"/>
        <w:rPr>
          <w:b/>
          <w:bCs/>
          <w:color w:val="000000" w:themeColor="text1"/>
        </w:rPr>
      </w:pPr>
      <w:r w:rsidRPr="0046200F">
        <w:rPr>
          <w:bCs/>
          <w:color w:val="000000" w:themeColor="text1"/>
          <w:lang w:val="en-US"/>
        </w:rPr>
        <w:t xml:space="preserve">Nielsen, T.R., </w:t>
      </w:r>
      <w:proofErr w:type="spellStart"/>
      <w:r w:rsidRPr="0046200F">
        <w:rPr>
          <w:bCs/>
          <w:color w:val="000000" w:themeColor="text1"/>
          <w:lang w:val="en-US"/>
        </w:rPr>
        <w:t>Segers</w:t>
      </w:r>
      <w:proofErr w:type="spellEnd"/>
      <w:r w:rsidRPr="0046200F">
        <w:rPr>
          <w:bCs/>
          <w:color w:val="000000" w:themeColor="text1"/>
          <w:lang w:val="en-US"/>
        </w:rPr>
        <w:t xml:space="preserve">, K., </w:t>
      </w:r>
      <w:proofErr w:type="spellStart"/>
      <w:r w:rsidRPr="0046200F">
        <w:rPr>
          <w:bCs/>
          <w:color w:val="000000" w:themeColor="text1"/>
          <w:lang w:val="en-US"/>
        </w:rPr>
        <w:t>Vanderaspoilden</w:t>
      </w:r>
      <w:proofErr w:type="spellEnd"/>
      <w:r w:rsidRPr="0046200F">
        <w:rPr>
          <w:bCs/>
          <w:color w:val="000000" w:themeColor="text1"/>
          <w:lang w:val="en-US"/>
        </w:rPr>
        <w:t xml:space="preserve">, V., </w:t>
      </w:r>
      <w:proofErr w:type="spellStart"/>
      <w:r w:rsidRPr="0046200F">
        <w:rPr>
          <w:bCs/>
          <w:color w:val="000000" w:themeColor="text1"/>
          <w:lang w:val="en-US"/>
        </w:rPr>
        <w:t>Beinhoff</w:t>
      </w:r>
      <w:proofErr w:type="spellEnd"/>
      <w:r w:rsidRPr="0046200F">
        <w:rPr>
          <w:bCs/>
          <w:color w:val="000000" w:themeColor="text1"/>
          <w:lang w:val="en-US"/>
        </w:rPr>
        <w:t xml:space="preserve">, U., </w:t>
      </w:r>
      <w:proofErr w:type="spellStart"/>
      <w:r w:rsidRPr="0046200F">
        <w:rPr>
          <w:bCs/>
          <w:color w:val="000000" w:themeColor="text1"/>
          <w:lang w:val="en-US"/>
        </w:rPr>
        <w:t>Minthon</w:t>
      </w:r>
      <w:proofErr w:type="spellEnd"/>
      <w:r w:rsidRPr="0046200F">
        <w:rPr>
          <w:bCs/>
          <w:color w:val="000000" w:themeColor="text1"/>
          <w:lang w:val="en-US"/>
        </w:rPr>
        <w:t xml:space="preserve">, L., </w:t>
      </w:r>
      <w:proofErr w:type="spellStart"/>
      <w:r w:rsidRPr="0046200F">
        <w:rPr>
          <w:bCs/>
          <w:color w:val="000000" w:themeColor="text1"/>
          <w:lang w:val="en-US"/>
        </w:rPr>
        <w:t>Pissiota</w:t>
      </w:r>
      <w:proofErr w:type="spellEnd"/>
      <w:r w:rsidRPr="0046200F">
        <w:rPr>
          <w:bCs/>
          <w:color w:val="000000" w:themeColor="text1"/>
          <w:lang w:val="en-US"/>
        </w:rPr>
        <w:t xml:space="preserve">, A., </w:t>
      </w:r>
      <w:proofErr w:type="spellStart"/>
      <w:r w:rsidRPr="0046200F">
        <w:rPr>
          <w:bCs/>
          <w:color w:val="000000" w:themeColor="text1"/>
          <w:lang w:val="en-US"/>
        </w:rPr>
        <w:t>Bekkhus-Wetterberg</w:t>
      </w:r>
      <w:proofErr w:type="spellEnd"/>
      <w:r w:rsidRPr="0046200F">
        <w:rPr>
          <w:bCs/>
          <w:color w:val="000000" w:themeColor="text1"/>
          <w:lang w:val="en-US"/>
        </w:rPr>
        <w:t xml:space="preserve">, P., </w:t>
      </w:r>
      <w:proofErr w:type="spellStart"/>
      <w:r w:rsidRPr="0046200F">
        <w:rPr>
          <w:bCs/>
          <w:color w:val="000000" w:themeColor="text1"/>
          <w:lang w:val="en-US"/>
        </w:rPr>
        <w:t>Bjørkløf</w:t>
      </w:r>
      <w:proofErr w:type="spellEnd"/>
      <w:r w:rsidRPr="0046200F">
        <w:rPr>
          <w:bCs/>
          <w:color w:val="000000" w:themeColor="text1"/>
          <w:lang w:val="en-US"/>
        </w:rPr>
        <w:t xml:space="preserve">, G.H., </w:t>
      </w:r>
      <w:proofErr w:type="spellStart"/>
      <w:r w:rsidRPr="0046200F">
        <w:rPr>
          <w:bCs/>
          <w:color w:val="000000" w:themeColor="text1"/>
          <w:lang w:val="en-US"/>
        </w:rPr>
        <w:t>Tsolaki</w:t>
      </w:r>
      <w:proofErr w:type="spellEnd"/>
      <w:r w:rsidRPr="0046200F">
        <w:rPr>
          <w:bCs/>
          <w:color w:val="000000" w:themeColor="text1"/>
          <w:lang w:val="en-US"/>
        </w:rPr>
        <w:t xml:space="preserve">, M., </w:t>
      </w:r>
      <w:proofErr w:type="spellStart"/>
      <w:r w:rsidRPr="0046200F">
        <w:rPr>
          <w:bCs/>
          <w:color w:val="000000" w:themeColor="text1"/>
          <w:lang w:val="en-US"/>
        </w:rPr>
        <w:t>Gkioka</w:t>
      </w:r>
      <w:proofErr w:type="spellEnd"/>
      <w:r w:rsidRPr="0046200F">
        <w:rPr>
          <w:bCs/>
          <w:color w:val="000000" w:themeColor="text1"/>
          <w:lang w:val="en-US"/>
        </w:rPr>
        <w:t xml:space="preserve">, M., Waldemar, G. (2019) </w:t>
      </w:r>
      <w:r w:rsidRPr="0046200F">
        <w:rPr>
          <w:color w:val="000000" w:themeColor="text1"/>
        </w:rPr>
        <w:t>Validation of a brief Multicultural Cognitive Examination (MCE) for evaluation of dementia. International Journal of Geriatric Psychiatry, 34(7):982-989</w:t>
      </w:r>
    </w:p>
    <w:p w14:paraId="6D7EAC23" w14:textId="77777777" w:rsidR="00817974" w:rsidRPr="00DC3B6B" w:rsidRDefault="00817974" w:rsidP="00817974">
      <w:pPr>
        <w:ind w:left="720" w:hanging="720"/>
        <w:rPr>
          <w:bCs/>
          <w:color w:val="000000" w:themeColor="text1"/>
        </w:rPr>
      </w:pPr>
      <w:proofErr w:type="spellStart"/>
      <w:r w:rsidRPr="0002249B">
        <w:rPr>
          <w:rFonts w:eastAsia="Arial"/>
          <w:bCs/>
          <w:color w:val="000000" w:themeColor="text1"/>
        </w:rPr>
        <w:t>Panegyres</w:t>
      </w:r>
      <w:proofErr w:type="spellEnd"/>
      <w:r w:rsidRPr="0002249B">
        <w:rPr>
          <w:rFonts w:eastAsia="Arial"/>
          <w:bCs/>
          <w:color w:val="000000" w:themeColor="text1"/>
        </w:rPr>
        <w:t xml:space="preserve">, P.K., Berry, R. and Burchell, J., </w:t>
      </w:r>
      <w:r w:rsidRPr="00DC3B6B">
        <w:rPr>
          <w:bCs/>
          <w:color w:val="000000" w:themeColor="text1"/>
        </w:rPr>
        <w:t>(</w:t>
      </w:r>
      <w:r w:rsidRPr="0002249B">
        <w:rPr>
          <w:rFonts w:eastAsia="Arial"/>
          <w:bCs/>
          <w:color w:val="000000" w:themeColor="text1"/>
        </w:rPr>
        <w:t>2016</w:t>
      </w:r>
      <w:r w:rsidRPr="00DC3B6B">
        <w:rPr>
          <w:bCs/>
          <w:color w:val="000000" w:themeColor="text1"/>
        </w:rPr>
        <w:t>)</w:t>
      </w:r>
      <w:r w:rsidRPr="0002249B">
        <w:rPr>
          <w:rFonts w:eastAsia="Arial"/>
          <w:bCs/>
          <w:color w:val="000000" w:themeColor="text1"/>
        </w:rPr>
        <w:t xml:space="preserve"> Early dementia screening. </w:t>
      </w:r>
      <w:r w:rsidRPr="0002249B">
        <w:rPr>
          <w:rFonts w:eastAsia="Arial"/>
          <w:bCs/>
          <w:i/>
          <w:iCs/>
          <w:color w:val="000000" w:themeColor="text1"/>
        </w:rPr>
        <w:t>Diagnostics</w:t>
      </w:r>
      <w:r w:rsidRPr="0002249B">
        <w:rPr>
          <w:rFonts w:eastAsia="Arial"/>
          <w:bCs/>
          <w:color w:val="000000" w:themeColor="text1"/>
        </w:rPr>
        <w:t>, 6(1)</w:t>
      </w:r>
      <w:r w:rsidRPr="00DC3B6B">
        <w:rPr>
          <w:bCs/>
          <w:color w:val="000000" w:themeColor="text1"/>
        </w:rPr>
        <w:t>:</w:t>
      </w:r>
      <w:r w:rsidRPr="0002249B">
        <w:rPr>
          <w:rFonts w:eastAsia="Arial"/>
          <w:bCs/>
          <w:color w:val="000000" w:themeColor="text1"/>
        </w:rPr>
        <w:t>6</w:t>
      </w:r>
    </w:p>
    <w:p w14:paraId="2F9EA710" w14:textId="77777777" w:rsidR="00817974" w:rsidRPr="00DC3B6B" w:rsidRDefault="00817974" w:rsidP="00817974">
      <w:pPr>
        <w:ind w:left="720" w:hanging="720"/>
        <w:rPr>
          <w:bCs/>
          <w:color w:val="000000" w:themeColor="text1"/>
          <w:lang w:val="en-US"/>
        </w:rPr>
      </w:pPr>
      <w:r w:rsidRPr="00FC1E00">
        <w:rPr>
          <w:bCs/>
          <w:color w:val="000000" w:themeColor="text1"/>
          <w:lang w:val="en-US"/>
        </w:rPr>
        <w:t xml:space="preserve">Pennington, C., Newson, M., </w:t>
      </w:r>
      <w:proofErr w:type="spellStart"/>
      <w:r w:rsidRPr="00FC1E00">
        <w:rPr>
          <w:bCs/>
          <w:color w:val="000000" w:themeColor="text1"/>
          <w:lang w:val="en-US"/>
        </w:rPr>
        <w:t>Hayre</w:t>
      </w:r>
      <w:proofErr w:type="spellEnd"/>
      <w:r w:rsidRPr="00FC1E00">
        <w:rPr>
          <w:bCs/>
          <w:color w:val="000000" w:themeColor="text1"/>
          <w:lang w:val="en-US"/>
        </w:rPr>
        <w:t xml:space="preserve">, M., </w:t>
      </w:r>
      <w:proofErr w:type="spellStart"/>
      <w:r w:rsidRPr="00FC1E00">
        <w:rPr>
          <w:bCs/>
          <w:color w:val="000000" w:themeColor="text1"/>
          <w:lang w:val="en-US"/>
        </w:rPr>
        <w:t>Coulthard</w:t>
      </w:r>
      <w:proofErr w:type="spellEnd"/>
      <w:r w:rsidRPr="00FC1E00">
        <w:rPr>
          <w:bCs/>
          <w:color w:val="000000" w:themeColor="text1"/>
          <w:lang w:val="en-US"/>
        </w:rPr>
        <w:t xml:space="preserve">, E. (2015) Functional cognitive disorder: what is it and what to do about it? </w:t>
      </w:r>
      <w:r w:rsidRPr="00FC1E00">
        <w:rPr>
          <w:bCs/>
          <w:i/>
          <w:iCs/>
          <w:color w:val="000000" w:themeColor="text1"/>
          <w:lang w:val="en-US"/>
        </w:rPr>
        <w:t>Practical neurology</w:t>
      </w:r>
      <w:r w:rsidRPr="00FC1E00">
        <w:rPr>
          <w:bCs/>
          <w:color w:val="000000" w:themeColor="text1"/>
          <w:lang w:val="en-US"/>
        </w:rPr>
        <w:t xml:space="preserve">, 15(6): </w:t>
      </w:r>
      <w:r w:rsidRPr="00FC1E00">
        <w:rPr>
          <w:bCs/>
          <w:color w:val="000000" w:themeColor="text1"/>
        </w:rPr>
        <w:t>407-407</w:t>
      </w:r>
    </w:p>
    <w:p w14:paraId="747BDD76" w14:textId="4A8A73D8" w:rsidR="00817974" w:rsidRPr="00DC3B6B" w:rsidRDefault="00817974" w:rsidP="00817974">
      <w:pPr>
        <w:ind w:left="720" w:hanging="720"/>
        <w:rPr>
          <w:bCs/>
          <w:color w:val="000000" w:themeColor="text1"/>
        </w:rPr>
      </w:pPr>
      <w:proofErr w:type="spellStart"/>
      <w:r w:rsidRPr="00DC3B6B">
        <w:rPr>
          <w:bCs/>
          <w:color w:val="000000" w:themeColor="text1"/>
        </w:rPr>
        <w:t>Per</w:t>
      </w:r>
      <w:r w:rsidR="004A075E">
        <w:rPr>
          <w:bCs/>
          <w:color w:val="000000" w:themeColor="text1"/>
        </w:rPr>
        <w:t>ä</w:t>
      </w:r>
      <w:r w:rsidRPr="00DC3B6B">
        <w:rPr>
          <w:bCs/>
          <w:color w:val="000000" w:themeColor="text1"/>
        </w:rPr>
        <w:t>kyl</w:t>
      </w:r>
      <w:r w:rsidR="004A075E">
        <w:rPr>
          <w:bCs/>
          <w:color w:val="000000" w:themeColor="text1"/>
        </w:rPr>
        <w:t>ä</w:t>
      </w:r>
      <w:proofErr w:type="spellEnd"/>
      <w:r w:rsidRPr="00DC3B6B">
        <w:rPr>
          <w:bCs/>
          <w:color w:val="000000" w:themeColor="text1"/>
        </w:rPr>
        <w:t xml:space="preserve">, A. (1998) Authority and accountability: The delivery of diagnosis in primary health care. </w:t>
      </w:r>
      <w:r w:rsidRPr="00DC3B6B">
        <w:rPr>
          <w:bCs/>
          <w:i/>
          <w:color w:val="000000" w:themeColor="text1"/>
        </w:rPr>
        <w:t>Social Psychology Quarterly</w:t>
      </w:r>
      <w:r w:rsidRPr="00DC3B6B">
        <w:rPr>
          <w:bCs/>
          <w:color w:val="000000" w:themeColor="text1"/>
        </w:rPr>
        <w:t xml:space="preserve">, 61, 342. </w:t>
      </w:r>
    </w:p>
    <w:p w14:paraId="4EEBF11A" w14:textId="77777777" w:rsidR="00817974" w:rsidRPr="00F675C5" w:rsidRDefault="00817974" w:rsidP="00817974">
      <w:pPr>
        <w:ind w:left="720" w:hanging="720"/>
        <w:rPr>
          <w:bCs/>
          <w:color w:val="000000" w:themeColor="text1"/>
        </w:rPr>
      </w:pPr>
      <w:r w:rsidRPr="00DC3B6B">
        <w:rPr>
          <w:rFonts w:eastAsia="Arial"/>
          <w:bCs/>
          <w:color w:val="000000" w:themeColor="text1"/>
        </w:rPr>
        <w:t>Pond, C. D., Mate, K. E., Phillips, J., Stocks, N. P., </w:t>
      </w:r>
      <w:proofErr w:type="spellStart"/>
      <w:r w:rsidRPr="00DC3B6B">
        <w:rPr>
          <w:rFonts w:eastAsia="Arial"/>
          <w:bCs/>
          <w:color w:val="000000" w:themeColor="text1"/>
        </w:rPr>
        <w:t>Magin</w:t>
      </w:r>
      <w:proofErr w:type="spellEnd"/>
      <w:r w:rsidRPr="00DC3B6B">
        <w:rPr>
          <w:rFonts w:eastAsia="Arial"/>
          <w:bCs/>
          <w:color w:val="000000" w:themeColor="text1"/>
        </w:rPr>
        <w:t>, P. J., Weaver, N., &amp; </w:t>
      </w:r>
      <w:proofErr w:type="spellStart"/>
      <w:r w:rsidRPr="00DC3B6B">
        <w:rPr>
          <w:rFonts w:eastAsia="Arial"/>
          <w:bCs/>
          <w:color w:val="000000" w:themeColor="text1"/>
        </w:rPr>
        <w:t>Brodaty</w:t>
      </w:r>
      <w:proofErr w:type="spellEnd"/>
      <w:r w:rsidRPr="00DC3B6B">
        <w:rPr>
          <w:rFonts w:eastAsia="Arial"/>
          <w:bCs/>
          <w:color w:val="000000" w:themeColor="text1"/>
        </w:rPr>
        <w:t>, H. (2013). Predictors of agreement between general practitioner detection of dementia and the revised Cambridge Cognitive Assessment (CAMCOG-R). </w:t>
      </w:r>
      <w:r w:rsidRPr="00DC3B6B">
        <w:rPr>
          <w:rFonts w:eastAsia="Arial"/>
          <w:bCs/>
          <w:i/>
          <w:iCs/>
          <w:color w:val="000000" w:themeColor="text1"/>
        </w:rPr>
        <w:t>International Psychogeriatrics</w:t>
      </w:r>
      <w:r w:rsidRPr="00DC3B6B">
        <w:rPr>
          <w:rFonts w:eastAsia="Arial"/>
          <w:bCs/>
          <w:color w:val="000000" w:themeColor="text1"/>
        </w:rPr>
        <w:t>, 25(10)</w:t>
      </w:r>
      <w:r w:rsidRPr="00DC3B6B">
        <w:rPr>
          <w:bCs/>
          <w:color w:val="000000" w:themeColor="text1"/>
        </w:rPr>
        <w:t>:</w:t>
      </w:r>
      <w:r w:rsidRPr="00DC3B6B">
        <w:rPr>
          <w:rFonts w:eastAsia="Arial"/>
          <w:bCs/>
          <w:color w:val="000000" w:themeColor="text1"/>
        </w:rPr>
        <w:t> 1639–1647. doi:10.1017/S1041610213000884 </w:t>
      </w:r>
    </w:p>
    <w:p w14:paraId="4C8D4863" w14:textId="77777777" w:rsidR="00817974" w:rsidRPr="00DC3B6B" w:rsidRDefault="00817974" w:rsidP="00817974">
      <w:pPr>
        <w:ind w:left="720" w:hanging="720"/>
        <w:rPr>
          <w:bCs/>
          <w:color w:val="000000" w:themeColor="text1"/>
        </w:rPr>
      </w:pPr>
      <w:r w:rsidRPr="00F675C5">
        <w:rPr>
          <w:bCs/>
          <w:color w:val="000000" w:themeColor="text1"/>
        </w:rPr>
        <w:t xml:space="preserve">Raymond. G. (2003) Grammar and Social Organization: Yes/No Interrogatives and the Structure of Responding. </w:t>
      </w:r>
      <w:r w:rsidRPr="00F675C5">
        <w:rPr>
          <w:bCs/>
          <w:i/>
          <w:iCs/>
          <w:color w:val="000000" w:themeColor="text1"/>
        </w:rPr>
        <w:t>American Sociological Review</w:t>
      </w:r>
      <w:r w:rsidRPr="00F675C5">
        <w:rPr>
          <w:bCs/>
          <w:color w:val="000000" w:themeColor="text1"/>
        </w:rPr>
        <w:t>, 68(6):939-967</w:t>
      </w:r>
    </w:p>
    <w:p w14:paraId="631EE4EA" w14:textId="77777777" w:rsidR="00817974" w:rsidRPr="00DC3B6B" w:rsidRDefault="00817974" w:rsidP="00817974">
      <w:pPr>
        <w:ind w:left="720" w:hanging="720"/>
        <w:rPr>
          <w:bCs/>
          <w:i/>
          <w:color w:val="000000" w:themeColor="text1"/>
        </w:rPr>
      </w:pPr>
      <w:proofErr w:type="spellStart"/>
      <w:r w:rsidRPr="00DC3B6B">
        <w:rPr>
          <w:bCs/>
          <w:color w:val="000000" w:themeColor="text1"/>
        </w:rPr>
        <w:t>Reuber</w:t>
      </w:r>
      <w:proofErr w:type="spellEnd"/>
      <w:r w:rsidRPr="00DC3B6B">
        <w:rPr>
          <w:bCs/>
          <w:color w:val="000000" w:themeColor="text1"/>
        </w:rPr>
        <w:t>, M.</w:t>
      </w:r>
      <w:r w:rsidRPr="00DC3B6B">
        <w:rPr>
          <w:bCs/>
          <w:color w:val="000000" w:themeColor="text1"/>
          <w:lang w:val="nl-NL"/>
        </w:rPr>
        <w:t xml:space="preserve">, </w:t>
      </w:r>
      <w:r w:rsidRPr="00DC3B6B">
        <w:rPr>
          <w:bCs/>
          <w:color w:val="000000" w:themeColor="text1"/>
        </w:rPr>
        <w:t>Blackburn, D., Elsey, C.,</w:t>
      </w:r>
      <w:r w:rsidRPr="00DC3B6B">
        <w:rPr>
          <w:bCs/>
          <w:color w:val="000000" w:themeColor="text1"/>
          <w:lang w:val="nl-NL"/>
        </w:rPr>
        <w:t xml:space="preserve"> </w:t>
      </w:r>
      <w:r w:rsidRPr="00DC3B6B">
        <w:rPr>
          <w:bCs/>
          <w:color w:val="000000" w:themeColor="text1"/>
        </w:rPr>
        <w:t xml:space="preserve">Wakefield, S., </w:t>
      </w:r>
      <w:proofErr w:type="spellStart"/>
      <w:r w:rsidRPr="00DC3B6B">
        <w:rPr>
          <w:bCs/>
          <w:color w:val="000000" w:themeColor="text1"/>
          <w:lang w:val="nl-NL"/>
        </w:rPr>
        <w:t>Ardern</w:t>
      </w:r>
      <w:proofErr w:type="spellEnd"/>
      <w:r w:rsidRPr="00DC3B6B">
        <w:rPr>
          <w:bCs/>
          <w:color w:val="000000" w:themeColor="text1"/>
          <w:lang w:val="nl-NL"/>
        </w:rPr>
        <w:t>, K.,</w:t>
      </w:r>
      <w:r w:rsidRPr="00DC3B6B">
        <w:rPr>
          <w:bCs/>
          <w:color w:val="000000" w:themeColor="text1"/>
        </w:rPr>
        <w:t xml:space="preserve"> Harkness, K</w:t>
      </w:r>
      <w:r w:rsidRPr="00DC3B6B">
        <w:rPr>
          <w:bCs/>
          <w:color w:val="000000" w:themeColor="text1"/>
          <w:lang w:val="nl-NL"/>
        </w:rPr>
        <w:t xml:space="preserve">., </w:t>
      </w:r>
      <w:proofErr w:type="spellStart"/>
      <w:r w:rsidRPr="00DC3B6B">
        <w:rPr>
          <w:bCs/>
          <w:color w:val="000000" w:themeColor="text1"/>
          <w:lang w:val="nl-NL"/>
        </w:rPr>
        <w:t>Venneri</w:t>
      </w:r>
      <w:proofErr w:type="spellEnd"/>
      <w:r w:rsidRPr="00DC3B6B">
        <w:rPr>
          <w:bCs/>
          <w:color w:val="000000" w:themeColor="text1"/>
          <w:lang w:val="nl-NL"/>
        </w:rPr>
        <w:t>, A.,</w:t>
      </w:r>
      <w:r w:rsidRPr="00DC3B6B">
        <w:rPr>
          <w:bCs/>
          <w:color w:val="000000" w:themeColor="text1"/>
        </w:rPr>
        <w:t xml:space="preserve"> Jones, D., </w:t>
      </w:r>
      <w:r w:rsidRPr="00DC3B6B">
        <w:rPr>
          <w:bCs/>
          <w:color w:val="000000" w:themeColor="text1"/>
          <w:lang w:val="nl-NL"/>
        </w:rPr>
        <w:t>Shaw, C., Drew, P. (2018</w:t>
      </w:r>
      <w:r w:rsidRPr="00DC3B6B">
        <w:rPr>
          <w:bCs/>
          <w:color w:val="000000" w:themeColor="text1"/>
        </w:rPr>
        <w:t xml:space="preserve">) </w:t>
      </w:r>
      <w:r w:rsidRPr="00DC3B6B">
        <w:rPr>
          <w:bCs/>
          <w:color w:val="000000" w:themeColor="text1"/>
          <w:lang w:val="nl-NL"/>
        </w:rPr>
        <w:t xml:space="preserve">An </w:t>
      </w:r>
      <w:proofErr w:type="spellStart"/>
      <w:r w:rsidRPr="00DC3B6B">
        <w:rPr>
          <w:bCs/>
          <w:color w:val="000000" w:themeColor="text1"/>
          <w:lang w:val="nl-NL"/>
        </w:rPr>
        <w:t>interactional</w:t>
      </w:r>
      <w:proofErr w:type="spellEnd"/>
      <w:r w:rsidRPr="00DC3B6B">
        <w:rPr>
          <w:bCs/>
          <w:color w:val="000000" w:themeColor="text1"/>
          <w:lang w:val="nl-NL"/>
        </w:rPr>
        <w:t xml:space="preserve"> profile </w:t>
      </w:r>
      <w:proofErr w:type="spellStart"/>
      <w:r w:rsidRPr="00DC3B6B">
        <w:rPr>
          <w:bCs/>
          <w:color w:val="000000" w:themeColor="text1"/>
          <w:lang w:val="nl-NL"/>
        </w:rPr>
        <w:t>to</w:t>
      </w:r>
      <w:proofErr w:type="spellEnd"/>
      <w:r w:rsidRPr="00DC3B6B">
        <w:rPr>
          <w:bCs/>
          <w:color w:val="000000" w:themeColor="text1"/>
          <w:lang w:val="nl-NL"/>
        </w:rPr>
        <w:t xml:space="preserve"> assist </w:t>
      </w:r>
      <w:proofErr w:type="spellStart"/>
      <w:r w:rsidRPr="00DC3B6B">
        <w:rPr>
          <w:bCs/>
          <w:color w:val="000000" w:themeColor="text1"/>
          <w:lang w:val="nl-NL"/>
        </w:rPr>
        <w:t>the</w:t>
      </w:r>
      <w:proofErr w:type="spellEnd"/>
      <w:r w:rsidRPr="00DC3B6B">
        <w:rPr>
          <w:bCs/>
          <w:color w:val="000000" w:themeColor="text1"/>
          <w:lang w:val="nl-NL"/>
        </w:rPr>
        <w:t xml:space="preserve"> </w:t>
      </w:r>
      <w:proofErr w:type="spellStart"/>
      <w:r w:rsidRPr="00DC3B6B">
        <w:rPr>
          <w:bCs/>
          <w:color w:val="000000" w:themeColor="text1"/>
          <w:lang w:val="nl-NL"/>
        </w:rPr>
        <w:t>differential</w:t>
      </w:r>
      <w:proofErr w:type="spellEnd"/>
      <w:r w:rsidRPr="00DC3B6B">
        <w:rPr>
          <w:bCs/>
          <w:color w:val="000000" w:themeColor="text1"/>
          <w:lang w:val="nl-NL"/>
        </w:rPr>
        <w:t xml:space="preserve"> diagnosis of </w:t>
      </w:r>
      <w:proofErr w:type="spellStart"/>
      <w:r w:rsidRPr="00DC3B6B">
        <w:rPr>
          <w:bCs/>
          <w:color w:val="000000" w:themeColor="text1"/>
          <w:lang w:val="nl-NL"/>
        </w:rPr>
        <w:t>neurodegenerative</w:t>
      </w:r>
      <w:proofErr w:type="spellEnd"/>
      <w:r w:rsidRPr="00DC3B6B">
        <w:rPr>
          <w:bCs/>
          <w:color w:val="000000" w:themeColor="text1"/>
          <w:lang w:val="nl-NL"/>
        </w:rPr>
        <w:t xml:space="preserve"> </w:t>
      </w:r>
      <w:proofErr w:type="spellStart"/>
      <w:r w:rsidRPr="00DC3B6B">
        <w:rPr>
          <w:bCs/>
          <w:color w:val="000000" w:themeColor="text1"/>
          <w:lang w:val="nl-NL"/>
        </w:rPr>
        <w:t>and</w:t>
      </w:r>
      <w:proofErr w:type="spellEnd"/>
      <w:r w:rsidRPr="00DC3B6B">
        <w:rPr>
          <w:bCs/>
          <w:color w:val="000000" w:themeColor="text1"/>
          <w:lang w:val="nl-NL"/>
        </w:rPr>
        <w:t xml:space="preserve"> </w:t>
      </w:r>
      <w:proofErr w:type="spellStart"/>
      <w:r w:rsidRPr="00DC3B6B">
        <w:rPr>
          <w:bCs/>
          <w:color w:val="000000" w:themeColor="text1"/>
          <w:lang w:val="nl-NL"/>
        </w:rPr>
        <w:t>functional</w:t>
      </w:r>
      <w:proofErr w:type="spellEnd"/>
      <w:r w:rsidRPr="00DC3B6B">
        <w:rPr>
          <w:bCs/>
          <w:color w:val="000000" w:themeColor="text1"/>
          <w:lang w:val="nl-NL"/>
        </w:rPr>
        <w:t xml:space="preserve"> memory disorders. </w:t>
      </w:r>
      <w:r w:rsidRPr="00DC3B6B">
        <w:rPr>
          <w:bCs/>
          <w:i/>
          <w:color w:val="000000" w:themeColor="text1"/>
          <w:lang w:val="nl-NL"/>
        </w:rPr>
        <w:t xml:space="preserve">Alzheimer </w:t>
      </w:r>
      <w:proofErr w:type="spellStart"/>
      <w:r w:rsidRPr="00DC3B6B">
        <w:rPr>
          <w:bCs/>
          <w:i/>
          <w:color w:val="000000" w:themeColor="text1"/>
          <w:lang w:val="nl-NL"/>
        </w:rPr>
        <w:t>Disease</w:t>
      </w:r>
      <w:proofErr w:type="spellEnd"/>
      <w:r w:rsidRPr="00DC3B6B">
        <w:rPr>
          <w:bCs/>
          <w:i/>
          <w:color w:val="000000" w:themeColor="text1"/>
          <w:lang w:val="nl-NL"/>
        </w:rPr>
        <w:t xml:space="preserve"> &amp; </w:t>
      </w:r>
      <w:proofErr w:type="spellStart"/>
      <w:r w:rsidRPr="00DC3B6B">
        <w:rPr>
          <w:bCs/>
          <w:i/>
          <w:color w:val="000000" w:themeColor="text1"/>
          <w:lang w:val="nl-NL"/>
        </w:rPr>
        <w:t>Associated</w:t>
      </w:r>
      <w:proofErr w:type="spellEnd"/>
      <w:r w:rsidRPr="00DC3B6B">
        <w:rPr>
          <w:bCs/>
          <w:i/>
          <w:color w:val="000000" w:themeColor="text1"/>
          <w:lang w:val="nl-NL"/>
        </w:rPr>
        <w:t xml:space="preserve"> Disorders: An International Journal. </w:t>
      </w:r>
      <w:r w:rsidRPr="00DC3B6B">
        <w:rPr>
          <w:bCs/>
          <w:color w:val="000000" w:themeColor="text1"/>
        </w:rPr>
        <w:t>32(3):197-206.</w:t>
      </w:r>
    </w:p>
    <w:p w14:paraId="3340D4E0" w14:textId="77777777" w:rsidR="00817974" w:rsidRPr="00DC3B6B" w:rsidRDefault="00817974" w:rsidP="00817974">
      <w:pPr>
        <w:ind w:left="720" w:hanging="720"/>
        <w:rPr>
          <w:bCs/>
          <w:color w:val="000000" w:themeColor="text1"/>
        </w:rPr>
      </w:pPr>
      <w:proofErr w:type="spellStart"/>
      <w:r w:rsidRPr="00DC3B6B">
        <w:rPr>
          <w:bCs/>
          <w:color w:val="000000" w:themeColor="text1"/>
        </w:rPr>
        <w:lastRenderedPageBreak/>
        <w:t>Reuber</w:t>
      </w:r>
      <w:proofErr w:type="spellEnd"/>
      <w:r w:rsidRPr="00DC3B6B">
        <w:rPr>
          <w:bCs/>
          <w:color w:val="000000" w:themeColor="text1"/>
        </w:rPr>
        <w:t xml:space="preserve">, M., </w:t>
      </w:r>
      <w:proofErr w:type="spellStart"/>
      <w:r w:rsidRPr="00DC3B6B">
        <w:rPr>
          <w:bCs/>
          <w:color w:val="000000" w:themeColor="text1"/>
        </w:rPr>
        <w:t>Monzoni</w:t>
      </w:r>
      <w:proofErr w:type="spellEnd"/>
      <w:r w:rsidRPr="00DC3B6B">
        <w:rPr>
          <w:bCs/>
          <w:color w:val="000000" w:themeColor="text1"/>
        </w:rPr>
        <w:t xml:space="preserve">, C., </w:t>
      </w:r>
      <w:proofErr w:type="spellStart"/>
      <w:r w:rsidRPr="00DC3B6B">
        <w:rPr>
          <w:bCs/>
          <w:color w:val="000000" w:themeColor="text1"/>
        </w:rPr>
        <w:t>Sharrack</w:t>
      </w:r>
      <w:proofErr w:type="spellEnd"/>
      <w:r w:rsidRPr="00DC3B6B">
        <w:rPr>
          <w:bCs/>
          <w:color w:val="000000" w:themeColor="text1"/>
        </w:rPr>
        <w:t xml:space="preserve">, B., &amp; Plug, L (2009) Using interactional and linguistic analysis to distinguish between epileptic and psychogenic nonepileptic seizures: A prospective, blinded </w:t>
      </w:r>
      <w:proofErr w:type="spellStart"/>
      <w:r w:rsidRPr="00DC3B6B">
        <w:rPr>
          <w:bCs/>
          <w:color w:val="000000" w:themeColor="text1"/>
        </w:rPr>
        <w:t>multirater</w:t>
      </w:r>
      <w:proofErr w:type="spellEnd"/>
      <w:r w:rsidRPr="00DC3B6B">
        <w:rPr>
          <w:bCs/>
          <w:color w:val="000000" w:themeColor="text1"/>
        </w:rPr>
        <w:t xml:space="preserve"> study. </w:t>
      </w:r>
      <w:r w:rsidRPr="00DC3B6B">
        <w:rPr>
          <w:bCs/>
          <w:i/>
          <w:color w:val="000000" w:themeColor="text1"/>
        </w:rPr>
        <w:t xml:space="preserve">Epilepsy &amp; </w:t>
      </w:r>
      <w:proofErr w:type="spellStart"/>
      <w:r w:rsidRPr="00DC3B6B">
        <w:rPr>
          <w:bCs/>
          <w:i/>
          <w:color w:val="000000" w:themeColor="text1"/>
        </w:rPr>
        <w:t>Behavior</w:t>
      </w:r>
      <w:proofErr w:type="spellEnd"/>
      <w:r w:rsidRPr="00DC3B6B">
        <w:rPr>
          <w:bCs/>
          <w:color w:val="000000" w:themeColor="text1"/>
        </w:rPr>
        <w:t xml:space="preserve">, 16: 139-144. </w:t>
      </w:r>
    </w:p>
    <w:p w14:paraId="5933767B" w14:textId="77777777" w:rsidR="00817974" w:rsidRPr="00DC3B6B" w:rsidRDefault="00817974" w:rsidP="00817974">
      <w:pPr>
        <w:ind w:left="720" w:hanging="720"/>
        <w:rPr>
          <w:bCs/>
          <w:color w:val="000000" w:themeColor="text1"/>
        </w:rPr>
      </w:pPr>
      <w:r w:rsidRPr="00DC3B6B">
        <w:rPr>
          <w:bCs/>
          <w:color w:val="000000" w:themeColor="text1"/>
        </w:rPr>
        <w:t>Robinson, J. D., &amp; Heritage, J. (2014) Intervening with conversation analysis: The case of medicine. </w:t>
      </w:r>
      <w:r w:rsidRPr="00DC3B6B">
        <w:rPr>
          <w:bCs/>
          <w:i/>
          <w:iCs/>
          <w:color w:val="000000" w:themeColor="text1"/>
        </w:rPr>
        <w:t>Research on Language and Social Interaction</w:t>
      </w:r>
      <w:r w:rsidRPr="00DC3B6B">
        <w:rPr>
          <w:bCs/>
          <w:color w:val="000000" w:themeColor="text1"/>
        </w:rPr>
        <w:t>, </w:t>
      </w:r>
      <w:r w:rsidRPr="00DC3B6B">
        <w:rPr>
          <w:bCs/>
          <w:i/>
          <w:iCs/>
          <w:color w:val="000000" w:themeColor="text1"/>
        </w:rPr>
        <w:t xml:space="preserve">47 </w:t>
      </w:r>
      <w:r w:rsidRPr="00DC3B6B">
        <w:rPr>
          <w:bCs/>
          <w:color w:val="000000" w:themeColor="text1"/>
        </w:rPr>
        <w:t>(3): 201-218.</w:t>
      </w:r>
    </w:p>
    <w:p w14:paraId="2655361C" w14:textId="77777777" w:rsidR="00817974" w:rsidRPr="00DC3B6B" w:rsidRDefault="00817974" w:rsidP="00817974">
      <w:pPr>
        <w:ind w:left="720" w:hanging="720"/>
        <w:rPr>
          <w:bCs/>
          <w:color w:val="000000" w:themeColor="text1"/>
        </w:rPr>
      </w:pPr>
      <w:r w:rsidRPr="00DC3B6B">
        <w:rPr>
          <w:bCs/>
          <w:color w:val="000000" w:themeColor="text1"/>
        </w:rPr>
        <w:t xml:space="preserve">Sacks, H. (1992). </w:t>
      </w:r>
      <w:r w:rsidRPr="00DC3B6B">
        <w:rPr>
          <w:bCs/>
          <w:i/>
          <w:iCs/>
          <w:color w:val="000000" w:themeColor="text1"/>
        </w:rPr>
        <w:t xml:space="preserve">Lectures on conversation </w:t>
      </w:r>
      <w:r w:rsidRPr="00DC3B6B">
        <w:rPr>
          <w:bCs/>
          <w:color w:val="000000" w:themeColor="text1"/>
        </w:rPr>
        <w:t xml:space="preserve">(Vol. II, G. Jefferson, Ed.). Oxford, England: Blackwell. </w:t>
      </w:r>
    </w:p>
    <w:p w14:paraId="2E099974" w14:textId="77777777" w:rsidR="00817974" w:rsidRPr="00DC3B6B" w:rsidRDefault="00817974" w:rsidP="00817974">
      <w:pPr>
        <w:ind w:left="720" w:hanging="720"/>
        <w:rPr>
          <w:bCs/>
          <w:color w:val="000000" w:themeColor="text1"/>
        </w:rPr>
      </w:pPr>
      <w:proofErr w:type="spellStart"/>
      <w:r w:rsidRPr="00C4260D">
        <w:rPr>
          <w:bCs/>
          <w:color w:val="000000" w:themeColor="text1"/>
        </w:rPr>
        <w:t>Schegloff</w:t>
      </w:r>
      <w:proofErr w:type="spellEnd"/>
      <w:r w:rsidRPr="00C4260D">
        <w:rPr>
          <w:bCs/>
          <w:color w:val="000000" w:themeColor="text1"/>
        </w:rPr>
        <w:t xml:space="preserve">, E.A (1972) ‘Notes on a conversational practice: formulating place’, in D. </w:t>
      </w:r>
      <w:proofErr w:type="spellStart"/>
      <w:r w:rsidRPr="00C4260D">
        <w:rPr>
          <w:bCs/>
          <w:color w:val="000000" w:themeColor="text1"/>
        </w:rPr>
        <w:t>Sudnow</w:t>
      </w:r>
      <w:proofErr w:type="spellEnd"/>
      <w:r w:rsidRPr="00C4260D">
        <w:rPr>
          <w:bCs/>
          <w:color w:val="000000" w:themeColor="text1"/>
        </w:rPr>
        <w:t xml:space="preserve"> (eds) </w:t>
      </w:r>
      <w:r w:rsidRPr="00C4260D">
        <w:rPr>
          <w:bCs/>
          <w:i/>
          <w:iCs/>
          <w:color w:val="000000" w:themeColor="text1"/>
        </w:rPr>
        <w:t>Studies in Social Interaction</w:t>
      </w:r>
      <w:r w:rsidRPr="00C4260D">
        <w:rPr>
          <w:bCs/>
          <w:color w:val="000000" w:themeColor="text1"/>
        </w:rPr>
        <w:t>. New York: The Free Press, pp. 75–119.</w:t>
      </w:r>
    </w:p>
    <w:p w14:paraId="4150C358" w14:textId="77777777" w:rsidR="00817974" w:rsidRPr="00C4260D" w:rsidRDefault="00817974" w:rsidP="00817974">
      <w:pPr>
        <w:ind w:left="720" w:hanging="720"/>
        <w:rPr>
          <w:bCs/>
          <w:color w:val="000000" w:themeColor="text1"/>
        </w:rPr>
      </w:pPr>
      <w:proofErr w:type="spellStart"/>
      <w:r w:rsidRPr="006128F8">
        <w:rPr>
          <w:bCs/>
          <w:color w:val="000000" w:themeColor="text1"/>
        </w:rPr>
        <w:t>Schegloff</w:t>
      </w:r>
      <w:proofErr w:type="spellEnd"/>
      <w:r w:rsidRPr="006128F8">
        <w:rPr>
          <w:bCs/>
          <w:color w:val="000000" w:themeColor="text1"/>
        </w:rPr>
        <w:t xml:space="preserve">, E.A. (1992) Repair After Next Turn: The Last Structurally Provided </w:t>
      </w:r>
      <w:proofErr w:type="spellStart"/>
      <w:r w:rsidRPr="006128F8">
        <w:rPr>
          <w:bCs/>
          <w:color w:val="000000" w:themeColor="text1"/>
        </w:rPr>
        <w:t>Defense</w:t>
      </w:r>
      <w:proofErr w:type="spellEnd"/>
      <w:r w:rsidRPr="006128F8">
        <w:rPr>
          <w:bCs/>
          <w:color w:val="000000" w:themeColor="text1"/>
        </w:rPr>
        <w:t xml:space="preserve"> of Intersubjectivity in Conversation</w:t>
      </w:r>
      <w:r w:rsidRPr="00DC3B6B">
        <w:rPr>
          <w:bCs/>
          <w:color w:val="000000" w:themeColor="text1"/>
        </w:rPr>
        <w:t>.</w:t>
      </w:r>
      <w:r w:rsidRPr="006128F8">
        <w:rPr>
          <w:bCs/>
          <w:color w:val="000000" w:themeColor="text1"/>
        </w:rPr>
        <w:t xml:space="preserve"> </w:t>
      </w:r>
      <w:r w:rsidRPr="006128F8">
        <w:rPr>
          <w:bCs/>
          <w:i/>
          <w:iCs/>
          <w:color w:val="000000" w:themeColor="text1"/>
        </w:rPr>
        <w:t>American Journal of Sociology</w:t>
      </w:r>
      <w:r w:rsidRPr="006128F8">
        <w:rPr>
          <w:bCs/>
          <w:color w:val="000000" w:themeColor="text1"/>
        </w:rPr>
        <w:t>, 97(5):1295–1345</w:t>
      </w:r>
    </w:p>
    <w:p w14:paraId="5262D664" w14:textId="77777777" w:rsidR="00817974" w:rsidRPr="00DC3B6B" w:rsidRDefault="00817974" w:rsidP="00817974">
      <w:pPr>
        <w:ind w:left="720" w:hanging="720"/>
        <w:rPr>
          <w:bCs/>
          <w:color w:val="000000" w:themeColor="text1"/>
        </w:rPr>
      </w:pPr>
      <w:proofErr w:type="spellStart"/>
      <w:r w:rsidRPr="00C4260D">
        <w:rPr>
          <w:bCs/>
          <w:color w:val="000000" w:themeColor="text1"/>
        </w:rPr>
        <w:t>Schegloff</w:t>
      </w:r>
      <w:proofErr w:type="spellEnd"/>
      <w:r w:rsidRPr="00C4260D">
        <w:rPr>
          <w:bCs/>
          <w:color w:val="000000" w:themeColor="text1"/>
        </w:rPr>
        <w:t xml:space="preserve">, E.A. (2007) </w:t>
      </w:r>
      <w:r w:rsidRPr="00C4260D">
        <w:rPr>
          <w:bCs/>
          <w:i/>
          <w:iCs/>
          <w:color w:val="000000" w:themeColor="text1"/>
        </w:rPr>
        <w:t>Sequence Organization in Interaction: A Primer in Conversation Analysis, Volume 1</w:t>
      </w:r>
      <w:r w:rsidRPr="00C4260D">
        <w:rPr>
          <w:bCs/>
          <w:color w:val="000000" w:themeColor="text1"/>
        </w:rPr>
        <w:t>. Cambridge, Cambridge University Press.</w:t>
      </w:r>
    </w:p>
    <w:p w14:paraId="34C7A8D9" w14:textId="77777777" w:rsidR="00817974" w:rsidRPr="00DC3B6B" w:rsidRDefault="00817974" w:rsidP="00817974">
      <w:pPr>
        <w:ind w:left="720" w:hanging="720"/>
        <w:rPr>
          <w:bCs/>
          <w:color w:val="000000" w:themeColor="text1"/>
        </w:rPr>
      </w:pPr>
      <w:r w:rsidRPr="00DC3B6B">
        <w:rPr>
          <w:bCs/>
          <w:color w:val="000000" w:themeColor="text1"/>
        </w:rPr>
        <w:t xml:space="preserve">Stivers, T. (2002) Participating in decisions about treatment: overt parent pressure for antibiotic medication in </w:t>
      </w:r>
      <w:proofErr w:type="spellStart"/>
      <w:r w:rsidRPr="00DC3B6B">
        <w:rPr>
          <w:bCs/>
          <w:color w:val="000000" w:themeColor="text1"/>
        </w:rPr>
        <w:t>pediatric</w:t>
      </w:r>
      <w:proofErr w:type="spellEnd"/>
      <w:r w:rsidRPr="00DC3B6B">
        <w:rPr>
          <w:bCs/>
          <w:color w:val="000000" w:themeColor="text1"/>
        </w:rPr>
        <w:t xml:space="preserve"> encounters. </w:t>
      </w:r>
      <w:r w:rsidRPr="00DC3B6B">
        <w:rPr>
          <w:bCs/>
          <w:i/>
          <w:color w:val="000000" w:themeColor="text1"/>
        </w:rPr>
        <w:t>Social Science &amp; Medicine</w:t>
      </w:r>
      <w:r w:rsidRPr="00DC3B6B">
        <w:rPr>
          <w:bCs/>
          <w:color w:val="000000" w:themeColor="text1"/>
        </w:rPr>
        <w:t xml:space="preserve">, 54: 1111- 1130. </w:t>
      </w:r>
    </w:p>
    <w:p w14:paraId="6AA56399" w14:textId="77777777" w:rsidR="00817974" w:rsidRPr="00DC3B6B" w:rsidRDefault="00817974" w:rsidP="00817974">
      <w:pPr>
        <w:ind w:left="720" w:hanging="720"/>
        <w:rPr>
          <w:bCs/>
          <w:color w:val="000000" w:themeColor="text1"/>
        </w:rPr>
      </w:pPr>
      <w:r w:rsidRPr="00DC3B6B">
        <w:rPr>
          <w:bCs/>
          <w:color w:val="000000" w:themeColor="text1"/>
        </w:rPr>
        <w:t>Stivers, T. (2007) </w:t>
      </w:r>
      <w:r w:rsidRPr="00DC3B6B">
        <w:rPr>
          <w:bCs/>
          <w:i/>
          <w:color w:val="000000" w:themeColor="text1"/>
        </w:rPr>
        <w:t>Prescribing under pressure: Parent-physician conversations and antibiotics</w:t>
      </w:r>
      <w:r w:rsidRPr="00DC3B6B">
        <w:rPr>
          <w:bCs/>
          <w:color w:val="000000" w:themeColor="text1"/>
        </w:rPr>
        <w:t>, London, Oxford University Press</w:t>
      </w:r>
    </w:p>
    <w:p w14:paraId="65EACB75" w14:textId="77777777" w:rsidR="00817974" w:rsidRPr="00DC3B6B" w:rsidRDefault="00817974" w:rsidP="00817974">
      <w:pPr>
        <w:ind w:left="720" w:hanging="720"/>
        <w:rPr>
          <w:bCs/>
          <w:color w:val="000000" w:themeColor="text1"/>
        </w:rPr>
      </w:pPr>
      <w:r w:rsidRPr="006D5BF2">
        <w:rPr>
          <w:rFonts w:eastAsia="ArialUnicodeMS"/>
          <w:bCs/>
          <w:color w:val="000000" w:themeColor="text1"/>
        </w:rPr>
        <w:t>Stivers</w:t>
      </w:r>
      <w:r w:rsidRPr="00DC3B6B">
        <w:rPr>
          <w:bCs/>
          <w:color w:val="000000" w:themeColor="text1"/>
        </w:rPr>
        <w:t>, T.</w:t>
      </w:r>
      <w:r w:rsidRPr="006D5BF2">
        <w:rPr>
          <w:rFonts w:eastAsia="ArialUnicodeMS"/>
          <w:bCs/>
          <w:color w:val="000000" w:themeColor="text1"/>
        </w:rPr>
        <w:t xml:space="preserve"> &amp; Barnes</w:t>
      </w:r>
      <w:r w:rsidRPr="00DC3B6B">
        <w:rPr>
          <w:bCs/>
          <w:color w:val="000000" w:themeColor="text1"/>
        </w:rPr>
        <w:t>, R.</w:t>
      </w:r>
      <w:r w:rsidRPr="006D5BF2">
        <w:rPr>
          <w:rFonts w:eastAsia="ArialUnicodeMS"/>
          <w:bCs/>
          <w:color w:val="000000" w:themeColor="text1"/>
        </w:rPr>
        <w:t xml:space="preserve"> (2018) Treatment Recommendation Actions, Contingencies, and Responses: An Introduction, Health Communication, 33</w:t>
      </w:r>
      <w:r w:rsidRPr="00DC3B6B">
        <w:rPr>
          <w:bCs/>
          <w:color w:val="000000" w:themeColor="text1"/>
        </w:rPr>
        <w:t xml:space="preserve"> (</w:t>
      </w:r>
      <w:r w:rsidRPr="006D5BF2">
        <w:rPr>
          <w:rFonts w:eastAsia="ArialUnicodeMS"/>
          <w:bCs/>
          <w:color w:val="000000" w:themeColor="text1"/>
        </w:rPr>
        <w:t>11</w:t>
      </w:r>
      <w:r w:rsidRPr="00DC3B6B">
        <w:rPr>
          <w:bCs/>
          <w:color w:val="000000" w:themeColor="text1"/>
        </w:rPr>
        <w:t>):</w:t>
      </w:r>
      <w:r w:rsidRPr="006D5BF2">
        <w:rPr>
          <w:rFonts w:eastAsia="ArialUnicodeMS"/>
          <w:bCs/>
          <w:color w:val="000000" w:themeColor="text1"/>
        </w:rPr>
        <w:t xml:space="preserve"> 1331-1334, DOI: 10.1080/10410236.2017.1350914 </w:t>
      </w:r>
    </w:p>
    <w:p w14:paraId="7B8C3066" w14:textId="77777777" w:rsidR="00817974" w:rsidRPr="004407FB" w:rsidRDefault="00817974" w:rsidP="00817974">
      <w:pPr>
        <w:ind w:left="720" w:hanging="720"/>
        <w:rPr>
          <w:bCs/>
          <w:color w:val="000000" w:themeColor="text1"/>
        </w:rPr>
      </w:pPr>
      <w:proofErr w:type="spellStart"/>
      <w:r w:rsidRPr="004407FB">
        <w:rPr>
          <w:bCs/>
          <w:color w:val="000000" w:themeColor="text1"/>
        </w:rPr>
        <w:t>Stevanovic</w:t>
      </w:r>
      <w:proofErr w:type="spellEnd"/>
      <w:r w:rsidRPr="004407FB">
        <w:rPr>
          <w:bCs/>
          <w:color w:val="000000" w:themeColor="text1"/>
        </w:rPr>
        <w:t xml:space="preserve">, M. and </w:t>
      </w:r>
      <w:proofErr w:type="spellStart"/>
      <w:r w:rsidRPr="004407FB">
        <w:rPr>
          <w:bCs/>
          <w:color w:val="000000" w:themeColor="text1"/>
        </w:rPr>
        <w:t>Peräkylä</w:t>
      </w:r>
      <w:proofErr w:type="spellEnd"/>
      <w:r w:rsidRPr="004407FB">
        <w:rPr>
          <w:bCs/>
          <w:color w:val="000000" w:themeColor="text1"/>
        </w:rPr>
        <w:t xml:space="preserve">, A. (2012) Deontic rights in interaction: the right to announce, propose, and decide. </w:t>
      </w:r>
      <w:r w:rsidRPr="004407FB">
        <w:rPr>
          <w:bCs/>
          <w:i/>
          <w:iCs/>
          <w:color w:val="000000" w:themeColor="text1"/>
        </w:rPr>
        <w:t>Research on Language &amp; Social Interaction</w:t>
      </w:r>
      <w:r w:rsidRPr="004407FB">
        <w:rPr>
          <w:bCs/>
          <w:color w:val="000000" w:themeColor="text1"/>
        </w:rPr>
        <w:t>, 45 (3): 297-321</w:t>
      </w:r>
    </w:p>
    <w:p w14:paraId="4C29C4A5" w14:textId="17AC1910" w:rsidR="00817974" w:rsidRDefault="00817974" w:rsidP="00817974">
      <w:pPr>
        <w:ind w:left="709" w:hanging="709"/>
        <w:rPr>
          <w:rStyle w:val="Hyperlink"/>
          <w:color w:val="000000" w:themeColor="text1"/>
        </w:rPr>
      </w:pPr>
      <w:r w:rsidRPr="00DC3B6B">
        <w:rPr>
          <w:bCs/>
          <w:color w:val="000000" w:themeColor="text1"/>
        </w:rPr>
        <w:t xml:space="preserve">Swallow, J. &amp; Hillman, A. (2018) Fear and Anxiety: Affects, emotions and care practices in the memory clinic. Social Studies of Science, </w:t>
      </w:r>
      <w:hyperlink r:id="rId10" w:history="1">
        <w:r w:rsidRPr="00DC3B6B">
          <w:rPr>
            <w:rStyle w:val="Hyperlink"/>
            <w:color w:val="000000" w:themeColor="text1"/>
          </w:rPr>
          <w:t>doi.org/10.1177/0306312718820965</w:t>
        </w:r>
      </w:hyperlink>
    </w:p>
    <w:p w14:paraId="404A49A3" w14:textId="5B3FD79C" w:rsidR="00C32F82" w:rsidRPr="00EF1E04" w:rsidRDefault="00C32F82" w:rsidP="00C32F82">
      <w:pPr>
        <w:ind w:left="709" w:hanging="709"/>
        <w:rPr>
          <w:color w:val="000000" w:themeColor="text1"/>
          <w:u w:val="single"/>
          <w:lang w:val="en-US"/>
        </w:rPr>
      </w:pPr>
      <w:proofErr w:type="spellStart"/>
      <w:r w:rsidRPr="00C32F82">
        <w:rPr>
          <w:color w:val="000000" w:themeColor="text1"/>
          <w:u w:val="single"/>
          <w:lang w:val="en-US"/>
        </w:rPr>
        <w:t>Toerien</w:t>
      </w:r>
      <w:proofErr w:type="spellEnd"/>
      <w:r w:rsidRPr="00C32F82">
        <w:rPr>
          <w:color w:val="000000" w:themeColor="text1"/>
          <w:u w:val="single"/>
          <w:lang w:val="en-US"/>
        </w:rPr>
        <w:t xml:space="preserve">, M. (2021). When do patients exercise their right to refuse treatment? A conversation analytic study of decision-making trajectories in UK neurology outpatient consultations. </w:t>
      </w:r>
      <w:r w:rsidRPr="00C32F82">
        <w:rPr>
          <w:i/>
          <w:color w:val="000000" w:themeColor="text1"/>
          <w:u w:val="single"/>
          <w:lang w:val="en-US"/>
        </w:rPr>
        <w:t>Soc</w:t>
      </w:r>
      <w:r>
        <w:rPr>
          <w:i/>
          <w:color w:val="000000" w:themeColor="text1"/>
          <w:u w:val="single"/>
          <w:lang w:val="en-US"/>
        </w:rPr>
        <w:t>ial</w:t>
      </w:r>
      <w:r w:rsidRPr="00C32F82">
        <w:rPr>
          <w:i/>
          <w:color w:val="000000" w:themeColor="text1"/>
          <w:u w:val="single"/>
          <w:lang w:val="en-US"/>
        </w:rPr>
        <w:t xml:space="preserve"> Sci</w:t>
      </w:r>
      <w:r>
        <w:rPr>
          <w:i/>
          <w:color w:val="000000" w:themeColor="text1"/>
          <w:u w:val="single"/>
          <w:lang w:val="en-US"/>
        </w:rPr>
        <w:t>ence and</w:t>
      </w:r>
      <w:r w:rsidRPr="00C32F82">
        <w:rPr>
          <w:i/>
          <w:color w:val="000000" w:themeColor="text1"/>
          <w:u w:val="single"/>
          <w:lang w:val="en-US"/>
        </w:rPr>
        <w:t xml:space="preserve"> </w:t>
      </w:r>
      <w:proofErr w:type="spellStart"/>
      <w:r w:rsidRPr="00C32F82">
        <w:rPr>
          <w:i/>
          <w:color w:val="000000" w:themeColor="text1"/>
          <w:u w:val="single"/>
          <w:lang w:val="en-US"/>
        </w:rPr>
        <w:t>Me</w:t>
      </w:r>
      <w:r>
        <w:rPr>
          <w:i/>
          <w:color w:val="000000" w:themeColor="text1"/>
          <w:u w:val="single"/>
          <w:lang w:val="en-US"/>
        </w:rPr>
        <w:t>icine</w:t>
      </w:r>
      <w:r w:rsidRPr="00C32F82">
        <w:rPr>
          <w:i/>
          <w:color w:val="000000" w:themeColor="text1"/>
          <w:u w:val="single"/>
          <w:lang w:val="en-US"/>
        </w:rPr>
        <w:t>d</w:t>
      </w:r>
      <w:proofErr w:type="spellEnd"/>
      <w:r w:rsidRPr="00C32F82">
        <w:rPr>
          <w:i/>
          <w:color w:val="000000" w:themeColor="text1"/>
          <w:u w:val="single"/>
          <w:lang w:val="en-US"/>
        </w:rPr>
        <w:t>, 290</w:t>
      </w:r>
      <w:r w:rsidRPr="00C32F82">
        <w:rPr>
          <w:color w:val="000000" w:themeColor="text1"/>
          <w:u w:val="single"/>
          <w:lang w:val="en-US"/>
        </w:rPr>
        <w:t xml:space="preserve">, 114278. </w:t>
      </w:r>
    </w:p>
    <w:p w14:paraId="7969D710" w14:textId="77777777" w:rsidR="00817974" w:rsidRPr="00DC3B6B" w:rsidRDefault="00817974" w:rsidP="00817974">
      <w:pPr>
        <w:widowControl w:val="0"/>
        <w:autoSpaceDE w:val="0"/>
        <w:autoSpaceDN w:val="0"/>
        <w:adjustRightInd w:val="0"/>
        <w:spacing w:line="300" w:lineRule="atLeast"/>
        <w:ind w:left="720" w:hanging="720"/>
        <w:rPr>
          <w:color w:val="000000" w:themeColor="text1"/>
        </w:rPr>
      </w:pPr>
      <w:proofErr w:type="spellStart"/>
      <w:r w:rsidRPr="00DC3B6B">
        <w:rPr>
          <w:bCs/>
          <w:color w:val="000000" w:themeColor="text1"/>
        </w:rPr>
        <w:t>Venneri</w:t>
      </w:r>
      <w:proofErr w:type="spellEnd"/>
      <w:r w:rsidRPr="00DC3B6B">
        <w:rPr>
          <w:bCs/>
          <w:color w:val="000000" w:themeColor="text1"/>
        </w:rPr>
        <w:t xml:space="preserve">, A. (2005) The Promised land: The blooming business of </w:t>
      </w:r>
      <w:proofErr w:type="spellStart"/>
      <w:r w:rsidRPr="00DC3B6B">
        <w:rPr>
          <w:bCs/>
          <w:color w:val="000000" w:themeColor="text1"/>
        </w:rPr>
        <w:t>neurosychological</w:t>
      </w:r>
      <w:proofErr w:type="spellEnd"/>
      <w:r w:rsidRPr="00DC3B6B">
        <w:rPr>
          <w:bCs/>
          <w:color w:val="000000" w:themeColor="text1"/>
        </w:rPr>
        <w:t xml:space="preserve"> assessment guidance books. </w:t>
      </w:r>
      <w:r w:rsidRPr="00DC3B6B">
        <w:rPr>
          <w:i/>
          <w:color w:val="000000" w:themeColor="text1"/>
        </w:rPr>
        <w:t>Cortex</w:t>
      </w:r>
      <w:r w:rsidRPr="00DC3B6B">
        <w:rPr>
          <w:color w:val="000000" w:themeColor="text1"/>
        </w:rPr>
        <w:t xml:space="preserve">, 41: 96-98. </w:t>
      </w:r>
    </w:p>
    <w:p w14:paraId="6C6C7AF1" w14:textId="77777777" w:rsidR="00817974" w:rsidRPr="00DC3B6B" w:rsidRDefault="00817974" w:rsidP="00817974">
      <w:pPr>
        <w:widowControl w:val="0"/>
        <w:autoSpaceDE w:val="0"/>
        <w:autoSpaceDN w:val="0"/>
        <w:adjustRightInd w:val="0"/>
        <w:spacing w:line="300" w:lineRule="atLeast"/>
        <w:ind w:left="720" w:hanging="720"/>
        <w:rPr>
          <w:color w:val="000000" w:themeColor="text1"/>
        </w:rPr>
      </w:pPr>
      <w:r w:rsidRPr="00DC3B6B">
        <w:rPr>
          <w:bCs/>
          <w:color w:val="000000" w:themeColor="text1"/>
        </w:rPr>
        <w:t xml:space="preserve">Wilkinson, R. (2013) The interactional organization of aphasia naming testing. </w:t>
      </w:r>
      <w:r w:rsidRPr="00DC3B6B">
        <w:rPr>
          <w:bCs/>
          <w:i/>
          <w:iCs/>
          <w:color w:val="000000" w:themeColor="text1"/>
        </w:rPr>
        <w:t>Clinical Linguistics and Phonetics</w:t>
      </w:r>
      <w:r w:rsidRPr="00DC3B6B">
        <w:rPr>
          <w:bCs/>
          <w:color w:val="000000" w:themeColor="text1"/>
        </w:rPr>
        <w:t xml:space="preserve"> </w:t>
      </w:r>
      <w:r w:rsidRPr="00DC3B6B">
        <w:rPr>
          <w:bCs/>
          <w:i/>
          <w:iCs/>
          <w:color w:val="000000" w:themeColor="text1"/>
        </w:rPr>
        <w:t>27</w:t>
      </w:r>
      <w:r w:rsidRPr="00DC3B6B">
        <w:rPr>
          <w:bCs/>
          <w:color w:val="000000" w:themeColor="text1"/>
        </w:rPr>
        <w:t>, 10-11, 805-822.</w:t>
      </w:r>
    </w:p>
    <w:p w14:paraId="18B572C1" w14:textId="77777777" w:rsidR="00817974" w:rsidRPr="00DC3B6B" w:rsidRDefault="00817974" w:rsidP="00817974">
      <w:pPr>
        <w:rPr>
          <w:bCs/>
          <w:color w:val="000000" w:themeColor="text1"/>
          <w:lang w:val="en-US"/>
        </w:rPr>
      </w:pPr>
    </w:p>
    <w:p w14:paraId="4A271C59" w14:textId="77777777" w:rsidR="00817974" w:rsidRDefault="00817974" w:rsidP="00817974">
      <w:pPr>
        <w:ind w:firstLine="720"/>
        <w:outlineLvl w:val="0"/>
        <w:rPr>
          <w:b/>
          <w:color w:val="000000" w:themeColor="text1"/>
        </w:rPr>
      </w:pPr>
    </w:p>
    <w:p w14:paraId="5220B7C8" w14:textId="77777777" w:rsidR="00817974" w:rsidRDefault="00817974" w:rsidP="00817974">
      <w:pPr>
        <w:ind w:firstLine="720"/>
        <w:outlineLvl w:val="0"/>
        <w:rPr>
          <w:b/>
          <w:color w:val="000000" w:themeColor="text1"/>
        </w:rPr>
      </w:pPr>
    </w:p>
    <w:p w14:paraId="04000BB1" w14:textId="597755BA" w:rsidR="00817974" w:rsidRDefault="00817974" w:rsidP="00817974">
      <w:pPr>
        <w:ind w:firstLine="720"/>
        <w:outlineLvl w:val="0"/>
        <w:rPr>
          <w:b/>
          <w:color w:val="000000" w:themeColor="text1"/>
        </w:rPr>
      </w:pPr>
      <w:r w:rsidRPr="00DC3B6B">
        <w:rPr>
          <w:b/>
          <w:color w:val="000000" w:themeColor="text1"/>
        </w:rPr>
        <w:t>Appendix</w:t>
      </w:r>
    </w:p>
    <w:p w14:paraId="4B687D0F" w14:textId="77777777" w:rsidR="00817974" w:rsidRPr="00DC3B6B" w:rsidRDefault="00817974" w:rsidP="00817974">
      <w:pPr>
        <w:ind w:firstLine="720"/>
        <w:outlineLvl w:val="0"/>
        <w:rPr>
          <w:b/>
          <w:color w:val="000000" w:themeColor="text1"/>
        </w:rPr>
      </w:pPr>
    </w:p>
    <w:p w14:paraId="10CD33E9" w14:textId="77777777" w:rsidR="00817974" w:rsidRPr="00DC3B6B" w:rsidRDefault="00817974" w:rsidP="00817974">
      <w:pPr>
        <w:outlineLvl w:val="0"/>
        <w:rPr>
          <w:i/>
          <w:color w:val="000000" w:themeColor="text1"/>
          <w:lang w:val="en-US"/>
        </w:rPr>
      </w:pPr>
      <w:r w:rsidRPr="00DC3B6B">
        <w:rPr>
          <w:i/>
          <w:color w:val="000000" w:themeColor="text1"/>
          <w:lang w:val="en-US"/>
        </w:rPr>
        <w:t>Transcription convention</w:t>
      </w:r>
    </w:p>
    <w:p w14:paraId="2B4D245F" w14:textId="4051E806" w:rsidR="00817974" w:rsidRPr="00DC3B6B" w:rsidRDefault="00817974" w:rsidP="00817974">
      <w:pPr>
        <w:outlineLvl w:val="0"/>
        <w:rPr>
          <w:color w:val="000000" w:themeColor="text1"/>
          <w:lang w:val="en-US"/>
        </w:rPr>
      </w:pPr>
      <w:r w:rsidRPr="00DC3B6B">
        <w:rPr>
          <w:color w:val="000000" w:themeColor="text1"/>
        </w:rPr>
        <w:t>Neu</w:t>
      </w:r>
      <w:r w:rsidRPr="00DC3B6B">
        <w:rPr>
          <w:color w:val="000000" w:themeColor="text1"/>
          <w:lang w:val="en-US"/>
        </w:rPr>
        <w:t>/P</w:t>
      </w:r>
      <w:r w:rsidR="0000443B">
        <w:rPr>
          <w:color w:val="000000" w:themeColor="text1"/>
          <w:lang w:val="en-US"/>
        </w:rPr>
        <w:t>at</w:t>
      </w:r>
      <w:r w:rsidRPr="00DC3B6B">
        <w:rPr>
          <w:color w:val="000000" w:themeColor="text1"/>
          <w:lang w:val="en-US"/>
        </w:rPr>
        <w:tab/>
        <w:t>Speakers labels (</w:t>
      </w:r>
      <w:r w:rsidRPr="00DC3B6B">
        <w:rPr>
          <w:color w:val="000000" w:themeColor="text1"/>
        </w:rPr>
        <w:t>Neu</w:t>
      </w:r>
      <w:r w:rsidRPr="00DC3B6B">
        <w:rPr>
          <w:color w:val="000000" w:themeColor="text1"/>
          <w:lang w:val="en-US"/>
        </w:rPr>
        <w:t>= Clinician</w:t>
      </w:r>
      <w:r w:rsidRPr="00DC3B6B">
        <w:rPr>
          <w:color w:val="000000" w:themeColor="text1"/>
        </w:rPr>
        <w:t>/Neurologist</w:t>
      </w:r>
      <w:r w:rsidRPr="00DC3B6B">
        <w:rPr>
          <w:color w:val="000000" w:themeColor="text1"/>
          <w:lang w:val="en-US"/>
        </w:rPr>
        <w:t>; PAT= Patient)</w:t>
      </w:r>
    </w:p>
    <w:p w14:paraId="4979293A" w14:textId="2EE4F3C6" w:rsidR="00817974" w:rsidRPr="00DC3B6B" w:rsidRDefault="00817974" w:rsidP="00817974">
      <w:pPr>
        <w:outlineLvl w:val="0"/>
        <w:rPr>
          <w:color w:val="000000" w:themeColor="text1"/>
          <w:lang w:val="en-US"/>
        </w:rPr>
      </w:pPr>
      <w:r w:rsidRPr="00DC3B6B">
        <w:rPr>
          <w:color w:val="000000" w:themeColor="text1"/>
          <w:lang w:val="en-US"/>
        </w:rPr>
        <w:t>C</w:t>
      </w:r>
      <w:r w:rsidR="0000443B">
        <w:rPr>
          <w:color w:val="000000" w:themeColor="text1"/>
          <w:lang w:val="en-US"/>
        </w:rPr>
        <w:t>om</w:t>
      </w:r>
      <w:r w:rsidRPr="00DC3B6B">
        <w:rPr>
          <w:color w:val="000000" w:themeColor="text1"/>
          <w:lang w:val="en-US"/>
        </w:rPr>
        <w:tab/>
      </w:r>
      <w:r w:rsidRPr="00DC3B6B">
        <w:rPr>
          <w:color w:val="000000" w:themeColor="text1"/>
          <w:lang w:val="en-US"/>
        </w:rPr>
        <w:tab/>
        <w:t>(C</w:t>
      </w:r>
      <w:r w:rsidR="0000443B">
        <w:rPr>
          <w:color w:val="000000" w:themeColor="text1"/>
          <w:lang w:val="en-US"/>
        </w:rPr>
        <w:t>om</w:t>
      </w:r>
      <w:r w:rsidRPr="00DC3B6B">
        <w:rPr>
          <w:color w:val="000000" w:themeColor="text1"/>
          <w:lang w:val="en-US"/>
        </w:rPr>
        <w:t>=</w:t>
      </w:r>
      <w:r w:rsidRPr="00DC3B6B">
        <w:rPr>
          <w:color w:val="000000" w:themeColor="text1"/>
        </w:rPr>
        <w:t xml:space="preserve"> </w:t>
      </w:r>
      <w:r w:rsidRPr="00DC3B6B">
        <w:rPr>
          <w:color w:val="000000" w:themeColor="text1"/>
          <w:lang w:val="en-US"/>
        </w:rPr>
        <w:t>companion)</w:t>
      </w:r>
    </w:p>
    <w:p w14:paraId="482F724F" w14:textId="77777777" w:rsidR="00817974" w:rsidRPr="00DC3B6B" w:rsidRDefault="00817974" w:rsidP="00817974">
      <w:pPr>
        <w:outlineLvl w:val="0"/>
        <w:rPr>
          <w:color w:val="000000" w:themeColor="text1"/>
          <w:lang w:val="en-US"/>
        </w:rPr>
      </w:pPr>
      <w:r w:rsidRPr="00DC3B6B">
        <w:rPr>
          <w:color w:val="000000" w:themeColor="text1"/>
          <w:lang w:val="en-US"/>
        </w:rPr>
        <w:t>[overlap]</w:t>
      </w:r>
      <w:r w:rsidRPr="00DC3B6B">
        <w:rPr>
          <w:color w:val="000000" w:themeColor="text1"/>
          <w:lang w:val="en-US"/>
        </w:rPr>
        <w:tab/>
      </w:r>
      <w:r w:rsidRPr="00DC3B6B">
        <w:rPr>
          <w:color w:val="000000" w:themeColor="text1"/>
          <w:u w:val="single"/>
          <w:lang w:val="en-US"/>
        </w:rPr>
        <w:t>Brackets</w:t>
      </w:r>
      <w:r w:rsidRPr="00DC3B6B">
        <w:rPr>
          <w:color w:val="000000" w:themeColor="text1"/>
          <w:lang w:val="en-US"/>
        </w:rPr>
        <w:t xml:space="preserve">: Onset and oﬀset of overlapping talk. </w:t>
      </w:r>
    </w:p>
    <w:p w14:paraId="5F410B2D" w14:textId="4A14DC42" w:rsidR="00817974" w:rsidRPr="00DC3B6B" w:rsidRDefault="00817974" w:rsidP="0000443B">
      <w:pPr>
        <w:ind w:left="1440" w:hanging="1440"/>
        <w:outlineLvl w:val="0"/>
        <w:rPr>
          <w:color w:val="000000" w:themeColor="text1"/>
          <w:lang w:val="en-US"/>
        </w:rPr>
      </w:pPr>
      <w:r w:rsidRPr="00DC3B6B">
        <w:rPr>
          <w:color w:val="000000" w:themeColor="text1"/>
          <w:lang w:val="en-US"/>
        </w:rPr>
        <w:t>=</w:t>
      </w:r>
      <w:r w:rsidRPr="00DC3B6B">
        <w:rPr>
          <w:color w:val="000000" w:themeColor="text1"/>
          <w:lang w:val="en-US"/>
        </w:rPr>
        <w:tab/>
      </w:r>
      <w:r w:rsidRPr="00DC3B6B">
        <w:rPr>
          <w:color w:val="000000" w:themeColor="text1"/>
          <w:u w:val="single"/>
          <w:lang w:val="en-US"/>
        </w:rPr>
        <w:t>Equals Sign</w:t>
      </w:r>
      <w:r w:rsidRPr="00DC3B6B">
        <w:rPr>
          <w:color w:val="000000" w:themeColor="text1"/>
          <w:lang w:val="en-US"/>
        </w:rPr>
        <w:t xml:space="preserve">: Utterances are latched or ran together, with no gap of silence. </w:t>
      </w:r>
    </w:p>
    <w:p w14:paraId="5D56AC51"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Hyphen</w:t>
      </w:r>
      <w:r w:rsidRPr="00DC3B6B">
        <w:rPr>
          <w:color w:val="000000" w:themeColor="text1"/>
          <w:lang w:val="en-US"/>
        </w:rPr>
        <w:t xml:space="preserve">: Preceding sound is cut oﬀ/self-interrupted. </w:t>
      </w:r>
    </w:p>
    <w:p w14:paraId="611D79A3" w14:textId="77777777" w:rsidR="00817974" w:rsidRPr="00DC3B6B" w:rsidRDefault="00817974" w:rsidP="00817974">
      <w:pPr>
        <w:outlineLvl w:val="0"/>
        <w:rPr>
          <w:color w:val="000000" w:themeColor="text1"/>
          <w:lang w:val="en-US"/>
        </w:rPr>
      </w:pPr>
      <w:r w:rsidRPr="00DC3B6B">
        <w:rPr>
          <w:color w:val="000000" w:themeColor="text1"/>
          <w:lang w:val="en-US"/>
        </w:rPr>
        <w:lastRenderedPageBreak/>
        <w:t xml:space="preserve">(0.0) </w:t>
      </w:r>
      <w:r w:rsidRPr="00DC3B6B">
        <w:rPr>
          <w:color w:val="000000" w:themeColor="text1"/>
          <w:lang w:val="en-US"/>
        </w:rPr>
        <w:tab/>
      </w:r>
      <w:r w:rsidRPr="00DC3B6B">
        <w:rPr>
          <w:color w:val="000000" w:themeColor="text1"/>
          <w:lang w:val="en-US"/>
        </w:rPr>
        <w:tab/>
      </w:r>
      <w:r w:rsidRPr="00DC3B6B">
        <w:rPr>
          <w:color w:val="000000" w:themeColor="text1"/>
          <w:u w:val="single"/>
          <w:lang w:val="en-US"/>
        </w:rPr>
        <w:t xml:space="preserve">Time </w:t>
      </w:r>
      <w:proofErr w:type="gramStart"/>
      <w:r w:rsidRPr="00DC3B6B">
        <w:rPr>
          <w:color w:val="000000" w:themeColor="text1"/>
          <w:u w:val="single"/>
          <w:lang w:val="en-US"/>
        </w:rPr>
        <w:t>pause</w:t>
      </w:r>
      <w:proofErr w:type="gramEnd"/>
      <w:r w:rsidRPr="00DC3B6B">
        <w:rPr>
          <w:color w:val="000000" w:themeColor="text1"/>
          <w:lang w:val="en-US"/>
        </w:rPr>
        <w:t xml:space="preserve">: Silence measured in seconds and tenths of seconds. </w:t>
      </w:r>
    </w:p>
    <w:p w14:paraId="42D056BA"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Parentheses with a period</w:t>
      </w:r>
      <w:r w:rsidRPr="00DC3B6B">
        <w:rPr>
          <w:color w:val="000000" w:themeColor="text1"/>
          <w:lang w:val="en-US"/>
        </w:rPr>
        <w:t xml:space="preserve">: A micropause of less than 0:2 s: </w:t>
      </w:r>
    </w:p>
    <w:p w14:paraId="4D9C08B8"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Colon(s</w:t>
      </w:r>
      <w:r w:rsidRPr="00DC3B6B">
        <w:rPr>
          <w:color w:val="000000" w:themeColor="text1"/>
          <w:lang w:val="en-US"/>
        </w:rPr>
        <w:t xml:space="preserve">): Preceding sound is extended or stretched; the more the longer. </w:t>
      </w:r>
    </w:p>
    <w:p w14:paraId="76074AF0"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Period</w:t>
      </w:r>
      <w:r w:rsidRPr="00DC3B6B">
        <w:rPr>
          <w:color w:val="000000" w:themeColor="text1"/>
          <w:lang w:val="en-US"/>
        </w:rPr>
        <w:t xml:space="preserve">: Falling or terminal intonation. </w:t>
      </w:r>
    </w:p>
    <w:p w14:paraId="10D2E010"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Comma</w:t>
      </w:r>
      <w:r w:rsidRPr="00DC3B6B">
        <w:rPr>
          <w:color w:val="000000" w:themeColor="text1"/>
          <w:lang w:val="en-US"/>
        </w:rPr>
        <w:t xml:space="preserve">: Continuing or slightly rising intonation. </w:t>
      </w:r>
    </w:p>
    <w:p w14:paraId="04EA777E" w14:textId="77777777" w:rsidR="00817974" w:rsidRPr="00DC3B6B" w:rsidRDefault="00817974" w:rsidP="00817974">
      <w:pPr>
        <w:outlineLvl w:val="0"/>
        <w:rPr>
          <w:color w:val="000000" w:themeColor="text1"/>
          <w:lang w:val="en-US"/>
        </w:rPr>
      </w:pPr>
      <w:r w:rsidRPr="00DC3B6B">
        <w:rPr>
          <w:color w:val="000000" w:themeColor="text1"/>
          <w:lang w:val="en-US"/>
        </w:rPr>
        <w:t xml:space="preserve">? </w:t>
      </w:r>
      <w:r w:rsidRPr="00DC3B6B">
        <w:rPr>
          <w:color w:val="000000" w:themeColor="text1"/>
          <w:lang w:val="en-US"/>
        </w:rPr>
        <w:tab/>
      </w:r>
      <w:r w:rsidRPr="00DC3B6B">
        <w:rPr>
          <w:color w:val="000000" w:themeColor="text1"/>
          <w:lang w:val="en-US"/>
        </w:rPr>
        <w:tab/>
      </w:r>
      <w:r w:rsidRPr="00DC3B6B">
        <w:rPr>
          <w:color w:val="000000" w:themeColor="text1"/>
          <w:u w:val="single"/>
          <w:lang w:val="en-US"/>
        </w:rPr>
        <w:t>Question mark</w:t>
      </w:r>
      <w:r w:rsidRPr="00DC3B6B">
        <w:rPr>
          <w:color w:val="000000" w:themeColor="text1"/>
          <w:lang w:val="en-US"/>
        </w:rPr>
        <w:t xml:space="preserve">: Rising intonation. </w:t>
      </w:r>
    </w:p>
    <w:p w14:paraId="31F6E0A9" w14:textId="77777777" w:rsidR="00817974" w:rsidRPr="00DC3B6B" w:rsidRDefault="00817974" w:rsidP="00817974">
      <w:pPr>
        <w:outlineLvl w:val="0"/>
        <w:rPr>
          <w:color w:val="000000" w:themeColor="text1"/>
          <w:lang w:val="en-US"/>
        </w:rPr>
      </w:pPr>
      <w:r w:rsidRPr="00DC3B6B">
        <w:rPr>
          <w:color w:val="000000" w:themeColor="text1"/>
          <w:u w:val="single"/>
          <w:lang w:val="en-US"/>
        </w:rPr>
        <w:t>un</w:t>
      </w:r>
      <w:r w:rsidRPr="00DC3B6B">
        <w:rPr>
          <w:color w:val="000000" w:themeColor="text1"/>
          <w:lang w:val="en-US"/>
        </w:rPr>
        <w:t xml:space="preserve">derline </w:t>
      </w:r>
      <w:r w:rsidRPr="00DC3B6B">
        <w:rPr>
          <w:color w:val="000000" w:themeColor="text1"/>
          <w:lang w:val="en-US"/>
        </w:rPr>
        <w:tab/>
      </w:r>
      <w:r w:rsidRPr="00DC3B6B">
        <w:rPr>
          <w:color w:val="000000" w:themeColor="text1"/>
          <w:u w:val="single"/>
          <w:lang w:val="en-US"/>
        </w:rPr>
        <w:t>Underlining</w:t>
      </w:r>
      <w:r w:rsidRPr="00DC3B6B">
        <w:rPr>
          <w:color w:val="000000" w:themeColor="text1"/>
          <w:lang w:val="en-US"/>
        </w:rPr>
        <w:t xml:space="preserve">: Increased volume relative to surrounding talk. </w:t>
      </w:r>
    </w:p>
    <w:p w14:paraId="67157C99" w14:textId="77777777" w:rsidR="00817974" w:rsidRPr="00DC3B6B" w:rsidRDefault="00817974" w:rsidP="00817974">
      <w:pPr>
        <w:outlineLvl w:val="0"/>
        <w:rPr>
          <w:color w:val="000000" w:themeColor="text1"/>
          <w:lang w:val="en-US"/>
        </w:rPr>
      </w:pPr>
      <w:r w:rsidRPr="00DC3B6B">
        <w:rPr>
          <w:color w:val="000000" w:themeColor="text1"/>
          <w:lang w:val="en-US"/>
        </w:rPr>
        <w:sym w:font="Symbol" w:char="F0B0"/>
      </w:r>
      <w:r w:rsidRPr="00DC3B6B">
        <w:rPr>
          <w:color w:val="000000" w:themeColor="text1"/>
          <w:lang w:val="en-US"/>
        </w:rPr>
        <w:t>soft</w:t>
      </w:r>
      <w:r w:rsidRPr="00DC3B6B">
        <w:rPr>
          <w:color w:val="000000" w:themeColor="text1"/>
          <w:lang w:val="en-US"/>
        </w:rPr>
        <w:sym w:font="Symbol" w:char="F0B0"/>
      </w:r>
      <w:r w:rsidRPr="00DC3B6B">
        <w:rPr>
          <w:color w:val="000000" w:themeColor="text1"/>
          <w:lang w:val="en-US"/>
        </w:rPr>
        <w:tab/>
      </w:r>
      <w:r w:rsidRPr="00DC3B6B">
        <w:rPr>
          <w:color w:val="000000" w:themeColor="text1"/>
          <w:lang w:val="en-US"/>
        </w:rPr>
        <w:tab/>
      </w:r>
      <w:r w:rsidRPr="00DC3B6B">
        <w:rPr>
          <w:color w:val="000000" w:themeColor="text1"/>
          <w:u w:val="single"/>
          <w:lang w:val="en-US"/>
        </w:rPr>
        <w:t>Degree signs</w:t>
      </w:r>
      <w:r w:rsidRPr="00DC3B6B">
        <w:rPr>
          <w:color w:val="000000" w:themeColor="text1"/>
          <w:lang w:val="en-US"/>
        </w:rPr>
        <w:t xml:space="preserve">: Talk with decreased volume relative to surrounding talk. </w:t>
      </w:r>
    </w:p>
    <w:p w14:paraId="3E59E52E" w14:textId="77777777" w:rsidR="00817974" w:rsidRPr="00DC3B6B" w:rsidRDefault="00817974" w:rsidP="00817974">
      <w:pPr>
        <w:ind w:left="1440" w:hanging="1440"/>
        <w:outlineLvl w:val="0"/>
        <w:rPr>
          <w:color w:val="000000" w:themeColor="text1"/>
          <w:lang w:val="en-US"/>
        </w:rPr>
      </w:pPr>
      <w:r w:rsidRPr="00DC3B6B">
        <w:rPr>
          <w:color w:val="000000" w:themeColor="text1"/>
          <w:lang w:val="en-US"/>
        </w:rPr>
        <w:t xml:space="preserve">&gt;fast&lt; </w:t>
      </w:r>
      <w:r w:rsidRPr="00DC3B6B">
        <w:rPr>
          <w:color w:val="000000" w:themeColor="text1"/>
          <w:lang w:val="en-US"/>
        </w:rPr>
        <w:tab/>
      </w:r>
      <w:r w:rsidRPr="00DC3B6B">
        <w:rPr>
          <w:color w:val="000000" w:themeColor="text1"/>
          <w:u w:val="single"/>
          <w:lang w:val="en-US"/>
        </w:rPr>
        <w:t>Greater-than/less-than signs</w:t>
      </w:r>
      <w:r w:rsidRPr="00DC3B6B">
        <w:rPr>
          <w:color w:val="000000" w:themeColor="text1"/>
          <w:lang w:val="en-US"/>
        </w:rPr>
        <w:t xml:space="preserve">: Talk with increased pace relative to surrounding talk. </w:t>
      </w:r>
    </w:p>
    <w:p w14:paraId="19B9E942" w14:textId="77777777" w:rsidR="00817974" w:rsidRPr="00DC3B6B" w:rsidRDefault="00817974" w:rsidP="00817974">
      <w:pPr>
        <w:outlineLvl w:val="0"/>
        <w:rPr>
          <w:color w:val="000000" w:themeColor="text1"/>
          <w:lang w:val="en-US"/>
        </w:rPr>
      </w:pPr>
      <w:r w:rsidRPr="00DC3B6B">
        <w:rPr>
          <w:color w:val="000000" w:themeColor="text1"/>
          <w:lang w:val="en-US"/>
        </w:rPr>
        <w:t xml:space="preserve">&lt;slow&gt; </w:t>
      </w:r>
      <w:r w:rsidRPr="00DC3B6B">
        <w:rPr>
          <w:color w:val="000000" w:themeColor="text1"/>
          <w:lang w:val="en-US"/>
        </w:rPr>
        <w:tab/>
      </w:r>
      <w:r w:rsidRPr="00DC3B6B">
        <w:rPr>
          <w:color w:val="000000" w:themeColor="text1"/>
          <w:u w:val="single"/>
          <w:lang w:val="en-US"/>
        </w:rPr>
        <w:t>Less-than/greater-than signs</w:t>
      </w:r>
      <w:r w:rsidRPr="00DC3B6B">
        <w:rPr>
          <w:color w:val="000000" w:themeColor="text1"/>
          <w:lang w:val="en-US"/>
        </w:rPr>
        <w:t>: Talk with decreased pace relative to</w:t>
      </w:r>
    </w:p>
    <w:p w14:paraId="0C3650C3" w14:textId="77777777" w:rsidR="00817974" w:rsidRPr="00DC3B6B" w:rsidRDefault="00817974" w:rsidP="00817974">
      <w:pPr>
        <w:ind w:left="720" w:firstLine="720"/>
        <w:outlineLvl w:val="0"/>
        <w:rPr>
          <w:color w:val="000000" w:themeColor="text1"/>
          <w:lang w:val="en-US"/>
        </w:rPr>
      </w:pPr>
      <w:r w:rsidRPr="00DC3B6B">
        <w:rPr>
          <w:color w:val="000000" w:themeColor="text1"/>
          <w:lang w:val="en-US"/>
        </w:rPr>
        <w:t xml:space="preserve">surrounding talk. </w:t>
      </w:r>
    </w:p>
    <w:p w14:paraId="1AC4FCC5" w14:textId="77777777" w:rsidR="00817974" w:rsidRPr="00DC3B6B" w:rsidRDefault="00817974" w:rsidP="00817974">
      <w:pPr>
        <w:outlineLvl w:val="0"/>
        <w:rPr>
          <w:color w:val="000000" w:themeColor="text1"/>
          <w:lang w:val="en-US"/>
        </w:rPr>
      </w:pPr>
      <w:r w:rsidRPr="00DC3B6B">
        <w:rPr>
          <w:color w:val="000000" w:themeColor="text1"/>
          <w:lang w:val="en-US"/>
        </w:rPr>
        <w:t xml:space="preserve">.h </w:t>
      </w:r>
      <w:r w:rsidRPr="00DC3B6B">
        <w:rPr>
          <w:color w:val="000000" w:themeColor="text1"/>
          <w:lang w:val="en-US"/>
        </w:rPr>
        <w:tab/>
      </w:r>
      <w:r w:rsidRPr="00DC3B6B">
        <w:rPr>
          <w:color w:val="000000" w:themeColor="text1"/>
          <w:lang w:val="en-US"/>
        </w:rPr>
        <w:tab/>
      </w:r>
      <w:r w:rsidRPr="00DC3B6B">
        <w:rPr>
          <w:color w:val="000000" w:themeColor="text1"/>
          <w:u w:val="single"/>
          <w:lang w:val="en-US"/>
        </w:rPr>
        <w:t>Superscripted periods preceding h’s</w:t>
      </w:r>
      <w:r w:rsidRPr="00DC3B6B">
        <w:rPr>
          <w:color w:val="000000" w:themeColor="text1"/>
          <w:lang w:val="en-US"/>
        </w:rPr>
        <w:t xml:space="preserve">: Inbreaths; the more the longer. </w:t>
      </w:r>
    </w:p>
    <w:p w14:paraId="1221C053" w14:textId="77777777" w:rsidR="00817974" w:rsidRPr="00DC3B6B" w:rsidRDefault="00817974" w:rsidP="00817974">
      <w:pPr>
        <w:outlineLvl w:val="0"/>
        <w:rPr>
          <w:color w:val="000000" w:themeColor="text1"/>
          <w:lang w:val="en-US"/>
        </w:rPr>
      </w:pPr>
      <w:r w:rsidRPr="00DC3B6B">
        <w:rPr>
          <w:color w:val="000000" w:themeColor="text1"/>
          <w:lang w:val="en-US"/>
        </w:rPr>
        <w:t xml:space="preserve">h </w:t>
      </w:r>
      <w:r w:rsidRPr="00DC3B6B">
        <w:rPr>
          <w:color w:val="000000" w:themeColor="text1"/>
          <w:lang w:val="en-US"/>
        </w:rPr>
        <w:tab/>
      </w:r>
      <w:r w:rsidRPr="00DC3B6B">
        <w:rPr>
          <w:color w:val="000000" w:themeColor="text1"/>
          <w:lang w:val="en-US"/>
        </w:rPr>
        <w:tab/>
      </w:r>
      <w:r w:rsidRPr="00DC3B6B">
        <w:rPr>
          <w:color w:val="000000" w:themeColor="text1"/>
          <w:u w:val="single"/>
          <w:lang w:val="en-US"/>
        </w:rPr>
        <w:t>H’s</w:t>
      </w:r>
      <w:r w:rsidRPr="00DC3B6B">
        <w:rPr>
          <w:color w:val="000000" w:themeColor="text1"/>
          <w:lang w:val="en-US"/>
        </w:rPr>
        <w:t xml:space="preserve">: Outbreaths (sometimes indicating laughter); the more the longer. </w:t>
      </w:r>
    </w:p>
    <w:p w14:paraId="33DBF0D1" w14:textId="77777777" w:rsidR="00817974" w:rsidRPr="00DC3B6B" w:rsidRDefault="00817974" w:rsidP="00817974">
      <w:pPr>
        <w:outlineLvl w:val="0"/>
        <w:rPr>
          <w:color w:val="000000" w:themeColor="text1"/>
          <w:lang w:val="en-US"/>
        </w:rPr>
      </w:pPr>
      <w:r w:rsidRPr="00DC3B6B">
        <w:rPr>
          <w:color w:val="000000" w:themeColor="text1"/>
          <w:lang w:val="en-US"/>
        </w:rPr>
        <w:t xml:space="preserve">hah/heh </w:t>
      </w:r>
      <w:r w:rsidRPr="00DC3B6B">
        <w:rPr>
          <w:color w:val="000000" w:themeColor="text1"/>
          <w:lang w:val="en-US"/>
        </w:rPr>
        <w:tab/>
      </w:r>
      <w:r w:rsidRPr="00DC3B6B">
        <w:rPr>
          <w:color w:val="000000" w:themeColor="text1"/>
          <w:u w:val="single"/>
          <w:lang w:val="en-US"/>
        </w:rPr>
        <w:t>Laugh token</w:t>
      </w:r>
      <w:r w:rsidRPr="00DC3B6B">
        <w:rPr>
          <w:color w:val="000000" w:themeColor="text1"/>
          <w:lang w:val="en-US"/>
        </w:rPr>
        <w:t xml:space="preserve">: Relative open or closed position of laughter. </w:t>
      </w:r>
    </w:p>
    <w:p w14:paraId="17B25267" w14:textId="77777777" w:rsidR="00817974" w:rsidRPr="00DC3B6B" w:rsidRDefault="00817974" w:rsidP="00817974">
      <w:pPr>
        <w:ind w:left="1440" w:hanging="1440"/>
        <w:outlineLvl w:val="0"/>
        <w:rPr>
          <w:color w:val="000000" w:themeColor="text1"/>
          <w:lang w:val="en-US"/>
        </w:rPr>
      </w:pPr>
      <w:r w:rsidRPr="00DC3B6B">
        <w:rPr>
          <w:color w:val="000000" w:themeColor="text1"/>
          <w:lang w:val="en-US"/>
        </w:rPr>
        <w:t xml:space="preserve">(that)/(hat) </w:t>
      </w:r>
      <w:r w:rsidRPr="00DC3B6B">
        <w:rPr>
          <w:color w:val="000000" w:themeColor="text1"/>
          <w:lang w:val="en-US"/>
        </w:rPr>
        <w:tab/>
      </w:r>
      <w:r w:rsidRPr="00DC3B6B">
        <w:rPr>
          <w:color w:val="000000" w:themeColor="text1"/>
          <w:u w:val="single"/>
          <w:lang w:val="en-US"/>
        </w:rPr>
        <w:t>Filled single parentheses</w:t>
      </w:r>
      <w:r w:rsidRPr="00DC3B6B">
        <w:rPr>
          <w:color w:val="000000" w:themeColor="text1"/>
          <w:lang w:val="en-US"/>
        </w:rPr>
        <w:t xml:space="preserve">: Transcriptionist doubt about talk. Alternative hearings. </w:t>
      </w:r>
    </w:p>
    <w:p w14:paraId="2F0FF00B" w14:textId="77777777" w:rsidR="00817974" w:rsidRPr="00DC3B6B" w:rsidRDefault="00817974" w:rsidP="00817974">
      <w:pPr>
        <w:ind w:left="1440" w:hanging="1440"/>
        <w:outlineLvl w:val="0"/>
        <w:rPr>
          <w:color w:val="000000" w:themeColor="text1"/>
          <w:lang w:val="en-US"/>
        </w:rPr>
      </w:pPr>
      <w:proofErr w:type="gramStart"/>
      <w:r w:rsidRPr="00DC3B6B">
        <w:rPr>
          <w:color w:val="000000" w:themeColor="text1"/>
          <w:lang w:val="en-US"/>
        </w:rPr>
        <w:t xml:space="preserve">(  </w:t>
      </w:r>
      <w:proofErr w:type="gramEnd"/>
      <w:r w:rsidRPr="00DC3B6B">
        <w:rPr>
          <w:color w:val="000000" w:themeColor="text1"/>
          <w:lang w:val="en-US"/>
        </w:rPr>
        <w:t xml:space="preserve"> )</w:t>
      </w:r>
      <w:r w:rsidRPr="00DC3B6B">
        <w:rPr>
          <w:color w:val="000000" w:themeColor="text1"/>
          <w:lang w:val="en-US"/>
        </w:rPr>
        <w:tab/>
        <w:t>Empty single parentheses: Transcriptionist can’t identify talk.</w:t>
      </w:r>
    </w:p>
    <w:p w14:paraId="1178996F" w14:textId="77777777" w:rsidR="00817974" w:rsidRPr="00DC3B6B" w:rsidRDefault="00817974" w:rsidP="00817974">
      <w:pPr>
        <w:ind w:left="1440" w:hanging="1440"/>
        <w:outlineLvl w:val="0"/>
        <w:rPr>
          <w:color w:val="000000" w:themeColor="text1"/>
          <w:lang w:val="en-US"/>
        </w:rPr>
      </w:pPr>
      <w:r w:rsidRPr="00DC3B6B">
        <w:rPr>
          <w:color w:val="000000" w:themeColor="text1"/>
          <w:lang w:val="en-US"/>
        </w:rPr>
        <w:t xml:space="preserve">((Cough)) </w:t>
      </w:r>
      <w:r w:rsidRPr="00DC3B6B">
        <w:rPr>
          <w:color w:val="000000" w:themeColor="text1"/>
          <w:lang w:val="en-US"/>
        </w:rPr>
        <w:tab/>
      </w:r>
      <w:r w:rsidRPr="00DC3B6B">
        <w:rPr>
          <w:color w:val="000000" w:themeColor="text1"/>
          <w:u w:val="single"/>
          <w:lang w:val="en-US"/>
        </w:rPr>
        <w:t>Filled double parentheses</w:t>
      </w:r>
      <w:r w:rsidRPr="00DC3B6B">
        <w:rPr>
          <w:color w:val="000000" w:themeColor="text1"/>
          <w:lang w:val="en-US"/>
        </w:rPr>
        <w:t xml:space="preserve">: Additional details, or an event/sound not easily transcribed. </w:t>
      </w:r>
    </w:p>
    <w:p w14:paraId="063E68A7" w14:textId="77777777" w:rsidR="00817974" w:rsidRDefault="00817974" w:rsidP="00617FED">
      <w:pPr>
        <w:spacing w:line="360" w:lineRule="auto"/>
        <w:jc w:val="both"/>
        <w:rPr>
          <w:bCs/>
        </w:rPr>
      </w:pPr>
    </w:p>
    <w:p w14:paraId="6F17C053" w14:textId="77777777" w:rsidR="00DF375B" w:rsidRDefault="00DF375B" w:rsidP="00DF375B">
      <w:pPr>
        <w:spacing w:line="360" w:lineRule="auto"/>
        <w:jc w:val="both"/>
        <w:rPr>
          <w:bCs/>
        </w:rPr>
      </w:pPr>
    </w:p>
    <w:p w14:paraId="4CA7BCD5" w14:textId="77777777" w:rsidR="00DF375B" w:rsidRDefault="00DF375B" w:rsidP="00617FED">
      <w:pPr>
        <w:spacing w:line="360" w:lineRule="auto"/>
        <w:jc w:val="both"/>
        <w:rPr>
          <w:bCs/>
        </w:rPr>
      </w:pPr>
    </w:p>
    <w:p w14:paraId="0782EB02" w14:textId="77777777" w:rsidR="00617FED" w:rsidRDefault="00617FED" w:rsidP="00307176">
      <w:pPr>
        <w:spacing w:line="360" w:lineRule="auto"/>
        <w:jc w:val="both"/>
        <w:rPr>
          <w:bCs/>
        </w:rPr>
      </w:pPr>
    </w:p>
    <w:p w14:paraId="7AB423FD" w14:textId="77777777" w:rsidR="00307176" w:rsidRDefault="00307176" w:rsidP="00307176">
      <w:pPr>
        <w:spacing w:line="360" w:lineRule="auto"/>
        <w:rPr>
          <w:b/>
        </w:rPr>
      </w:pPr>
    </w:p>
    <w:p w14:paraId="6BD58C94" w14:textId="77777777" w:rsidR="00307176" w:rsidRDefault="00307176" w:rsidP="00307176">
      <w:pPr>
        <w:outlineLvl w:val="0"/>
        <w:rPr>
          <w:b/>
        </w:rPr>
      </w:pPr>
    </w:p>
    <w:p w14:paraId="7A7F0AB7" w14:textId="77777777" w:rsidR="00307176" w:rsidRDefault="00307176" w:rsidP="00307176">
      <w:pPr>
        <w:outlineLvl w:val="0"/>
        <w:rPr>
          <w:b/>
        </w:rPr>
      </w:pPr>
    </w:p>
    <w:p w14:paraId="64BA7B71" w14:textId="77777777" w:rsidR="00307176" w:rsidRPr="00004E78" w:rsidRDefault="00307176" w:rsidP="00307176">
      <w:pPr>
        <w:outlineLvl w:val="0"/>
        <w:rPr>
          <w:b/>
        </w:rPr>
      </w:pPr>
    </w:p>
    <w:p w14:paraId="611E994E" w14:textId="77777777" w:rsidR="00E8413B" w:rsidRDefault="00E8413B"/>
    <w:sectPr w:rsidR="00E8413B" w:rsidSect="00E8413B">
      <w:footerReference w:type="even" r:id="rId11"/>
      <w:footerReference w:type="default" r:id="rId12"/>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FEFA" w14:textId="77777777" w:rsidR="00517DD9" w:rsidRDefault="00517DD9" w:rsidP="00307176">
      <w:r>
        <w:separator/>
      </w:r>
    </w:p>
  </w:endnote>
  <w:endnote w:type="continuationSeparator" w:id="0">
    <w:p w14:paraId="5F619DE4" w14:textId="77777777" w:rsidR="00517DD9" w:rsidRDefault="00517DD9" w:rsidP="0030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ff5">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Unicode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08269"/>
      <w:docPartObj>
        <w:docPartGallery w:val="Page Numbers (Bottom of Page)"/>
        <w:docPartUnique/>
      </w:docPartObj>
    </w:sdtPr>
    <w:sdtContent>
      <w:p w14:paraId="7AFD3B57" w14:textId="77777777" w:rsidR="002D3412" w:rsidRDefault="002D3412" w:rsidP="00225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A60C1" w14:textId="77777777" w:rsidR="002D3412" w:rsidRDefault="002D3412" w:rsidP="00225A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8434119"/>
      <w:docPartObj>
        <w:docPartGallery w:val="Page Numbers (Bottom of Page)"/>
        <w:docPartUnique/>
      </w:docPartObj>
    </w:sdtPr>
    <w:sdtContent>
      <w:p w14:paraId="4ABA333D" w14:textId="77777777" w:rsidR="002D3412" w:rsidRDefault="002D3412" w:rsidP="00225A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6D12">
          <w:rPr>
            <w:rStyle w:val="PageNumber"/>
            <w:noProof/>
          </w:rPr>
          <w:t>1</w:t>
        </w:r>
        <w:r>
          <w:rPr>
            <w:rStyle w:val="PageNumber"/>
          </w:rPr>
          <w:fldChar w:fldCharType="end"/>
        </w:r>
      </w:p>
    </w:sdtContent>
  </w:sdt>
  <w:p w14:paraId="644C9256" w14:textId="77777777" w:rsidR="002D3412" w:rsidRDefault="002D3412" w:rsidP="00225A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29C5" w14:textId="77777777" w:rsidR="00517DD9" w:rsidRDefault="00517DD9" w:rsidP="00307176">
      <w:r>
        <w:separator/>
      </w:r>
    </w:p>
  </w:footnote>
  <w:footnote w:type="continuationSeparator" w:id="0">
    <w:p w14:paraId="58BEA75A" w14:textId="77777777" w:rsidR="00517DD9" w:rsidRDefault="00517DD9" w:rsidP="00307176">
      <w:r>
        <w:continuationSeparator/>
      </w:r>
    </w:p>
  </w:footnote>
  <w:footnote w:id="1">
    <w:p w14:paraId="6D83A908" w14:textId="4C5E560B" w:rsidR="002D3412" w:rsidRPr="00875709" w:rsidRDefault="002D3412" w:rsidP="009E3CA7">
      <w:pPr>
        <w:pStyle w:val="CommentText"/>
        <w:rPr>
          <w:sz w:val="18"/>
          <w:szCs w:val="18"/>
        </w:rPr>
      </w:pPr>
      <w:r w:rsidRPr="00875709">
        <w:rPr>
          <w:rStyle w:val="FootnoteReference"/>
          <w:sz w:val="18"/>
          <w:szCs w:val="18"/>
        </w:rPr>
        <w:footnoteRef/>
      </w:r>
      <w:r w:rsidRPr="00875709">
        <w:rPr>
          <w:sz w:val="18"/>
          <w:szCs w:val="18"/>
        </w:rPr>
        <w:t xml:space="preserve"> It is also notable that the ACE-III, in common with the other tests listed</w:t>
      </w:r>
      <w:r>
        <w:rPr>
          <w:sz w:val="18"/>
          <w:szCs w:val="18"/>
        </w:rPr>
        <w:t>,</w:t>
      </w:r>
      <w:r w:rsidRPr="00875709">
        <w:rPr>
          <w:sz w:val="18"/>
          <w:szCs w:val="18"/>
        </w:rPr>
        <w:t xml:space="preserve"> is designed for speakers of English.  For people with a diverse linguistic and cultural background, the Cross-cultural Neuropsychological Test Battery (CNTB) and Rowland Universal Dementia Assessment (RUDAS) have proven more useful than the </w:t>
      </w:r>
      <w:r w:rsidRPr="006727C5">
        <w:rPr>
          <w:sz w:val="18"/>
          <w:szCs w:val="18"/>
        </w:rPr>
        <w:t>above-mentioned</w:t>
      </w:r>
      <w:r w:rsidRPr="00875709">
        <w:rPr>
          <w:sz w:val="18"/>
          <w:szCs w:val="18"/>
        </w:rPr>
        <w:t xml:space="preserve"> tests for major populations (e.g. Nielsen et al., 2019).</w:t>
      </w:r>
    </w:p>
    <w:p w14:paraId="6EF87E7B" w14:textId="77777777" w:rsidR="002D3412" w:rsidRDefault="002D3412" w:rsidP="009E3C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70F"/>
    <w:multiLevelType w:val="multilevel"/>
    <w:tmpl w:val="74D82114"/>
    <w:lvl w:ilvl="0">
      <w:start w:val="1"/>
      <w:numFmt w:val="decimalZero"/>
      <w:lvlText w:val="%1"/>
      <w:lvlJc w:val="left"/>
      <w:pPr>
        <w:ind w:left="360" w:hanging="360"/>
      </w:pPr>
      <w:rPr>
        <w:rFonts w:ascii="Courier" w:hAnsi="Courier"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1862F9"/>
    <w:multiLevelType w:val="hybridMultilevel"/>
    <w:tmpl w:val="FD5658E2"/>
    <w:lvl w:ilvl="0" w:tplc="47E6D26A">
      <w:start w:val="1"/>
      <w:numFmt w:val="decimalZero"/>
      <w:lvlText w:val="%1"/>
      <w:lvlJc w:val="left"/>
      <w:pPr>
        <w:ind w:left="1080" w:hanging="720"/>
      </w:pPr>
      <w:rPr>
        <w:rFonts w:ascii="Courier" w:eastAsiaTheme="minorEastAsia" w:hAnsi="Courie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6A5"/>
    <w:multiLevelType w:val="hybridMultilevel"/>
    <w:tmpl w:val="3BAC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30BF"/>
    <w:multiLevelType w:val="multilevel"/>
    <w:tmpl w:val="74D82114"/>
    <w:lvl w:ilvl="0">
      <w:start w:val="1"/>
      <w:numFmt w:val="decimalZero"/>
      <w:lvlText w:val="%1"/>
      <w:lvlJc w:val="left"/>
      <w:pPr>
        <w:ind w:left="360" w:hanging="360"/>
      </w:pPr>
      <w:rPr>
        <w:rFonts w:ascii="Courier" w:hAnsi="Courier"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641CAF"/>
    <w:multiLevelType w:val="hybridMultilevel"/>
    <w:tmpl w:val="12468012"/>
    <w:lvl w:ilvl="0" w:tplc="AE9C038A">
      <w:start w:val="1"/>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A6FEB"/>
    <w:multiLevelType w:val="multilevel"/>
    <w:tmpl w:val="BBF2C3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66225"/>
    <w:multiLevelType w:val="hybridMultilevel"/>
    <w:tmpl w:val="2E0CD9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65A10"/>
    <w:multiLevelType w:val="multilevel"/>
    <w:tmpl w:val="AB2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20172"/>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5246D"/>
    <w:multiLevelType w:val="hybridMultilevel"/>
    <w:tmpl w:val="BCA46672"/>
    <w:lvl w:ilvl="0" w:tplc="F01268B8">
      <w:start w:val="1"/>
      <w:numFmt w:val="decimalZero"/>
      <w:lvlText w:val="%1"/>
      <w:lvlJc w:val="left"/>
      <w:pPr>
        <w:ind w:left="580" w:hanging="58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003F9A"/>
    <w:multiLevelType w:val="multilevel"/>
    <w:tmpl w:val="BCA46672"/>
    <w:lvl w:ilvl="0">
      <w:start w:val="1"/>
      <w:numFmt w:val="decimalZero"/>
      <w:lvlText w:val="%1"/>
      <w:lvlJc w:val="left"/>
      <w:pPr>
        <w:ind w:left="580" w:hanging="58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804604E"/>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C2622"/>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462E7"/>
    <w:multiLevelType w:val="multilevel"/>
    <w:tmpl w:val="A9C2207C"/>
    <w:lvl w:ilvl="0">
      <w:start w:val="1"/>
      <w:numFmt w:val="decimal"/>
      <w:lvlText w:val="%1."/>
      <w:lvlJc w:val="left"/>
      <w:pPr>
        <w:ind w:left="720" w:hanging="360"/>
      </w:pPr>
      <w:rPr>
        <w:b/>
      </w:rPr>
    </w:lvl>
    <w:lvl w:ilvl="1">
      <w:start w:val="1"/>
      <w:numFmt w:val="none"/>
      <w:lvlText w:val="3.1"/>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D3114C"/>
    <w:multiLevelType w:val="multilevel"/>
    <w:tmpl w:val="6E42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95628"/>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918C8"/>
    <w:multiLevelType w:val="hybridMultilevel"/>
    <w:tmpl w:val="610A389A"/>
    <w:lvl w:ilvl="0" w:tplc="BAB6764E">
      <w:start w:val="1"/>
      <w:numFmt w:val="decimalZero"/>
      <w:lvlText w:val="%1"/>
      <w:lvlJc w:val="left"/>
      <w:pPr>
        <w:ind w:left="1080" w:hanging="720"/>
      </w:pPr>
      <w:rPr>
        <w:rFonts w:ascii="Courier" w:eastAsiaTheme="minorEastAsia" w:hAnsi="Courie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921CB"/>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E24BEA"/>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542A0"/>
    <w:multiLevelType w:val="multilevel"/>
    <w:tmpl w:val="74D82114"/>
    <w:lvl w:ilvl="0">
      <w:start w:val="1"/>
      <w:numFmt w:val="decimalZero"/>
      <w:lvlText w:val="%1"/>
      <w:lvlJc w:val="left"/>
      <w:pPr>
        <w:ind w:left="360" w:hanging="360"/>
      </w:pPr>
      <w:rPr>
        <w:rFonts w:ascii="Courier" w:hAnsi="Courier"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4A50698"/>
    <w:multiLevelType w:val="hybridMultilevel"/>
    <w:tmpl w:val="A58C76E0"/>
    <w:lvl w:ilvl="0" w:tplc="E4C2A09C">
      <w:start w:val="1"/>
      <w:numFmt w:val="decimalZero"/>
      <w:lvlText w:val="%1"/>
      <w:lvlJc w:val="left"/>
      <w:pPr>
        <w:ind w:left="360" w:hanging="360"/>
      </w:pPr>
      <w:rPr>
        <w:rFonts w:ascii="Courier" w:hAnsi="Courier"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0C220F"/>
    <w:multiLevelType w:val="multilevel"/>
    <w:tmpl w:val="4CB04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2604D8"/>
    <w:multiLevelType w:val="hybridMultilevel"/>
    <w:tmpl w:val="F440F1FC"/>
    <w:lvl w:ilvl="0" w:tplc="5B6255CC">
      <w:start w:val="1"/>
      <w:numFmt w:val="decimalZero"/>
      <w:lvlText w:val="%1"/>
      <w:lvlJc w:val="left"/>
      <w:pPr>
        <w:ind w:left="360" w:hanging="360"/>
      </w:pPr>
      <w:rPr>
        <w:rFonts w:ascii="Courier" w:hAnsi="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244FF"/>
    <w:multiLevelType w:val="hybridMultilevel"/>
    <w:tmpl w:val="3E22F3FC"/>
    <w:lvl w:ilvl="0" w:tplc="F01268B8">
      <w:start w:val="1"/>
      <w:numFmt w:val="decimalZero"/>
      <w:lvlText w:val="%1"/>
      <w:lvlJc w:val="left"/>
      <w:pPr>
        <w:ind w:left="58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020D1B"/>
    <w:multiLevelType w:val="hybridMultilevel"/>
    <w:tmpl w:val="A9C2207C"/>
    <w:lvl w:ilvl="0" w:tplc="88F6DB9E">
      <w:start w:val="1"/>
      <w:numFmt w:val="decimal"/>
      <w:lvlText w:val="%1."/>
      <w:lvlJc w:val="left"/>
      <w:pPr>
        <w:ind w:left="720" w:hanging="360"/>
      </w:pPr>
      <w:rPr>
        <w:b/>
      </w:rPr>
    </w:lvl>
    <w:lvl w:ilvl="1" w:tplc="00DEA99C">
      <w:start w:val="1"/>
      <w:numFmt w:val="none"/>
      <w:lvlText w:val="3.1"/>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CD3757"/>
    <w:multiLevelType w:val="hybridMultilevel"/>
    <w:tmpl w:val="0952FE76"/>
    <w:lvl w:ilvl="0" w:tplc="A5A8ACC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3F352E"/>
    <w:multiLevelType w:val="hybridMultilevel"/>
    <w:tmpl w:val="62F6E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16EB2"/>
    <w:multiLevelType w:val="multilevel"/>
    <w:tmpl w:val="FD5658E2"/>
    <w:lvl w:ilvl="0">
      <w:start w:val="1"/>
      <w:numFmt w:val="decimalZero"/>
      <w:lvlText w:val="%1"/>
      <w:lvlJc w:val="left"/>
      <w:pPr>
        <w:ind w:left="1080" w:hanging="720"/>
      </w:pPr>
      <w:rPr>
        <w:rFonts w:ascii="Courier" w:eastAsiaTheme="minorEastAsia" w:hAnsi="Courier"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B3369A"/>
    <w:multiLevelType w:val="multilevel"/>
    <w:tmpl w:val="066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E2FDC"/>
    <w:multiLevelType w:val="multilevel"/>
    <w:tmpl w:val="88EA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020822">
    <w:abstractNumId w:val="7"/>
  </w:num>
  <w:num w:numId="2" w16cid:durableId="687754683">
    <w:abstractNumId w:val="26"/>
  </w:num>
  <w:num w:numId="3" w16cid:durableId="94830856">
    <w:abstractNumId w:val="2"/>
  </w:num>
  <w:num w:numId="4" w16cid:durableId="1324897815">
    <w:abstractNumId w:val="16"/>
  </w:num>
  <w:num w:numId="5" w16cid:durableId="216091945">
    <w:abstractNumId w:val="27"/>
  </w:num>
  <w:num w:numId="6" w16cid:durableId="1363481444">
    <w:abstractNumId w:val="1"/>
  </w:num>
  <w:num w:numId="7" w16cid:durableId="1206140984">
    <w:abstractNumId w:val="20"/>
  </w:num>
  <w:num w:numId="8" w16cid:durableId="1826823550">
    <w:abstractNumId w:val="9"/>
  </w:num>
  <w:num w:numId="9" w16cid:durableId="773862620">
    <w:abstractNumId w:val="10"/>
  </w:num>
  <w:num w:numId="10" w16cid:durableId="1220945435">
    <w:abstractNumId w:val="12"/>
  </w:num>
  <w:num w:numId="11" w16cid:durableId="848251006">
    <w:abstractNumId w:val="18"/>
  </w:num>
  <w:num w:numId="12" w16cid:durableId="788430703">
    <w:abstractNumId w:val="23"/>
  </w:num>
  <w:num w:numId="13" w16cid:durableId="710957499">
    <w:abstractNumId w:val="8"/>
  </w:num>
  <w:num w:numId="14" w16cid:durableId="2138521112">
    <w:abstractNumId w:val="17"/>
  </w:num>
  <w:num w:numId="15" w16cid:durableId="1230532048">
    <w:abstractNumId w:val="15"/>
  </w:num>
  <w:num w:numId="16" w16cid:durableId="1853641245">
    <w:abstractNumId w:val="21"/>
  </w:num>
  <w:num w:numId="17" w16cid:durableId="921186429">
    <w:abstractNumId w:val="28"/>
  </w:num>
  <w:num w:numId="18" w16cid:durableId="1153910349">
    <w:abstractNumId w:val="29"/>
  </w:num>
  <w:num w:numId="19" w16cid:durableId="347564757">
    <w:abstractNumId w:val="24"/>
  </w:num>
  <w:num w:numId="20" w16cid:durableId="1314682198">
    <w:abstractNumId w:val="5"/>
  </w:num>
  <w:num w:numId="21" w16cid:durableId="429620018">
    <w:abstractNumId w:val="0"/>
  </w:num>
  <w:num w:numId="22" w16cid:durableId="484395706">
    <w:abstractNumId w:val="22"/>
  </w:num>
  <w:num w:numId="23" w16cid:durableId="1870753872">
    <w:abstractNumId w:val="11"/>
  </w:num>
  <w:num w:numId="24" w16cid:durableId="1094588395">
    <w:abstractNumId w:val="25"/>
  </w:num>
  <w:num w:numId="25" w16cid:durableId="695350994">
    <w:abstractNumId w:val="19"/>
  </w:num>
  <w:num w:numId="26" w16cid:durableId="214315768">
    <w:abstractNumId w:val="3"/>
  </w:num>
  <w:num w:numId="27" w16cid:durableId="373119396">
    <w:abstractNumId w:val="13"/>
  </w:num>
  <w:num w:numId="28" w16cid:durableId="1068840593">
    <w:abstractNumId w:val="6"/>
  </w:num>
  <w:num w:numId="29" w16cid:durableId="1026950807">
    <w:abstractNumId w:val="4"/>
  </w:num>
  <w:num w:numId="30" w16cid:durableId="145891568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le Jones">
    <w15:presenceInfo w15:providerId="AD" w15:userId="S::dkjones1@bradford.ac.uk::5db57c0f-1361-437f-898d-37ac6a6e2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76"/>
    <w:rsid w:val="00003EA3"/>
    <w:rsid w:val="0000443B"/>
    <w:rsid w:val="00010E13"/>
    <w:rsid w:val="00011F92"/>
    <w:rsid w:val="0001321B"/>
    <w:rsid w:val="0001499D"/>
    <w:rsid w:val="0001595B"/>
    <w:rsid w:val="0002309E"/>
    <w:rsid w:val="000255F0"/>
    <w:rsid w:val="00031E7E"/>
    <w:rsid w:val="000361A4"/>
    <w:rsid w:val="00044624"/>
    <w:rsid w:val="00051AFD"/>
    <w:rsid w:val="00060A87"/>
    <w:rsid w:val="00060E50"/>
    <w:rsid w:val="0006431B"/>
    <w:rsid w:val="000646AA"/>
    <w:rsid w:val="00067DCD"/>
    <w:rsid w:val="00070538"/>
    <w:rsid w:val="000720E0"/>
    <w:rsid w:val="00073AE9"/>
    <w:rsid w:val="00076715"/>
    <w:rsid w:val="000770B2"/>
    <w:rsid w:val="00077852"/>
    <w:rsid w:val="00081D0D"/>
    <w:rsid w:val="00086A1C"/>
    <w:rsid w:val="000878B5"/>
    <w:rsid w:val="00090563"/>
    <w:rsid w:val="0009711A"/>
    <w:rsid w:val="000A5CCC"/>
    <w:rsid w:val="000B36D8"/>
    <w:rsid w:val="000B5CCF"/>
    <w:rsid w:val="000C75DE"/>
    <w:rsid w:val="000D04F7"/>
    <w:rsid w:val="000D3469"/>
    <w:rsid w:val="000D41C9"/>
    <w:rsid w:val="000E5B2F"/>
    <w:rsid w:val="000E5C9E"/>
    <w:rsid w:val="000F00AD"/>
    <w:rsid w:val="000F29E6"/>
    <w:rsid w:val="000F61D4"/>
    <w:rsid w:val="000F69ED"/>
    <w:rsid w:val="001029EC"/>
    <w:rsid w:val="00102B11"/>
    <w:rsid w:val="0010565D"/>
    <w:rsid w:val="00105714"/>
    <w:rsid w:val="00106259"/>
    <w:rsid w:val="0010644F"/>
    <w:rsid w:val="00107378"/>
    <w:rsid w:val="00114FB2"/>
    <w:rsid w:val="00115CB1"/>
    <w:rsid w:val="00122912"/>
    <w:rsid w:val="0013284F"/>
    <w:rsid w:val="00132C38"/>
    <w:rsid w:val="00132C68"/>
    <w:rsid w:val="00132CDB"/>
    <w:rsid w:val="00134364"/>
    <w:rsid w:val="001350F8"/>
    <w:rsid w:val="00151206"/>
    <w:rsid w:val="00154CA1"/>
    <w:rsid w:val="001554B8"/>
    <w:rsid w:val="00162330"/>
    <w:rsid w:val="00167E09"/>
    <w:rsid w:val="00170BD1"/>
    <w:rsid w:val="0017322C"/>
    <w:rsid w:val="00176232"/>
    <w:rsid w:val="001765CF"/>
    <w:rsid w:val="00177079"/>
    <w:rsid w:val="00180AAB"/>
    <w:rsid w:val="00182D13"/>
    <w:rsid w:val="0018464B"/>
    <w:rsid w:val="001900D1"/>
    <w:rsid w:val="00190D70"/>
    <w:rsid w:val="00194EF5"/>
    <w:rsid w:val="001A3013"/>
    <w:rsid w:val="001A4983"/>
    <w:rsid w:val="001C0BDB"/>
    <w:rsid w:val="001C6D14"/>
    <w:rsid w:val="001D0BF7"/>
    <w:rsid w:val="001E076C"/>
    <w:rsid w:val="001E3F7F"/>
    <w:rsid w:val="001F196C"/>
    <w:rsid w:val="001F19FF"/>
    <w:rsid w:val="00217D38"/>
    <w:rsid w:val="00225AAC"/>
    <w:rsid w:val="00231988"/>
    <w:rsid w:val="002342A9"/>
    <w:rsid w:val="002354A0"/>
    <w:rsid w:val="00240875"/>
    <w:rsid w:val="00245AAA"/>
    <w:rsid w:val="00246CDB"/>
    <w:rsid w:val="00254236"/>
    <w:rsid w:val="00254601"/>
    <w:rsid w:val="00256AD7"/>
    <w:rsid w:val="00265242"/>
    <w:rsid w:val="0026635C"/>
    <w:rsid w:val="002705A1"/>
    <w:rsid w:val="00271026"/>
    <w:rsid w:val="002741F8"/>
    <w:rsid w:val="00276954"/>
    <w:rsid w:val="00284D4A"/>
    <w:rsid w:val="00285392"/>
    <w:rsid w:val="002858F9"/>
    <w:rsid w:val="0028785D"/>
    <w:rsid w:val="00292508"/>
    <w:rsid w:val="002A4014"/>
    <w:rsid w:val="002A433B"/>
    <w:rsid w:val="002B254D"/>
    <w:rsid w:val="002C3AA1"/>
    <w:rsid w:val="002C4216"/>
    <w:rsid w:val="002C4457"/>
    <w:rsid w:val="002D218B"/>
    <w:rsid w:val="002D3412"/>
    <w:rsid w:val="002D75C3"/>
    <w:rsid w:val="002E29B6"/>
    <w:rsid w:val="002E62A4"/>
    <w:rsid w:val="002E7B82"/>
    <w:rsid w:val="002F3780"/>
    <w:rsid w:val="002F3FEE"/>
    <w:rsid w:val="002F5EE2"/>
    <w:rsid w:val="003047B6"/>
    <w:rsid w:val="00305349"/>
    <w:rsid w:val="00306463"/>
    <w:rsid w:val="00307176"/>
    <w:rsid w:val="00312A8C"/>
    <w:rsid w:val="00323C6E"/>
    <w:rsid w:val="00334B83"/>
    <w:rsid w:val="0033659F"/>
    <w:rsid w:val="003409FD"/>
    <w:rsid w:val="0035057D"/>
    <w:rsid w:val="003550A0"/>
    <w:rsid w:val="003553D5"/>
    <w:rsid w:val="00357D9D"/>
    <w:rsid w:val="00360D8B"/>
    <w:rsid w:val="003654AA"/>
    <w:rsid w:val="003723AD"/>
    <w:rsid w:val="00372CD7"/>
    <w:rsid w:val="00382124"/>
    <w:rsid w:val="00383B1F"/>
    <w:rsid w:val="00386BC3"/>
    <w:rsid w:val="003928BB"/>
    <w:rsid w:val="00393025"/>
    <w:rsid w:val="00395CEB"/>
    <w:rsid w:val="00396DD5"/>
    <w:rsid w:val="003A3FFD"/>
    <w:rsid w:val="003A5C4A"/>
    <w:rsid w:val="003A7343"/>
    <w:rsid w:val="003B0617"/>
    <w:rsid w:val="003B21D7"/>
    <w:rsid w:val="003B2B24"/>
    <w:rsid w:val="003B780B"/>
    <w:rsid w:val="003C77E6"/>
    <w:rsid w:val="003D234F"/>
    <w:rsid w:val="003D2371"/>
    <w:rsid w:val="003D36F3"/>
    <w:rsid w:val="003D5A3C"/>
    <w:rsid w:val="003D6B39"/>
    <w:rsid w:val="003D6D12"/>
    <w:rsid w:val="003F0329"/>
    <w:rsid w:val="003F06B3"/>
    <w:rsid w:val="003F10D6"/>
    <w:rsid w:val="003F3A19"/>
    <w:rsid w:val="00413F59"/>
    <w:rsid w:val="004240F0"/>
    <w:rsid w:val="0042495D"/>
    <w:rsid w:val="00426B64"/>
    <w:rsid w:val="00427534"/>
    <w:rsid w:val="00434876"/>
    <w:rsid w:val="00445160"/>
    <w:rsid w:val="00450286"/>
    <w:rsid w:val="004556BC"/>
    <w:rsid w:val="00462B7F"/>
    <w:rsid w:val="00465352"/>
    <w:rsid w:val="0046667D"/>
    <w:rsid w:val="00471675"/>
    <w:rsid w:val="00471B0E"/>
    <w:rsid w:val="004729D2"/>
    <w:rsid w:val="00480465"/>
    <w:rsid w:val="00481215"/>
    <w:rsid w:val="004813F5"/>
    <w:rsid w:val="004844D3"/>
    <w:rsid w:val="004858D8"/>
    <w:rsid w:val="00490D00"/>
    <w:rsid w:val="004A075E"/>
    <w:rsid w:val="004A2A2A"/>
    <w:rsid w:val="004D1879"/>
    <w:rsid w:val="004E1620"/>
    <w:rsid w:val="005021C7"/>
    <w:rsid w:val="00502AA3"/>
    <w:rsid w:val="0050452C"/>
    <w:rsid w:val="005109D9"/>
    <w:rsid w:val="005129A6"/>
    <w:rsid w:val="00517DD9"/>
    <w:rsid w:val="005210B8"/>
    <w:rsid w:val="00521498"/>
    <w:rsid w:val="00525B7B"/>
    <w:rsid w:val="0052698E"/>
    <w:rsid w:val="00533076"/>
    <w:rsid w:val="005339E8"/>
    <w:rsid w:val="00535017"/>
    <w:rsid w:val="00544A9B"/>
    <w:rsid w:val="00547EF4"/>
    <w:rsid w:val="00554303"/>
    <w:rsid w:val="00555909"/>
    <w:rsid w:val="00560C93"/>
    <w:rsid w:val="005615E8"/>
    <w:rsid w:val="0056426C"/>
    <w:rsid w:val="0056716A"/>
    <w:rsid w:val="00570A67"/>
    <w:rsid w:val="00571513"/>
    <w:rsid w:val="00573ACF"/>
    <w:rsid w:val="0058209C"/>
    <w:rsid w:val="00595EDB"/>
    <w:rsid w:val="005A3730"/>
    <w:rsid w:val="005A3A55"/>
    <w:rsid w:val="005A6EB2"/>
    <w:rsid w:val="005B38FE"/>
    <w:rsid w:val="005B5AE7"/>
    <w:rsid w:val="005C30B3"/>
    <w:rsid w:val="005D0C8C"/>
    <w:rsid w:val="005D3401"/>
    <w:rsid w:val="005D4C19"/>
    <w:rsid w:val="005D4DD3"/>
    <w:rsid w:val="005F3095"/>
    <w:rsid w:val="005F724A"/>
    <w:rsid w:val="006014C5"/>
    <w:rsid w:val="006053BA"/>
    <w:rsid w:val="00611718"/>
    <w:rsid w:val="006118F2"/>
    <w:rsid w:val="00617FED"/>
    <w:rsid w:val="00621AAC"/>
    <w:rsid w:val="00622A95"/>
    <w:rsid w:val="00625784"/>
    <w:rsid w:val="006257CE"/>
    <w:rsid w:val="006305B6"/>
    <w:rsid w:val="00631F52"/>
    <w:rsid w:val="006345F2"/>
    <w:rsid w:val="00640436"/>
    <w:rsid w:val="00643335"/>
    <w:rsid w:val="00644ACC"/>
    <w:rsid w:val="006532CC"/>
    <w:rsid w:val="0065660C"/>
    <w:rsid w:val="00662233"/>
    <w:rsid w:val="00665C66"/>
    <w:rsid w:val="0067004E"/>
    <w:rsid w:val="006727C5"/>
    <w:rsid w:val="0067421D"/>
    <w:rsid w:val="00680245"/>
    <w:rsid w:val="006826F6"/>
    <w:rsid w:val="0069048E"/>
    <w:rsid w:val="0069725A"/>
    <w:rsid w:val="006A18E6"/>
    <w:rsid w:val="006A4D8E"/>
    <w:rsid w:val="006C69EA"/>
    <w:rsid w:val="006C71FB"/>
    <w:rsid w:val="006D16AC"/>
    <w:rsid w:val="006D1F3C"/>
    <w:rsid w:val="006D2885"/>
    <w:rsid w:val="006D63FB"/>
    <w:rsid w:val="006F1ECB"/>
    <w:rsid w:val="006F2C6E"/>
    <w:rsid w:val="006F7223"/>
    <w:rsid w:val="006F7A4C"/>
    <w:rsid w:val="00702668"/>
    <w:rsid w:val="00710BA7"/>
    <w:rsid w:val="00712B6B"/>
    <w:rsid w:val="007148F3"/>
    <w:rsid w:val="00714E3A"/>
    <w:rsid w:val="00723E64"/>
    <w:rsid w:val="00733757"/>
    <w:rsid w:val="00743AE1"/>
    <w:rsid w:val="00745C8F"/>
    <w:rsid w:val="007519FD"/>
    <w:rsid w:val="00751A0F"/>
    <w:rsid w:val="00751E5A"/>
    <w:rsid w:val="0075263D"/>
    <w:rsid w:val="00753452"/>
    <w:rsid w:val="007535C9"/>
    <w:rsid w:val="00757BBD"/>
    <w:rsid w:val="00761D88"/>
    <w:rsid w:val="00762B83"/>
    <w:rsid w:val="007802F5"/>
    <w:rsid w:val="0078488C"/>
    <w:rsid w:val="00784E6D"/>
    <w:rsid w:val="0078531C"/>
    <w:rsid w:val="007877A9"/>
    <w:rsid w:val="0079147A"/>
    <w:rsid w:val="0079661E"/>
    <w:rsid w:val="007B656C"/>
    <w:rsid w:val="007B65B2"/>
    <w:rsid w:val="007B74C2"/>
    <w:rsid w:val="007D03D9"/>
    <w:rsid w:val="007D0C56"/>
    <w:rsid w:val="007D43DD"/>
    <w:rsid w:val="007E5141"/>
    <w:rsid w:val="007E6669"/>
    <w:rsid w:val="007E7B47"/>
    <w:rsid w:val="007F1B35"/>
    <w:rsid w:val="007F201F"/>
    <w:rsid w:val="008012C3"/>
    <w:rsid w:val="00804FC2"/>
    <w:rsid w:val="0081262C"/>
    <w:rsid w:val="00812F99"/>
    <w:rsid w:val="008152D7"/>
    <w:rsid w:val="00817974"/>
    <w:rsid w:val="00817E45"/>
    <w:rsid w:val="008255DB"/>
    <w:rsid w:val="00825B61"/>
    <w:rsid w:val="008318DA"/>
    <w:rsid w:val="00833DEB"/>
    <w:rsid w:val="008427B8"/>
    <w:rsid w:val="00843F2D"/>
    <w:rsid w:val="008448CC"/>
    <w:rsid w:val="0084785B"/>
    <w:rsid w:val="00851C99"/>
    <w:rsid w:val="00853736"/>
    <w:rsid w:val="00860912"/>
    <w:rsid w:val="00862371"/>
    <w:rsid w:val="008634F4"/>
    <w:rsid w:val="008660B8"/>
    <w:rsid w:val="008708C2"/>
    <w:rsid w:val="00870DAC"/>
    <w:rsid w:val="00873A10"/>
    <w:rsid w:val="00874C68"/>
    <w:rsid w:val="00875B37"/>
    <w:rsid w:val="00885413"/>
    <w:rsid w:val="00893310"/>
    <w:rsid w:val="008A33D9"/>
    <w:rsid w:val="008A7421"/>
    <w:rsid w:val="008A748D"/>
    <w:rsid w:val="008A7FF7"/>
    <w:rsid w:val="008B5559"/>
    <w:rsid w:val="008B694F"/>
    <w:rsid w:val="008C5065"/>
    <w:rsid w:val="008D0395"/>
    <w:rsid w:val="008D1870"/>
    <w:rsid w:val="008D357C"/>
    <w:rsid w:val="008D53F7"/>
    <w:rsid w:val="008E2D34"/>
    <w:rsid w:val="008E4957"/>
    <w:rsid w:val="008E62CD"/>
    <w:rsid w:val="00903110"/>
    <w:rsid w:val="00905C72"/>
    <w:rsid w:val="00910132"/>
    <w:rsid w:val="00914511"/>
    <w:rsid w:val="00924A27"/>
    <w:rsid w:val="00943A7A"/>
    <w:rsid w:val="00943BA0"/>
    <w:rsid w:val="00944BA4"/>
    <w:rsid w:val="00947F73"/>
    <w:rsid w:val="00950C25"/>
    <w:rsid w:val="00951195"/>
    <w:rsid w:val="00960A70"/>
    <w:rsid w:val="009617AD"/>
    <w:rsid w:val="009640FF"/>
    <w:rsid w:val="009655E3"/>
    <w:rsid w:val="0097102A"/>
    <w:rsid w:val="00972281"/>
    <w:rsid w:val="0097233E"/>
    <w:rsid w:val="0097749A"/>
    <w:rsid w:val="009805EF"/>
    <w:rsid w:val="00983E35"/>
    <w:rsid w:val="009840D1"/>
    <w:rsid w:val="00984D2B"/>
    <w:rsid w:val="00986A69"/>
    <w:rsid w:val="009911F1"/>
    <w:rsid w:val="00994860"/>
    <w:rsid w:val="009960AD"/>
    <w:rsid w:val="00996EC6"/>
    <w:rsid w:val="00997173"/>
    <w:rsid w:val="009A170E"/>
    <w:rsid w:val="009A30CE"/>
    <w:rsid w:val="009A3DFA"/>
    <w:rsid w:val="009A6E04"/>
    <w:rsid w:val="009B01EA"/>
    <w:rsid w:val="009B19D4"/>
    <w:rsid w:val="009B3306"/>
    <w:rsid w:val="009B35E0"/>
    <w:rsid w:val="009B539C"/>
    <w:rsid w:val="009C01CA"/>
    <w:rsid w:val="009C1760"/>
    <w:rsid w:val="009C4B3D"/>
    <w:rsid w:val="009C5054"/>
    <w:rsid w:val="009D7475"/>
    <w:rsid w:val="009E0404"/>
    <w:rsid w:val="009E20D5"/>
    <w:rsid w:val="009E3CA7"/>
    <w:rsid w:val="009F1A98"/>
    <w:rsid w:val="009F5EB0"/>
    <w:rsid w:val="00A00EC4"/>
    <w:rsid w:val="00A037F0"/>
    <w:rsid w:val="00A104FF"/>
    <w:rsid w:val="00A12196"/>
    <w:rsid w:val="00A14343"/>
    <w:rsid w:val="00A16DBC"/>
    <w:rsid w:val="00A25553"/>
    <w:rsid w:val="00A25A00"/>
    <w:rsid w:val="00A35732"/>
    <w:rsid w:val="00A4043F"/>
    <w:rsid w:val="00A4151A"/>
    <w:rsid w:val="00A4646E"/>
    <w:rsid w:val="00A46E15"/>
    <w:rsid w:val="00A50EDB"/>
    <w:rsid w:val="00A51194"/>
    <w:rsid w:val="00A514AA"/>
    <w:rsid w:val="00A5556E"/>
    <w:rsid w:val="00A649D2"/>
    <w:rsid w:val="00A65083"/>
    <w:rsid w:val="00A669EC"/>
    <w:rsid w:val="00A66FBB"/>
    <w:rsid w:val="00A67C17"/>
    <w:rsid w:val="00A70C21"/>
    <w:rsid w:val="00A72A1C"/>
    <w:rsid w:val="00A861AF"/>
    <w:rsid w:val="00AB01A4"/>
    <w:rsid w:val="00AB2DAF"/>
    <w:rsid w:val="00AB2EB2"/>
    <w:rsid w:val="00AC6AE9"/>
    <w:rsid w:val="00AD1514"/>
    <w:rsid w:val="00AD39D7"/>
    <w:rsid w:val="00AD673D"/>
    <w:rsid w:val="00AD6AAF"/>
    <w:rsid w:val="00AE2734"/>
    <w:rsid w:val="00AE2DD8"/>
    <w:rsid w:val="00AE319A"/>
    <w:rsid w:val="00AE3654"/>
    <w:rsid w:val="00AF055A"/>
    <w:rsid w:val="00AF5055"/>
    <w:rsid w:val="00AF72CF"/>
    <w:rsid w:val="00AF7A8B"/>
    <w:rsid w:val="00B008A7"/>
    <w:rsid w:val="00B044BA"/>
    <w:rsid w:val="00B05CBC"/>
    <w:rsid w:val="00B155F6"/>
    <w:rsid w:val="00B26034"/>
    <w:rsid w:val="00B27210"/>
    <w:rsid w:val="00B321F7"/>
    <w:rsid w:val="00B33F8F"/>
    <w:rsid w:val="00B363A7"/>
    <w:rsid w:val="00B36B22"/>
    <w:rsid w:val="00B419BE"/>
    <w:rsid w:val="00B43F8C"/>
    <w:rsid w:val="00B45D1F"/>
    <w:rsid w:val="00B46F3E"/>
    <w:rsid w:val="00B52471"/>
    <w:rsid w:val="00B539F9"/>
    <w:rsid w:val="00B53EAF"/>
    <w:rsid w:val="00B56BDF"/>
    <w:rsid w:val="00B60F7F"/>
    <w:rsid w:val="00B61101"/>
    <w:rsid w:val="00B67327"/>
    <w:rsid w:val="00B7184E"/>
    <w:rsid w:val="00B71D89"/>
    <w:rsid w:val="00B779E3"/>
    <w:rsid w:val="00B82883"/>
    <w:rsid w:val="00B83AB1"/>
    <w:rsid w:val="00B91C07"/>
    <w:rsid w:val="00B91F38"/>
    <w:rsid w:val="00B921AE"/>
    <w:rsid w:val="00B95A9E"/>
    <w:rsid w:val="00B9632B"/>
    <w:rsid w:val="00B97631"/>
    <w:rsid w:val="00BA4EF3"/>
    <w:rsid w:val="00BA6FBA"/>
    <w:rsid w:val="00BA780C"/>
    <w:rsid w:val="00BC7447"/>
    <w:rsid w:val="00BC79BE"/>
    <w:rsid w:val="00BD1683"/>
    <w:rsid w:val="00BD366C"/>
    <w:rsid w:val="00BD63FC"/>
    <w:rsid w:val="00BF70FB"/>
    <w:rsid w:val="00BF7826"/>
    <w:rsid w:val="00C152B4"/>
    <w:rsid w:val="00C16D7B"/>
    <w:rsid w:val="00C228FD"/>
    <w:rsid w:val="00C23797"/>
    <w:rsid w:val="00C2618E"/>
    <w:rsid w:val="00C32029"/>
    <w:rsid w:val="00C32F82"/>
    <w:rsid w:val="00C33201"/>
    <w:rsid w:val="00C43612"/>
    <w:rsid w:val="00C465CF"/>
    <w:rsid w:val="00C475C0"/>
    <w:rsid w:val="00C51CE0"/>
    <w:rsid w:val="00C56531"/>
    <w:rsid w:val="00C72A45"/>
    <w:rsid w:val="00C754F3"/>
    <w:rsid w:val="00C85635"/>
    <w:rsid w:val="00C87173"/>
    <w:rsid w:val="00C87E8C"/>
    <w:rsid w:val="00C90F44"/>
    <w:rsid w:val="00C91726"/>
    <w:rsid w:val="00C92F32"/>
    <w:rsid w:val="00C93915"/>
    <w:rsid w:val="00C942D7"/>
    <w:rsid w:val="00C97E93"/>
    <w:rsid w:val="00CA1BC9"/>
    <w:rsid w:val="00CA3012"/>
    <w:rsid w:val="00CA34D8"/>
    <w:rsid w:val="00CA5756"/>
    <w:rsid w:val="00CA5BFB"/>
    <w:rsid w:val="00CA5FB1"/>
    <w:rsid w:val="00CB1FFF"/>
    <w:rsid w:val="00CB51DD"/>
    <w:rsid w:val="00CB57EE"/>
    <w:rsid w:val="00CB6F51"/>
    <w:rsid w:val="00CC1385"/>
    <w:rsid w:val="00CC2A27"/>
    <w:rsid w:val="00CC3E89"/>
    <w:rsid w:val="00CD14A4"/>
    <w:rsid w:val="00CD3894"/>
    <w:rsid w:val="00CD6169"/>
    <w:rsid w:val="00CD6C84"/>
    <w:rsid w:val="00CD72FD"/>
    <w:rsid w:val="00CE4C5F"/>
    <w:rsid w:val="00CE5FCA"/>
    <w:rsid w:val="00CE5FFD"/>
    <w:rsid w:val="00CE6B2E"/>
    <w:rsid w:val="00CF00D3"/>
    <w:rsid w:val="00D00F75"/>
    <w:rsid w:val="00D114F0"/>
    <w:rsid w:val="00D1205A"/>
    <w:rsid w:val="00D129AE"/>
    <w:rsid w:val="00D20922"/>
    <w:rsid w:val="00D2485D"/>
    <w:rsid w:val="00D25C4E"/>
    <w:rsid w:val="00D260C7"/>
    <w:rsid w:val="00D27CC4"/>
    <w:rsid w:val="00D34BFC"/>
    <w:rsid w:val="00D372A3"/>
    <w:rsid w:val="00D376FC"/>
    <w:rsid w:val="00D4014A"/>
    <w:rsid w:val="00D401F3"/>
    <w:rsid w:val="00D41D48"/>
    <w:rsid w:val="00D4363D"/>
    <w:rsid w:val="00D4456E"/>
    <w:rsid w:val="00D44C33"/>
    <w:rsid w:val="00D508E0"/>
    <w:rsid w:val="00D7008A"/>
    <w:rsid w:val="00D75484"/>
    <w:rsid w:val="00D80894"/>
    <w:rsid w:val="00D87F9D"/>
    <w:rsid w:val="00D93239"/>
    <w:rsid w:val="00D93803"/>
    <w:rsid w:val="00D93E3A"/>
    <w:rsid w:val="00D962E2"/>
    <w:rsid w:val="00DA2B34"/>
    <w:rsid w:val="00DA4085"/>
    <w:rsid w:val="00DB0F65"/>
    <w:rsid w:val="00DB704F"/>
    <w:rsid w:val="00DC37C1"/>
    <w:rsid w:val="00DD2122"/>
    <w:rsid w:val="00DD2470"/>
    <w:rsid w:val="00DD799F"/>
    <w:rsid w:val="00DE347D"/>
    <w:rsid w:val="00DE467C"/>
    <w:rsid w:val="00DE6DA5"/>
    <w:rsid w:val="00DF006B"/>
    <w:rsid w:val="00DF375B"/>
    <w:rsid w:val="00DF72D8"/>
    <w:rsid w:val="00E053A5"/>
    <w:rsid w:val="00E05871"/>
    <w:rsid w:val="00E115A4"/>
    <w:rsid w:val="00E151DA"/>
    <w:rsid w:val="00E15977"/>
    <w:rsid w:val="00E243FC"/>
    <w:rsid w:val="00E24A28"/>
    <w:rsid w:val="00E255E3"/>
    <w:rsid w:val="00E26239"/>
    <w:rsid w:val="00E30C83"/>
    <w:rsid w:val="00E311F5"/>
    <w:rsid w:val="00E31FAE"/>
    <w:rsid w:val="00E32845"/>
    <w:rsid w:val="00E3705F"/>
    <w:rsid w:val="00E41481"/>
    <w:rsid w:val="00E46C8D"/>
    <w:rsid w:val="00E50FC5"/>
    <w:rsid w:val="00E52EEA"/>
    <w:rsid w:val="00E5595E"/>
    <w:rsid w:val="00E560C9"/>
    <w:rsid w:val="00E567A4"/>
    <w:rsid w:val="00E56894"/>
    <w:rsid w:val="00E57C32"/>
    <w:rsid w:val="00E63B7E"/>
    <w:rsid w:val="00E66B09"/>
    <w:rsid w:val="00E67F5F"/>
    <w:rsid w:val="00E70FCF"/>
    <w:rsid w:val="00E741B5"/>
    <w:rsid w:val="00E746D8"/>
    <w:rsid w:val="00E8413B"/>
    <w:rsid w:val="00E90802"/>
    <w:rsid w:val="00E90981"/>
    <w:rsid w:val="00E909F4"/>
    <w:rsid w:val="00E96395"/>
    <w:rsid w:val="00EA204C"/>
    <w:rsid w:val="00EA2553"/>
    <w:rsid w:val="00EA5745"/>
    <w:rsid w:val="00EB0A4F"/>
    <w:rsid w:val="00EC31EE"/>
    <w:rsid w:val="00EC3B7D"/>
    <w:rsid w:val="00ED1753"/>
    <w:rsid w:val="00ED55F2"/>
    <w:rsid w:val="00EE0C9F"/>
    <w:rsid w:val="00EE1C89"/>
    <w:rsid w:val="00EE275A"/>
    <w:rsid w:val="00EE2F79"/>
    <w:rsid w:val="00EE3B8C"/>
    <w:rsid w:val="00EE5114"/>
    <w:rsid w:val="00EE57EB"/>
    <w:rsid w:val="00EF1E04"/>
    <w:rsid w:val="00EF26E9"/>
    <w:rsid w:val="00EF2F8D"/>
    <w:rsid w:val="00EF7590"/>
    <w:rsid w:val="00F04E65"/>
    <w:rsid w:val="00F16DD7"/>
    <w:rsid w:val="00F21EB2"/>
    <w:rsid w:val="00F239CF"/>
    <w:rsid w:val="00F23D18"/>
    <w:rsid w:val="00F25FF5"/>
    <w:rsid w:val="00F32DC0"/>
    <w:rsid w:val="00F34D32"/>
    <w:rsid w:val="00F40A95"/>
    <w:rsid w:val="00F52D1E"/>
    <w:rsid w:val="00F54819"/>
    <w:rsid w:val="00F601FF"/>
    <w:rsid w:val="00F60FD7"/>
    <w:rsid w:val="00F630BB"/>
    <w:rsid w:val="00F8771E"/>
    <w:rsid w:val="00F90ABF"/>
    <w:rsid w:val="00F91260"/>
    <w:rsid w:val="00F95312"/>
    <w:rsid w:val="00FB6AA7"/>
    <w:rsid w:val="00FC6D9D"/>
    <w:rsid w:val="00FD110D"/>
    <w:rsid w:val="00FD1979"/>
    <w:rsid w:val="00FD462B"/>
    <w:rsid w:val="00FD6162"/>
    <w:rsid w:val="00FD7053"/>
    <w:rsid w:val="00FE1C89"/>
    <w:rsid w:val="00FE22B6"/>
    <w:rsid w:val="00FF2A3E"/>
    <w:rsid w:val="00FF3989"/>
    <w:rsid w:val="00FF4986"/>
    <w:rsid w:val="00FF5A25"/>
    <w:rsid w:val="00FF5E71"/>
    <w:rsid w:val="00FF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B3F9E"/>
  <w14:defaultImageDpi w14:val="300"/>
  <w15:docId w15:val="{9FB7E99D-063A-4BB8-95B2-76206144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8D"/>
    <w:rPr>
      <w:rFonts w:ascii="Times New Roman" w:eastAsia="Times New Roman" w:hAnsi="Times New Roman" w:cs="Times New Roman"/>
      <w:lang w:val="en-GB"/>
    </w:rPr>
  </w:style>
  <w:style w:type="paragraph" w:styleId="Heading4">
    <w:name w:val="heading 4"/>
    <w:basedOn w:val="Normal"/>
    <w:next w:val="Normal"/>
    <w:link w:val="Heading4Char"/>
    <w:uiPriority w:val="9"/>
    <w:semiHidden/>
    <w:unhideWhenUsed/>
    <w:qFormat/>
    <w:rsid w:val="0030717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07176"/>
    <w:rPr>
      <w:rFonts w:asciiTheme="majorHAnsi" w:eastAsiaTheme="majorEastAsia" w:hAnsiTheme="majorHAnsi" w:cstheme="majorBidi"/>
      <w:b/>
      <w:bCs/>
      <w:i/>
      <w:iCs/>
      <w:color w:val="4F81BD" w:themeColor="accent1"/>
      <w:lang w:val="en-GB"/>
    </w:rPr>
  </w:style>
  <w:style w:type="paragraph" w:styleId="ListParagraph">
    <w:name w:val="List Paragraph"/>
    <w:basedOn w:val="Normal"/>
    <w:uiPriority w:val="34"/>
    <w:qFormat/>
    <w:rsid w:val="00307176"/>
    <w:pPr>
      <w:ind w:left="720"/>
      <w:contextualSpacing/>
    </w:pPr>
    <w:rPr>
      <w:rFonts w:eastAsiaTheme="minorEastAsia"/>
    </w:rPr>
  </w:style>
  <w:style w:type="paragraph" w:styleId="BalloonText">
    <w:name w:val="Balloon Text"/>
    <w:basedOn w:val="Normal"/>
    <w:link w:val="BalloonTextChar"/>
    <w:uiPriority w:val="99"/>
    <w:semiHidden/>
    <w:unhideWhenUsed/>
    <w:rsid w:val="00307176"/>
    <w:rPr>
      <w:rFonts w:eastAsiaTheme="minorEastAsia"/>
      <w:sz w:val="18"/>
      <w:szCs w:val="18"/>
    </w:rPr>
  </w:style>
  <w:style w:type="character" w:customStyle="1" w:styleId="BalloonTextChar">
    <w:name w:val="Balloon Text Char"/>
    <w:basedOn w:val="DefaultParagraphFont"/>
    <w:link w:val="BalloonText"/>
    <w:uiPriority w:val="99"/>
    <w:semiHidden/>
    <w:rsid w:val="0030717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07176"/>
    <w:rPr>
      <w:sz w:val="16"/>
      <w:szCs w:val="16"/>
    </w:rPr>
  </w:style>
  <w:style w:type="paragraph" w:styleId="CommentText">
    <w:name w:val="annotation text"/>
    <w:basedOn w:val="Normal"/>
    <w:link w:val="CommentTextChar"/>
    <w:uiPriority w:val="99"/>
    <w:unhideWhenUsed/>
    <w:rsid w:val="00307176"/>
    <w:rPr>
      <w:rFonts w:eastAsiaTheme="minorEastAsia"/>
      <w:sz w:val="20"/>
      <w:szCs w:val="20"/>
    </w:rPr>
  </w:style>
  <w:style w:type="character" w:customStyle="1" w:styleId="CommentTextChar">
    <w:name w:val="Comment Text Char"/>
    <w:basedOn w:val="DefaultParagraphFont"/>
    <w:link w:val="CommentText"/>
    <w:uiPriority w:val="99"/>
    <w:rsid w:val="0030717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7176"/>
    <w:rPr>
      <w:b/>
      <w:bCs/>
    </w:rPr>
  </w:style>
  <w:style w:type="character" w:customStyle="1" w:styleId="CommentSubjectChar">
    <w:name w:val="Comment Subject Char"/>
    <w:basedOn w:val="CommentTextChar"/>
    <w:link w:val="CommentSubject"/>
    <w:uiPriority w:val="99"/>
    <w:semiHidden/>
    <w:rsid w:val="00307176"/>
    <w:rPr>
      <w:rFonts w:ascii="Times New Roman" w:hAnsi="Times New Roman" w:cs="Times New Roman"/>
      <w:b/>
      <w:bCs/>
      <w:sz w:val="20"/>
      <w:szCs w:val="20"/>
      <w:lang w:val="en-GB"/>
    </w:rPr>
  </w:style>
  <w:style w:type="character" w:styleId="Emphasis">
    <w:name w:val="Emphasis"/>
    <w:basedOn w:val="DefaultParagraphFont"/>
    <w:uiPriority w:val="20"/>
    <w:qFormat/>
    <w:rsid w:val="00307176"/>
    <w:rPr>
      <w:i/>
      <w:iCs/>
    </w:rPr>
  </w:style>
  <w:style w:type="character" w:customStyle="1" w:styleId="pubyear">
    <w:name w:val="pubyear"/>
    <w:basedOn w:val="DefaultParagraphFont"/>
    <w:rsid w:val="00307176"/>
  </w:style>
  <w:style w:type="character" w:customStyle="1" w:styleId="articletitle">
    <w:name w:val="articletitle"/>
    <w:basedOn w:val="DefaultParagraphFont"/>
    <w:rsid w:val="00307176"/>
  </w:style>
  <w:style w:type="character" w:customStyle="1" w:styleId="vol">
    <w:name w:val="vol"/>
    <w:basedOn w:val="DefaultParagraphFont"/>
    <w:rsid w:val="00307176"/>
  </w:style>
  <w:style w:type="character" w:customStyle="1" w:styleId="cit-auth">
    <w:name w:val="cit-auth"/>
    <w:basedOn w:val="DefaultParagraphFont"/>
    <w:rsid w:val="00307176"/>
  </w:style>
  <w:style w:type="character" w:customStyle="1" w:styleId="cit-source">
    <w:name w:val="cit-source"/>
    <w:basedOn w:val="DefaultParagraphFont"/>
    <w:rsid w:val="00307176"/>
  </w:style>
  <w:style w:type="character" w:customStyle="1" w:styleId="cit-publ-loc">
    <w:name w:val="cit-publ-loc"/>
    <w:basedOn w:val="DefaultParagraphFont"/>
    <w:rsid w:val="00307176"/>
  </w:style>
  <w:style w:type="character" w:customStyle="1" w:styleId="cit-pub-date">
    <w:name w:val="cit-pub-date"/>
    <w:basedOn w:val="DefaultParagraphFont"/>
    <w:rsid w:val="00307176"/>
  </w:style>
  <w:style w:type="paragraph" w:styleId="Revision">
    <w:name w:val="Revision"/>
    <w:hidden/>
    <w:uiPriority w:val="99"/>
    <w:semiHidden/>
    <w:rsid w:val="00307176"/>
    <w:rPr>
      <w:rFonts w:ascii="Times New Roman" w:eastAsia="Times New Roman" w:hAnsi="Times New Roman" w:cs="Times New Roman"/>
      <w:lang w:val="en-GB"/>
    </w:rPr>
  </w:style>
  <w:style w:type="paragraph" w:styleId="NormalWeb">
    <w:name w:val="Normal (Web)"/>
    <w:basedOn w:val="Normal"/>
    <w:uiPriority w:val="99"/>
    <w:semiHidden/>
    <w:unhideWhenUsed/>
    <w:rsid w:val="00307176"/>
  </w:style>
  <w:style w:type="character" w:styleId="Hyperlink">
    <w:name w:val="Hyperlink"/>
    <w:basedOn w:val="DefaultParagraphFont"/>
    <w:uiPriority w:val="99"/>
    <w:unhideWhenUsed/>
    <w:rsid w:val="00307176"/>
    <w:rPr>
      <w:color w:val="0000FF" w:themeColor="hyperlink"/>
      <w:u w:val="single"/>
    </w:rPr>
  </w:style>
  <w:style w:type="character" w:styleId="FollowedHyperlink">
    <w:name w:val="FollowedHyperlink"/>
    <w:basedOn w:val="DefaultParagraphFont"/>
    <w:uiPriority w:val="99"/>
    <w:semiHidden/>
    <w:unhideWhenUsed/>
    <w:rsid w:val="00307176"/>
    <w:rPr>
      <w:color w:val="800080" w:themeColor="followedHyperlink"/>
      <w:u w:val="single"/>
    </w:rPr>
  </w:style>
  <w:style w:type="paragraph" w:styleId="Footer">
    <w:name w:val="footer"/>
    <w:basedOn w:val="Normal"/>
    <w:link w:val="FooterChar"/>
    <w:uiPriority w:val="99"/>
    <w:unhideWhenUsed/>
    <w:rsid w:val="00307176"/>
    <w:pPr>
      <w:tabs>
        <w:tab w:val="center" w:pos="4513"/>
        <w:tab w:val="right" w:pos="9026"/>
      </w:tabs>
    </w:pPr>
  </w:style>
  <w:style w:type="character" w:customStyle="1" w:styleId="FooterChar">
    <w:name w:val="Footer Char"/>
    <w:basedOn w:val="DefaultParagraphFont"/>
    <w:link w:val="Footer"/>
    <w:uiPriority w:val="99"/>
    <w:rsid w:val="00307176"/>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307176"/>
  </w:style>
  <w:style w:type="paragraph" w:styleId="FootnoteText">
    <w:name w:val="footnote text"/>
    <w:basedOn w:val="Normal"/>
    <w:link w:val="FootnoteTextChar"/>
    <w:uiPriority w:val="99"/>
    <w:unhideWhenUsed/>
    <w:rsid w:val="00307176"/>
  </w:style>
  <w:style w:type="character" w:customStyle="1" w:styleId="FootnoteTextChar">
    <w:name w:val="Footnote Text Char"/>
    <w:basedOn w:val="DefaultParagraphFont"/>
    <w:link w:val="FootnoteText"/>
    <w:uiPriority w:val="99"/>
    <w:rsid w:val="00307176"/>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307176"/>
    <w:rPr>
      <w:vertAlign w:val="superscript"/>
    </w:rPr>
  </w:style>
  <w:style w:type="paragraph" w:styleId="EndnoteText">
    <w:name w:val="endnote text"/>
    <w:basedOn w:val="Normal"/>
    <w:link w:val="EndnoteTextChar"/>
    <w:uiPriority w:val="99"/>
    <w:unhideWhenUsed/>
    <w:rsid w:val="00307176"/>
  </w:style>
  <w:style w:type="character" w:customStyle="1" w:styleId="EndnoteTextChar">
    <w:name w:val="Endnote Text Char"/>
    <w:basedOn w:val="DefaultParagraphFont"/>
    <w:link w:val="EndnoteText"/>
    <w:uiPriority w:val="99"/>
    <w:rsid w:val="00307176"/>
    <w:rPr>
      <w:rFonts w:ascii="Times New Roman" w:eastAsia="Times New Roman" w:hAnsi="Times New Roman" w:cs="Times New Roman"/>
      <w:lang w:val="en-GB"/>
    </w:rPr>
  </w:style>
  <w:style w:type="character" w:styleId="EndnoteReference">
    <w:name w:val="endnote reference"/>
    <w:basedOn w:val="DefaultParagraphFont"/>
    <w:uiPriority w:val="99"/>
    <w:unhideWhenUsed/>
    <w:rsid w:val="00307176"/>
    <w:rPr>
      <w:vertAlign w:val="superscript"/>
    </w:rPr>
  </w:style>
  <w:style w:type="character" w:customStyle="1" w:styleId="a">
    <w:name w:val="_"/>
    <w:basedOn w:val="DefaultParagraphFont"/>
    <w:rsid w:val="00256AD7"/>
  </w:style>
  <w:style w:type="paragraph" w:customStyle="1" w:styleId="Normal1">
    <w:name w:val="Normal1"/>
    <w:rsid w:val="00FD6162"/>
    <w:rPr>
      <w:rFonts w:ascii="Times New Roman" w:eastAsia="Times New Roman" w:hAnsi="Times New Roman" w:cs="Times New Roman"/>
      <w:lang w:val="en-GB"/>
    </w:rPr>
  </w:style>
  <w:style w:type="paragraph" w:styleId="Header">
    <w:name w:val="header"/>
    <w:basedOn w:val="Normal"/>
    <w:link w:val="HeaderChar"/>
    <w:uiPriority w:val="99"/>
    <w:unhideWhenUsed/>
    <w:rsid w:val="006A18E6"/>
    <w:pPr>
      <w:tabs>
        <w:tab w:val="center" w:pos="4536"/>
        <w:tab w:val="right" w:pos="9072"/>
      </w:tabs>
    </w:pPr>
  </w:style>
  <w:style w:type="character" w:customStyle="1" w:styleId="HeaderChar">
    <w:name w:val="Header Char"/>
    <w:basedOn w:val="DefaultParagraphFont"/>
    <w:link w:val="Header"/>
    <w:uiPriority w:val="99"/>
    <w:rsid w:val="006A18E6"/>
    <w:rPr>
      <w:rFonts w:ascii="Times New Roman" w:eastAsia="Times New Roman" w:hAnsi="Times New Roman" w:cs="Times New Roman"/>
      <w:lang w:val="en-GB"/>
    </w:rPr>
  </w:style>
  <w:style w:type="character" w:customStyle="1" w:styleId="style2">
    <w:name w:val="style_2"/>
    <w:basedOn w:val="DefaultParagraphFont"/>
    <w:rsid w:val="009840D1"/>
  </w:style>
  <w:style w:type="character" w:styleId="Strong">
    <w:name w:val="Strong"/>
    <w:basedOn w:val="DefaultParagraphFont"/>
    <w:uiPriority w:val="22"/>
    <w:qFormat/>
    <w:rsid w:val="006F2C6E"/>
    <w:rPr>
      <w:b/>
      <w:bCs/>
    </w:rPr>
  </w:style>
  <w:style w:type="paragraph" w:customStyle="1" w:styleId="m6350081056095722069msolistparagraph">
    <w:name w:val="m_6350081056095722069msolistparagraph"/>
    <w:basedOn w:val="Normal"/>
    <w:rsid w:val="000255F0"/>
    <w:pPr>
      <w:spacing w:before="100" w:beforeAutospacing="1" w:after="100" w:afterAutospacing="1"/>
    </w:pPr>
  </w:style>
  <w:style w:type="table" w:styleId="TableGrid">
    <w:name w:val="Table Grid"/>
    <w:basedOn w:val="TableNormal"/>
    <w:uiPriority w:val="59"/>
    <w:rsid w:val="0060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6537">
      <w:bodyDiv w:val="1"/>
      <w:marLeft w:val="0"/>
      <w:marRight w:val="0"/>
      <w:marTop w:val="0"/>
      <w:marBottom w:val="0"/>
      <w:divBdr>
        <w:top w:val="none" w:sz="0" w:space="0" w:color="auto"/>
        <w:left w:val="none" w:sz="0" w:space="0" w:color="auto"/>
        <w:bottom w:val="none" w:sz="0" w:space="0" w:color="auto"/>
        <w:right w:val="none" w:sz="0" w:space="0" w:color="auto"/>
      </w:divBdr>
      <w:divsChild>
        <w:div w:id="815798894">
          <w:marLeft w:val="0"/>
          <w:marRight w:val="0"/>
          <w:marTop w:val="0"/>
          <w:marBottom w:val="0"/>
          <w:divBdr>
            <w:top w:val="none" w:sz="0" w:space="0" w:color="auto"/>
            <w:left w:val="none" w:sz="0" w:space="0" w:color="auto"/>
            <w:bottom w:val="none" w:sz="0" w:space="0" w:color="auto"/>
            <w:right w:val="none" w:sz="0" w:space="0" w:color="auto"/>
          </w:divBdr>
          <w:divsChild>
            <w:div w:id="671494472">
              <w:marLeft w:val="0"/>
              <w:marRight w:val="0"/>
              <w:marTop w:val="0"/>
              <w:marBottom w:val="0"/>
              <w:divBdr>
                <w:top w:val="none" w:sz="0" w:space="0" w:color="auto"/>
                <w:left w:val="none" w:sz="0" w:space="0" w:color="auto"/>
                <w:bottom w:val="none" w:sz="0" w:space="0" w:color="auto"/>
                <w:right w:val="none" w:sz="0" w:space="0" w:color="auto"/>
              </w:divBdr>
              <w:divsChild>
                <w:div w:id="8823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9852">
      <w:bodyDiv w:val="1"/>
      <w:marLeft w:val="0"/>
      <w:marRight w:val="0"/>
      <w:marTop w:val="0"/>
      <w:marBottom w:val="0"/>
      <w:divBdr>
        <w:top w:val="none" w:sz="0" w:space="0" w:color="auto"/>
        <w:left w:val="none" w:sz="0" w:space="0" w:color="auto"/>
        <w:bottom w:val="none" w:sz="0" w:space="0" w:color="auto"/>
        <w:right w:val="none" w:sz="0" w:space="0" w:color="auto"/>
      </w:divBdr>
      <w:divsChild>
        <w:div w:id="1135638279">
          <w:marLeft w:val="0"/>
          <w:marRight w:val="0"/>
          <w:marTop w:val="0"/>
          <w:marBottom w:val="0"/>
          <w:divBdr>
            <w:top w:val="none" w:sz="0" w:space="0" w:color="auto"/>
            <w:left w:val="none" w:sz="0" w:space="0" w:color="auto"/>
            <w:bottom w:val="none" w:sz="0" w:space="0" w:color="auto"/>
            <w:right w:val="none" w:sz="0" w:space="0" w:color="auto"/>
          </w:divBdr>
        </w:div>
        <w:div w:id="78600592">
          <w:marLeft w:val="0"/>
          <w:marRight w:val="0"/>
          <w:marTop w:val="0"/>
          <w:marBottom w:val="0"/>
          <w:divBdr>
            <w:top w:val="none" w:sz="0" w:space="0" w:color="auto"/>
            <w:left w:val="none" w:sz="0" w:space="0" w:color="auto"/>
            <w:bottom w:val="none" w:sz="0" w:space="0" w:color="auto"/>
            <w:right w:val="none" w:sz="0" w:space="0" w:color="auto"/>
          </w:divBdr>
        </w:div>
      </w:divsChild>
    </w:div>
    <w:div w:id="79059577">
      <w:bodyDiv w:val="1"/>
      <w:marLeft w:val="0"/>
      <w:marRight w:val="0"/>
      <w:marTop w:val="0"/>
      <w:marBottom w:val="0"/>
      <w:divBdr>
        <w:top w:val="none" w:sz="0" w:space="0" w:color="auto"/>
        <w:left w:val="none" w:sz="0" w:space="0" w:color="auto"/>
        <w:bottom w:val="none" w:sz="0" w:space="0" w:color="auto"/>
        <w:right w:val="none" w:sz="0" w:space="0" w:color="auto"/>
      </w:divBdr>
      <w:divsChild>
        <w:div w:id="950166462">
          <w:marLeft w:val="0"/>
          <w:marRight w:val="0"/>
          <w:marTop w:val="0"/>
          <w:marBottom w:val="0"/>
          <w:divBdr>
            <w:top w:val="none" w:sz="0" w:space="0" w:color="auto"/>
            <w:left w:val="none" w:sz="0" w:space="0" w:color="auto"/>
            <w:bottom w:val="none" w:sz="0" w:space="0" w:color="auto"/>
            <w:right w:val="none" w:sz="0" w:space="0" w:color="auto"/>
          </w:divBdr>
          <w:divsChild>
            <w:div w:id="1909996830">
              <w:marLeft w:val="0"/>
              <w:marRight w:val="0"/>
              <w:marTop w:val="0"/>
              <w:marBottom w:val="0"/>
              <w:divBdr>
                <w:top w:val="none" w:sz="0" w:space="0" w:color="auto"/>
                <w:left w:val="none" w:sz="0" w:space="0" w:color="auto"/>
                <w:bottom w:val="none" w:sz="0" w:space="0" w:color="auto"/>
                <w:right w:val="none" w:sz="0" w:space="0" w:color="auto"/>
              </w:divBdr>
              <w:divsChild>
                <w:div w:id="99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5399">
      <w:bodyDiv w:val="1"/>
      <w:marLeft w:val="0"/>
      <w:marRight w:val="0"/>
      <w:marTop w:val="0"/>
      <w:marBottom w:val="0"/>
      <w:divBdr>
        <w:top w:val="none" w:sz="0" w:space="0" w:color="auto"/>
        <w:left w:val="none" w:sz="0" w:space="0" w:color="auto"/>
        <w:bottom w:val="none" w:sz="0" w:space="0" w:color="auto"/>
        <w:right w:val="none" w:sz="0" w:space="0" w:color="auto"/>
      </w:divBdr>
    </w:div>
    <w:div w:id="201481903">
      <w:bodyDiv w:val="1"/>
      <w:marLeft w:val="0"/>
      <w:marRight w:val="0"/>
      <w:marTop w:val="0"/>
      <w:marBottom w:val="0"/>
      <w:divBdr>
        <w:top w:val="none" w:sz="0" w:space="0" w:color="auto"/>
        <w:left w:val="none" w:sz="0" w:space="0" w:color="auto"/>
        <w:bottom w:val="none" w:sz="0" w:space="0" w:color="auto"/>
        <w:right w:val="none" w:sz="0" w:space="0" w:color="auto"/>
      </w:divBdr>
      <w:divsChild>
        <w:div w:id="324866680">
          <w:marLeft w:val="0"/>
          <w:marRight w:val="0"/>
          <w:marTop w:val="0"/>
          <w:marBottom w:val="0"/>
          <w:divBdr>
            <w:top w:val="none" w:sz="0" w:space="0" w:color="auto"/>
            <w:left w:val="none" w:sz="0" w:space="0" w:color="auto"/>
            <w:bottom w:val="none" w:sz="0" w:space="0" w:color="auto"/>
            <w:right w:val="none" w:sz="0" w:space="0" w:color="auto"/>
          </w:divBdr>
          <w:divsChild>
            <w:div w:id="213658330">
              <w:marLeft w:val="0"/>
              <w:marRight w:val="0"/>
              <w:marTop w:val="0"/>
              <w:marBottom w:val="0"/>
              <w:divBdr>
                <w:top w:val="none" w:sz="0" w:space="0" w:color="auto"/>
                <w:left w:val="none" w:sz="0" w:space="0" w:color="auto"/>
                <w:bottom w:val="none" w:sz="0" w:space="0" w:color="auto"/>
                <w:right w:val="none" w:sz="0" w:space="0" w:color="auto"/>
              </w:divBdr>
              <w:divsChild>
                <w:div w:id="16170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05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5385">
          <w:marLeft w:val="0"/>
          <w:marRight w:val="0"/>
          <w:marTop w:val="0"/>
          <w:marBottom w:val="0"/>
          <w:divBdr>
            <w:top w:val="none" w:sz="0" w:space="0" w:color="auto"/>
            <w:left w:val="none" w:sz="0" w:space="0" w:color="auto"/>
            <w:bottom w:val="none" w:sz="0" w:space="0" w:color="auto"/>
            <w:right w:val="none" w:sz="0" w:space="0" w:color="auto"/>
          </w:divBdr>
        </w:div>
        <w:div w:id="1082802338">
          <w:marLeft w:val="0"/>
          <w:marRight w:val="0"/>
          <w:marTop w:val="0"/>
          <w:marBottom w:val="0"/>
          <w:divBdr>
            <w:top w:val="none" w:sz="0" w:space="0" w:color="auto"/>
            <w:left w:val="none" w:sz="0" w:space="0" w:color="auto"/>
            <w:bottom w:val="none" w:sz="0" w:space="0" w:color="auto"/>
            <w:right w:val="none" w:sz="0" w:space="0" w:color="auto"/>
          </w:divBdr>
        </w:div>
        <w:div w:id="675693781">
          <w:marLeft w:val="0"/>
          <w:marRight w:val="0"/>
          <w:marTop w:val="0"/>
          <w:marBottom w:val="0"/>
          <w:divBdr>
            <w:top w:val="none" w:sz="0" w:space="0" w:color="auto"/>
            <w:left w:val="none" w:sz="0" w:space="0" w:color="auto"/>
            <w:bottom w:val="none" w:sz="0" w:space="0" w:color="auto"/>
            <w:right w:val="none" w:sz="0" w:space="0" w:color="auto"/>
          </w:divBdr>
        </w:div>
        <w:div w:id="1063259431">
          <w:marLeft w:val="0"/>
          <w:marRight w:val="0"/>
          <w:marTop w:val="0"/>
          <w:marBottom w:val="0"/>
          <w:divBdr>
            <w:top w:val="none" w:sz="0" w:space="0" w:color="auto"/>
            <w:left w:val="none" w:sz="0" w:space="0" w:color="auto"/>
            <w:bottom w:val="none" w:sz="0" w:space="0" w:color="auto"/>
            <w:right w:val="none" w:sz="0" w:space="0" w:color="auto"/>
          </w:divBdr>
        </w:div>
        <w:div w:id="428502007">
          <w:marLeft w:val="0"/>
          <w:marRight w:val="0"/>
          <w:marTop w:val="0"/>
          <w:marBottom w:val="0"/>
          <w:divBdr>
            <w:top w:val="none" w:sz="0" w:space="0" w:color="auto"/>
            <w:left w:val="none" w:sz="0" w:space="0" w:color="auto"/>
            <w:bottom w:val="none" w:sz="0" w:space="0" w:color="auto"/>
            <w:right w:val="none" w:sz="0" w:space="0" w:color="auto"/>
          </w:divBdr>
        </w:div>
      </w:divsChild>
    </w:div>
    <w:div w:id="367993599">
      <w:bodyDiv w:val="1"/>
      <w:marLeft w:val="0"/>
      <w:marRight w:val="0"/>
      <w:marTop w:val="0"/>
      <w:marBottom w:val="0"/>
      <w:divBdr>
        <w:top w:val="none" w:sz="0" w:space="0" w:color="auto"/>
        <w:left w:val="none" w:sz="0" w:space="0" w:color="auto"/>
        <w:bottom w:val="none" w:sz="0" w:space="0" w:color="auto"/>
        <w:right w:val="none" w:sz="0" w:space="0" w:color="auto"/>
      </w:divBdr>
    </w:div>
    <w:div w:id="581645639">
      <w:bodyDiv w:val="1"/>
      <w:marLeft w:val="0"/>
      <w:marRight w:val="0"/>
      <w:marTop w:val="0"/>
      <w:marBottom w:val="0"/>
      <w:divBdr>
        <w:top w:val="none" w:sz="0" w:space="0" w:color="auto"/>
        <w:left w:val="none" w:sz="0" w:space="0" w:color="auto"/>
        <w:bottom w:val="none" w:sz="0" w:space="0" w:color="auto"/>
        <w:right w:val="none" w:sz="0" w:space="0" w:color="auto"/>
      </w:divBdr>
      <w:divsChild>
        <w:div w:id="1814299054">
          <w:marLeft w:val="0"/>
          <w:marRight w:val="0"/>
          <w:marTop w:val="0"/>
          <w:marBottom w:val="0"/>
          <w:divBdr>
            <w:top w:val="none" w:sz="0" w:space="0" w:color="auto"/>
            <w:left w:val="none" w:sz="0" w:space="0" w:color="auto"/>
            <w:bottom w:val="none" w:sz="0" w:space="0" w:color="auto"/>
            <w:right w:val="none" w:sz="0" w:space="0" w:color="auto"/>
          </w:divBdr>
        </w:div>
        <w:div w:id="2099859536">
          <w:marLeft w:val="0"/>
          <w:marRight w:val="0"/>
          <w:marTop w:val="0"/>
          <w:marBottom w:val="0"/>
          <w:divBdr>
            <w:top w:val="none" w:sz="0" w:space="0" w:color="auto"/>
            <w:left w:val="none" w:sz="0" w:space="0" w:color="auto"/>
            <w:bottom w:val="none" w:sz="0" w:space="0" w:color="auto"/>
            <w:right w:val="none" w:sz="0" w:space="0" w:color="auto"/>
          </w:divBdr>
        </w:div>
        <w:div w:id="470169702">
          <w:marLeft w:val="0"/>
          <w:marRight w:val="0"/>
          <w:marTop w:val="0"/>
          <w:marBottom w:val="0"/>
          <w:divBdr>
            <w:top w:val="none" w:sz="0" w:space="0" w:color="auto"/>
            <w:left w:val="none" w:sz="0" w:space="0" w:color="auto"/>
            <w:bottom w:val="none" w:sz="0" w:space="0" w:color="auto"/>
            <w:right w:val="none" w:sz="0" w:space="0" w:color="auto"/>
          </w:divBdr>
        </w:div>
        <w:div w:id="1211652637">
          <w:marLeft w:val="0"/>
          <w:marRight w:val="0"/>
          <w:marTop w:val="0"/>
          <w:marBottom w:val="0"/>
          <w:divBdr>
            <w:top w:val="none" w:sz="0" w:space="0" w:color="auto"/>
            <w:left w:val="none" w:sz="0" w:space="0" w:color="auto"/>
            <w:bottom w:val="none" w:sz="0" w:space="0" w:color="auto"/>
            <w:right w:val="none" w:sz="0" w:space="0" w:color="auto"/>
          </w:divBdr>
        </w:div>
        <w:div w:id="643123130">
          <w:marLeft w:val="0"/>
          <w:marRight w:val="0"/>
          <w:marTop w:val="0"/>
          <w:marBottom w:val="0"/>
          <w:divBdr>
            <w:top w:val="none" w:sz="0" w:space="0" w:color="auto"/>
            <w:left w:val="none" w:sz="0" w:space="0" w:color="auto"/>
            <w:bottom w:val="none" w:sz="0" w:space="0" w:color="auto"/>
            <w:right w:val="none" w:sz="0" w:space="0" w:color="auto"/>
          </w:divBdr>
        </w:div>
        <w:div w:id="1282035235">
          <w:marLeft w:val="0"/>
          <w:marRight w:val="0"/>
          <w:marTop w:val="0"/>
          <w:marBottom w:val="0"/>
          <w:divBdr>
            <w:top w:val="none" w:sz="0" w:space="0" w:color="auto"/>
            <w:left w:val="none" w:sz="0" w:space="0" w:color="auto"/>
            <w:bottom w:val="none" w:sz="0" w:space="0" w:color="auto"/>
            <w:right w:val="none" w:sz="0" w:space="0" w:color="auto"/>
          </w:divBdr>
        </w:div>
        <w:div w:id="956722397">
          <w:marLeft w:val="0"/>
          <w:marRight w:val="0"/>
          <w:marTop w:val="0"/>
          <w:marBottom w:val="0"/>
          <w:divBdr>
            <w:top w:val="none" w:sz="0" w:space="0" w:color="auto"/>
            <w:left w:val="none" w:sz="0" w:space="0" w:color="auto"/>
            <w:bottom w:val="none" w:sz="0" w:space="0" w:color="auto"/>
            <w:right w:val="none" w:sz="0" w:space="0" w:color="auto"/>
          </w:divBdr>
        </w:div>
        <w:div w:id="333337570">
          <w:marLeft w:val="0"/>
          <w:marRight w:val="0"/>
          <w:marTop w:val="0"/>
          <w:marBottom w:val="0"/>
          <w:divBdr>
            <w:top w:val="none" w:sz="0" w:space="0" w:color="auto"/>
            <w:left w:val="none" w:sz="0" w:space="0" w:color="auto"/>
            <w:bottom w:val="none" w:sz="0" w:space="0" w:color="auto"/>
            <w:right w:val="none" w:sz="0" w:space="0" w:color="auto"/>
          </w:divBdr>
        </w:div>
        <w:div w:id="951667179">
          <w:marLeft w:val="0"/>
          <w:marRight w:val="0"/>
          <w:marTop w:val="0"/>
          <w:marBottom w:val="0"/>
          <w:divBdr>
            <w:top w:val="none" w:sz="0" w:space="0" w:color="auto"/>
            <w:left w:val="none" w:sz="0" w:space="0" w:color="auto"/>
            <w:bottom w:val="none" w:sz="0" w:space="0" w:color="auto"/>
            <w:right w:val="none" w:sz="0" w:space="0" w:color="auto"/>
          </w:divBdr>
        </w:div>
        <w:div w:id="1397707980">
          <w:marLeft w:val="0"/>
          <w:marRight w:val="0"/>
          <w:marTop w:val="0"/>
          <w:marBottom w:val="0"/>
          <w:divBdr>
            <w:top w:val="none" w:sz="0" w:space="0" w:color="auto"/>
            <w:left w:val="none" w:sz="0" w:space="0" w:color="auto"/>
            <w:bottom w:val="none" w:sz="0" w:space="0" w:color="auto"/>
            <w:right w:val="none" w:sz="0" w:space="0" w:color="auto"/>
          </w:divBdr>
        </w:div>
        <w:div w:id="991642256">
          <w:marLeft w:val="0"/>
          <w:marRight w:val="0"/>
          <w:marTop w:val="0"/>
          <w:marBottom w:val="0"/>
          <w:divBdr>
            <w:top w:val="none" w:sz="0" w:space="0" w:color="auto"/>
            <w:left w:val="none" w:sz="0" w:space="0" w:color="auto"/>
            <w:bottom w:val="none" w:sz="0" w:space="0" w:color="auto"/>
            <w:right w:val="none" w:sz="0" w:space="0" w:color="auto"/>
          </w:divBdr>
        </w:div>
        <w:div w:id="592662376">
          <w:marLeft w:val="0"/>
          <w:marRight w:val="0"/>
          <w:marTop w:val="0"/>
          <w:marBottom w:val="0"/>
          <w:divBdr>
            <w:top w:val="none" w:sz="0" w:space="0" w:color="auto"/>
            <w:left w:val="none" w:sz="0" w:space="0" w:color="auto"/>
            <w:bottom w:val="none" w:sz="0" w:space="0" w:color="auto"/>
            <w:right w:val="none" w:sz="0" w:space="0" w:color="auto"/>
          </w:divBdr>
        </w:div>
        <w:div w:id="1534927810">
          <w:marLeft w:val="0"/>
          <w:marRight w:val="0"/>
          <w:marTop w:val="0"/>
          <w:marBottom w:val="0"/>
          <w:divBdr>
            <w:top w:val="none" w:sz="0" w:space="0" w:color="auto"/>
            <w:left w:val="none" w:sz="0" w:space="0" w:color="auto"/>
            <w:bottom w:val="none" w:sz="0" w:space="0" w:color="auto"/>
            <w:right w:val="none" w:sz="0" w:space="0" w:color="auto"/>
          </w:divBdr>
        </w:div>
        <w:div w:id="1468431263">
          <w:marLeft w:val="0"/>
          <w:marRight w:val="0"/>
          <w:marTop w:val="0"/>
          <w:marBottom w:val="0"/>
          <w:divBdr>
            <w:top w:val="none" w:sz="0" w:space="0" w:color="auto"/>
            <w:left w:val="none" w:sz="0" w:space="0" w:color="auto"/>
            <w:bottom w:val="none" w:sz="0" w:space="0" w:color="auto"/>
            <w:right w:val="none" w:sz="0" w:space="0" w:color="auto"/>
          </w:divBdr>
        </w:div>
      </w:divsChild>
    </w:div>
    <w:div w:id="581721008">
      <w:bodyDiv w:val="1"/>
      <w:marLeft w:val="0"/>
      <w:marRight w:val="0"/>
      <w:marTop w:val="0"/>
      <w:marBottom w:val="0"/>
      <w:divBdr>
        <w:top w:val="none" w:sz="0" w:space="0" w:color="auto"/>
        <w:left w:val="none" w:sz="0" w:space="0" w:color="auto"/>
        <w:bottom w:val="none" w:sz="0" w:space="0" w:color="auto"/>
        <w:right w:val="none" w:sz="0" w:space="0" w:color="auto"/>
      </w:divBdr>
    </w:div>
    <w:div w:id="711348344">
      <w:bodyDiv w:val="1"/>
      <w:marLeft w:val="0"/>
      <w:marRight w:val="0"/>
      <w:marTop w:val="0"/>
      <w:marBottom w:val="0"/>
      <w:divBdr>
        <w:top w:val="none" w:sz="0" w:space="0" w:color="auto"/>
        <w:left w:val="none" w:sz="0" w:space="0" w:color="auto"/>
        <w:bottom w:val="none" w:sz="0" w:space="0" w:color="auto"/>
        <w:right w:val="none" w:sz="0" w:space="0" w:color="auto"/>
      </w:divBdr>
    </w:div>
    <w:div w:id="813107163">
      <w:bodyDiv w:val="1"/>
      <w:marLeft w:val="0"/>
      <w:marRight w:val="0"/>
      <w:marTop w:val="0"/>
      <w:marBottom w:val="0"/>
      <w:divBdr>
        <w:top w:val="none" w:sz="0" w:space="0" w:color="auto"/>
        <w:left w:val="none" w:sz="0" w:space="0" w:color="auto"/>
        <w:bottom w:val="none" w:sz="0" w:space="0" w:color="auto"/>
        <w:right w:val="none" w:sz="0" w:space="0" w:color="auto"/>
      </w:divBdr>
    </w:div>
    <w:div w:id="870070115">
      <w:bodyDiv w:val="1"/>
      <w:marLeft w:val="0"/>
      <w:marRight w:val="0"/>
      <w:marTop w:val="0"/>
      <w:marBottom w:val="0"/>
      <w:divBdr>
        <w:top w:val="none" w:sz="0" w:space="0" w:color="auto"/>
        <w:left w:val="none" w:sz="0" w:space="0" w:color="auto"/>
        <w:bottom w:val="none" w:sz="0" w:space="0" w:color="auto"/>
        <w:right w:val="none" w:sz="0" w:space="0" w:color="auto"/>
      </w:divBdr>
      <w:divsChild>
        <w:div w:id="2086221076">
          <w:marLeft w:val="0"/>
          <w:marRight w:val="0"/>
          <w:marTop w:val="0"/>
          <w:marBottom w:val="0"/>
          <w:divBdr>
            <w:top w:val="none" w:sz="0" w:space="0" w:color="auto"/>
            <w:left w:val="none" w:sz="0" w:space="0" w:color="auto"/>
            <w:bottom w:val="none" w:sz="0" w:space="0" w:color="auto"/>
            <w:right w:val="none" w:sz="0" w:space="0" w:color="auto"/>
          </w:divBdr>
          <w:divsChild>
            <w:div w:id="490369212">
              <w:marLeft w:val="0"/>
              <w:marRight w:val="0"/>
              <w:marTop w:val="0"/>
              <w:marBottom w:val="0"/>
              <w:divBdr>
                <w:top w:val="none" w:sz="0" w:space="0" w:color="auto"/>
                <w:left w:val="none" w:sz="0" w:space="0" w:color="auto"/>
                <w:bottom w:val="none" w:sz="0" w:space="0" w:color="auto"/>
                <w:right w:val="none" w:sz="0" w:space="0" w:color="auto"/>
              </w:divBdr>
            </w:div>
          </w:divsChild>
        </w:div>
        <w:div w:id="1585645610">
          <w:marLeft w:val="0"/>
          <w:marRight w:val="0"/>
          <w:marTop w:val="0"/>
          <w:marBottom w:val="0"/>
          <w:divBdr>
            <w:top w:val="none" w:sz="0" w:space="0" w:color="auto"/>
            <w:left w:val="none" w:sz="0" w:space="0" w:color="auto"/>
            <w:bottom w:val="none" w:sz="0" w:space="0" w:color="auto"/>
            <w:right w:val="none" w:sz="0" w:space="0" w:color="auto"/>
          </w:divBdr>
        </w:div>
      </w:divsChild>
    </w:div>
    <w:div w:id="880172008">
      <w:bodyDiv w:val="1"/>
      <w:marLeft w:val="0"/>
      <w:marRight w:val="0"/>
      <w:marTop w:val="0"/>
      <w:marBottom w:val="0"/>
      <w:divBdr>
        <w:top w:val="none" w:sz="0" w:space="0" w:color="auto"/>
        <w:left w:val="none" w:sz="0" w:space="0" w:color="auto"/>
        <w:bottom w:val="none" w:sz="0" w:space="0" w:color="auto"/>
        <w:right w:val="none" w:sz="0" w:space="0" w:color="auto"/>
      </w:divBdr>
    </w:div>
    <w:div w:id="933250601">
      <w:bodyDiv w:val="1"/>
      <w:marLeft w:val="0"/>
      <w:marRight w:val="0"/>
      <w:marTop w:val="0"/>
      <w:marBottom w:val="0"/>
      <w:divBdr>
        <w:top w:val="none" w:sz="0" w:space="0" w:color="auto"/>
        <w:left w:val="none" w:sz="0" w:space="0" w:color="auto"/>
        <w:bottom w:val="none" w:sz="0" w:space="0" w:color="auto"/>
        <w:right w:val="none" w:sz="0" w:space="0" w:color="auto"/>
      </w:divBdr>
      <w:divsChild>
        <w:div w:id="1743403927">
          <w:marLeft w:val="0"/>
          <w:marRight w:val="0"/>
          <w:marTop w:val="0"/>
          <w:marBottom w:val="0"/>
          <w:divBdr>
            <w:top w:val="none" w:sz="0" w:space="0" w:color="auto"/>
            <w:left w:val="none" w:sz="0" w:space="0" w:color="auto"/>
            <w:bottom w:val="none" w:sz="0" w:space="0" w:color="auto"/>
            <w:right w:val="none" w:sz="0" w:space="0" w:color="auto"/>
          </w:divBdr>
          <w:divsChild>
            <w:div w:id="1336615564">
              <w:marLeft w:val="0"/>
              <w:marRight w:val="0"/>
              <w:marTop w:val="0"/>
              <w:marBottom w:val="0"/>
              <w:divBdr>
                <w:top w:val="none" w:sz="0" w:space="0" w:color="auto"/>
                <w:left w:val="none" w:sz="0" w:space="0" w:color="auto"/>
                <w:bottom w:val="none" w:sz="0" w:space="0" w:color="auto"/>
                <w:right w:val="none" w:sz="0" w:space="0" w:color="auto"/>
              </w:divBdr>
              <w:divsChild>
                <w:div w:id="16985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08525">
      <w:bodyDiv w:val="1"/>
      <w:marLeft w:val="0"/>
      <w:marRight w:val="0"/>
      <w:marTop w:val="0"/>
      <w:marBottom w:val="0"/>
      <w:divBdr>
        <w:top w:val="none" w:sz="0" w:space="0" w:color="auto"/>
        <w:left w:val="none" w:sz="0" w:space="0" w:color="auto"/>
        <w:bottom w:val="none" w:sz="0" w:space="0" w:color="auto"/>
        <w:right w:val="none" w:sz="0" w:space="0" w:color="auto"/>
      </w:divBdr>
    </w:div>
    <w:div w:id="1038435807">
      <w:bodyDiv w:val="1"/>
      <w:marLeft w:val="0"/>
      <w:marRight w:val="0"/>
      <w:marTop w:val="0"/>
      <w:marBottom w:val="0"/>
      <w:divBdr>
        <w:top w:val="none" w:sz="0" w:space="0" w:color="auto"/>
        <w:left w:val="none" w:sz="0" w:space="0" w:color="auto"/>
        <w:bottom w:val="none" w:sz="0" w:space="0" w:color="auto"/>
        <w:right w:val="none" w:sz="0" w:space="0" w:color="auto"/>
      </w:divBdr>
      <w:divsChild>
        <w:div w:id="1353528542">
          <w:marLeft w:val="0"/>
          <w:marRight w:val="0"/>
          <w:marTop w:val="0"/>
          <w:marBottom w:val="0"/>
          <w:divBdr>
            <w:top w:val="none" w:sz="0" w:space="0" w:color="auto"/>
            <w:left w:val="none" w:sz="0" w:space="0" w:color="auto"/>
            <w:bottom w:val="none" w:sz="0" w:space="0" w:color="auto"/>
            <w:right w:val="none" w:sz="0" w:space="0" w:color="auto"/>
          </w:divBdr>
          <w:divsChild>
            <w:div w:id="580525277">
              <w:marLeft w:val="0"/>
              <w:marRight w:val="0"/>
              <w:marTop w:val="0"/>
              <w:marBottom w:val="0"/>
              <w:divBdr>
                <w:top w:val="none" w:sz="0" w:space="0" w:color="auto"/>
                <w:left w:val="none" w:sz="0" w:space="0" w:color="auto"/>
                <w:bottom w:val="none" w:sz="0" w:space="0" w:color="auto"/>
                <w:right w:val="none" w:sz="0" w:space="0" w:color="auto"/>
              </w:divBdr>
              <w:divsChild>
                <w:div w:id="1977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7189">
      <w:bodyDiv w:val="1"/>
      <w:marLeft w:val="0"/>
      <w:marRight w:val="0"/>
      <w:marTop w:val="0"/>
      <w:marBottom w:val="0"/>
      <w:divBdr>
        <w:top w:val="none" w:sz="0" w:space="0" w:color="auto"/>
        <w:left w:val="none" w:sz="0" w:space="0" w:color="auto"/>
        <w:bottom w:val="none" w:sz="0" w:space="0" w:color="auto"/>
        <w:right w:val="none" w:sz="0" w:space="0" w:color="auto"/>
      </w:divBdr>
    </w:div>
    <w:div w:id="1222785103">
      <w:bodyDiv w:val="1"/>
      <w:marLeft w:val="0"/>
      <w:marRight w:val="0"/>
      <w:marTop w:val="0"/>
      <w:marBottom w:val="0"/>
      <w:divBdr>
        <w:top w:val="none" w:sz="0" w:space="0" w:color="auto"/>
        <w:left w:val="none" w:sz="0" w:space="0" w:color="auto"/>
        <w:bottom w:val="none" w:sz="0" w:space="0" w:color="auto"/>
        <w:right w:val="none" w:sz="0" w:space="0" w:color="auto"/>
      </w:divBdr>
      <w:divsChild>
        <w:div w:id="1349284851">
          <w:marLeft w:val="0"/>
          <w:marRight w:val="0"/>
          <w:marTop w:val="0"/>
          <w:marBottom w:val="0"/>
          <w:divBdr>
            <w:top w:val="none" w:sz="0" w:space="0" w:color="auto"/>
            <w:left w:val="none" w:sz="0" w:space="0" w:color="auto"/>
            <w:bottom w:val="none" w:sz="0" w:space="0" w:color="auto"/>
            <w:right w:val="none" w:sz="0" w:space="0" w:color="auto"/>
          </w:divBdr>
          <w:divsChild>
            <w:div w:id="1999726871">
              <w:marLeft w:val="0"/>
              <w:marRight w:val="0"/>
              <w:marTop w:val="0"/>
              <w:marBottom w:val="0"/>
              <w:divBdr>
                <w:top w:val="none" w:sz="0" w:space="0" w:color="auto"/>
                <w:left w:val="none" w:sz="0" w:space="0" w:color="auto"/>
                <w:bottom w:val="none" w:sz="0" w:space="0" w:color="auto"/>
                <w:right w:val="none" w:sz="0" w:space="0" w:color="auto"/>
              </w:divBdr>
              <w:divsChild>
                <w:div w:id="2927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3343">
      <w:bodyDiv w:val="1"/>
      <w:marLeft w:val="0"/>
      <w:marRight w:val="0"/>
      <w:marTop w:val="0"/>
      <w:marBottom w:val="0"/>
      <w:divBdr>
        <w:top w:val="none" w:sz="0" w:space="0" w:color="auto"/>
        <w:left w:val="none" w:sz="0" w:space="0" w:color="auto"/>
        <w:bottom w:val="none" w:sz="0" w:space="0" w:color="auto"/>
        <w:right w:val="none" w:sz="0" w:space="0" w:color="auto"/>
      </w:divBdr>
    </w:div>
    <w:div w:id="1397777220">
      <w:bodyDiv w:val="1"/>
      <w:marLeft w:val="0"/>
      <w:marRight w:val="0"/>
      <w:marTop w:val="0"/>
      <w:marBottom w:val="0"/>
      <w:divBdr>
        <w:top w:val="none" w:sz="0" w:space="0" w:color="auto"/>
        <w:left w:val="none" w:sz="0" w:space="0" w:color="auto"/>
        <w:bottom w:val="none" w:sz="0" w:space="0" w:color="auto"/>
        <w:right w:val="none" w:sz="0" w:space="0" w:color="auto"/>
      </w:divBdr>
      <w:divsChild>
        <w:div w:id="2071952668">
          <w:marLeft w:val="0"/>
          <w:marRight w:val="0"/>
          <w:marTop w:val="0"/>
          <w:marBottom w:val="0"/>
          <w:divBdr>
            <w:top w:val="none" w:sz="0" w:space="0" w:color="auto"/>
            <w:left w:val="none" w:sz="0" w:space="0" w:color="auto"/>
            <w:bottom w:val="none" w:sz="0" w:space="0" w:color="auto"/>
            <w:right w:val="none" w:sz="0" w:space="0" w:color="auto"/>
          </w:divBdr>
          <w:divsChild>
            <w:div w:id="943345626">
              <w:marLeft w:val="0"/>
              <w:marRight w:val="0"/>
              <w:marTop w:val="0"/>
              <w:marBottom w:val="0"/>
              <w:divBdr>
                <w:top w:val="none" w:sz="0" w:space="0" w:color="auto"/>
                <w:left w:val="none" w:sz="0" w:space="0" w:color="auto"/>
                <w:bottom w:val="none" w:sz="0" w:space="0" w:color="auto"/>
                <w:right w:val="none" w:sz="0" w:space="0" w:color="auto"/>
              </w:divBdr>
              <w:divsChild>
                <w:div w:id="13961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60725">
      <w:bodyDiv w:val="1"/>
      <w:marLeft w:val="0"/>
      <w:marRight w:val="0"/>
      <w:marTop w:val="0"/>
      <w:marBottom w:val="0"/>
      <w:divBdr>
        <w:top w:val="none" w:sz="0" w:space="0" w:color="auto"/>
        <w:left w:val="none" w:sz="0" w:space="0" w:color="auto"/>
        <w:bottom w:val="none" w:sz="0" w:space="0" w:color="auto"/>
        <w:right w:val="none" w:sz="0" w:space="0" w:color="auto"/>
      </w:divBdr>
    </w:div>
    <w:div w:id="1472599465">
      <w:bodyDiv w:val="1"/>
      <w:marLeft w:val="0"/>
      <w:marRight w:val="0"/>
      <w:marTop w:val="0"/>
      <w:marBottom w:val="0"/>
      <w:divBdr>
        <w:top w:val="none" w:sz="0" w:space="0" w:color="auto"/>
        <w:left w:val="none" w:sz="0" w:space="0" w:color="auto"/>
        <w:bottom w:val="none" w:sz="0" w:space="0" w:color="auto"/>
        <w:right w:val="none" w:sz="0" w:space="0" w:color="auto"/>
      </w:divBdr>
    </w:div>
    <w:div w:id="1632394512">
      <w:bodyDiv w:val="1"/>
      <w:marLeft w:val="0"/>
      <w:marRight w:val="0"/>
      <w:marTop w:val="0"/>
      <w:marBottom w:val="0"/>
      <w:divBdr>
        <w:top w:val="none" w:sz="0" w:space="0" w:color="auto"/>
        <w:left w:val="none" w:sz="0" w:space="0" w:color="auto"/>
        <w:bottom w:val="none" w:sz="0" w:space="0" w:color="auto"/>
        <w:right w:val="none" w:sz="0" w:space="0" w:color="auto"/>
      </w:divBdr>
    </w:div>
    <w:div w:id="1675261039">
      <w:bodyDiv w:val="1"/>
      <w:marLeft w:val="0"/>
      <w:marRight w:val="0"/>
      <w:marTop w:val="0"/>
      <w:marBottom w:val="0"/>
      <w:divBdr>
        <w:top w:val="none" w:sz="0" w:space="0" w:color="auto"/>
        <w:left w:val="none" w:sz="0" w:space="0" w:color="auto"/>
        <w:bottom w:val="none" w:sz="0" w:space="0" w:color="auto"/>
        <w:right w:val="none" w:sz="0" w:space="0" w:color="auto"/>
      </w:divBdr>
    </w:div>
    <w:div w:id="1686052397">
      <w:bodyDiv w:val="1"/>
      <w:marLeft w:val="0"/>
      <w:marRight w:val="0"/>
      <w:marTop w:val="0"/>
      <w:marBottom w:val="0"/>
      <w:divBdr>
        <w:top w:val="none" w:sz="0" w:space="0" w:color="auto"/>
        <w:left w:val="none" w:sz="0" w:space="0" w:color="auto"/>
        <w:bottom w:val="none" w:sz="0" w:space="0" w:color="auto"/>
        <w:right w:val="none" w:sz="0" w:space="0" w:color="auto"/>
      </w:divBdr>
    </w:div>
    <w:div w:id="1853563893">
      <w:bodyDiv w:val="1"/>
      <w:marLeft w:val="0"/>
      <w:marRight w:val="0"/>
      <w:marTop w:val="0"/>
      <w:marBottom w:val="0"/>
      <w:divBdr>
        <w:top w:val="none" w:sz="0" w:space="0" w:color="auto"/>
        <w:left w:val="none" w:sz="0" w:space="0" w:color="auto"/>
        <w:bottom w:val="none" w:sz="0" w:space="0" w:color="auto"/>
        <w:right w:val="none" w:sz="0" w:space="0" w:color="auto"/>
      </w:divBdr>
    </w:div>
    <w:div w:id="1950041621">
      <w:bodyDiv w:val="1"/>
      <w:marLeft w:val="0"/>
      <w:marRight w:val="0"/>
      <w:marTop w:val="0"/>
      <w:marBottom w:val="0"/>
      <w:divBdr>
        <w:top w:val="none" w:sz="0" w:space="0" w:color="auto"/>
        <w:left w:val="none" w:sz="0" w:space="0" w:color="auto"/>
        <w:bottom w:val="none" w:sz="0" w:space="0" w:color="auto"/>
        <w:right w:val="none" w:sz="0" w:space="0" w:color="auto"/>
      </w:divBdr>
      <w:divsChild>
        <w:div w:id="626666479">
          <w:marLeft w:val="0"/>
          <w:marRight w:val="0"/>
          <w:marTop w:val="0"/>
          <w:marBottom w:val="0"/>
          <w:divBdr>
            <w:top w:val="none" w:sz="0" w:space="0" w:color="auto"/>
            <w:left w:val="none" w:sz="0" w:space="0" w:color="auto"/>
            <w:bottom w:val="none" w:sz="0" w:space="0" w:color="auto"/>
            <w:right w:val="none" w:sz="0" w:space="0" w:color="auto"/>
          </w:divBdr>
          <w:divsChild>
            <w:div w:id="1430740112">
              <w:marLeft w:val="0"/>
              <w:marRight w:val="0"/>
              <w:marTop w:val="0"/>
              <w:marBottom w:val="0"/>
              <w:divBdr>
                <w:top w:val="none" w:sz="0" w:space="0" w:color="auto"/>
                <w:left w:val="none" w:sz="0" w:space="0" w:color="auto"/>
                <w:bottom w:val="none" w:sz="0" w:space="0" w:color="auto"/>
                <w:right w:val="none" w:sz="0" w:space="0" w:color="auto"/>
              </w:divBdr>
              <w:divsChild>
                <w:div w:id="21169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4135">
      <w:bodyDiv w:val="1"/>
      <w:marLeft w:val="0"/>
      <w:marRight w:val="0"/>
      <w:marTop w:val="0"/>
      <w:marBottom w:val="0"/>
      <w:divBdr>
        <w:top w:val="none" w:sz="0" w:space="0" w:color="auto"/>
        <w:left w:val="none" w:sz="0" w:space="0" w:color="auto"/>
        <w:bottom w:val="none" w:sz="0" w:space="0" w:color="auto"/>
        <w:right w:val="none" w:sz="0" w:space="0" w:color="auto"/>
      </w:divBdr>
    </w:div>
    <w:div w:id="2014644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002/ams2.210/fu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77%2F0306312718820965" TargetMode="External"/><Relationship Id="rId4" Type="http://schemas.openxmlformats.org/officeDocument/2006/relationships/settings" Target="settings.xml"/><Relationship Id="rId9" Type="http://schemas.openxmlformats.org/officeDocument/2006/relationships/hyperlink" Target="https://link.springer.com/article/10.1007/s11133-017-9368-5"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69C9-7792-7B45-979D-4B0C629F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30</Pages>
  <Words>10476</Words>
  <Characters>59714</Characters>
  <Application>Microsoft Office Word</Application>
  <DocSecurity>0</DocSecurity>
  <Lines>497</Lines>
  <Paragraphs>140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Bradford</Company>
  <LinksUpToDate>false</LinksUpToDate>
  <CharactersWithSpaces>70050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Jones</dc:creator>
  <cp:keywords/>
  <dc:description/>
  <cp:lastModifiedBy>Danielle Jones</cp:lastModifiedBy>
  <cp:revision>47</cp:revision>
  <dcterms:created xsi:type="dcterms:W3CDTF">2022-07-07T11:46:00Z</dcterms:created>
  <dcterms:modified xsi:type="dcterms:W3CDTF">2022-07-08T09:57:00Z</dcterms:modified>
</cp:coreProperties>
</file>