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B07D9" w14:textId="19450705" w:rsidR="00190B1E" w:rsidRPr="009C1C95" w:rsidRDefault="00190B1E" w:rsidP="009C1C95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lang w:eastAsia="ko-KR"/>
        </w:rPr>
      </w:pPr>
      <w:r w:rsidRPr="009C1C95">
        <w:rPr>
          <w:rFonts w:asciiTheme="majorBidi" w:hAnsiTheme="majorBidi" w:cstheme="majorBidi"/>
          <w:b/>
          <w:bCs/>
          <w:color w:val="000000"/>
          <w:lang w:eastAsia="ko-KR"/>
        </w:rPr>
        <w:t>Statistical methods for the meta-analysis</w:t>
      </w:r>
    </w:p>
    <w:p w14:paraId="61C28E6F" w14:textId="20547C2F" w:rsidR="00190B1E" w:rsidRPr="009C1C95" w:rsidRDefault="00190B1E" w:rsidP="009C1C95">
      <w:p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9C1C95">
        <w:rPr>
          <w:rFonts w:asciiTheme="majorBidi" w:hAnsiTheme="majorBidi" w:cstheme="majorBidi"/>
          <w:color w:val="000000"/>
          <w:lang w:eastAsia="ko-KR"/>
        </w:rPr>
        <w:t xml:space="preserve">For tests where data was available from more than one study, pooled estimates of diagnostic parameters were estimated using the modelling approach described in Jones </w:t>
      </w:r>
      <w:r w:rsidRPr="009C1C95">
        <w:rPr>
          <w:rFonts w:asciiTheme="majorBidi" w:hAnsiTheme="majorBidi" w:cstheme="majorBidi"/>
          <w:i/>
          <w:iCs/>
          <w:color w:val="000000"/>
          <w:lang w:eastAsia="ko-KR"/>
        </w:rPr>
        <w:t>et al.</w:t>
      </w:r>
      <w:r w:rsidRPr="009C1C95">
        <w:rPr>
          <w:rFonts w:asciiTheme="majorBidi" w:hAnsiTheme="majorBidi" w:cstheme="majorBidi"/>
          <w:color w:val="000000"/>
        </w:rPr>
        <w:fldChar w:fldCharType="begin"/>
      </w:r>
      <w:r w:rsidRPr="009C1C95">
        <w:rPr>
          <w:rFonts w:asciiTheme="majorBidi" w:hAnsiTheme="majorBidi" w:cstheme="majorBidi"/>
          <w:color w:val="000000"/>
        </w:rPr>
        <w:instrText xml:space="preserve"> ADDIN EN.CITE &lt;EndNote&gt;&lt;Cite&gt;&lt;Author&gt;Jones&lt;/Author&gt;&lt;Year&gt;2019&lt;/Year&gt;&lt;RecNum&gt;11&lt;/RecNum&gt;&lt;DisplayText&gt;&lt;style face="superscript"&gt;8&lt;/style&gt;&lt;/DisplayText&gt;&lt;record&gt;&lt;rec-number&gt;11&lt;/rec-number&gt;&lt;foreign-keys&gt;&lt;key app="EN" db-id="0x5zredfmzdta5erpfrvtsp69e05d9vxsfav" timestamp="1666720607" guid="0782f1be-0e56-47ca-a3d8-ef44bbb1dbc2"&gt;11&lt;/key&gt;&lt;/foreign-keys&gt;&lt;ref-type name="Journal Article"&gt;17&lt;/ref-type&gt;&lt;contributors&gt;&lt;authors&gt;&lt;author&gt;Jones, H.E., &lt;/author&gt;&lt;author&gt;Gatsonsis, C.A.,&lt;/author&gt;&lt;author&gt;Trikalinos, T.A.,&lt;/author&gt;&lt;author&gt;Welton, N.J.,&lt;/author&gt;&lt;author&gt;Ades, A.E., &lt;/author&gt;&lt;/authors&gt;&lt;/contributors&gt;&lt;titles&gt;&lt;title&gt;Quantifying how diagnostic test accuracy depends on threshold in a meta‐analysis.&lt;/title&gt;&lt;secondary-title&gt;Statistics in Medicine&lt;/secondary-title&gt;&lt;/titles&gt;&lt;periodical&gt;&lt;full-title&gt;Statistics in Medicine&lt;/full-title&gt;&lt;/periodical&gt;&lt;pages&gt;4789-4803&lt;/pages&gt;&lt;volume&gt;38&lt;/volume&gt;&lt;number&gt;24&lt;/number&gt;&lt;dates&gt;&lt;year&gt;2019&lt;/year&gt;&lt;/dates&gt;&lt;urls&gt;&lt;/urls&gt;&lt;/record&gt;&lt;/Cite&gt;&lt;/EndNote&gt;</w:instrText>
      </w:r>
      <w:r w:rsidRPr="009C1C95">
        <w:rPr>
          <w:rFonts w:asciiTheme="majorBidi" w:hAnsiTheme="majorBidi" w:cstheme="majorBidi"/>
          <w:color w:val="000000"/>
        </w:rPr>
        <w:fldChar w:fldCharType="separate"/>
      </w:r>
      <w:r w:rsidRPr="009C1C95">
        <w:rPr>
          <w:rFonts w:asciiTheme="majorBidi" w:hAnsiTheme="majorBidi" w:cstheme="majorBidi"/>
          <w:noProof/>
          <w:color w:val="000000"/>
          <w:vertAlign w:val="superscript"/>
          <w:lang w:eastAsia="ko-KR"/>
        </w:rPr>
        <w:t>8</w:t>
      </w:r>
      <w:r w:rsidRPr="009C1C95">
        <w:rPr>
          <w:rFonts w:asciiTheme="majorBidi" w:hAnsiTheme="majorBidi" w:cstheme="majorBidi"/>
          <w:color w:val="000000"/>
        </w:rPr>
        <w:fldChar w:fldCharType="end"/>
      </w:r>
      <w:r w:rsidRPr="009C1C95">
        <w:rPr>
          <w:rFonts w:asciiTheme="majorBidi" w:hAnsiTheme="majorBidi" w:cstheme="majorBidi"/>
          <w:color w:val="000000"/>
        </w:rPr>
        <w:t>.</w:t>
      </w:r>
      <w:r w:rsidRPr="009C1C95">
        <w:rPr>
          <w:rFonts w:asciiTheme="majorBidi" w:hAnsiTheme="majorBidi" w:cstheme="majorBidi"/>
        </w:rPr>
        <w:t xml:space="preserve"> </w:t>
      </w:r>
      <w:r w:rsidRPr="009C1C95">
        <w:rPr>
          <w:rFonts w:asciiTheme="majorBidi" w:hAnsiTheme="majorBidi" w:cstheme="majorBidi"/>
          <w:color w:val="000000"/>
        </w:rPr>
        <w:t xml:space="preserve">Random effects meta-analysis was used to account for the heterogeneity between studies. </w:t>
      </w:r>
    </w:p>
    <w:p w14:paraId="7FDF305B" w14:textId="77777777" w:rsidR="00190B1E" w:rsidRPr="009C1C95" w:rsidRDefault="00190B1E" w:rsidP="009C1C95">
      <w:p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9C1C95">
        <w:rPr>
          <w:rFonts w:asciiTheme="majorBidi" w:hAnsiTheme="majorBidi" w:cstheme="majorBidi"/>
          <w:color w:val="000000"/>
        </w:rPr>
        <w:t>Analyses were conducted in R</w:t>
      </w:r>
      <w:r w:rsidRPr="009C1C95">
        <w:rPr>
          <w:rFonts w:asciiTheme="majorBidi" w:hAnsiTheme="majorBidi" w:cstheme="majorBidi"/>
          <w:color w:val="000000"/>
        </w:rPr>
        <w:fldChar w:fldCharType="begin"/>
      </w:r>
      <w:r w:rsidRPr="009C1C95">
        <w:rPr>
          <w:rFonts w:asciiTheme="majorBidi" w:hAnsiTheme="majorBidi" w:cstheme="majorBidi"/>
          <w:color w:val="000000"/>
        </w:rPr>
        <w:instrText xml:space="preserve"> ADDIN EN.CITE &lt;EndNote&gt;&lt;Cite&gt;&lt;Author&gt;R Core Team.&lt;/Author&gt;&lt;Year&gt;2022&lt;/Year&gt;&lt;RecNum&gt;4211&lt;/RecNum&gt;&lt;DisplayText&gt;&lt;style face="superscript"&gt;9&lt;/style&gt;&lt;/DisplayText&gt;&lt;record&gt;&lt;rec-number&gt;4211&lt;/rec-number&gt;&lt;foreign-keys&gt;&lt;key app="EN" db-id="0x5zredfmzdta5erpfrvtsp69e05d9vxsfav" timestamp="1684163481" guid="c760f6b1-a94b-49bf-ad2b-9dceba45f2ce"&gt;4211&lt;/key&gt;&lt;/foreign-keys&gt;&lt;ref-type name="Computer Program"&gt;9&lt;/ref-type&gt;&lt;contributors&gt;&lt;authors&gt;&lt;author&gt;R Core Team.,&lt;/author&gt;&lt;/authors&gt;&lt;/contributors&gt;&lt;titles&gt;&lt;title&gt;R: A language and environment for statistical computing. R Foundation for Statistical Computing.&lt;/title&gt;&lt;/titles&gt;&lt;dates&gt;&lt;year&gt;2022&lt;/year&gt;&lt;/dates&gt;&lt;pub-location&gt;Vienna, Austria&lt;/pub-location&gt;&lt;urls&gt;&lt;related-urls&gt;&lt;url&gt;https://www.R-project.org/.&lt;/url&gt;&lt;/related-urls&gt;&lt;/urls&gt;&lt;/record&gt;&lt;/Cite&gt;&lt;/EndNote&gt;</w:instrText>
      </w:r>
      <w:r w:rsidRPr="009C1C95">
        <w:rPr>
          <w:rFonts w:asciiTheme="majorBidi" w:hAnsiTheme="majorBidi" w:cstheme="majorBidi"/>
          <w:color w:val="000000"/>
        </w:rPr>
        <w:fldChar w:fldCharType="separate"/>
      </w:r>
      <w:r w:rsidRPr="009C1C95">
        <w:rPr>
          <w:rFonts w:asciiTheme="majorBidi" w:hAnsiTheme="majorBidi" w:cstheme="majorBidi"/>
          <w:noProof/>
          <w:color w:val="000000"/>
          <w:vertAlign w:val="superscript"/>
        </w:rPr>
        <w:t>9</w:t>
      </w:r>
      <w:r w:rsidRPr="009C1C95">
        <w:rPr>
          <w:rFonts w:asciiTheme="majorBidi" w:hAnsiTheme="majorBidi" w:cstheme="majorBidi"/>
          <w:color w:val="000000"/>
        </w:rPr>
        <w:fldChar w:fldCharType="end"/>
      </w:r>
      <w:r w:rsidRPr="009C1C95">
        <w:rPr>
          <w:rFonts w:asciiTheme="majorBidi" w:hAnsiTheme="majorBidi" w:cstheme="majorBidi"/>
          <w:color w:val="000000"/>
        </w:rPr>
        <w:t xml:space="preserve"> using the</w:t>
      </w:r>
      <w:r w:rsidRPr="009C1C95">
        <w:rPr>
          <w:rFonts w:asciiTheme="majorBidi" w:hAnsiTheme="majorBidi" w:cstheme="majorBidi"/>
        </w:rPr>
        <w:t xml:space="preserve"> </w:t>
      </w:r>
      <w:r w:rsidRPr="009C1C95">
        <w:rPr>
          <w:rFonts w:asciiTheme="majorBidi" w:hAnsiTheme="majorBidi" w:cstheme="majorBidi"/>
          <w:color w:val="000000"/>
        </w:rPr>
        <w:t>JAG</w:t>
      </w:r>
      <w:sdt>
        <w:sdtPr>
          <w:rPr>
            <w:rFonts w:asciiTheme="majorBidi" w:hAnsiTheme="majorBidi" w:cstheme="majorBidi"/>
          </w:rPr>
          <w:tag w:val="goog_rdk_27"/>
          <w:id w:val="-1530336685"/>
        </w:sdtPr>
        <w:sdtEndPr/>
        <w:sdtContent/>
      </w:sdt>
      <w:r w:rsidRPr="009C1C95">
        <w:rPr>
          <w:rFonts w:asciiTheme="majorBidi" w:hAnsiTheme="majorBidi" w:cstheme="majorBidi"/>
          <w:color w:val="000000"/>
        </w:rPr>
        <w:t>S</w:t>
      </w:r>
      <w:r w:rsidRPr="009C1C95">
        <w:rPr>
          <w:rFonts w:asciiTheme="majorBidi" w:hAnsiTheme="majorBidi" w:cstheme="majorBidi"/>
        </w:rPr>
        <w:t xml:space="preserve"> Markov</w:t>
      </w:r>
      <w:r w:rsidRPr="009C1C95">
        <w:rPr>
          <w:rFonts w:asciiTheme="majorBidi" w:hAnsiTheme="majorBidi" w:cstheme="majorBidi"/>
          <w:color w:val="000000"/>
        </w:rPr>
        <w:t xml:space="preserve"> chain Monte Carlo (MCMC) sampler and the RJAGS interface package.</w:t>
      </w:r>
      <w:r w:rsidRPr="009C1C95">
        <w:rPr>
          <w:rFonts w:asciiTheme="majorBidi" w:hAnsiTheme="majorBidi" w:cstheme="majorBidi"/>
          <w:color w:val="000000"/>
        </w:rPr>
        <w:fldChar w:fldCharType="begin"/>
      </w:r>
      <w:r w:rsidRPr="009C1C95">
        <w:rPr>
          <w:rFonts w:asciiTheme="majorBidi" w:hAnsiTheme="majorBidi" w:cstheme="majorBidi"/>
          <w:color w:val="000000"/>
        </w:rPr>
        <w:instrText xml:space="preserve"> ADDIN EN.CITE &lt;EndNote&gt;&lt;Cite&gt;&lt;Author&gt;Plummer&lt;/Author&gt;&lt;Year&gt;2019&lt;/Year&gt;&lt;RecNum&gt;58&lt;/RecNum&gt;&lt;DisplayText&gt;&lt;style face="superscript"&gt;10&lt;/style&gt;&lt;/DisplayText&gt;&lt;record&gt;&lt;rec-number&gt;58&lt;/rec-number&gt;&lt;foreign-keys&gt;&lt;key app="EN" db-id="0x5zredfmzdta5erpfrvtsp69e05d9vxsfav" timestamp="1671449670" guid="a408d940-f3a1-4377-b456-8d7911ea02e4"&gt;58&lt;/key&gt;&lt;/foreign-keys&gt;&lt;ref-type name="Computer Program"&gt;9&lt;/ref-type&gt;&lt;contributors&gt;&lt;authors&gt;&lt;author&gt;Plummer, M&lt;/author&gt;&lt;/authors&gt;&lt;/contributors&gt;&lt;titles&gt;&lt;title&gt;rjags: Bayesian Graphical Models using MCMC. R package version 4-10&lt;/title&gt;&lt;/titles&gt;&lt;dates&gt;&lt;year&gt;2019&lt;/year&gt;&lt;/dates&gt;&lt;urls&gt;&lt;related-urls&gt;&lt;url&gt;https://CRAN.R-project.org/package=rjags&lt;/url&gt;&lt;/related-urls&gt;&lt;/urls&gt;&lt;/record&gt;&lt;/Cite&gt;&lt;/EndNote&gt;</w:instrText>
      </w:r>
      <w:r w:rsidRPr="009C1C95">
        <w:rPr>
          <w:rFonts w:asciiTheme="majorBidi" w:hAnsiTheme="majorBidi" w:cstheme="majorBidi"/>
          <w:color w:val="000000"/>
        </w:rPr>
        <w:fldChar w:fldCharType="separate"/>
      </w:r>
      <w:r w:rsidRPr="009C1C95">
        <w:rPr>
          <w:rFonts w:asciiTheme="majorBidi" w:hAnsiTheme="majorBidi" w:cstheme="majorBidi"/>
          <w:noProof/>
          <w:color w:val="000000"/>
          <w:vertAlign w:val="superscript"/>
        </w:rPr>
        <w:t>10</w:t>
      </w:r>
      <w:r w:rsidRPr="009C1C95">
        <w:rPr>
          <w:rFonts w:asciiTheme="majorBidi" w:hAnsiTheme="majorBidi" w:cstheme="majorBidi"/>
          <w:color w:val="000000"/>
        </w:rPr>
        <w:fldChar w:fldCharType="end"/>
      </w:r>
      <w:r w:rsidRPr="009C1C95">
        <w:rPr>
          <w:rFonts w:asciiTheme="majorBidi" w:hAnsiTheme="majorBidi" w:cstheme="majorBidi"/>
          <w:color w:val="000000"/>
        </w:rPr>
        <w:t xml:space="preserve"> Convergence to the target posterior distributions was assessed using the Gelman-Rubin statistic</w:t>
      </w:r>
      <w:r w:rsidRPr="009C1C95">
        <w:rPr>
          <w:rFonts w:asciiTheme="majorBidi" w:hAnsiTheme="majorBidi" w:cstheme="majorBidi"/>
          <w:color w:val="000000"/>
        </w:rPr>
        <w:fldChar w:fldCharType="begin"/>
      </w:r>
      <w:r w:rsidRPr="009C1C95">
        <w:rPr>
          <w:rFonts w:asciiTheme="majorBidi" w:hAnsiTheme="majorBidi" w:cstheme="majorBidi"/>
          <w:color w:val="000000"/>
        </w:rPr>
        <w:instrText xml:space="preserve"> ADDIN EN.CITE &lt;EndNote&gt;&lt;Cite&gt;&lt;Author&gt;Brooks&lt;/Author&gt;&lt;Year&gt;1998&lt;/Year&gt;&lt;RecNum&gt;4212&lt;/RecNum&gt;&lt;DisplayText&gt;&lt;style face="superscript"&gt;11&lt;/style&gt;&lt;/DisplayText&gt;&lt;record&gt;&lt;rec-number&gt;4212&lt;/rec-number&gt;&lt;foreign-keys&gt;&lt;key app="EN" db-id="0x5zredfmzdta5erpfrvtsp69e05d9vxsfav" timestamp="1684163481" guid="4456587a-6023-415e-bd41-95c357f0e471"&gt;4212&lt;/key&gt;&lt;/foreign-keys&gt;&lt;ref-type name="Journal Article"&gt;17&lt;/ref-type&gt;&lt;contributors&gt;&lt;authors&gt;&lt;author&gt;Brooks, SP., &lt;/author&gt;&lt;author&gt;Gelman, A.&lt;/author&gt;&lt;/authors&gt;&lt;/contributors&gt;&lt;titles&gt;&lt;title&gt;General methods for monitoring convergence of iterative simulations.&lt;/title&gt;&lt;secondary-title&gt;J Comput Graph Stat.&lt;/secondary-title&gt;&lt;/titles&gt;&lt;periodical&gt;&lt;full-title&gt;J Comput Graph Stat.&lt;/full-title&gt;&lt;/periodical&gt;&lt;pages&gt;434-455&lt;/pages&gt;&lt;volume&gt;7&lt;/volume&gt;&lt;dates&gt;&lt;year&gt;1998&lt;/year&gt;&lt;/dates&gt;&lt;urls&gt;&lt;/urls&gt;&lt;/record&gt;&lt;/Cite&gt;&lt;/EndNote&gt;</w:instrText>
      </w:r>
      <w:r w:rsidRPr="009C1C95">
        <w:rPr>
          <w:rFonts w:asciiTheme="majorBidi" w:hAnsiTheme="majorBidi" w:cstheme="majorBidi"/>
          <w:color w:val="000000"/>
        </w:rPr>
        <w:fldChar w:fldCharType="separate"/>
      </w:r>
      <w:r w:rsidRPr="009C1C95">
        <w:rPr>
          <w:rFonts w:asciiTheme="majorBidi" w:hAnsiTheme="majorBidi" w:cstheme="majorBidi"/>
          <w:noProof/>
          <w:color w:val="000000"/>
          <w:vertAlign w:val="superscript"/>
        </w:rPr>
        <w:t>11</w:t>
      </w:r>
      <w:r w:rsidRPr="009C1C95">
        <w:rPr>
          <w:rFonts w:asciiTheme="majorBidi" w:hAnsiTheme="majorBidi" w:cstheme="majorBidi"/>
          <w:color w:val="000000"/>
        </w:rPr>
        <w:fldChar w:fldCharType="end"/>
      </w:r>
      <w:r w:rsidRPr="009C1C95">
        <w:rPr>
          <w:rFonts w:asciiTheme="majorBidi" w:hAnsiTheme="majorBidi" w:cstheme="majorBidi"/>
          <w:color w:val="000000"/>
        </w:rPr>
        <w:t xml:space="preserve"> for three chains with different initial values. For all analyses, a burn in of 50,000 iterations of the Markov chain was used, with a further 30,000 iterations retained to estimate parameters after thinning by retaining every 10</w:t>
      </w:r>
      <w:r w:rsidRPr="009C1C95">
        <w:rPr>
          <w:rFonts w:asciiTheme="majorBidi" w:hAnsiTheme="majorBidi" w:cstheme="majorBidi"/>
          <w:color w:val="000000"/>
          <w:vertAlign w:val="superscript"/>
        </w:rPr>
        <w:t>th</w:t>
      </w:r>
      <w:r w:rsidRPr="009C1C95">
        <w:rPr>
          <w:rFonts w:asciiTheme="majorBidi" w:hAnsiTheme="majorBidi" w:cstheme="majorBidi"/>
          <w:color w:val="000000"/>
        </w:rPr>
        <w:t xml:space="preserve"> sample. </w:t>
      </w:r>
    </w:p>
    <w:p w14:paraId="5E46EB6D" w14:textId="304F12D0" w:rsidR="00190B1E" w:rsidRPr="009C1C95" w:rsidRDefault="00190B1E" w:rsidP="009C1C95">
      <w:p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9C1C95">
        <w:rPr>
          <w:rFonts w:asciiTheme="majorBidi" w:hAnsiTheme="majorBidi" w:cstheme="majorBidi"/>
          <w:color w:val="000000"/>
        </w:rPr>
        <w:t>Model fit penalising for complexity was compared using the Deviance Information Criterion (DIC).</w:t>
      </w:r>
      <w:r w:rsidRPr="009C1C95">
        <w:rPr>
          <w:rFonts w:asciiTheme="majorBidi" w:hAnsiTheme="majorBidi" w:cstheme="majorBidi"/>
          <w:color w:val="000000"/>
        </w:rPr>
        <w:fldChar w:fldCharType="begin"/>
      </w:r>
      <w:r w:rsidRPr="009C1C95">
        <w:rPr>
          <w:rFonts w:asciiTheme="majorBidi" w:hAnsiTheme="majorBidi" w:cstheme="majorBidi"/>
          <w:color w:val="000000"/>
        </w:rPr>
        <w:instrText xml:space="preserve"> ADDIN EN.CITE &lt;EndNote&gt;&lt;Cite&gt;&lt;Author&gt;Spiegelhalter&lt;/Author&gt;&lt;Year&gt;2002&lt;/Year&gt;&lt;RecNum&gt;4213&lt;/RecNum&gt;&lt;DisplayText&gt;&lt;style face="superscript"&gt;12&lt;/style&gt;&lt;/DisplayText&gt;&lt;record&gt;&lt;rec-number&gt;4213&lt;/rec-number&gt;&lt;foreign-keys&gt;&lt;key app="EN" db-id="0x5zredfmzdta5erpfrvtsp69e05d9vxsfav" timestamp="1684163481" guid="9e0a577a-060f-4053-af1a-e79f514843dd"&gt;4213&lt;/key&gt;&lt;/foreign-keys&gt;&lt;ref-type name="Journal Article"&gt;17&lt;/ref-type&gt;&lt;contributors&gt;&lt;authors&gt;&lt;author&gt;Spiegelhalter, DJ.,&lt;/author&gt;&lt;author&gt;Best, NG.,&lt;/author&gt;&lt;author&gt;Carlin, BR.,&lt;/author&gt;&lt;author&gt;van der Linde, A.&lt;/author&gt;&lt;/authors&gt;&lt;/contributors&gt;&lt;titles&gt;&lt;title&gt;Bayesian measures of model complexity and fit.&lt;/title&gt;&lt;secondary-title&gt;J R Stat Soc Ser B Stat Methodol.&lt;/secondary-title&gt;&lt;/titles&gt;&lt;periodical&gt;&lt;full-title&gt;J R Stat Soc Ser B Stat Methodol.&lt;/full-title&gt;&lt;/periodical&gt;&lt;pages&gt;583-639&lt;/pages&gt;&lt;volume&gt;64&lt;/volume&gt;&lt;dates&gt;&lt;year&gt;2002&lt;/year&gt;&lt;/dates&gt;&lt;urls&gt;&lt;/urls&gt;&lt;/record&gt;&lt;/Cite&gt;&lt;/EndNote&gt;</w:instrText>
      </w:r>
      <w:r w:rsidRPr="009C1C95">
        <w:rPr>
          <w:rFonts w:asciiTheme="majorBidi" w:hAnsiTheme="majorBidi" w:cstheme="majorBidi"/>
          <w:color w:val="000000"/>
        </w:rPr>
        <w:fldChar w:fldCharType="separate"/>
      </w:r>
      <w:r w:rsidRPr="009C1C95">
        <w:rPr>
          <w:rFonts w:asciiTheme="majorBidi" w:hAnsiTheme="majorBidi" w:cstheme="majorBidi"/>
          <w:noProof/>
          <w:color w:val="000000"/>
          <w:vertAlign w:val="superscript"/>
        </w:rPr>
        <w:t>12</w:t>
      </w:r>
      <w:r w:rsidRPr="009C1C95">
        <w:rPr>
          <w:rFonts w:asciiTheme="majorBidi" w:hAnsiTheme="majorBidi" w:cstheme="majorBidi"/>
          <w:color w:val="000000"/>
        </w:rPr>
        <w:fldChar w:fldCharType="end"/>
      </w:r>
      <w:r w:rsidRPr="009C1C95">
        <w:rPr>
          <w:rFonts w:asciiTheme="majorBidi" w:hAnsiTheme="majorBidi" w:cstheme="majorBidi"/>
          <w:color w:val="000000"/>
        </w:rPr>
        <w:t xml:space="preserve"> Models with lower values of the DIC are preferred</w:t>
      </w:r>
    </w:p>
    <w:p w14:paraId="4BA96AE9" w14:textId="6A4057C4" w:rsidR="00190B1E" w:rsidRPr="009C1C95" w:rsidRDefault="00190B1E" w:rsidP="009C1C95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</w:rPr>
      </w:pPr>
      <w:r w:rsidRPr="009C1C95">
        <w:rPr>
          <w:rFonts w:asciiTheme="majorBidi" w:hAnsiTheme="majorBidi" w:cstheme="majorBidi"/>
          <w:b/>
          <w:bCs/>
          <w:color w:val="000000"/>
        </w:rPr>
        <w:t>1. Statistical model</w:t>
      </w:r>
    </w:p>
    <w:p w14:paraId="1045E28D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The statistical model is briefly described following the notation in Jones et al.</w:t>
      </w:r>
      <w:r w:rsidRPr="00933CE4">
        <w:rPr>
          <w:rFonts w:asciiTheme="majorBidi" w:eastAsia="Times New Roman" w:hAnsiTheme="majorBidi" w:cstheme="majorBidi"/>
          <w:color w:val="000000"/>
          <w:kern w:val="0"/>
          <w:lang w:eastAsia="en-GB"/>
          <w14:ligatures w14:val="none"/>
        </w:rPr>
        <w:t xml:space="preserve"> </w:t>
      </w:r>
      <w:r w:rsidRPr="00933CE4">
        <w:rPr>
          <w:rFonts w:asciiTheme="majorBidi" w:eastAsia="Times New Roman" w:hAnsiTheme="majorBidi" w:cstheme="majorBidi"/>
          <w:color w:val="000000"/>
          <w:kern w:val="0"/>
          <w:lang w:eastAsia="en-GB"/>
          <w14:ligatures w14:val="none"/>
        </w:rPr>
        <w:fldChar w:fldCharType="begin"/>
      </w:r>
      <w:r w:rsidRPr="00933CE4">
        <w:rPr>
          <w:rFonts w:asciiTheme="majorBidi" w:eastAsia="Times New Roman" w:hAnsiTheme="majorBidi" w:cstheme="majorBidi"/>
          <w:color w:val="000000"/>
          <w:kern w:val="0"/>
          <w:lang w:eastAsia="en-GB"/>
          <w14:ligatures w14:val="none"/>
        </w:rPr>
        <w:instrText xml:space="preserve"> ADDIN EN.CITE &lt;EndNote&gt;&lt;Cite&gt;&lt;Author&gt;Jones&lt;/Author&gt;&lt;Year&gt;2019&lt;/Year&gt;&lt;RecNum&gt;11&lt;/RecNum&gt;&lt;DisplayText&gt;&lt;style face="superscript"&gt;38&lt;/style&gt;&lt;/DisplayText&gt;&lt;record&gt;&lt;rec-number&gt;11&lt;/rec-number&gt;&lt;foreign-keys&gt;&lt;key app="EN" db-id="vxvsww0phazrt4ef2s6xfda5psfwe0vaf2s9" timestamp="1675766215" guid="0782f1be-0e56-47ca-a3d8-ef44bbb1dbc2"&gt;11&lt;/key&gt;&lt;/foreign-keys&gt;&lt;ref-type name="Journal Article"&gt;17&lt;/ref-type&gt;&lt;contributors&gt;&lt;authors&gt;&lt;author&gt;Jones, H.E., &lt;/author&gt;&lt;author&gt;Gatsonsis, C.A.,&lt;/author&gt;&lt;author&gt;Trikalinos, T.A.,&lt;/author&gt;&lt;author&gt;Welton, N.J.,&lt;/author&gt;&lt;author&gt;Ades, A.E., &lt;/author&gt;&lt;/authors&gt;&lt;/contributors&gt;&lt;titles&gt;&lt;title&gt;Quantifying how diagnostic test accuracy depends on threshold in a meta‐analysis.&lt;/title&gt;&lt;secondary-title&gt;Statistics in Medicine&lt;/secondary-title&gt;&lt;/titles&gt;&lt;periodical&gt;&lt;full-title&gt;Statistics in Medicine&lt;/full-title&gt;&lt;/periodical&gt;&lt;pages&gt;4789-4803&lt;/pages&gt;&lt;volume&gt;38&lt;/volume&gt;&lt;number&gt;24&lt;/number&gt;&lt;dates&gt;&lt;year&gt;2019&lt;/year&gt;&lt;/dates&gt;&lt;urls&gt;&lt;/urls&gt;&lt;/record&gt;&lt;/Cite&gt;&lt;/EndNote&gt;</w:instrText>
      </w:r>
      <w:r w:rsidRPr="00933CE4">
        <w:rPr>
          <w:rFonts w:asciiTheme="majorBidi" w:eastAsia="Times New Roman" w:hAnsiTheme="majorBidi" w:cstheme="majorBidi"/>
          <w:color w:val="000000"/>
          <w:kern w:val="0"/>
          <w:lang w:eastAsia="en-GB"/>
          <w14:ligatures w14:val="none"/>
        </w:rPr>
        <w:fldChar w:fldCharType="separate"/>
      </w:r>
      <w:r w:rsidRPr="00933CE4">
        <w:rPr>
          <w:rFonts w:asciiTheme="majorBidi" w:eastAsia="Times New Roman" w:hAnsiTheme="majorBidi" w:cstheme="majorBidi"/>
          <w:noProof/>
          <w:color w:val="000000"/>
          <w:kern w:val="0"/>
          <w:vertAlign w:val="superscript"/>
          <w:lang w:eastAsia="en-GB"/>
          <w14:ligatures w14:val="none"/>
        </w:rPr>
        <w:t>38</w:t>
      </w:r>
      <w:r w:rsidRPr="00933CE4">
        <w:rPr>
          <w:rFonts w:asciiTheme="majorBidi" w:eastAsia="Times New Roman" w:hAnsiTheme="majorBidi" w:cstheme="majorBidi"/>
          <w:color w:val="000000"/>
          <w:kern w:val="0"/>
          <w:lang w:eastAsia="en-GB"/>
          <w14:ligatures w14:val="none"/>
        </w:rPr>
        <w:fldChar w:fldCharType="end"/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 True disease status is assumed to be known through application of a perfect gold standard test. Populations </w:t>
      </w:r>
      <w:r w:rsidRPr="00933CE4">
        <w:rPr>
          <w:rFonts w:asciiTheme="majorBidi" w:eastAsia="Times New Roman" w:hAnsiTheme="majorBidi" w:cstheme="majorBidi"/>
          <w:kern w:val="0"/>
          <w:u w:val="single"/>
          <w:lang w:eastAsia="en-GB"/>
          <w14:ligatures w14:val="none"/>
        </w:rPr>
        <w:t>without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and </w:t>
      </w:r>
      <w:r w:rsidRPr="00933CE4">
        <w:rPr>
          <w:rFonts w:asciiTheme="majorBidi" w:eastAsia="Times New Roman" w:hAnsiTheme="majorBidi" w:cstheme="majorBidi"/>
          <w:kern w:val="0"/>
          <w:u w:val="single"/>
          <w:lang w:eastAsia="en-GB"/>
          <w14:ligatures w14:val="none"/>
        </w:rPr>
        <w:t>with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CRC are indexed by </w:t>
      </w:r>
      <w:r w:rsidRPr="00933CE4">
        <w:rPr>
          <w:rFonts w:asciiTheme="majorBidi" w:eastAsia="Times New Roman" w:hAnsiTheme="majorBidi" w:cstheme="majorBidi"/>
          <w:i/>
          <w:kern w:val="0"/>
          <w:lang w:eastAsia="en-GB"/>
          <w14:ligatures w14:val="none"/>
        </w:rPr>
        <w:t xml:space="preserve">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j=1, 2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respectively. Each study, </w:t>
      </w:r>
      <w:proofErr w:type="spellStart"/>
      <w:r w:rsidRPr="00933CE4">
        <w:rPr>
          <w:rFonts w:asciiTheme="majorBidi" w:eastAsia="Times New Roman" w:hAnsiTheme="majorBidi" w:cstheme="majorBidi"/>
          <w:i/>
          <w:iCs/>
          <w:kern w:val="0"/>
          <w:lang w:eastAsia="en-GB"/>
          <w14:ligatures w14:val="none"/>
        </w:rPr>
        <w:t>i</w:t>
      </w:r>
      <w:proofErr w:type="spellEnd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, reports </w:t>
      </w:r>
      <w:proofErr w:type="gramStart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estimates</w:t>
      </w:r>
      <w:proofErr w:type="gramEnd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of sensitivity and specificity, or directly reports count data, at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 xml:space="preserve"> </m:t>
        </m:r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T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</m:t>
            </m:r>
          </m:sub>
        </m:sSub>
      </m:oMath>
      <w:r w:rsidRPr="00933CE4">
        <w:rPr>
          <w:rFonts w:asciiTheme="majorBidi" w:eastAsia="Times New Roman" w:hAnsiTheme="majorBidi" w:cstheme="majorBidi"/>
          <w:i/>
          <w:iCs/>
          <w:kern w:val="0"/>
          <w:lang w:eastAsia="en-GB"/>
          <w14:ligatures w14:val="none"/>
        </w:rPr>
        <w:t xml:space="preserve"> 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distinct thresholds. Test results above a given threshold are considered positive. </w:t>
      </w:r>
    </w:p>
    <w:p w14:paraId="6410F750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color w:val="000000"/>
          <w:kern w:val="0"/>
          <w:lang w:eastAsia="en-GB"/>
          <w14:ligatures w14:val="none"/>
        </w:rPr>
      </w:pPr>
    </w:p>
    <w:p w14:paraId="79ECABD3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The observed count data is modelled using multinomial likelihoods, reparametrized as conditional binomial distributions for computational convenience. The model assumes that some transformation,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g()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of the continuous test results in population</w:t>
      </w:r>
      <w:r w:rsidRPr="00933CE4">
        <w:rPr>
          <w:rFonts w:asciiTheme="majorBidi" w:eastAsia="Times New Roman" w:hAnsiTheme="majorBidi" w:cstheme="majorBidi"/>
          <w:i/>
          <w:kern w:val="0"/>
          <w:lang w:eastAsia="en-GB"/>
          <w14:ligatures w14:val="none"/>
        </w:rPr>
        <w:t xml:space="preserve">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j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of study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i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has a logistic distribution with mean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and scale parameter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. In our analyses we pre-specify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g</m:t>
        </m:r>
        <m:d>
          <m:d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dPr>
          <m:e/>
        </m:d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kern w:val="0"/>
                    <w:lang w:eastAsia="en-GB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kern w:val="0"/>
                    <w:lang w:eastAsia="en-GB"/>
                    <w14:ligatures w14:val="none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theme="majorBidi"/>
                    <w:kern w:val="0"/>
                    <w:lang w:eastAsia="en-GB"/>
                    <w14:ligatures w14:val="none"/>
                  </w:rPr>
                  <m:t>e</m:t>
                </m:r>
              </m:sub>
            </m:sSub>
          </m:fName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()</m:t>
            </m:r>
          </m:e>
        </m:func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. Jones et al. describe the more flexible (but computationally intensive) case where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g</m:t>
        </m:r>
        <m:d>
          <m:d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dPr>
          <m:e/>
        </m:d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is in the set of Box-Cox transformation, defined by a parameter which is estimated alongside other model parameters. </w:t>
      </w:r>
    </w:p>
    <w:p w14:paraId="6886A31F" w14:textId="77777777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i/>
          <w:iCs/>
          <w:kern w:val="0"/>
          <w:u w:val="single"/>
          <w:lang w:eastAsia="en-GB"/>
          <w14:ligatures w14:val="none"/>
        </w:rPr>
      </w:pPr>
    </w:p>
    <w:p w14:paraId="3D44C6DD" w14:textId="2A21AA15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i/>
          <w:iCs/>
          <w:kern w:val="0"/>
          <w:u w:val="single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i/>
          <w:iCs/>
          <w:kern w:val="0"/>
          <w:u w:val="single"/>
          <w:lang w:eastAsia="en-GB"/>
          <w14:ligatures w14:val="none"/>
        </w:rPr>
        <w:t>Within study model</w:t>
      </w:r>
    </w:p>
    <w:p w14:paraId="128DD2F2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The probability of a positive test result at threshold 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C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it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in population</w:t>
      </w:r>
      <w:r w:rsidRPr="00933CE4">
        <w:rPr>
          <w:rFonts w:asciiTheme="majorBidi" w:eastAsia="Times New Roman" w:hAnsiTheme="majorBidi" w:cstheme="majorBidi"/>
          <w:i/>
          <w:kern w:val="0"/>
          <w:lang w:eastAsia="en-GB"/>
          <w14:ligatures w14:val="none"/>
        </w:rPr>
        <w:t xml:space="preserve">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j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of study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i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is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657"/>
      </w:tblGrid>
      <w:tr w:rsidR="00190B1E" w:rsidRPr="00933CE4" w14:paraId="633698A7" w14:textId="77777777" w:rsidTr="005E0C14">
        <w:tc>
          <w:tcPr>
            <w:tcW w:w="8359" w:type="dxa"/>
          </w:tcPr>
          <w:p w14:paraId="65E24C67" w14:textId="77777777" w:rsidR="00190B1E" w:rsidRPr="00933CE4" w:rsidRDefault="00190B1E" w:rsidP="009C1C95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2"/>
                    <w:szCs w:val="22"/>
                    <w:lang w:eastAsia="en-GB"/>
                  </w:rPr>
                  <m:t>logit</m:t>
                </m:r>
                <m:d>
                  <m:dPr>
                    <m:ctrlPr>
                      <w:rPr>
                        <w:rFonts w:ascii="Cambria Math" w:hAnsi="Cambria Math" w:cstheme="majorBidi"/>
                        <w:i/>
                        <w:sz w:val="22"/>
                        <w:szCs w:val="22"/>
                        <w:lang w:eastAsia="en-GB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sz w:val="22"/>
                        <w:szCs w:val="22"/>
                        <w:lang w:eastAsia="en-GB"/>
                      </w:rPr>
                      <m:t>p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2"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2"/>
                            <w:szCs w:val="22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2"/>
                            <w:szCs w:val="22"/>
                            <w:lang w:eastAsia="en-GB"/>
                          </w:rPr>
                          <m:t>ijt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Bidi"/>
                    <w:sz w:val="22"/>
                    <w:szCs w:val="22"/>
                    <w:lang w:eastAsia="en-GB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Bidi"/>
                        <w:i/>
                        <w:sz w:val="22"/>
                        <w:szCs w:val="22"/>
                        <w:lang w:eastAsia="en-GB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sz w:val="22"/>
                            <w:szCs w:val="22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  <w:sz w:val="22"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2"/>
                                <w:szCs w:val="22"/>
                                <w:lang w:eastAsia="en-GB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2"/>
                                <w:szCs w:val="22"/>
                                <w:lang w:eastAsia="en-GB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 w:cstheme="majorBidi"/>
                            <w:sz w:val="22"/>
                            <w:szCs w:val="22"/>
                            <w:lang w:eastAsia="en-GB"/>
                          </w:rPr>
                          <m:t>-g(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Bidi"/>
                                <w:i/>
                                <w:sz w:val="22"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2"/>
                                <w:szCs w:val="22"/>
                                <w:lang w:eastAsia="en-GB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2"/>
                                <w:szCs w:val="22"/>
                                <w:lang w:eastAsia="en-GB"/>
                              </w:rPr>
                              <m:t>it</m:t>
                            </m:r>
                          </m:sub>
                        </m:sSub>
                        <m:r>
                          <w:rPr>
                            <w:rFonts w:ascii="Cambria Math" w:hAnsi="Cambria Math" w:cstheme="majorBidi"/>
                            <w:sz w:val="22"/>
                            <w:szCs w:val="22"/>
                            <w:lang w:eastAsia="en-GB"/>
                          </w:rPr>
                          <m:t>)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2"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2"/>
                            <w:szCs w:val="22"/>
                            <w:lang w:eastAsia="en-GB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2"/>
                            <w:szCs w:val="22"/>
                            <w:lang w:eastAsia="en-GB"/>
                          </w:rPr>
                          <m:t>ij</m:t>
                        </m:r>
                      </m:sub>
                    </m:sSub>
                  </m:den>
                </m:f>
              </m:oMath>
            </m:oMathPara>
          </w:p>
          <w:p w14:paraId="3599F7FD" w14:textId="77777777" w:rsidR="00190B1E" w:rsidRPr="00933CE4" w:rsidRDefault="00190B1E" w:rsidP="009C1C95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6ECB8650" w14:textId="77777777" w:rsidR="00190B1E" w:rsidRPr="00933CE4" w:rsidRDefault="00190B1E" w:rsidP="009C1C95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33CE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For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  <w:lang w:eastAsia="en-GB"/>
                </w:rPr>
                <m:t>j=1</m:t>
              </m:r>
            </m:oMath>
            <w:r w:rsidRPr="00933CE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we have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  <w:lang w:eastAsia="en-GB"/>
                </w:rPr>
                <m:t>p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2"/>
                      <w:szCs w:val="22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ajorBidi"/>
                      <w:sz w:val="22"/>
                      <w:szCs w:val="22"/>
                      <w:lang w:eastAsia="en-GB"/>
                    </w:rPr>
                    <m:t>i1t</m:t>
                  </m:r>
                </m:sub>
              </m:sSub>
            </m:oMath>
            <w:r w:rsidRPr="00933CE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(the false positive rate, FPR=1-sensitivity) and for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  <w:lang w:eastAsia="en-GB"/>
                </w:rPr>
                <m:t>j=2</m:t>
              </m:r>
            </m:oMath>
            <w:r w:rsidRPr="00933CE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we have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  <w:lang w:eastAsia="en-GB"/>
                </w:rPr>
                <m:t>p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2"/>
                      <w:szCs w:val="22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ajorBidi"/>
                      <w:sz w:val="22"/>
                      <w:szCs w:val="22"/>
                      <w:lang w:eastAsia="en-GB"/>
                    </w:rPr>
                    <m:t>i2t</m:t>
                  </m:r>
                </m:sub>
              </m:sSub>
            </m:oMath>
            <w:r w:rsidRPr="00933CE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(the true positive rate, TPR=sensitivity)</w:t>
            </w:r>
          </w:p>
        </w:tc>
        <w:tc>
          <w:tcPr>
            <w:tcW w:w="657" w:type="dxa"/>
          </w:tcPr>
          <w:p w14:paraId="10ECB05D" w14:textId="77777777" w:rsidR="00190B1E" w:rsidRPr="00933CE4" w:rsidRDefault="00190B1E" w:rsidP="009C1C95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33CE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(1)</w:t>
            </w:r>
          </w:p>
        </w:tc>
      </w:tr>
    </w:tbl>
    <w:p w14:paraId="408B39B3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38316B9C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i/>
          <w:iCs/>
          <w:kern w:val="0"/>
          <w:u w:val="single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i/>
          <w:iCs/>
          <w:kern w:val="0"/>
          <w:u w:val="single"/>
          <w:lang w:eastAsia="en-GB"/>
          <w14:ligatures w14:val="none"/>
        </w:rPr>
        <w:t>Between study model</w:t>
      </w:r>
    </w:p>
    <w:p w14:paraId="5AFA0282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lastRenderedPageBreak/>
        <w:t>The study specific location (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 and scale (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) parameters are modelled as random effects. Across studies,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, has mean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m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and standard deviation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τ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.while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log⁡</m:t>
            </m:r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(σ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ij</m:t>
            </m:r>
          </m:sub>
        </m:sSub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 xml:space="preserve">) 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has mean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m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and standard deviation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τ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σj</m:t>
            </m:r>
          </m:sub>
        </m:sSub>
      </m:oMath>
    </w:p>
    <w:p w14:paraId="443F0FF7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42544F4C" w14:textId="6EA912C5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Different options for the correlation structure between these four sets of random effects are described in Jones </w:t>
      </w:r>
      <w:r w:rsidRPr="00933CE4">
        <w:rPr>
          <w:rFonts w:asciiTheme="majorBidi" w:eastAsia="Times New Roman" w:hAnsiTheme="majorBidi" w:cstheme="majorBidi"/>
          <w:i/>
          <w:iCs/>
          <w:kern w:val="0"/>
          <w:lang w:eastAsia="en-GB"/>
          <w14:ligatures w14:val="none"/>
        </w:rPr>
        <w:t>et al.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: </w:t>
      </w:r>
      <w:proofErr w:type="spellStart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i</w:t>
      </w:r>
      <w:proofErr w:type="spellEnd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 Full correlation matrix, ii) structured correlations matrix iii) independence model with the four sets of random effects assumed to be independent of each other.  Models with a structured correlation matrix and assuming independence were explored. Including additional parameters for between-study correlations did not improve the model fit according to the DIC (</w:t>
      </w:r>
      <w:r w:rsidRPr="00DC3190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see Table </w:t>
      </w:r>
      <w:r w:rsidR="00DC3190" w:rsidRPr="00DC3190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2</w:t>
      </w:r>
      <w:r w:rsidRPr="00DC3190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),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therefore the simpler independence model was used for all main analyses.</w:t>
      </w:r>
    </w:p>
    <w:p w14:paraId="3772E4E9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4DC4915D" w14:textId="77777777" w:rsidR="00190B1E" w:rsidRPr="00933CE4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Prior distributions are required for the four </w:t>
      </w:r>
      <w:proofErr w:type="gramStart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hyperparameters :</w:t>
      </w:r>
      <w:proofErr w:type="gramEnd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m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,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τ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,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m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τ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for </w:t>
      </w:r>
      <m:oMath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>j=1,2</m:t>
        </m:r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. For analyses with sufficient sample data, standard reference priors as used in Jones </w:t>
      </w:r>
      <w:r w:rsidRPr="00933CE4">
        <w:rPr>
          <w:rFonts w:asciiTheme="majorBidi" w:eastAsia="Times New Roman" w:hAnsiTheme="majorBidi" w:cstheme="majorBidi"/>
          <w:i/>
          <w:iCs/>
          <w:kern w:val="0"/>
          <w:lang w:eastAsia="en-GB"/>
          <w14:ligatures w14:val="none"/>
        </w:rPr>
        <w:t xml:space="preserve">et </w:t>
      </w:r>
      <w:proofErr w:type="spellStart"/>
      <w:proofErr w:type="gramStart"/>
      <w:r w:rsidRPr="00933CE4">
        <w:rPr>
          <w:rFonts w:asciiTheme="majorBidi" w:eastAsia="Times New Roman" w:hAnsiTheme="majorBidi" w:cstheme="majorBidi"/>
          <w:i/>
          <w:iCs/>
          <w:kern w:val="0"/>
          <w:lang w:eastAsia="en-GB"/>
          <w14:ligatures w14:val="none"/>
        </w:rPr>
        <w:t>al.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were</w:t>
      </w:r>
      <w:proofErr w:type="spellEnd"/>
      <w:proofErr w:type="gramEnd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used. Normal (0, </w:t>
      </w:r>
      <m:oMath>
        <m:sSup>
          <m:sSup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p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10</m:t>
            </m:r>
          </m:e>
          <m:sup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2</m:t>
            </m:r>
          </m:sup>
        </m:sSup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 prior distribution were given to all means (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m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m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), and Uniform (0,5) prior for between study standard deviations (</w:t>
      </w:r>
      <m:oMath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τ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μj</m:t>
            </m:r>
          </m:sub>
        </m:sSub>
        <m:r>
          <w:rPr>
            <w:rFonts w:ascii="Cambria Math" w:eastAsia="Times New Roman" w:hAnsi="Cambria Math" w:cstheme="majorBidi"/>
            <w:kern w:val="0"/>
            <w:lang w:eastAsia="en-GB"/>
            <w14:ligatures w14:val="none"/>
          </w:rPr>
          <m:t xml:space="preserve">, </m:t>
        </m:r>
        <m:sSub>
          <m:sSubPr>
            <m:ctrlPr>
              <w:rPr>
                <w:rFonts w:ascii="Cambria Math" w:eastAsia="Times New Roman" w:hAnsi="Cambria Math" w:cstheme="majorBidi"/>
                <w:i/>
                <w:kern w:val="0"/>
                <w:lang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τ</m:t>
            </m:r>
          </m:e>
          <m:sub>
            <m:r>
              <w:rPr>
                <w:rFonts w:ascii="Cambria Math" w:eastAsia="Times New Roman" w:hAnsi="Cambria Math" w:cstheme="majorBidi"/>
                <w:kern w:val="0"/>
                <w:lang w:eastAsia="en-GB"/>
                <w14:ligatures w14:val="none"/>
              </w:rPr>
              <m:t>σj</m:t>
            </m:r>
          </m:sub>
        </m:sSub>
      </m:oMath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)</w:t>
      </w:r>
    </w:p>
    <w:p w14:paraId="09098B02" w14:textId="77777777" w:rsidR="00190B1E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4DC9DAD9" w14:textId="1C2A40F0" w:rsidR="009C1C95" w:rsidRPr="00933CE4" w:rsidRDefault="009C1C95" w:rsidP="009C1C95">
      <w:pPr>
        <w:spacing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>
        <w:rPr>
          <w:rFonts w:asciiTheme="majorBidi" w:hAnsiTheme="majorBidi" w:cstheme="majorBidi"/>
          <w:b/>
          <w:bCs/>
          <w:color w:val="000000"/>
        </w:rPr>
        <w:t>2</w:t>
      </w:r>
      <w:r w:rsidRPr="009C1C95">
        <w:rPr>
          <w:rFonts w:asciiTheme="majorBidi" w:hAnsiTheme="majorBidi" w:cstheme="majorBidi"/>
          <w:b/>
          <w:bCs/>
          <w:color w:val="000000"/>
        </w:rPr>
        <w:t xml:space="preserve">. </w:t>
      </w:r>
      <w:r>
        <w:rPr>
          <w:rFonts w:asciiTheme="majorBidi" w:hAnsiTheme="majorBidi" w:cstheme="majorBidi"/>
          <w:b/>
          <w:bCs/>
          <w:color w:val="000000"/>
        </w:rPr>
        <w:t>Prior distributions</w:t>
      </w:r>
    </w:p>
    <w:p w14:paraId="4E26869F" w14:textId="683E436B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For analyses with small numbers of contributing studies, informative priors were used for the between study standard deviations. These were informed by fitting log-normal distributions to posterior samples from the analyses of all test types together. This </w:t>
      </w:r>
      <w:proofErr w:type="gramStart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was considered to be</w:t>
      </w:r>
      <w:proofErr w:type="gramEnd"/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a conservative option. A truncation was also applied, based on the 95</w:t>
      </w:r>
      <w:r w:rsidRPr="00933CE4">
        <w:rPr>
          <w:rFonts w:asciiTheme="majorBidi" w:eastAsia="Times New Roman" w:hAnsiTheme="majorBidi" w:cstheme="majorBidi"/>
          <w:kern w:val="0"/>
          <w:vertAlign w:val="superscript"/>
          <w:lang w:eastAsia="en-GB"/>
          <w14:ligatures w14:val="none"/>
        </w:rPr>
        <w:t>th</w:t>
      </w:r>
      <w:r w:rsidRPr="00933CE4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 centile of the posterior distribution.  Parameter values for all analyses are provided in </w:t>
      </w:r>
      <w:r w:rsidRPr="009C1C95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 xml:space="preserve">Table </w:t>
      </w:r>
      <w:r w:rsidR="00D722B9">
        <w:rPr>
          <w:rFonts w:asciiTheme="majorBidi" w:eastAsia="Times New Roman" w:hAnsiTheme="majorBidi" w:cstheme="majorBidi"/>
          <w:kern w:val="0"/>
          <w:lang w:eastAsia="en-GB"/>
          <w14:ligatures w14:val="none"/>
        </w:rPr>
        <w:t>1.</w:t>
      </w:r>
    </w:p>
    <w:p w14:paraId="75E90A89" w14:textId="77777777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7FC934F7" w14:textId="6A8FE36F" w:rsidR="00190B1E" w:rsidRPr="009C1C95" w:rsidRDefault="00D722B9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  <w:r>
        <w:rPr>
          <w:rFonts w:asciiTheme="majorBidi" w:eastAsia="Times New Roman" w:hAnsiTheme="majorBidi" w:cstheme="majorBidi"/>
          <w:b/>
          <w:bCs/>
          <w:kern w:val="0"/>
          <w14:ligatures w14:val="none"/>
        </w:rPr>
        <w:t xml:space="preserve">Table 1. </w:t>
      </w:r>
      <w:r w:rsidR="00190B1E" w:rsidRPr="00933CE4">
        <w:rPr>
          <w:rFonts w:asciiTheme="majorBidi" w:eastAsia="Times New Roman" w:hAnsiTheme="majorBidi" w:cstheme="majorBidi"/>
          <w:b/>
          <w:bCs/>
          <w:kern w:val="0"/>
          <w14:ligatures w14:val="none"/>
        </w:rPr>
        <w:t>Parameters used to inform priors for syntheses with less than 5 studies</w:t>
      </w:r>
    </w:p>
    <w:tbl>
      <w:tblPr>
        <w:tblW w:w="10377" w:type="dxa"/>
        <w:tblLook w:val="04A0" w:firstRow="1" w:lastRow="0" w:firstColumn="1" w:lastColumn="0" w:noHBand="0" w:noVBand="1"/>
      </w:tblPr>
      <w:tblGrid>
        <w:gridCol w:w="1417"/>
        <w:gridCol w:w="935"/>
        <w:gridCol w:w="847"/>
        <w:gridCol w:w="1206"/>
        <w:gridCol w:w="967"/>
        <w:gridCol w:w="830"/>
        <w:gridCol w:w="1214"/>
        <w:gridCol w:w="898"/>
        <w:gridCol w:w="830"/>
        <w:gridCol w:w="1248"/>
      </w:tblGrid>
      <w:tr w:rsidR="00190B1E" w:rsidRPr="00933CE4" w14:paraId="589EC5C4" w14:textId="77777777" w:rsidTr="005E0C14">
        <w:trPr>
          <w:trHeight w:val="29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A0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Parameter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161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CRC outcomes (S=28)</w:t>
            </w: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B8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AA outcomes (S=9)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C96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IBD outcomes (S=9)</w:t>
            </w:r>
          </w:p>
        </w:tc>
      </w:tr>
      <w:tr w:rsidR="00190B1E" w:rsidRPr="00933CE4" w14:paraId="76CD088E" w14:textId="77777777" w:rsidTr="005E0C14">
        <w:trPr>
          <w:trHeight w:val="290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DD6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83C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mean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D28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sd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E36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truncation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AAE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mean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3AA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sd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179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truncation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16E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mean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AED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sd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9C8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  <w:t>truncation</w:t>
            </w:r>
          </w:p>
        </w:tc>
      </w:tr>
      <w:tr w:rsidR="00190B1E" w:rsidRPr="00933CE4" w14:paraId="278D1718" w14:textId="77777777" w:rsidTr="005E0C14">
        <w:trPr>
          <w:trHeight w:val="29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2DFE" w14:textId="77777777" w:rsidR="00190B1E" w:rsidRPr="00933CE4" w:rsidRDefault="00DC3190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i/>
                        <w:kern w:val="0"/>
                        <w:lang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τ</m:t>
                    </m:r>
                  </m:e>
                  <m:sub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μ1</m:t>
                    </m:r>
                  </m:sub>
                </m:sSub>
              </m:oMath>
            </m:oMathPara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2D3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0.2698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26F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0.1543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DF9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1.703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B7F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0.2859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1CA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0.3432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122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2.478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F8F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0.4532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643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0.3561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54B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3.027</w:t>
            </w:r>
          </w:p>
        </w:tc>
      </w:tr>
      <w:tr w:rsidR="00190B1E" w:rsidRPr="00933CE4" w14:paraId="09B70FAB" w14:textId="77777777" w:rsidTr="005E0C14">
        <w:trPr>
          <w:trHeight w:val="29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B2CE" w14:textId="77777777" w:rsidR="00190B1E" w:rsidRPr="00933CE4" w:rsidRDefault="00DC3190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i/>
                        <w:kern w:val="0"/>
                        <w:lang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τ</m:t>
                    </m:r>
                  </m:e>
                  <m:sub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μ2</m:t>
                    </m:r>
                  </m:sub>
                </m:sSub>
              </m:oMath>
            </m:oMathPara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86C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-0.8489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DA3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0.2995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1F0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52B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-0.4517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F8C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0.8583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542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2.174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E57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0.3827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A76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0.8695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C5F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3.92</w:t>
            </w:r>
          </w:p>
        </w:tc>
      </w:tr>
      <w:tr w:rsidR="00190B1E" w:rsidRPr="00933CE4" w14:paraId="07ED6CE1" w14:textId="77777777" w:rsidTr="005E0C14">
        <w:trPr>
          <w:trHeight w:val="29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D2A9" w14:textId="77777777" w:rsidR="00190B1E" w:rsidRPr="00933CE4" w:rsidRDefault="00DC3190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i/>
                        <w:kern w:val="0"/>
                        <w:lang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τ</m:t>
                    </m:r>
                  </m:e>
                  <m:sub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σ1</m:t>
                    </m:r>
                  </m:sub>
                </m:sSub>
              </m:oMath>
            </m:oMathPara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786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-0.8863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086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0.1559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153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0.538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730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-0.5228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409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0.415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960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1.247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6F9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-0.4273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481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0.4077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D4E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1.345</w:t>
            </w:r>
          </w:p>
        </w:tc>
      </w:tr>
      <w:tr w:rsidR="00190B1E" w:rsidRPr="00933CE4" w14:paraId="76EE2241" w14:textId="77777777" w:rsidTr="005E0C14">
        <w:trPr>
          <w:trHeight w:val="29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B2FA" w14:textId="77777777" w:rsidR="00190B1E" w:rsidRPr="00933CE4" w:rsidRDefault="00DC3190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i/>
                        <w:kern w:val="0"/>
                        <w:lang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τ</m:t>
                    </m:r>
                  </m:e>
                  <m:sub>
                    <m:r>
                      <w:rPr>
                        <w:rFonts w:ascii="Cambria Math" w:eastAsia="Times New Roman" w:hAnsi="Cambria Math" w:cstheme="majorBidi"/>
                        <w:kern w:val="0"/>
                        <w:lang w:eastAsia="en-GB"/>
                        <w14:ligatures w14:val="none"/>
                      </w:rPr>
                      <m:t>σ2</m:t>
                    </m:r>
                  </m:sub>
                </m:sSub>
              </m:oMath>
            </m:oMathPara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065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-1.4215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62E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0.2693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A7A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0.368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C84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0.152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030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0.5711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854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3.079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999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-0.8792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D5B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0.9243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156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  <w:t>1.339</w:t>
            </w:r>
          </w:p>
        </w:tc>
      </w:tr>
    </w:tbl>
    <w:p w14:paraId="0806F8B9" w14:textId="77777777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p w14:paraId="604D7229" w14:textId="77777777" w:rsidR="00190B1E" w:rsidRPr="009C1C95" w:rsidRDefault="00190B1E" w:rsidP="009C1C95">
      <w:pPr>
        <w:jc w:val="both"/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</w:pPr>
      <w:r w:rsidRPr="009C1C95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br w:type="page"/>
      </w:r>
    </w:p>
    <w:p w14:paraId="4372A1A0" w14:textId="1C09F681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</w:pPr>
      <w:r w:rsidRPr="009C1C95">
        <w:rPr>
          <w:rFonts w:asciiTheme="majorBidi" w:eastAsia="Times New Roman" w:hAnsiTheme="majorBidi" w:cstheme="majorBidi"/>
          <w:b/>
          <w:bCs/>
          <w:kern w:val="0"/>
          <w:lang w:eastAsia="en-GB"/>
          <w14:ligatures w14:val="none"/>
        </w:rPr>
        <w:lastRenderedPageBreak/>
        <w:t>3. Model fit</w:t>
      </w:r>
    </w:p>
    <w:p w14:paraId="25764193" w14:textId="1D1DCC54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14:ligatures w14:val="none"/>
        </w:rPr>
      </w:pPr>
      <w:r w:rsidRPr="00933CE4">
        <w:rPr>
          <w:rFonts w:asciiTheme="majorBidi" w:eastAsia="Times New Roman" w:hAnsiTheme="majorBidi" w:cstheme="majorBidi"/>
          <w:kern w:val="0"/>
          <w14:ligatures w14:val="none"/>
        </w:rPr>
        <w:t xml:space="preserve">Model fit for all analyses shown in </w:t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fldChar w:fldCharType="begin"/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instrText xml:space="preserve"> REF _Ref135237089 \h  \* MERGEFORMAT </w:instrText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fldChar w:fldCharType="separate"/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t xml:space="preserve">Table </w:t>
      </w:r>
      <w:r w:rsidR="00D722B9">
        <w:rPr>
          <w:rFonts w:asciiTheme="majorBidi" w:eastAsia="Times New Roman" w:hAnsiTheme="majorBidi" w:cstheme="majorBidi"/>
          <w:noProof/>
          <w:kern w:val="0"/>
          <w14:ligatures w14:val="none"/>
        </w:rPr>
        <w:t>2</w:t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fldChar w:fldCharType="end"/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t xml:space="preserve">. Differences in DIC across the two correlations structures (structured and independent) were minimal. Since including additional parameters for between-study correlations did not improve the model fit according to the DIC, the simpler model structure was preferred and all analyses presented in the report use the model of Jones </w:t>
      </w:r>
      <w:r w:rsidRPr="00933CE4">
        <w:rPr>
          <w:rFonts w:asciiTheme="majorBidi" w:eastAsia="Times New Roman" w:hAnsiTheme="majorBidi" w:cstheme="majorBidi"/>
          <w:i/>
          <w:iCs/>
          <w:kern w:val="0"/>
          <w14:ligatures w14:val="none"/>
        </w:rPr>
        <w:t>et al.</w:t>
      </w:r>
      <w:r w:rsidRPr="00933CE4">
        <w:rPr>
          <w:rFonts w:asciiTheme="majorBidi" w:eastAsia="Times New Roman" w:hAnsiTheme="majorBidi" w:cstheme="majorBidi"/>
          <w:color w:val="000000"/>
          <w:kern w:val="0"/>
          <w14:ligatures w14:val="none"/>
        </w:rPr>
        <w:fldChar w:fldCharType="begin"/>
      </w:r>
      <w:r w:rsidRPr="00933CE4">
        <w:rPr>
          <w:rFonts w:asciiTheme="majorBidi" w:eastAsia="Times New Roman" w:hAnsiTheme="majorBidi" w:cstheme="majorBidi"/>
          <w:color w:val="000000"/>
          <w:kern w:val="0"/>
          <w14:ligatures w14:val="none"/>
        </w:rPr>
        <w:instrText xml:space="preserve"> ADDIN EN.CITE &lt;EndNote&gt;&lt;Cite&gt;&lt;Author&gt;Jones&lt;/Author&gt;&lt;Year&gt;2019&lt;/Year&gt;&lt;RecNum&gt;11&lt;/RecNum&gt;&lt;DisplayText&gt;&lt;style face="superscript"&gt;38&lt;/style&gt;&lt;/DisplayText&gt;&lt;record&gt;&lt;rec-number&gt;11&lt;/rec-number&gt;&lt;foreign-keys&gt;&lt;key app="EN" db-id="vxvsww0phazrt4ef2s6xfda5psfwe0vaf2s9" timestamp="1675766215" guid="0782f1be-0e56-47ca-a3d8-ef44bbb1dbc2"&gt;11&lt;/key&gt;&lt;/foreign-keys&gt;&lt;ref-type name="Journal Article"&gt;17&lt;/ref-type&gt;&lt;contributors&gt;&lt;authors&gt;&lt;author&gt;Jones, H.E., &lt;/author&gt;&lt;author&gt;Gatsonsis, C.A.,&lt;/author&gt;&lt;author&gt;Trikalinos, T.A.,&lt;/author&gt;&lt;author&gt;Welton, N.J.,&lt;/author&gt;&lt;author&gt;Ades, A.E., &lt;/author&gt;&lt;/authors&gt;&lt;/contributors&gt;&lt;titles&gt;&lt;title&gt;Quantifying how diagnostic test accuracy depends on threshold in a meta‐analysis.&lt;/title&gt;&lt;secondary-title&gt;Statistics in Medicine&lt;/secondary-title&gt;&lt;/titles&gt;&lt;periodical&gt;&lt;full-title&gt;Statistics in Medicine&lt;/full-title&gt;&lt;/periodical&gt;&lt;pages&gt;4789-4803&lt;/pages&gt;&lt;volume&gt;38&lt;/volume&gt;&lt;number&gt;24&lt;/number&gt;&lt;dates&gt;&lt;year&gt;2019&lt;/year&gt;&lt;/dates&gt;&lt;urls&gt;&lt;/urls&gt;&lt;/record&gt;&lt;/Cite&gt;&lt;/EndNote&gt;</w:instrText>
      </w:r>
      <w:r w:rsidRPr="00933CE4">
        <w:rPr>
          <w:rFonts w:asciiTheme="majorBidi" w:eastAsia="Times New Roman" w:hAnsiTheme="majorBidi" w:cstheme="majorBidi"/>
          <w:color w:val="000000"/>
          <w:kern w:val="0"/>
          <w14:ligatures w14:val="none"/>
        </w:rPr>
        <w:fldChar w:fldCharType="separate"/>
      </w:r>
      <w:r w:rsidRPr="00933CE4">
        <w:rPr>
          <w:rFonts w:asciiTheme="majorBidi" w:eastAsia="Times New Roman" w:hAnsiTheme="majorBidi" w:cstheme="majorBidi"/>
          <w:noProof/>
          <w:color w:val="000000"/>
          <w:kern w:val="0"/>
          <w:vertAlign w:val="superscript"/>
          <w14:ligatures w14:val="none"/>
        </w:rPr>
        <w:t>38</w:t>
      </w:r>
      <w:r w:rsidRPr="00933CE4">
        <w:rPr>
          <w:rFonts w:asciiTheme="majorBidi" w:eastAsia="Times New Roman" w:hAnsiTheme="majorBidi" w:cstheme="majorBidi"/>
          <w:color w:val="000000"/>
          <w:kern w:val="0"/>
          <w14:ligatures w14:val="none"/>
        </w:rPr>
        <w:fldChar w:fldCharType="end"/>
      </w:r>
      <w:r w:rsidRPr="00933CE4">
        <w:rPr>
          <w:rFonts w:asciiTheme="majorBidi" w:eastAsia="Times New Roman" w:hAnsiTheme="majorBidi" w:cstheme="majorBidi"/>
          <w:color w:val="000000"/>
          <w:kern w:val="0"/>
          <w14:ligatures w14:val="none"/>
        </w:rPr>
        <w:t xml:space="preserve"> </w:t>
      </w:r>
      <w:r w:rsidRPr="00933CE4">
        <w:rPr>
          <w:rFonts w:asciiTheme="majorBidi" w:eastAsia="Times New Roman" w:hAnsiTheme="majorBidi" w:cstheme="majorBidi"/>
          <w:kern w:val="0"/>
          <w14:ligatures w14:val="none"/>
        </w:rPr>
        <w:t>with the four sets of random effects assumed to be independent of each other (independence model).</w:t>
      </w:r>
    </w:p>
    <w:p w14:paraId="7A893DB9" w14:textId="77777777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14:ligatures w14:val="none"/>
        </w:rPr>
      </w:pPr>
    </w:p>
    <w:p w14:paraId="0C72E723" w14:textId="1C3C5055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b/>
          <w:bCs/>
          <w:kern w:val="0"/>
          <w14:ligatures w14:val="none"/>
        </w:rPr>
      </w:pPr>
      <w:r w:rsidRPr="009C1C95">
        <w:rPr>
          <w:rFonts w:asciiTheme="majorBidi" w:eastAsia="Times New Roman" w:hAnsiTheme="majorBidi" w:cstheme="majorBidi"/>
          <w:b/>
          <w:bCs/>
          <w:kern w:val="0"/>
          <w14:ligatures w14:val="none"/>
        </w:rPr>
        <w:t xml:space="preserve">Table </w:t>
      </w:r>
      <w:r w:rsidR="00D722B9">
        <w:rPr>
          <w:rFonts w:asciiTheme="majorBidi" w:eastAsia="Times New Roman" w:hAnsiTheme="majorBidi" w:cstheme="majorBidi"/>
          <w:b/>
          <w:bCs/>
          <w:kern w:val="0"/>
          <w14:ligatures w14:val="none"/>
        </w:rPr>
        <w:t>2</w:t>
      </w:r>
      <w:r w:rsidRPr="009C1C95">
        <w:rPr>
          <w:rFonts w:asciiTheme="majorBidi" w:eastAsia="Times New Roman" w:hAnsiTheme="majorBidi" w:cstheme="majorBidi"/>
          <w:b/>
          <w:bCs/>
          <w:kern w:val="0"/>
          <w14:ligatures w14:val="none"/>
        </w:rPr>
        <w:t xml:space="preserve"> </w:t>
      </w:r>
      <w:r w:rsidRPr="00933CE4">
        <w:rPr>
          <w:rFonts w:asciiTheme="majorBidi" w:eastAsia="Times New Roman" w:hAnsiTheme="majorBidi" w:cstheme="majorBidi"/>
          <w:b/>
          <w:bCs/>
          <w:kern w:val="0"/>
          <w14:ligatures w14:val="none"/>
        </w:rPr>
        <w:t>Meta-analysis model fit statistics</w:t>
      </w:r>
    </w:p>
    <w:p w14:paraId="1BBB9A76" w14:textId="77777777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tbl>
      <w:tblPr>
        <w:tblW w:w="8450" w:type="dxa"/>
        <w:tblLook w:val="04A0" w:firstRow="1" w:lastRow="0" w:firstColumn="1" w:lastColumn="0" w:noHBand="0" w:noVBand="1"/>
      </w:tblPr>
      <w:tblGrid>
        <w:gridCol w:w="1620"/>
        <w:gridCol w:w="1329"/>
        <w:gridCol w:w="901"/>
        <w:gridCol w:w="1340"/>
        <w:gridCol w:w="1524"/>
        <w:gridCol w:w="713"/>
        <w:gridCol w:w="1023"/>
      </w:tblGrid>
      <w:tr w:rsidR="00190B1E" w:rsidRPr="00933CE4" w14:paraId="06B0F874" w14:textId="77777777" w:rsidTr="005E0C14">
        <w:trPr>
          <w:trHeight w:val="290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51E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 xml:space="preserve">Tests in analysis 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F17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Populations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A86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Studies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AF1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Correlation structure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5BA8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Model fit</w:t>
            </w:r>
          </w:p>
        </w:tc>
      </w:tr>
      <w:tr w:rsidR="00190B1E" w:rsidRPr="00933CE4" w14:paraId="28FFF4EF" w14:textId="77777777" w:rsidTr="005E0C14">
        <w:trPr>
          <w:trHeight w:val="28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82AD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07CD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2B5F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BF82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FE0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noProof/>
                <w:color w:val="000000"/>
                <w:kern w:val="0"/>
                <w:lang w:eastAsia="en-GB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353299" wp14:editId="69E2F397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44450</wp:posOffset>
                      </wp:positionV>
                      <wp:extent cx="139700" cy="17780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26" cy="175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DF940A2" w14:textId="77777777" w:rsidR="00190B1E" w:rsidRPr="00933CE4" w:rsidRDefault="00DC3190" w:rsidP="00190B1E">
                                  <w:pPr>
                                    <w:rPr>
                                      <w:rFonts w:ascii="Cambria Math" w:hAnsi="+mn-cs" w:hint="eastAsia"/>
                                      <w:i/>
                                      <w:iCs/>
                                      <w:color w:val="00000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35329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6" type="#_x0000_t202" style="position:absolute;left:0;text-align:left;margin-left:11pt;margin-top:3.5pt;width:11pt;height:1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" filled="f" stroked="f">
                      <v:textbox style="mso-fit-shape-to-text:t" inset="0,0,0,0">
                        <w:txbxContent>
                          <w:p w14:paraId="3DF940A2" w14:textId="77777777" w:rsidR="00190B1E" w:rsidRPr="00933CE4" w:rsidRDefault="00DC3190" w:rsidP="00190B1E">
                            <w:pPr>
                              <w:rPr>
                                <w:rFonts w:ascii="Cambria Math" w:hAnsi="+mn-cs" w:hint="eastAsia"/>
                                <w:i/>
                                <w:iCs/>
                                <w:color w:val="00000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D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0"/>
            </w:tblGrid>
            <w:tr w:rsidR="00190B1E" w:rsidRPr="00933CE4" w14:paraId="45761709" w14:textId="77777777" w:rsidTr="005E0C14">
              <w:trPr>
                <w:trHeight w:val="280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7A8CBE" w14:textId="77777777" w:rsidR="00190B1E" w:rsidRPr="00933CE4" w:rsidRDefault="00190B1E" w:rsidP="009C1C95">
                  <w:pPr>
                    <w:spacing w:after="0" w:line="240" w:lineRule="auto"/>
                    <w:jc w:val="both"/>
                    <w:rPr>
                      <w:rFonts w:asciiTheme="majorBidi" w:eastAsia="Times New Roman" w:hAnsiTheme="majorBidi" w:cstheme="majorBidi"/>
                      <w:b/>
                      <w:bCs/>
                      <w:kern w:val="0"/>
                      <w:lang w:eastAsia="en-GB"/>
                      <w14:ligatures w14:val="none"/>
                    </w:rPr>
                  </w:pPr>
                  <w:r w:rsidRPr="00933CE4">
                    <w:rPr>
                      <w:rFonts w:asciiTheme="majorBidi" w:eastAsia="Times New Roman" w:hAnsiTheme="majorBidi" w:cstheme="majorBidi"/>
                      <w:b/>
                      <w:bCs/>
                      <w:kern w:val="0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5E5E8F1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F82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pD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2D6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DIC</w:t>
            </w:r>
          </w:p>
        </w:tc>
      </w:tr>
      <w:tr w:rsidR="00190B1E" w:rsidRPr="00933CE4" w14:paraId="66A82106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E64471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CRC outcomes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8084E7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1B80B7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C9CD05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6F05F1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E7D8B0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14BDE9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7E095EBD" w14:textId="77777777" w:rsidTr="005E0C14">
        <w:trPr>
          <w:trHeight w:val="28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B07C3E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AE9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B4B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A75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S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08B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6718.40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AA0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72.91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9BF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6791.31</w:t>
            </w:r>
          </w:p>
        </w:tc>
      </w:tr>
      <w:tr w:rsidR="00190B1E" w:rsidRPr="00933CE4" w14:paraId="749F9FDB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471F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13E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6D5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D72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D07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6711.25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18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71.78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E44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6783.03</w:t>
            </w:r>
          </w:p>
        </w:tc>
      </w:tr>
      <w:tr w:rsidR="00190B1E" w:rsidRPr="00933CE4" w14:paraId="0372708E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47E8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151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1,2,3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373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42F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FAB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1780.45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F11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31.63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973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1812.08</w:t>
            </w:r>
          </w:p>
        </w:tc>
      </w:tr>
      <w:tr w:rsidR="00190B1E" w:rsidRPr="00933CE4" w14:paraId="22F83068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4A67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607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D58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376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02B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1541.81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60E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21.73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604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1563.54</w:t>
            </w:r>
          </w:p>
        </w:tc>
      </w:tr>
      <w:tr w:rsidR="00190B1E" w:rsidRPr="00933CE4" w14:paraId="02B86C9A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5D5B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398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EA2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76F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CBC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173.87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3F8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NaN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FA6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173.87</w:t>
            </w:r>
          </w:p>
        </w:tc>
      </w:tr>
      <w:tr w:rsidR="00190B1E" w:rsidRPr="00933CE4" w14:paraId="108EAD61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B121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7E9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225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6C9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D88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175.77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281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10.26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59B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186.02</w:t>
            </w:r>
          </w:p>
        </w:tc>
      </w:tr>
      <w:tr w:rsidR="00190B1E" w:rsidRPr="00933CE4" w14:paraId="0E61AF97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E2B4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B9E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D51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DAA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D43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107.51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225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NaN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53E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107.51</w:t>
            </w:r>
          </w:p>
        </w:tc>
      </w:tr>
      <w:tr w:rsidR="00190B1E" w:rsidRPr="00933CE4" w14:paraId="1C7151F8" w14:textId="77777777" w:rsidTr="005E0C14">
        <w:trPr>
          <w:trHeight w:val="28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499E6F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 xml:space="preserve">HM </w:t>
            </w:r>
            <w:proofErr w:type="spellStart"/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JACKArc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1A3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DE2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973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S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295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5297.88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1C0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41.45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58A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5339.32</w:t>
            </w:r>
          </w:p>
        </w:tc>
      </w:tr>
      <w:tr w:rsidR="00190B1E" w:rsidRPr="00933CE4" w14:paraId="4F1DB476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2534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05B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DED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17F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84B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5296.11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875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40.46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026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5336.56</w:t>
            </w:r>
          </w:p>
        </w:tc>
      </w:tr>
      <w:tr w:rsidR="00190B1E" w:rsidRPr="00933CE4" w14:paraId="5C3270CC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0FAC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151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1,2,3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CB6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294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8AD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648.54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26F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19.29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52F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667.83</w:t>
            </w:r>
          </w:p>
        </w:tc>
      </w:tr>
      <w:tr w:rsidR="00190B1E" w:rsidRPr="00933CE4" w14:paraId="05C72909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E1C4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8A6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8D3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E02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429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495.25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549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12.69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339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507.93</w:t>
            </w:r>
          </w:p>
        </w:tc>
      </w:tr>
      <w:tr w:rsidR="00190B1E" w:rsidRPr="00933CE4" w14:paraId="1506493C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DF77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743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CE8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FBB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74A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143.50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E3B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8.11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DFA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151.60</w:t>
            </w:r>
          </w:p>
        </w:tc>
      </w:tr>
      <w:tr w:rsidR="00190B1E" w:rsidRPr="00933CE4" w14:paraId="5A5B4774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2E2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7B1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2BA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251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EBF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39.00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61E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Nan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246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39.00</w:t>
            </w:r>
          </w:p>
        </w:tc>
      </w:tr>
      <w:tr w:rsidR="00190B1E" w:rsidRPr="00933CE4" w14:paraId="21556994" w14:textId="77777777" w:rsidTr="005E0C14">
        <w:trPr>
          <w:trHeight w:val="28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AD1044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OC Sensor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218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730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EEF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S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891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1395.86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F72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28.05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4FE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1423.92</w:t>
            </w:r>
          </w:p>
        </w:tc>
      </w:tr>
      <w:tr w:rsidR="00190B1E" w:rsidRPr="00933CE4" w14:paraId="338ED632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01FD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5DF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B02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F02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118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1394.99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A66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28.71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B92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1423.70</w:t>
            </w:r>
          </w:p>
        </w:tc>
      </w:tr>
      <w:tr w:rsidR="00190B1E" w:rsidRPr="00933CE4" w14:paraId="52E666C9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C004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5B8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1,2,3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9C5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96D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B38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1112.37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451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11.18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518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1123.55</w:t>
            </w:r>
          </w:p>
        </w:tc>
      </w:tr>
      <w:tr w:rsidR="00190B1E" w:rsidRPr="00933CE4" w14:paraId="782473EC" w14:textId="77777777" w:rsidTr="005E0C14">
        <w:trPr>
          <w:trHeight w:val="28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221A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094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707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667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9A6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1044.86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F2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9.35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2B0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1054.21</w:t>
            </w:r>
          </w:p>
        </w:tc>
      </w:tr>
      <w:tr w:rsidR="00190B1E" w:rsidRPr="00933CE4" w14:paraId="5926F051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106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FOB Gold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405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472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069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D3B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114.56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A23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proofErr w:type="spellStart"/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NaN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3C4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Nan</w:t>
            </w:r>
          </w:p>
        </w:tc>
      </w:tr>
      <w:tr w:rsidR="00190B1E" w:rsidRPr="00933CE4" w14:paraId="6CA4C44B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7A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E96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CA1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CA1E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8F8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20F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095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09FEFFEA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0B621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AA outcomes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BED51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027B5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41E51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FD5C5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CC8B6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0C32A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09D3A47E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7B0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All tests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0FF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4EB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E61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020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308.81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D1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23.41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B5D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332.21</w:t>
            </w:r>
          </w:p>
        </w:tc>
      </w:tr>
      <w:tr w:rsidR="00190B1E" w:rsidRPr="00933CE4" w14:paraId="4B149842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2FD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HM-JACKarc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428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968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9BC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A44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240.87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8EE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13.86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6D4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254.74</w:t>
            </w:r>
          </w:p>
        </w:tc>
      </w:tr>
      <w:tr w:rsidR="00190B1E" w:rsidRPr="00933CE4" w14:paraId="0A8EABA0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F6D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OC Sensor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62C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A57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B38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DCA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38.67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6BE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6.02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2FC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44.69</w:t>
            </w:r>
          </w:p>
        </w:tc>
      </w:tr>
      <w:tr w:rsidR="00190B1E" w:rsidRPr="00933CE4" w14:paraId="7E380230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C88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C89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8DB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9FA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E07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AA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9AF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4D390544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B8E85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IBD outcomes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B64A0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42515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3696C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42F78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FE35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60877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73609730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EE6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All tests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949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C87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106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792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286.38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2531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23.97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6FB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310.36</w:t>
            </w:r>
          </w:p>
        </w:tc>
      </w:tr>
      <w:tr w:rsidR="00190B1E" w:rsidRPr="00933CE4" w14:paraId="2D7BE290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0DF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HM-JACKarc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7F00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DF8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A85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1FD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220.37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8BA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14.64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B4F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235.01</w:t>
            </w:r>
          </w:p>
        </w:tc>
      </w:tr>
      <w:tr w:rsidR="00190B1E" w:rsidRPr="00933CE4" w14:paraId="2E22F999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73B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OC Sensor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552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525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D50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7BC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38.27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4BA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6.12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19E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44.39</w:t>
            </w:r>
          </w:p>
        </w:tc>
      </w:tr>
      <w:tr w:rsidR="00190B1E" w:rsidRPr="00933CE4" w14:paraId="75E8FF7E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3E2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E9E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3D28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FE5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705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37D7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F259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45FF4A61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9E89B3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DUAL FIT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15547F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57560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8BB50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AD1575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1CCE4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22F434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 </w:t>
            </w:r>
          </w:p>
        </w:tc>
      </w:tr>
      <w:tr w:rsidR="00190B1E" w:rsidRPr="00933CE4" w14:paraId="275A4C7E" w14:textId="77777777" w:rsidTr="005E0C14">
        <w:trPr>
          <w:trHeight w:val="28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3CC2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b/>
                <w:bCs/>
                <w:kern w:val="0"/>
                <w:lang w:eastAsia="en-GB"/>
                <w14:ligatures w14:val="none"/>
              </w:rPr>
              <w:t>All tests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D04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All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A3CA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4E5C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C7F6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63.87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E61B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8.03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8D6D" w14:textId="77777777" w:rsidR="00190B1E" w:rsidRPr="00933CE4" w:rsidRDefault="00190B1E" w:rsidP="009C1C9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</w:pPr>
            <w:r w:rsidRPr="00933CE4">
              <w:rPr>
                <w:rFonts w:asciiTheme="majorBidi" w:eastAsia="Times New Roman" w:hAnsiTheme="majorBidi" w:cstheme="majorBidi"/>
                <w:kern w:val="0"/>
                <w:lang w:eastAsia="en-GB"/>
                <w14:ligatures w14:val="none"/>
              </w:rPr>
              <w:t>71.90</w:t>
            </w:r>
          </w:p>
        </w:tc>
      </w:tr>
    </w:tbl>
    <w:p w14:paraId="13FBCD22" w14:textId="77777777" w:rsidR="00190B1E" w:rsidRPr="009C1C95" w:rsidRDefault="00190B1E" w:rsidP="009C1C95">
      <w:pPr>
        <w:spacing w:after="0" w:line="360" w:lineRule="auto"/>
        <w:jc w:val="both"/>
        <w:rPr>
          <w:rFonts w:asciiTheme="majorBidi" w:eastAsia="Times New Roman" w:hAnsiTheme="majorBidi" w:cstheme="majorBidi"/>
          <w:kern w:val="0"/>
          <w:lang w:eastAsia="en-GB"/>
          <w14:ligatures w14:val="none"/>
        </w:rPr>
      </w:pPr>
    </w:p>
    <w:sectPr w:rsidR="00190B1E" w:rsidRPr="009C1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B0D16"/>
    <w:multiLevelType w:val="hybridMultilevel"/>
    <w:tmpl w:val="F8B247B2"/>
    <w:lvl w:ilvl="0" w:tplc="BEA2D4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86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E4"/>
    <w:rsid w:val="00190B1E"/>
    <w:rsid w:val="006830D0"/>
    <w:rsid w:val="0071146D"/>
    <w:rsid w:val="008571D9"/>
    <w:rsid w:val="008F4DC0"/>
    <w:rsid w:val="00933CE4"/>
    <w:rsid w:val="009C1C95"/>
    <w:rsid w:val="00AA687E"/>
    <w:rsid w:val="00C54ACA"/>
    <w:rsid w:val="00D722B9"/>
    <w:rsid w:val="00DC3190"/>
    <w:rsid w:val="00E755E4"/>
    <w:rsid w:val="00EF41BC"/>
    <w:rsid w:val="00FB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D0B79"/>
  <w15:chartTrackingRefBased/>
  <w15:docId w15:val="{520C8963-BCD7-4B6B-81E8-164B8F6B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33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3C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3CE4"/>
    <w:rPr>
      <w:sz w:val="20"/>
      <w:szCs w:val="20"/>
    </w:rPr>
  </w:style>
  <w:style w:type="table" w:styleId="TableGrid">
    <w:name w:val="Table Grid"/>
    <w:basedOn w:val="TableNormal"/>
    <w:uiPriority w:val="39"/>
    <w:rsid w:val="00933C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2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Hamilton</dc:creator>
  <cp:keywords/>
  <dc:description/>
  <cp:lastModifiedBy>Jean Hamilton</cp:lastModifiedBy>
  <cp:revision>8</cp:revision>
  <dcterms:created xsi:type="dcterms:W3CDTF">2024-04-19T08:37:00Z</dcterms:created>
  <dcterms:modified xsi:type="dcterms:W3CDTF">2024-06-11T10:34:00Z</dcterms:modified>
</cp:coreProperties>
</file>