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821B1" w14:textId="5C9F4255" w:rsidR="00237A3D" w:rsidRPr="00E351BF" w:rsidRDefault="00E351BF">
      <w:pPr>
        <w:rPr>
          <w:rFonts w:asciiTheme="majorBidi" w:hAnsiTheme="majorBidi" w:cstheme="majorBidi"/>
          <w:b/>
          <w:bCs/>
        </w:rPr>
      </w:pPr>
      <w:r w:rsidRPr="00E351BF">
        <w:rPr>
          <w:rFonts w:asciiTheme="majorBidi" w:hAnsiTheme="majorBidi" w:cstheme="majorBidi"/>
          <w:b/>
          <w:bCs/>
        </w:rPr>
        <w:t xml:space="preserve">Outcomes listed in the NICE </w:t>
      </w:r>
      <w:proofErr w:type="gramStart"/>
      <w:r w:rsidRPr="00E351BF">
        <w:rPr>
          <w:rFonts w:asciiTheme="majorBidi" w:hAnsiTheme="majorBidi" w:cstheme="majorBidi"/>
          <w:b/>
          <w:bCs/>
        </w:rPr>
        <w:t>scope</w:t>
      </w:r>
      <w:proofErr w:type="gramEnd"/>
    </w:p>
    <w:p w14:paraId="5C40C428" w14:textId="3E5FB5DB" w:rsidR="00E351BF" w:rsidRPr="00DF1431" w:rsidRDefault="00E351BF" w:rsidP="00E351BF">
      <w:pPr>
        <w:spacing w:line="360" w:lineRule="auto"/>
        <w:rPr>
          <w:rFonts w:asciiTheme="majorBidi" w:hAnsiTheme="majorBidi" w:cstheme="majorBidi"/>
        </w:rPr>
      </w:pPr>
      <w:r w:rsidRPr="00DF1431">
        <w:rPr>
          <w:rFonts w:asciiTheme="majorBidi" w:hAnsiTheme="majorBidi" w:cstheme="majorBidi"/>
        </w:rPr>
        <w:t>The NICE scope</w:t>
      </w:r>
      <w:r w:rsidRPr="00DF1431">
        <w:rPr>
          <w:rFonts w:asciiTheme="majorBidi" w:hAnsiTheme="majorBidi" w:cstheme="majorBidi"/>
        </w:rPr>
        <w:fldChar w:fldCharType="begin"/>
      </w:r>
      <w:r>
        <w:rPr>
          <w:rFonts w:asciiTheme="majorBidi" w:hAnsiTheme="majorBidi" w:cstheme="majorBidi"/>
        </w:rPr>
        <w:instrText xml:space="preserve"> ADDIN EN.CITE &lt;EndNote&gt;&lt;Cite&gt;&lt;Author&gt;NICE&lt;/Author&gt;&lt;Year&gt;2022&lt;/Year&gt;&lt;RecNum&gt;61&lt;/RecNum&gt;&lt;DisplayText&gt;&lt;style face="superscript"&gt;1&lt;/style&gt;&lt;/DisplayText&gt;&lt;record&gt;&lt;rec-number&gt;61&lt;/rec-number&gt;&lt;foreign-keys&gt;&lt;key app="EN" db-id="vxvsww0phazrt4ef2s6xfda5psfwe0vaf2s9" timestamp="1675766216" guid="ae258653-e126-47f8-82af-dcbb21cbe557"&gt;61&lt;/key&gt;&lt;/foreign-keys&gt;&lt;ref-type name="Journal Article"&gt;17&lt;/ref-type&gt;&lt;contributors&gt;&lt;authors&gt;&lt;author&gt;NICE&lt;/author&gt;&lt;/authors&gt;&lt;/contributors&gt;&lt;titles&gt;&lt;title&gt;Quantitative faecal immunochemical tests to guide colorectal cancer pathway referral in primary care. Final scope&lt;/title&gt;&lt;/titles&gt;&lt;dates&gt;&lt;year&gt;2022&lt;/year&gt;&lt;/dates&gt;&lt;urls&gt;&lt;related-urls&gt;&lt;url&gt;https://www.nice.org.uk/guidance/indevelopment/gid-dg10036/documents&lt;/url&gt;&lt;/related-urls&gt;&lt;/urls&gt;&lt;/record&gt;&lt;/Cite&gt;&lt;/EndNote&gt;</w:instrText>
      </w:r>
      <w:r w:rsidRPr="00DF1431">
        <w:rPr>
          <w:rFonts w:asciiTheme="majorBidi" w:hAnsiTheme="majorBidi" w:cstheme="majorBidi"/>
        </w:rPr>
        <w:fldChar w:fldCharType="separate"/>
      </w:r>
      <w:r w:rsidRPr="00E351BF">
        <w:rPr>
          <w:rFonts w:asciiTheme="majorBidi" w:hAnsiTheme="majorBidi" w:cstheme="majorBidi"/>
          <w:noProof/>
          <w:vertAlign w:val="superscript"/>
        </w:rPr>
        <w:t>1</w:t>
      </w:r>
      <w:r w:rsidRPr="00DF1431">
        <w:rPr>
          <w:rFonts w:asciiTheme="majorBidi" w:hAnsiTheme="majorBidi" w:cstheme="majorBidi"/>
        </w:rPr>
        <w:fldChar w:fldCharType="end"/>
      </w:r>
      <w:r w:rsidRPr="00DF1431">
        <w:rPr>
          <w:rFonts w:asciiTheme="majorBidi" w:hAnsiTheme="majorBidi" w:cstheme="majorBidi"/>
        </w:rPr>
        <w:t xml:space="preserve"> state</w:t>
      </w:r>
      <w:r w:rsidR="004E3CBC">
        <w:rPr>
          <w:rFonts w:asciiTheme="majorBidi" w:hAnsiTheme="majorBidi" w:cstheme="majorBidi"/>
        </w:rPr>
        <w:t>d</w:t>
      </w:r>
      <w:r w:rsidRPr="00DF1431">
        <w:rPr>
          <w:rFonts w:asciiTheme="majorBidi" w:hAnsiTheme="majorBidi" w:cstheme="majorBidi"/>
        </w:rPr>
        <w:t xml:space="preserve"> that intermediate outcomes of interest may include:</w:t>
      </w:r>
    </w:p>
    <w:p w14:paraId="3BB2203A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 xml:space="preserve">Diagnostic accuracy at different FIT thresholds for CRC, AA and IBD </w:t>
      </w:r>
    </w:p>
    <w:p w14:paraId="3B8B27EA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</w:rPr>
        <w:t>Risk of CRC (and IBD and AAs) in relevant subgroups according to FIT threshold</w:t>
      </w:r>
    </w:p>
    <w:p w14:paraId="6487037D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Test failure rates</w:t>
      </w:r>
    </w:p>
    <w:p w14:paraId="2A9DB731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Prognostic implications of false-negative results</w:t>
      </w:r>
    </w:p>
    <w:p w14:paraId="7F899209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</w:rPr>
        <w:t>Uptake (completion)</w:t>
      </w:r>
      <w:r w:rsidRPr="00DF1431">
        <w:rPr>
          <w:rFonts w:asciiTheme="majorBidi" w:hAnsiTheme="majorBidi" w:cstheme="majorBidi"/>
          <w:color w:val="000000"/>
        </w:rPr>
        <w:t xml:space="preserve"> of </w:t>
      </w:r>
      <w:r w:rsidRPr="00DF1431">
        <w:rPr>
          <w:rFonts w:asciiTheme="majorBidi" w:hAnsiTheme="majorBidi" w:cstheme="majorBidi"/>
        </w:rPr>
        <w:t>FIT</w:t>
      </w:r>
      <w:r w:rsidRPr="00DF1431">
        <w:rPr>
          <w:rFonts w:asciiTheme="majorBidi" w:hAnsiTheme="majorBidi" w:cstheme="majorBidi"/>
          <w:color w:val="000000"/>
        </w:rPr>
        <w:t xml:space="preserve"> in primary care</w:t>
      </w:r>
    </w:p>
    <w:p w14:paraId="5BB46F29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</w:rPr>
        <w:t>Number/p</w:t>
      </w:r>
      <w:r w:rsidRPr="00DF1431">
        <w:rPr>
          <w:rFonts w:asciiTheme="majorBidi" w:hAnsiTheme="majorBidi" w:cstheme="majorBidi"/>
          <w:color w:val="000000"/>
        </w:rPr>
        <w:t xml:space="preserve">roportion of people referred to secondary </w:t>
      </w:r>
      <w:sdt>
        <w:sdtPr>
          <w:rPr>
            <w:rFonts w:asciiTheme="majorBidi" w:hAnsiTheme="majorBidi" w:cstheme="majorBidi"/>
          </w:rPr>
          <w:tag w:val="goog_rdk_10"/>
          <w:id w:val="1327474782"/>
        </w:sdtPr>
        <w:sdtEndPr/>
        <w:sdtContent/>
      </w:sdt>
      <w:sdt>
        <w:sdtPr>
          <w:rPr>
            <w:rFonts w:asciiTheme="majorBidi" w:hAnsiTheme="majorBidi" w:cstheme="majorBidi"/>
          </w:rPr>
          <w:tag w:val="goog_rdk_11"/>
          <w:id w:val="-1863352577"/>
        </w:sdtPr>
        <w:sdtEndPr/>
        <w:sdtContent/>
      </w:sdt>
      <w:sdt>
        <w:sdtPr>
          <w:rPr>
            <w:rFonts w:asciiTheme="majorBidi" w:hAnsiTheme="majorBidi" w:cstheme="majorBidi"/>
          </w:rPr>
          <w:tag w:val="goog_rdk_12"/>
          <w:id w:val="1389068270"/>
        </w:sdtPr>
        <w:sdtEndPr/>
        <w:sdtContent/>
      </w:sdt>
      <w:sdt>
        <w:sdtPr>
          <w:rPr>
            <w:rFonts w:asciiTheme="majorBidi" w:hAnsiTheme="majorBidi" w:cstheme="majorBidi"/>
          </w:rPr>
          <w:tag w:val="goog_rdk_13"/>
          <w:id w:val="738517293"/>
        </w:sdtPr>
        <w:sdtEndPr/>
        <w:sdtContent/>
      </w:sdt>
      <w:sdt>
        <w:sdtPr>
          <w:rPr>
            <w:rFonts w:asciiTheme="majorBidi" w:hAnsiTheme="majorBidi" w:cstheme="majorBidi"/>
          </w:rPr>
          <w:tag w:val="goog_rdk_14"/>
          <w:id w:val="-291139638"/>
        </w:sdtPr>
        <w:sdtEndPr/>
        <w:sdtContent/>
      </w:sdt>
      <w:proofErr w:type="gramStart"/>
      <w:r w:rsidRPr="00DF1431">
        <w:rPr>
          <w:rFonts w:asciiTheme="majorBidi" w:hAnsiTheme="majorBidi" w:cstheme="majorBidi"/>
          <w:color w:val="000000"/>
        </w:rPr>
        <w:t>care</w:t>
      </w:r>
      <w:proofErr w:type="gramEnd"/>
    </w:p>
    <w:p w14:paraId="34195688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</w:rPr>
        <w:t>Number/p</w:t>
      </w:r>
      <w:r w:rsidRPr="00DF1431">
        <w:rPr>
          <w:rFonts w:asciiTheme="majorBidi" w:hAnsiTheme="majorBidi" w:cstheme="majorBidi"/>
          <w:color w:val="000000"/>
        </w:rPr>
        <w:t xml:space="preserve">roportion of people followed up in primary </w:t>
      </w:r>
      <w:proofErr w:type="gramStart"/>
      <w:r w:rsidRPr="00DF1431">
        <w:rPr>
          <w:rFonts w:asciiTheme="majorBidi" w:hAnsiTheme="majorBidi" w:cstheme="majorBidi"/>
          <w:color w:val="000000"/>
        </w:rPr>
        <w:t>care</w:t>
      </w:r>
      <w:proofErr w:type="gramEnd"/>
    </w:p>
    <w:p w14:paraId="4B1962B1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Duration of validity of negative test (implications for follow-up)</w:t>
      </w:r>
    </w:p>
    <w:p w14:paraId="27EBFE7D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Number/prop</w:t>
      </w:r>
      <w:r w:rsidRPr="00DF1431">
        <w:rPr>
          <w:rFonts w:asciiTheme="majorBidi" w:hAnsiTheme="majorBidi" w:cstheme="majorBidi"/>
        </w:rPr>
        <w:t>o</w:t>
      </w:r>
      <w:r w:rsidRPr="00DF1431">
        <w:rPr>
          <w:rFonts w:asciiTheme="majorBidi" w:hAnsiTheme="majorBidi" w:cstheme="majorBidi"/>
          <w:color w:val="000000"/>
        </w:rPr>
        <w:t>rtion of urgent (2</w:t>
      </w:r>
      <w:sdt>
        <w:sdtPr>
          <w:rPr>
            <w:rFonts w:asciiTheme="majorBidi" w:hAnsiTheme="majorBidi" w:cstheme="majorBidi"/>
          </w:rPr>
          <w:tag w:val="goog_rdk_15"/>
          <w:id w:val="-1380165208"/>
        </w:sdtPr>
        <w:sdtEndPr/>
        <w:sdtContent/>
      </w:sdt>
      <w:r w:rsidRPr="00DF1431">
        <w:rPr>
          <w:rFonts w:asciiTheme="majorBidi" w:hAnsiTheme="majorBidi" w:cstheme="majorBidi"/>
          <w:color w:val="000000"/>
        </w:rPr>
        <w:t>WW suspected cancer) specialist appointments</w:t>
      </w:r>
    </w:p>
    <w:p w14:paraId="238EC140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Number</w:t>
      </w:r>
      <w:r w:rsidRPr="00DF1431">
        <w:rPr>
          <w:rFonts w:asciiTheme="majorBidi" w:hAnsiTheme="majorBidi" w:cstheme="majorBidi"/>
        </w:rPr>
        <w:t>/proportion</w:t>
      </w:r>
      <w:r w:rsidRPr="00DF1431">
        <w:rPr>
          <w:rFonts w:asciiTheme="majorBidi" w:hAnsiTheme="majorBidi" w:cstheme="majorBidi"/>
          <w:color w:val="000000"/>
        </w:rPr>
        <w:t xml:space="preserve"> of urgent (2WW suspected </w:t>
      </w:r>
      <w:r w:rsidRPr="00DF1431">
        <w:rPr>
          <w:rFonts w:asciiTheme="majorBidi" w:hAnsiTheme="majorBidi" w:cstheme="majorBidi"/>
        </w:rPr>
        <w:t>cancer</w:t>
      </w:r>
      <w:r w:rsidRPr="00DF1431">
        <w:rPr>
          <w:rFonts w:asciiTheme="majorBidi" w:hAnsiTheme="majorBidi" w:cstheme="majorBidi"/>
          <w:color w:val="000000"/>
        </w:rPr>
        <w:t>) colonoscopy/CTCs</w:t>
      </w:r>
    </w:p>
    <w:p w14:paraId="369884CC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Number</w:t>
      </w:r>
      <w:r w:rsidRPr="00DF1431">
        <w:rPr>
          <w:rFonts w:asciiTheme="majorBidi" w:hAnsiTheme="majorBidi" w:cstheme="majorBidi"/>
        </w:rPr>
        <w:t>/proportion</w:t>
      </w:r>
      <w:r w:rsidRPr="00DF1431">
        <w:rPr>
          <w:rFonts w:asciiTheme="majorBidi" w:hAnsiTheme="majorBidi" w:cstheme="majorBidi"/>
          <w:color w:val="000000"/>
        </w:rPr>
        <w:t xml:space="preserve"> of non-urgent colonoscopy/CTCs</w:t>
      </w:r>
    </w:p>
    <w:p w14:paraId="142B6A11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Time to colonoscopy/CTC</w:t>
      </w:r>
    </w:p>
    <w:p w14:paraId="6090CD7D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 xml:space="preserve">Time to diagnosis of </w:t>
      </w:r>
      <w:r w:rsidRPr="00DF1431">
        <w:rPr>
          <w:rFonts w:asciiTheme="majorBidi" w:hAnsiTheme="majorBidi" w:cstheme="majorBidi"/>
        </w:rPr>
        <w:t>CRC</w:t>
      </w:r>
      <w:r w:rsidRPr="00DF1431">
        <w:rPr>
          <w:rFonts w:asciiTheme="majorBidi" w:hAnsiTheme="majorBidi" w:cstheme="majorBidi"/>
          <w:color w:val="000000"/>
        </w:rPr>
        <w:t xml:space="preserve"> or other conditions</w:t>
      </w:r>
    </w:p>
    <w:p w14:paraId="2E2820E8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Number</w:t>
      </w:r>
      <w:r w:rsidRPr="00DF1431">
        <w:rPr>
          <w:rFonts w:asciiTheme="majorBidi" w:hAnsiTheme="majorBidi" w:cstheme="majorBidi"/>
        </w:rPr>
        <w:t>/proportion</w:t>
      </w:r>
      <w:r w:rsidRPr="00DF1431">
        <w:rPr>
          <w:rFonts w:asciiTheme="majorBidi" w:hAnsiTheme="majorBidi" w:cstheme="majorBidi"/>
          <w:color w:val="000000"/>
        </w:rPr>
        <w:t xml:space="preserve"> of colonoscopy/CTCs that do not detect </w:t>
      </w:r>
      <w:proofErr w:type="gramStart"/>
      <w:r w:rsidRPr="00DF1431">
        <w:rPr>
          <w:rFonts w:asciiTheme="majorBidi" w:hAnsiTheme="majorBidi" w:cstheme="majorBidi"/>
        </w:rPr>
        <w:t>CRC</w:t>
      </w:r>
      <w:proofErr w:type="gramEnd"/>
    </w:p>
    <w:p w14:paraId="54833EB8" w14:textId="77777777" w:rsidR="00E351BF" w:rsidRPr="00DF1431" w:rsidRDefault="00E351BF" w:rsidP="00E351BF">
      <w:pPr>
        <w:widowControl w:val="0"/>
        <w:numPr>
          <w:ilvl w:val="0"/>
          <w:numId w:val="1"/>
        </w:numPr>
        <w:spacing w:before="60" w:after="0" w:line="276" w:lineRule="auto"/>
        <w:jc w:val="both"/>
        <w:rPr>
          <w:rFonts w:asciiTheme="majorBidi" w:hAnsiTheme="majorBidi" w:cstheme="majorBidi"/>
        </w:rPr>
      </w:pPr>
      <w:r w:rsidRPr="00DF1431">
        <w:rPr>
          <w:rFonts w:asciiTheme="majorBidi" w:hAnsiTheme="majorBidi" w:cstheme="majorBidi"/>
        </w:rPr>
        <w:t xml:space="preserve">Number/proportion of colonoscopy/CTCs that do not detect significant bowel </w:t>
      </w:r>
      <w:proofErr w:type="gramStart"/>
      <w:r w:rsidRPr="00DF1431">
        <w:rPr>
          <w:rFonts w:asciiTheme="majorBidi" w:hAnsiTheme="majorBidi" w:cstheme="majorBidi"/>
        </w:rPr>
        <w:t>pathology</w:t>
      </w:r>
      <w:proofErr w:type="gramEnd"/>
    </w:p>
    <w:p w14:paraId="4A09FBE6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N</w:t>
      </w:r>
      <w:sdt>
        <w:sdtPr>
          <w:rPr>
            <w:rFonts w:asciiTheme="majorBidi" w:hAnsiTheme="majorBidi" w:cstheme="majorBidi"/>
          </w:rPr>
          <w:tag w:val="goog_rdk_16"/>
          <w:id w:val="-389799774"/>
        </w:sdtPr>
        <w:sdtEndPr/>
        <w:sdtContent/>
      </w:sdt>
      <w:r w:rsidRPr="00DF1431">
        <w:rPr>
          <w:rFonts w:asciiTheme="majorBidi" w:hAnsiTheme="majorBidi" w:cstheme="majorBidi"/>
          <w:color w:val="000000"/>
        </w:rPr>
        <w:t xml:space="preserve">umber/proportion of people presenting to emergency departments with symptoms of </w:t>
      </w:r>
      <w:r w:rsidRPr="00DF1431">
        <w:rPr>
          <w:rFonts w:asciiTheme="majorBidi" w:hAnsiTheme="majorBidi" w:cstheme="majorBidi"/>
        </w:rPr>
        <w:t>CRC.</w:t>
      </w:r>
    </w:p>
    <w:p w14:paraId="7C118556" w14:textId="77777777" w:rsidR="00E351BF" w:rsidRPr="00DF1431" w:rsidRDefault="00E351BF" w:rsidP="00E351BF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rFonts w:asciiTheme="majorBidi" w:hAnsiTheme="majorBidi" w:cstheme="majorBidi"/>
          <w:color w:val="000000"/>
        </w:rPr>
      </w:pPr>
    </w:p>
    <w:p w14:paraId="47352BD4" w14:textId="6D404938" w:rsidR="00E351BF" w:rsidRPr="00DF1431" w:rsidRDefault="00E351BF" w:rsidP="00E351BF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</w:rPr>
        <w:t>The NICE scope</w:t>
      </w:r>
      <w:r w:rsidRPr="00DF1431">
        <w:rPr>
          <w:rFonts w:asciiTheme="majorBidi" w:hAnsiTheme="majorBidi" w:cstheme="majorBidi"/>
        </w:rPr>
        <w:fldChar w:fldCharType="begin"/>
      </w:r>
      <w:r>
        <w:rPr>
          <w:rFonts w:asciiTheme="majorBidi" w:hAnsiTheme="majorBidi" w:cstheme="majorBidi"/>
        </w:rPr>
        <w:instrText xml:space="preserve"> ADDIN EN.CITE &lt;EndNote&gt;&lt;Cite&gt;&lt;Author&gt;NICE&lt;/Author&gt;&lt;Year&gt;2022&lt;/Year&gt;&lt;RecNum&gt;61&lt;/RecNum&gt;&lt;DisplayText&gt;&lt;style face="superscript"&gt;1&lt;/style&gt;&lt;/DisplayText&gt;&lt;record&gt;&lt;rec-number&gt;61&lt;/rec-number&gt;&lt;foreign-keys&gt;&lt;key app="EN" db-id="vxvsww0phazrt4ef2s6xfda5psfwe0vaf2s9" timestamp="1675766216" guid="ae258653-e126-47f8-82af-dcbb21cbe557"&gt;61&lt;/key&gt;&lt;/foreign-keys&gt;&lt;ref-type name="Journal Article"&gt;17&lt;/ref-type&gt;&lt;contributors&gt;&lt;authors&gt;&lt;author&gt;NICE&lt;/author&gt;&lt;/authors&gt;&lt;/contributors&gt;&lt;titles&gt;&lt;title&gt;Quantitative faecal immunochemical tests to guide colorectal cancer pathway referral in primary care. Final scope&lt;/title&gt;&lt;/titles&gt;&lt;dates&gt;&lt;year&gt;2022&lt;/year&gt;&lt;/dates&gt;&lt;urls&gt;&lt;related-urls&gt;&lt;url&gt;https://www.nice.org.uk/guidance/indevelopment/gid-dg10036/documents&lt;/url&gt;&lt;/related-urls&gt;&lt;/urls&gt;&lt;/record&gt;&lt;/Cite&gt;&lt;/EndNote&gt;</w:instrText>
      </w:r>
      <w:r w:rsidRPr="00DF1431">
        <w:rPr>
          <w:rFonts w:asciiTheme="majorBidi" w:hAnsiTheme="majorBidi" w:cstheme="majorBidi"/>
        </w:rPr>
        <w:fldChar w:fldCharType="separate"/>
      </w:r>
      <w:r w:rsidRPr="00E351BF">
        <w:rPr>
          <w:rFonts w:asciiTheme="majorBidi" w:hAnsiTheme="majorBidi" w:cstheme="majorBidi"/>
          <w:noProof/>
          <w:vertAlign w:val="superscript"/>
        </w:rPr>
        <w:t>1</w:t>
      </w:r>
      <w:r w:rsidRPr="00DF1431">
        <w:rPr>
          <w:rFonts w:asciiTheme="majorBidi" w:hAnsiTheme="majorBidi" w:cstheme="majorBidi"/>
        </w:rPr>
        <w:fldChar w:fldCharType="end"/>
      </w:r>
      <w:r w:rsidRPr="00DF1431">
        <w:rPr>
          <w:rFonts w:asciiTheme="majorBidi" w:hAnsiTheme="majorBidi" w:cstheme="majorBidi"/>
        </w:rPr>
        <w:t xml:space="preserve"> state</w:t>
      </w:r>
      <w:r w:rsidR="004E3CBC">
        <w:rPr>
          <w:rFonts w:asciiTheme="majorBidi" w:hAnsiTheme="majorBidi" w:cstheme="majorBidi"/>
        </w:rPr>
        <w:t>d</w:t>
      </w:r>
      <w:r w:rsidRPr="00DF1431">
        <w:rPr>
          <w:rFonts w:asciiTheme="majorBidi" w:hAnsiTheme="majorBidi" w:cstheme="majorBidi"/>
        </w:rPr>
        <w:t xml:space="preserve"> that c</w:t>
      </w:r>
      <w:r w:rsidRPr="00DF1431">
        <w:rPr>
          <w:rFonts w:asciiTheme="majorBidi" w:hAnsiTheme="majorBidi" w:cstheme="majorBidi"/>
          <w:color w:val="000000"/>
        </w:rPr>
        <w:t>linical outcomes for consideration may include:</w:t>
      </w:r>
    </w:p>
    <w:p w14:paraId="5DDF39F5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 xml:space="preserve">Number of </w:t>
      </w:r>
      <w:r w:rsidRPr="00DF1431">
        <w:rPr>
          <w:rFonts w:asciiTheme="majorBidi" w:hAnsiTheme="majorBidi" w:cstheme="majorBidi"/>
        </w:rPr>
        <w:t>CRC</w:t>
      </w:r>
      <w:r w:rsidRPr="00DF1431">
        <w:rPr>
          <w:rFonts w:asciiTheme="majorBidi" w:hAnsiTheme="majorBidi" w:cstheme="majorBidi"/>
          <w:color w:val="000000"/>
        </w:rPr>
        <w:t xml:space="preserve"> diagnoses</w:t>
      </w:r>
    </w:p>
    <w:p w14:paraId="57BF52F4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Number</w:t>
      </w:r>
      <w:r w:rsidRPr="00DF1431">
        <w:rPr>
          <w:rFonts w:asciiTheme="majorBidi" w:hAnsiTheme="majorBidi" w:cstheme="majorBidi"/>
        </w:rPr>
        <w:t>/proportion</w:t>
      </w:r>
      <w:r w:rsidRPr="00DF1431">
        <w:rPr>
          <w:rFonts w:asciiTheme="majorBidi" w:hAnsiTheme="majorBidi" w:cstheme="majorBidi"/>
          <w:color w:val="000000"/>
        </w:rPr>
        <w:t xml:space="preserve"> of </w:t>
      </w:r>
      <w:r w:rsidRPr="00DF1431">
        <w:rPr>
          <w:rFonts w:asciiTheme="majorBidi" w:hAnsiTheme="majorBidi" w:cstheme="majorBidi"/>
        </w:rPr>
        <w:t>CRC</w:t>
      </w:r>
      <w:r w:rsidRPr="00DF1431">
        <w:rPr>
          <w:rFonts w:asciiTheme="majorBidi" w:hAnsiTheme="majorBidi" w:cstheme="majorBidi"/>
          <w:color w:val="000000"/>
        </w:rPr>
        <w:t xml:space="preserve"> diagnoses from urgent referrals</w:t>
      </w:r>
    </w:p>
    <w:p w14:paraId="61DE4A82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Stage of detected cancers</w:t>
      </w:r>
    </w:p>
    <w:p w14:paraId="27DD3E56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Number</w:t>
      </w:r>
      <w:r w:rsidRPr="00DF1431">
        <w:rPr>
          <w:rFonts w:asciiTheme="majorBidi" w:hAnsiTheme="majorBidi" w:cstheme="majorBidi"/>
        </w:rPr>
        <w:t>/proportion</w:t>
      </w:r>
      <w:r w:rsidRPr="00DF1431">
        <w:rPr>
          <w:rFonts w:asciiTheme="majorBidi" w:hAnsiTheme="majorBidi" w:cstheme="majorBidi"/>
          <w:color w:val="000000"/>
        </w:rPr>
        <w:t xml:space="preserve"> of people identified with other bowel </w:t>
      </w:r>
      <w:proofErr w:type="gramStart"/>
      <w:r w:rsidRPr="00DF1431">
        <w:rPr>
          <w:rFonts w:asciiTheme="majorBidi" w:hAnsiTheme="majorBidi" w:cstheme="majorBidi"/>
          <w:color w:val="000000"/>
        </w:rPr>
        <w:t>pathologies</w:t>
      </w:r>
      <w:proofErr w:type="gramEnd"/>
    </w:p>
    <w:p w14:paraId="6DAD2C4D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Number</w:t>
      </w:r>
      <w:r w:rsidRPr="00DF1431">
        <w:rPr>
          <w:rFonts w:asciiTheme="majorBidi" w:hAnsiTheme="majorBidi" w:cstheme="majorBidi"/>
        </w:rPr>
        <w:t>/proportion</w:t>
      </w:r>
      <w:r w:rsidRPr="00DF1431">
        <w:rPr>
          <w:rFonts w:asciiTheme="majorBidi" w:hAnsiTheme="majorBidi" w:cstheme="majorBidi"/>
          <w:color w:val="000000"/>
        </w:rPr>
        <w:t xml:space="preserve"> of people with AAs detected, or detected and </w:t>
      </w:r>
      <w:proofErr w:type="gramStart"/>
      <w:r w:rsidRPr="00DF1431">
        <w:rPr>
          <w:rFonts w:asciiTheme="majorBidi" w:hAnsiTheme="majorBidi" w:cstheme="majorBidi"/>
          <w:color w:val="000000"/>
        </w:rPr>
        <w:t>treated</w:t>
      </w:r>
      <w:proofErr w:type="gramEnd"/>
    </w:p>
    <w:p w14:paraId="2789759E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 xml:space="preserve">Morbidity including adverse events associated with </w:t>
      </w:r>
      <w:proofErr w:type="gramStart"/>
      <w:r w:rsidRPr="00DF1431">
        <w:rPr>
          <w:rFonts w:asciiTheme="majorBidi" w:hAnsiTheme="majorBidi" w:cstheme="majorBidi"/>
          <w:color w:val="000000"/>
        </w:rPr>
        <w:t>colonoscopy</w:t>
      </w:r>
      <w:proofErr w:type="gramEnd"/>
    </w:p>
    <w:p w14:paraId="5F71FAC0" w14:textId="77777777" w:rsidR="00E351BF" w:rsidRPr="00DF1431" w:rsidRDefault="00E351BF" w:rsidP="00E351B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 w:after="0" w:line="276" w:lineRule="auto"/>
        <w:jc w:val="both"/>
        <w:rPr>
          <w:rFonts w:asciiTheme="majorBidi" w:hAnsiTheme="majorBidi" w:cstheme="majorBidi"/>
          <w:color w:val="000000"/>
        </w:rPr>
      </w:pPr>
      <w:r w:rsidRPr="00DF1431">
        <w:rPr>
          <w:rFonts w:asciiTheme="majorBidi" w:hAnsiTheme="majorBidi" w:cstheme="majorBidi"/>
          <w:color w:val="000000"/>
        </w:rPr>
        <w:t>Mortality.</w:t>
      </w:r>
    </w:p>
    <w:p w14:paraId="1F8440DA" w14:textId="77777777" w:rsidR="00E351BF" w:rsidRDefault="00E351BF"/>
    <w:p w14:paraId="5D8B8607" w14:textId="77777777" w:rsidR="00E351BF" w:rsidRPr="00234A83" w:rsidRDefault="00E351BF">
      <w:pPr>
        <w:rPr>
          <w:rFonts w:asciiTheme="majorBidi" w:hAnsiTheme="majorBidi" w:cstheme="majorBidi"/>
        </w:rPr>
      </w:pPr>
    </w:p>
    <w:p w14:paraId="177C0B19" w14:textId="77777777" w:rsidR="00234A83" w:rsidRPr="00234A83" w:rsidRDefault="00E351BF" w:rsidP="00234A83">
      <w:pPr>
        <w:pStyle w:val="EndNoteBibliography"/>
        <w:ind w:left="720" w:hanging="720"/>
        <w:rPr>
          <w:rFonts w:asciiTheme="majorBidi" w:hAnsiTheme="majorBidi" w:cstheme="majorBidi"/>
        </w:rPr>
      </w:pPr>
      <w:r w:rsidRPr="00234A83">
        <w:rPr>
          <w:rFonts w:asciiTheme="majorBidi" w:hAnsiTheme="majorBidi" w:cstheme="majorBidi"/>
        </w:rPr>
        <w:fldChar w:fldCharType="begin"/>
      </w:r>
      <w:r w:rsidRPr="00234A83">
        <w:rPr>
          <w:rFonts w:asciiTheme="majorBidi" w:hAnsiTheme="majorBidi" w:cstheme="majorBidi"/>
        </w:rPr>
        <w:instrText xml:space="preserve"> ADDIN EN.REFLIST </w:instrText>
      </w:r>
      <w:r w:rsidRPr="00234A83">
        <w:rPr>
          <w:rFonts w:asciiTheme="majorBidi" w:hAnsiTheme="majorBidi" w:cstheme="majorBidi"/>
        </w:rPr>
        <w:fldChar w:fldCharType="separate"/>
      </w:r>
      <w:r w:rsidR="00234A83" w:rsidRPr="00234A83">
        <w:rPr>
          <w:rFonts w:asciiTheme="majorBidi" w:hAnsiTheme="majorBidi" w:cstheme="majorBidi"/>
        </w:rPr>
        <w:t>1.</w:t>
      </w:r>
      <w:r w:rsidR="00234A83" w:rsidRPr="00234A83">
        <w:rPr>
          <w:rFonts w:asciiTheme="majorBidi" w:hAnsiTheme="majorBidi" w:cstheme="majorBidi"/>
        </w:rPr>
        <w:tab/>
        <w:t xml:space="preserve">NICE. Quantitative faecal immunochemical tests to guide colorectal cancer pathway referral in primary care. Final scope. 2022. </w:t>
      </w:r>
    </w:p>
    <w:p w14:paraId="4B6E29A7" w14:textId="69A5C4CE" w:rsidR="00E351BF" w:rsidRDefault="00E351BF" w:rsidP="00234A83">
      <w:r w:rsidRPr="00234A83">
        <w:rPr>
          <w:rFonts w:asciiTheme="majorBidi" w:hAnsiTheme="majorBidi" w:cstheme="majorBidi"/>
        </w:rPr>
        <w:fldChar w:fldCharType="end"/>
      </w:r>
    </w:p>
    <w:sectPr w:rsidR="00E351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2461C"/>
    <w:multiLevelType w:val="multilevel"/>
    <w:tmpl w:val="E70C3F9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num w:numId="1" w16cid:durableId="85021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DSU style based on NIHR-Journals-Library may2018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vxvsww0phazrt4ef2s6xfda5psfwe0vaf2s9&quot;&gt;DAP50FIT@sheffield.ac.uk&lt;record-ids&gt;&lt;item&gt;61&lt;/item&gt;&lt;/record-ids&gt;&lt;/item&gt;&lt;/Libraries&gt;"/>
  </w:docVars>
  <w:rsids>
    <w:rsidRoot w:val="00E351BF"/>
    <w:rsid w:val="000F2AD7"/>
    <w:rsid w:val="00234A83"/>
    <w:rsid w:val="00237A3D"/>
    <w:rsid w:val="004E3CBC"/>
    <w:rsid w:val="0079251A"/>
    <w:rsid w:val="009B3952"/>
    <w:rsid w:val="00E3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33E21"/>
  <w15:chartTrackingRefBased/>
  <w15:docId w15:val="{AD8A7EFC-3739-4420-A112-00554BD0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E351BF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351BF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351BF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351BF"/>
    <w:rPr>
      <w:rFonts w:ascii="Calibri" w:hAnsi="Calibri" w:cs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</Words>
  <Characters>2710</Characters>
  <Application>Microsoft Office Word</Application>
  <DocSecurity>0</DocSecurity>
  <Lines>22</Lines>
  <Paragraphs>6</Paragraphs>
  <ScaleCrop>false</ScaleCrop>
  <Company>The University of Sheffield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Harnan</dc:creator>
  <cp:keywords/>
  <dc:description/>
  <cp:lastModifiedBy>Susan Harnan</cp:lastModifiedBy>
  <cp:revision>3</cp:revision>
  <dcterms:created xsi:type="dcterms:W3CDTF">2024-03-14T12:59:00Z</dcterms:created>
  <dcterms:modified xsi:type="dcterms:W3CDTF">2024-03-20T17:42:00Z</dcterms:modified>
</cp:coreProperties>
</file>