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B4F4A" w14:textId="6B2EA943" w:rsidR="00BA6AA0" w:rsidRDefault="00BA6AA0" w:rsidP="00BA6AA0">
      <w:pPr>
        <w:pStyle w:val="Heading4"/>
        <w:rPr>
          <w:b/>
          <w:bCs w:val="0"/>
          <w:szCs w:val="22"/>
        </w:rPr>
      </w:pPr>
      <w:r w:rsidRPr="00BA6AA0">
        <w:rPr>
          <w:b/>
          <w:bCs w:val="0"/>
          <w:szCs w:val="22"/>
        </w:rPr>
        <w:t xml:space="preserve">Statistical synthesis OC-Sensor </w:t>
      </w:r>
    </w:p>
    <w:p w14:paraId="093DEB8E" w14:textId="77777777" w:rsidR="00BA6AA0" w:rsidRPr="00BA6AA0" w:rsidRDefault="00BA6AA0" w:rsidP="00BA6AA0">
      <w:pPr>
        <w:rPr>
          <w:lang w:val="x-none" w:eastAsia="x-none"/>
        </w:rPr>
      </w:pPr>
    </w:p>
    <w:p w14:paraId="067DAB12" w14:textId="09DA1DF8" w:rsidR="00BA6AA0" w:rsidRPr="00284EC3" w:rsidRDefault="00BA6AA0" w:rsidP="00BA6AA0">
      <w:pPr>
        <w:spacing w:line="360" w:lineRule="auto"/>
        <w:jc w:val="both"/>
        <w:rPr>
          <w:rFonts w:asciiTheme="majorBidi" w:hAnsiTheme="majorBidi" w:cstheme="majorBidi"/>
          <w:sz w:val="22"/>
          <w:szCs w:val="22"/>
          <w:lang w:eastAsia="zh-CN"/>
        </w:rPr>
      </w:pPr>
      <w:r w:rsidRPr="00284EC3">
        <w:rPr>
          <w:rFonts w:asciiTheme="majorBidi" w:hAnsiTheme="majorBidi" w:cstheme="majorBidi"/>
          <w:sz w:val="22"/>
          <w:szCs w:val="22"/>
        </w:rPr>
        <w:t>Eleven studies contributed to the meta-analysis for OC</w:t>
      </w:r>
      <w:r>
        <w:rPr>
          <w:rFonts w:asciiTheme="majorBidi" w:hAnsiTheme="majorBidi" w:cstheme="majorBidi"/>
          <w:sz w:val="22"/>
          <w:szCs w:val="22"/>
        </w:rPr>
        <w:t>-</w:t>
      </w:r>
      <w:r w:rsidRPr="00284EC3">
        <w:rPr>
          <w:rFonts w:asciiTheme="majorBidi" w:hAnsiTheme="majorBidi" w:cstheme="majorBidi"/>
          <w:sz w:val="22"/>
          <w:szCs w:val="22"/>
        </w:rPr>
        <w:t>Sensor. One study provided diagnostic accuracy at a single threshold and the maximum number of thresholds considered within an individual study was 10 (Laszlo 2021).</w:t>
      </w:r>
      <w:r w:rsidRPr="00284EC3">
        <w:rPr>
          <w:rFonts w:asciiTheme="majorBidi" w:hAnsiTheme="majorBidi" w:cstheme="majorBidi"/>
          <w:sz w:val="22"/>
          <w:szCs w:val="22"/>
        </w:rPr>
        <w:fldChar w:fldCharType="begin">
          <w:fldData xml:space="preserve">PEVuZE5vdGU+PENpdGU+PEF1dGhvcj5MYXN6bG88L0F1dGhvcj48WWVhcj4yMDIyPC9ZZWFyPjxS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</w:fldData>
        </w:fldChar>
      </w:r>
      <w:r>
        <w:rPr>
          <w:rFonts w:asciiTheme="majorBidi" w:hAnsiTheme="majorBidi" w:cstheme="majorBidi"/>
          <w:sz w:val="22"/>
          <w:szCs w:val="22"/>
        </w:rPr>
        <w:instrText xml:space="preserve"> ADDIN EN.CITE </w:instrText>
      </w:r>
      <w:r>
        <w:rPr>
          <w:rFonts w:asciiTheme="majorBidi" w:hAnsiTheme="majorBidi" w:cstheme="majorBidi"/>
          <w:sz w:val="22"/>
          <w:szCs w:val="22"/>
        </w:rPr>
        <w:fldChar w:fldCharType="begin">
          <w:fldData xml:space="preserve">PEVuZE5vdGU+PENpdGU+PEF1dGhvcj5MYXN6bG88L0F1dGhvcj48WWVhcj4yMDIyPC9ZZWFyPjxS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</w:fldData>
        </w:fldChar>
      </w:r>
      <w:r>
        <w:rPr>
          <w:rFonts w:asciiTheme="majorBidi" w:hAnsiTheme="majorBidi" w:cstheme="majorBidi"/>
          <w:sz w:val="22"/>
          <w:szCs w:val="22"/>
        </w:rPr>
        <w:instrText xml:space="preserve"> ADDIN EN.CITE.DATA </w:instrText>
      </w:r>
      <w:r>
        <w:rPr>
          <w:rFonts w:asciiTheme="majorBidi" w:hAnsiTheme="majorBidi" w:cstheme="majorBidi"/>
          <w:sz w:val="22"/>
          <w:szCs w:val="22"/>
        </w:rPr>
      </w:r>
      <w:r>
        <w:rPr>
          <w:rFonts w:asciiTheme="majorBidi" w:hAnsiTheme="majorBidi" w:cstheme="majorBidi"/>
          <w:sz w:val="22"/>
          <w:szCs w:val="22"/>
        </w:rPr>
        <w:fldChar w:fldCharType="end"/>
      </w:r>
      <w:r w:rsidRPr="00284EC3">
        <w:rPr>
          <w:rFonts w:asciiTheme="majorBidi" w:hAnsiTheme="majorBidi" w:cstheme="majorBidi"/>
          <w:sz w:val="22"/>
          <w:szCs w:val="22"/>
        </w:rPr>
        <w:fldChar w:fldCharType="separate"/>
      </w:r>
      <w:r w:rsidRPr="00BA6AA0">
        <w:rPr>
          <w:rFonts w:asciiTheme="majorBidi" w:hAnsiTheme="majorBidi" w:cstheme="majorBidi"/>
          <w:noProof/>
          <w:sz w:val="22"/>
          <w:szCs w:val="22"/>
          <w:vertAlign w:val="superscript"/>
        </w:rPr>
        <w:t>1</w:t>
      </w:r>
      <w:r w:rsidRPr="00284EC3">
        <w:rPr>
          <w:rFonts w:asciiTheme="majorBidi" w:hAnsiTheme="majorBidi" w:cstheme="majorBidi"/>
          <w:sz w:val="22"/>
          <w:szCs w:val="22"/>
        </w:rPr>
        <w:fldChar w:fldCharType="end"/>
      </w:r>
      <w:r w:rsidRPr="00284EC3">
        <w:rPr>
          <w:rFonts w:asciiTheme="majorBidi" w:hAnsiTheme="majorBidi" w:cstheme="majorBidi"/>
          <w:sz w:val="22"/>
          <w:szCs w:val="22"/>
        </w:rPr>
        <w:t xml:space="preserve"> The final dataset included a total of 44 pairs of sensitivity and specificity estimates, at thresholds between 4 and 200</w:t>
      </w:r>
      <w:r w:rsidR="00443572">
        <w:rPr>
          <w:rFonts w:asciiTheme="majorBidi" w:hAnsiTheme="majorBidi" w:cstheme="majorBidi"/>
          <w:sz w:val="22"/>
          <w:szCs w:val="22"/>
        </w:rPr>
        <w:t xml:space="preserve"> </w:t>
      </w:r>
      <w:r w:rsidR="00443572" w:rsidRPr="00B6732A">
        <w:rPr>
          <w:rFonts w:asciiTheme="majorBidi" w:hAnsiTheme="majorBidi" w:cstheme="majorBidi"/>
        </w:rPr>
        <w:t>µg/ml</w:t>
      </w:r>
      <w:r w:rsidRPr="00284EC3">
        <w:rPr>
          <w:rFonts w:asciiTheme="majorBidi" w:hAnsiTheme="majorBidi" w:cstheme="majorBidi"/>
          <w:sz w:val="22"/>
          <w:szCs w:val="22"/>
        </w:rPr>
        <w:t xml:space="preserve">. </w:t>
      </w:r>
    </w:p>
    <w:p w14:paraId="1E187535" w14:textId="77777777" w:rsidR="00BA6AA0" w:rsidRPr="00284EC3" w:rsidRDefault="00BA6AA0" w:rsidP="00BA6AA0">
      <w:pPr>
        <w:spacing w:line="360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2B55376A" w14:textId="140397AF" w:rsidR="00BA6AA0" w:rsidRPr="00284EC3" w:rsidRDefault="00BA6AA0" w:rsidP="00BA6AA0">
      <w:pPr>
        <w:spacing w:line="360" w:lineRule="auto"/>
        <w:jc w:val="both"/>
        <w:rPr>
          <w:rFonts w:asciiTheme="majorBidi" w:hAnsiTheme="majorBidi" w:cstheme="majorBidi"/>
          <w:sz w:val="22"/>
          <w:szCs w:val="22"/>
        </w:rPr>
      </w:pPr>
      <w:r w:rsidRPr="00284EC3">
        <w:rPr>
          <w:rFonts w:asciiTheme="majorBidi" w:hAnsiTheme="majorBidi" w:cstheme="majorBidi"/>
          <w:sz w:val="22"/>
          <w:szCs w:val="22"/>
        </w:rPr>
        <w:fldChar w:fldCharType="begin"/>
      </w:r>
      <w:r w:rsidRPr="00284EC3">
        <w:rPr>
          <w:rFonts w:asciiTheme="majorBidi" w:hAnsiTheme="majorBidi" w:cstheme="majorBidi"/>
          <w:sz w:val="22"/>
          <w:szCs w:val="22"/>
        </w:rPr>
        <w:instrText xml:space="preserve"> REF _Ref133314921 \h  \* MERGEFORMAT </w:instrText>
      </w:r>
      <w:r w:rsidRPr="00284EC3">
        <w:rPr>
          <w:rFonts w:asciiTheme="majorBidi" w:hAnsiTheme="majorBidi" w:cstheme="majorBidi"/>
          <w:sz w:val="22"/>
          <w:szCs w:val="22"/>
        </w:rPr>
      </w:r>
      <w:r w:rsidRPr="00284EC3">
        <w:rPr>
          <w:rFonts w:asciiTheme="majorBidi" w:hAnsiTheme="majorBidi" w:cstheme="majorBidi"/>
          <w:sz w:val="22"/>
          <w:szCs w:val="22"/>
        </w:rPr>
        <w:fldChar w:fldCharType="separate"/>
      </w:r>
      <w:r w:rsidR="00443572" w:rsidRPr="00443572">
        <w:rPr>
          <w:rFonts w:asciiTheme="majorBidi" w:hAnsiTheme="majorBidi" w:cstheme="majorBidi"/>
          <w:sz w:val="22"/>
          <w:szCs w:val="22"/>
        </w:rPr>
        <w:t xml:space="preserve">Figure </w:t>
      </w:r>
      <w:r w:rsidR="00443572" w:rsidRPr="00443572">
        <w:rPr>
          <w:rFonts w:asciiTheme="majorBidi" w:hAnsiTheme="majorBidi" w:cstheme="majorBidi"/>
          <w:noProof/>
          <w:sz w:val="22"/>
          <w:szCs w:val="22"/>
        </w:rPr>
        <w:t>1</w:t>
      </w:r>
      <w:r w:rsidRPr="00284EC3">
        <w:rPr>
          <w:rFonts w:asciiTheme="majorBidi" w:hAnsiTheme="majorBidi" w:cstheme="majorBidi"/>
          <w:sz w:val="22"/>
          <w:szCs w:val="22"/>
        </w:rPr>
        <w:fldChar w:fldCharType="end"/>
      </w:r>
      <w:r w:rsidRPr="00284EC3">
        <w:rPr>
          <w:rFonts w:asciiTheme="majorBidi" w:hAnsiTheme="majorBidi" w:cstheme="majorBidi"/>
          <w:sz w:val="22"/>
          <w:szCs w:val="22"/>
        </w:rPr>
        <w:t xml:space="preserve"> A displays the results on the ROC plane. </w:t>
      </w:r>
      <w:r w:rsidRPr="00284EC3">
        <w:rPr>
          <w:rFonts w:asciiTheme="majorBidi" w:hAnsiTheme="majorBidi" w:cstheme="majorBidi"/>
          <w:sz w:val="22"/>
          <w:szCs w:val="22"/>
        </w:rPr>
        <w:fldChar w:fldCharType="begin"/>
      </w:r>
      <w:r w:rsidRPr="00284EC3">
        <w:rPr>
          <w:rFonts w:asciiTheme="majorBidi" w:hAnsiTheme="majorBidi" w:cstheme="majorBidi"/>
          <w:sz w:val="22"/>
          <w:szCs w:val="22"/>
        </w:rPr>
        <w:instrText xml:space="preserve"> REF _Ref133314921 \h  \* MERGEFORMAT </w:instrText>
      </w:r>
      <w:r w:rsidRPr="00284EC3">
        <w:rPr>
          <w:rFonts w:asciiTheme="majorBidi" w:hAnsiTheme="majorBidi" w:cstheme="majorBidi"/>
          <w:sz w:val="22"/>
          <w:szCs w:val="22"/>
        </w:rPr>
      </w:r>
      <w:r w:rsidRPr="00284EC3">
        <w:rPr>
          <w:rFonts w:asciiTheme="majorBidi" w:hAnsiTheme="majorBidi" w:cstheme="majorBidi"/>
          <w:sz w:val="22"/>
          <w:szCs w:val="22"/>
        </w:rPr>
        <w:fldChar w:fldCharType="separate"/>
      </w:r>
      <w:r w:rsidRPr="007876C2">
        <w:rPr>
          <w:rFonts w:asciiTheme="majorBidi" w:hAnsiTheme="majorBidi" w:cstheme="majorBidi"/>
          <w:sz w:val="22"/>
          <w:szCs w:val="22"/>
        </w:rPr>
        <w:t xml:space="preserve">Figure </w:t>
      </w:r>
      <w:r w:rsidRPr="007876C2">
        <w:rPr>
          <w:rFonts w:asciiTheme="majorBidi" w:hAnsiTheme="majorBidi" w:cstheme="majorBidi"/>
          <w:noProof/>
          <w:sz w:val="22"/>
          <w:szCs w:val="22"/>
        </w:rPr>
        <w:t>6</w:t>
      </w:r>
      <w:r w:rsidRPr="00284EC3">
        <w:rPr>
          <w:rFonts w:asciiTheme="majorBidi" w:hAnsiTheme="majorBidi" w:cstheme="majorBidi"/>
          <w:sz w:val="22"/>
          <w:szCs w:val="22"/>
        </w:rPr>
        <w:fldChar w:fldCharType="end"/>
      </w:r>
      <w:r w:rsidRPr="00284EC3">
        <w:rPr>
          <w:rFonts w:asciiTheme="majorBidi" w:hAnsiTheme="majorBidi" w:cstheme="majorBidi"/>
          <w:sz w:val="22"/>
          <w:szCs w:val="22"/>
        </w:rPr>
        <w:t xml:space="preserve"> B displays the sensitivity and specificity as a function of threshold. Pooled sensitivity and specificity are shown for subgroups based on population type in </w:t>
      </w:r>
      <w:r w:rsidRPr="00284EC3">
        <w:rPr>
          <w:rFonts w:asciiTheme="majorBidi" w:hAnsiTheme="majorBidi" w:cstheme="majorBidi"/>
          <w:sz w:val="22"/>
          <w:szCs w:val="22"/>
        </w:rPr>
        <w:fldChar w:fldCharType="begin"/>
      </w:r>
      <w:r w:rsidRPr="00284EC3">
        <w:rPr>
          <w:rFonts w:asciiTheme="majorBidi" w:hAnsiTheme="majorBidi" w:cstheme="majorBidi"/>
          <w:sz w:val="22"/>
          <w:szCs w:val="22"/>
        </w:rPr>
        <w:instrText xml:space="preserve"> REF _Ref133314921 \h  \* MERGEFORMAT </w:instrText>
      </w:r>
      <w:r w:rsidRPr="00284EC3">
        <w:rPr>
          <w:rFonts w:asciiTheme="majorBidi" w:hAnsiTheme="majorBidi" w:cstheme="majorBidi"/>
          <w:sz w:val="22"/>
          <w:szCs w:val="22"/>
        </w:rPr>
      </w:r>
      <w:r w:rsidRPr="00284EC3">
        <w:rPr>
          <w:rFonts w:asciiTheme="majorBidi" w:hAnsiTheme="majorBidi" w:cstheme="majorBidi"/>
          <w:sz w:val="22"/>
          <w:szCs w:val="22"/>
        </w:rPr>
        <w:fldChar w:fldCharType="separate"/>
      </w:r>
      <w:r w:rsidR="00443572" w:rsidRPr="00443572">
        <w:rPr>
          <w:rFonts w:asciiTheme="majorBidi" w:hAnsiTheme="majorBidi" w:cstheme="majorBidi"/>
          <w:sz w:val="22"/>
          <w:szCs w:val="22"/>
        </w:rPr>
        <w:t xml:space="preserve">Figure </w:t>
      </w:r>
      <w:r w:rsidR="00443572" w:rsidRPr="00443572">
        <w:rPr>
          <w:rFonts w:asciiTheme="majorBidi" w:hAnsiTheme="majorBidi" w:cstheme="majorBidi"/>
          <w:noProof/>
          <w:sz w:val="22"/>
          <w:szCs w:val="22"/>
        </w:rPr>
        <w:t>1</w:t>
      </w:r>
      <w:r w:rsidRPr="00284EC3">
        <w:rPr>
          <w:rFonts w:asciiTheme="majorBidi" w:hAnsiTheme="majorBidi" w:cstheme="majorBidi"/>
          <w:sz w:val="22"/>
          <w:szCs w:val="22"/>
        </w:rPr>
        <w:fldChar w:fldCharType="end"/>
      </w:r>
      <w:r w:rsidRPr="00284EC3">
        <w:rPr>
          <w:rFonts w:asciiTheme="majorBidi" w:hAnsiTheme="majorBidi" w:cstheme="majorBidi"/>
          <w:sz w:val="22"/>
          <w:szCs w:val="22"/>
        </w:rPr>
        <w:t xml:space="preserve"> C and </w:t>
      </w:r>
      <w:r w:rsidRPr="00284EC3">
        <w:rPr>
          <w:rFonts w:asciiTheme="majorBidi" w:hAnsiTheme="majorBidi" w:cstheme="majorBidi"/>
          <w:sz w:val="22"/>
          <w:szCs w:val="22"/>
        </w:rPr>
        <w:fldChar w:fldCharType="begin"/>
      </w:r>
      <w:r w:rsidRPr="00284EC3">
        <w:rPr>
          <w:rFonts w:asciiTheme="majorBidi" w:hAnsiTheme="majorBidi" w:cstheme="majorBidi"/>
          <w:sz w:val="22"/>
          <w:szCs w:val="22"/>
        </w:rPr>
        <w:instrText xml:space="preserve"> REF _Ref133314921 \h  \* MERGEFORMAT </w:instrText>
      </w:r>
      <w:r w:rsidRPr="00284EC3">
        <w:rPr>
          <w:rFonts w:asciiTheme="majorBidi" w:hAnsiTheme="majorBidi" w:cstheme="majorBidi"/>
          <w:sz w:val="22"/>
          <w:szCs w:val="22"/>
        </w:rPr>
      </w:r>
      <w:r w:rsidRPr="00284EC3">
        <w:rPr>
          <w:rFonts w:asciiTheme="majorBidi" w:hAnsiTheme="majorBidi" w:cstheme="majorBidi"/>
          <w:sz w:val="22"/>
          <w:szCs w:val="22"/>
        </w:rPr>
        <w:fldChar w:fldCharType="separate"/>
      </w:r>
      <w:r w:rsidRPr="007876C2">
        <w:rPr>
          <w:rFonts w:asciiTheme="majorBidi" w:hAnsiTheme="majorBidi" w:cstheme="majorBidi"/>
          <w:sz w:val="22"/>
          <w:szCs w:val="22"/>
        </w:rPr>
        <w:t xml:space="preserve">Figure </w:t>
      </w:r>
      <w:r w:rsidRPr="007876C2">
        <w:rPr>
          <w:rFonts w:asciiTheme="majorBidi" w:hAnsiTheme="majorBidi" w:cstheme="majorBidi"/>
          <w:noProof/>
          <w:sz w:val="22"/>
          <w:szCs w:val="22"/>
        </w:rPr>
        <w:t>6</w:t>
      </w:r>
      <w:r w:rsidRPr="00284EC3">
        <w:rPr>
          <w:rFonts w:asciiTheme="majorBidi" w:hAnsiTheme="majorBidi" w:cstheme="majorBidi"/>
          <w:sz w:val="22"/>
          <w:szCs w:val="22"/>
        </w:rPr>
        <w:fldChar w:fldCharType="end"/>
      </w:r>
      <w:r w:rsidRPr="00284EC3">
        <w:rPr>
          <w:rFonts w:asciiTheme="majorBidi" w:hAnsiTheme="majorBidi" w:cstheme="majorBidi"/>
          <w:sz w:val="22"/>
          <w:szCs w:val="22"/>
        </w:rPr>
        <w:t xml:space="preserve"> D, respectively. Sensitivity and specificity for specific thresholds is summarised for all population groups in </w:t>
      </w:r>
      <w:r w:rsidRPr="00284EC3">
        <w:rPr>
          <w:rFonts w:asciiTheme="majorBidi" w:hAnsiTheme="majorBidi" w:cstheme="majorBidi"/>
          <w:sz w:val="22"/>
          <w:szCs w:val="22"/>
        </w:rPr>
        <w:fldChar w:fldCharType="begin"/>
      </w:r>
      <w:r w:rsidRPr="00284EC3">
        <w:rPr>
          <w:rFonts w:asciiTheme="majorBidi" w:hAnsiTheme="majorBidi" w:cstheme="majorBidi"/>
          <w:sz w:val="22"/>
          <w:szCs w:val="22"/>
        </w:rPr>
        <w:instrText xml:space="preserve"> REF _Ref135157390 \h  \* MERGEFORMAT </w:instrText>
      </w:r>
      <w:r w:rsidRPr="00284EC3">
        <w:rPr>
          <w:rFonts w:asciiTheme="majorBidi" w:hAnsiTheme="majorBidi" w:cstheme="majorBidi"/>
          <w:sz w:val="22"/>
          <w:szCs w:val="22"/>
        </w:rPr>
      </w:r>
      <w:r w:rsidRPr="00284EC3">
        <w:rPr>
          <w:rFonts w:asciiTheme="majorBidi" w:hAnsiTheme="majorBidi" w:cstheme="majorBidi"/>
          <w:sz w:val="22"/>
          <w:szCs w:val="22"/>
        </w:rPr>
        <w:fldChar w:fldCharType="separate"/>
      </w:r>
      <w:r w:rsidR="00443572" w:rsidRPr="00443572">
        <w:rPr>
          <w:rFonts w:asciiTheme="majorBidi" w:hAnsiTheme="majorBidi" w:cstheme="majorBidi"/>
          <w:color w:val="000000" w:themeColor="text1"/>
          <w:sz w:val="22"/>
          <w:szCs w:val="22"/>
        </w:rPr>
        <w:t xml:space="preserve">Table </w:t>
      </w:r>
      <w:r w:rsidR="00443572" w:rsidRPr="00443572">
        <w:rPr>
          <w:rFonts w:asciiTheme="majorBidi" w:hAnsiTheme="majorBidi" w:cstheme="majorBidi"/>
          <w:noProof/>
          <w:color w:val="000000" w:themeColor="text1"/>
          <w:sz w:val="22"/>
          <w:szCs w:val="22"/>
        </w:rPr>
        <w:t>1</w:t>
      </w:r>
      <w:r w:rsidRPr="00284EC3">
        <w:rPr>
          <w:rFonts w:asciiTheme="majorBidi" w:hAnsiTheme="majorBidi" w:cstheme="majorBidi"/>
          <w:sz w:val="22"/>
          <w:szCs w:val="22"/>
        </w:rPr>
        <w:fldChar w:fldCharType="end"/>
      </w:r>
      <w:r w:rsidRPr="00284EC3">
        <w:rPr>
          <w:rFonts w:asciiTheme="majorBidi" w:hAnsiTheme="majorBidi" w:cstheme="majorBidi"/>
          <w:sz w:val="22"/>
          <w:szCs w:val="22"/>
        </w:rPr>
        <w:t>.</w:t>
      </w:r>
    </w:p>
    <w:p w14:paraId="7F3BAA15" w14:textId="77777777" w:rsidR="00BA6AA0" w:rsidRPr="00284EC3" w:rsidRDefault="00BA6AA0" w:rsidP="00BA6AA0">
      <w:pPr>
        <w:spacing w:line="360" w:lineRule="auto"/>
        <w:rPr>
          <w:rFonts w:asciiTheme="majorBidi" w:hAnsiTheme="majorBidi" w:cstheme="majorBidi"/>
          <w:sz w:val="22"/>
          <w:szCs w:val="22"/>
        </w:rPr>
      </w:pPr>
    </w:p>
    <w:p w14:paraId="2EF8D9E5" w14:textId="77777777" w:rsidR="00BA6AA0" w:rsidRPr="00284EC3" w:rsidRDefault="00BA6AA0" w:rsidP="00BA6AA0">
      <w:pPr>
        <w:spacing w:line="360" w:lineRule="auto"/>
        <w:jc w:val="both"/>
        <w:rPr>
          <w:rFonts w:asciiTheme="majorBidi" w:hAnsiTheme="majorBidi" w:cstheme="majorBidi"/>
          <w:sz w:val="22"/>
          <w:szCs w:val="22"/>
        </w:rPr>
      </w:pPr>
      <w:r w:rsidRPr="00284EC3">
        <w:rPr>
          <w:rFonts w:asciiTheme="majorBidi" w:hAnsiTheme="majorBidi" w:cstheme="majorBidi"/>
          <w:sz w:val="22"/>
          <w:szCs w:val="22"/>
        </w:rPr>
        <w:t xml:space="preserve">For the analysis of all studies (populations 1-4), sensitivity ranges from 94.2 (95% </w:t>
      </w:r>
      <w:proofErr w:type="spellStart"/>
      <w:r w:rsidRPr="00284EC3">
        <w:rPr>
          <w:rFonts w:asciiTheme="majorBidi" w:hAnsiTheme="majorBidi" w:cstheme="majorBidi"/>
          <w:sz w:val="22"/>
          <w:szCs w:val="22"/>
        </w:rPr>
        <w:t>CrI</w:t>
      </w:r>
      <w:proofErr w:type="spellEnd"/>
      <w:r w:rsidRPr="00284EC3">
        <w:rPr>
          <w:rFonts w:asciiTheme="majorBidi" w:hAnsiTheme="majorBidi" w:cstheme="majorBidi"/>
          <w:sz w:val="22"/>
          <w:szCs w:val="22"/>
        </w:rPr>
        <w:t xml:space="preserve">: 91.2, 96.7; 95% </w:t>
      </w:r>
      <w:proofErr w:type="spellStart"/>
      <w:r w:rsidRPr="00284EC3">
        <w:rPr>
          <w:rFonts w:asciiTheme="majorBidi" w:hAnsiTheme="majorBidi" w:cstheme="majorBidi"/>
          <w:sz w:val="22"/>
          <w:szCs w:val="22"/>
        </w:rPr>
        <w:t>PrI</w:t>
      </w:r>
      <w:proofErr w:type="spellEnd"/>
      <w:r w:rsidRPr="00284EC3">
        <w:rPr>
          <w:rFonts w:asciiTheme="majorBidi" w:hAnsiTheme="majorBidi" w:cstheme="majorBidi"/>
          <w:sz w:val="22"/>
          <w:szCs w:val="22"/>
        </w:rPr>
        <w:t xml:space="preserve">: 84.6, 99.0) at a threshold of 4, to 54.2 (95% </w:t>
      </w:r>
      <w:proofErr w:type="spellStart"/>
      <w:r w:rsidRPr="00284EC3">
        <w:rPr>
          <w:rFonts w:asciiTheme="majorBidi" w:hAnsiTheme="majorBidi" w:cstheme="majorBidi"/>
          <w:sz w:val="22"/>
          <w:szCs w:val="22"/>
        </w:rPr>
        <w:t>CrI</w:t>
      </w:r>
      <w:proofErr w:type="spellEnd"/>
      <w:r w:rsidRPr="00284EC3">
        <w:rPr>
          <w:rFonts w:asciiTheme="majorBidi" w:hAnsiTheme="majorBidi" w:cstheme="majorBidi"/>
          <w:sz w:val="22"/>
          <w:szCs w:val="22"/>
        </w:rPr>
        <w:t xml:space="preserve">: 48.4, 60.2; 95% </w:t>
      </w:r>
      <w:proofErr w:type="spellStart"/>
      <w:r w:rsidRPr="00284EC3">
        <w:rPr>
          <w:rFonts w:asciiTheme="majorBidi" w:hAnsiTheme="majorBidi" w:cstheme="majorBidi"/>
          <w:sz w:val="22"/>
          <w:szCs w:val="22"/>
        </w:rPr>
        <w:t>PrI</w:t>
      </w:r>
      <w:proofErr w:type="spellEnd"/>
      <w:r w:rsidRPr="00284EC3">
        <w:rPr>
          <w:rFonts w:asciiTheme="majorBidi" w:hAnsiTheme="majorBidi" w:cstheme="majorBidi"/>
          <w:sz w:val="22"/>
          <w:szCs w:val="22"/>
        </w:rPr>
        <w:t xml:space="preserve">: 42.2, 67.2) at a threshold of 200. Specificity ranges from 62.7 (95% </w:t>
      </w:r>
      <w:proofErr w:type="spellStart"/>
      <w:r w:rsidRPr="00284EC3">
        <w:rPr>
          <w:rFonts w:asciiTheme="majorBidi" w:hAnsiTheme="majorBidi" w:cstheme="majorBidi"/>
          <w:sz w:val="22"/>
          <w:szCs w:val="22"/>
        </w:rPr>
        <w:t>CrI</w:t>
      </w:r>
      <w:proofErr w:type="spellEnd"/>
      <w:r w:rsidRPr="00284EC3">
        <w:rPr>
          <w:rFonts w:asciiTheme="majorBidi" w:hAnsiTheme="majorBidi" w:cstheme="majorBidi"/>
          <w:sz w:val="22"/>
          <w:szCs w:val="22"/>
        </w:rPr>
        <w:t>: 47.4,</w:t>
      </w:r>
      <w:r>
        <w:rPr>
          <w:rFonts w:asciiTheme="majorBidi" w:hAnsiTheme="majorBidi" w:cstheme="majorBidi"/>
          <w:sz w:val="22"/>
          <w:szCs w:val="22"/>
        </w:rPr>
        <w:t xml:space="preserve"> </w:t>
      </w:r>
      <w:r w:rsidRPr="00284EC3">
        <w:rPr>
          <w:rFonts w:asciiTheme="majorBidi" w:hAnsiTheme="majorBidi" w:cstheme="majorBidi"/>
          <w:sz w:val="22"/>
          <w:szCs w:val="22"/>
        </w:rPr>
        <w:t xml:space="preserve">77.2; 95% </w:t>
      </w:r>
      <w:proofErr w:type="spellStart"/>
      <w:r w:rsidRPr="00284EC3">
        <w:rPr>
          <w:rFonts w:asciiTheme="majorBidi" w:hAnsiTheme="majorBidi" w:cstheme="majorBidi"/>
          <w:sz w:val="22"/>
          <w:szCs w:val="22"/>
        </w:rPr>
        <w:t>PrI</w:t>
      </w:r>
      <w:proofErr w:type="spellEnd"/>
      <w:r w:rsidRPr="00284EC3">
        <w:rPr>
          <w:rFonts w:asciiTheme="majorBidi" w:hAnsiTheme="majorBidi" w:cstheme="majorBidi"/>
          <w:sz w:val="22"/>
          <w:szCs w:val="22"/>
        </w:rPr>
        <w:t xml:space="preserve">: 12.0,97.7) at a threshold of 4, to 97.3 (95% </w:t>
      </w:r>
      <w:proofErr w:type="spellStart"/>
      <w:r w:rsidRPr="00284EC3">
        <w:rPr>
          <w:rFonts w:asciiTheme="majorBidi" w:hAnsiTheme="majorBidi" w:cstheme="majorBidi"/>
          <w:sz w:val="22"/>
          <w:szCs w:val="22"/>
        </w:rPr>
        <w:t>CrI</w:t>
      </w:r>
      <w:proofErr w:type="spellEnd"/>
      <w:r w:rsidRPr="00284EC3">
        <w:rPr>
          <w:rFonts w:asciiTheme="majorBidi" w:hAnsiTheme="majorBidi" w:cstheme="majorBidi"/>
          <w:sz w:val="22"/>
          <w:szCs w:val="22"/>
        </w:rPr>
        <w:t xml:space="preserve">: 92.9, 99.3; 95% </w:t>
      </w:r>
      <w:proofErr w:type="spellStart"/>
      <w:r w:rsidRPr="00284EC3">
        <w:rPr>
          <w:rFonts w:asciiTheme="majorBidi" w:hAnsiTheme="majorBidi" w:cstheme="majorBidi"/>
          <w:sz w:val="22"/>
          <w:szCs w:val="22"/>
        </w:rPr>
        <w:t>PrI</w:t>
      </w:r>
      <w:proofErr w:type="spellEnd"/>
      <w:r w:rsidRPr="00284EC3">
        <w:rPr>
          <w:rFonts w:asciiTheme="majorBidi" w:hAnsiTheme="majorBidi" w:cstheme="majorBidi"/>
          <w:sz w:val="22"/>
          <w:szCs w:val="22"/>
        </w:rPr>
        <w:t xml:space="preserve">: 71.9,100) at a threshold of 200.  For the analyses of subgroups by population type, the summary estimates were similar and not statistically significant based on overlap of the 95% </w:t>
      </w:r>
      <w:proofErr w:type="spellStart"/>
      <w:r w:rsidRPr="00284EC3">
        <w:rPr>
          <w:rFonts w:asciiTheme="majorBidi" w:hAnsiTheme="majorBidi" w:cstheme="majorBidi"/>
          <w:sz w:val="22"/>
          <w:szCs w:val="22"/>
        </w:rPr>
        <w:t>CrI</w:t>
      </w:r>
      <w:proofErr w:type="spellEnd"/>
      <w:r w:rsidRPr="00284EC3">
        <w:rPr>
          <w:rFonts w:asciiTheme="majorBidi" w:hAnsiTheme="majorBidi" w:cstheme="majorBidi"/>
          <w:sz w:val="22"/>
          <w:szCs w:val="22"/>
        </w:rPr>
        <w:t xml:space="preserve">. </w:t>
      </w:r>
    </w:p>
    <w:p w14:paraId="1BCC002F" w14:textId="77777777" w:rsidR="00BA6AA0" w:rsidRPr="00284EC3" w:rsidRDefault="00BA6AA0" w:rsidP="00BA6AA0">
      <w:pPr>
        <w:spacing w:line="360" w:lineRule="auto"/>
        <w:rPr>
          <w:rFonts w:asciiTheme="majorBidi" w:hAnsiTheme="majorBidi" w:cstheme="majorBidi"/>
          <w:sz w:val="22"/>
          <w:szCs w:val="22"/>
        </w:rPr>
      </w:pPr>
    </w:p>
    <w:p w14:paraId="7C2FC451" w14:textId="77777777" w:rsidR="00BA6AA0" w:rsidRPr="00284EC3" w:rsidRDefault="00BA6AA0" w:rsidP="00BA6AA0">
      <w:pPr>
        <w:spacing w:line="360" w:lineRule="auto"/>
        <w:rPr>
          <w:rFonts w:asciiTheme="majorBidi" w:hAnsiTheme="majorBidi" w:cstheme="majorBidi"/>
          <w:sz w:val="22"/>
          <w:szCs w:val="22"/>
        </w:rPr>
      </w:pPr>
    </w:p>
    <w:p w14:paraId="4F8B4EF0" w14:textId="0E53E18B" w:rsidR="00BA6AA0" w:rsidRDefault="00BA6AA0" w:rsidP="00BA6AA0">
      <w:pPr>
        <w:pStyle w:val="Caption"/>
        <w:keepNext/>
        <w:spacing w:line="360" w:lineRule="auto"/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</w:rPr>
      </w:pPr>
      <w:bookmarkStart w:id="0" w:name="_Ref133314921"/>
      <w:bookmarkStart w:id="1" w:name="_Toc143809648"/>
      <w:r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</w:rPr>
        <w:lastRenderedPageBreak/>
        <w:t xml:space="preserve">Figure </w:t>
      </w:r>
      <w:r>
        <w:fldChar w:fldCharType="begin"/>
      </w:r>
      <w:r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</w:rPr>
        <w:instrText xml:space="preserve"> SEQ Figure \* ARABIC </w:instrText>
      </w:r>
      <w:r>
        <w:fldChar w:fldCharType="separate"/>
      </w:r>
      <w:r w:rsidR="00443572">
        <w:rPr>
          <w:rFonts w:asciiTheme="majorBidi" w:hAnsiTheme="majorBidi" w:cstheme="majorBidi"/>
          <w:b/>
          <w:bCs/>
          <w:i w:val="0"/>
          <w:iCs w:val="0"/>
          <w:noProof/>
          <w:color w:val="auto"/>
          <w:sz w:val="22"/>
          <w:szCs w:val="22"/>
        </w:rPr>
        <w:t>1</w:t>
      </w:r>
      <w:r>
        <w:fldChar w:fldCharType="end"/>
      </w:r>
      <w:bookmarkEnd w:id="0"/>
      <w:r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</w:rPr>
        <w:t>:</w:t>
      </w:r>
      <w:r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</w:rPr>
        <w:tab/>
        <w:t>Observed data and summary sensitivity and specificity for OC-Sensor</w:t>
      </w:r>
      <w:bookmarkEnd w:id="1"/>
      <w:r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</w:rPr>
        <w:t xml:space="preserve"> </w:t>
      </w:r>
    </w:p>
    <w:p w14:paraId="2E601C3D" w14:textId="77777777" w:rsidR="00BA6AA0" w:rsidRDefault="00BA6AA0" w:rsidP="00BA6AA0">
      <w:pPr>
        <w:rPr>
          <w:rStyle w:val="Heading4Char"/>
          <w:bCs w:val="0"/>
          <w:iCs/>
        </w:rPr>
      </w:pPr>
      <w:r>
        <w:rPr>
          <w:rFonts w:asciiTheme="majorBidi" w:eastAsiaTheme="majorEastAsia" w:hAnsiTheme="majorBidi" w:cstheme="majorBidi"/>
          <w:iCs/>
          <w:noProof/>
        </w:rPr>
        <w:drawing>
          <wp:inline distT="0" distB="0" distL="0" distR="0" wp14:anchorId="36F12DAB" wp14:editId="5D71D282">
            <wp:extent cx="5731510" cy="4729480"/>
            <wp:effectExtent l="0" t="0" r="2540" b="0"/>
            <wp:docPr id="121" name="Picture 121" descr="A picture containing text, diagram,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A picture containing text, diagram, li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72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281BD7" w14:textId="7169E575" w:rsidR="00BA6AA0" w:rsidRDefault="00BA6AA0" w:rsidP="00BA6AA0">
      <w:pPr>
        <w:pStyle w:val="Caption"/>
        <w:keepNext/>
        <w:rPr>
          <w:rFonts w:asciiTheme="minorHAnsi" w:eastAsiaTheme="minorEastAsia" w:hAnsiTheme="minorHAnsi" w:cstheme="minorBidi"/>
          <w:b/>
          <w:bCs/>
          <w:i w:val="0"/>
          <w:color w:val="000000" w:themeColor="text1"/>
          <w:sz w:val="22"/>
          <w:szCs w:val="22"/>
        </w:rPr>
      </w:pPr>
      <w:bookmarkStart w:id="2" w:name="_Ref135157390"/>
      <w:bookmarkStart w:id="3" w:name="_Toc143809562"/>
      <w:r>
        <w:rPr>
          <w:b/>
          <w:bCs/>
          <w:i w:val="0"/>
          <w:iCs w:val="0"/>
          <w:color w:val="000000" w:themeColor="text1"/>
          <w:sz w:val="22"/>
          <w:szCs w:val="22"/>
        </w:rPr>
        <w:t xml:space="preserve">Table </w:t>
      </w:r>
      <w:r>
        <w:fldChar w:fldCharType="begin"/>
      </w:r>
      <w:r>
        <w:rPr>
          <w:b/>
          <w:bCs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>
        <w:fldChar w:fldCharType="separate"/>
      </w:r>
      <w:r w:rsidR="00443572">
        <w:rPr>
          <w:b/>
          <w:bCs/>
          <w:i w:val="0"/>
          <w:iCs w:val="0"/>
          <w:noProof/>
          <w:color w:val="000000" w:themeColor="text1"/>
          <w:sz w:val="22"/>
          <w:szCs w:val="22"/>
        </w:rPr>
        <w:t>1</w:t>
      </w:r>
      <w:r>
        <w:fldChar w:fldCharType="end"/>
      </w:r>
      <w:bookmarkEnd w:id="2"/>
      <w:r>
        <w:rPr>
          <w:b/>
          <w:bCs/>
          <w:i w:val="0"/>
          <w:iCs w:val="0"/>
          <w:color w:val="000000" w:themeColor="text1"/>
          <w:sz w:val="22"/>
          <w:szCs w:val="22"/>
        </w:rPr>
        <w:t>:</w:t>
      </w:r>
      <w:r>
        <w:rPr>
          <w:b/>
          <w:bCs/>
          <w:i w:val="0"/>
          <w:iCs w:val="0"/>
          <w:color w:val="000000" w:themeColor="text1"/>
          <w:sz w:val="22"/>
          <w:szCs w:val="22"/>
        </w:rPr>
        <w:tab/>
        <w:t>Summary sensitivity and specificity at specific thresholds for OC-Sensor</w:t>
      </w:r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3"/>
        <w:gridCol w:w="1348"/>
        <w:gridCol w:w="1347"/>
        <w:gridCol w:w="1347"/>
        <w:gridCol w:w="1347"/>
        <w:gridCol w:w="1347"/>
        <w:gridCol w:w="1347"/>
      </w:tblGrid>
      <w:tr w:rsidR="00BA6AA0" w14:paraId="71E38012" w14:textId="77777777" w:rsidTr="006B2492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C0CC1D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b/>
                <w:bCs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b/>
                <w:bCs/>
                <w:iCs/>
                <w:sz w:val="20"/>
                <w:szCs w:val="20"/>
              </w:rPr>
              <w:t>threshold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63598B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b/>
                <w:bCs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b/>
                <w:bCs/>
                <w:iCs/>
                <w:sz w:val="20"/>
                <w:szCs w:val="20"/>
              </w:rPr>
              <w:t>All studies 1-4 (S=11)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6ED746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b/>
                <w:bCs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b/>
                <w:bCs/>
                <w:iCs/>
                <w:sz w:val="20"/>
                <w:szCs w:val="20"/>
              </w:rPr>
              <w:t>All 1-3 (S=4)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4597F5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b/>
                <w:bCs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b/>
                <w:bCs/>
                <w:iCs/>
                <w:sz w:val="20"/>
                <w:szCs w:val="20"/>
              </w:rPr>
              <w:t>Population 1 (S=3)</w:t>
            </w:r>
          </w:p>
        </w:tc>
      </w:tr>
      <w:tr w:rsidR="00BA6AA0" w14:paraId="0F46A1C3" w14:textId="77777777" w:rsidTr="006B2492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52C4C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713FE5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b/>
                <w:bCs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b/>
                <w:bCs/>
                <w:iCs/>
                <w:sz w:val="20"/>
                <w:szCs w:val="20"/>
              </w:rPr>
              <w:t>sensitivity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ACF754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b/>
                <w:bCs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b/>
                <w:bCs/>
                <w:iCs/>
                <w:sz w:val="20"/>
                <w:szCs w:val="20"/>
              </w:rPr>
              <w:t>specificity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9921C4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b/>
                <w:bCs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b/>
                <w:bCs/>
                <w:iCs/>
                <w:sz w:val="20"/>
                <w:szCs w:val="20"/>
              </w:rPr>
              <w:t>sensitivity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B12448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b/>
                <w:bCs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b/>
                <w:bCs/>
                <w:iCs/>
                <w:sz w:val="20"/>
                <w:szCs w:val="20"/>
              </w:rPr>
              <w:t>specificity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C9D451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b/>
                <w:bCs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b/>
                <w:bCs/>
                <w:iCs/>
                <w:sz w:val="20"/>
                <w:szCs w:val="20"/>
              </w:rPr>
              <w:t>sensitivity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E3126C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b/>
                <w:bCs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b/>
                <w:bCs/>
                <w:iCs/>
                <w:sz w:val="20"/>
                <w:szCs w:val="20"/>
              </w:rPr>
              <w:t>specificity</w:t>
            </w:r>
          </w:p>
        </w:tc>
      </w:tr>
      <w:tr w:rsidR="00BA6AA0" w14:paraId="2B403BC0" w14:textId="77777777" w:rsidTr="006B24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B8783A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b/>
                <w:bCs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E9205C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94.2 (91.2,96.7)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8B5AB6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62.7 (47.4,77.2)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23EA88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95 (91.8,97.5)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E94B43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60.8 (42,77.9)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F8F360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95.1 (91.1,97.9)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9D7FE4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55.3 (36.3,73.5)</w:t>
            </w:r>
          </w:p>
        </w:tc>
      </w:tr>
      <w:tr w:rsidR="00BA6AA0" w14:paraId="0E9F3DB6" w14:textId="77777777" w:rsidTr="006B24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40FA35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b/>
                <w:bCs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b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CBABB5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91.8 (88.2,94.9)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86FA2C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72.3 (58.1,84.8)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384567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92.8 (88.9,96)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CB249C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72 (54.6,86)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484440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92.9 (88.2,96.7)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6EFAFA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67.6 (49.5,83.5)</w:t>
            </w:r>
          </w:p>
        </w:tc>
      </w:tr>
      <w:tr w:rsidR="00BA6AA0" w14:paraId="4AC00D18" w14:textId="77777777" w:rsidTr="006B24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0F3062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b/>
                <w:bCs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b/>
                <w:bCs/>
                <w:iCs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BFDB17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89.8 (85.9,93.3)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450A1A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77.6 (64.3,88.6)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A14DF3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90.9 (86.6,94.7)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38608E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78.1 (62.2,89.8)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DD1C67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91 (85.9,95.5)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9755B6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74.5 (57.6,88.6)</w:t>
            </w:r>
          </w:p>
        </w:tc>
      </w:tr>
      <w:tr w:rsidR="00BA6AA0" w14:paraId="5C9081C1" w14:textId="77777777" w:rsidTr="006B24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C333BA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b/>
                <w:bCs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b/>
                <w:bCs/>
                <w:iCs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A43087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84.7 (80.3,89)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E6693C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85.6 (74.5,93.6)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5FF37F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86 (80.9,90.9)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0D1AAA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87 (74.5,94.7)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C4C932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86.2 (80.2,92.3)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674A0B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84.8 (70.5,94.6)</w:t>
            </w:r>
          </w:p>
        </w:tc>
      </w:tr>
      <w:tr w:rsidR="00BA6AA0" w14:paraId="3A70EEE2" w14:textId="77777777" w:rsidTr="006B24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CEA966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b/>
                <w:bCs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b/>
                <w:bCs/>
                <w:iCs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457131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75 (70.2,80)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14350D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92.5 (84.3,97.3)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43FBCF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76.3 (70.4,82.8)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1FDDA2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93.9 (85.8,98)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867AD9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76.6 (70,84.7)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23BF5C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93 (82.4,98.2)</w:t>
            </w:r>
          </w:p>
        </w:tc>
      </w:tr>
      <w:tr w:rsidR="00BA6AA0" w14:paraId="02080AE3" w14:textId="77777777" w:rsidTr="006B24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89325D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b/>
                <w:bCs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b/>
                <w:bCs/>
                <w:iCs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5DE098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65.3 (60.2,70.7)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7DF3A6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95.5 (89.4,98.6)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F8E545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66.3 (60.2,73.9)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806A3A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96.6 (91.2,99)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77E4BF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66.8 (60.1,76.2)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8F5DA2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96.2 (88.5,99.3)</w:t>
            </w:r>
          </w:p>
        </w:tc>
      </w:tr>
      <w:tr w:rsidR="00BA6AA0" w14:paraId="3F95E054" w14:textId="77777777" w:rsidTr="006B24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9663AF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b/>
                <w:bCs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b/>
                <w:bCs/>
                <w:iCs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7AF369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62.5 (57.2,68)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D8F4E1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96.1 (90.4,98.9)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371BF4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63.4 (57.1,71.3)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382CAB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97.1 (92.3,99.2)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166B79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64 (57.2,73.6)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25C225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96.8 (89.7,99.4)</w:t>
            </w:r>
          </w:p>
        </w:tc>
      </w:tr>
      <w:tr w:rsidR="00BA6AA0" w14:paraId="5DFC8352" w14:textId="77777777" w:rsidTr="006B24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CBDD04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b/>
                <w:bCs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b/>
                <w:bCs/>
                <w:iCs/>
                <w:sz w:val="20"/>
                <w:szCs w:val="20"/>
              </w:rPr>
              <w:t>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EACEDF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58.9 (53.4,64.7)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0F3AEC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96.7 (91.6,99.1)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543798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59.7 (53.3,67.8)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E57D1D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97.7 (93.4,99.4)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FD9289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60.3 (53.4,70.2)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EB6132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97.4 (91.1,99.6)</w:t>
            </w:r>
          </w:p>
        </w:tc>
      </w:tr>
      <w:tr w:rsidR="00BA6AA0" w14:paraId="1E5279C5" w14:textId="77777777" w:rsidTr="006B24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46B78E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b/>
                <w:bCs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b/>
                <w:bCs/>
                <w:iCs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FCA977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54.2 (48.4,60.2)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FDFCC4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97.3 (92.9,99.3)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D6D06F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NR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06F503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NR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F240E4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NR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B04BA2" w14:textId="77777777" w:rsidR="00BA6AA0" w:rsidRDefault="00BA6AA0" w:rsidP="006B2492">
            <w:pP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</w:pPr>
            <w:r>
              <w:rPr>
                <w:rFonts w:asciiTheme="majorBidi" w:eastAsiaTheme="majorEastAsia" w:hAnsiTheme="majorBidi" w:cstheme="majorBidi"/>
                <w:iCs/>
                <w:sz w:val="20"/>
                <w:szCs w:val="20"/>
              </w:rPr>
              <w:t>NR</w:t>
            </w:r>
          </w:p>
        </w:tc>
      </w:tr>
    </w:tbl>
    <w:p w14:paraId="5D162E0A" w14:textId="77777777" w:rsidR="00BA6AA0" w:rsidRDefault="00BA6AA0" w:rsidP="00BA6AA0">
      <w:pPr>
        <w:rPr>
          <w:rFonts w:asciiTheme="majorBidi" w:eastAsiaTheme="majorEastAsia" w:hAnsiTheme="majorBidi" w:cstheme="majorBidi"/>
          <w:iCs/>
        </w:rPr>
      </w:pPr>
    </w:p>
    <w:p w14:paraId="0E075DF5" w14:textId="77777777" w:rsidR="00BA6AA0" w:rsidRDefault="00BA6AA0"/>
    <w:p w14:paraId="29B5768B" w14:textId="77777777" w:rsidR="00BA6AA0" w:rsidRDefault="00BA6AA0"/>
    <w:p w14:paraId="16567210" w14:textId="77777777" w:rsidR="00BA6AA0" w:rsidRPr="00BA6AA0" w:rsidRDefault="00BA6AA0" w:rsidP="00BA6AA0">
      <w:pPr>
        <w:pStyle w:val="EndNoteBibliography"/>
        <w:ind w:left="720" w:hanging="720"/>
      </w:pPr>
      <w:r>
        <w:fldChar w:fldCharType="begin"/>
      </w:r>
      <w:r>
        <w:instrText xml:space="preserve"> ADDIN EN.REFLIST </w:instrText>
      </w:r>
      <w:r>
        <w:fldChar w:fldCharType="separate"/>
      </w:r>
      <w:r w:rsidRPr="00BA6AA0">
        <w:t xml:space="preserve">1. Laszlo HE, Seward E, Ayling RM, et al. Faecal immunochemical test for patients with 'high-risk' bowel symptoms: a large prospective cohort study and updated literature review. </w:t>
      </w:r>
      <w:r w:rsidRPr="00BA6AA0">
        <w:rPr>
          <w:i/>
        </w:rPr>
        <w:t>British Journal of Cancer</w:t>
      </w:r>
      <w:r w:rsidRPr="00BA6AA0">
        <w:t xml:space="preserve"> 2022;126(5):736-43.</w:t>
      </w:r>
    </w:p>
    <w:p w14:paraId="0F516D4F" w14:textId="33887DFF" w:rsidR="00237A3D" w:rsidRDefault="00BA6AA0" w:rsidP="00BA6AA0">
      <w:r>
        <w:fldChar w:fldCharType="end"/>
      </w:r>
    </w:p>
    <w:sectPr w:rsidR="00237A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Layout" w:val="&lt;ENLayout&gt;&lt;Style&gt;BMJ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vxvsww0phazrt4ef2s6xfda5psfwe0vaf2s9&quot;&gt;DAP50FIT@sheffield.ac.uk&lt;record-ids&gt;&lt;item&gt;2722&lt;/item&gt;&lt;/record-ids&gt;&lt;/item&gt;&lt;/Libraries&gt;"/>
  </w:docVars>
  <w:rsids>
    <w:rsidRoot w:val="00BA6AA0"/>
    <w:rsid w:val="000F2AD7"/>
    <w:rsid w:val="00237A3D"/>
    <w:rsid w:val="00443572"/>
    <w:rsid w:val="0079251A"/>
    <w:rsid w:val="009B3952"/>
    <w:rsid w:val="00BA6AA0"/>
    <w:rsid w:val="00C76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3140DF"/>
  <w15:chartTrackingRefBased/>
  <w15:docId w15:val="{390CB1F0-3498-4319-AF7C-A9E8579F3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6AA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BA6AA0"/>
    <w:pPr>
      <w:keepNext/>
      <w:spacing w:line="360" w:lineRule="auto"/>
      <w:outlineLvl w:val="3"/>
    </w:pPr>
    <w:rPr>
      <w:rFonts w:asciiTheme="majorBidi" w:hAnsiTheme="majorBidi"/>
      <w:bCs/>
      <w:sz w:val="22"/>
      <w:szCs w:val="28"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BA6AA0"/>
    <w:rPr>
      <w:rFonts w:asciiTheme="majorBidi" w:eastAsia="Times New Roman" w:hAnsiTheme="majorBidi" w:cs="Times New Roman"/>
      <w:bCs/>
      <w:kern w:val="0"/>
      <w:szCs w:val="28"/>
      <w:lang w:val="x-none" w:eastAsia="x-none"/>
      <w14:ligatures w14:val="none"/>
    </w:rPr>
  </w:style>
  <w:style w:type="table" w:styleId="TableGrid">
    <w:name w:val="Table Grid"/>
    <w:basedOn w:val="TableNormal"/>
    <w:uiPriority w:val="39"/>
    <w:rsid w:val="00BA6AA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- H17,figure,Caption-FUSA,! Q,Caption Char Char Char Char,Caption Char Char Char,Caption Char Char,Table,c,Char,Fig. title,NICE Table-Figure,Bayer Caption,IB Caption,Medical Caption,PHE Caption,B Caption,Caption2,Caption - H17,Caption 3,table"/>
    <w:basedOn w:val="Normal"/>
    <w:next w:val="Normal"/>
    <w:link w:val="CaptionChar"/>
    <w:uiPriority w:val="35"/>
    <w:unhideWhenUsed/>
    <w:qFormat/>
    <w:rsid w:val="00BA6AA0"/>
    <w:pPr>
      <w:widowControl w:val="0"/>
      <w:spacing w:after="200"/>
      <w:jc w:val="both"/>
    </w:pPr>
    <w:rPr>
      <w:i/>
      <w:iCs/>
      <w:color w:val="44546A" w:themeColor="text2"/>
      <w:sz w:val="18"/>
      <w:szCs w:val="18"/>
      <w:lang w:eastAsia="zh-CN"/>
    </w:rPr>
  </w:style>
  <w:style w:type="character" w:customStyle="1" w:styleId="CaptionChar">
    <w:name w:val="Caption Char"/>
    <w:aliases w:val="- H17 Char,figure Char,Caption-FUSA Char,! Q Char,Caption Char Char Char Char Char,Caption Char Char Char Char1,Caption Char Char Char1,Table Char,c Char,Char Char,Fig. title Char,NICE Table-Figure Char,Bayer Caption Char,IB Caption Char"/>
    <w:link w:val="Caption"/>
    <w:uiPriority w:val="35"/>
    <w:locked/>
    <w:rsid w:val="00BA6AA0"/>
    <w:rPr>
      <w:rFonts w:ascii="Times New Roman" w:eastAsia="Times New Roman" w:hAnsi="Times New Roman" w:cs="Times New Roman"/>
      <w:i/>
      <w:iCs/>
      <w:color w:val="44546A" w:themeColor="text2"/>
      <w:kern w:val="0"/>
      <w:sz w:val="18"/>
      <w:szCs w:val="18"/>
      <w14:ligatures w14:val="none"/>
    </w:rPr>
  </w:style>
  <w:style w:type="paragraph" w:customStyle="1" w:styleId="EndNoteBibliographyTitle">
    <w:name w:val="EndNote Bibliography Title"/>
    <w:basedOn w:val="Normal"/>
    <w:link w:val="EndNoteBibliographyTitleChar"/>
    <w:rsid w:val="00BA6AA0"/>
    <w:pPr>
      <w:jc w:val="center"/>
    </w:pPr>
    <w:rPr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BA6AA0"/>
    <w:rPr>
      <w:rFonts w:ascii="Times New Roman" w:eastAsia="Times New Roman" w:hAnsi="Times New Roman" w:cs="Times New Roman"/>
      <w:noProof/>
      <w:kern w:val="0"/>
      <w:sz w:val="24"/>
      <w:szCs w:val="24"/>
      <w:lang w:eastAsia="en-GB"/>
      <w14:ligatures w14:val="none"/>
    </w:rPr>
  </w:style>
  <w:style w:type="paragraph" w:customStyle="1" w:styleId="EndNoteBibliography">
    <w:name w:val="EndNote Bibliography"/>
    <w:basedOn w:val="Normal"/>
    <w:link w:val="EndNoteBibliographyChar"/>
    <w:rsid w:val="00BA6AA0"/>
    <w:rPr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BA6AA0"/>
    <w:rPr>
      <w:rFonts w:ascii="Times New Roman" w:eastAsia="Times New Roman" w:hAnsi="Times New Roman" w:cs="Times New Roman"/>
      <w:noProof/>
      <w:kern w:val="0"/>
      <w:sz w:val="24"/>
      <w:szCs w:val="24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438</Words>
  <Characters>2569</Characters>
  <Application>Microsoft Office Word</Application>
  <DocSecurity>0</DocSecurity>
  <Lines>40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Sheffield</Company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Harnan</dc:creator>
  <cp:keywords/>
  <dc:description/>
  <cp:lastModifiedBy>Susan Harnan</cp:lastModifiedBy>
  <cp:revision>2</cp:revision>
  <dcterms:created xsi:type="dcterms:W3CDTF">2024-03-13T17:49:00Z</dcterms:created>
  <dcterms:modified xsi:type="dcterms:W3CDTF">2024-03-13T18:44:00Z</dcterms:modified>
</cp:coreProperties>
</file>