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6F9B7" w14:textId="5E067451" w:rsidR="00FE05D1" w:rsidRPr="00FE05D1" w:rsidRDefault="00FE05D1" w:rsidP="00FE05D1">
      <w:pPr>
        <w:pStyle w:val="Heading4"/>
        <w:rPr>
          <w:b/>
          <w:bCs w:val="0"/>
          <w:szCs w:val="22"/>
          <w:lang w:val="en-GB"/>
        </w:rPr>
      </w:pPr>
      <w:r w:rsidRPr="00FE05D1">
        <w:rPr>
          <w:b/>
          <w:bCs w:val="0"/>
          <w:szCs w:val="22"/>
        </w:rPr>
        <w:t>Statistical synthesis HM JACKarc</w:t>
      </w:r>
    </w:p>
    <w:p w14:paraId="4B29027A" w14:textId="77777777" w:rsidR="00FE05D1" w:rsidRPr="00FE05D1" w:rsidRDefault="00FE05D1" w:rsidP="00FE05D1">
      <w:pPr>
        <w:rPr>
          <w:lang w:eastAsia="x-none"/>
        </w:rPr>
      </w:pPr>
    </w:p>
    <w:p w14:paraId="2A069735" w14:textId="6F05F03F" w:rsidR="00FE05D1" w:rsidRPr="00DF1431" w:rsidRDefault="00FE05D1" w:rsidP="00FE05D1">
      <w:pPr>
        <w:spacing w:line="360" w:lineRule="auto"/>
        <w:jc w:val="both"/>
        <w:rPr>
          <w:rFonts w:asciiTheme="majorBidi" w:hAnsiTheme="majorBidi" w:cstheme="majorBidi"/>
          <w:sz w:val="22"/>
          <w:szCs w:val="22"/>
          <w:lang w:eastAsia="zh-CN"/>
        </w:rPr>
      </w:pPr>
      <w:r w:rsidRPr="00DF1431">
        <w:rPr>
          <w:rFonts w:asciiTheme="majorBidi" w:hAnsiTheme="majorBidi" w:cstheme="majorBidi"/>
          <w:sz w:val="22"/>
          <w:szCs w:val="22"/>
        </w:rPr>
        <w:t>16 studies contributed to the meta-analysis for HM JACKarc. Seven studies provided diagnostic accuracy at a single threshold and the maximum number of thresholds considered within a single study was 103. The final dataset provided a total of 151 pairs of sensitivity and specificity, at thresholds between 2 and 401</w:t>
      </w:r>
      <w:r w:rsidR="00517102">
        <w:rPr>
          <w:rFonts w:asciiTheme="majorBidi" w:hAnsiTheme="majorBidi" w:cstheme="majorBidi"/>
          <w:sz w:val="22"/>
          <w:szCs w:val="22"/>
        </w:rPr>
        <w:t xml:space="preserve"> </w:t>
      </w:r>
      <w:r w:rsidR="00517102" w:rsidRPr="00B6732A">
        <w:rPr>
          <w:rFonts w:asciiTheme="majorBidi" w:hAnsiTheme="majorBidi" w:cstheme="majorBidi"/>
        </w:rPr>
        <w:t>µg/ml</w:t>
      </w:r>
      <w:r w:rsidRPr="00DF1431">
        <w:rPr>
          <w:rFonts w:asciiTheme="majorBidi" w:hAnsiTheme="majorBidi" w:cstheme="majorBidi"/>
          <w:sz w:val="22"/>
          <w:szCs w:val="22"/>
        </w:rPr>
        <w:t>.</w:t>
      </w:r>
    </w:p>
    <w:p w14:paraId="59E388CB" w14:textId="77777777" w:rsidR="00FE05D1" w:rsidRPr="00DF1431" w:rsidRDefault="00FE05D1" w:rsidP="00FE05D1">
      <w:pPr>
        <w:spacing w:line="360" w:lineRule="auto"/>
        <w:jc w:val="both"/>
        <w:rPr>
          <w:rFonts w:asciiTheme="majorBidi" w:hAnsiTheme="majorBidi" w:cstheme="majorBidi"/>
          <w:sz w:val="22"/>
          <w:szCs w:val="22"/>
        </w:rPr>
      </w:pPr>
    </w:p>
    <w:p w14:paraId="0903CAF6" w14:textId="324D8927" w:rsidR="00FE05D1" w:rsidRPr="00DF1431" w:rsidRDefault="00FE05D1" w:rsidP="00FE05D1">
      <w:pPr>
        <w:spacing w:line="360" w:lineRule="auto"/>
        <w:jc w:val="both"/>
        <w:rPr>
          <w:rFonts w:asciiTheme="majorBidi" w:hAnsiTheme="majorBidi" w:cstheme="majorBidi"/>
          <w:sz w:val="22"/>
          <w:szCs w:val="22"/>
        </w:rPr>
      </w:pPr>
      <w:r w:rsidRPr="00DF1431">
        <w:rPr>
          <w:rFonts w:asciiTheme="majorBidi" w:hAnsiTheme="majorBidi" w:cstheme="majorBidi"/>
          <w:sz w:val="22"/>
          <w:szCs w:val="22"/>
        </w:rPr>
        <w:fldChar w:fldCharType="begin"/>
      </w:r>
      <w:r w:rsidRPr="00DF1431">
        <w:rPr>
          <w:rFonts w:asciiTheme="majorBidi" w:hAnsiTheme="majorBidi" w:cstheme="majorBidi"/>
          <w:sz w:val="22"/>
          <w:szCs w:val="22"/>
        </w:rPr>
        <w:instrText xml:space="preserve"> REF _Ref135143373 \h  \* MERGEFORMAT </w:instrText>
      </w:r>
      <w:r w:rsidRPr="00DF1431">
        <w:rPr>
          <w:rFonts w:asciiTheme="majorBidi" w:hAnsiTheme="majorBidi" w:cstheme="majorBidi"/>
          <w:sz w:val="22"/>
          <w:szCs w:val="22"/>
        </w:rPr>
      </w:r>
      <w:r w:rsidRPr="00DF1431">
        <w:rPr>
          <w:rFonts w:asciiTheme="majorBidi" w:hAnsiTheme="majorBidi" w:cstheme="majorBidi"/>
          <w:sz w:val="22"/>
          <w:szCs w:val="22"/>
        </w:rPr>
        <w:fldChar w:fldCharType="separate"/>
      </w:r>
      <w:r w:rsidR="00517102" w:rsidRPr="00517102">
        <w:rPr>
          <w:rFonts w:asciiTheme="majorBidi" w:hAnsiTheme="majorBidi" w:cstheme="majorBidi"/>
          <w:sz w:val="22"/>
          <w:szCs w:val="22"/>
        </w:rPr>
        <w:t xml:space="preserve">Figure </w:t>
      </w:r>
      <w:r w:rsidR="00517102" w:rsidRPr="00517102">
        <w:rPr>
          <w:rFonts w:asciiTheme="majorBidi" w:hAnsiTheme="majorBidi" w:cstheme="majorBidi"/>
          <w:noProof/>
          <w:sz w:val="22"/>
          <w:szCs w:val="22"/>
        </w:rPr>
        <w:t>1</w:t>
      </w:r>
      <w:r w:rsidRPr="00DF1431">
        <w:rPr>
          <w:rFonts w:asciiTheme="majorBidi" w:hAnsiTheme="majorBidi" w:cstheme="majorBidi"/>
          <w:sz w:val="22"/>
          <w:szCs w:val="22"/>
        </w:rPr>
        <w:fldChar w:fldCharType="end"/>
      </w:r>
      <w:r w:rsidRPr="00DF1431">
        <w:rPr>
          <w:rFonts w:asciiTheme="majorBidi" w:hAnsiTheme="majorBidi" w:cstheme="majorBidi"/>
          <w:sz w:val="22"/>
          <w:szCs w:val="22"/>
        </w:rPr>
        <w:t xml:space="preserve"> A displays the results on the ROC plane. Observations from the same study are joined. </w:t>
      </w:r>
      <w:r w:rsidRPr="00DF1431">
        <w:rPr>
          <w:rFonts w:asciiTheme="majorBidi" w:hAnsiTheme="majorBidi" w:cstheme="majorBidi"/>
          <w:sz w:val="22"/>
          <w:szCs w:val="22"/>
        </w:rPr>
        <w:fldChar w:fldCharType="begin"/>
      </w:r>
      <w:r w:rsidRPr="00DF1431">
        <w:rPr>
          <w:rFonts w:asciiTheme="majorBidi" w:hAnsiTheme="majorBidi" w:cstheme="majorBidi"/>
          <w:sz w:val="22"/>
          <w:szCs w:val="22"/>
        </w:rPr>
        <w:instrText xml:space="preserve"> REF _Ref135143373 \h  \* MERGEFORMAT </w:instrText>
      </w:r>
      <w:r w:rsidRPr="00DF1431">
        <w:rPr>
          <w:rFonts w:asciiTheme="majorBidi" w:hAnsiTheme="majorBidi" w:cstheme="majorBidi"/>
          <w:sz w:val="22"/>
          <w:szCs w:val="22"/>
        </w:rPr>
      </w:r>
      <w:r w:rsidRPr="00DF1431">
        <w:rPr>
          <w:rFonts w:asciiTheme="majorBidi" w:hAnsiTheme="majorBidi" w:cstheme="majorBidi"/>
          <w:sz w:val="22"/>
          <w:szCs w:val="22"/>
        </w:rPr>
        <w:fldChar w:fldCharType="separate"/>
      </w:r>
      <w:r w:rsidR="001E51A9" w:rsidRPr="001E51A9">
        <w:rPr>
          <w:rFonts w:asciiTheme="majorBidi" w:hAnsiTheme="majorBidi" w:cstheme="majorBidi"/>
          <w:sz w:val="22"/>
          <w:szCs w:val="22"/>
        </w:rPr>
        <w:t xml:space="preserve">Figure </w:t>
      </w:r>
      <w:r w:rsidR="001E51A9" w:rsidRPr="001E51A9">
        <w:rPr>
          <w:rFonts w:asciiTheme="majorBidi" w:hAnsiTheme="majorBidi" w:cstheme="majorBidi"/>
          <w:noProof/>
          <w:sz w:val="22"/>
          <w:szCs w:val="22"/>
        </w:rPr>
        <w:t>1</w:t>
      </w:r>
      <w:r w:rsidRPr="00DF1431">
        <w:rPr>
          <w:rFonts w:asciiTheme="majorBidi" w:hAnsiTheme="majorBidi" w:cstheme="majorBidi"/>
          <w:sz w:val="22"/>
          <w:szCs w:val="22"/>
        </w:rPr>
        <w:fldChar w:fldCharType="end"/>
      </w:r>
      <w:r w:rsidRPr="00DF1431">
        <w:rPr>
          <w:rFonts w:asciiTheme="majorBidi" w:hAnsiTheme="majorBidi" w:cstheme="majorBidi"/>
          <w:sz w:val="22"/>
          <w:szCs w:val="22"/>
        </w:rPr>
        <w:t xml:space="preserve"> B displays the sensitivity and specificity as a function of threshold. Pooled sensitivity and specificity are shown for subgroups based on population type in </w:t>
      </w:r>
      <w:r w:rsidRPr="00DF1431">
        <w:rPr>
          <w:rFonts w:asciiTheme="majorBidi" w:hAnsiTheme="majorBidi" w:cstheme="majorBidi"/>
          <w:sz w:val="22"/>
          <w:szCs w:val="22"/>
        </w:rPr>
        <w:fldChar w:fldCharType="begin"/>
      </w:r>
      <w:r w:rsidRPr="00DF1431">
        <w:rPr>
          <w:rFonts w:asciiTheme="majorBidi" w:hAnsiTheme="majorBidi" w:cstheme="majorBidi"/>
          <w:sz w:val="22"/>
          <w:szCs w:val="22"/>
        </w:rPr>
        <w:instrText xml:space="preserve"> REF _Ref135143373 \h  \* MERGEFORMAT </w:instrText>
      </w:r>
      <w:r w:rsidRPr="00DF1431">
        <w:rPr>
          <w:rFonts w:asciiTheme="majorBidi" w:hAnsiTheme="majorBidi" w:cstheme="majorBidi"/>
          <w:sz w:val="22"/>
          <w:szCs w:val="22"/>
        </w:rPr>
      </w:r>
      <w:r w:rsidRPr="00DF1431">
        <w:rPr>
          <w:rFonts w:asciiTheme="majorBidi" w:hAnsiTheme="majorBidi" w:cstheme="majorBidi"/>
          <w:sz w:val="22"/>
          <w:szCs w:val="22"/>
        </w:rPr>
        <w:fldChar w:fldCharType="separate"/>
      </w:r>
      <w:r w:rsidRPr="007876C2">
        <w:rPr>
          <w:rFonts w:asciiTheme="majorBidi" w:hAnsiTheme="majorBidi" w:cstheme="majorBidi"/>
          <w:sz w:val="22"/>
          <w:szCs w:val="22"/>
        </w:rPr>
        <w:t xml:space="preserve">Figure </w:t>
      </w:r>
      <w:r w:rsidRPr="007876C2">
        <w:rPr>
          <w:rFonts w:asciiTheme="majorBidi" w:hAnsiTheme="majorBidi" w:cstheme="majorBidi"/>
          <w:noProof/>
          <w:sz w:val="22"/>
          <w:szCs w:val="22"/>
        </w:rPr>
        <w:t>5</w:t>
      </w:r>
      <w:r w:rsidRPr="00DF1431">
        <w:rPr>
          <w:rFonts w:asciiTheme="majorBidi" w:hAnsiTheme="majorBidi" w:cstheme="majorBidi"/>
          <w:sz w:val="22"/>
          <w:szCs w:val="22"/>
        </w:rPr>
        <w:fldChar w:fldCharType="end"/>
      </w:r>
      <w:r w:rsidRPr="00DF1431">
        <w:rPr>
          <w:rFonts w:asciiTheme="majorBidi" w:hAnsiTheme="majorBidi" w:cstheme="majorBidi"/>
          <w:sz w:val="22"/>
          <w:szCs w:val="22"/>
        </w:rPr>
        <w:t xml:space="preserve"> C and </w:t>
      </w:r>
      <w:r w:rsidRPr="00DF1431">
        <w:rPr>
          <w:rFonts w:asciiTheme="majorBidi" w:hAnsiTheme="majorBidi" w:cstheme="majorBidi"/>
          <w:sz w:val="22"/>
          <w:szCs w:val="22"/>
        </w:rPr>
        <w:fldChar w:fldCharType="begin"/>
      </w:r>
      <w:r w:rsidRPr="00DF1431">
        <w:rPr>
          <w:rFonts w:asciiTheme="majorBidi" w:hAnsiTheme="majorBidi" w:cstheme="majorBidi"/>
          <w:sz w:val="22"/>
          <w:szCs w:val="22"/>
        </w:rPr>
        <w:instrText xml:space="preserve"> REF _Ref135143373 \h  \* MERGEFORMAT </w:instrText>
      </w:r>
      <w:r w:rsidRPr="00DF1431">
        <w:rPr>
          <w:rFonts w:asciiTheme="majorBidi" w:hAnsiTheme="majorBidi" w:cstheme="majorBidi"/>
          <w:sz w:val="22"/>
          <w:szCs w:val="22"/>
        </w:rPr>
      </w:r>
      <w:r w:rsidRPr="00DF1431">
        <w:rPr>
          <w:rFonts w:asciiTheme="majorBidi" w:hAnsiTheme="majorBidi" w:cstheme="majorBidi"/>
          <w:sz w:val="22"/>
          <w:szCs w:val="22"/>
        </w:rPr>
        <w:fldChar w:fldCharType="separate"/>
      </w:r>
      <w:r w:rsidRPr="007876C2">
        <w:rPr>
          <w:rFonts w:asciiTheme="majorBidi" w:hAnsiTheme="majorBidi" w:cstheme="majorBidi"/>
          <w:sz w:val="22"/>
          <w:szCs w:val="22"/>
        </w:rPr>
        <w:t xml:space="preserve">Figure </w:t>
      </w:r>
      <w:r w:rsidRPr="007876C2">
        <w:rPr>
          <w:rFonts w:asciiTheme="majorBidi" w:hAnsiTheme="majorBidi" w:cstheme="majorBidi"/>
          <w:noProof/>
          <w:sz w:val="22"/>
          <w:szCs w:val="22"/>
        </w:rPr>
        <w:t>5</w:t>
      </w:r>
      <w:r w:rsidRPr="00DF1431">
        <w:rPr>
          <w:rFonts w:asciiTheme="majorBidi" w:hAnsiTheme="majorBidi" w:cstheme="majorBidi"/>
          <w:sz w:val="22"/>
          <w:szCs w:val="22"/>
        </w:rPr>
        <w:fldChar w:fldCharType="end"/>
      </w:r>
      <w:r w:rsidRPr="00DF1431">
        <w:rPr>
          <w:rFonts w:asciiTheme="majorBidi" w:hAnsiTheme="majorBidi" w:cstheme="majorBidi"/>
          <w:sz w:val="22"/>
          <w:szCs w:val="22"/>
        </w:rPr>
        <w:t xml:space="preserve"> D, respectively. Sensitivity and specificity for specific thresholds is summarised for all population groups in </w:t>
      </w:r>
      <w:r w:rsidRPr="00DF1431">
        <w:rPr>
          <w:rFonts w:asciiTheme="majorBidi" w:hAnsiTheme="majorBidi" w:cstheme="majorBidi"/>
          <w:sz w:val="22"/>
          <w:szCs w:val="22"/>
        </w:rPr>
        <w:fldChar w:fldCharType="begin"/>
      </w:r>
      <w:r w:rsidRPr="00DF1431">
        <w:rPr>
          <w:rFonts w:asciiTheme="majorBidi" w:hAnsiTheme="majorBidi" w:cstheme="majorBidi"/>
          <w:sz w:val="22"/>
          <w:szCs w:val="22"/>
        </w:rPr>
        <w:instrText xml:space="preserve"> REF _Ref135143591 \h  \* MERGEFORMAT </w:instrText>
      </w:r>
      <w:r w:rsidRPr="00DF1431">
        <w:rPr>
          <w:rFonts w:asciiTheme="majorBidi" w:hAnsiTheme="majorBidi" w:cstheme="majorBidi"/>
          <w:sz w:val="22"/>
          <w:szCs w:val="22"/>
        </w:rPr>
      </w:r>
      <w:r w:rsidRPr="00DF1431">
        <w:rPr>
          <w:rFonts w:asciiTheme="majorBidi" w:hAnsiTheme="majorBidi" w:cstheme="majorBidi"/>
          <w:sz w:val="22"/>
          <w:szCs w:val="22"/>
        </w:rPr>
        <w:fldChar w:fldCharType="separate"/>
      </w:r>
      <w:r w:rsidR="00517102" w:rsidRPr="00517102">
        <w:rPr>
          <w:rFonts w:asciiTheme="majorBidi" w:hAnsiTheme="majorBidi" w:cstheme="majorBidi"/>
          <w:sz w:val="22"/>
          <w:szCs w:val="22"/>
        </w:rPr>
        <w:t xml:space="preserve">Table </w:t>
      </w:r>
      <w:r w:rsidR="00517102" w:rsidRPr="00517102">
        <w:rPr>
          <w:rFonts w:asciiTheme="majorBidi" w:hAnsiTheme="majorBidi" w:cstheme="majorBidi"/>
          <w:noProof/>
          <w:sz w:val="22"/>
          <w:szCs w:val="22"/>
        </w:rPr>
        <w:t>1</w:t>
      </w:r>
      <w:r w:rsidRPr="00DF1431">
        <w:rPr>
          <w:rFonts w:asciiTheme="majorBidi" w:hAnsiTheme="majorBidi" w:cstheme="majorBidi"/>
          <w:sz w:val="22"/>
          <w:szCs w:val="22"/>
        </w:rPr>
        <w:fldChar w:fldCharType="end"/>
      </w:r>
      <w:r w:rsidRPr="00DF1431">
        <w:rPr>
          <w:rFonts w:asciiTheme="majorBidi" w:hAnsiTheme="majorBidi" w:cstheme="majorBidi"/>
          <w:sz w:val="22"/>
          <w:szCs w:val="22"/>
        </w:rPr>
        <w:t xml:space="preserve">. </w:t>
      </w:r>
    </w:p>
    <w:p w14:paraId="718DF277" w14:textId="77777777" w:rsidR="00FE05D1" w:rsidRPr="00DF1431" w:rsidRDefault="00FE05D1" w:rsidP="00FE05D1">
      <w:pPr>
        <w:spacing w:line="360" w:lineRule="auto"/>
        <w:jc w:val="both"/>
        <w:rPr>
          <w:rFonts w:asciiTheme="majorBidi" w:hAnsiTheme="majorBidi" w:cstheme="majorBidi"/>
          <w:sz w:val="22"/>
          <w:szCs w:val="22"/>
        </w:rPr>
      </w:pPr>
    </w:p>
    <w:p w14:paraId="6D9BBAC9" w14:textId="77777777" w:rsidR="00FE05D1" w:rsidRPr="00DF1431" w:rsidRDefault="00FE05D1" w:rsidP="00FE05D1">
      <w:pPr>
        <w:spacing w:line="360" w:lineRule="auto"/>
        <w:jc w:val="both"/>
        <w:rPr>
          <w:rFonts w:asciiTheme="majorBidi" w:hAnsiTheme="majorBidi" w:cstheme="majorBidi"/>
          <w:sz w:val="22"/>
          <w:szCs w:val="22"/>
        </w:rPr>
      </w:pPr>
      <w:r w:rsidRPr="00DF1431">
        <w:rPr>
          <w:rFonts w:asciiTheme="majorBidi" w:hAnsiTheme="majorBidi" w:cstheme="majorBidi"/>
          <w:sz w:val="22"/>
          <w:szCs w:val="22"/>
        </w:rPr>
        <w:t xml:space="preserve">For the analysis of all studies (populations 1-4), sensitivity ranges from 95.9 (95% </w:t>
      </w:r>
      <w:proofErr w:type="spellStart"/>
      <w:r w:rsidRPr="00DF1431">
        <w:rPr>
          <w:rFonts w:asciiTheme="majorBidi" w:hAnsiTheme="majorBidi" w:cstheme="majorBidi"/>
          <w:sz w:val="22"/>
          <w:szCs w:val="22"/>
        </w:rPr>
        <w:t>CrI</w:t>
      </w:r>
      <w:proofErr w:type="spellEnd"/>
      <w:r w:rsidRPr="00DF1431">
        <w:rPr>
          <w:rFonts w:asciiTheme="majorBidi" w:hAnsiTheme="majorBidi" w:cstheme="majorBidi"/>
          <w:sz w:val="22"/>
          <w:szCs w:val="22"/>
        </w:rPr>
        <w:t xml:space="preserve">: 92.7, 97.9; 95% </w:t>
      </w:r>
      <w:proofErr w:type="spellStart"/>
      <w:r w:rsidRPr="00DF1431">
        <w:rPr>
          <w:rFonts w:asciiTheme="majorBidi" w:hAnsiTheme="majorBidi" w:cstheme="majorBidi"/>
          <w:sz w:val="22"/>
          <w:szCs w:val="22"/>
        </w:rPr>
        <w:t>PrI</w:t>
      </w:r>
      <w:proofErr w:type="spellEnd"/>
      <w:r w:rsidRPr="00DF1431">
        <w:rPr>
          <w:rFonts w:asciiTheme="majorBidi" w:hAnsiTheme="majorBidi" w:cstheme="majorBidi"/>
          <w:sz w:val="22"/>
          <w:szCs w:val="22"/>
        </w:rPr>
        <w:t xml:space="preserve">: 81.4, 99.8) at a threshold of 2, to 46.3 (95% </w:t>
      </w:r>
      <w:proofErr w:type="spellStart"/>
      <w:r w:rsidRPr="00DF1431">
        <w:rPr>
          <w:rFonts w:asciiTheme="majorBidi" w:hAnsiTheme="majorBidi" w:cstheme="majorBidi"/>
          <w:sz w:val="22"/>
          <w:szCs w:val="22"/>
        </w:rPr>
        <w:t>CrI</w:t>
      </w:r>
      <w:proofErr w:type="spellEnd"/>
      <w:r w:rsidRPr="00DF1431">
        <w:rPr>
          <w:rFonts w:asciiTheme="majorBidi" w:hAnsiTheme="majorBidi" w:cstheme="majorBidi"/>
          <w:sz w:val="22"/>
          <w:szCs w:val="22"/>
        </w:rPr>
        <w:t xml:space="preserve">: 37.4, 54.9; 95% </w:t>
      </w:r>
      <w:proofErr w:type="spellStart"/>
      <w:r w:rsidRPr="00DF1431">
        <w:rPr>
          <w:rFonts w:asciiTheme="majorBidi" w:hAnsiTheme="majorBidi" w:cstheme="majorBidi"/>
          <w:sz w:val="22"/>
          <w:szCs w:val="22"/>
        </w:rPr>
        <w:t>PrI</w:t>
      </w:r>
      <w:proofErr w:type="spellEnd"/>
      <w:r w:rsidRPr="00DF1431">
        <w:rPr>
          <w:rFonts w:asciiTheme="majorBidi" w:hAnsiTheme="majorBidi" w:cstheme="majorBidi"/>
          <w:sz w:val="22"/>
          <w:szCs w:val="22"/>
        </w:rPr>
        <w:t xml:space="preserve">: 21.9, 70.2) at a threshold of 400. Specificity ranges from 65.1 (95% </w:t>
      </w:r>
      <w:proofErr w:type="spellStart"/>
      <w:r w:rsidRPr="00DF1431">
        <w:rPr>
          <w:rFonts w:asciiTheme="majorBidi" w:hAnsiTheme="majorBidi" w:cstheme="majorBidi"/>
          <w:sz w:val="22"/>
          <w:szCs w:val="22"/>
        </w:rPr>
        <w:t>CrI</w:t>
      </w:r>
      <w:proofErr w:type="spellEnd"/>
      <w:r w:rsidRPr="00DF1431">
        <w:rPr>
          <w:rFonts w:asciiTheme="majorBidi" w:hAnsiTheme="majorBidi" w:cstheme="majorBidi"/>
          <w:sz w:val="22"/>
          <w:szCs w:val="22"/>
        </w:rPr>
        <w:t xml:space="preserve">: 55.6, 74.8; 95% </w:t>
      </w:r>
      <w:proofErr w:type="spellStart"/>
      <w:r w:rsidRPr="00DF1431">
        <w:rPr>
          <w:rFonts w:asciiTheme="majorBidi" w:hAnsiTheme="majorBidi" w:cstheme="majorBidi"/>
          <w:sz w:val="22"/>
          <w:szCs w:val="22"/>
        </w:rPr>
        <w:t>PrI</w:t>
      </w:r>
      <w:proofErr w:type="spellEnd"/>
      <w:r w:rsidRPr="00DF1431">
        <w:rPr>
          <w:rFonts w:asciiTheme="majorBidi" w:hAnsiTheme="majorBidi" w:cstheme="majorBidi"/>
          <w:sz w:val="22"/>
          <w:szCs w:val="22"/>
        </w:rPr>
        <w:t xml:space="preserve">: 30.3,96.7) at a threshold of 2, to 97.7 (95% </w:t>
      </w:r>
      <w:proofErr w:type="spellStart"/>
      <w:r w:rsidRPr="00DF1431">
        <w:rPr>
          <w:rFonts w:asciiTheme="majorBidi" w:hAnsiTheme="majorBidi" w:cstheme="majorBidi"/>
          <w:sz w:val="22"/>
          <w:szCs w:val="22"/>
        </w:rPr>
        <w:t>CrI</w:t>
      </w:r>
      <w:proofErr w:type="spellEnd"/>
      <w:r w:rsidRPr="00DF1431">
        <w:rPr>
          <w:rFonts w:asciiTheme="majorBidi" w:hAnsiTheme="majorBidi" w:cstheme="majorBidi"/>
          <w:sz w:val="22"/>
          <w:szCs w:val="22"/>
        </w:rPr>
        <w:t>: 94.7,</w:t>
      </w:r>
      <w:r>
        <w:rPr>
          <w:rFonts w:asciiTheme="majorBidi" w:hAnsiTheme="majorBidi" w:cstheme="majorBidi"/>
          <w:sz w:val="22"/>
          <w:szCs w:val="22"/>
        </w:rPr>
        <w:t xml:space="preserve"> </w:t>
      </w:r>
      <w:r w:rsidRPr="00DF1431">
        <w:rPr>
          <w:rFonts w:asciiTheme="majorBidi" w:hAnsiTheme="majorBidi" w:cstheme="majorBidi"/>
          <w:sz w:val="22"/>
          <w:szCs w:val="22"/>
        </w:rPr>
        <w:t xml:space="preserve">99.2; 95% </w:t>
      </w:r>
      <w:proofErr w:type="spellStart"/>
      <w:r w:rsidRPr="00DF1431">
        <w:rPr>
          <w:rFonts w:asciiTheme="majorBidi" w:hAnsiTheme="majorBidi" w:cstheme="majorBidi"/>
          <w:sz w:val="22"/>
          <w:szCs w:val="22"/>
        </w:rPr>
        <w:t>PrI</w:t>
      </w:r>
      <w:proofErr w:type="spellEnd"/>
      <w:r w:rsidRPr="00DF1431">
        <w:rPr>
          <w:rFonts w:asciiTheme="majorBidi" w:hAnsiTheme="majorBidi" w:cstheme="majorBidi"/>
          <w:sz w:val="22"/>
          <w:szCs w:val="22"/>
        </w:rPr>
        <w:t xml:space="preserve">: 78.1,100).  For the analyses of subgroups by population type, the summary estimates were similar and not statistically significant based on overlap of the 95% </w:t>
      </w:r>
      <w:proofErr w:type="spellStart"/>
      <w:r w:rsidRPr="00DF1431">
        <w:rPr>
          <w:rFonts w:asciiTheme="majorBidi" w:hAnsiTheme="majorBidi" w:cstheme="majorBidi"/>
          <w:sz w:val="22"/>
          <w:szCs w:val="22"/>
        </w:rPr>
        <w:t>CrI</w:t>
      </w:r>
      <w:proofErr w:type="spellEnd"/>
      <w:r w:rsidRPr="00DF1431">
        <w:rPr>
          <w:rFonts w:asciiTheme="majorBidi" w:hAnsiTheme="majorBidi" w:cstheme="majorBidi"/>
          <w:sz w:val="22"/>
          <w:szCs w:val="22"/>
        </w:rPr>
        <w:t>. The summary sensitivity and specificity for population 3 are higher than for the other considered subgroups, however this analysis was based on only two studies that contributed data at two thresholds (2 and 10). There is therefore considerable uncertainty in the pooled estimates and these should be interpreted with caution.</w:t>
      </w:r>
    </w:p>
    <w:p w14:paraId="0A599F18" w14:textId="77777777" w:rsidR="00FE05D1" w:rsidRPr="00DF1431" w:rsidRDefault="00FE05D1" w:rsidP="00FE05D1">
      <w:pPr>
        <w:spacing w:line="360" w:lineRule="auto"/>
        <w:rPr>
          <w:rFonts w:asciiTheme="majorBidi" w:hAnsiTheme="majorBidi" w:cstheme="majorBidi"/>
          <w:sz w:val="22"/>
          <w:szCs w:val="22"/>
        </w:rPr>
      </w:pPr>
    </w:p>
    <w:p w14:paraId="2B3908C1" w14:textId="14D4D27F" w:rsidR="00FE05D1" w:rsidRPr="00DF1431" w:rsidRDefault="00FE05D1" w:rsidP="00FE05D1">
      <w:pPr>
        <w:pStyle w:val="Caption"/>
        <w:keepNext/>
        <w:spacing w:after="0" w:line="360" w:lineRule="auto"/>
        <w:rPr>
          <w:rFonts w:asciiTheme="majorBidi" w:hAnsiTheme="majorBidi" w:cstheme="majorBidi"/>
          <w:b/>
          <w:bCs/>
          <w:i w:val="0"/>
          <w:iCs w:val="0"/>
          <w:color w:val="auto"/>
          <w:sz w:val="22"/>
          <w:szCs w:val="22"/>
        </w:rPr>
      </w:pPr>
      <w:bookmarkStart w:id="0" w:name="_Ref135143373"/>
      <w:bookmarkStart w:id="1" w:name="_Toc143809647"/>
      <w:r w:rsidRPr="00DF1431">
        <w:rPr>
          <w:rFonts w:asciiTheme="majorBidi" w:hAnsiTheme="majorBidi" w:cstheme="majorBidi"/>
          <w:b/>
          <w:bCs/>
          <w:i w:val="0"/>
          <w:iCs w:val="0"/>
          <w:color w:val="auto"/>
          <w:sz w:val="22"/>
          <w:szCs w:val="22"/>
        </w:rPr>
        <w:t xml:space="preserve">Figure </w:t>
      </w:r>
      <w:r w:rsidRPr="00DF1431">
        <w:rPr>
          <w:sz w:val="22"/>
          <w:szCs w:val="22"/>
        </w:rPr>
        <w:fldChar w:fldCharType="begin"/>
      </w:r>
      <w:r w:rsidRPr="00DF1431">
        <w:rPr>
          <w:rFonts w:asciiTheme="majorBidi" w:hAnsiTheme="majorBidi" w:cstheme="majorBidi"/>
          <w:b/>
          <w:bCs/>
          <w:i w:val="0"/>
          <w:iCs w:val="0"/>
          <w:color w:val="auto"/>
          <w:sz w:val="22"/>
          <w:szCs w:val="22"/>
        </w:rPr>
        <w:instrText xml:space="preserve"> SEQ Figure \* ARABIC </w:instrText>
      </w:r>
      <w:r w:rsidRPr="00DF1431">
        <w:rPr>
          <w:sz w:val="22"/>
          <w:szCs w:val="22"/>
        </w:rPr>
        <w:fldChar w:fldCharType="separate"/>
      </w:r>
      <w:r w:rsidR="00517102">
        <w:rPr>
          <w:rFonts w:asciiTheme="majorBidi" w:hAnsiTheme="majorBidi" w:cstheme="majorBidi"/>
          <w:b/>
          <w:bCs/>
          <w:i w:val="0"/>
          <w:iCs w:val="0"/>
          <w:noProof/>
          <w:color w:val="auto"/>
          <w:sz w:val="22"/>
          <w:szCs w:val="22"/>
        </w:rPr>
        <w:t>1</w:t>
      </w:r>
      <w:r w:rsidRPr="00DF1431">
        <w:rPr>
          <w:sz w:val="22"/>
          <w:szCs w:val="22"/>
        </w:rPr>
        <w:fldChar w:fldCharType="end"/>
      </w:r>
      <w:bookmarkEnd w:id="0"/>
      <w:r w:rsidRPr="00DF1431">
        <w:rPr>
          <w:rFonts w:asciiTheme="majorBidi" w:hAnsiTheme="majorBidi" w:cstheme="majorBidi"/>
          <w:b/>
          <w:bCs/>
          <w:i w:val="0"/>
          <w:iCs w:val="0"/>
          <w:color w:val="auto"/>
          <w:sz w:val="22"/>
          <w:szCs w:val="22"/>
        </w:rPr>
        <w:t>:</w:t>
      </w:r>
      <w:r w:rsidRPr="00DF1431">
        <w:rPr>
          <w:rFonts w:asciiTheme="majorBidi" w:hAnsiTheme="majorBidi" w:cstheme="majorBidi"/>
          <w:b/>
          <w:bCs/>
          <w:i w:val="0"/>
          <w:iCs w:val="0"/>
          <w:color w:val="auto"/>
          <w:sz w:val="22"/>
          <w:szCs w:val="22"/>
        </w:rPr>
        <w:tab/>
        <w:t>Observed data and summary sensitivity and specificity for HM JACKarc</w:t>
      </w:r>
      <w:bookmarkEnd w:id="1"/>
    </w:p>
    <w:p w14:paraId="46118DF5" w14:textId="77777777" w:rsidR="00FE05D1" w:rsidRDefault="00FE05D1" w:rsidP="00FE05D1">
      <w:pPr>
        <w:spacing w:line="360" w:lineRule="auto"/>
        <w:rPr>
          <w:rFonts w:asciiTheme="majorBidi" w:hAnsiTheme="majorBidi" w:cstheme="majorBidi"/>
          <w:sz w:val="22"/>
          <w:szCs w:val="22"/>
        </w:rPr>
      </w:pPr>
      <w:r>
        <w:rPr>
          <w:rFonts w:asciiTheme="majorBidi" w:hAnsiTheme="majorBidi" w:cstheme="majorBidi"/>
          <w:noProof/>
        </w:rPr>
        <w:drawing>
          <wp:inline distT="0" distB="0" distL="0" distR="0" wp14:anchorId="0B378E3E" wp14:editId="6D58A874">
            <wp:extent cx="5730875" cy="4742180"/>
            <wp:effectExtent l="0" t="0" r="3175" b="1270"/>
            <wp:docPr id="4" name="Picture 4" descr="A picture containing text, diagram, screensho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text, diagram, screenshot, line&#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0875" cy="4742180"/>
                    </a:xfrm>
                    <a:prstGeom prst="rect">
                      <a:avLst/>
                    </a:prstGeom>
                    <a:noFill/>
                    <a:ln>
                      <a:noFill/>
                    </a:ln>
                  </pic:spPr>
                </pic:pic>
              </a:graphicData>
            </a:graphic>
          </wp:inline>
        </w:drawing>
      </w:r>
    </w:p>
    <w:p w14:paraId="2A7FD289" w14:textId="77777777" w:rsidR="00FE05D1" w:rsidRDefault="00FE05D1" w:rsidP="00FE05D1">
      <w:pPr>
        <w:spacing w:line="360" w:lineRule="auto"/>
        <w:jc w:val="both"/>
        <w:rPr>
          <w:rFonts w:asciiTheme="majorBidi" w:hAnsiTheme="majorBidi" w:cstheme="majorBidi"/>
        </w:rPr>
      </w:pPr>
      <w:r>
        <w:rPr>
          <w:rFonts w:asciiTheme="majorBidi" w:hAnsiTheme="majorBidi" w:cstheme="majorBidi"/>
          <w:sz w:val="20"/>
          <w:szCs w:val="20"/>
        </w:rPr>
        <w:t>95% credible intervals and predictive intervals for summary sensitivity are shown by the dark and light red regions. 95% credible and predictive intervals for summary specificity are shown by the dark and light blue regions</w:t>
      </w:r>
      <w:r>
        <w:rPr>
          <w:rFonts w:asciiTheme="majorBidi" w:hAnsiTheme="majorBidi" w:cstheme="majorBidi"/>
        </w:rPr>
        <w:t xml:space="preserve">. </w:t>
      </w:r>
    </w:p>
    <w:p w14:paraId="04BCA625" w14:textId="77777777" w:rsidR="00FE05D1" w:rsidRDefault="00FE05D1" w:rsidP="00FE05D1">
      <w:pPr>
        <w:spacing w:line="360" w:lineRule="auto"/>
        <w:rPr>
          <w:rFonts w:asciiTheme="majorBidi" w:hAnsiTheme="majorBidi" w:cstheme="majorBidi"/>
        </w:rPr>
        <w:sectPr w:rsidR="00FE05D1">
          <w:pgSz w:w="11906" w:h="16838"/>
          <w:pgMar w:top="1440" w:right="1440" w:bottom="1440" w:left="1440" w:header="708" w:footer="708" w:gutter="0"/>
          <w:cols w:space="720"/>
        </w:sectPr>
      </w:pPr>
    </w:p>
    <w:p w14:paraId="543E7AC9" w14:textId="732D3E0F" w:rsidR="00FE05D1" w:rsidRDefault="00FE05D1" w:rsidP="00FE05D1">
      <w:pPr>
        <w:pStyle w:val="Caption"/>
        <w:keepNext/>
        <w:rPr>
          <w:rFonts w:asciiTheme="majorBidi" w:hAnsiTheme="majorBidi" w:cstheme="majorBidi"/>
          <w:b/>
          <w:bCs/>
          <w:i w:val="0"/>
          <w:iCs w:val="0"/>
          <w:color w:val="auto"/>
          <w:sz w:val="22"/>
          <w:szCs w:val="22"/>
        </w:rPr>
      </w:pPr>
      <w:bookmarkStart w:id="2" w:name="_Ref135143591"/>
      <w:bookmarkStart w:id="3" w:name="_Toc143809560"/>
      <w:r>
        <w:rPr>
          <w:rFonts w:asciiTheme="majorBidi" w:hAnsiTheme="majorBidi" w:cstheme="majorBidi"/>
          <w:b/>
          <w:bCs/>
          <w:i w:val="0"/>
          <w:iCs w:val="0"/>
          <w:color w:val="auto"/>
          <w:sz w:val="22"/>
          <w:szCs w:val="22"/>
        </w:rPr>
        <w:t xml:space="preserve">Table </w:t>
      </w:r>
      <w:r>
        <w:fldChar w:fldCharType="begin"/>
      </w:r>
      <w:r>
        <w:rPr>
          <w:rFonts w:asciiTheme="majorBidi" w:hAnsiTheme="majorBidi" w:cstheme="majorBidi"/>
          <w:b/>
          <w:bCs/>
          <w:i w:val="0"/>
          <w:iCs w:val="0"/>
          <w:color w:val="auto"/>
          <w:sz w:val="22"/>
          <w:szCs w:val="22"/>
        </w:rPr>
        <w:instrText xml:space="preserve"> SEQ Table \* ARABIC </w:instrText>
      </w:r>
      <w:r>
        <w:fldChar w:fldCharType="separate"/>
      </w:r>
      <w:r w:rsidR="00517102">
        <w:rPr>
          <w:rFonts w:asciiTheme="majorBidi" w:hAnsiTheme="majorBidi" w:cstheme="majorBidi"/>
          <w:b/>
          <w:bCs/>
          <w:i w:val="0"/>
          <w:iCs w:val="0"/>
          <w:noProof/>
          <w:color w:val="auto"/>
          <w:sz w:val="22"/>
          <w:szCs w:val="22"/>
        </w:rPr>
        <w:t>1</w:t>
      </w:r>
      <w:r>
        <w:fldChar w:fldCharType="end"/>
      </w:r>
      <w:bookmarkEnd w:id="2"/>
      <w:r>
        <w:rPr>
          <w:rFonts w:asciiTheme="majorBidi" w:hAnsiTheme="majorBidi" w:cstheme="majorBidi"/>
          <w:b/>
          <w:bCs/>
          <w:i w:val="0"/>
          <w:iCs w:val="0"/>
          <w:color w:val="auto"/>
          <w:sz w:val="22"/>
          <w:szCs w:val="22"/>
        </w:rPr>
        <w:t>:</w:t>
      </w:r>
      <w:r>
        <w:rPr>
          <w:rFonts w:asciiTheme="majorBidi" w:hAnsiTheme="majorBidi" w:cstheme="majorBidi"/>
          <w:b/>
          <w:bCs/>
          <w:i w:val="0"/>
          <w:iCs w:val="0"/>
          <w:color w:val="auto"/>
          <w:sz w:val="22"/>
          <w:szCs w:val="22"/>
        </w:rPr>
        <w:tab/>
        <w:t>Summary sensitivity and specificity at specific thresholds for HM-JACKarc</w:t>
      </w:r>
      <w:bookmarkEnd w:id="3"/>
    </w:p>
    <w:tbl>
      <w:tblPr>
        <w:tblW w:w="12753" w:type="dxa"/>
        <w:tblLayout w:type="fixed"/>
        <w:tblLook w:val="04A0" w:firstRow="1" w:lastRow="0" w:firstColumn="1" w:lastColumn="0" w:noHBand="0" w:noVBand="1"/>
      </w:tblPr>
      <w:tblGrid>
        <w:gridCol w:w="947"/>
        <w:gridCol w:w="1316"/>
        <w:gridCol w:w="1276"/>
        <w:gridCol w:w="1134"/>
        <w:gridCol w:w="1276"/>
        <w:gridCol w:w="1134"/>
        <w:gridCol w:w="1134"/>
        <w:gridCol w:w="1134"/>
        <w:gridCol w:w="1134"/>
        <w:gridCol w:w="1134"/>
        <w:gridCol w:w="1134"/>
      </w:tblGrid>
      <w:tr w:rsidR="00FE05D1" w14:paraId="3ADDA1A9" w14:textId="77777777" w:rsidTr="006B2492">
        <w:trPr>
          <w:trHeight w:val="300"/>
        </w:trPr>
        <w:tc>
          <w:tcPr>
            <w:tcW w:w="947" w:type="dxa"/>
            <w:vMerge w:val="restart"/>
            <w:tcBorders>
              <w:top w:val="single" w:sz="4" w:space="0" w:color="auto"/>
              <w:left w:val="single" w:sz="4" w:space="0" w:color="auto"/>
              <w:bottom w:val="single" w:sz="4" w:space="0" w:color="auto"/>
              <w:right w:val="single" w:sz="4" w:space="0" w:color="auto"/>
            </w:tcBorders>
            <w:noWrap/>
            <w:vAlign w:val="center"/>
            <w:hideMark/>
          </w:tcPr>
          <w:p w14:paraId="7BF94456" w14:textId="77777777" w:rsidR="00FE05D1" w:rsidRDefault="00FE05D1" w:rsidP="006B2492">
            <w:pPr>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Threshold</w:t>
            </w:r>
          </w:p>
        </w:tc>
        <w:tc>
          <w:tcPr>
            <w:tcW w:w="2592" w:type="dxa"/>
            <w:gridSpan w:val="2"/>
            <w:tcBorders>
              <w:top w:val="single" w:sz="4" w:space="0" w:color="auto"/>
              <w:left w:val="nil"/>
              <w:bottom w:val="single" w:sz="4" w:space="0" w:color="auto"/>
              <w:right w:val="single" w:sz="4" w:space="0" w:color="auto"/>
            </w:tcBorders>
            <w:noWrap/>
            <w:vAlign w:val="bottom"/>
            <w:hideMark/>
          </w:tcPr>
          <w:p w14:paraId="24BF96D9" w14:textId="77777777" w:rsidR="00FE05D1" w:rsidRDefault="00FE05D1" w:rsidP="006B2492">
            <w:pPr>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All studies 1-4 (n=16)</w:t>
            </w:r>
          </w:p>
        </w:tc>
        <w:tc>
          <w:tcPr>
            <w:tcW w:w="2410" w:type="dxa"/>
            <w:gridSpan w:val="2"/>
            <w:tcBorders>
              <w:top w:val="single" w:sz="4" w:space="0" w:color="auto"/>
              <w:left w:val="nil"/>
              <w:bottom w:val="single" w:sz="4" w:space="0" w:color="auto"/>
              <w:right w:val="single" w:sz="4" w:space="0" w:color="auto"/>
            </w:tcBorders>
            <w:noWrap/>
            <w:vAlign w:val="bottom"/>
            <w:hideMark/>
          </w:tcPr>
          <w:p w14:paraId="650AC332" w14:textId="77777777" w:rsidR="00FE05D1" w:rsidRDefault="00FE05D1" w:rsidP="006B2492">
            <w:pPr>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All 1-3 (n=9)</w:t>
            </w:r>
          </w:p>
        </w:tc>
        <w:tc>
          <w:tcPr>
            <w:tcW w:w="2268" w:type="dxa"/>
            <w:gridSpan w:val="2"/>
            <w:tcBorders>
              <w:top w:val="single" w:sz="4" w:space="0" w:color="auto"/>
              <w:left w:val="nil"/>
              <w:bottom w:val="single" w:sz="4" w:space="0" w:color="auto"/>
              <w:right w:val="single" w:sz="4" w:space="0" w:color="auto"/>
            </w:tcBorders>
            <w:noWrap/>
            <w:vAlign w:val="bottom"/>
            <w:hideMark/>
          </w:tcPr>
          <w:p w14:paraId="68EF3020" w14:textId="77777777" w:rsidR="00FE05D1" w:rsidRDefault="00FE05D1" w:rsidP="006B2492">
            <w:pPr>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Population 1 (S=5)</w:t>
            </w:r>
          </w:p>
        </w:tc>
        <w:tc>
          <w:tcPr>
            <w:tcW w:w="2268" w:type="dxa"/>
            <w:gridSpan w:val="2"/>
            <w:tcBorders>
              <w:top w:val="single" w:sz="4" w:space="0" w:color="auto"/>
              <w:left w:val="nil"/>
              <w:bottom w:val="single" w:sz="4" w:space="0" w:color="auto"/>
              <w:right w:val="single" w:sz="4" w:space="0" w:color="auto"/>
            </w:tcBorders>
            <w:noWrap/>
            <w:vAlign w:val="bottom"/>
            <w:hideMark/>
          </w:tcPr>
          <w:p w14:paraId="3B162919" w14:textId="77777777" w:rsidR="00FE05D1" w:rsidRDefault="00FE05D1" w:rsidP="006B2492">
            <w:pPr>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Population 2 (S=4)</w:t>
            </w:r>
          </w:p>
        </w:tc>
        <w:tc>
          <w:tcPr>
            <w:tcW w:w="2268" w:type="dxa"/>
            <w:gridSpan w:val="2"/>
            <w:tcBorders>
              <w:top w:val="single" w:sz="4" w:space="0" w:color="auto"/>
              <w:left w:val="nil"/>
              <w:bottom w:val="single" w:sz="4" w:space="0" w:color="auto"/>
              <w:right w:val="single" w:sz="4" w:space="0" w:color="auto"/>
            </w:tcBorders>
            <w:noWrap/>
            <w:vAlign w:val="bottom"/>
            <w:hideMark/>
          </w:tcPr>
          <w:p w14:paraId="5C336604" w14:textId="77777777" w:rsidR="00FE05D1" w:rsidRDefault="00FE05D1" w:rsidP="006B2492">
            <w:pPr>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Population 3 (S=2)</w:t>
            </w:r>
          </w:p>
        </w:tc>
      </w:tr>
      <w:tr w:rsidR="00FE05D1" w14:paraId="39E3525E" w14:textId="77777777" w:rsidTr="006B2492">
        <w:trPr>
          <w:trHeight w:val="300"/>
        </w:trPr>
        <w:tc>
          <w:tcPr>
            <w:tcW w:w="947" w:type="dxa"/>
            <w:vMerge/>
            <w:tcBorders>
              <w:top w:val="single" w:sz="4" w:space="0" w:color="auto"/>
              <w:left w:val="single" w:sz="4" w:space="0" w:color="auto"/>
              <w:bottom w:val="single" w:sz="4" w:space="0" w:color="auto"/>
              <w:right w:val="single" w:sz="4" w:space="0" w:color="auto"/>
            </w:tcBorders>
            <w:vAlign w:val="center"/>
            <w:hideMark/>
          </w:tcPr>
          <w:p w14:paraId="638FB40C" w14:textId="77777777" w:rsidR="00FE05D1" w:rsidRDefault="00FE05D1" w:rsidP="006B2492">
            <w:pPr>
              <w:rPr>
                <w:rFonts w:asciiTheme="majorBidi" w:hAnsiTheme="majorBidi" w:cstheme="majorBidi"/>
                <w:b/>
                <w:bCs/>
                <w:color w:val="000000"/>
                <w:sz w:val="18"/>
                <w:szCs w:val="18"/>
              </w:rPr>
            </w:pPr>
          </w:p>
        </w:tc>
        <w:tc>
          <w:tcPr>
            <w:tcW w:w="1316" w:type="dxa"/>
            <w:tcBorders>
              <w:top w:val="nil"/>
              <w:left w:val="nil"/>
              <w:bottom w:val="single" w:sz="4" w:space="0" w:color="auto"/>
              <w:right w:val="single" w:sz="4" w:space="0" w:color="auto"/>
            </w:tcBorders>
            <w:noWrap/>
            <w:vAlign w:val="bottom"/>
            <w:hideMark/>
          </w:tcPr>
          <w:p w14:paraId="1AFB2088"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 xml:space="preserve">sensitivity </w:t>
            </w:r>
          </w:p>
        </w:tc>
        <w:tc>
          <w:tcPr>
            <w:tcW w:w="1276" w:type="dxa"/>
            <w:tcBorders>
              <w:top w:val="nil"/>
              <w:left w:val="nil"/>
              <w:bottom w:val="single" w:sz="4" w:space="0" w:color="auto"/>
              <w:right w:val="single" w:sz="4" w:space="0" w:color="auto"/>
            </w:tcBorders>
            <w:noWrap/>
            <w:vAlign w:val="bottom"/>
            <w:hideMark/>
          </w:tcPr>
          <w:p w14:paraId="2F1BB1A9"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specificity</w:t>
            </w:r>
          </w:p>
        </w:tc>
        <w:tc>
          <w:tcPr>
            <w:tcW w:w="1134" w:type="dxa"/>
            <w:tcBorders>
              <w:top w:val="nil"/>
              <w:left w:val="nil"/>
              <w:bottom w:val="single" w:sz="4" w:space="0" w:color="auto"/>
              <w:right w:val="single" w:sz="4" w:space="0" w:color="auto"/>
            </w:tcBorders>
            <w:noWrap/>
            <w:vAlign w:val="bottom"/>
            <w:hideMark/>
          </w:tcPr>
          <w:p w14:paraId="547B7955"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sensitivity</w:t>
            </w:r>
          </w:p>
        </w:tc>
        <w:tc>
          <w:tcPr>
            <w:tcW w:w="1276" w:type="dxa"/>
            <w:tcBorders>
              <w:top w:val="nil"/>
              <w:left w:val="nil"/>
              <w:bottom w:val="single" w:sz="4" w:space="0" w:color="auto"/>
              <w:right w:val="single" w:sz="4" w:space="0" w:color="auto"/>
            </w:tcBorders>
            <w:noWrap/>
            <w:vAlign w:val="bottom"/>
            <w:hideMark/>
          </w:tcPr>
          <w:p w14:paraId="1FEAA306"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specificity</w:t>
            </w:r>
          </w:p>
        </w:tc>
        <w:tc>
          <w:tcPr>
            <w:tcW w:w="1134" w:type="dxa"/>
            <w:tcBorders>
              <w:top w:val="nil"/>
              <w:left w:val="nil"/>
              <w:bottom w:val="single" w:sz="4" w:space="0" w:color="auto"/>
              <w:right w:val="single" w:sz="4" w:space="0" w:color="auto"/>
            </w:tcBorders>
            <w:noWrap/>
            <w:vAlign w:val="bottom"/>
            <w:hideMark/>
          </w:tcPr>
          <w:p w14:paraId="077CDB4D"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sensitivity</w:t>
            </w:r>
          </w:p>
        </w:tc>
        <w:tc>
          <w:tcPr>
            <w:tcW w:w="1134" w:type="dxa"/>
            <w:tcBorders>
              <w:top w:val="nil"/>
              <w:left w:val="nil"/>
              <w:bottom w:val="single" w:sz="4" w:space="0" w:color="auto"/>
              <w:right w:val="single" w:sz="4" w:space="0" w:color="auto"/>
            </w:tcBorders>
            <w:noWrap/>
            <w:vAlign w:val="bottom"/>
            <w:hideMark/>
          </w:tcPr>
          <w:p w14:paraId="5BF5BC56"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specificity</w:t>
            </w:r>
          </w:p>
        </w:tc>
        <w:tc>
          <w:tcPr>
            <w:tcW w:w="1134" w:type="dxa"/>
            <w:tcBorders>
              <w:top w:val="nil"/>
              <w:left w:val="nil"/>
              <w:bottom w:val="single" w:sz="4" w:space="0" w:color="auto"/>
              <w:right w:val="single" w:sz="4" w:space="0" w:color="auto"/>
            </w:tcBorders>
            <w:noWrap/>
            <w:vAlign w:val="bottom"/>
            <w:hideMark/>
          </w:tcPr>
          <w:p w14:paraId="7D472540"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sensitivity</w:t>
            </w:r>
          </w:p>
        </w:tc>
        <w:tc>
          <w:tcPr>
            <w:tcW w:w="1134" w:type="dxa"/>
            <w:tcBorders>
              <w:top w:val="nil"/>
              <w:left w:val="nil"/>
              <w:bottom w:val="single" w:sz="4" w:space="0" w:color="auto"/>
              <w:right w:val="single" w:sz="4" w:space="0" w:color="auto"/>
            </w:tcBorders>
            <w:noWrap/>
            <w:vAlign w:val="bottom"/>
            <w:hideMark/>
          </w:tcPr>
          <w:p w14:paraId="2D6D0BAD"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specificity</w:t>
            </w:r>
          </w:p>
        </w:tc>
        <w:tc>
          <w:tcPr>
            <w:tcW w:w="1134" w:type="dxa"/>
            <w:tcBorders>
              <w:top w:val="nil"/>
              <w:left w:val="nil"/>
              <w:bottom w:val="single" w:sz="4" w:space="0" w:color="auto"/>
              <w:right w:val="single" w:sz="4" w:space="0" w:color="auto"/>
            </w:tcBorders>
            <w:noWrap/>
            <w:vAlign w:val="bottom"/>
            <w:hideMark/>
          </w:tcPr>
          <w:p w14:paraId="4B65B667"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sensitivity</w:t>
            </w:r>
          </w:p>
        </w:tc>
        <w:tc>
          <w:tcPr>
            <w:tcW w:w="1134" w:type="dxa"/>
            <w:tcBorders>
              <w:top w:val="nil"/>
              <w:left w:val="nil"/>
              <w:bottom w:val="single" w:sz="4" w:space="0" w:color="auto"/>
              <w:right w:val="single" w:sz="4" w:space="0" w:color="auto"/>
            </w:tcBorders>
            <w:noWrap/>
            <w:vAlign w:val="bottom"/>
            <w:hideMark/>
          </w:tcPr>
          <w:p w14:paraId="18135CFF"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specificity</w:t>
            </w:r>
          </w:p>
        </w:tc>
      </w:tr>
      <w:tr w:rsidR="00FE05D1" w14:paraId="6BA3F502"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60DBAEAC"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2</w:t>
            </w:r>
          </w:p>
        </w:tc>
        <w:tc>
          <w:tcPr>
            <w:tcW w:w="1316" w:type="dxa"/>
            <w:tcBorders>
              <w:top w:val="nil"/>
              <w:left w:val="nil"/>
              <w:bottom w:val="single" w:sz="4" w:space="0" w:color="auto"/>
              <w:right w:val="single" w:sz="4" w:space="0" w:color="auto"/>
            </w:tcBorders>
            <w:noWrap/>
            <w:vAlign w:val="bottom"/>
            <w:hideMark/>
          </w:tcPr>
          <w:p w14:paraId="66C8E41C"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95.9 (92.7,97.9)</w:t>
            </w:r>
          </w:p>
        </w:tc>
        <w:tc>
          <w:tcPr>
            <w:tcW w:w="1276" w:type="dxa"/>
            <w:tcBorders>
              <w:top w:val="nil"/>
              <w:left w:val="nil"/>
              <w:bottom w:val="single" w:sz="4" w:space="0" w:color="auto"/>
              <w:right w:val="single" w:sz="4" w:space="0" w:color="auto"/>
            </w:tcBorders>
            <w:noWrap/>
            <w:vAlign w:val="bottom"/>
            <w:hideMark/>
          </w:tcPr>
          <w:p w14:paraId="43E3E807"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65.1 (55.6,74.8)</w:t>
            </w:r>
          </w:p>
        </w:tc>
        <w:tc>
          <w:tcPr>
            <w:tcW w:w="1134" w:type="dxa"/>
            <w:tcBorders>
              <w:top w:val="nil"/>
              <w:left w:val="nil"/>
              <w:bottom w:val="single" w:sz="4" w:space="0" w:color="auto"/>
              <w:right w:val="single" w:sz="4" w:space="0" w:color="auto"/>
            </w:tcBorders>
            <w:noWrap/>
            <w:vAlign w:val="bottom"/>
            <w:hideMark/>
          </w:tcPr>
          <w:p w14:paraId="194936ED"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95.5 (93,97.1)</w:t>
            </w:r>
          </w:p>
        </w:tc>
        <w:tc>
          <w:tcPr>
            <w:tcW w:w="1276" w:type="dxa"/>
            <w:tcBorders>
              <w:top w:val="nil"/>
              <w:left w:val="nil"/>
              <w:bottom w:val="single" w:sz="4" w:space="0" w:color="auto"/>
              <w:right w:val="single" w:sz="4" w:space="0" w:color="auto"/>
            </w:tcBorders>
            <w:noWrap/>
            <w:vAlign w:val="bottom"/>
            <w:hideMark/>
          </w:tcPr>
          <w:p w14:paraId="28CCE888"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66.7 (54.9,77.2)</w:t>
            </w:r>
          </w:p>
        </w:tc>
        <w:tc>
          <w:tcPr>
            <w:tcW w:w="1134" w:type="dxa"/>
            <w:tcBorders>
              <w:top w:val="nil"/>
              <w:left w:val="nil"/>
              <w:bottom w:val="single" w:sz="4" w:space="0" w:color="auto"/>
              <w:right w:val="single" w:sz="4" w:space="0" w:color="auto"/>
            </w:tcBorders>
            <w:noWrap/>
            <w:vAlign w:val="bottom"/>
            <w:hideMark/>
          </w:tcPr>
          <w:p w14:paraId="5801795B"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95.2 (89.3,98.5)</w:t>
            </w:r>
          </w:p>
        </w:tc>
        <w:tc>
          <w:tcPr>
            <w:tcW w:w="1134" w:type="dxa"/>
            <w:tcBorders>
              <w:top w:val="nil"/>
              <w:left w:val="nil"/>
              <w:bottom w:val="single" w:sz="4" w:space="0" w:color="auto"/>
              <w:right w:val="single" w:sz="4" w:space="0" w:color="auto"/>
            </w:tcBorders>
            <w:noWrap/>
            <w:vAlign w:val="bottom"/>
            <w:hideMark/>
          </w:tcPr>
          <w:p w14:paraId="4B996AA1"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61.6 (41.3,81.8)</w:t>
            </w:r>
          </w:p>
        </w:tc>
        <w:tc>
          <w:tcPr>
            <w:tcW w:w="1134" w:type="dxa"/>
            <w:tcBorders>
              <w:top w:val="nil"/>
              <w:left w:val="nil"/>
              <w:bottom w:val="single" w:sz="4" w:space="0" w:color="auto"/>
              <w:right w:val="single" w:sz="4" w:space="0" w:color="auto"/>
            </w:tcBorders>
            <w:noWrap/>
            <w:vAlign w:val="bottom"/>
            <w:hideMark/>
          </w:tcPr>
          <w:p w14:paraId="579C82C5"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95.7 (89.1,98.2)</w:t>
            </w:r>
          </w:p>
        </w:tc>
        <w:tc>
          <w:tcPr>
            <w:tcW w:w="1134" w:type="dxa"/>
            <w:tcBorders>
              <w:top w:val="nil"/>
              <w:left w:val="nil"/>
              <w:bottom w:val="single" w:sz="4" w:space="0" w:color="auto"/>
              <w:right w:val="single" w:sz="4" w:space="0" w:color="auto"/>
            </w:tcBorders>
            <w:noWrap/>
            <w:vAlign w:val="bottom"/>
            <w:hideMark/>
          </w:tcPr>
          <w:p w14:paraId="2A51A911"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66.8 (60.4,75.3)</w:t>
            </w:r>
          </w:p>
        </w:tc>
        <w:tc>
          <w:tcPr>
            <w:tcW w:w="1134" w:type="dxa"/>
            <w:tcBorders>
              <w:top w:val="nil"/>
              <w:left w:val="nil"/>
              <w:bottom w:val="single" w:sz="4" w:space="0" w:color="auto"/>
              <w:right w:val="single" w:sz="4" w:space="0" w:color="auto"/>
            </w:tcBorders>
            <w:noWrap/>
            <w:vAlign w:val="bottom"/>
            <w:hideMark/>
          </w:tcPr>
          <w:p w14:paraId="19CFC16D"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95.5 (83.4,100)</w:t>
            </w:r>
          </w:p>
        </w:tc>
        <w:tc>
          <w:tcPr>
            <w:tcW w:w="1134" w:type="dxa"/>
            <w:tcBorders>
              <w:top w:val="nil"/>
              <w:left w:val="nil"/>
              <w:bottom w:val="single" w:sz="4" w:space="0" w:color="auto"/>
              <w:right w:val="single" w:sz="4" w:space="0" w:color="auto"/>
            </w:tcBorders>
            <w:noWrap/>
            <w:vAlign w:val="bottom"/>
            <w:hideMark/>
          </w:tcPr>
          <w:p w14:paraId="523C3AAE"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83.3 (74.1,91.2)</w:t>
            </w:r>
          </w:p>
        </w:tc>
      </w:tr>
      <w:tr w:rsidR="00FE05D1" w14:paraId="07461BD6"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0BFB38BA"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2.5</w:t>
            </w:r>
          </w:p>
        </w:tc>
        <w:tc>
          <w:tcPr>
            <w:tcW w:w="1316" w:type="dxa"/>
            <w:tcBorders>
              <w:top w:val="nil"/>
              <w:left w:val="nil"/>
              <w:bottom w:val="single" w:sz="4" w:space="0" w:color="auto"/>
              <w:right w:val="single" w:sz="4" w:space="0" w:color="auto"/>
            </w:tcBorders>
            <w:noWrap/>
            <w:vAlign w:val="bottom"/>
            <w:hideMark/>
          </w:tcPr>
          <w:p w14:paraId="3FBBF9BB"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95.3 (91.8,97.5)</w:t>
            </w:r>
          </w:p>
        </w:tc>
        <w:tc>
          <w:tcPr>
            <w:tcW w:w="1276" w:type="dxa"/>
            <w:tcBorders>
              <w:top w:val="nil"/>
              <w:left w:val="nil"/>
              <w:bottom w:val="single" w:sz="4" w:space="0" w:color="auto"/>
              <w:right w:val="single" w:sz="4" w:space="0" w:color="auto"/>
            </w:tcBorders>
            <w:noWrap/>
            <w:vAlign w:val="bottom"/>
            <w:hideMark/>
          </w:tcPr>
          <w:p w14:paraId="296863AF"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68 (58.8,77.3)</w:t>
            </w:r>
          </w:p>
        </w:tc>
        <w:tc>
          <w:tcPr>
            <w:tcW w:w="1134" w:type="dxa"/>
            <w:tcBorders>
              <w:top w:val="nil"/>
              <w:left w:val="nil"/>
              <w:bottom w:val="single" w:sz="4" w:space="0" w:color="auto"/>
              <w:right w:val="single" w:sz="4" w:space="0" w:color="auto"/>
            </w:tcBorders>
            <w:noWrap/>
            <w:vAlign w:val="bottom"/>
            <w:hideMark/>
          </w:tcPr>
          <w:p w14:paraId="24C507DE"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 (92.4,96.7)</w:t>
            </w:r>
          </w:p>
        </w:tc>
        <w:tc>
          <w:tcPr>
            <w:tcW w:w="1276" w:type="dxa"/>
            <w:tcBorders>
              <w:top w:val="nil"/>
              <w:left w:val="nil"/>
              <w:bottom w:val="single" w:sz="4" w:space="0" w:color="auto"/>
              <w:right w:val="single" w:sz="4" w:space="0" w:color="auto"/>
            </w:tcBorders>
            <w:noWrap/>
            <w:vAlign w:val="bottom"/>
            <w:hideMark/>
          </w:tcPr>
          <w:p w14:paraId="35CB9A94"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69.3 (57.8,79.3)</w:t>
            </w:r>
          </w:p>
        </w:tc>
        <w:tc>
          <w:tcPr>
            <w:tcW w:w="1134" w:type="dxa"/>
            <w:tcBorders>
              <w:top w:val="nil"/>
              <w:left w:val="nil"/>
              <w:bottom w:val="single" w:sz="4" w:space="0" w:color="auto"/>
              <w:right w:val="single" w:sz="4" w:space="0" w:color="auto"/>
            </w:tcBorders>
            <w:noWrap/>
            <w:vAlign w:val="bottom"/>
            <w:hideMark/>
          </w:tcPr>
          <w:p w14:paraId="5EF5EBD1"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94.6 (88.4,98.2)</w:t>
            </w:r>
          </w:p>
        </w:tc>
        <w:tc>
          <w:tcPr>
            <w:tcW w:w="1134" w:type="dxa"/>
            <w:tcBorders>
              <w:top w:val="nil"/>
              <w:left w:val="nil"/>
              <w:bottom w:val="single" w:sz="4" w:space="0" w:color="auto"/>
              <w:right w:val="single" w:sz="4" w:space="0" w:color="auto"/>
            </w:tcBorders>
            <w:noWrap/>
            <w:vAlign w:val="bottom"/>
            <w:hideMark/>
          </w:tcPr>
          <w:p w14:paraId="1B6498C7"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64.2 (44.4,83.9)</w:t>
            </w:r>
          </w:p>
        </w:tc>
        <w:tc>
          <w:tcPr>
            <w:tcW w:w="1134" w:type="dxa"/>
            <w:tcBorders>
              <w:top w:val="nil"/>
              <w:left w:val="nil"/>
              <w:bottom w:val="single" w:sz="4" w:space="0" w:color="auto"/>
              <w:right w:val="single" w:sz="4" w:space="0" w:color="auto"/>
            </w:tcBorders>
            <w:noWrap/>
            <w:vAlign w:val="bottom"/>
            <w:hideMark/>
          </w:tcPr>
          <w:p w14:paraId="7D45DAB0"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95.2 (88.3,97.9)</w:t>
            </w:r>
          </w:p>
        </w:tc>
        <w:tc>
          <w:tcPr>
            <w:tcW w:w="1134" w:type="dxa"/>
            <w:tcBorders>
              <w:top w:val="nil"/>
              <w:left w:val="nil"/>
              <w:bottom w:val="single" w:sz="4" w:space="0" w:color="auto"/>
              <w:right w:val="single" w:sz="4" w:space="0" w:color="auto"/>
            </w:tcBorders>
            <w:noWrap/>
            <w:vAlign w:val="bottom"/>
            <w:hideMark/>
          </w:tcPr>
          <w:p w14:paraId="7BE38E51"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69.5 (63.2,77.6)</w:t>
            </w:r>
          </w:p>
        </w:tc>
        <w:tc>
          <w:tcPr>
            <w:tcW w:w="1134" w:type="dxa"/>
            <w:tcBorders>
              <w:top w:val="nil"/>
              <w:left w:val="nil"/>
              <w:bottom w:val="single" w:sz="4" w:space="0" w:color="auto"/>
              <w:right w:val="single" w:sz="4" w:space="0" w:color="auto"/>
            </w:tcBorders>
            <w:noWrap/>
            <w:vAlign w:val="bottom"/>
            <w:hideMark/>
          </w:tcPr>
          <w:p w14:paraId="63D7A758"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95.3 (83,99.9)</w:t>
            </w:r>
          </w:p>
        </w:tc>
        <w:tc>
          <w:tcPr>
            <w:tcW w:w="1134" w:type="dxa"/>
            <w:tcBorders>
              <w:top w:val="nil"/>
              <w:left w:val="nil"/>
              <w:bottom w:val="single" w:sz="4" w:space="0" w:color="auto"/>
              <w:right w:val="single" w:sz="4" w:space="0" w:color="auto"/>
            </w:tcBorders>
            <w:noWrap/>
            <w:vAlign w:val="bottom"/>
            <w:hideMark/>
          </w:tcPr>
          <w:p w14:paraId="633BC6CA"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84.8 (75.8,92.3)</w:t>
            </w:r>
          </w:p>
        </w:tc>
      </w:tr>
      <w:tr w:rsidR="00FE05D1" w14:paraId="0791B37C"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27A69C2A"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3</w:t>
            </w:r>
          </w:p>
        </w:tc>
        <w:tc>
          <w:tcPr>
            <w:tcW w:w="1316" w:type="dxa"/>
            <w:tcBorders>
              <w:top w:val="nil"/>
              <w:left w:val="nil"/>
              <w:bottom w:val="single" w:sz="4" w:space="0" w:color="auto"/>
              <w:right w:val="single" w:sz="4" w:space="0" w:color="auto"/>
            </w:tcBorders>
            <w:noWrap/>
            <w:vAlign w:val="bottom"/>
            <w:hideMark/>
          </w:tcPr>
          <w:p w14:paraId="3DC1AC4F"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94.7 (91.1,97.2)</w:t>
            </w:r>
          </w:p>
        </w:tc>
        <w:tc>
          <w:tcPr>
            <w:tcW w:w="1276" w:type="dxa"/>
            <w:tcBorders>
              <w:top w:val="nil"/>
              <w:left w:val="nil"/>
              <w:bottom w:val="single" w:sz="4" w:space="0" w:color="auto"/>
              <w:right w:val="single" w:sz="4" w:space="0" w:color="auto"/>
            </w:tcBorders>
            <w:noWrap/>
            <w:vAlign w:val="bottom"/>
            <w:hideMark/>
          </w:tcPr>
          <w:p w14:paraId="49FC1D41"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70.3 (61.3,79.3)</w:t>
            </w:r>
          </w:p>
        </w:tc>
        <w:tc>
          <w:tcPr>
            <w:tcW w:w="1134" w:type="dxa"/>
            <w:tcBorders>
              <w:top w:val="nil"/>
              <w:left w:val="nil"/>
              <w:bottom w:val="single" w:sz="4" w:space="0" w:color="auto"/>
              <w:right w:val="single" w:sz="4" w:space="0" w:color="auto"/>
            </w:tcBorders>
            <w:noWrap/>
            <w:vAlign w:val="bottom"/>
            <w:hideMark/>
          </w:tcPr>
          <w:p w14:paraId="67FB162F"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94.5 (91.8,96.3)</w:t>
            </w:r>
          </w:p>
        </w:tc>
        <w:tc>
          <w:tcPr>
            <w:tcW w:w="1276" w:type="dxa"/>
            <w:tcBorders>
              <w:top w:val="nil"/>
              <w:left w:val="nil"/>
              <w:bottom w:val="single" w:sz="4" w:space="0" w:color="auto"/>
              <w:right w:val="single" w:sz="4" w:space="0" w:color="auto"/>
            </w:tcBorders>
            <w:noWrap/>
            <w:vAlign w:val="bottom"/>
            <w:hideMark/>
          </w:tcPr>
          <w:p w14:paraId="268F0588"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71.3 (60.2,80.9)</w:t>
            </w:r>
          </w:p>
        </w:tc>
        <w:tc>
          <w:tcPr>
            <w:tcW w:w="1134" w:type="dxa"/>
            <w:tcBorders>
              <w:top w:val="nil"/>
              <w:left w:val="nil"/>
              <w:bottom w:val="single" w:sz="4" w:space="0" w:color="auto"/>
              <w:right w:val="single" w:sz="4" w:space="0" w:color="auto"/>
            </w:tcBorders>
            <w:noWrap/>
            <w:vAlign w:val="bottom"/>
            <w:hideMark/>
          </w:tcPr>
          <w:p w14:paraId="57D400EE"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94.1 (87.6,98)</w:t>
            </w:r>
          </w:p>
        </w:tc>
        <w:tc>
          <w:tcPr>
            <w:tcW w:w="1134" w:type="dxa"/>
            <w:tcBorders>
              <w:top w:val="nil"/>
              <w:left w:val="nil"/>
              <w:bottom w:val="single" w:sz="4" w:space="0" w:color="auto"/>
              <w:right w:val="single" w:sz="4" w:space="0" w:color="auto"/>
            </w:tcBorders>
            <w:noWrap/>
            <w:vAlign w:val="bottom"/>
            <w:hideMark/>
          </w:tcPr>
          <w:p w14:paraId="7B349215"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66.3 (46.9,85.4)</w:t>
            </w:r>
          </w:p>
        </w:tc>
        <w:tc>
          <w:tcPr>
            <w:tcW w:w="1134" w:type="dxa"/>
            <w:tcBorders>
              <w:top w:val="nil"/>
              <w:left w:val="nil"/>
              <w:bottom w:val="single" w:sz="4" w:space="0" w:color="auto"/>
              <w:right w:val="single" w:sz="4" w:space="0" w:color="auto"/>
            </w:tcBorders>
            <w:noWrap/>
            <w:vAlign w:val="bottom"/>
            <w:hideMark/>
          </w:tcPr>
          <w:p w14:paraId="2AD537DA"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94.7 (87.6,97.7)</w:t>
            </w:r>
          </w:p>
        </w:tc>
        <w:tc>
          <w:tcPr>
            <w:tcW w:w="1134" w:type="dxa"/>
            <w:tcBorders>
              <w:top w:val="nil"/>
              <w:left w:val="nil"/>
              <w:bottom w:val="single" w:sz="4" w:space="0" w:color="auto"/>
              <w:right w:val="single" w:sz="4" w:space="0" w:color="auto"/>
            </w:tcBorders>
            <w:noWrap/>
            <w:vAlign w:val="bottom"/>
            <w:hideMark/>
          </w:tcPr>
          <w:p w14:paraId="50CC625D"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71.7 (65.4,79.3)</w:t>
            </w:r>
          </w:p>
        </w:tc>
        <w:tc>
          <w:tcPr>
            <w:tcW w:w="1134" w:type="dxa"/>
            <w:tcBorders>
              <w:top w:val="nil"/>
              <w:left w:val="nil"/>
              <w:bottom w:val="single" w:sz="4" w:space="0" w:color="auto"/>
              <w:right w:val="single" w:sz="4" w:space="0" w:color="auto"/>
            </w:tcBorders>
            <w:noWrap/>
            <w:vAlign w:val="bottom"/>
            <w:hideMark/>
          </w:tcPr>
          <w:p w14:paraId="4BE65E27"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 (82.6,99.9)</w:t>
            </w:r>
          </w:p>
        </w:tc>
        <w:tc>
          <w:tcPr>
            <w:tcW w:w="1134" w:type="dxa"/>
            <w:tcBorders>
              <w:top w:val="nil"/>
              <w:left w:val="nil"/>
              <w:bottom w:val="single" w:sz="4" w:space="0" w:color="auto"/>
              <w:right w:val="single" w:sz="4" w:space="0" w:color="auto"/>
            </w:tcBorders>
            <w:noWrap/>
            <w:vAlign w:val="bottom"/>
            <w:hideMark/>
          </w:tcPr>
          <w:p w14:paraId="5FB6EC3C"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85.9 (77.1,93.1)</w:t>
            </w:r>
          </w:p>
        </w:tc>
      </w:tr>
      <w:tr w:rsidR="00FE05D1" w14:paraId="49C8027D"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7B9F4EEB"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4</w:t>
            </w:r>
          </w:p>
        </w:tc>
        <w:tc>
          <w:tcPr>
            <w:tcW w:w="1316" w:type="dxa"/>
            <w:tcBorders>
              <w:top w:val="nil"/>
              <w:left w:val="nil"/>
              <w:bottom w:val="single" w:sz="4" w:space="0" w:color="auto"/>
              <w:right w:val="single" w:sz="4" w:space="0" w:color="auto"/>
            </w:tcBorders>
            <w:noWrap/>
            <w:vAlign w:val="bottom"/>
            <w:hideMark/>
          </w:tcPr>
          <w:p w14:paraId="29A39A63"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93.8 (89.8,96.5)</w:t>
            </w:r>
          </w:p>
        </w:tc>
        <w:tc>
          <w:tcPr>
            <w:tcW w:w="1276" w:type="dxa"/>
            <w:tcBorders>
              <w:top w:val="nil"/>
              <w:left w:val="nil"/>
              <w:bottom w:val="single" w:sz="4" w:space="0" w:color="auto"/>
              <w:right w:val="single" w:sz="4" w:space="0" w:color="auto"/>
            </w:tcBorders>
            <w:noWrap/>
            <w:vAlign w:val="bottom"/>
            <w:hideMark/>
          </w:tcPr>
          <w:p w14:paraId="04669C1D"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73.7 (65.1,82.2)</w:t>
            </w:r>
          </w:p>
        </w:tc>
        <w:tc>
          <w:tcPr>
            <w:tcW w:w="1134" w:type="dxa"/>
            <w:tcBorders>
              <w:top w:val="nil"/>
              <w:left w:val="nil"/>
              <w:bottom w:val="single" w:sz="4" w:space="0" w:color="auto"/>
              <w:right w:val="single" w:sz="4" w:space="0" w:color="auto"/>
            </w:tcBorders>
            <w:noWrap/>
            <w:vAlign w:val="bottom"/>
            <w:hideMark/>
          </w:tcPr>
          <w:p w14:paraId="6F7FB755"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93.6 (90.7,95.7)</w:t>
            </w:r>
          </w:p>
        </w:tc>
        <w:tc>
          <w:tcPr>
            <w:tcW w:w="1276" w:type="dxa"/>
            <w:tcBorders>
              <w:top w:val="nil"/>
              <w:left w:val="nil"/>
              <w:bottom w:val="single" w:sz="4" w:space="0" w:color="auto"/>
              <w:right w:val="single" w:sz="4" w:space="0" w:color="auto"/>
            </w:tcBorders>
            <w:noWrap/>
            <w:vAlign w:val="bottom"/>
            <w:hideMark/>
          </w:tcPr>
          <w:p w14:paraId="11A93DEE"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74.3 (63.7,83.3)</w:t>
            </w:r>
          </w:p>
        </w:tc>
        <w:tc>
          <w:tcPr>
            <w:tcW w:w="1134" w:type="dxa"/>
            <w:tcBorders>
              <w:top w:val="nil"/>
              <w:left w:val="nil"/>
              <w:bottom w:val="single" w:sz="4" w:space="0" w:color="auto"/>
              <w:right w:val="single" w:sz="4" w:space="0" w:color="auto"/>
            </w:tcBorders>
            <w:noWrap/>
            <w:vAlign w:val="bottom"/>
            <w:hideMark/>
          </w:tcPr>
          <w:p w14:paraId="24B9854A"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93.3 (86.3,97.6)</w:t>
            </w:r>
          </w:p>
        </w:tc>
        <w:tc>
          <w:tcPr>
            <w:tcW w:w="1134" w:type="dxa"/>
            <w:tcBorders>
              <w:top w:val="nil"/>
              <w:left w:val="nil"/>
              <w:bottom w:val="single" w:sz="4" w:space="0" w:color="auto"/>
              <w:right w:val="single" w:sz="4" w:space="0" w:color="auto"/>
            </w:tcBorders>
            <w:noWrap/>
            <w:vAlign w:val="bottom"/>
            <w:hideMark/>
          </w:tcPr>
          <w:p w14:paraId="7C3B39B3"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69.5 (50.6,87.8)</w:t>
            </w:r>
          </w:p>
        </w:tc>
        <w:tc>
          <w:tcPr>
            <w:tcW w:w="1134" w:type="dxa"/>
            <w:tcBorders>
              <w:top w:val="nil"/>
              <w:left w:val="nil"/>
              <w:bottom w:val="single" w:sz="4" w:space="0" w:color="auto"/>
              <w:right w:val="single" w:sz="4" w:space="0" w:color="auto"/>
            </w:tcBorders>
            <w:noWrap/>
            <w:vAlign w:val="bottom"/>
            <w:hideMark/>
          </w:tcPr>
          <w:p w14:paraId="072195B8"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93.9 (86.4,97.2)</w:t>
            </w:r>
          </w:p>
        </w:tc>
        <w:tc>
          <w:tcPr>
            <w:tcW w:w="1134" w:type="dxa"/>
            <w:tcBorders>
              <w:top w:val="nil"/>
              <w:left w:val="nil"/>
              <w:bottom w:val="single" w:sz="4" w:space="0" w:color="auto"/>
              <w:right w:val="single" w:sz="4" w:space="0" w:color="auto"/>
            </w:tcBorders>
            <w:noWrap/>
            <w:vAlign w:val="bottom"/>
            <w:hideMark/>
          </w:tcPr>
          <w:p w14:paraId="2E7979E7"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74.8 (68.7,81.9)</w:t>
            </w:r>
          </w:p>
        </w:tc>
        <w:tc>
          <w:tcPr>
            <w:tcW w:w="1134" w:type="dxa"/>
            <w:tcBorders>
              <w:top w:val="nil"/>
              <w:left w:val="nil"/>
              <w:bottom w:val="single" w:sz="4" w:space="0" w:color="auto"/>
              <w:right w:val="single" w:sz="4" w:space="0" w:color="auto"/>
            </w:tcBorders>
            <w:noWrap/>
            <w:vAlign w:val="bottom"/>
            <w:hideMark/>
          </w:tcPr>
          <w:p w14:paraId="05466664"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94.6 (82,99.9)</w:t>
            </w:r>
          </w:p>
        </w:tc>
        <w:tc>
          <w:tcPr>
            <w:tcW w:w="1134" w:type="dxa"/>
            <w:tcBorders>
              <w:top w:val="nil"/>
              <w:left w:val="nil"/>
              <w:bottom w:val="single" w:sz="4" w:space="0" w:color="auto"/>
              <w:right w:val="single" w:sz="4" w:space="0" w:color="auto"/>
            </w:tcBorders>
            <w:noWrap/>
            <w:vAlign w:val="bottom"/>
            <w:hideMark/>
          </w:tcPr>
          <w:p w14:paraId="78D2CB23"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87.6 (79.2,94.3)</w:t>
            </w:r>
          </w:p>
        </w:tc>
      </w:tr>
      <w:tr w:rsidR="00FE05D1" w14:paraId="4BFD6E07"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19144A28"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7</w:t>
            </w:r>
          </w:p>
        </w:tc>
        <w:tc>
          <w:tcPr>
            <w:tcW w:w="1316" w:type="dxa"/>
            <w:tcBorders>
              <w:top w:val="nil"/>
              <w:left w:val="nil"/>
              <w:bottom w:val="single" w:sz="4" w:space="0" w:color="auto"/>
              <w:right w:val="single" w:sz="4" w:space="0" w:color="auto"/>
            </w:tcBorders>
            <w:noWrap/>
            <w:vAlign w:val="bottom"/>
            <w:hideMark/>
          </w:tcPr>
          <w:p w14:paraId="3A6DA4B7"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91.4 (86.8,94.8)</w:t>
            </w:r>
          </w:p>
        </w:tc>
        <w:tc>
          <w:tcPr>
            <w:tcW w:w="1276" w:type="dxa"/>
            <w:tcBorders>
              <w:top w:val="nil"/>
              <w:left w:val="nil"/>
              <w:bottom w:val="single" w:sz="4" w:space="0" w:color="auto"/>
              <w:right w:val="single" w:sz="4" w:space="0" w:color="auto"/>
            </w:tcBorders>
            <w:noWrap/>
            <w:vAlign w:val="bottom"/>
            <w:hideMark/>
          </w:tcPr>
          <w:p w14:paraId="1B54E590"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79.6 (71.7,87.1)</w:t>
            </w:r>
          </w:p>
        </w:tc>
        <w:tc>
          <w:tcPr>
            <w:tcW w:w="1134" w:type="dxa"/>
            <w:tcBorders>
              <w:top w:val="nil"/>
              <w:left w:val="nil"/>
              <w:bottom w:val="single" w:sz="4" w:space="0" w:color="auto"/>
              <w:right w:val="single" w:sz="4" w:space="0" w:color="auto"/>
            </w:tcBorders>
            <w:noWrap/>
            <w:vAlign w:val="bottom"/>
            <w:hideMark/>
          </w:tcPr>
          <w:p w14:paraId="22F77A10"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91.6 (88.3,94.1)</w:t>
            </w:r>
          </w:p>
        </w:tc>
        <w:tc>
          <w:tcPr>
            <w:tcW w:w="1276" w:type="dxa"/>
            <w:tcBorders>
              <w:top w:val="nil"/>
              <w:left w:val="nil"/>
              <w:bottom w:val="single" w:sz="4" w:space="0" w:color="auto"/>
              <w:right w:val="single" w:sz="4" w:space="0" w:color="auto"/>
            </w:tcBorders>
            <w:noWrap/>
            <w:vAlign w:val="bottom"/>
            <w:hideMark/>
          </w:tcPr>
          <w:p w14:paraId="0B128CDC"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79.5 (70.1,87.2)</w:t>
            </w:r>
          </w:p>
        </w:tc>
        <w:tc>
          <w:tcPr>
            <w:tcW w:w="1134" w:type="dxa"/>
            <w:tcBorders>
              <w:top w:val="nil"/>
              <w:left w:val="nil"/>
              <w:bottom w:val="single" w:sz="4" w:space="0" w:color="auto"/>
              <w:right w:val="single" w:sz="4" w:space="0" w:color="auto"/>
            </w:tcBorders>
            <w:noWrap/>
            <w:vAlign w:val="bottom"/>
            <w:hideMark/>
          </w:tcPr>
          <w:p w14:paraId="61B28D9D"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91.2 (83.3,96.6)</w:t>
            </w:r>
          </w:p>
        </w:tc>
        <w:tc>
          <w:tcPr>
            <w:tcW w:w="1134" w:type="dxa"/>
            <w:tcBorders>
              <w:top w:val="nil"/>
              <w:left w:val="nil"/>
              <w:bottom w:val="single" w:sz="4" w:space="0" w:color="auto"/>
              <w:right w:val="single" w:sz="4" w:space="0" w:color="auto"/>
            </w:tcBorders>
            <w:noWrap/>
            <w:vAlign w:val="bottom"/>
            <w:hideMark/>
          </w:tcPr>
          <w:p w14:paraId="19EFBAFF"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75.3 (57.1,91.4)</w:t>
            </w:r>
          </w:p>
        </w:tc>
        <w:tc>
          <w:tcPr>
            <w:tcW w:w="1134" w:type="dxa"/>
            <w:tcBorders>
              <w:top w:val="nil"/>
              <w:left w:val="nil"/>
              <w:bottom w:val="single" w:sz="4" w:space="0" w:color="auto"/>
              <w:right w:val="single" w:sz="4" w:space="0" w:color="auto"/>
            </w:tcBorders>
            <w:noWrap/>
            <w:vAlign w:val="bottom"/>
            <w:hideMark/>
          </w:tcPr>
          <w:p w14:paraId="1CE57EE3"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91.9 (83.7,95.9)</w:t>
            </w:r>
          </w:p>
        </w:tc>
        <w:tc>
          <w:tcPr>
            <w:tcW w:w="1134" w:type="dxa"/>
            <w:tcBorders>
              <w:top w:val="nil"/>
              <w:left w:val="nil"/>
              <w:bottom w:val="single" w:sz="4" w:space="0" w:color="auto"/>
              <w:right w:val="single" w:sz="4" w:space="0" w:color="auto"/>
            </w:tcBorders>
            <w:noWrap/>
            <w:vAlign w:val="bottom"/>
            <w:hideMark/>
          </w:tcPr>
          <w:p w14:paraId="2B41916C"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80.3 (74.5,86.2)</w:t>
            </w:r>
          </w:p>
        </w:tc>
        <w:tc>
          <w:tcPr>
            <w:tcW w:w="1134" w:type="dxa"/>
            <w:tcBorders>
              <w:top w:val="nil"/>
              <w:left w:val="nil"/>
              <w:bottom w:val="single" w:sz="4" w:space="0" w:color="auto"/>
              <w:right w:val="single" w:sz="4" w:space="0" w:color="auto"/>
            </w:tcBorders>
            <w:noWrap/>
            <w:vAlign w:val="bottom"/>
            <w:hideMark/>
          </w:tcPr>
          <w:p w14:paraId="0D74B69A"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93.8 (80.6,99.9)</w:t>
            </w:r>
          </w:p>
        </w:tc>
        <w:tc>
          <w:tcPr>
            <w:tcW w:w="1134" w:type="dxa"/>
            <w:tcBorders>
              <w:top w:val="nil"/>
              <w:left w:val="nil"/>
              <w:bottom w:val="single" w:sz="4" w:space="0" w:color="auto"/>
              <w:right w:val="single" w:sz="4" w:space="0" w:color="auto"/>
            </w:tcBorders>
            <w:noWrap/>
            <w:vAlign w:val="bottom"/>
            <w:hideMark/>
          </w:tcPr>
          <w:p w14:paraId="518DE7AB"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90.3 (82.6,96)</w:t>
            </w:r>
          </w:p>
        </w:tc>
      </w:tr>
      <w:tr w:rsidR="00FE05D1" w14:paraId="3B381F55"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5472D364"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10</w:t>
            </w:r>
          </w:p>
        </w:tc>
        <w:tc>
          <w:tcPr>
            <w:tcW w:w="1316" w:type="dxa"/>
            <w:tcBorders>
              <w:top w:val="nil"/>
              <w:left w:val="nil"/>
              <w:bottom w:val="single" w:sz="4" w:space="0" w:color="auto"/>
              <w:right w:val="single" w:sz="4" w:space="0" w:color="auto"/>
            </w:tcBorders>
            <w:noWrap/>
            <w:vAlign w:val="bottom"/>
            <w:hideMark/>
          </w:tcPr>
          <w:p w14:paraId="54247CCB"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89.5 (84.6,93.4)</w:t>
            </w:r>
          </w:p>
        </w:tc>
        <w:tc>
          <w:tcPr>
            <w:tcW w:w="1276" w:type="dxa"/>
            <w:tcBorders>
              <w:top w:val="nil"/>
              <w:left w:val="nil"/>
              <w:bottom w:val="single" w:sz="4" w:space="0" w:color="auto"/>
              <w:right w:val="single" w:sz="4" w:space="0" w:color="auto"/>
            </w:tcBorders>
            <w:noWrap/>
            <w:vAlign w:val="bottom"/>
            <w:hideMark/>
          </w:tcPr>
          <w:p w14:paraId="16D44CF1"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82.8 (75.2,89.6)</w:t>
            </w:r>
          </w:p>
        </w:tc>
        <w:tc>
          <w:tcPr>
            <w:tcW w:w="1134" w:type="dxa"/>
            <w:tcBorders>
              <w:top w:val="nil"/>
              <w:left w:val="nil"/>
              <w:bottom w:val="single" w:sz="4" w:space="0" w:color="auto"/>
              <w:right w:val="single" w:sz="4" w:space="0" w:color="auto"/>
            </w:tcBorders>
            <w:noWrap/>
            <w:vAlign w:val="bottom"/>
            <w:hideMark/>
          </w:tcPr>
          <w:p w14:paraId="6998812E"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90.1 (86.5,92.8)</w:t>
            </w:r>
          </w:p>
        </w:tc>
        <w:tc>
          <w:tcPr>
            <w:tcW w:w="1276" w:type="dxa"/>
            <w:tcBorders>
              <w:top w:val="nil"/>
              <w:left w:val="nil"/>
              <w:bottom w:val="single" w:sz="4" w:space="0" w:color="auto"/>
              <w:right w:val="single" w:sz="4" w:space="0" w:color="auto"/>
            </w:tcBorders>
            <w:noWrap/>
            <w:vAlign w:val="bottom"/>
            <w:hideMark/>
          </w:tcPr>
          <w:p w14:paraId="1AA0B46E"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82.4 (73.7,89.3)</w:t>
            </w:r>
          </w:p>
        </w:tc>
        <w:tc>
          <w:tcPr>
            <w:tcW w:w="1134" w:type="dxa"/>
            <w:tcBorders>
              <w:top w:val="nil"/>
              <w:left w:val="nil"/>
              <w:bottom w:val="single" w:sz="4" w:space="0" w:color="auto"/>
              <w:right w:val="single" w:sz="4" w:space="0" w:color="auto"/>
            </w:tcBorders>
            <w:noWrap/>
            <w:vAlign w:val="bottom"/>
            <w:hideMark/>
          </w:tcPr>
          <w:p w14:paraId="223696F6"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89.6 (81.1,95.7)</w:t>
            </w:r>
          </w:p>
        </w:tc>
        <w:tc>
          <w:tcPr>
            <w:tcW w:w="1134" w:type="dxa"/>
            <w:tcBorders>
              <w:top w:val="nil"/>
              <w:left w:val="nil"/>
              <w:bottom w:val="single" w:sz="4" w:space="0" w:color="auto"/>
              <w:right w:val="single" w:sz="4" w:space="0" w:color="auto"/>
            </w:tcBorders>
            <w:noWrap/>
            <w:vAlign w:val="bottom"/>
            <w:hideMark/>
          </w:tcPr>
          <w:p w14:paraId="234A1B48"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78.6 (60.7,93.2)</w:t>
            </w:r>
          </w:p>
        </w:tc>
        <w:tc>
          <w:tcPr>
            <w:tcW w:w="1134" w:type="dxa"/>
            <w:tcBorders>
              <w:top w:val="nil"/>
              <w:left w:val="nil"/>
              <w:bottom w:val="single" w:sz="4" w:space="0" w:color="auto"/>
              <w:right w:val="single" w:sz="4" w:space="0" w:color="auto"/>
            </w:tcBorders>
            <w:noWrap/>
            <w:vAlign w:val="bottom"/>
            <w:hideMark/>
          </w:tcPr>
          <w:p w14:paraId="6D0570AC"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90.4 (81.7,94.9)</w:t>
            </w:r>
          </w:p>
        </w:tc>
        <w:tc>
          <w:tcPr>
            <w:tcW w:w="1134" w:type="dxa"/>
            <w:tcBorders>
              <w:top w:val="nil"/>
              <w:left w:val="nil"/>
              <w:bottom w:val="single" w:sz="4" w:space="0" w:color="auto"/>
              <w:right w:val="single" w:sz="4" w:space="0" w:color="auto"/>
            </w:tcBorders>
            <w:noWrap/>
            <w:vAlign w:val="bottom"/>
            <w:hideMark/>
          </w:tcPr>
          <w:p w14:paraId="04C05652"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83.3 (77.8,88.5)</w:t>
            </w:r>
          </w:p>
        </w:tc>
        <w:tc>
          <w:tcPr>
            <w:tcW w:w="1134" w:type="dxa"/>
            <w:tcBorders>
              <w:top w:val="nil"/>
              <w:left w:val="nil"/>
              <w:bottom w:val="single" w:sz="4" w:space="0" w:color="auto"/>
              <w:right w:val="single" w:sz="4" w:space="0" w:color="auto"/>
            </w:tcBorders>
            <w:noWrap/>
            <w:vAlign w:val="bottom"/>
            <w:hideMark/>
          </w:tcPr>
          <w:p w14:paraId="61BC478D"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93.2 (79.6,99.8)</w:t>
            </w:r>
          </w:p>
        </w:tc>
        <w:tc>
          <w:tcPr>
            <w:tcW w:w="1134" w:type="dxa"/>
            <w:tcBorders>
              <w:top w:val="nil"/>
              <w:left w:val="nil"/>
              <w:bottom w:val="single" w:sz="4" w:space="0" w:color="auto"/>
              <w:right w:val="single" w:sz="4" w:space="0" w:color="auto"/>
            </w:tcBorders>
            <w:noWrap/>
            <w:vAlign w:val="bottom"/>
            <w:hideMark/>
          </w:tcPr>
          <w:p w14:paraId="0F11DC2B"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91.8 (84.6,96.8)</w:t>
            </w:r>
          </w:p>
        </w:tc>
      </w:tr>
      <w:tr w:rsidR="00FE05D1" w14:paraId="1ED5CB4A"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7316E52E"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20</w:t>
            </w:r>
          </w:p>
        </w:tc>
        <w:tc>
          <w:tcPr>
            <w:tcW w:w="1316" w:type="dxa"/>
            <w:tcBorders>
              <w:top w:val="nil"/>
              <w:left w:val="nil"/>
              <w:bottom w:val="single" w:sz="4" w:space="0" w:color="auto"/>
              <w:right w:val="single" w:sz="4" w:space="0" w:color="auto"/>
            </w:tcBorders>
            <w:noWrap/>
            <w:vAlign w:val="bottom"/>
            <w:hideMark/>
          </w:tcPr>
          <w:p w14:paraId="506305BA"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84.7 (79.1,89.6)</w:t>
            </w:r>
          </w:p>
        </w:tc>
        <w:tc>
          <w:tcPr>
            <w:tcW w:w="1276" w:type="dxa"/>
            <w:tcBorders>
              <w:top w:val="nil"/>
              <w:left w:val="nil"/>
              <w:bottom w:val="single" w:sz="4" w:space="0" w:color="auto"/>
              <w:right w:val="single" w:sz="4" w:space="0" w:color="auto"/>
            </w:tcBorders>
            <w:noWrap/>
            <w:vAlign w:val="bottom"/>
            <w:hideMark/>
          </w:tcPr>
          <w:p w14:paraId="01DF9FB1"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87.9 (81.1,93.4)</w:t>
            </w:r>
          </w:p>
        </w:tc>
        <w:tc>
          <w:tcPr>
            <w:tcW w:w="1134" w:type="dxa"/>
            <w:tcBorders>
              <w:top w:val="nil"/>
              <w:left w:val="nil"/>
              <w:bottom w:val="single" w:sz="4" w:space="0" w:color="auto"/>
              <w:right w:val="single" w:sz="4" w:space="0" w:color="auto"/>
            </w:tcBorders>
            <w:noWrap/>
            <w:vAlign w:val="bottom"/>
            <w:hideMark/>
          </w:tcPr>
          <w:p w14:paraId="7AFE0B16"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86.3 (82.1,89.7)</w:t>
            </w:r>
          </w:p>
        </w:tc>
        <w:tc>
          <w:tcPr>
            <w:tcW w:w="1276" w:type="dxa"/>
            <w:tcBorders>
              <w:top w:val="nil"/>
              <w:left w:val="nil"/>
              <w:bottom w:val="single" w:sz="4" w:space="0" w:color="auto"/>
              <w:right w:val="single" w:sz="4" w:space="0" w:color="auto"/>
            </w:tcBorders>
            <w:noWrap/>
            <w:vAlign w:val="bottom"/>
            <w:hideMark/>
          </w:tcPr>
          <w:p w14:paraId="7EFC3743"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87.1 (79.8,92.6)</w:t>
            </w:r>
          </w:p>
        </w:tc>
        <w:tc>
          <w:tcPr>
            <w:tcW w:w="1134" w:type="dxa"/>
            <w:tcBorders>
              <w:top w:val="nil"/>
              <w:left w:val="nil"/>
              <w:bottom w:val="single" w:sz="4" w:space="0" w:color="auto"/>
              <w:right w:val="single" w:sz="4" w:space="0" w:color="auto"/>
            </w:tcBorders>
            <w:noWrap/>
            <w:vAlign w:val="bottom"/>
            <w:hideMark/>
          </w:tcPr>
          <w:p w14:paraId="2CE1083E"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85.7 (76.2,93.6)</w:t>
            </w:r>
          </w:p>
        </w:tc>
        <w:tc>
          <w:tcPr>
            <w:tcW w:w="1134" w:type="dxa"/>
            <w:tcBorders>
              <w:top w:val="nil"/>
              <w:left w:val="nil"/>
              <w:bottom w:val="single" w:sz="4" w:space="0" w:color="auto"/>
              <w:right w:val="single" w:sz="4" w:space="0" w:color="auto"/>
            </w:tcBorders>
            <w:noWrap/>
            <w:vAlign w:val="bottom"/>
            <w:hideMark/>
          </w:tcPr>
          <w:p w14:paraId="5005F296"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84.1 (67.1,95.8)</w:t>
            </w:r>
          </w:p>
        </w:tc>
        <w:tc>
          <w:tcPr>
            <w:tcW w:w="1134" w:type="dxa"/>
            <w:tcBorders>
              <w:top w:val="nil"/>
              <w:left w:val="nil"/>
              <w:bottom w:val="single" w:sz="4" w:space="0" w:color="auto"/>
              <w:right w:val="single" w:sz="4" w:space="0" w:color="auto"/>
            </w:tcBorders>
            <w:noWrap/>
            <w:vAlign w:val="bottom"/>
            <w:hideMark/>
          </w:tcPr>
          <w:p w14:paraId="0F3849F3"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86.7 (77.1,92.1)</w:t>
            </w:r>
          </w:p>
        </w:tc>
        <w:tc>
          <w:tcPr>
            <w:tcW w:w="1134" w:type="dxa"/>
            <w:tcBorders>
              <w:top w:val="nil"/>
              <w:left w:val="nil"/>
              <w:bottom w:val="single" w:sz="4" w:space="0" w:color="auto"/>
              <w:right w:val="single" w:sz="4" w:space="0" w:color="auto"/>
            </w:tcBorders>
            <w:noWrap/>
            <w:vAlign w:val="bottom"/>
            <w:hideMark/>
          </w:tcPr>
          <w:p w14:paraId="7D79A080"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88 (83.2,92.2)</w:t>
            </w:r>
          </w:p>
        </w:tc>
        <w:tc>
          <w:tcPr>
            <w:tcW w:w="1134" w:type="dxa"/>
            <w:tcBorders>
              <w:top w:val="nil"/>
              <w:left w:val="nil"/>
              <w:bottom w:val="single" w:sz="4" w:space="0" w:color="auto"/>
              <w:right w:val="single" w:sz="4" w:space="0" w:color="auto"/>
            </w:tcBorders>
            <w:noWrap/>
            <w:vAlign w:val="bottom"/>
          </w:tcPr>
          <w:p w14:paraId="3E0F5BAA"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c>
          <w:tcPr>
            <w:tcW w:w="1134" w:type="dxa"/>
            <w:tcBorders>
              <w:top w:val="nil"/>
              <w:left w:val="nil"/>
              <w:bottom w:val="single" w:sz="4" w:space="0" w:color="auto"/>
              <w:right w:val="single" w:sz="4" w:space="0" w:color="auto"/>
            </w:tcBorders>
            <w:noWrap/>
            <w:vAlign w:val="bottom"/>
          </w:tcPr>
          <w:p w14:paraId="6E3C6AB0"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r>
      <w:tr w:rsidR="00FE05D1" w14:paraId="1CCEDDA4"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0AE49859"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50</w:t>
            </w:r>
          </w:p>
        </w:tc>
        <w:tc>
          <w:tcPr>
            <w:tcW w:w="1316" w:type="dxa"/>
            <w:tcBorders>
              <w:top w:val="nil"/>
              <w:left w:val="nil"/>
              <w:bottom w:val="single" w:sz="4" w:space="0" w:color="auto"/>
              <w:right w:val="single" w:sz="4" w:space="0" w:color="auto"/>
            </w:tcBorders>
            <w:noWrap/>
            <w:vAlign w:val="bottom"/>
            <w:hideMark/>
          </w:tcPr>
          <w:p w14:paraId="7EB5463A"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75.8 (69.4,82)</w:t>
            </w:r>
          </w:p>
        </w:tc>
        <w:tc>
          <w:tcPr>
            <w:tcW w:w="1276" w:type="dxa"/>
            <w:tcBorders>
              <w:top w:val="nil"/>
              <w:left w:val="nil"/>
              <w:bottom w:val="single" w:sz="4" w:space="0" w:color="auto"/>
              <w:right w:val="single" w:sz="4" w:space="0" w:color="auto"/>
            </w:tcBorders>
            <w:noWrap/>
            <w:vAlign w:val="bottom"/>
            <w:hideMark/>
          </w:tcPr>
          <w:p w14:paraId="0B540C3F"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92.6 (87,96.5)</w:t>
            </w:r>
          </w:p>
        </w:tc>
        <w:tc>
          <w:tcPr>
            <w:tcW w:w="1134" w:type="dxa"/>
            <w:tcBorders>
              <w:top w:val="nil"/>
              <w:left w:val="nil"/>
              <w:bottom w:val="single" w:sz="4" w:space="0" w:color="auto"/>
              <w:right w:val="single" w:sz="4" w:space="0" w:color="auto"/>
            </w:tcBorders>
            <w:noWrap/>
            <w:vAlign w:val="bottom"/>
            <w:hideMark/>
          </w:tcPr>
          <w:p w14:paraId="32667307"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79.5 (74.5,83.8)</w:t>
            </w:r>
          </w:p>
        </w:tc>
        <w:tc>
          <w:tcPr>
            <w:tcW w:w="1276" w:type="dxa"/>
            <w:tcBorders>
              <w:top w:val="nil"/>
              <w:left w:val="nil"/>
              <w:bottom w:val="single" w:sz="4" w:space="0" w:color="auto"/>
              <w:right w:val="single" w:sz="4" w:space="0" w:color="auto"/>
            </w:tcBorders>
            <w:noWrap/>
            <w:vAlign w:val="bottom"/>
            <w:hideMark/>
          </w:tcPr>
          <w:p w14:paraId="1F57987B"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91.7 (86,95.5)</w:t>
            </w:r>
          </w:p>
        </w:tc>
        <w:tc>
          <w:tcPr>
            <w:tcW w:w="1134" w:type="dxa"/>
            <w:tcBorders>
              <w:top w:val="nil"/>
              <w:left w:val="nil"/>
              <w:bottom w:val="single" w:sz="4" w:space="0" w:color="auto"/>
              <w:right w:val="single" w:sz="4" w:space="0" w:color="auto"/>
            </w:tcBorders>
            <w:noWrap/>
            <w:vAlign w:val="bottom"/>
            <w:hideMark/>
          </w:tcPr>
          <w:p w14:paraId="7E815E5A"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78.8 (68,89.2)</w:t>
            </w:r>
          </w:p>
        </w:tc>
        <w:tc>
          <w:tcPr>
            <w:tcW w:w="1134" w:type="dxa"/>
            <w:tcBorders>
              <w:top w:val="nil"/>
              <w:left w:val="nil"/>
              <w:bottom w:val="single" w:sz="4" w:space="0" w:color="auto"/>
              <w:right w:val="single" w:sz="4" w:space="0" w:color="auto"/>
            </w:tcBorders>
            <w:noWrap/>
            <w:vAlign w:val="bottom"/>
            <w:hideMark/>
          </w:tcPr>
          <w:p w14:paraId="440DA153"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89.5 (74,97.9)</w:t>
            </w:r>
          </w:p>
        </w:tc>
        <w:tc>
          <w:tcPr>
            <w:tcW w:w="1134" w:type="dxa"/>
            <w:tcBorders>
              <w:top w:val="nil"/>
              <w:left w:val="nil"/>
              <w:bottom w:val="single" w:sz="4" w:space="0" w:color="auto"/>
              <w:right w:val="single" w:sz="4" w:space="0" w:color="auto"/>
            </w:tcBorders>
            <w:noWrap/>
            <w:vAlign w:val="bottom"/>
            <w:hideMark/>
          </w:tcPr>
          <w:p w14:paraId="59F2C617"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79.9 (69.1,86.7)</w:t>
            </w:r>
          </w:p>
        </w:tc>
        <w:tc>
          <w:tcPr>
            <w:tcW w:w="1134" w:type="dxa"/>
            <w:tcBorders>
              <w:top w:val="nil"/>
              <w:left w:val="nil"/>
              <w:bottom w:val="single" w:sz="4" w:space="0" w:color="auto"/>
              <w:right w:val="single" w:sz="4" w:space="0" w:color="auto"/>
            </w:tcBorders>
            <w:noWrap/>
            <w:vAlign w:val="bottom"/>
            <w:hideMark/>
          </w:tcPr>
          <w:p w14:paraId="51A6517F"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92.4 (88.7,95.4)</w:t>
            </w:r>
          </w:p>
        </w:tc>
        <w:tc>
          <w:tcPr>
            <w:tcW w:w="1134" w:type="dxa"/>
            <w:tcBorders>
              <w:top w:val="nil"/>
              <w:left w:val="nil"/>
              <w:bottom w:val="single" w:sz="4" w:space="0" w:color="auto"/>
              <w:right w:val="single" w:sz="4" w:space="0" w:color="auto"/>
            </w:tcBorders>
            <w:noWrap/>
            <w:vAlign w:val="bottom"/>
          </w:tcPr>
          <w:p w14:paraId="7491599D"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c>
          <w:tcPr>
            <w:tcW w:w="1134" w:type="dxa"/>
            <w:tcBorders>
              <w:top w:val="nil"/>
              <w:left w:val="nil"/>
              <w:bottom w:val="single" w:sz="4" w:space="0" w:color="auto"/>
              <w:right w:val="single" w:sz="4" w:space="0" w:color="auto"/>
            </w:tcBorders>
            <w:noWrap/>
            <w:vAlign w:val="bottom"/>
          </w:tcPr>
          <w:p w14:paraId="0727CC22"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r>
      <w:tr w:rsidR="00FE05D1" w14:paraId="207CE4F7"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47199347"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100</w:t>
            </w:r>
          </w:p>
        </w:tc>
        <w:tc>
          <w:tcPr>
            <w:tcW w:w="1316" w:type="dxa"/>
            <w:tcBorders>
              <w:top w:val="nil"/>
              <w:left w:val="nil"/>
              <w:bottom w:val="single" w:sz="4" w:space="0" w:color="auto"/>
              <w:right w:val="single" w:sz="4" w:space="0" w:color="auto"/>
            </w:tcBorders>
            <w:noWrap/>
            <w:vAlign w:val="bottom"/>
            <w:hideMark/>
          </w:tcPr>
          <w:p w14:paraId="3B33D533"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67 (60,74.2)</w:t>
            </w:r>
          </w:p>
        </w:tc>
        <w:tc>
          <w:tcPr>
            <w:tcW w:w="1276" w:type="dxa"/>
            <w:tcBorders>
              <w:top w:val="nil"/>
              <w:left w:val="nil"/>
              <w:bottom w:val="single" w:sz="4" w:space="0" w:color="auto"/>
              <w:right w:val="single" w:sz="4" w:space="0" w:color="auto"/>
            </w:tcBorders>
            <w:noWrap/>
            <w:vAlign w:val="bottom"/>
            <w:hideMark/>
          </w:tcPr>
          <w:p w14:paraId="4E86C72A"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94.9 (90.3,97.8)</w:t>
            </w:r>
          </w:p>
        </w:tc>
        <w:tc>
          <w:tcPr>
            <w:tcW w:w="1134" w:type="dxa"/>
            <w:tcBorders>
              <w:top w:val="nil"/>
              <w:left w:val="nil"/>
              <w:bottom w:val="single" w:sz="4" w:space="0" w:color="auto"/>
              <w:right w:val="single" w:sz="4" w:space="0" w:color="auto"/>
            </w:tcBorders>
            <w:noWrap/>
            <w:vAlign w:val="bottom"/>
            <w:hideMark/>
          </w:tcPr>
          <w:p w14:paraId="23937498"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73 (67.1,78.1)</w:t>
            </w:r>
          </w:p>
        </w:tc>
        <w:tc>
          <w:tcPr>
            <w:tcW w:w="1276" w:type="dxa"/>
            <w:tcBorders>
              <w:top w:val="nil"/>
              <w:left w:val="nil"/>
              <w:bottom w:val="single" w:sz="4" w:space="0" w:color="auto"/>
              <w:right w:val="single" w:sz="4" w:space="0" w:color="auto"/>
            </w:tcBorders>
            <w:noWrap/>
            <w:vAlign w:val="bottom"/>
            <w:hideMark/>
          </w:tcPr>
          <w:p w14:paraId="6AECB8FE"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94.1 (89.5,97)</w:t>
            </w:r>
          </w:p>
        </w:tc>
        <w:tc>
          <w:tcPr>
            <w:tcW w:w="1134" w:type="dxa"/>
            <w:tcBorders>
              <w:top w:val="nil"/>
              <w:left w:val="nil"/>
              <w:bottom w:val="single" w:sz="4" w:space="0" w:color="auto"/>
              <w:right w:val="single" w:sz="4" w:space="0" w:color="auto"/>
            </w:tcBorders>
            <w:noWrap/>
            <w:vAlign w:val="bottom"/>
            <w:hideMark/>
          </w:tcPr>
          <w:p w14:paraId="1681D6F2"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72.2 (60.4,84.7)</w:t>
            </w:r>
          </w:p>
        </w:tc>
        <w:tc>
          <w:tcPr>
            <w:tcW w:w="1134" w:type="dxa"/>
            <w:tcBorders>
              <w:top w:val="nil"/>
              <w:left w:val="nil"/>
              <w:bottom w:val="single" w:sz="4" w:space="0" w:color="auto"/>
              <w:right w:val="single" w:sz="4" w:space="0" w:color="auto"/>
            </w:tcBorders>
            <w:noWrap/>
            <w:vAlign w:val="bottom"/>
            <w:hideMark/>
          </w:tcPr>
          <w:p w14:paraId="0E1FC055"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92.5 (78.1,98.8)</w:t>
            </w:r>
          </w:p>
        </w:tc>
        <w:tc>
          <w:tcPr>
            <w:tcW w:w="1134" w:type="dxa"/>
            <w:tcBorders>
              <w:top w:val="nil"/>
              <w:left w:val="nil"/>
              <w:bottom w:val="single" w:sz="4" w:space="0" w:color="auto"/>
              <w:right w:val="single" w:sz="4" w:space="0" w:color="auto"/>
            </w:tcBorders>
            <w:noWrap/>
            <w:vAlign w:val="bottom"/>
            <w:hideMark/>
          </w:tcPr>
          <w:p w14:paraId="73223C1E"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73.4 (61.3,81.1)</w:t>
            </w:r>
          </w:p>
        </w:tc>
        <w:tc>
          <w:tcPr>
            <w:tcW w:w="1134" w:type="dxa"/>
            <w:tcBorders>
              <w:top w:val="nil"/>
              <w:left w:val="nil"/>
              <w:bottom w:val="single" w:sz="4" w:space="0" w:color="auto"/>
              <w:right w:val="single" w:sz="4" w:space="0" w:color="auto"/>
            </w:tcBorders>
            <w:noWrap/>
            <w:vAlign w:val="bottom"/>
            <w:hideMark/>
          </w:tcPr>
          <w:p w14:paraId="0369306E"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94.7 (91.6,97)</w:t>
            </w:r>
          </w:p>
        </w:tc>
        <w:tc>
          <w:tcPr>
            <w:tcW w:w="1134" w:type="dxa"/>
            <w:tcBorders>
              <w:top w:val="nil"/>
              <w:left w:val="nil"/>
              <w:bottom w:val="single" w:sz="4" w:space="0" w:color="auto"/>
              <w:right w:val="single" w:sz="4" w:space="0" w:color="auto"/>
            </w:tcBorders>
            <w:noWrap/>
            <w:vAlign w:val="bottom"/>
          </w:tcPr>
          <w:p w14:paraId="7573A43B"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c>
          <w:tcPr>
            <w:tcW w:w="1134" w:type="dxa"/>
            <w:tcBorders>
              <w:top w:val="nil"/>
              <w:left w:val="nil"/>
              <w:bottom w:val="single" w:sz="4" w:space="0" w:color="auto"/>
              <w:right w:val="single" w:sz="4" w:space="0" w:color="auto"/>
            </w:tcBorders>
            <w:noWrap/>
            <w:vAlign w:val="bottom"/>
          </w:tcPr>
          <w:p w14:paraId="70705514"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r>
      <w:tr w:rsidR="00FE05D1" w14:paraId="43E64CCD"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7268A594"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120</w:t>
            </w:r>
          </w:p>
        </w:tc>
        <w:tc>
          <w:tcPr>
            <w:tcW w:w="1316" w:type="dxa"/>
            <w:tcBorders>
              <w:top w:val="nil"/>
              <w:left w:val="nil"/>
              <w:bottom w:val="single" w:sz="4" w:space="0" w:color="auto"/>
              <w:right w:val="single" w:sz="4" w:space="0" w:color="auto"/>
            </w:tcBorders>
            <w:noWrap/>
            <w:vAlign w:val="bottom"/>
            <w:hideMark/>
          </w:tcPr>
          <w:p w14:paraId="33A51467"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64.5 (57.2,71.9)</w:t>
            </w:r>
          </w:p>
        </w:tc>
        <w:tc>
          <w:tcPr>
            <w:tcW w:w="1276" w:type="dxa"/>
            <w:tcBorders>
              <w:top w:val="nil"/>
              <w:left w:val="nil"/>
              <w:bottom w:val="single" w:sz="4" w:space="0" w:color="auto"/>
              <w:right w:val="single" w:sz="4" w:space="0" w:color="auto"/>
            </w:tcBorders>
            <w:noWrap/>
            <w:vAlign w:val="bottom"/>
            <w:hideMark/>
          </w:tcPr>
          <w:p w14:paraId="5F0C9426"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95.4 (91,98.1)</w:t>
            </w:r>
          </w:p>
        </w:tc>
        <w:tc>
          <w:tcPr>
            <w:tcW w:w="1134" w:type="dxa"/>
            <w:tcBorders>
              <w:top w:val="nil"/>
              <w:left w:val="nil"/>
              <w:bottom w:val="single" w:sz="4" w:space="0" w:color="auto"/>
              <w:right w:val="single" w:sz="4" w:space="0" w:color="auto"/>
            </w:tcBorders>
            <w:noWrap/>
            <w:vAlign w:val="bottom"/>
            <w:hideMark/>
          </w:tcPr>
          <w:p w14:paraId="009C62C1"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71 (64.9,76.4)</w:t>
            </w:r>
          </w:p>
        </w:tc>
        <w:tc>
          <w:tcPr>
            <w:tcW w:w="1276" w:type="dxa"/>
            <w:tcBorders>
              <w:top w:val="nil"/>
              <w:left w:val="nil"/>
              <w:bottom w:val="single" w:sz="4" w:space="0" w:color="auto"/>
              <w:right w:val="single" w:sz="4" w:space="0" w:color="auto"/>
            </w:tcBorders>
            <w:noWrap/>
            <w:vAlign w:val="bottom"/>
            <w:hideMark/>
          </w:tcPr>
          <w:p w14:paraId="0A853DA4"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94.6 (90.3,97.3)</w:t>
            </w:r>
          </w:p>
        </w:tc>
        <w:tc>
          <w:tcPr>
            <w:tcW w:w="1134" w:type="dxa"/>
            <w:tcBorders>
              <w:top w:val="nil"/>
              <w:left w:val="nil"/>
              <w:bottom w:val="single" w:sz="4" w:space="0" w:color="auto"/>
              <w:right w:val="single" w:sz="4" w:space="0" w:color="auto"/>
            </w:tcBorders>
            <w:noWrap/>
            <w:vAlign w:val="bottom"/>
            <w:hideMark/>
          </w:tcPr>
          <w:p w14:paraId="349A608C"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70.2 (58.3,83.3)</w:t>
            </w:r>
          </w:p>
        </w:tc>
        <w:tc>
          <w:tcPr>
            <w:tcW w:w="1134" w:type="dxa"/>
            <w:tcBorders>
              <w:top w:val="nil"/>
              <w:left w:val="nil"/>
              <w:bottom w:val="single" w:sz="4" w:space="0" w:color="auto"/>
              <w:right w:val="single" w:sz="4" w:space="0" w:color="auto"/>
            </w:tcBorders>
            <w:noWrap/>
            <w:vAlign w:val="bottom"/>
            <w:hideMark/>
          </w:tcPr>
          <w:p w14:paraId="2176A108"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93.1 (79.2,98.9)</w:t>
            </w:r>
          </w:p>
        </w:tc>
        <w:tc>
          <w:tcPr>
            <w:tcW w:w="1134" w:type="dxa"/>
            <w:tcBorders>
              <w:top w:val="nil"/>
              <w:left w:val="nil"/>
              <w:bottom w:val="single" w:sz="4" w:space="0" w:color="auto"/>
              <w:right w:val="single" w:sz="4" w:space="0" w:color="auto"/>
            </w:tcBorders>
            <w:noWrap/>
            <w:vAlign w:val="bottom"/>
            <w:hideMark/>
          </w:tcPr>
          <w:p w14:paraId="5F0C7AA5"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71.4 (58.9,79.4)</w:t>
            </w:r>
          </w:p>
        </w:tc>
        <w:tc>
          <w:tcPr>
            <w:tcW w:w="1134" w:type="dxa"/>
            <w:tcBorders>
              <w:top w:val="nil"/>
              <w:left w:val="nil"/>
              <w:bottom w:val="single" w:sz="4" w:space="0" w:color="auto"/>
              <w:right w:val="single" w:sz="4" w:space="0" w:color="auto"/>
            </w:tcBorders>
            <w:noWrap/>
            <w:vAlign w:val="bottom"/>
            <w:hideMark/>
          </w:tcPr>
          <w:p w14:paraId="7CCA001D"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95.2 (92.3,97.4)</w:t>
            </w:r>
          </w:p>
        </w:tc>
        <w:tc>
          <w:tcPr>
            <w:tcW w:w="1134" w:type="dxa"/>
            <w:tcBorders>
              <w:top w:val="nil"/>
              <w:left w:val="nil"/>
              <w:bottom w:val="single" w:sz="4" w:space="0" w:color="auto"/>
              <w:right w:val="single" w:sz="4" w:space="0" w:color="auto"/>
            </w:tcBorders>
            <w:noWrap/>
            <w:vAlign w:val="bottom"/>
          </w:tcPr>
          <w:p w14:paraId="6C735DE8"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c>
          <w:tcPr>
            <w:tcW w:w="1134" w:type="dxa"/>
            <w:tcBorders>
              <w:top w:val="nil"/>
              <w:left w:val="nil"/>
              <w:bottom w:val="single" w:sz="4" w:space="0" w:color="auto"/>
              <w:right w:val="single" w:sz="4" w:space="0" w:color="auto"/>
            </w:tcBorders>
            <w:noWrap/>
            <w:vAlign w:val="bottom"/>
          </w:tcPr>
          <w:p w14:paraId="20E67369"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r>
      <w:tr w:rsidR="00FE05D1" w14:paraId="4A496C83"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751D1D26"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150</w:t>
            </w:r>
          </w:p>
        </w:tc>
        <w:tc>
          <w:tcPr>
            <w:tcW w:w="1316" w:type="dxa"/>
            <w:tcBorders>
              <w:top w:val="nil"/>
              <w:left w:val="nil"/>
              <w:bottom w:val="single" w:sz="4" w:space="0" w:color="auto"/>
              <w:right w:val="single" w:sz="4" w:space="0" w:color="auto"/>
            </w:tcBorders>
            <w:noWrap/>
            <w:vAlign w:val="bottom"/>
            <w:hideMark/>
          </w:tcPr>
          <w:p w14:paraId="78F44259"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61.3 (53.7,68.9)</w:t>
            </w:r>
          </w:p>
        </w:tc>
        <w:tc>
          <w:tcPr>
            <w:tcW w:w="1276" w:type="dxa"/>
            <w:tcBorders>
              <w:top w:val="nil"/>
              <w:left w:val="nil"/>
              <w:bottom w:val="single" w:sz="4" w:space="0" w:color="auto"/>
              <w:right w:val="single" w:sz="4" w:space="0" w:color="auto"/>
            </w:tcBorders>
            <w:noWrap/>
            <w:vAlign w:val="bottom"/>
            <w:hideMark/>
          </w:tcPr>
          <w:p w14:paraId="4DA240CD"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96 (91.9,98.4)</w:t>
            </w:r>
          </w:p>
        </w:tc>
        <w:tc>
          <w:tcPr>
            <w:tcW w:w="1134" w:type="dxa"/>
            <w:tcBorders>
              <w:top w:val="nil"/>
              <w:left w:val="nil"/>
              <w:bottom w:val="single" w:sz="4" w:space="0" w:color="auto"/>
              <w:right w:val="single" w:sz="4" w:space="0" w:color="auto"/>
            </w:tcBorders>
            <w:noWrap/>
            <w:vAlign w:val="bottom"/>
            <w:hideMark/>
          </w:tcPr>
          <w:p w14:paraId="649CC4AC"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68.5 (62.1,74.2)</w:t>
            </w:r>
          </w:p>
        </w:tc>
        <w:tc>
          <w:tcPr>
            <w:tcW w:w="1276" w:type="dxa"/>
            <w:tcBorders>
              <w:top w:val="nil"/>
              <w:left w:val="nil"/>
              <w:bottom w:val="single" w:sz="4" w:space="0" w:color="auto"/>
              <w:right w:val="single" w:sz="4" w:space="0" w:color="auto"/>
            </w:tcBorders>
            <w:noWrap/>
            <w:vAlign w:val="bottom"/>
            <w:hideMark/>
          </w:tcPr>
          <w:p w14:paraId="6D31F045"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95.2 (91.1,97.6)</w:t>
            </w:r>
          </w:p>
        </w:tc>
        <w:tc>
          <w:tcPr>
            <w:tcW w:w="1134" w:type="dxa"/>
            <w:tcBorders>
              <w:top w:val="nil"/>
              <w:left w:val="nil"/>
              <w:bottom w:val="single" w:sz="4" w:space="0" w:color="auto"/>
              <w:right w:val="single" w:sz="4" w:space="0" w:color="auto"/>
            </w:tcBorders>
            <w:noWrap/>
            <w:vAlign w:val="bottom"/>
            <w:hideMark/>
          </w:tcPr>
          <w:p w14:paraId="2FDB7596"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67.8 (55.5,81.5)</w:t>
            </w:r>
          </w:p>
        </w:tc>
        <w:tc>
          <w:tcPr>
            <w:tcW w:w="1134" w:type="dxa"/>
            <w:tcBorders>
              <w:top w:val="nil"/>
              <w:left w:val="nil"/>
              <w:bottom w:val="single" w:sz="4" w:space="0" w:color="auto"/>
              <w:right w:val="single" w:sz="4" w:space="0" w:color="auto"/>
            </w:tcBorders>
            <w:noWrap/>
            <w:vAlign w:val="bottom"/>
            <w:hideMark/>
          </w:tcPr>
          <w:p w14:paraId="113AD256"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93.8 (80.4,99.1)</w:t>
            </w:r>
          </w:p>
        </w:tc>
        <w:tc>
          <w:tcPr>
            <w:tcW w:w="1134" w:type="dxa"/>
            <w:tcBorders>
              <w:top w:val="nil"/>
              <w:left w:val="nil"/>
              <w:bottom w:val="single" w:sz="4" w:space="0" w:color="auto"/>
              <w:right w:val="single" w:sz="4" w:space="0" w:color="auto"/>
            </w:tcBorders>
            <w:noWrap/>
            <w:vAlign w:val="bottom"/>
            <w:hideMark/>
          </w:tcPr>
          <w:p w14:paraId="18A3F4BA"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68.9 (55.8,77.3)</w:t>
            </w:r>
          </w:p>
        </w:tc>
        <w:tc>
          <w:tcPr>
            <w:tcW w:w="1134" w:type="dxa"/>
            <w:tcBorders>
              <w:top w:val="nil"/>
              <w:left w:val="nil"/>
              <w:bottom w:val="single" w:sz="4" w:space="0" w:color="auto"/>
              <w:right w:val="single" w:sz="4" w:space="0" w:color="auto"/>
            </w:tcBorders>
            <w:noWrap/>
            <w:vAlign w:val="bottom"/>
            <w:hideMark/>
          </w:tcPr>
          <w:p w14:paraId="64F041FC"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95.7 (93,97.7)</w:t>
            </w:r>
          </w:p>
        </w:tc>
        <w:tc>
          <w:tcPr>
            <w:tcW w:w="1134" w:type="dxa"/>
            <w:tcBorders>
              <w:top w:val="nil"/>
              <w:left w:val="nil"/>
              <w:bottom w:val="single" w:sz="4" w:space="0" w:color="auto"/>
              <w:right w:val="single" w:sz="4" w:space="0" w:color="auto"/>
            </w:tcBorders>
            <w:noWrap/>
            <w:vAlign w:val="bottom"/>
          </w:tcPr>
          <w:p w14:paraId="70204626"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c>
          <w:tcPr>
            <w:tcW w:w="1134" w:type="dxa"/>
            <w:tcBorders>
              <w:top w:val="nil"/>
              <w:left w:val="nil"/>
              <w:bottom w:val="single" w:sz="4" w:space="0" w:color="auto"/>
              <w:right w:val="single" w:sz="4" w:space="0" w:color="auto"/>
            </w:tcBorders>
            <w:noWrap/>
            <w:vAlign w:val="bottom"/>
          </w:tcPr>
          <w:p w14:paraId="21300556"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r>
      <w:tr w:rsidR="00FE05D1" w14:paraId="3A5632AB"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7DD4C73C"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200</w:t>
            </w:r>
          </w:p>
        </w:tc>
        <w:tc>
          <w:tcPr>
            <w:tcW w:w="1316" w:type="dxa"/>
            <w:tcBorders>
              <w:top w:val="nil"/>
              <w:left w:val="nil"/>
              <w:bottom w:val="single" w:sz="4" w:space="0" w:color="auto"/>
              <w:right w:val="single" w:sz="4" w:space="0" w:color="auto"/>
            </w:tcBorders>
            <w:noWrap/>
            <w:vAlign w:val="bottom"/>
            <w:hideMark/>
          </w:tcPr>
          <w:p w14:paraId="66EC4D58"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57 (48.9,64.9)</w:t>
            </w:r>
          </w:p>
        </w:tc>
        <w:tc>
          <w:tcPr>
            <w:tcW w:w="1276" w:type="dxa"/>
            <w:tcBorders>
              <w:top w:val="nil"/>
              <w:left w:val="nil"/>
              <w:bottom w:val="single" w:sz="4" w:space="0" w:color="auto"/>
              <w:right w:val="single" w:sz="4" w:space="0" w:color="auto"/>
            </w:tcBorders>
            <w:noWrap/>
            <w:vAlign w:val="bottom"/>
            <w:hideMark/>
          </w:tcPr>
          <w:p w14:paraId="12600F40"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96.6 (92.8,98.7)</w:t>
            </w:r>
          </w:p>
        </w:tc>
        <w:tc>
          <w:tcPr>
            <w:tcW w:w="1134" w:type="dxa"/>
            <w:tcBorders>
              <w:top w:val="nil"/>
              <w:left w:val="nil"/>
              <w:bottom w:val="single" w:sz="4" w:space="0" w:color="auto"/>
              <w:right w:val="single" w:sz="4" w:space="0" w:color="auto"/>
            </w:tcBorders>
            <w:noWrap/>
            <w:vAlign w:val="bottom"/>
            <w:hideMark/>
          </w:tcPr>
          <w:p w14:paraId="0A35BB68"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65.2 (58.4,71.2)</w:t>
            </w:r>
          </w:p>
        </w:tc>
        <w:tc>
          <w:tcPr>
            <w:tcW w:w="1276" w:type="dxa"/>
            <w:tcBorders>
              <w:top w:val="nil"/>
              <w:left w:val="nil"/>
              <w:bottom w:val="single" w:sz="4" w:space="0" w:color="auto"/>
              <w:right w:val="single" w:sz="4" w:space="0" w:color="auto"/>
            </w:tcBorders>
            <w:noWrap/>
            <w:vAlign w:val="bottom"/>
            <w:hideMark/>
          </w:tcPr>
          <w:p w14:paraId="4A633E40"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95.8 (92.1,98)</w:t>
            </w:r>
          </w:p>
        </w:tc>
        <w:tc>
          <w:tcPr>
            <w:tcW w:w="1134" w:type="dxa"/>
            <w:tcBorders>
              <w:top w:val="nil"/>
              <w:left w:val="nil"/>
              <w:bottom w:val="single" w:sz="4" w:space="0" w:color="auto"/>
              <w:right w:val="single" w:sz="4" w:space="0" w:color="auto"/>
            </w:tcBorders>
            <w:noWrap/>
            <w:vAlign w:val="bottom"/>
            <w:hideMark/>
          </w:tcPr>
          <w:p w14:paraId="5C58034D"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64.4 (51.7,79.1)</w:t>
            </w:r>
          </w:p>
        </w:tc>
        <w:tc>
          <w:tcPr>
            <w:tcW w:w="1134" w:type="dxa"/>
            <w:tcBorders>
              <w:top w:val="nil"/>
              <w:left w:val="nil"/>
              <w:bottom w:val="single" w:sz="4" w:space="0" w:color="auto"/>
              <w:right w:val="single" w:sz="4" w:space="0" w:color="auto"/>
            </w:tcBorders>
            <w:noWrap/>
            <w:vAlign w:val="bottom"/>
            <w:hideMark/>
          </w:tcPr>
          <w:p w14:paraId="378389F3"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94.6 (81.7,99.3)</w:t>
            </w:r>
          </w:p>
        </w:tc>
        <w:tc>
          <w:tcPr>
            <w:tcW w:w="1134" w:type="dxa"/>
            <w:tcBorders>
              <w:top w:val="nil"/>
              <w:left w:val="nil"/>
              <w:bottom w:val="single" w:sz="4" w:space="0" w:color="auto"/>
              <w:right w:val="single" w:sz="4" w:space="0" w:color="auto"/>
            </w:tcBorders>
            <w:noWrap/>
            <w:hideMark/>
          </w:tcPr>
          <w:p w14:paraId="4C4FF51C"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c>
          <w:tcPr>
            <w:tcW w:w="1134" w:type="dxa"/>
            <w:tcBorders>
              <w:top w:val="nil"/>
              <w:left w:val="nil"/>
              <w:bottom w:val="single" w:sz="4" w:space="0" w:color="auto"/>
              <w:right w:val="single" w:sz="4" w:space="0" w:color="auto"/>
            </w:tcBorders>
            <w:noWrap/>
            <w:hideMark/>
          </w:tcPr>
          <w:p w14:paraId="327B181A"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c>
          <w:tcPr>
            <w:tcW w:w="1134" w:type="dxa"/>
            <w:tcBorders>
              <w:top w:val="nil"/>
              <w:left w:val="nil"/>
              <w:bottom w:val="single" w:sz="4" w:space="0" w:color="auto"/>
              <w:right w:val="single" w:sz="4" w:space="0" w:color="auto"/>
            </w:tcBorders>
            <w:noWrap/>
            <w:hideMark/>
          </w:tcPr>
          <w:p w14:paraId="37586A9F"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c>
          <w:tcPr>
            <w:tcW w:w="1134" w:type="dxa"/>
            <w:tcBorders>
              <w:top w:val="nil"/>
              <w:left w:val="nil"/>
              <w:bottom w:val="single" w:sz="4" w:space="0" w:color="auto"/>
              <w:right w:val="single" w:sz="4" w:space="0" w:color="auto"/>
            </w:tcBorders>
            <w:noWrap/>
            <w:hideMark/>
          </w:tcPr>
          <w:p w14:paraId="55FF330C"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r>
      <w:tr w:rsidR="00FE05D1" w14:paraId="35BD303A" w14:textId="77777777" w:rsidTr="006B2492">
        <w:trPr>
          <w:trHeight w:val="300"/>
        </w:trPr>
        <w:tc>
          <w:tcPr>
            <w:tcW w:w="947" w:type="dxa"/>
            <w:tcBorders>
              <w:top w:val="nil"/>
              <w:left w:val="single" w:sz="4" w:space="0" w:color="auto"/>
              <w:bottom w:val="single" w:sz="4" w:space="0" w:color="auto"/>
              <w:right w:val="single" w:sz="4" w:space="0" w:color="auto"/>
            </w:tcBorders>
            <w:noWrap/>
            <w:vAlign w:val="bottom"/>
            <w:hideMark/>
          </w:tcPr>
          <w:p w14:paraId="17E2A5C3" w14:textId="77777777" w:rsidR="00FE05D1" w:rsidRDefault="00FE05D1" w:rsidP="006B2492">
            <w:pPr>
              <w:rPr>
                <w:rFonts w:asciiTheme="majorBidi" w:hAnsiTheme="majorBidi" w:cstheme="majorBidi"/>
                <w:b/>
                <w:bCs/>
                <w:color w:val="000000"/>
                <w:sz w:val="18"/>
                <w:szCs w:val="18"/>
              </w:rPr>
            </w:pPr>
            <w:r>
              <w:rPr>
                <w:rFonts w:asciiTheme="majorBidi" w:hAnsiTheme="majorBidi" w:cstheme="majorBidi"/>
                <w:b/>
                <w:bCs/>
                <w:color w:val="000000"/>
                <w:sz w:val="18"/>
                <w:szCs w:val="18"/>
              </w:rPr>
              <w:t>400</w:t>
            </w:r>
          </w:p>
        </w:tc>
        <w:tc>
          <w:tcPr>
            <w:tcW w:w="1316" w:type="dxa"/>
            <w:tcBorders>
              <w:top w:val="nil"/>
              <w:left w:val="nil"/>
              <w:bottom w:val="single" w:sz="4" w:space="0" w:color="auto"/>
              <w:right w:val="single" w:sz="4" w:space="0" w:color="auto"/>
            </w:tcBorders>
            <w:noWrap/>
            <w:vAlign w:val="bottom"/>
            <w:hideMark/>
          </w:tcPr>
          <w:p w14:paraId="6CFDE2EF"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46.3 (37.4,54.9)</w:t>
            </w:r>
          </w:p>
        </w:tc>
        <w:tc>
          <w:tcPr>
            <w:tcW w:w="1276" w:type="dxa"/>
            <w:tcBorders>
              <w:top w:val="nil"/>
              <w:left w:val="nil"/>
              <w:bottom w:val="single" w:sz="4" w:space="0" w:color="auto"/>
              <w:right w:val="single" w:sz="4" w:space="0" w:color="auto"/>
            </w:tcBorders>
            <w:noWrap/>
            <w:vAlign w:val="bottom"/>
            <w:hideMark/>
          </w:tcPr>
          <w:p w14:paraId="62F7D465"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97.7 (94.7,99.2)</w:t>
            </w:r>
          </w:p>
        </w:tc>
        <w:tc>
          <w:tcPr>
            <w:tcW w:w="1134" w:type="dxa"/>
            <w:tcBorders>
              <w:top w:val="nil"/>
              <w:left w:val="nil"/>
              <w:bottom w:val="single" w:sz="4" w:space="0" w:color="auto"/>
              <w:right w:val="single" w:sz="4" w:space="0" w:color="auto"/>
            </w:tcBorders>
            <w:noWrap/>
            <w:vAlign w:val="bottom"/>
            <w:hideMark/>
          </w:tcPr>
          <w:p w14:paraId="589C2458"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56.5 (48.7,63.5)</w:t>
            </w:r>
          </w:p>
        </w:tc>
        <w:tc>
          <w:tcPr>
            <w:tcW w:w="1276" w:type="dxa"/>
            <w:tcBorders>
              <w:top w:val="nil"/>
              <w:left w:val="nil"/>
              <w:bottom w:val="single" w:sz="4" w:space="0" w:color="auto"/>
              <w:right w:val="single" w:sz="4" w:space="0" w:color="auto"/>
            </w:tcBorders>
            <w:noWrap/>
            <w:vAlign w:val="bottom"/>
            <w:hideMark/>
          </w:tcPr>
          <w:p w14:paraId="792B3542"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97.1 (94.1,98.7)</w:t>
            </w:r>
          </w:p>
        </w:tc>
        <w:tc>
          <w:tcPr>
            <w:tcW w:w="1134" w:type="dxa"/>
            <w:tcBorders>
              <w:top w:val="nil"/>
              <w:left w:val="nil"/>
              <w:bottom w:val="single" w:sz="4" w:space="0" w:color="auto"/>
              <w:right w:val="single" w:sz="4" w:space="0" w:color="auto"/>
            </w:tcBorders>
            <w:noWrap/>
            <w:vAlign w:val="bottom"/>
            <w:hideMark/>
          </w:tcPr>
          <w:p w14:paraId="09A71765"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55.8 (41.8,72.6)</w:t>
            </w:r>
          </w:p>
        </w:tc>
        <w:tc>
          <w:tcPr>
            <w:tcW w:w="1134" w:type="dxa"/>
            <w:tcBorders>
              <w:top w:val="nil"/>
              <w:left w:val="nil"/>
              <w:bottom w:val="single" w:sz="4" w:space="0" w:color="auto"/>
              <w:right w:val="single" w:sz="4" w:space="0" w:color="auto"/>
            </w:tcBorders>
            <w:noWrap/>
            <w:vAlign w:val="bottom"/>
            <w:hideMark/>
          </w:tcPr>
          <w:p w14:paraId="6A393F40"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96.2 (84.8,99.6)</w:t>
            </w:r>
          </w:p>
        </w:tc>
        <w:tc>
          <w:tcPr>
            <w:tcW w:w="1134" w:type="dxa"/>
            <w:tcBorders>
              <w:top w:val="nil"/>
              <w:left w:val="nil"/>
              <w:bottom w:val="single" w:sz="4" w:space="0" w:color="auto"/>
              <w:right w:val="single" w:sz="4" w:space="0" w:color="auto"/>
            </w:tcBorders>
            <w:noWrap/>
            <w:hideMark/>
          </w:tcPr>
          <w:p w14:paraId="313C77FB"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c>
          <w:tcPr>
            <w:tcW w:w="1134" w:type="dxa"/>
            <w:tcBorders>
              <w:top w:val="nil"/>
              <w:left w:val="nil"/>
              <w:bottom w:val="single" w:sz="4" w:space="0" w:color="auto"/>
              <w:right w:val="single" w:sz="4" w:space="0" w:color="auto"/>
            </w:tcBorders>
            <w:noWrap/>
            <w:hideMark/>
          </w:tcPr>
          <w:p w14:paraId="77D3AA14"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c>
          <w:tcPr>
            <w:tcW w:w="1134" w:type="dxa"/>
            <w:tcBorders>
              <w:top w:val="nil"/>
              <w:left w:val="nil"/>
              <w:bottom w:val="single" w:sz="4" w:space="0" w:color="auto"/>
              <w:right w:val="single" w:sz="4" w:space="0" w:color="auto"/>
            </w:tcBorders>
            <w:noWrap/>
            <w:hideMark/>
          </w:tcPr>
          <w:p w14:paraId="0E30AF90"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c>
          <w:tcPr>
            <w:tcW w:w="1134" w:type="dxa"/>
            <w:tcBorders>
              <w:top w:val="nil"/>
              <w:left w:val="nil"/>
              <w:bottom w:val="single" w:sz="4" w:space="0" w:color="auto"/>
              <w:right w:val="single" w:sz="4" w:space="0" w:color="auto"/>
            </w:tcBorders>
            <w:noWrap/>
            <w:hideMark/>
          </w:tcPr>
          <w:p w14:paraId="7CCBE92C" w14:textId="77777777" w:rsidR="00FE05D1" w:rsidRDefault="00FE05D1" w:rsidP="006B2492">
            <w:pPr>
              <w:rPr>
                <w:rFonts w:asciiTheme="majorBidi" w:hAnsiTheme="majorBidi" w:cstheme="majorBidi"/>
                <w:color w:val="000000"/>
                <w:sz w:val="18"/>
                <w:szCs w:val="18"/>
              </w:rPr>
            </w:pPr>
            <w:r>
              <w:rPr>
                <w:rFonts w:asciiTheme="majorBidi" w:hAnsiTheme="majorBidi" w:cstheme="majorBidi"/>
                <w:color w:val="000000"/>
                <w:sz w:val="18"/>
                <w:szCs w:val="18"/>
              </w:rPr>
              <w:t>NR</w:t>
            </w:r>
          </w:p>
        </w:tc>
      </w:tr>
    </w:tbl>
    <w:p w14:paraId="35EFE2A2" w14:textId="77777777" w:rsidR="00FE05D1" w:rsidRDefault="00FE05D1" w:rsidP="00FE05D1"/>
    <w:p w14:paraId="4ED63838" w14:textId="77777777" w:rsidR="00FE05D1" w:rsidRDefault="00FE05D1" w:rsidP="00FE05D1"/>
    <w:p w14:paraId="16D238EF" w14:textId="77777777" w:rsidR="00237A3D" w:rsidRDefault="00237A3D"/>
    <w:sectPr w:rsidR="00237A3D" w:rsidSect="00517102">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5D1"/>
    <w:rsid w:val="000F2AD7"/>
    <w:rsid w:val="001E51A9"/>
    <w:rsid w:val="00237A3D"/>
    <w:rsid w:val="00517102"/>
    <w:rsid w:val="0079251A"/>
    <w:rsid w:val="009B3952"/>
    <w:rsid w:val="00FE05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F0A1"/>
  <w15:chartTrackingRefBased/>
  <w15:docId w15:val="{90E0D051-066C-49CA-90C5-5967F6F1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5D1"/>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4">
    <w:name w:val="heading 4"/>
    <w:basedOn w:val="Normal"/>
    <w:next w:val="Normal"/>
    <w:link w:val="Heading4Char"/>
    <w:uiPriority w:val="9"/>
    <w:qFormat/>
    <w:rsid w:val="00FE05D1"/>
    <w:pPr>
      <w:keepNext/>
      <w:spacing w:line="360" w:lineRule="auto"/>
      <w:outlineLvl w:val="3"/>
    </w:pPr>
    <w:rPr>
      <w:rFonts w:asciiTheme="majorBidi" w:hAnsiTheme="majorBidi"/>
      <w:bCs/>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FE05D1"/>
    <w:rPr>
      <w:rFonts w:asciiTheme="majorBidi" w:eastAsia="Times New Roman" w:hAnsiTheme="majorBidi" w:cs="Times New Roman"/>
      <w:bCs/>
      <w:kern w:val="0"/>
      <w:szCs w:val="28"/>
      <w:lang w:val="x-none" w:eastAsia="x-none"/>
      <w14:ligatures w14:val="none"/>
    </w:rPr>
  </w:style>
  <w:style w:type="paragraph" w:styleId="Caption">
    <w:name w:val="caption"/>
    <w:aliases w:val="- H17,figure,Caption-FUSA,! Q,Caption Char Char Char Char,Caption Char Char Char,Caption Char Char,Table,c,Char,Fig. title,NICE Table-Figure,Bayer Caption,IB Caption,Medical Caption,PHE Caption,B Caption,Caption2,Caption - H17,Caption 3,table"/>
    <w:basedOn w:val="Normal"/>
    <w:next w:val="Normal"/>
    <w:link w:val="CaptionChar"/>
    <w:uiPriority w:val="35"/>
    <w:unhideWhenUsed/>
    <w:qFormat/>
    <w:rsid w:val="00FE05D1"/>
    <w:pPr>
      <w:widowControl w:val="0"/>
      <w:spacing w:after="200"/>
      <w:jc w:val="both"/>
    </w:pPr>
    <w:rPr>
      <w:i/>
      <w:iCs/>
      <w:color w:val="44546A" w:themeColor="text2"/>
      <w:sz w:val="18"/>
      <w:szCs w:val="18"/>
      <w:lang w:eastAsia="zh-CN"/>
    </w:rPr>
  </w:style>
  <w:style w:type="character" w:customStyle="1" w:styleId="CaptionChar">
    <w:name w:val="Caption Char"/>
    <w:aliases w:val="- H17 Char,figure Char,Caption-FUSA Char,! Q Char,Caption Char Char Char Char Char,Caption Char Char Char Char1,Caption Char Char Char1,Table Char,c Char,Char Char,Fig. title Char,NICE Table-Figure Char,Bayer Caption Char,IB Caption Char"/>
    <w:link w:val="Caption"/>
    <w:uiPriority w:val="35"/>
    <w:locked/>
    <w:rsid w:val="00FE05D1"/>
    <w:rPr>
      <w:rFonts w:ascii="Times New Roman" w:eastAsia="Times New Roman" w:hAnsi="Times New Roman" w:cs="Times New Roman"/>
      <w:i/>
      <w:iCs/>
      <w:color w:val="44546A" w:themeColor="text2"/>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649</Words>
  <Characters>3801</Characters>
  <Application>Microsoft Office Word</Application>
  <DocSecurity>0</DocSecurity>
  <Lines>60</Lines>
  <Paragraphs>22</Paragraphs>
  <ScaleCrop>false</ScaleCrop>
  <Company>The University of Sheffield</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Harnan</dc:creator>
  <cp:keywords/>
  <dc:description/>
  <cp:lastModifiedBy>Susan Harnan</cp:lastModifiedBy>
  <cp:revision>3</cp:revision>
  <dcterms:created xsi:type="dcterms:W3CDTF">2024-03-13T17:48:00Z</dcterms:created>
  <dcterms:modified xsi:type="dcterms:W3CDTF">2024-03-13T18:44:00Z</dcterms:modified>
</cp:coreProperties>
</file>