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06D8C" w14:textId="77777777" w:rsidR="00AF176A" w:rsidRPr="00F316BF" w:rsidRDefault="00AF176A" w:rsidP="00AF176A">
      <w:pPr>
        <w:pStyle w:val="Heading1"/>
        <w:jc w:val="both"/>
        <w:rPr>
          <w:color w:val="000000" w:themeColor="text1"/>
        </w:rPr>
      </w:pPr>
      <w:r w:rsidRPr="00F316BF">
        <w:rPr>
          <w:color w:val="000000" w:themeColor="text1"/>
        </w:rPr>
        <w:t>The Indian Parliament: Deliberation and Representation</w:t>
      </w:r>
    </w:p>
    <w:p w14:paraId="5B0781A1" w14:textId="77777777" w:rsidR="00AF176A" w:rsidRPr="00F316BF" w:rsidRDefault="00AF176A" w:rsidP="00AF176A">
      <w:pPr>
        <w:jc w:val="both"/>
        <w:rPr>
          <w:rFonts w:ascii="Times New Roman" w:hAnsi="Times New Roman" w:cs="Times New Roman"/>
          <w:color w:val="000000" w:themeColor="text1"/>
        </w:rPr>
      </w:pPr>
    </w:p>
    <w:p w14:paraId="6A044829" w14:textId="08CD62F1" w:rsidR="00A379C9" w:rsidRDefault="00AF176A" w:rsidP="00AF176A">
      <w:pPr>
        <w:jc w:val="both"/>
        <w:rPr>
          <w:rFonts w:ascii="Times New Roman" w:hAnsi="Times New Roman" w:cs="Times New Roman"/>
          <w:color w:val="000000" w:themeColor="text1"/>
        </w:rPr>
      </w:pPr>
      <w:r w:rsidRPr="00F316BF">
        <w:rPr>
          <w:rFonts w:ascii="Times New Roman" w:hAnsi="Times New Roman" w:cs="Times New Roman"/>
          <w:color w:val="000000" w:themeColor="text1"/>
        </w:rPr>
        <w:t xml:space="preserve">Whatever else a parliament does, it must </w:t>
      </w:r>
      <w:proofErr w:type="gramStart"/>
      <w:r w:rsidRPr="00F316BF">
        <w:rPr>
          <w:rFonts w:ascii="Times New Roman" w:hAnsi="Times New Roman" w:cs="Times New Roman"/>
          <w:i/>
          <w:iCs/>
          <w:color w:val="000000" w:themeColor="text1"/>
        </w:rPr>
        <w:t>deliberate</w:t>
      </w:r>
      <w:proofErr w:type="gramEnd"/>
      <w:r w:rsidRPr="00F316BF">
        <w:rPr>
          <w:rFonts w:ascii="Times New Roman" w:hAnsi="Times New Roman" w:cs="Times New Roman"/>
          <w:color w:val="000000" w:themeColor="text1"/>
        </w:rPr>
        <w:t xml:space="preserve"> and it must serve as a </w:t>
      </w:r>
      <w:r w:rsidRPr="00F316BF">
        <w:rPr>
          <w:rFonts w:ascii="Times New Roman" w:hAnsi="Times New Roman" w:cs="Times New Roman"/>
          <w:i/>
          <w:iCs/>
          <w:color w:val="000000" w:themeColor="text1"/>
        </w:rPr>
        <w:t xml:space="preserve">representative </w:t>
      </w:r>
      <w:r w:rsidRPr="00F316BF">
        <w:rPr>
          <w:rFonts w:ascii="Times New Roman" w:hAnsi="Times New Roman" w:cs="Times New Roman"/>
          <w:color w:val="000000" w:themeColor="text1"/>
        </w:rPr>
        <w:t xml:space="preserve">body. The idea of deliberation is key to the distinctiveness of the sphere of legislating. As opposed to the executive—and this is not to say the executive need not deliberate—the very point of a legislature is to </w:t>
      </w:r>
      <w:r w:rsidRPr="00F316BF">
        <w:rPr>
          <w:rFonts w:ascii="Times New Roman" w:hAnsi="Times New Roman" w:cs="Times New Roman"/>
          <w:i/>
          <w:iCs/>
          <w:color w:val="000000" w:themeColor="text1"/>
        </w:rPr>
        <w:t>debate and consider</w:t>
      </w:r>
      <w:r w:rsidRPr="00F316BF">
        <w:rPr>
          <w:rFonts w:ascii="Times New Roman" w:hAnsi="Times New Roman" w:cs="Times New Roman"/>
          <w:color w:val="000000" w:themeColor="text1"/>
        </w:rPr>
        <w:t xml:space="preserve"> rival positions on how society should be governed. “It is surely part of our normative image of legislatures that they are bodies where deliberation takes place”, Jeremy Waldron (1995, 654) notes.  But deliberation in parliament differs in a crucial way from discussions at, say, an academic seminar or business meeting. For another core feature of the parliamentary forum consists in its status as a </w:t>
      </w:r>
      <w:r w:rsidRPr="00F316BF">
        <w:rPr>
          <w:rFonts w:ascii="Times New Roman" w:hAnsi="Times New Roman" w:cs="Times New Roman"/>
          <w:i/>
          <w:iCs/>
          <w:color w:val="000000" w:themeColor="text1"/>
        </w:rPr>
        <w:t xml:space="preserve">representative </w:t>
      </w:r>
      <w:r w:rsidRPr="00F316BF">
        <w:rPr>
          <w:rFonts w:ascii="Times New Roman" w:hAnsi="Times New Roman" w:cs="Times New Roman"/>
          <w:color w:val="000000" w:themeColor="text1"/>
        </w:rPr>
        <w:t xml:space="preserve">assembly (Selinger 2019). Consider, for instance, the large numerical size of parliamentary membership and the traditional presence of more than one political party in the legislature. These features underscore the importance that, normatively, attaches to the idea that different groups of people, preferences, and interests should be represented in the parliamentary process. Together, these normative ideals of deliberation and representation serve as regulatory ideals through which we can evaluate and re-assess how a parliament functions. </w:t>
      </w:r>
    </w:p>
    <w:p w14:paraId="417B4FE9" w14:textId="77777777" w:rsidR="00A379C9" w:rsidRPr="00A379C9" w:rsidRDefault="00A379C9" w:rsidP="00A379C9">
      <w:pPr>
        <w:jc w:val="both"/>
        <w:rPr>
          <w:rFonts w:ascii="Times New Roman" w:hAnsi="Times New Roman" w:cs="Times New Roman"/>
          <w:color w:val="000000" w:themeColor="text1"/>
        </w:rPr>
      </w:pPr>
    </w:p>
    <w:p w14:paraId="031CB001" w14:textId="4F3950F1" w:rsidR="003E34A0" w:rsidRPr="00A57236" w:rsidRDefault="007874BE" w:rsidP="00AF176A">
      <w:pPr>
        <w:jc w:val="both"/>
        <w:rPr>
          <w:rFonts w:ascii="Times New Roman" w:hAnsi="Times New Roman" w:cs="Times New Roman"/>
          <w:color w:val="000000" w:themeColor="text1"/>
        </w:rPr>
      </w:pPr>
      <w:r w:rsidRPr="00A57236">
        <w:rPr>
          <w:rFonts w:ascii="Times New Roman" w:hAnsi="Times New Roman" w:cs="Times New Roman"/>
          <w:color w:val="000000" w:themeColor="text1"/>
        </w:rPr>
        <w:t>There are various concerns that we might raise about the deliberative and representative capacities of Indian parliament.</w:t>
      </w:r>
      <w:r w:rsidR="003B619C" w:rsidRPr="00A57236">
        <w:rPr>
          <w:rFonts w:ascii="Times New Roman" w:hAnsi="Times New Roman" w:cs="Times New Roman"/>
          <w:color w:val="000000" w:themeColor="text1"/>
        </w:rPr>
        <w:t xml:space="preserve"> First, there have been concerns raised about the insufficiency of </w:t>
      </w:r>
      <w:r w:rsidR="003B619C" w:rsidRPr="00A379C9">
        <w:rPr>
          <w:rFonts w:ascii="Times New Roman" w:hAnsi="Times New Roman" w:cs="Times New Roman"/>
          <w:i/>
          <w:iCs/>
          <w:color w:val="000000" w:themeColor="text1"/>
        </w:rPr>
        <w:t>opposition rights</w:t>
      </w:r>
      <w:r w:rsidR="003B619C" w:rsidRPr="00A57236">
        <w:rPr>
          <w:rFonts w:ascii="Times New Roman" w:hAnsi="Times New Roman" w:cs="Times New Roman"/>
          <w:color w:val="000000" w:themeColor="text1"/>
        </w:rPr>
        <w:t xml:space="preserve"> in Indian parliamentary procedure. There is no constitutional recognition for opposition rights in India. Since </w:t>
      </w:r>
      <w:r w:rsidR="003E34A0" w:rsidRPr="00A57236">
        <w:rPr>
          <w:rFonts w:ascii="Times New Roman" w:hAnsi="Times New Roman" w:cs="Times New Roman"/>
          <w:color w:val="000000" w:themeColor="text1"/>
        </w:rPr>
        <w:t xml:space="preserve">2014, the Speaker of the Lok Sabha has refused to recognise an </w:t>
      </w:r>
      <w:r w:rsidR="00894774" w:rsidRPr="00A57236">
        <w:rPr>
          <w:rFonts w:ascii="Times New Roman" w:hAnsi="Times New Roman" w:cs="Times New Roman"/>
          <w:color w:val="000000" w:themeColor="text1"/>
        </w:rPr>
        <w:t>official “Leader of Opposition”. In doing so, speakers have drawn on a “direction” framed in 1956 by the speaker at that time, GV Mavlankar. Direction 121 limited recognition of a parliamentary party to a party that held at least 10 percent of the total seats in the Lok Sabha. Many have suggested that the speaker’s view is based on a misreading of the law</w:t>
      </w:r>
      <w:r w:rsidR="00A379C9">
        <w:rPr>
          <w:rFonts w:ascii="Times New Roman" w:hAnsi="Times New Roman" w:cs="Times New Roman"/>
          <w:color w:val="000000" w:themeColor="text1"/>
        </w:rPr>
        <w:t xml:space="preserve"> (The Wire 2019; Ramkumar &amp; Singh 2022).</w:t>
      </w:r>
      <w:r w:rsidR="00894774" w:rsidRPr="00A57236">
        <w:rPr>
          <w:rFonts w:ascii="Times New Roman" w:hAnsi="Times New Roman" w:cs="Times New Roman"/>
          <w:color w:val="000000" w:themeColor="text1"/>
        </w:rPr>
        <w:t xml:space="preserve"> According to the Salary and Allowances of Leaders of Opposition in Parliament Act of 1977, the leader of the opposition party with the largest share of seats in the Lok Sabha should be designated as the Leader of Opposition. Arguably, there is a case for constitutional rather than merely statutory acknowledgment of the opposition’s role in parliamentary democracy.  There is, however, a deeper underlying question about the rights of the opposition in India that go beyond its recognition</w:t>
      </w:r>
      <w:r w:rsidR="003B619C" w:rsidRPr="00A57236">
        <w:rPr>
          <w:rFonts w:ascii="Times New Roman" w:hAnsi="Times New Roman" w:cs="Times New Roman"/>
          <w:color w:val="000000" w:themeColor="text1"/>
        </w:rPr>
        <w:t xml:space="preserve">. Opposition rights require, among other things, empowering legislators outside the governing party (or coalition) through constitutional and parliamentary procedural means. These include procedural devices facilitating their agenda-setting power, access to information from the government, and access to funding for their work while in opposition. The absence of such mechanisms has important deliberative costs insofar as it hinders robust scrutiny and discussion over government legislation. But it also has implications for representation. Without robust mechanisms for opposition rights, parties and legislators who enjoy considerable electoral support and represent a large proportion of the electorate are unable to operate effectively in parliament. </w:t>
      </w:r>
    </w:p>
    <w:p w14:paraId="344FEA95" w14:textId="77777777" w:rsidR="003B619C" w:rsidRPr="00A57236" w:rsidRDefault="003B619C" w:rsidP="00AF176A">
      <w:pPr>
        <w:jc w:val="both"/>
        <w:rPr>
          <w:rFonts w:ascii="Times New Roman" w:hAnsi="Times New Roman" w:cs="Times New Roman"/>
          <w:color w:val="000000" w:themeColor="text1"/>
        </w:rPr>
      </w:pPr>
    </w:p>
    <w:p w14:paraId="565C2375" w14:textId="61EE8699" w:rsidR="003B619C" w:rsidRPr="00A379C9" w:rsidRDefault="003B619C" w:rsidP="00AF176A">
      <w:pPr>
        <w:jc w:val="both"/>
        <w:rPr>
          <w:rFonts w:ascii="Times New Roman" w:hAnsi="Times New Roman" w:cs="Times New Roman"/>
          <w:color w:val="000000" w:themeColor="text1"/>
        </w:rPr>
      </w:pPr>
      <w:r w:rsidRPr="00A379C9">
        <w:rPr>
          <w:rFonts w:ascii="Times New Roman" w:hAnsi="Times New Roman" w:cs="Times New Roman"/>
          <w:color w:val="000000" w:themeColor="text1"/>
        </w:rPr>
        <w:t xml:space="preserve">Second, there remain important concerns about the </w:t>
      </w:r>
      <w:r w:rsidRPr="00A379C9">
        <w:rPr>
          <w:rFonts w:ascii="Times New Roman" w:hAnsi="Times New Roman" w:cs="Times New Roman"/>
          <w:i/>
          <w:iCs/>
          <w:color w:val="000000" w:themeColor="text1"/>
        </w:rPr>
        <w:t xml:space="preserve">role of the </w:t>
      </w:r>
      <w:r w:rsidR="00A57236" w:rsidRPr="00A379C9">
        <w:rPr>
          <w:rFonts w:ascii="Times New Roman" w:hAnsi="Times New Roman" w:cs="Times New Roman"/>
          <w:i/>
          <w:iCs/>
          <w:color w:val="000000" w:themeColor="text1"/>
        </w:rPr>
        <w:t>speaker</w:t>
      </w:r>
      <w:r w:rsidR="00A57236" w:rsidRPr="00A379C9">
        <w:rPr>
          <w:rFonts w:ascii="Times New Roman" w:hAnsi="Times New Roman" w:cs="Times New Roman"/>
          <w:color w:val="000000" w:themeColor="text1"/>
        </w:rPr>
        <w:t xml:space="preserve"> </w:t>
      </w:r>
      <w:r w:rsidRPr="00A379C9">
        <w:rPr>
          <w:rFonts w:ascii="Times New Roman" w:hAnsi="Times New Roman" w:cs="Times New Roman"/>
          <w:color w:val="000000" w:themeColor="text1"/>
        </w:rPr>
        <w:t xml:space="preserve">and its implications for parliamentary functioning in India. In the first instance, the speaker has the power to </w:t>
      </w:r>
      <w:r w:rsidR="00A57236" w:rsidRPr="00A379C9">
        <w:rPr>
          <w:rFonts w:ascii="Times New Roman" w:hAnsi="Times New Roman" w:cs="Times New Roman"/>
          <w:color w:val="000000" w:themeColor="text1"/>
        </w:rPr>
        <w:t xml:space="preserve">disqualify members under the anti-defection law, a law that I discuss in greater detail below. Crucially, the speaker exercises a quasi-judicial power in adjudicating </w:t>
      </w:r>
      <w:proofErr w:type="gramStart"/>
      <w:r w:rsidR="00A57236" w:rsidRPr="00A379C9">
        <w:rPr>
          <w:rFonts w:ascii="Times New Roman" w:hAnsi="Times New Roman" w:cs="Times New Roman"/>
          <w:color w:val="000000" w:themeColor="text1"/>
        </w:rPr>
        <w:t>whether or not</w:t>
      </w:r>
      <w:proofErr w:type="gramEnd"/>
      <w:r w:rsidR="00A57236" w:rsidRPr="00A379C9">
        <w:rPr>
          <w:rFonts w:ascii="Times New Roman" w:hAnsi="Times New Roman" w:cs="Times New Roman"/>
          <w:color w:val="000000" w:themeColor="text1"/>
        </w:rPr>
        <w:t xml:space="preserve"> a legislator attracts the penalty of disqualification under this law. There have been concerns about vesting such power in the speaker when such an office-bearer remains linked to a political party. The speaker of the Lok Sabha is elected through a majority vote, allowing the majority party (or coalition) the ability to appoint an individual of their choice to this role. The speaker is not, moreover, </w:t>
      </w:r>
      <w:r w:rsidR="00A57236" w:rsidRPr="00A379C9">
        <w:rPr>
          <w:rFonts w:ascii="Times New Roman" w:hAnsi="Times New Roman" w:cs="Times New Roman"/>
          <w:color w:val="000000" w:themeColor="text1"/>
        </w:rPr>
        <w:lastRenderedPageBreak/>
        <w:t xml:space="preserve">required to untether themselves from their party upon taking up their role. The exercise of the power to disqualify members under the anti-defection law, therefore, raises frequent concerns about partisan conduct on behalf of the speaker. There is, moreover, a second way in which the partisan affiliations of the speaker become salient. The speaker of the Lok Sabha also has the power to certify a bill as </w:t>
      </w:r>
      <w:r w:rsidRPr="00A379C9">
        <w:rPr>
          <w:rFonts w:ascii="Times New Roman" w:hAnsi="Times New Roman" w:cs="Times New Roman"/>
          <w:color w:val="000000" w:themeColor="text1"/>
        </w:rPr>
        <w:t xml:space="preserve">a “money bill”, overcoming the need for approval in India’s second chamber (Rajya Sabha). </w:t>
      </w:r>
      <w:r w:rsidR="00CA7FEC" w:rsidRPr="00A379C9">
        <w:rPr>
          <w:rFonts w:ascii="Times New Roman" w:hAnsi="Times New Roman" w:cs="Times New Roman"/>
          <w:color w:val="000000" w:themeColor="text1"/>
        </w:rPr>
        <w:t>Indeed, critics have charged that this certification has been used arbitrarily to avoid the need for the Rajya Sabha’s approval in cases where a bill should not have been deemed a money bill</w:t>
      </w:r>
      <w:r w:rsidR="00A379C9">
        <w:rPr>
          <w:rFonts w:ascii="Times New Roman" w:hAnsi="Times New Roman" w:cs="Times New Roman"/>
          <w:color w:val="000000" w:themeColor="text1"/>
        </w:rPr>
        <w:t xml:space="preserve"> (Datta et al 2017; Parthasarathy 2019)</w:t>
      </w:r>
      <w:r w:rsidR="00CA7FEC" w:rsidRPr="00A379C9">
        <w:rPr>
          <w:rFonts w:ascii="Times New Roman" w:hAnsi="Times New Roman" w:cs="Times New Roman"/>
          <w:color w:val="000000" w:themeColor="text1"/>
        </w:rPr>
        <w:t xml:space="preserve">. </w:t>
      </w:r>
    </w:p>
    <w:p w14:paraId="06CF38AD" w14:textId="77777777" w:rsidR="004E7BCE" w:rsidRDefault="004E7BCE" w:rsidP="00AF176A">
      <w:pPr>
        <w:jc w:val="both"/>
        <w:rPr>
          <w:rFonts w:ascii="Times New Roman" w:hAnsi="Times New Roman" w:cs="Times New Roman"/>
          <w:color w:val="000000" w:themeColor="text1"/>
        </w:rPr>
      </w:pPr>
    </w:p>
    <w:p w14:paraId="26DA8E09" w14:textId="7D099EA0" w:rsidR="00AF176A" w:rsidRPr="00F316BF" w:rsidRDefault="004E7BCE" w:rsidP="00AF176A">
      <w:pPr>
        <w:jc w:val="both"/>
        <w:rPr>
          <w:rFonts w:ascii="Times New Roman" w:hAnsi="Times New Roman" w:cs="Times New Roman"/>
          <w:color w:val="000000" w:themeColor="text1"/>
        </w:rPr>
      </w:pPr>
      <w:r>
        <w:rPr>
          <w:rFonts w:ascii="Times New Roman" w:hAnsi="Times New Roman" w:cs="Times New Roman"/>
          <w:color w:val="000000" w:themeColor="text1"/>
        </w:rPr>
        <w:t xml:space="preserve">Both, the insufficiency of opposition rights, and potential partisan bias by the speaker, pose concerns from the perspective of parliament’s capacity to represent and deliberate. In this chapter, however, I focus on two further features of parliamentary democracy which are relevant to these core functions: its anti-defection law and its reliance on indirect election in the Rajya Sabha. The </w:t>
      </w:r>
      <w:r w:rsidR="00AF176A" w:rsidRPr="00F316BF">
        <w:rPr>
          <w:rFonts w:ascii="Times New Roman" w:hAnsi="Times New Roman" w:cs="Times New Roman"/>
          <w:color w:val="000000" w:themeColor="text1"/>
        </w:rPr>
        <w:t>first of these was a somewhat late introduction to India’s constitutional design. The anti-defection law, enacted in the fourth decade after independence, entered via the fifty-second amendment to the constitution. The law constitutionalised strict party unity, removing (or considerably minimising) the legislator’s autonomy vis-à-vis their party. The second feature I explore in this chapter has been present from the very start of parliamentary democracy in India; indeed, it precedes it. The Rajya Sabha</w:t>
      </w:r>
      <w:r w:rsidR="00A379C9">
        <w:rPr>
          <w:rFonts w:ascii="Times New Roman" w:hAnsi="Times New Roman" w:cs="Times New Roman"/>
          <w:color w:val="000000" w:themeColor="text1"/>
        </w:rPr>
        <w:t xml:space="preserve">, unlike the Lok Sabha, is an indirectly elected chamber. Indirect election was, in part, historically advocated as a measure to circumvent the shortcomings of direct suffrage in a polity whose electors were viewed with suspicion. I argue that taking deliberation and representation seriously should lead us to rethink the anti-defection law and the reliance on indirect election as an alternative to direct election.  </w:t>
      </w:r>
    </w:p>
    <w:p w14:paraId="2987AAFD" w14:textId="77777777" w:rsidR="00AF176A" w:rsidRPr="00F316BF" w:rsidRDefault="00AF176A" w:rsidP="00AF176A">
      <w:pPr>
        <w:jc w:val="both"/>
        <w:rPr>
          <w:rFonts w:ascii="Times New Roman" w:hAnsi="Times New Roman" w:cs="Times New Roman"/>
          <w:b/>
          <w:bCs/>
          <w:color w:val="000000" w:themeColor="text1"/>
        </w:rPr>
      </w:pPr>
    </w:p>
    <w:p w14:paraId="1E3CD7D0" w14:textId="0C104791" w:rsidR="00AF176A" w:rsidRPr="00A67246" w:rsidRDefault="00AF176A" w:rsidP="00A67246">
      <w:pPr>
        <w:pStyle w:val="Heading2"/>
        <w:numPr>
          <w:ilvl w:val="0"/>
          <w:numId w:val="4"/>
        </w:numPr>
      </w:pPr>
      <w:r w:rsidRPr="00A67246">
        <w:t>Deliberation and the Anti-Defection Law</w:t>
      </w:r>
    </w:p>
    <w:p w14:paraId="2434A38A" w14:textId="49C43FB8" w:rsidR="00AF176A" w:rsidRPr="00F316BF" w:rsidRDefault="00AF176A" w:rsidP="00AF176A">
      <w:pPr>
        <w:jc w:val="both"/>
        <w:rPr>
          <w:rFonts w:ascii="Times New Roman" w:hAnsi="Times New Roman" w:cs="Times New Roman"/>
          <w:color w:val="000000" w:themeColor="text1"/>
        </w:rPr>
      </w:pPr>
      <w:r w:rsidRPr="00F316BF">
        <w:rPr>
          <w:rFonts w:ascii="Times New Roman" w:hAnsi="Times New Roman" w:cs="Times New Roman"/>
          <w:color w:val="000000" w:themeColor="text1"/>
        </w:rPr>
        <w:t xml:space="preserve">The anti-defection law </w:t>
      </w:r>
      <w:r w:rsidR="00A379C9">
        <w:rPr>
          <w:rFonts w:ascii="Times New Roman" w:hAnsi="Times New Roman" w:cs="Times New Roman"/>
          <w:color w:val="000000" w:themeColor="text1"/>
        </w:rPr>
        <w:t xml:space="preserve">(ADL) </w:t>
      </w:r>
      <w:r w:rsidRPr="00F316BF">
        <w:rPr>
          <w:rFonts w:ascii="Times New Roman" w:hAnsi="Times New Roman" w:cs="Times New Roman"/>
          <w:color w:val="000000" w:themeColor="text1"/>
        </w:rPr>
        <w:t>was enacted through the 5</w:t>
      </w:r>
      <w:r w:rsidR="007874BE">
        <w:rPr>
          <w:rFonts w:ascii="Times New Roman" w:hAnsi="Times New Roman" w:cs="Times New Roman"/>
          <w:color w:val="000000" w:themeColor="text1"/>
        </w:rPr>
        <w:t>2</w:t>
      </w:r>
      <w:r w:rsidR="007874BE" w:rsidRPr="007874BE">
        <w:rPr>
          <w:rFonts w:ascii="Times New Roman" w:hAnsi="Times New Roman" w:cs="Times New Roman"/>
          <w:color w:val="000000" w:themeColor="text1"/>
          <w:vertAlign w:val="superscript"/>
        </w:rPr>
        <w:t>nd</w:t>
      </w:r>
      <w:r w:rsidR="007874BE">
        <w:rPr>
          <w:rFonts w:ascii="Times New Roman" w:hAnsi="Times New Roman" w:cs="Times New Roman"/>
          <w:color w:val="000000" w:themeColor="text1"/>
        </w:rPr>
        <w:t xml:space="preserve"> </w:t>
      </w:r>
      <w:r w:rsidRPr="00F316BF">
        <w:rPr>
          <w:rFonts w:ascii="Times New Roman" w:hAnsi="Times New Roman" w:cs="Times New Roman"/>
          <w:color w:val="000000" w:themeColor="text1"/>
        </w:rPr>
        <w:t>amendment to the Indian constitution. It emerged in response to concerns over party indiscipline, especially in the context of state assemblies where instances of floor-crossing were deemed responsible for government instability</w:t>
      </w:r>
      <w:r w:rsidR="007874BE">
        <w:rPr>
          <w:rFonts w:ascii="Times New Roman" w:hAnsi="Times New Roman" w:cs="Times New Roman"/>
          <w:color w:val="000000" w:themeColor="text1"/>
        </w:rPr>
        <w:t xml:space="preserve">. </w:t>
      </w:r>
      <w:r w:rsidRPr="00F316BF">
        <w:rPr>
          <w:rFonts w:ascii="Times New Roman" w:hAnsi="Times New Roman" w:cs="Times New Roman"/>
          <w:color w:val="000000" w:themeColor="text1"/>
        </w:rPr>
        <w:t xml:space="preserve"> Crucially, however, the ADL did not merely forbid </w:t>
      </w:r>
      <w:r w:rsidRPr="00F316BF">
        <w:rPr>
          <w:rFonts w:ascii="Times New Roman" w:hAnsi="Times New Roman" w:cs="Times New Roman"/>
          <w:i/>
          <w:iCs/>
          <w:color w:val="000000" w:themeColor="text1"/>
        </w:rPr>
        <w:t>floor-crossing</w:t>
      </w:r>
      <w:r w:rsidRPr="00F316BF">
        <w:rPr>
          <w:rFonts w:ascii="Times New Roman" w:hAnsi="Times New Roman" w:cs="Times New Roman"/>
          <w:color w:val="000000" w:themeColor="text1"/>
        </w:rPr>
        <w:t xml:space="preserve">. It also attempted to prevent </w:t>
      </w:r>
      <w:proofErr w:type="gramStart"/>
      <w:r w:rsidRPr="00F316BF">
        <w:rPr>
          <w:rFonts w:ascii="Times New Roman" w:hAnsi="Times New Roman" w:cs="Times New Roman"/>
          <w:i/>
          <w:iCs/>
          <w:color w:val="000000" w:themeColor="text1"/>
        </w:rPr>
        <w:t>cross-voting</w:t>
      </w:r>
      <w:proofErr w:type="gramEnd"/>
      <w:r w:rsidRPr="00F316BF">
        <w:rPr>
          <w:rFonts w:ascii="Times New Roman" w:hAnsi="Times New Roman" w:cs="Times New Roman"/>
          <w:i/>
          <w:iCs/>
          <w:color w:val="000000" w:themeColor="text1"/>
        </w:rPr>
        <w:t>.</w:t>
      </w:r>
      <w:r w:rsidRPr="00F316BF">
        <w:rPr>
          <w:rFonts w:ascii="Times New Roman" w:hAnsi="Times New Roman" w:cs="Times New Roman"/>
          <w:color w:val="000000" w:themeColor="text1"/>
        </w:rPr>
        <w:t xml:space="preserve"> A legislator crosses the floor when they surrender the party whip, giving up membership to the party under which they were elected to the legislature. By contrast, a member cross-votes when, although they wish to remain a member of the parliamentary party of their respective party, they vote contrary to its whip’s instruction on a given legislative proposal. I want to argue that the ADL’s strike against </w:t>
      </w:r>
      <w:proofErr w:type="gramStart"/>
      <w:r w:rsidRPr="00F316BF">
        <w:rPr>
          <w:rFonts w:ascii="Times New Roman" w:hAnsi="Times New Roman" w:cs="Times New Roman"/>
          <w:color w:val="000000" w:themeColor="text1"/>
        </w:rPr>
        <w:t>cross-voting</w:t>
      </w:r>
      <w:proofErr w:type="gramEnd"/>
      <w:r w:rsidRPr="00F316BF">
        <w:rPr>
          <w:rFonts w:ascii="Times New Roman" w:hAnsi="Times New Roman" w:cs="Times New Roman"/>
          <w:color w:val="000000" w:themeColor="text1"/>
        </w:rPr>
        <w:t xml:space="preserve"> has significant adverse implications for parliament’s capacity for deliberation. </w:t>
      </w:r>
    </w:p>
    <w:p w14:paraId="1272ADE4" w14:textId="77777777" w:rsidR="00AF176A" w:rsidRPr="00F316BF" w:rsidRDefault="00AF176A" w:rsidP="00AF176A">
      <w:pPr>
        <w:jc w:val="both"/>
        <w:rPr>
          <w:rFonts w:ascii="Times New Roman" w:hAnsi="Times New Roman" w:cs="Times New Roman"/>
          <w:color w:val="000000" w:themeColor="text1"/>
        </w:rPr>
      </w:pPr>
    </w:p>
    <w:p w14:paraId="2AFB044F" w14:textId="6423ADD2" w:rsidR="00AF176A" w:rsidRPr="00A67246" w:rsidRDefault="00AF176A" w:rsidP="00A67246">
      <w:pPr>
        <w:pStyle w:val="Heading3"/>
      </w:pPr>
      <w:r w:rsidRPr="00A67246">
        <w:t>[a] Deliberation: Two Conceptions</w:t>
      </w:r>
    </w:p>
    <w:p w14:paraId="7AE1103B" w14:textId="2CE454F1" w:rsidR="00AF176A" w:rsidRPr="00F316BF" w:rsidRDefault="00AF176A" w:rsidP="00AF176A">
      <w:pPr>
        <w:autoSpaceDE w:val="0"/>
        <w:autoSpaceDN w:val="0"/>
        <w:adjustRightInd w:val="0"/>
        <w:jc w:val="both"/>
        <w:rPr>
          <w:rFonts w:ascii="Times New Roman" w:hAnsi="Times New Roman" w:cs="Times New Roman"/>
          <w:color w:val="000000" w:themeColor="text1"/>
        </w:rPr>
      </w:pPr>
      <w:r w:rsidRPr="00F316BF">
        <w:rPr>
          <w:rFonts w:ascii="Times New Roman" w:hAnsi="Times New Roman" w:cs="Times New Roman"/>
          <w:color w:val="000000" w:themeColor="text1"/>
        </w:rPr>
        <w:t xml:space="preserve">It is relatively straightforward to suggest that parliament should deliberate. But what is deliberation </w:t>
      </w:r>
      <w:r w:rsidRPr="00F316BF">
        <w:rPr>
          <w:rFonts w:ascii="Times New Roman" w:hAnsi="Times New Roman" w:cs="Times New Roman"/>
          <w:i/>
          <w:iCs/>
          <w:color w:val="000000" w:themeColor="text1"/>
        </w:rPr>
        <w:t>for</w:t>
      </w:r>
      <w:r w:rsidRPr="00F316BF">
        <w:rPr>
          <w:rFonts w:ascii="Times New Roman" w:hAnsi="Times New Roman" w:cs="Times New Roman"/>
          <w:color w:val="000000" w:themeColor="text1"/>
        </w:rPr>
        <w:t xml:space="preserve">? Reflecting on why a practice is necessary may help, in turn, address what that practice should look like and how it should be evaluated. At a </w:t>
      </w:r>
      <w:proofErr w:type="gramStart"/>
      <w:r w:rsidRPr="00F316BF">
        <w:rPr>
          <w:rFonts w:ascii="Times New Roman" w:hAnsi="Times New Roman" w:cs="Times New Roman"/>
          <w:color w:val="000000" w:themeColor="text1"/>
        </w:rPr>
        <w:t>fairly basic</w:t>
      </w:r>
      <w:proofErr w:type="gramEnd"/>
      <w:r w:rsidRPr="00F316BF">
        <w:rPr>
          <w:rFonts w:ascii="Times New Roman" w:hAnsi="Times New Roman" w:cs="Times New Roman"/>
          <w:color w:val="000000" w:themeColor="text1"/>
        </w:rPr>
        <w:t xml:space="preserve"> level, deliberation </w:t>
      </w:r>
      <w:r w:rsidRPr="00A379C9">
        <w:rPr>
          <w:rFonts w:ascii="Times New Roman" w:hAnsi="Times New Roman" w:cs="Times New Roman"/>
          <w:color w:val="000000" w:themeColor="text1"/>
        </w:rPr>
        <w:t>involves “mutual communication that involves weighing and reflecting on preferences, values, and interests regarding matters of common concern” (</w:t>
      </w:r>
      <w:proofErr w:type="spellStart"/>
      <w:r w:rsidRPr="00A379C9">
        <w:rPr>
          <w:rFonts w:ascii="Times New Roman" w:hAnsi="Times New Roman" w:cs="Times New Roman"/>
          <w:color w:val="000000" w:themeColor="text1"/>
        </w:rPr>
        <w:t>Mansbridge</w:t>
      </w:r>
      <w:proofErr w:type="spellEnd"/>
      <w:r w:rsidRPr="00A379C9">
        <w:rPr>
          <w:rFonts w:ascii="Times New Roman" w:hAnsi="Times New Roman" w:cs="Times New Roman"/>
          <w:color w:val="000000" w:themeColor="text1"/>
        </w:rPr>
        <w:t xml:space="preserve"> </w:t>
      </w:r>
      <w:r w:rsidR="00A379C9" w:rsidRPr="00A379C9">
        <w:rPr>
          <w:rFonts w:ascii="Times New Roman" w:hAnsi="Times New Roman" w:cs="Times New Roman"/>
          <w:color w:val="000000" w:themeColor="text1"/>
        </w:rPr>
        <w:t xml:space="preserve">et al. </w:t>
      </w:r>
      <w:r w:rsidRPr="00A379C9">
        <w:rPr>
          <w:rFonts w:ascii="Times New Roman" w:hAnsi="Times New Roman" w:cs="Times New Roman"/>
          <w:color w:val="000000" w:themeColor="text1"/>
        </w:rPr>
        <w:t xml:space="preserve">2015, 27). </w:t>
      </w:r>
      <w:r w:rsidRPr="00F316BF">
        <w:rPr>
          <w:rFonts w:ascii="Times New Roman" w:hAnsi="Times New Roman" w:cs="Times New Roman"/>
          <w:color w:val="000000" w:themeColor="text1"/>
        </w:rPr>
        <w:t xml:space="preserve">But there are different views of why we ought to deliberate; and with varying normative ends in mind, there emerge divergent characterisations of the very concept of deliberation. The first view, the </w:t>
      </w:r>
      <w:r w:rsidRPr="00F316BF">
        <w:rPr>
          <w:rFonts w:ascii="Times New Roman" w:hAnsi="Times New Roman" w:cs="Times New Roman"/>
          <w:i/>
          <w:iCs/>
          <w:color w:val="000000" w:themeColor="text1"/>
        </w:rPr>
        <w:t>epistemic conception</w:t>
      </w:r>
      <w:r w:rsidRPr="00F316BF">
        <w:rPr>
          <w:rFonts w:ascii="Times New Roman" w:hAnsi="Times New Roman" w:cs="Times New Roman"/>
          <w:color w:val="000000" w:themeColor="text1"/>
        </w:rPr>
        <w:t xml:space="preserve">, suggests that democratic deliberation is about problem-solving. As Helene </w:t>
      </w:r>
      <w:proofErr w:type="spellStart"/>
      <w:r w:rsidRPr="00F316BF">
        <w:rPr>
          <w:rFonts w:ascii="Times New Roman" w:hAnsi="Times New Roman" w:cs="Times New Roman"/>
          <w:color w:val="000000" w:themeColor="text1"/>
        </w:rPr>
        <w:t>Landemore</w:t>
      </w:r>
      <w:proofErr w:type="spellEnd"/>
      <w:r w:rsidRPr="00F316BF">
        <w:rPr>
          <w:rFonts w:ascii="Times New Roman" w:hAnsi="Times New Roman" w:cs="Times New Roman"/>
          <w:color w:val="000000" w:themeColor="text1"/>
        </w:rPr>
        <w:t xml:space="preserve"> argues</w:t>
      </w:r>
      <w:r w:rsidR="00255854">
        <w:rPr>
          <w:rFonts w:ascii="Times New Roman" w:hAnsi="Times New Roman" w:cs="Times New Roman"/>
          <w:color w:val="000000" w:themeColor="text1"/>
        </w:rPr>
        <w:t xml:space="preserve"> (2013, 97)</w:t>
      </w:r>
      <w:r w:rsidRPr="00F316BF">
        <w:rPr>
          <w:rFonts w:ascii="Times New Roman" w:hAnsi="Times New Roman" w:cs="Times New Roman"/>
          <w:color w:val="000000" w:themeColor="text1"/>
        </w:rPr>
        <w:t xml:space="preserve">, “Problem-solving aptly describes a lot of what the deliberation among representatives in national assemblies is supposed to achieve, whether these assemblies are trying to fix the national health care system, come up with ways to regulate </w:t>
      </w:r>
      <w:r w:rsidRPr="00F316BF">
        <w:rPr>
          <w:rFonts w:ascii="Times New Roman" w:hAnsi="Times New Roman" w:cs="Times New Roman"/>
          <w:color w:val="000000" w:themeColor="text1"/>
        </w:rPr>
        <w:lastRenderedPageBreak/>
        <w:t>bankers' compensations, or deal with environmental issues”.</w:t>
      </w:r>
      <w:r w:rsidR="00255854">
        <w:rPr>
          <w:rFonts w:ascii="Times New Roman" w:hAnsi="Times New Roman" w:cs="Times New Roman"/>
          <w:color w:val="000000" w:themeColor="text1"/>
        </w:rPr>
        <w:t xml:space="preserve"> </w:t>
      </w:r>
      <w:r w:rsidRPr="00F316BF">
        <w:rPr>
          <w:rFonts w:ascii="Times New Roman" w:hAnsi="Times New Roman" w:cs="Times New Roman"/>
          <w:color w:val="000000" w:themeColor="text1"/>
        </w:rPr>
        <w:t>From the epistemic democrat’s perspective, legislative deliberation should ideally be a form of “trial by discussion” (</w:t>
      </w:r>
      <w:proofErr w:type="spellStart"/>
      <w:r w:rsidRPr="00F316BF">
        <w:rPr>
          <w:rFonts w:ascii="Times New Roman" w:hAnsi="Times New Roman" w:cs="Times New Roman"/>
          <w:color w:val="000000" w:themeColor="text1"/>
        </w:rPr>
        <w:t>Leydet</w:t>
      </w:r>
      <w:proofErr w:type="spellEnd"/>
      <w:r w:rsidR="006A1E46">
        <w:rPr>
          <w:rFonts w:ascii="Times New Roman" w:hAnsi="Times New Roman" w:cs="Times New Roman"/>
          <w:color w:val="000000" w:themeColor="text1"/>
        </w:rPr>
        <w:t xml:space="preserve"> </w:t>
      </w:r>
      <w:r w:rsidRPr="00F316BF">
        <w:rPr>
          <w:rFonts w:ascii="Times New Roman" w:hAnsi="Times New Roman" w:cs="Times New Roman"/>
          <w:color w:val="000000" w:themeColor="text1"/>
        </w:rPr>
        <w:t xml:space="preserve">2015, 235). It should aim to weed out good from bad arguments and ensure that the force of the better argument prevails in the legislative process. </w:t>
      </w:r>
    </w:p>
    <w:p w14:paraId="273896DB" w14:textId="77777777" w:rsidR="00AF176A" w:rsidRPr="00F316BF" w:rsidRDefault="00AF176A" w:rsidP="00AF176A">
      <w:pPr>
        <w:autoSpaceDE w:val="0"/>
        <w:autoSpaceDN w:val="0"/>
        <w:adjustRightInd w:val="0"/>
        <w:jc w:val="both"/>
        <w:rPr>
          <w:rFonts w:ascii="Times New Roman" w:hAnsi="Times New Roman" w:cs="Times New Roman"/>
          <w:color w:val="000000" w:themeColor="text1"/>
        </w:rPr>
      </w:pPr>
    </w:p>
    <w:p w14:paraId="410006EE" w14:textId="33B0F30C" w:rsidR="00AF176A" w:rsidRPr="00F316BF" w:rsidRDefault="00AF176A" w:rsidP="00AF176A">
      <w:pPr>
        <w:autoSpaceDE w:val="0"/>
        <w:autoSpaceDN w:val="0"/>
        <w:adjustRightInd w:val="0"/>
        <w:jc w:val="both"/>
        <w:rPr>
          <w:rFonts w:ascii="Times New Roman" w:hAnsi="Times New Roman" w:cs="Times New Roman"/>
          <w:color w:val="000000" w:themeColor="text1"/>
        </w:rPr>
      </w:pPr>
      <w:r w:rsidRPr="00F316BF">
        <w:rPr>
          <w:rFonts w:ascii="Times New Roman" w:hAnsi="Times New Roman" w:cs="Times New Roman"/>
          <w:color w:val="000000" w:themeColor="text1"/>
        </w:rPr>
        <w:t xml:space="preserve">But the epistemic conception is not the only available on for describing the purpose of deliberation. On a </w:t>
      </w:r>
      <w:r w:rsidRPr="00F316BF">
        <w:rPr>
          <w:rFonts w:ascii="Times New Roman" w:hAnsi="Times New Roman" w:cs="Times New Roman"/>
          <w:i/>
          <w:iCs/>
          <w:color w:val="000000" w:themeColor="text1"/>
        </w:rPr>
        <w:t>proceduralist conception</w:t>
      </w:r>
      <w:r w:rsidRPr="00F316BF">
        <w:rPr>
          <w:rFonts w:ascii="Times New Roman" w:hAnsi="Times New Roman" w:cs="Times New Roman"/>
          <w:color w:val="000000" w:themeColor="text1"/>
        </w:rPr>
        <w:t xml:space="preserve">, the point of democratic discussion is not to track ‘truths’ or to deliver the ‘right’ solutions to collective problems. Instead, </w:t>
      </w:r>
      <w:r w:rsidRPr="00F316BF">
        <w:rPr>
          <w:rFonts w:ascii="Times New Roman" w:hAnsi="Times New Roman" w:cs="Times New Roman"/>
          <w:i/>
          <w:iCs/>
          <w:color w:val="000000" w:themeColor="text1"/>
        </w:rPr>
        <w:t xml:space="preserve">the </w:t>
      </w:r>
      <w:r w:rsidRPr="00F316BF">
        <w:rPr>
          <w:rFonts w:ascii="Times New Roman" w:hAnsi="Times New Roman" w:cs="Times New Roman"/>
          <w:color w:val="000000" w:themeColor="text1"/>
        </w:rPr>
        <w:t xml:space="preserve">problem that democracy responds to is the ineliminable conflict and disagreement that characterises political life. Laws are binding on all persons including those who may vehemently disagree with their content. As such, democratic deliberation should aim at </w:t>
      </w:r>
      <w:r w:rsidRPr="00F316BF">
        <w:rPr>
          <w:rFonts w:ascii="Times New Roman" w:hAnsi="Times New Roman" w:cs="Times New Roman"/>
          <w:i/>
          <w:iCs/>
          <w:color w:val="000000" w:themeColor="text1"/>
        </w:rPr>
        <w:t xml:space="preserve">political justification </w:t>
      </w:r>
      <w:r w:rsidRPr="00F316BF">
        <w:rPr>
          <w:rFonts w:ascii="Times New Roman" w:hAnsi="Times New Roman" w:cs="Times New Roman"/>
          <w:color w:val="000000" w:themeColor="text1"/>
        </w:rPr>
        <w:t xml:space="preserve">for the exercise of such coercive power. Political justification is the “means by which decision making acquires an identifiable rationale, one that can be scrutinised and evaluated by those whom decisions will affect”. (White and </w:t>
      </w:r>
      <w:proofErr w:type="spellStart"/>
      <w:r w:rsidRPr="00F316BF">
        <w:rPr>
          <w:rFonts w:ascii="Times New Roman" w:hAnsi="Times New Roman" w:cs="Times New Roman"/>
          <w:color w:val="000000" w:themeColor="text1"/>
        </w:rPr>
        <w:t>Ypi</w:t>
      </w:r>
      <w:proofErr w:type="spellEnd"/>
      <w:r w:rsidR="006A1E46">
        <w:rPr>
          <w:rFonts w:ascii="Times New Roman" w:hAnsi="Times New Roman" w:cs="Times New Roman"/>
          <w:color w:val="000000" w:themeColor="text1"/>
        </w:rPr>
        <w:t xml:space="preserve"> </w:t>
      </w:r>
      <w:r w:rsidRPr="00F316BF">
        <w:rPr>
          <w:rFonts w:ascii="Times New Roman" w:hAnsi="Times New Roman" w:cs="Times New Roman"/>
          <w:color w:val="000000" w:themeColor="text1"/>
        </w:rPr>
        <w:t xml:space="preserve">2016, 55). From the proceduralist viewpoint, this process of justification confers legitimacy on democratically enacted laws. Deliberation allows us to describe laws made by such a process as democratically legitimate rather than simply exercises in brute coercion. </w:t>
      </w:r>
    </w:p>
    <w:p w14:paraId="3916BB38" w14:textId="77777777" w:rsidR="00AF176A" w:rsidRPr="00F316BF" w:rsidRDefault="00AF176A" w:rsidP="00AF176A">
      <w:pPr>
        <w:autoSpaceDE w:val="0"/>
        <w:autoSpaceDN w:val="0"/>
        <w:adjustRightInd w:val="0"/>
        <w:jc w:val="both"/>
        <w:rPr>
          <w:rFonts w:ascii="Times New Roman" w:hAnsi="Times New Roman" w:cs="Times New Roman"/>
          <w:color w:val="000000" w:themeColor="text1"/>
        </w:rPr>
      </w:pPr>
    </w:p>
    <w:p w14:paraId="38191641" w14:textId="20130024" w:rsidR="00AF176A" w:rsidRPr="00F316BF" w:rsidRDefault="00AF176A" w:rsidP="00AF176A">
      <w:pPr>
        <w:autoSpaceDE w:val="0"/>
        <w:autoSpaceDN w:val="0"/>
        <w:adjustRightInd w:val="0"/>
        <w:jc w:val="both"/>
        <w:rPr>
          <w:rFonts w:ascii="Times New Roman" w:hAnsi="Times New Roman" w:cs="Times New Roman"/>
          <w:color w:val="000000" w:themeColor="text1"/>
        </w:rPr>
      </w:pPr>
      <w:r w:rsidRPr="00F316BF">
        <w:rPr>
          <w:rFonts w:ascii="Times New Roman" w:hAnsi="Times New Roman" w:cs="Times New Roman"/>
          <w:color w:val="000000" w:themeColor="text1"/>
        </w:rPr>
        <w:t xml:space="preserve">The proceduralist conception gives us an entirely different way of conceiving legislative deliberation compared to its epistemic counterpart. It discards the idea that participants in parliamentary discussion should strive to test the pros and cons and arrive at decisions based on the exchange of arguments. Mid-twentieth century commentary over parliamentary democracy in Britain point to a different purpose that such discussion is intended to serve. Harold Laski, for instance, writing about the House of Commons, noted that “the result of a debate is known before the discussion is taken”. But this was not a bug. “That, after all, is what the party system is for”, Laski noted (1938, 156-57). It was “foolish”, he insisted, “to imagine that, in matters of debate a member must make up his mind upon each separate item the House decides”. This was a decisive renunciation of the classical ideal of parliament as a deliberative assembly engaged in a trial by discussion of laws and executive policy. Parliament’s proper function, according to Laski, was now to inform the electorate through debates conducted within its halls. The key factor, then, was the influence of parliamentary discussion on electoral opinion outside the floor of the legislative assembly. While a government could use its party machinery to resist challenges within parliament, it could not “suppress the reverberations of a debate in the public press, and, through that, in all the talk of the clubs, the taverns, and the morning and the evening trains” (Muir 1940[1930], 238-39). The proceduralist/public justification view centres the external audience, namely voters, rather than internal participants of legislative discussion. It stresses parliamentary debate’s potential in alerting voters to salient points of partisan conflict and clarifying the terms of political debate. From this perspective, legislative discussion should be evaluated by its capacity to make clear the underlying structure of a given policy disagreement, and assist voters better understand competing positions. </w:t>
      </w:r>
    </w:p>
    <w:p w14:paraId="35779D52" w14:textId="77777777" w:rsidR="00AF176A" w:rsidRPr="00F316BF" w:rsidRDefault="00AF176A" w:rsidP="00AF176A">
      <w:pPr>
        <w:autoSpaceDE w:val="0"/>
        <w:autoSpaceDN w:val="0"/>
        <w:adjustRightInd w:val="0"/>
        <w:jc w:val="both"/>
        <w:rPr>
          <w:rFonts w:ascii="Times New Roman" w:hAnsi="Times New Roman" w:cs="Times New Roman"/>
          <w:color w:val="000000" w:themeColor="text1"/>
        </w:rPr>
      </w:pPr>
    </w:p>
    <w:p w14:paraId="48DB273C" w14:textId="77777777" w:rsidR="00AF176A" w:rsidRPr="00A67246" w:rsidRDefault="00AF176A" w:rsidP="00A67246">
      <w:pPr>
        <w:pStyle w:val="Heading3"/>
      </w:pPr>
      <w:r w:rsidRPr="00A67246">
        <w:t>[b] ADL and its Deliberative Costs</w:t>
      </w:r>
    </w:p>
    <w:p w14:paraId="1A7CF779" w14:textId="77777777" w:rsidR="00AF176A" w:rsidRPr="00F316BF" w:rsidRDefault="00AF176A" w:rsidP="00AF176A">
      <w:pPr>
        <w:jc w:val="both"/>
        <w:rPr>
          <w:rFonts w:ascii="Times New Roman" w:hAnsi="Times New Roman" w:cs="Times New Roman"/>
          <w:color w:val="000000" w:themeColor="text1"/>
        </w:rPr>
      </w:pPr>
      <w:r w:rsidRPr="00F316BF">
        <w:rPr>
          <w:rFonts w:ascii="Times New Roman" w:hAnsi="Times New Roman" w:cs="Times New Roman"/>
          <w:color w:val="000000" w:themeColor="text1"/>
        </w:rPr>
        <w:t xml:space="preserve">From an epistemic perspective, there are at least two ways in which the ADL poses a problem for deliberation. The first has to do with the concentration of power it entails towards a small section of the political elite. The second concerns the way in which the ADL undermines bicameral division of labour. Concentration of power in a democracy is considered bad for all sorts of reasons. But it is not straightforwardly clear why such concentration of power might be </w:t>
      </w:r>
      <w:r w:rsidRPr="00F316BF">
        <w:rPr>
          <w:rFonts w:ascii="Times New Roman" w:hAnsi="Times New Roman" w:cs="Times New Roman"/>
          <w:i/>
          <w:iCs/>
          <w:color w:val="000000" w:themeColor="text1"/>
        </w:rPr>
        <w:t xml:space="preserve">epistemically </w:t>
      </w:r>
      <w:r w:rsidRPr="00F316BF">
        <w:rPr>
          <w:rFonts w:ascii="Times New Roman" w:hAnsi="Times New Roman" w:cs="Times New Roman"/>
          <w:color w:val="000000" w:themeColor="text1"/>
        </w:rPr>
        <w:t xml:space="preserve">damaging. That is, why should concentration of power affect the legislature’s ability to solve problems effectively? The reason for this has to do with the importance of </w:t>
      </w:r>
      <w:r w:rsidRPr="00F316BF">
        <w:rPr>
          <w:rFonts w:ascii="Times New Roman" w:hAnsi="Times New Roman" w:cs="Times New Roman"/>
          <w:color w:val="000000" w:themeColor="text1"/>
        </w:rPr>
        <w:lastRenderedPageBreak/>
        <w:t xml:space="preserve">plurality and disagreement to good decision-making. As epistemic democrats note, careful attention to varying views is not just good manners; nor is it just a matter of giving everyone a ‘fair hearing’. It’s about good problem-solving. Arriving at sound decisions necessitates considering social problems from many different perspectives. Concentration of power undermines this multi-perspectival process. Parliaments around the world typically consist of several hundreds of members. This large size is a potential asset from an epistemic perspective. Armed with a multitude, the legislative assembly can serve as a forum for problem-solving that brings many different perspectives to bear on any given decision. By removing power from the hands of the many MPs and transferring it to a select few party whips, the ADL undermines this important epistemic asset. </w:t>
      </w:r>
    </w:p>
    <w:p w14:paraId="472EAC28" w14:textId="77777777" w:rsidR="00AF176A" w:rsidRPr="00F316BF" w:rsidRDefault="00AF176A" w:rsidP="00AF176A">
      <w:pPr>
        <w:jc w:val="both"/>
        <w:rPr>
          <w:rFonts w:ascii="Times New Roman" w:hAnsi="Times New Roman" w:cs="Times New Roman"/>
          <w:color w:val="000000" w:themeColor="text1"/>
        </w:rPr>
      </w:pPr>
    </w:p>
    <w:p w14:paraId="648F5425" w14:textId="77777777" w:rsidR="00AF176A" w:rsidRPr="00F316BF" w:rsidRDefault="00AF176A" w:rsidP="00AF176A">
      <w:pPr>
        <w:jc w:val="both"/>
        <w:rPr>
          <w:rFonts w:ascii="Times New Roman" w:hAnsi="Times New Roman" w:cs="Times New Roman"/>
          <w:color w:val="000000" w:themeColor="text1"/>
        </w:rPr>
      </w:pPr>
      <w:r w:rsidRPr="00F316BF">
        <w:rPr>
          <w:rFonts w:ascii="Times New Roman" w:hAnsi="Times New Roman" w:cs="Times New Roman"/>
          <w:color w:val="000000" w:themeColor="text1"/>
        </w:rPr>
        <w:t xml:space="preserve">Further, the Indian parliament is not merely a large assembly, it is also a </w:t>
      </w:r>
      <w:r w:rsidRPr="00F316BF">
        <w:rPr>
          <w:rFonts w:ascii="Times New Roman" w:hAnsi="Times New Roman" w:cs="Times New Roman"/>
          <w:i/>
          <w:iCs/>
          <w:color w:val="000000" w:themeColor="text1"/>
        </w:rPr>
        <w:t xml:space="preserve">bicameral </w:t>
      </w:r>
      <w:r w:rsidRPr="00F316BF">
        <w:rPr>
          <w:rFonts w:ascii="Times New Roman" w:hAnsi="Times New Roman" w:cs="Times New Roman"/>
          <w:color w:val="000000" w:themeColor="text1"/>
        </w:rPr>
        <w:t xml:space="preserve">assembly. Bicameralism, too, could be understood as a potential epistemic asset that can facilitate better decision-making. Why should the legislature have two chambers? One argument in favour of bicameralism notes its value as a second-opinion mechanism. Having legislation enacted by two different chambers offers an added opportunity to rectify errors and improve the quality of bills. However, if the ruling party enjoys a majority in both chambers, the ADL undermines this opportunity for a second opinion. This is because the party with a majority in the Lok Sabha can use the party whip to ensure passage of a bill through both chambers of parliament. The Rajya Sabha cannot independently evaluate bills if its members, just like their counterparts in the Lok Sabha, are merely supposed to comply with the instructions of their party whips. </w:t>
      </w:r>
    </w:p>
    <w:p w14:paraId="699BF292" w14:textId="77777777" w:rsidR="00AF176A" w:rsidRPr="00F316BF" w:rsidRDefault="00AF176A" w:rsidP="00AF176A">
      <w:pPr>
        <w:jc w:val="both"/>
        <w:rPr>
          <w:rFonts w:ascii="Times New Roman" w:hAnsi="Times New Roman" w:cs="Times New Roman"/>
          <w:color w:val="000000" w:themeColor="text1"/>
        </w:rPr>
      </w:pPr>
    </w:p>
    <w:p w14:paraId="1EB5B0CB" w14:textId="54F20BD6" w:rsidR="00AF176A" w:rsidRPr="00F316BF" w:rsidRDefault="00AF176A" w:rsidP="00AF176A">
      <w:pPr>
        <w:jc w:val="both"/>
        <w:rPr>
          <w:rFonts w:ascii="Times New Roman" w:hAnsi="Times New Roman" w:cs="Times New Roman"/>
          <w:color w:val="000000" w:themeColor="text1"/>
        </w:rPr>
      </w:pPr>
      <w:r w:rsidRPr="00F316BF">
        <w:rPr>
          <w:rFonts w:ascii="Times New Roman" w:hAnsi="Times New Roman" w:cs="Times New Roman"/>
          <w:color w:val="000000" w:themeColor="text1"/>
        </w:rPr>
        <w:t xml:space="preserve">So far, I have emphasised why, from an epistemic perspective, the anti-defection law undermines parliamentary deliberation. But as we noted above, the epistemic account is not the only one available in conceptualising why the legislature should deliberate or what parliamentary discussion should entail. We ought to, before formulating any </w:t>
      </w:r>
      <w:proofErr w:type="gramStart"/>
      <w:r w:rsidRPr="00F316BF">
        <w:rPr>
          <w:rFonts w:ascii="Times New Roman" w:hAnsi="Times New Roman" w:cs="Times New Roman"/>
          <w:color w:val="000000" w:themeColor="text1"/>
        </w:rPr>
        <w:t>final conclusion</w:t>
      </w:r>
      <w:proofErr w:type="gramEnd"/>
      <w:r w:rsidRPr="00F316BF">
        <w:rPr>
          <w:rFonts w:ascii="Times New Roman" w:hAnsi="Times New Roman" w:cs="Times New Roman"/>
          <w:color w:val="000000" w:themeColor="text1"/>
        </w:rPr>
        <w:t xml:space="preserve">, consider whether the ADL is compatible with the proceduralist version of parliamentary deliberation. As we noted in our discussion of the proceduralist/public justification account, the role of parliamentary discussion consists in clarifying the terms of disagreement on a given bill or policy for the external public. Parliamentary discussion should aim to highlight the dimensions of disagreement, allowing voters to see why different actors in a debate oppose each other, and subsequently judge matters for themselves. The constraints imposed by the ADL on legislative deliberation undermine parliament’s capacity to offer this map of opinion. By excluding internal dissent within parties, it prevents voters from seeing how internally variegated parties, in fact, are. It fosters sharp polarisation by making invisible—or less accessible—by foregrounding homogeneity when there may </w:t>
      </w:r>
      <w:proofErr w:type="gramStart"/>
      <w:r w:rsidRPr="00F316BF">
        <w:rPr>
          <w:rFonts w:ascii="Times New Roman" w:hAnsi="Times New Roman" w:cs="Times New Roman"/>
          <w:color w:val="000000" w:themeColor="text1"/>
        </w:rPr>
        <w:t>actually be</w:t>
      </w:r>
      <w:proofErr w:type="gramEnd"/>
      <w:r w:rsidRPr="00F316BF">
        <w:rPr>
          <w:rFonts w:ascii="Times New Roman" w:hAnsi="Times New Roman" w:cs="Times New Roman"/>
          <w:color w:val="000000" w:themeColor="text1"/>
        </w:rPr>
        <w:t xml:space="preserve"> internal heterogeneity of opinion within a party. This can discourage voters from noting how, given the ideological leanings or programmatic commitments of their respective parties, they might </w:t>
      </w:r>
      <w:proofErr w:type="gramStart"/>
      <w:r w:rsidRPr="00F316BF">
        <w:rPr>
          <w:rFonts w:ascii="Times New Roman" w:hAnsi="Times New Roman" w:cs="Times New Roman"/>
          <w:color w:val="000000" w:themeColor="text1"/>
        </w:rPr>
        <w:t>actually be</w:t>
      </w:r>
      <w:proofErr w:type="gramEnd"/>
      <w:r w:rsidRPr="00F316BF">
        <w:rPr>
          <w:rFonts w:ascii="Times New Roman" w:hAnsi="Times New Roman" w:cs="Times New Roman"/>
          <w:color w:val="000000" w:themeColor="text1"/>
        </w:rPr>
        <w:t xml:space="preserve"> able to endorse positions held by supporters of a different party. Consider, for instance, a debate on education policy. It may be useful for a conservative to see how, given conservative premises about merit and competition, one might come to endorse a case for greater investment in stat</w:t>
      </w:r>
      <w:r w:rsidR="008B4C78">
        <w:rPr>
          <w:rFonts w:ascii="Times New Roman" w:hAnsi="Times New Roman" w:cs="Times New Roman"/>
          <w:color w:val="000000" w:themeColor="text1"/>
        </w:rPr>
        <w:t xml:space="preserve">e </w:t>
      </w:r>
      <w:r w:rsidRPr="00F316BF">
        <w:rPr>
          <w:rFonts w:ascii="Times New Roman" w:hAnsi="Times New Roman" w:cs="Times New Roman"/>
          <w:color w:val="000000" w:themeColor="text1"/>
        </w:rPr>
        <w:t xml:space="preserve">schools and universities. </w:t>
      </w:r>
    </w:p>
    <w:p w14:paraId="3B4C28D9" w14:textId="77777777" w:rsidR="00AF176A" w:rsidRPr="00F316BF" w:rsidRDefault="00AF176A" w:rsidP="00AF176A">
      <w:pPr>
        <w:jc w:val="both"/>
        <w:rPr>
          <w:rFonts w:ascii="Times New Roman" w:hAnsi="Times New Roman" w:cs="Times New Roman"/>
          <w:color w:val="000000" w:themeColor="text1"/>
        </w:rPr>
      </w:pPr>
    </w:p>
    <w:p w14:paraId="68D5D751" w14:textId="77777777" w:rsidR="002D66FB" w:rsidRDefault="00AF176A" w:rsidP="00AF176A">
      <w:pPr>
        <w:spacing w:after="384"/>
        <w:jc w:val="both"/>
        <w:textAlignment w:val="baseline"/>
        <w:rPr>
          <w:rFonts w:ascii="Times New Roman" w:hAnsi="Times New Roman" w:cs="Times New Roman"/>
          <w:color w:val="000000" w:themeColor="text1"/>
          <w:shd w:val="clear" w:color="auto" w:fill="FFFFFF"/>
        </w:rPr>
      </w:pPr>
      <w:r w:rsidRPr="00F316BF">
        <w:rPr>
          <w:rFonts w:ascii="Times New Roman" w:eastAsia="Times New Roman" w:hAnsi="Times New Roman" w:cs="Times New Roman"/>
          <w:color w:val="000000" w:themeColor="text1"/>
          <w:lang w:eastAsia="en-GB"/>
        </w:rPr>
        <w:t xml:space="preserve">Here, one might object that I have exaggerated the deliberative costs of the anti-defection law. Our objector could note that the ADL has to do with </w:t>
      </w:r>
      <w:r w:rsidRPr="00F316BF">
        <w:rPr>
          <w:rFonts w:ascii="Times New Roman" w:eastAsia="Times New Roman" w:hAnsi="Times New Roman" w:cs="Times New Roman"/>
          <w:i/>
          <w:iCs/>
          <w:color w:val="000000" w:themeColor="text1"/>
          <w:lang w:eastAsia="en-GB"/>
        </w:rPr>
        <w:t xml:space="preserve">voting </w:t>
      </w:r>
      <w:r w:rsidRPr="00F316BF">
        <w:rPr>
          <w:rFonts w:ascii="Times New Roman" w:eastAsia="Times New Roman" w:hAnsi="Times New Roman" w:cs="Times New Roman"/>
          <w:color w:val="000000" w:themeColor="text1"/>
          <w:lang w:eastAsia="en-GB"/>
        </w:rPr>
        <w:t xml:space="preserve">for or against a given legislative proposal. After all, the ADL is, at least in theory, unconcerned with deliberation. MPs could continue to </w:t>
      </w:r>
      <w:proofErr w:type="gramStart"/>
      <w:r w:rsidRPr="00F316BF">
        <w:rPr>
          <w:rFonts w:ascii="Times New Roman" w:eastAsia="Times New Roman" w:hAnsi="Times New Roman" w:cs="Times New Roman"/>
          <w:color w:val="000000" w:themeColor="text1"/>
          <w:lang w:eastAsia="en-GB"/>
        </w:rPr>
        <w:t>discuss</w:t>
      </w:r>
      <w:proofErr w:type="gramEnd"/>
      <w:r w:rsidRPr="00F316BF">
        <w:rPr>
          <w:rFonts w:ascii="Times New Roman" w:eastAsia="Times New Roman" w:hAnsi="Times New Roman" w:cs="Times New Roman"/>
          <w:color w:val="000000" w:themeColor="text1"/>
          <w:lang w:eastAsia="en-GB"/>
        </w:rPr>
        <w:t xml:space="preserve"> and debate matters in parliament even if they were ultimately bound by their party whips. </w:t>
      </w:r>
      <w:r w:rsidR="002D66FB">
        <w:rPr>
          <w:rFonts w:ascii="Times New Roman" w:eastAsia="Times New Roman" w:hAnsi="Times New Roman" w:cs="Times New Roman"/>
          <w:color w:val="000000" w:themeColor="text1"/>
          <w:lang w:eastAsia="en-GB"/>
        </w:rPr>
        <w:t xml:space="preserve">In </w:t>
      </w:r>
      <w:proofErr w:type="spellStart"/>
      <w:r w:rsidR="002D66FB">
        <w:rPr>
          <w:rFonts w:ascii="Times New Roman" w:eastAsia="Times New Roman" w:hAnsi="Times New Roman" w:cs="Times New Roman"/>
          <w:i/>
          <w:iCs/>
          <w:color w:val="000000" w:themeColor="text1"/>
          <w:lang w:eastAsia="en-GB"/>
        </w:rPr>
        <w:t>Kihoto</w:t>
      </w:r>
      <w:proofErr w:type="spellEnd"/>
      <w:r w:rsidR="002D66FB">
        <w:rPr>
          <w:rFonts w:ascii="Times New Roman" w:eastAsia="Times New Roman" w:hAnsi="Times New Roman" w:cs="Times New Roman"/>
          <w:i/>
          <w:iCs/>
          <w:color w:val="000000" w:themeColor="text1"/>
          <w:lang w:eastAsia="en-GB"/>
        </w:rPr>
        <w:t xml:space="preserve">, </w:t>
      </w:r>
      <w:r w:rsidR="002D66FB">
        <w:rPr>
          <w:rFonts w:ascii="Times New Roman" w:eastAsia="Times New Roman" w:hAnsi="Times New Roman" w:cs="Times New Roman"/>
          <w:color w:val="000000" w:themeColor="text1"/>
          <w:lang w:eastAsia="en-GB"/>
        </w:rPr>
        <w:t xml:space="preserve">the petitioners had argued that the law “violates an elective representative’s freedom of speech, right to dissent and freedom of conscience” (Supreme Court of India 1992, 688). However, the court noted that the disqualification imposed by the </w:t>
      </w:r>
      <w:r w:rsidR="002D66FB">
        <w:rPr>
          <w:rFonts w:ascii="Times New Roman" w:eastAsia="Times New Roman" w:hAnsi="Times New Roman" w:cs="Times New Roman"/>
          <w:color w:val="000000" w:themeColor="text1"/>
          <w:lang w:eastAsia="en-GB"/>
        </w:rPr>
        <w:lastRenderedPageBreak/>
        <w:t xml:space="preserve">ADL </w:t>
      </w:r>
      <w:r w:rsidR="002D66FB" w:rsidRPr="00F316BF">
        <w:rPr>
          <w:rFonts w:ascii="Times New Roman" w:eastAsia="Times New Roman" w:hAnsi="Times New Roman" w:cs="Times New Roman"/>
          <w:color w:val="000000" w:themeColor="text1"/>
          <w:lang w:eastAsia="en-GB"/>
        </w:rPr>
        <w:t>“</w:t>
      </w:r>
      <w:r w:rsidR="002D66FB" w:rsidRPr="00F316BF">
        <w:rPr>
          <w:rFonts w:ascii="Times New Roman" w:hAnsi="Times New Roman" w:cs="Times New Roman"/>
          <w:color w:val="000000" w:themeColor="text1"/>
          <w:shd w:val="clear" w:color="auto" w:fill="FFFFFF"/>
        </w:rPr>
        <w:t>must be so construed as not to unduly impinge on the said freedom of speech of a member”.</w:t>
      </w:r>
      <w:r w:rsidR="002D66FB">
        <w:rPr>
          <w:rFonts w:ascii="Times New Roman" w:hAnsi="Times New Roman" w:cs="Times New Roman"/>
          <w:color w:val="000000" w:themeColor="text1"/>
          <w:shd w:val="clear" w:color="auto" w:fill="FFFFFF"/>
        </w:rPr>
        <w:t xml:space="preserve"> </w:t>
      </w:r>
    </w:p>
    <w:p w14:paraId="56620C3C" w14:textId="293C55D2" w:rsidR="00AF176A" w:rsidRPr="002D66FB" w:rsidRDefault="002D66FB" w:rsidP="00AF176A">
      <w:pPr>
        <w:spacing w:after="384"/>
        <w:jc w:val="both"/>
        <w:textAlignment w:val="baseline"/>
        <w:rPr>
          <w:rFonts w:ascii="Times New Roman" w:eastAsia="Times New Roman" w:hAnsi="Times New Roman" w:cs="Times New Roman"/>
          <w:color w:val="000000" w:themeColor="text1"/>
          <w:lang w:eastAsia="en-GB"/>
        </w:rPr>
      </w:pPr>
      <w:r>
        <w:rPr>
          <w:rFonts w:ascii="Times New Roman" w:hAnsi="Times New Roman" w:cs="Times New Roman"/>
          <w:color w:val="000000" w:themeColor="text1"/>
          <w:shd w:val="clear" w:color="auto" w:fill="FFFFFF"/>
        </w:rPr>
        <w:t xml:space="preserve">Yet, despite the court’s attempt to separate freedom of speech from the act of casting a dissenting vote, the two are closely linked. By prohibiting </w:t>
      </w:r>
      <w:proofErr w:type="gramStart"/>
      <w:r>
        <w:rPr>
          <w:rFonts w:ascii="Times New Roman" w:hAnsi="Times New Roman" w:cs="Times New Roman"/>
          <w:color w:val="000000" w:themeColor="text1"/>
          <w:shd w:val="clear" w:color="auto" w:fill="FFFFFF"/>
        </w:rPr>
        <w:t>cross-voting</w:t>
      </w:r>
      <w:proofErr w:type="gramEnd"/>
      <w:r>
        <w:rPr>
          <w:rFonts w:ascii="Times New Roman" w:hAnsi="Times New Roman" w:cs="Times New Roman"/>
          <w:color w:val="000000" w:themeColor="text1"/>
          <w:shd w:val="clear" w:color="auto" w:fill="FFFFFF"/>
        </w:rPr>
        <w:t xml:space="preserve">, the ADL poses </w:t>
      </w:r>
      <w:r>
        <w:rPr>
          <w:rFonts w:ascii="Times New Roman" w:hAnsi="Times New Roman" w:cs="Times New Roman"/>
          <w:i/>
          <w:iCs/>
          <w:color w:val="000000" w:themeColor="text1"/>
          <w:shd w:val="clear" w:color="auto" w:fill="FFFFFF"/>
        </w:rPr>
        <w:t xml:space="preserve">structural </w:t>
      </w:r>
      <w:r>
        <w:rPr>
          <w:rFonts w:ascii="Times New Roman" w:hAnsi="Times New Roman" w:cs="Times New Roman"/>
          <w:color w:val="000000" w:themeColor="text1"/>
          <w:shd w:val="clear" w:color="auto" w:fill="FFFFFF"/>
        </w:rPr>
        <w:t xml:space="preserve">constraints </w:t>
      </w:r>
      <w:r w:rsidR="00AF176A" w:rsidRPr="00F316BF">
        <w:rPr>
          <w:rFonts w:ascii="Times New Roman" w:hAnsi="Times New Roman" w:cs="Times New Roman"/>
          <w:color w:val="000000" w:themeColor="text1"/>
          <w:shd w:val="clear" w:color="auto" w:fill="FFFFFF"/>
        </w:rPr>
        <w:t xml:space="preserve">the ability of legislators to express dissenting opinions. It does so by altering the incentive structure within which legislative debate is typically embedded. This is, first, because it significantly reduces the incentive to formulate opinions contrary to those of one’s party. Formulating opinions on a bill or policy proposal is a costly exercise. It requires legislators to gather or interpret evidence about the potential impact of a policy. Further, it involves assessing competing principles involved </w:t>
      </w:r>
      <w:proofErr w:type="gramStart"/>
      <w:r w:rsidR="00AF176A" w:rsidRPr="00F316BF">
        <w:rPr>
          <w:rFonts w:ascii="Times New Roman" w:hAnsi="Times New Roman" w:cs="Times New Roman"/>
          <w:color w:val="000000" w:themeColor="text1"/>
          <w:shd w:val="clear" w:color="auto" w:fill="FFFFFF"/>
        </w:rPr>
        <w:t>in a given</w:t>
      </w:r>
      <w:proofErr w:type="gramEnd"/>
      <w:r w:rsidR="00AF176A" w:rsidRPr="00F316BF">
        <w:rPr>
          <w:rFonts w:ascii="Times New Roman" w:hAnsi="Times New Roman" w:cs="Times New Roman"/>
          <w:color w:val="000000" w:themeColor="text1"/>
          <w:shd w:val="clear" w:color="auto" w:fill="FFFFFF"/>
        </w:rPr>
        <w:t xml:space="preserve"> policy debate. It can also require attention to different stakeholders’ views, reaching out to persons affected by a potential policy change, and evaluating their position in relation to others affected by that change. As these brief remarks indicate, adjudicating one’s position on legislative business is not a cost-free exercise. Indeed, it is a cognitively demanding task. If, however, a legislator has little ability to contribute to policy change because they are unable to cast an independent vote, then there is little incentive to engage in this demanding exercise. A second structural constraint has to do with how the ADL stifles the expression of contrary opinions. Even when legislators do formulate an independent opinion, its expression can be constrained by their inability to cast an independent vote. If a member of parliament were to criticise their party’s position, they would typically be expected to vote against it. To not do so would open them to a charge of hypocrisy. As I have argued in my previous work:</w:t>
      </w:r>
    </w:p>
    <w:p w14:paraId="0A7C3523" w14:textId="77777777" w:rsidR="00AF176A" w:rsidRPr="002D66FB" w:rsidRDefault="00AF176A" w:rsidP="008B4C78">
      <w:pPr>
        <w:pStyle w:val="Quote"/>
        <w:ind w:left="720"/>
        <w:jc w:val="both"/>
        <w:rPr>
          <w:rFonts w:ascii="Times New Roman" w:hAnsi="Times New Roman" w:cs="Times New Roman"/>
          <w:i w:val="0"/>
          <w:iCs w:val="0"/>
          <w:color w:val="000000" w:themeColor="text1"/>
          <w:sz w:val="20"/>
          <w:szCs w:val="20"/>
        </w:rPr>
      </w:pPr>
      <w:r w:rsidRPr="002D66FB">
        <w:rPr>
          <w:rFonts w:ascii="Times New Roman" w:hAnsi="Times New Roman" w:cs="Times New Roman"/>
          <w:i w:val="0"/>
          <w:iCs w:val="0"/>
          <w:color w:val="000000" w:themeColor="text1"/>
          <w:sz w:val="20"/>
          <w:szCs w:val="20"/>
        </w:rPr>
        <w:t>If one criticises the[</w:t>
      </w:r>
      <w:proofErr w:type="spellStart"/>
      <w:r w:rsidRPr="002D66FB">
        <w:rPr>
          <w:rFonts w:ascii="Times New Roman" w:hAnsi="Times New Roman" w:cs="Times New Roman"/>
          <w:i w:val="0"/>
          <w:iCs w:val="0"/>
          <w:color w:val="000000" w:themeColor="text1"/>
          <w:sz w:val="20"/>
          <w:szCs w:val="20"/>
        </w:rPr>
        <w:t>ir</w:t>
      </w:r>
      <w:proofErr w:type="spellEnd"/>
      <w:r w:rsidRPr="002D66FB">
        <w:rPr>
          <w:rFonts w:ascii="Times New Roman" w:hAnsi="Times New Roman" w:cs="Times New Roman"/>
          <w:i w:val="0"/>
          <w:iCs w:val="0"/>
          <w:color w:val="000000" w:themeColor="text1"/>
          <w:sz w:val="20"/>
          <w:szCs w:val="20"/>
        </w:rPr>
        <w:t xml:space="preserve">] party on a wide range of issues, or vehemently so on some </w:t>
      </w:r>
      <w:proofErr w:type="gramStart"/>
      <w:r w:rsidRPr="002D66FB">
        <w:rPr>
          <w:rFonts w:ascii="Times New Roman" w:hAnsi="Times New Roman" w:cs="Times New Roman"/>
          <w:i w:val="0"/>
          <w:iCs w:val="0"/>
          <w:color w:val="000000" w:themeColor="text1"/>
          <w:sz w:val="20"/>
          <w:szCs w:val="20"/>
        </w:rPr>
        <w:t>particular issue</w:t>
      </w:r>
      <w:proofErr w:type="gramEnd"/>
      <w:r w:rsidRPr="002D66FB">
        <w:rPr>
          <w:rFonts w:ascii="Times New Roman" w:hAnsi="Times New Roman" w:cs="Times New Roman"/>
          <w:i w:val="0"/>
          <w:iCs w:val="0"/>
          <w:color w:val="000000" w:themeColor="text1"/>
          <w:sz w:val="20"/>
          <w:szCs w:val="20"/>
        </w:rPr>
        <w:t xml:space="preserve">, electors might ask why one yet continues to remain member of that party and vote in accordance with its whips. ‘Why not just vote against your party if you disagree that much’, electors could ask. Party leaders could raise the cost of </w:t>
      </w:r>
      <w:proofErr w:type="gramStart"/>
      <w:r w:rsidRPr="002D66FB">
        <w:rPr>
          <w:rFonts w:ascii="Times New Roman" w:hAnsi="Times New Roman" w:cs="Times New Roman"/>
          <w:i w:val="0"/>
          <w:iCs w:val="0"/>
          <w:color w:val="000000" w:themeColor="text1"/>
          <w:sz w:val="20"/>
          <w:szCs w:val="20"/>
        </w:rPr>
        <w:t>cross-voting</w:t>
      </w:r>
      <w:proofErr w:type="gramEnd"/>
      <w:r w:rsidRPr="002D66FB">
        <w:rPr>
          <w:rFonts w:ascii="Times New Roman" w:hAnsi="Times New Roman" w:cs="Times New Roman"/>
          <w:i w:val="0"/>
          <w:iCs w:val="0"/>
          <w:color w:val="000000" w:themeColor="text1"/>
          <w:sz w:val="20"/>
          <w:szCs w:val="20"/>
        </w:rPr>
        <w:t xml:space="preserve"> by penalising dissenting voters. At the same time, legislators do not wish to be viewed as hypocrites. As a result, putting up a </w:t>
      </w:r>
      <w:proofErr w:type="spellStart"/>
      <w:r w:rsidRPr="002D66FB">
        <w:rPr>
          <w:rFonts w:ascii="Times New Roman" w:hAnsi="Times New Roman" w:cs="Times New Roman"/>
          <w:i w:val="0"/>
          <w:iCs w:val="0"/>
          <w:color w:val="000000" w:themeColor="text1"/>
          <w:sz w:val="20"/>
          <w:szCs w:val="20"/>
        </w:rPr>
        <w:t>façade</w:t>
      </w:r>
      <w:proofErr w:type="spellEnd"/>
      <w:r w:rsidRPr="002D66FB">
        <w:rPr>
          <w:rFonts w:ascii="Times New Roman" w:hAnsi="Times New Roman" w:cs="Times New Roman"/>
          <w:i w:val="0"/>
          <w:iCs w:val="0"/>
          <w:color w:val="000000" w:themeColor="text1"/>
          <w:sz w:val="20"/>
          <w:szCs w:val="20"/>
        </w:rPr>
        <w:t xml:space="preserve"> of consistency means that one is unlikely to express opinions contrary to that one is required to vote for (Bhatia 2020, 260). </w:t>
      </w:r>
    </w:p>
    <w:p w14:paraId="5A0F434D" w14:textId="4B974462" w:rsidR="00AF176A" w:rsidRPr="00F316BF" w:rsidRDefault="00AF176A" w:rsidP="00AF176A">
      <w:pPr>
        <w:jc w:val="both"/>
        <w:rPr>
          <w:rStyle w:val="apple-converted-space"/>
          <w:rFonts w:ascii="Times New Roman" w:hAnsi="Times New Roman" w:cs="Times New Roman"/>
          <w:color w:val="000000" w:themeColor="text1"/>
          <w:shd w:val="clear" w:color="auto" w:fill="FFFFFF"/>
        </w:rPr>
      </w:pPr>
      <w:r w:rsidRPr="00F316BF">
        <w:rPr>
          <w:rFonts w:ascii="Times New Roman" w:hAnsi="Times New Roman" w:cs="Times New Roman"/>
          <w:color w:val="000000" w:themeColor="text1"/>
        </w:rPr>
        <w:t xml:space="preserve">A third structural constraint has to do with the reduced uptake that dissenting opinions are likely to receive under the ADL. When MPs can cast a dissenting vote, this gives party leaders reason to address their concerns or even incorporate their opinions on a legislative issue. Indeed, the </w:t>
      </w:r>
      <w:proofErr w:type="spellStart"/>
      <w:r w:rsidRPr="00F316BF">
        <w:rPr>
          <w:rFonts w:ascii="Times New Roman" w:hAnsi="Times New Roman" w:cs="Times New Roman"/>
          <w:i/>
          <w:iCs/>
          <w:color w:val="000000" w:themeColor="text1"/>
        </w:rPr>
        <w:t>Kihoto</w:t>
      </w:r>
      <w:proofErr w:type="spellEnd"/>
      <w:r w:rsidRPr="00F316BF">
        <w:rPr>
          <w:rFonts w:ascii="Times New Roman" w:hAnsi="Times New Roman" w:cs="Times New Roman"/>
          <w:i/>
          <w:iCs/>
          <w:color w:val="000000" w:themeColor="text1"/>
        </w:rPr>
        <w:t xml:space="preserve"> </w:t>
      </w:r>
      <w:r w:rsidRPr="00F316BF">
        <w:rPr>
          <w:rFonts w:ascii="Times New Roman" w:hAnsi="Times New Roman" w:cs="Times New Roman"/>
          <w:color w:val="000000" w:themeColor="text1"/>
        </w:rPr>
        <w:t>judgment recognised this when it stated that: “</w:t>
      </w:r>
      <w:r w:rsidRPr="00F316BF">
        <w:rPr>
          <w:rFonts w:ascii="Times New Roman" w:hAnsi="Times New Roman" w:cs="Times New Roman"/>
          <w:color w:val="000000" w:themeColor="text1"/>
          <w:shd w:val="clear" w:color="auto" w:fill="FFFFFF"/>
        </w:rPr>
        <w:t>A political party functions on the strength of shared beliefs”</w:t>
      </w:r>
      <w:r w:rsidR="008B4C78">
        <w:rPr>
          <w:rFonts w:ascii="Times New Roman" w:hAnsi="Times New Roman" w:cs="Times New Roman"/>
          <w:color w:val="000000" w:themeColor="text1"/>
          <w:shd w:val="clear" w:color="auto" w:fill="FFFFFF"/>
        </w:rPr>
        <w:t xml:space="preserve"> (Supreme Court of India 1992, 694)</w:t>
      </w:r>
      <w:r w:rsidRPr="00F316BF">
        <w:rPr>
          <w:rFonts w:ascii="Times New Roman" w:hAnsi="Times New Roman" w:cs="Times New Roman"/>
          <w:color w:val="000000" w:themeColor="text1"/>
          <w:shd w:val="clear" w:color="auto" w:fill="FFFFFF"/>
        </w:rPr>
        <w:t>. Dissent within the party, the court noted, “will not only embarrass its public image and popularity but also undermine public confidence in it</w:t>
      </w:r>
      <w:r w:rsidRPr="00F316BF">
        <w:rPr>
          <w:rStyle w:val="apple-converted-space"/>
          <w:rFonts w:ascii="Times New Roman" w:hAnsi="Times New Roman" w:cs="Times New Roman"/>
          <w:color w:val="000000" w:themeColor="text1"/>
          <w:shd w:val="clear" w:color="auto" w:fill="FFFFFF"/>
        </w:rPr>
        <w:t>”</w:t>
      </w:r>
      <w:r w:rsidR="008B4C78">
        <w:rPr>
          <w:rStyle w:val="apple-converted-space"/>
          <w:rFonts w:ascii="Times New Roman" w:hAnsi="Times New Roman" w:cs="Times New Roman"/>
          <w:color w:val="000000" w:themeColor="text1"/>
          <w:shd w:val="clear" w:color="auto" w:fill="FFFFFF"/>
        </w:rPr>
        <w:t xml:space="preserve"> (Supreme Court of India 1992, 694)</w:t>
      </w:r>
      <w:r w:rsidRPr="00F316BF">
        <w:rPr>
          <w:rStyle w:val="apple-converted-space"/>
          <w:rFonts w:ascii="Times New Roman" w:hAnsi="Times New Roman" w:cs="Times New Roman"/>
          <w:color w:val="000000" w:themeColor="text1"/>
          <w:shd w:val="clear" w:color="auto" w:fill="FFFFFF"/>
        </w:rPr>
        <w:t xml:space="preserve">. Indeed, it is precisely for this reason that party leaders typically seek to avoid any potential embarrassment or electoral setback that public dissent may generate, by engaging with their backbenchers. The ability to dissent publicly grants backbenchers a </w:t>
      </w:r>
      <w:r w:rsidR="002D66FB">
        <w:rPr>
          <w:rStyle w:val="apple-converted-space"/>
          <w:rFonts w:ascii="Times New Roman" w:hAnsi="Times New Roman" w:cs="Times New Roman"/>
          <w:color w:val="000000" w:themeColor="text1"/>
          <w:shd w:val="clear" w:color="auto" w:fill="FFFFFF"/>
        </w:rPr>
        <w:t>“</w:t>
      </w:r>
      <w:r w:rsidRPr="00F316BF">
        <w:rPr>
          <w:rStyle w:val="apple-converted-space"/>
          <w:rFonts w:ascii="Times New Roman" w:hAnsi="Times New Roman" w:cs="Times New Roman"/>
          <w:color w:val="000000" w:themeColor="text1"/>
          <w:shd w:val="clear" w:color="auto" w:fill="FFFFFF"/>
        </w:rPr>
        <w:t>latent power</w:t>
      </w:r>
      <w:r w:rsidR="002D66FB">
        <w:rPr>
          <w:rStyle w:val="apple-converted-space"/>
          <w:rFonts w:ascii="Times New Roman" w:hAnsi="Times New Roman" w:cs="Times New Roman"/>
          <w:color w:val="000000" w:themeColor="text1"/>
          <w:shd w:val="clear" w:color="auto" w:fill="FFFFFF"/>
        </w:rPr>
        <w:t>” (Dorey 2014, 141)</w:t>
      </w:r>
      <w:r w:rsidRPr="00F316BF">
        <w:rPr>
          <w:rStyle w:val="apple-converted-space"/>
          <w:rFonts w:ascii="Times New Roman" w:hAnsi="Times New Roman" w:cs="Times New Roman"/>
          <w:color w:val="000000" w:themeColor="text1"/>
          <w:shd w:val="clear" w:color="auto" w:fill="FFFFFF"/>
        </w:rPr>
        <w:t xml:space="preserve">, which they can exercise behind the scenes. On the other hand, the ADL removes incentives for party leaders to avoid costs associated with public dissent by reaching out to dissenters. Instead, it removes this threat by precluding the ability of a legislator to hurt their party’s public image. </w:t>
      </w:r>
      <w:proofErr w:type="gramStart"/>
      <w:r w:rsidRPr="00F316BF">
        <w:rPr>
          <w:rStyle w:val="apple-converted-space"/>
          <w:rFonts w:ascii="Times New Roman" w:hAnsi="Times New Roman" w:cs="Times New Roman"/>
          <w:color w:val="000000" w:themeColor="text1"/>
          <w:shd w:val="clear" w:color="auto" w:fill="FFFFFF"/>
        </w:rPr>
        <w:t>In doing so, it</w:t>
      </w:r>
      <w:proofErr w:type="gramEnd"/>
      <w:r w:rsidRPr="00F316BF">
        <w:rPr>
          <w:rStyle w:val="apple-converted-space"/>
          <w:rFonts w:ascii="Times New Roman" w:hAnsi="Times New Roman" w:cs="Times New Roman"/>
          <w:color w:val="000000" w:themeColor="text1"/>
          <w:shd w:val="clear" w:color="auto" w:fill="FFFFFF"/>
        </w:rPr>
        <w:t xml:space="preserve"> significantly reduces chances that their dissent might secure any uptake. This, therefore, stands as a further structural barrier to the expression of dissenting opinions. If contrary opinions are unlikely to receive engagement, legislators must bear all attendant costs with little to gain. </w:t>
      </w:r>
    </w:p>
    <w:p w14:paraId="1695B4AC" w14:textId="77777777" w:rsidR="00AF176A" w:rsidRPr="00F316BF" w:rsidRDefault="00AF176A" w:rsidP="00AF176A">
      <w:pPr>
        <w:jc w:val="both"/>
        <w:rPr>
          <w:rFonts w:ascii="Times New Roman" w:hAnsi="Times New Roman" w:cs="Times New Roman"/>
          <w:color w:val="000000" w:themeColor="text1"/>
          <w:shd w:val="clear" w:color="auto" w:fill="FFFFFF"/>
        </w:rPr>
      </w:pPr>
    </w:p>
    <w:p w14:paraId="0840D9D8" w14:textId="77777777" w:rsidR="00AF176A" w:rsidRPr="00F316BF" w:rsidRDefault="00AF176A" w:rsidP="00AF176A">
      <w:pPr>
        <w:spacing w:after="384"/>
        <w:jc w:val="both"/>
        <w:textAlignment w:val="baseline"/>
        <w:rPr>
          <w:rFonts w:ascii="Times New Roman" w:eastAsia="Times New Roman" w:hAnsi="Times New Roman" w:cs="Times New Roman"/>
          <w:color w:val="000000" w:themeColor="text1"/>
          <w:lang w:eastAsia="en-GB"/>
        </w:rPr>
      </w:pPr>
      <w:r w:rsidRPr="00F316BF">
        <w:rPr>
          <w:rFonts w:ascii="Times New Roman" w:hAnsi="Times New Roman" w:cs="Times New Roman"/>
          <w:color w:val="000000" w:themeColor="text1"/>
        </w:rPr>
        <w:t xml:space="preserve">In sum, the ADL adversely affects the legislature’s capacity for deliberation, whether deliberation is conceived in epistemic terms as a problem-solving exercise, or in proceduralist terms, as an exercise in public justification. It does so, I have argued, by effectively altering </w:t>
      </w:r>
      <w:r w:rsidRPr="00F316BF">
        <w:rPr>
          <w:rFonts w:ascii="Times New Roman" w:hAnsi="Times New Roman" w:cs="Times New Roman"/>
          <w:color w:val="000000" w:themeColor="text1"/>
        </w:rPr>
        <w:lastRenderedPageBreak/>
        <w:t>the numerical size of the decision-making body, undermining bicameral division of labour, and downplaying the internal diversity of opinions within parties.</w:t>
      </w:r>
    </w:p>
    <w:p w14:paraId="6C0AB109" w14:textId="47D02C40" w:rsidR="00AF176A" w:rsidRPr="00A67246" w:rsidRDefault="00AF176A" w:rsidP="00A67246">
      <w:pPr>
        <w:pStyle w:val="Heading3"/>
      </w:pPr>
      <w:r w:rsidRPr="00A67246">
        <w:t xml:space="preserve">[c] Mitigating the Deliberative Costs of ADL </w:t>
      </w:r>
    </w:p>
    <w:p w14:paraId="71368640" w14:textId="77777777" w:rsidR="00AF176A" w:rsidRPr="00F316BF" w:rsidRDefault="00AF176A" w:rsidP="00AF176A">
      <w:pPr>
        <w:autoSpaceDE w:val="0"/>
        <w:autoSpaceDN w:val="0"/>
        <w:adjustRightInd w:val="0"/>
        <w:jc w:val="both"/>
        <w:rPr>
          <w:rFonts w:ascii="Times New Roman" w:hAnsi="Times New Roman" w:cs="Times New Roman"/>
          <w:color w:val="000000" w:themeColor="text1"/>
        </w:rPr>
      </w:pPr>
      <w:r w:rsidRPr="00F316BF">
        <w:rPr>
          <w:rFonts w:ascii="Times New Roman" w:hAnsi="Times New Roman" w:cs="Times New Roman"/>
          <w:color w:val="000000" w:themeColor="text1"/>
        </w:rPr>
        <w:t xml:space="preserve">One implication that might follow from the above discussion is that the ADL needs revisiting at least in respect of its cross-voting clause. There are good grounds, given the implications of that clause for legislative deliberation, to amend the ADL and permit legislators to vote freely. Parties may, of course, continue to apply their own internal sanctions on dissenters, as they do in parliamentary democracy around the world. And indeed, one should be wary of thinking that the elimination of the ADL would generate a complete breakup of the party system and produce free-for-all legislative discussion. Indeed, party leaders hold multiple ways of producing internal agreement within the party. The use of rewards (allocation so ‘safe seats’, foreign visits, </w:t>
      </w:r>
      <w:proofErr w:type="gramStart"/>
      <w:r w:rsidRPr="00F316BF">
        <w:rPr>
          <w:rFonts w:ascii="Times New Roman" w:hAnsi="Times New Roman" w:cs="Times New Roman"/>
          <w:color w:val="000000" w:themeColor="text1"/>
        </w:rPr>
        <w:t>cabinet</w:t>
      </w:r>
      <w:proofErr w:type="gramEnd"/>
      <w:r w:rsidRPr="00F316BF">
        <w:rPr>
          <w:rFonts w:ascii="Times New Roman" w:hAnsi="Times New Roman" w:cs="Times New Roman"/>
          <w:color w:val="000000" w:themeColor="text1"/>
        </w:rPr>
        <w:t xml:space="preserve"> or committee positions), and punishment (de-selection, removal from committees, allocation to electorally challenging constituencies) would continue to remain tools that party leaders can wield over their backbenchers. But removing the threat of disqualification from parliament would be an important step towards levelling the playing field between party leaders and their backbenchers. At present, the ADL stacks the odds, already loaded in favour of party leaders, against backbenchers, removing even the limited power they </w:t>
      </w:r>
      <w:proofErr w:type="gramStart"/>
      <w:r w:rsidRPr="00F316BF">
        <w:rPr>
          <w:rFonts w:ascii="Times New Roman" w:hAnsi="Times New Roman" w:cs="Times New Roman"/>
          <w:color w:val="000000" w:themeColor="text1"/>
        </w:rPr>
        <w:t>have to</w:t>
      </w:r>
      <w:proofErr w:type="gramEnd"/>
      <w:r w:rsidRPr="00F316BF">
        <w:rPr>
          <w:rFonts w:ascii="Times New Roman" w:hAnsi="Times New Roman" w:cs="Times New Roman"/>
          <w:color w:val="000000" w:themeColor="text1"/>
        </w:rPr>
        <w:t xml:space="preserve"> express dissent and have their opinions considered. Dispensing with the cross-voting clause of the ADL would create space for a </w:t>
      </w:r>
      <w:r w:rsidRPr="00F316BF">
        <w:rPr>
          <w:rFonts w:ascii="Times New Roman" w:hAnsi="Times New Roman" w:cs="Times New Roman"/>
          <w:i/>
          <w:iCs/>
          <w:color w:val="000000" w:themeColor="text1"/>
        </w:rPr>
        <w:t xml:space="preserve">political </w:t>
      </w:r>
      <w:r w:rsidRPr="00F316BF">
        <w:rPr>
          <w:rFonts w:ascii="Times New Roman" w:hAnsi="Times New Roman" w:cs="Times New Roman"/>
          <w:color w:val="000000" w:themeColor="text1"/>
        </w:rPr>
        <w:t xml:space="preserve">process whereby party leaders are more likely to engage with dissenters in their ranks. The creation of this space, as we have seen, is critical in securing epistemic and proceduralist benefits of legislative discussion. </w:t>
      </w:r>
    </w:p>
    <w:p w14:paraId="53C93950" w14:textId="77777777" w:rsidR="00AF176A" w:rsidRPr="00F316BF" w:rsidRDefault="00AF176A" w:rsidP="00AF176A">
      <w:pPr>
        <w:autoSpaceDE w:val="0"/>
        <w:autoSpaceDN w:val="0"/>
        <w:adjustRightInd w:val="0"/>
        <w:jc w:val="both"/>
        <w:rPr>
          <w:rFonts w:ascii="Times New Roman" w:hAnsi="Times New Roman" w:cs="Times New Roman"/>
          <w:color w:val="000000" w:themeColor="text1"/>
        </w:rPr>
      </w:pPr>
    </w:p>
    <w:p w14:paraId="68EAEE7E" w14:textId="524850BA" w:rsidR="007874BE" w:rsidRPr="00F316BF" w:rsidRDefault="00AF176A" w:rsidP="00AF176A">
      <w:pPr>
        <w:autoSpaceDE w:val="0"/>
        <w:autoSpaceDN w:val="0"/>
        <w:adjustRightInd w:val="0"/>
        <w:jc w:val="both"/>
        <w:rPr>
          <w:rFonts w:ascii="Times New Roman" w:hAnsi="Times New Roman" w:cs="Times New Roman"/>
          <w:color w:val="000000" w:themeColor="text1"/>
        </w:rPr>
      </w:pPr>
      <w:r w:rsidRPr="00F316BF">
        <w:rPr>
          <w:rFonts w:ascii="Times New Roman" w:hAnsi="Times New Roman" w:cs="Times New Roman"/>
          <w:color w:val="000000" w:themeColor="text1"/>
        </w:rPr>
        <w:t xml:space="preserve">But what if the ADL is here to stay? Are we doomed to deliberative failure if the cross-voting clause continues to remain a feature of Indian parliamentary democracy? In my previous work with Sam </w:t>
      </w:r>
      <w:proofErr w:type="spellStart"/>
      <w:r w:rsidRPr="00F316BF">
        <w:rPr>
          <w:rFonts w:ascii="Times New Roman" w:hAnsi="Times New Roman" w:cs="Times New Roman"/>
          <w:color w:val="000000" w:themeColor="text1"/>
        </w:rPr>
        <w:t>Bagg</w:t>
      </w:r>
      <w:proofErr w:type="spellEnd"/>
      <w:r w:rsidRPr="00F316BF">
        <w:rPr>
          <w:rFonts w:ascii="Times New Roman" w:hAnsi="Times New Roman" w:cs="Times New Roman"/>
          <w:color w:val="000000" w:themeColor="text1"/>
        </w:rPr>
        <w:t xml:space="preserve"> (2022), I have argued that democratic values are “multiply realisable”. Our concept of multiple realisability is intended to take the pressure of any one institution or institutional rule insofar as the realisation of values like deliberation is concerned. Multiple realisability encourages us to ask how, given the constraints imposed on the pursuit of a democratic value by some institution, other institutions could be reformed to mitigate this deficit. In what follows, I explore how, short of amending the ADL, other democratic reforms might help mitigate the deliberative deficits generated by the cross-voting clause. </w:t>
      </w:r>
    </w:p>
    <w:p w14:paraId="3DF5DFE9" w14:textId="77777777" w:rsidR="00AF176A" w:rsidRPr="00F316BF" w:rsidRDefault="00AF176A" w:rsidP="00AF176A">
      <w:pPr>
        <w:autoSpaceDE w:val="0"/>
        <w:autoSpaceDN w:val="0"/>
        <w:adjustRightInd w:val="0"/>
        <w:jc w:val="both"/>
        <w:rPr>
          <w:rFonts w:ascii="Times New Roman" w:hAnsi="Times New Roman" w:cs="Times New Roman"/>
          <w:b/>
          <w:bCs/>
          <w:color w:val="000000" w:themeColor="text1"/>
        </w:rPr>
      </w:pPr>
    </w:p>
    <w:p w14:paraId="1C9BB4D4" w14:textId="77777777" w:rsidR="00AF176A" w:rsidRPr="00F316BF" w:rsidRDefault="00AF176A" w:rsidP="00A67246">
      <w:pPr>
        <w:pStyle w:val="Heading4"/>
      </w:pPr>
      <w:r w:rsidRPr="00F316BF">
        <w:t>[</w:t>
      </w:r>
      <w:proofErr w:type="spellStart"/>
      <w:r w:rsidRPr="00F316BF">
        <w:t>i</w:t>
      </w:r>
      <w:proofErr w:type="spellEnd"/>
      <w:r w:rsidRPr="00F316BF">
        <w:t>]     Political parties</w:t>
      </w:r>
    </w:p>
    <w:p w14:paraId="1C74F1EC" w14:textId="77777777" w:rsidR="00AF176A" w:rsidRPr="00F316BF" w:rsidRDefault="00AF176A" w:rsidP="00AF176A">
      <w:pPr>
        <w:autoSpaceDE w:val="0"/>
        <w:autoSpaceDN w:val="0"/>
        <w:adjustRightInd w:val="0"/>
        <w:jc w:val="both"/>
        <w:rPr>
          <w:rFonts w:ascii="Times New Roman" w:hAnsi="Times New Roman" w:cs="Times New Roman"/>
          <w:color w:val="000000" w:themeColor="text1"/>
        </w:rPr>
      </w:pPr>
      <w:r w:rsidRPr="00F316BF">
        <w:rPr>
          <w:rFonts w:ascii="Times New Roman" w:hAnsi="Times New Roman" w:cs="Times New Roman"/>
          <w:color w:val="000000" w:themeColor="text1"/>
        </w:rPr>
        <w:t xml:space="preserve">The greater distribution of power within political parties could serve as one way in which some of the deliberative costs of the ADL might be mitigated. Greater deliberation within the party can ensure that decision-making over policy is not the prerogative of a select few. If intra-party deliberation is inclusive, this might allay some of our concerns over the fact that legislators are bound, in parliamentary decision-making, by the instructions of their party. For intra-party deliberation to perform this function, and to be sufficiently inclusive, though, it important that internal party structures are empowered. In other words, policy-making forums within the party would require a degree of independence, such that its members cannot be easily removed by senior party leaders. </w:t>
      </w:r>
    </w:p>
    <w:p w14:paraId="4D71BA75" w14:textId="77777777" w:rsidR="00AF176A" w:rsidRPr="00F316BF" w:rsidRDefault="00AF176A" w:rsidP="00AF176A">
      <w:pPr>
        <w:autoSpaceDE w:val="0"/>
        <w:autoSpaceDN w:val="0"/>
        <w:adjustRightInd w:val="0"/>
        <w:jc w:val="both"/>
        <w:rPr>
          <w:rFonts w:ascii="Times New Roman" w:hAnsi="Times New Roman" w:cs="Times New Roman"/>
          <w:color w:val="000000" w:themeColor="text1"/>
        </w:rPr>
      </w:pPr>
    </w:p>
    <w:p w14:paraId="1F0AFE89" w14:textId="77777777" w:rsidR="00AF176A" w:rsidRPr="00F316BF" w:rsidRDefault="00AF176A" w:rsidP="00AF176A">
      <w:pPr>
        <w:autoSpaceDE w:val="0"/>
        <w:autoSpaceDN w:val="0"/>
        <w:adjustRightInd w:val="0"/>
        <w:jc w:val="both"/>
        <w:rPr>
          <w:rFonts w:ascii="Times New Roman" w:hAnsi="Times New Roman" w:cs="Times New Roman"/>
          <w:color w:val="000000" w:themeColor="text1"/>
        </w:rPr>
      </w:pPr>
      <w:r w:rsidRPr="00F316BF">
        <w:rPr>
          <w:rFonts w:ascii="Times New Roman" w:hAnsi="Times New Roman" w:cs="Times New Roman"/>
          <w:color w:val="000000" w:themeColor="text1"/>
        </w:rPr>
        <w:t xml:space="preserve">While inclusive intra-party deliberation may help mitigate the epistemic costs of the ADL, mitigating its proceduralist costs would require </w:t>
      </w:r>
      <w:r w:rsidRPr="00F316BF">
        <w:rPr>
          <w:rFonts w:ascii="Times New Roman" w:hAnsi="Times New Roman" w:cs="Times New Roman"/>
          <w:i/>
          <w:iCs/>
          <w:color w:val="000000" w:themeColor="text1"/>
        </w:rPr>
        <w:t>visible</w:t>
      </w:r>
      <w:r w:rsidRPr="00F316BF">
        <w:rPr>
          <w:rFonts w:ascii="Times New Roman" w:hAnsi="Times New Roman" w:cs="Times New Roman"/>
          <w:color w:val="000000" w:themeColor="text1"/>
        </w:rPr>
        <w:t xml:space="preserve"> intra-party deliberation. Recall that the proceduralist view of legislative deliberation requires laying out the terms of disagreement, enabling voters to see competing arguments on any policy debate. If parliament is unable to perform this role, and intra-party debates are to perform it instead, then party debates, like </w:t>
      </w:r>
      <w:r w:rsidRPr="00F316BF">
        <w:rPr>
          <w:rFonts w:ascii="Times New Roman" w:hAnsi="Times New Roman" w:cs="Times New Roman"/>
          <w:color w:val="000000" w:themeColor="text1"/>
        </w:rPr>
        <w:lastRenderedPageBreak/>
        <w:t xml:space="preserve">parliamentary proceedings, would need to be public, </w:t>
      </w:r>
      <w:proofErr w:type="gramStart"/>
      <w:r w:rsidRPr="00F316BF">
        <w:rPr>
          <w:rFonts w:ascii="Times New Roman" w:hAnsi="Times New Roman" w:cs="Times New Roman"/>
          <w:color w:val="000000" w:themeColor="text1"/>
        </w:rPr>
        <w:t>in order to</w:t>
      </w:r>
      <w:proofErr w:type="gramEnd"/>
      <w:r w:rsidRPr="00F316BF">
        <w:rPr>
          <w:rFonts w:ascii="Times New Roman" w:hAnsi="Times New Roman" w:cs="Times New Roman"/>
          <w:color w:val="000000" w:themeColor="text1"/>
        </w:rPr>
        <w:t xml:space="preserve"> give them greater visibility. This would mean removing the secrecy that typically characterises internal party discussions and asking that parties debate policies internally, allowing the public insight into the variety of opinion that exists within a party. </w:t>
      </w:r>
    </w:p>
    <w:p w14:paraId="03D3940E" w14:textId="77777777" w:rsidR="00AF176A" w:rsidRPr="00F316BF" w:rsidRDefault="00AF176A" w:rsidP="00AF176A">
      <w:pPr>
        <w:autoSpaceDE w:val="0"/>
        <w:autoSpaceDN w:val="0"/>
        <w:adjustRightInd w:val="0"/>
        <w:jc w:val="both"/>
        <w:rPr>
          <w:rFonts w:ascii="Times New Roman" w:hAnsi="Times New Roman" w:cs="Times New Roman"/>
          <w:color w:val="000000" w:themeColor="text1"/>
        </w:rPr>
      </w:pPr>
    </w:p>
    <w:p w14:paraId="66E39F19" w14:textId="61AE7E84" w:rsidR="00AF176A" w:rsidRPr="00F316BF" w:rsidRDefault="00AF176A" w:rsidP="00AF176A">
      <w:pPr>
        <w:autoSpaceDE w:val="0"/>
        <w:autoSpaceDN w:val="0"/>
        <w:adjustRightInd w:val="0"/>
        <w:jc w:val="both"/>
        <w:rPr>
          <w:rFonts w:ascii="Times New Roman" w:hAnsi="Times New Roman" w:cs="Times New Roman"/>
          <w:color w:val="000000" w:themeColor="text1"/>
        </w:rPr>
      </w:pPr>
      <w:r w:rsidRPr="00F316BF">
        <w:rPr>
          <w:rFonts w:ascii="Times New Roman" w:hAnsi="Times New Roman" w:cs="Times New Roman"/>
          <w:color w:val="000000" w:themeColor="text1"/>
        </w:rPr>
        <w:t xml:space="preserve">The proposal for inclusive and visible intra-party debate might seem idealistic, but there a legal and conceptual basis for this position. In my previous work, I have argued that, in the context of the ADL, the party comes to serve as a </w:t>
      </w:r>
      <w:r w:rsidRPr="00F316BF">
        <w:rPr>
          <w:rFonts w:ascii="Times New Roman" w:hAnsi="Times New Roman" w:cs="Times New Roman"/>
          <w:i/>
          <w:iCs/>
          <w:color w:val="000000" w:themeColor="text1"/>
        </w:rPr>
        <w:t>quasi-legislative entity</w:t>
      </w:r>
      <w:r w:rsidR="008B4C78">
        <w:rPr>
          <w:rFonts w:ascii="Times New Roman" w:hAnsi="Times New Roman" w:cs="Times New Roman"/>
          <w:color w:val="000000" w:themeColor="text1"/>
        </w:rPr>
        <w:t xml:space="preserve"> (Bhatia 2021)</w:t>
      </w:r>
      <w:r w:rsidRPr="00F316BF">
        <w:rPr>
          <w:rFonts w:ascii="Times New Roman" w:hAnsi="Times New Roman" w:cs="Times New Roman"/>
          <w:color w:val="000000" w:themeColor="text1"/>
        </w:rPr>
        <w:t xml:space="preserve">. The constitutional status of the party in common law has been a long-standing question, with different positions on whether the party should be viewed as a </w:t>
      </w:r>
      <w:r w:rsidRPr="00F316BF">
        <w:rPr>
          <w:rFonts w:ascii="Times New Roman" w:hAnsi="Times New Roman" w:cs="Times New Roman"/>
          <w:i/>
          <w:iCs/>
          <w:color w:val="000000" w:themeColor="text1"/>
        </w:rPr>
        <w:t xml:space="preserve">private </w:t>
      </w:r>
      <w:r w:rsidRPr="00F316BF">
        <w:rPr>
          <w:rFonts w:ascii="Times New Roman" w:hAnsi="Times New Roman" w:cs="Times New Roman"/>
          <w:color w:val="000000" w:themeColor="text1"/>
        </w:rPr>
        <w:t xml:space="preserve">entity—purely a creature of contract—or as a </w:t>
      </w:r>
      <w:r w:rsidRPr="00F316BF">
        <w:rPr>
          <w:rFonts w:ascii="Times New Roman" w:hAnsi="Times New Roman" w:cs="Times New Roman"/>
          <w:i/>
          <w:iCs/>
          <w:color w:val="000000" w:themeColor="text1"/>
        </w:rPr>
        <w:t>quasi-public</w:t>
      </w:r>
      <w:r w:rsidRPr="00F316BF">
        <w:rPr>
          <w:rFonts w:ascii="Times New Roman" w:hAnsi="Times New Roman" w:cs="Times New Roman"/>
          <w:color w:val="000000" w:themeColor="text1"/>
        </w:rPr>
        <w:t xml:space="preserve"> entity, a private body that performs public functions. I argue that we can fruitfully see the party operating under an ADL as enjoying a status even stronger, in important respects, than a quasi-public body. The party is not just a private body that discharges functions of interest to the public. Rather, the ADL transfers power away from the MP to the party whip. How the party whip exercises that purpose and to what end, in turn, are questions that turn on the constitutions of different political parties. Consequently, political parties come to enjoy ‘slices’ of legislative power. As a result, it is reasonable to assume that whatever constraints and principles apply to legislative power should apply to sites that hold legislative power. When political parties act as quasi-legislative entities, they should be bound by the principles and values that govern the law-making process. </w:t>
      </w:r>
    </w:p>
    <w:p w14:paraId="455B5CE5" w14:textId="77777777" w:rsidR="00AF176A" w:rsidRPr="00F316BF" w:rsidRDefault="00AF176A" w:rsidP="00AF176A">
      <w:pPr>
        <w:autoSpaceDE w:val="0"/>
        <w:autoSpaceDN w:val="0"/>
        <w:adjustRightInd w:val="0"/>
        <w:jc w:val="both"/>
        <w:rPr>
          <w:rFonts w:ascii="Times New Roman" w:hAnsi="Times New Roman" w:cs="Times New Roman"/>
          <w:color w:val="000000" w:themeColor="text1"/>
        </w:rPr>
      </w:pPr>
    </w:p>
    <w:p w14:paraId="5D079CB9" w14:textId="77777777" w:rsidR="00AF176A" w:rsidRPr="00F316BF" w:rsidRDefault="00AF176A" w:rsidP="00AF176A">
      <w:pPr>
        <w:autoSpaceDE w:val="0"/>
        <w:autoSpaceDN w:val="0"/>
        <w:adjustRightInd w:val="0"/>
        <w:jc w:val="both"/>
        <w:rPr>
          <w:rFonts w:ascii="Times New Roman" w:hAnsi="Times New Roman" w:cs="Times New Roman"/>
          <w:color w:val="000000" w:themeColor="text1"/>
        </w:rPr>
      </w:pPr>
      <w:r w:rsidRPr="00F316BF">
        <w:rPr>
          <w:rFonts w:ascii="Times New Roman" w:hAnsi="Times New Roman" w:cs="Times New Roman"/>
          <w:color w:val="000000" w:themeColor="text1"/>
        </w:rPr>
        <w:t xml:space="preserve">This inference is not entirely fanciful. Consider </w:t>
      </w:r>
      <w:r w:rsidRPr="00F316BF">
        <w:rPr>
          <w:rFonts w:ascii="Times New Roman" w:hAnsi="Times New Roman" w:cs="Times New Roman"/>
          <w:i/>
          <w:iCs/>
          <w:color w:val="000000" w:themeColor="text1"/>
        </w:rPr>
        <w:t xml:space="preserve">Zulfiqar Ahmed </w:t>
      </w:r>
      <w:proofErr w:type="spellStart"/>
      <w:r w:rsidRPr="00F316BF">
        <w:rPr>
          <w:rFonts w:ascii="Times New Roman" w:hAnsi="Times New Roman" w:cs="Times New Roman"/>
          <w:i/>
          <w:iCs/>
          <w:color w:val="000000" w:themeColor="text1"/>
        </w:rPr>
        <w:t>Bhutta</w:t>
      </w:r>
      <w:proofErr w:type="spellEnd"/>
      <w:r w:rsidRPr="00F316BF">
        <w:rPr>
          <w:rFonts w:ascii="Times New Roman" w:hAnsi="Times New Roman" w:cs="Times New Roman"/>
          <w:i/>
          <w:iCs/>
          <w:color w:val="000000" w:themeColor="text1"/>
        </w:rPr>
        <w:t xml:space="preserve"> v Federation of Pakistan</w:t>
      </w:r>
      <w:r w:rsidRPr="00F316BF">
        <w:rPr>
          <w:rFonts w:ascii="Times New Roman" w:hAnsi="Times New Roman" w:cs="Times New Roman"/>
          <w:color w:val="000000" w:themeColor="text1"/>
        </w:rPr>
        <w:t xml:space="preserve"> (2017) in the Supreme Court of Pakistan. The case involved a petition calling for the disqualification of Nawaz Sharif as the head of the Pakistan Muslim League-N. Sharif had previously been convicted of corruption, and, consequently, disqualified from the legislature in Pakistan </w:t>
      </w:r>
      <w:proofErr w:type="gramStart"/>
      <w:r w:rsidRPr="00F316BF">
        <w:rPr>
          <w:rFonts w:ascii="Times New Roman" w:hAnsi="Times New Roman" w:cs="Times New Roman"/>
          <w:color w:val="000000" w:themeColor="text1"/>
        </w:rPr>
        <w:t>as a result of</w:t>
      </w:r>
      <w:proofErr w:type="gramEnd"/>
      <w:r w:rsidRPr="00F316BF">
        <w:rPr>
          <w:rFonts w:ascii="Times New Roman" w:hAnsi="Times New Roman" w:cs="Times New Roman"/>
          <w:color w:val="000000" w:themeColor="text1"/>
        </w:rPr>
        <w:t xml:space="preserve"> its Election Act. The petitioners in this case insisted that Sharif could not, while he was disqualified from parliament, nevertheless control legislators in his capacity as the Party head. The Supreme Court agreed with this reasoning, arguing that the anti-defection law, read together with the party’s constitution, effectively transferred dominant legislative authority to Nawaz Sharif. If, as per the Election Law, Sharif had been disqualified as a legislator, the same principle would also transfer to his role within the party. The judgment, therefore, constituted a significant recognition of, both, the legislative role of the party leadership as well as the constitutional implications that followed from this status. </w:t>
      </w:r>
    </w:p>
    <w:p w14:paraId="081455C1" w14:textId="77777777" w:rsidR="00AF176A" w:rsidRPr="00F316BF" w:rsidRDefault="00AF176A" w:rsidP="00AF176A">
      <w:pPr>
        <w:autoSpaceDE w:val="0"/>
        <w:autoSpaceDN w:val="0"/>
        <w:adjustRightInd w:val="0"/>
        <w:jc w:val="both"/>
        <w:rPr>
          <w:rFonts w:ascii="Times New Roman" w:hAnsi="Times New Roman" w:cs="Times New Roman"/>
          <w:color w:val="000000" w:themeColor="text1"/>
        </w:rPr>
      </w:pPr>
    </w:p>
    <w:p w14:paraId="0F2A79D9" w14:textId="77777777" w:rsidR="00AF176A" w:rsidRPr="00F316BF" w:rsidRDefault="00AF176A" w:rsidP="00AF176A">
      <w:pPr>
        <w:autoSpaceDE w:val="0"/>
        <w:autoSpaceDN w:val="0"/>
        <w:adjustRightInd w:val="0"/>
        <w:jc w:val="both"/>
        <w:rPr>
          <w:rFonts w:ascii="Times New Roman" w:hAnsi="Times New Roman" w:cs="Times New Roman"/>
          <w:color w:val="000000" w:themeColor="text1"/>
        </w:rPr>
      </w:pPr>
      <w:r w:rsidRPr="00F316BF">
        <w:rPr>
          <w:rFonts w:ascii="Times New Roman" w:hAnsi="Times New Roman" w:cs="Times New Roman"/>
          <w:color w:val="000000" w:themeColor="text1"/>
        </w:rPr>
        <w:t xml:space="preserve">Contrast this with the Indian judiciary’s approach to party constitutionalism under the ADL. </w:t>
      </w:r>
    </w:p>
    <w:p w14:paraId="6B913E2A" w14:textId="77777777" w:rsidR="00AF176A" w:rsidRPr="00F316BF" w:rsidRDefault="00AF176A" w:rsidP="00AF176A">
      <w:pPr>
        <w:jc w:val="both"/>
        <w:rPr>
          <w:rFonts w:ascii="Times New Roman" w:hAnsi="Times New Roman" w:cs="Times New Roman"/>
          <w:color w:val="000000" w:themeColor="text1"/>
        </w:rPr>
      </w:pPr>
      <w:r w:rsidRPr="00F316BF">
        <w:rPr>
          <w:rFonts w:ascii="Times New Roman" w:hAnsi="Times New Roman" w:cs="Times New Roman"/>
          <w:color w:val="000000" w:themeColor="text1"/>
        </w:rPr>
        <w:t>In one of the few cases filed by a party member against his organisation, Anil Thomas petitioned a High Court in India, asking it to instruct the Indian National Congress to conduct its internal elections as per the party’s constitution. The case was heard by a judge, who dismissed Thomas’s petition, arguing that the party was a voluntary organisation, and that its internal matters were outside the purview of judicial intervention:</w:t>
      </w:r>
    </w:p>
    <w:p w14:paraId="3E0AC446" w14:textId="77777777" w:rsidR="00AF176A" w:rsidRPr="00A379C9" w:rsidRDefault="00AF176A" w:rsidP="00A379C9">
      <w:pPr>
        <w:pStyle w:val="NoSpacing"/>
        <w:ind w:left="720"/>
        <w:jc w:val="both"/>
        <w:rPr>
          <w:rFonts w:ascii="Times New Roman" w:hAnsi="Times New Roman" w:cs="Times New Roman"/>
          <w:sz w:val="20"/>
          <w:szCs w:val="20"/>
        </w:rPr>
      </w:pPr>
      <w:r w:rsidRPr="00A379C9">
        <w:rPr>
          <w:rFonts w:ascii="Times New Roman" w:hAnsi="Times New Roman" w:cs="Times New Roman"/>
          <w:sz w:val="20"/>
          <w:szCs w:val="20"/>
        </w:rPr>
        <w:t xml:space="preserve">Whatever activities a political party or its members carry out amongst the public and in the public domain, are voluntary activities, borne out of a desire to do public service or as found by the Hon'ble Supreme Court, in their endeavour to capture State power. There is </w:t>
      </w:r>
      <w:proofErr w:type="gramStart"/>
      <w:r w:rsidRPr="00A379C9">
        <w:rPr>
          <w:rFonts w:ascii="Times New Roman" w:hAnsi="Times New Roman" w:cs="Times New Roman"/>
          <w:sz w:val="20"/>
          <w:szCs w:val="20"/>
        </w:rPr>
        <w:t>absolutely no</w:t>
      </w:r>
      <w:proofErr w:type="gramEnd"/>
      <w:r w:rsidRPr="00A379C9">
        <w:rPr>
          <w:rFonts w:ascii="Times New Roman" w:hAnsi="Times New Roman" w:cs="Times New Roman"/>
          <w:sz w:val="20"/>
          <w:szCs w:val="20"/>
        </w:rPr>
        <w:t xml:space="preserve"> public duty enjoined upon a political party when they are out of power.</w:t>
      </w:r>
      <w:r w:rsidRPr="00A379C9">
        <w:rPr>
          <w:rStyle w:val="FootnoteReference"/>
          <w:rFonts w:ascii="Times New Roman" w:hAnsi="Times New Roman" w:cs="Times New Roman"/>
          <w:color w:val="000000" w:themeColor="text1"/>
          <w:sz w:val="20"/>
          <w:szCs w:val="20"/>
        </w:rPr>
        <w:footnoteReference w:id="1"/>
      </w:r>
    </w:p>
    <w:p w14:paraId="3E188460" w14:textId="77777777" w:rsidR="00AF176A" w:rsidRPr="00F316BF" w:rsidRDefault="00AF176A" w:rsidP="00AF176A">
      <w:pPr>
        <w:jc w:val="both"/>
        <w:rPr>
          <w:rFonts w:ascii="Times New Roman" w:hAnsi="Times New Roman" w:cs="Times New Roman"/>
          <w:color w:val="000000" w:themeColor="text1"/>
        </w:rPr>
      </w:pPr>
      <w:r w:rsidRPr="00F316BF">
        <w:rPr>
          <w:rFonts w:ascii="Times New Roman" w:hAnsi="Times New Roman" w:cs="Times New Roman"/>
          <w:color w:val="000000" w:themeColor="text1"/>
        </w:rPr>
        <w:t xml:space="preserve">The judge, therefore, ascribed to the paradigm that conceptualises parties as private, contractual activities. This was surprising because, as the judge noted, even private organisations can become subject to principles of constitutional law once they perform quasi-public functions. This, in fact, is now settled law in the Indian constitutional system (cite!). In a case involving </w:t>
      </w:r>
      <w:r w:rsidRPr="00F316BF">
        <w:rPr>
          <w:rFonts w:ascii="Times New Roman" w:hAnsi="Times New Roman" w:cs="Times New Roman"/>
          <w:color w:val="000000" w:themeColor="text1"/>
        </w:rPr>
        <w:lastRenderedPageBreak/>
        <w:t xml:space="preserve">the Board of Control for Cricket in India, a private body regulating the sport, the Supreme Court had intervened—by some accounts, rather aggressively—to ensure that internal elections were held in a fair and transparent manner (cite). In the </w:t>
      </w:r>
      <w:r w:rsidRPr="00F316BF">
        <w:rPr>
          <w:rFonts w:ascii="Times New Roman" w:hAnsi="Times New Roman" w:cs="Times New Roman"/>
          <w:i/>
          <w:color w:val="000000" w:themeColor="text1"/>
        </w:rPr>
        <w:t>Anil Thomas</w:t>
      </w:r>
      <w:r w:rsidRPr="00F316BF">
        <w:rPr>
          <w:rFonts w:ascii="Times New Roman" w:hAnsi="Times New Roman" w:cs="Times New Roman"/>
          <w:color w:val="000000" w:themeColor="text1"/>
        </w:rPr>
        <w:t xml:space="preserve"> case, though, the judge insisted that even though the BCCI was a quasi-public body, a political party could not be conceptualised in the same manner. After all, the judge argued, ‘When in a majority, the executive Government comprised of elected members of the political party and in law making the Legislature; are the two collectives who wield the power and authority’.</w:t>
      </w:r>
      <w:r w:rsidRPr="00F316BF">
        <w:rPr>
          <w:rStyle w:val="FootnoteReference"/>
          <w:rFonts w:ascii="Times New Roman" w:hAnsi="Times New Roman" w:cs="Times New Roman"/>
          <w:color w:val="000000" w:themeColor="text1"/>
        </w:rPr>
        <w:footnoteReference w:id="2"/>
      </w:r>
      <w:r w:rsidRPr="00F316BF">
        <w:rPr>
          <w:rFonts w:ascii="Times New Roman" w:hAnsi="Times New Roman" w:cs="Times New Roman"/>
          <w:color w:val="000000" w:themeColor="text1"/>
        </w:rPr>
        <w:t xml:space="preserve"> </w:t>
      </w:r>
    </w:p>
    <w:p w14:paraId="4D9B33A3" w14:textId="77777777" w:rsidR="00AF176A" w:rsidRPr="00F316BF" w:rsidRDefault="00AF176A" w:rsidP="00AF176A">
      <w:pPr>
        <w:jc w:val="both"/>
        <w:rPr>
          <w:rFonts w:ascii="Times New Roman" w:hAnsi="Times New Roman" w:cs="Times New Roman"/>
          <w:color w:val="000000" w:themeColor="text1"/>
        </w:rPr>
      </w:pPr>
    </w:p>
    <w:p w14:paraId="5618C91C" w14:textId="77777777" w:rsidR="00AF176A" w:rsidRDefault="00AF176A" w:rsidP="00AF176A">
      <w:pPr>
        <w:jc w:val="both"/>
        <w:rPr>
          <w:rFonts w:ascii="Times New Roman" w:hAnsi="Times New Roman" w:cs="Times New Roman"/>
          <w:color w:val="000000" w:themeColor="text1"/>
        </w:rPr>
      </w:pPr>
      <w:r w:rsidRPr="00F316BF">
        <w:rPr>
          <w:rFonts w:ascii="Times New Roman" w:hAnsi="Times New Roman" w:cs="Times New Roman"/>
          <w:color w:val="000000" w:themeColor="text1"/>
        </w:rPr>
        <w:t xml:space="preserve">The High Court judge’s reasoning in this case can be criticised on at least two grounds. First, the outcome demanded by the petitioner, namely the organisation of internal elections, was </w:t>
      </w:r>
      <w:proofErr w:type="gramStart"/>
      <w:r w:rsidRPr="00F316BF">
        <w:rPr>
          <w:rFonts w:ascii="Times New Roman" w:hAnsi="Times New Roman" w:cs="Times New Roman"/>
          <w:color w:val="000000" w:themeColor="text1"/>
        </w:rPr>
        <w:t>actually consistent</w:t>
      </w:r>
      <w:proofErr w:type="gramEnd"/>
      <w:r w:rsidRPr="00F316BF">
        <w:rPr>
          <w:rFonts w:ascii="Times New Roman" w:hAnsi="Times New Roman" w:cs="Times New Roman"/>
          <w:color w:val="000000" w:themeColor="text1"/>
        </w:rPr>
        <w:t xml:space="preserve"> with the judge’s view that the party was a voluntary organisation. After all, the party involves contractual relations, which, though they are voluntary, are binding on all members. Since the constitution of the party, qua contract, required internal elections at specified elections, Thomas was entitled to demand enforcement of such conduct. Moreover, the judge missed the mark when he insisted that the legislature performs the function of law-making. As I have argued, once we take cognisance of the anti-defection law, the party emerges as the constitutionally recognised legislative actor. Indeed, that is the conclusion that the Supreme Court of Pakistan arrived at in </w:t>
      </w:r>
      <w:r w:rsidRPr="00F316BF">
        <w:rPr>
          <w:rFonts w:ascii="Times New Roman" w:hAnsi="Times New Roman" w:cs="Times New Roman"/>
          <w:i/>
          <w:iCs/>
          <w:color w:val="000000" w:themeColor="text1"/>
        </w:rPr>
        <w:t xml:space="preserve">Zulfiqar Ahmed </w:t>
      </w:r>
      <w:proofErr w:type="spellStart"/>
      <w:r w:rsidRPr="00F316BF">
        <w:rPr>
          <w:rFonts w:ascii="Times New Roman" w:hAnsi="Times New Roman" w:cs="Times New Roman"/>
          <w:i/>
          <w:iCs/>
          <w:color w:val="000000" w:themeColor="text1"/>
        </w:rPr>
        <w:t>Bhutta</w:t>
      </w:r>
      <w:proofErr w:type="spellEnd"/>
      <w:r w:rsidRPr="00F316BF">
        <w:rPr>
          <w:rFonts w:ascii="Times New Roman" w:hAnsi="Times New Roman" w:cs="Times New Roman"/>
          <w:i/>
          <w:iCs/>
          <w:color w:val="000000" w:themeColor="text1"/>
        </w:rPr>
        <w:t xml:space="preserve"> v Federation of Pakistan. </w:t>
      </w:r>
      <w:r w:rsidRPr="00F316BF">
        <w:rPr>
          <w:rFonts w:ascii="Times New Roman" w:hAnsi="Times New Roman" w:cs="Times New Roman"/>
          <w:color w:val="000000" w:themeColor="text1"/>
        </w:rPr>
        <w:t xml:space="preserve">The Court, as I have noted, acknowledged that the presence of an anti-defection law had implications for the internal life of the party. Since the ADL transferred legislative power to the party, the party’s internal rules and structures were not impervious to regulations that governed the parliamentary process. </w:t>
      </w:r>
    </w:p>
    <w:p w14:paraId="0FE8094C" w14:textId="77777777" w:rsidR="00AF176A" w:rsidRPr="00F316BF" w:rsidRDefault="00AF176A" w:rsidP="00AF176A">
      <w:pPr>
        <w:autoSpaceDE w:val="0"/>
        <w:autoSpaceDN w:val="0"/>
        <w:adjustRightInd w:val="0"/>
        <w:jc w:val="both"/>
        <w:rPr>
          <w:rFonts w:ascii="Times New Roman" w:hAnsi="Times New Roman" w:cs="Times New Roman"/>
          <w:b/>
          <w:bCs/>
          <w:color w:val="000000" w:themeColor="text1"/>
        </w:rPr>
      </w:pPr>
    </w:p>
    <w:p w14:paraId="53B95F15" w14:textId="77777777" w:rsidR="00AF176A" w:rsidRPr="00F316BF" w:rsidRDefault="00AF176A" w:rsidP="00A67246">
      <w:pPr>
        <w:pStyle w:val="Heading4"/>
      </w:pPr>
      <w:r w:rsidRPr="00F316BF">
        <w:t>[ii]    Legislative committees</w:t>
      </w:r>
    </w:p>
    <w:p w14:paraId="0981847F" w14:textId="77777777" w:rsidR="00AF176A" w:rsidRPr="00F316BF" w:rsidRDefault="00AF176A" w:rsidP="00AF176A">
      <w:pPr>
        <w:autoSpaceDE w:val="0"/>
        <w:autoSpaceDN w:val="0"/>
        <w:adjustRightInd w:val="0"/>
        <w:jc w:val="both"/>
        <w:rPr>
          <w:rFonts w:ascii="Times New Roman" w:hAnsi="Times New Roman" w:cs="Times New Roman"/>
          <w:color w:val="000000" w:themeColor="text1"/>
          <w:lang w:eastAsia="en-GB"/>
        </w:rPr>
      </w:pPr>
      <w:r w:rsidRPr="00F316BF">
        <w:rPr>
          <w:rFonts w:ascii="Times New Roman" w:hAnsi="Times New Roman" w:cs="Times New Roman"/>
          <w:color w:val="000000" w:themeColor="text1"/>
        </w:rPr>
        <w:t xml:space="preserve">Another way in which the deliberative costs of the ADL might be mitigated would be through reform of parliamentary committees. This is, first </w:t>
      </w:r>
      <w:r w:rsidRPr="00F316BF">
        <w:rPr>
          <w:rFonts w:ascii="Times New Roman" w:hAnsi="Times New Roman" w:cs="Times New Roman"/>
          <w:color w:val="000000" w:themeColor="text1"/>
          <w:lang w:eastAsia="en-GB"/>
        </w:rPr>
        <w:t>because such committees can enhance the epistemic quality of decisions. In the absence of whips, legislators can scrutinise bills freely, offering a critical perspective on their own party’s line. This enables engagement with a wider range of views than merely those endorsed by party elites. Committees can also enhance their own cognitive diversity through public engagement, aimed at incorporating a greater variety of perspectives (Hendriks &amp; Kay 2017, 15-16).</w:t>
      </w:r>
      <w:r w:rsidRPr="00F316BF">
        <w:rPr>
          <w:rStyle w:val="FootnoteReference"/>
          <w:rFonts w:ascii="Times New Roman" w:hAnsi="Times New Roman" w:cs="Times New Roman"/>
          <w:color w:val="000000" w:themeColor="text1"/>
          <w:lang w:eastAsia="en-GB"/>
        </w:rPr>
        <w:footnoteReference w:id="3"/>
      </w:r>
      <w:r w:rsidRPr="00F316BF">
        <w:rPr>
          <w:rFonts w:ascii="Times New Roman" w:hAnsi="Times New Roman" w:cs="Times New Roman"/>
          <w:color w:val="000000" w:themeColor="text1"/>
          <w:lang w:eastAsia="en-GB"/>
        </w:rPr>
        <w:t xml:space="preserve"> If, consequently, legislative committees are able to manifest inclusive deliberation, the reduction of parliament’s effective numerical size due to the ADL may be slightly less concerning. </w:t>
      </w:r>
    </w:p>
    <w:p w14:paraId="48C4A3C6" w14:textId="77777777" w:rsidR="00AF176A" w:rsidRPr="00F316BF" w:rsidRDefault="00AF176A" w:rsidP="00AF176A">
      <w:pPr>
        <w:autoSpaceDE w:val="0"/>
        <w:autoSpaceDN w:val="0"/>
        <w:adjustRightInd w:val="0"/>
        <w:jc w:val="both"/>
        <w:rPr>
          <w:rFonts w:ascii="Times New Roman" w:hAnsi="Times New Roman" w:cs="Times New Roman"/>
          <w:color w:val="000000" w:themeColor="text1"/>
          <w:lang w:eastAsia="en-GB"/>
        </w:rPr>
      </w:pPr>
    </w:p>
    <w:p w14:paraId="3ACBC024" w14:textId="56999838" w:rsidR="00AF176A" w:rsidRPr="00F316BF" w:rsidRDefault="00AF176A" w:rsidP="00AF176A">
      <w:pPr>
        <w:autoSpaceDE w:val="0"/>
        <w:autoSpaceDN w:val="0"/>
        <w:adjustRightInd w:val="0"/>
        <w:jc w:val="both"/>
        <w:rPr>
          <w:rFonts w:ascii="Times New Roman" w:hAnsi="Times New Roman" w:cs="Times New Roman"/>
          <w:color w:val="000000" w:themeColor="text1"/>
          <w:lang w:eastAsia="en-GB"/>
        </w:rPr>
      </w:pPr>
      <w:r w:rsidRPr="00F316BF">
        <w:rPr>
          <w:rFonts w:ascii="Times New Roman" w:hAnsi="Times New Roman" w:cs="Times New Roman"/>
          <w:color w:val="000000" w:themeColor="text1"/>
        </w:rPr>
        <w:t xml:space="preserve">Second, </w:t>
      </w:r>
      <w:r w:rsidRPr="00F316BF">
        <w:rPr>
          <w:rFonts w:ascii="Times New Roman" w:hAnsi="Times New Roman" w:cs="Times New Roman"/>
          <w:color w:val="000000" w:themeColor="text1"/>
          <w:lang w:eastAsia="en-GB"/>
        </w:rPr>
        <w:t xml:space="preserve">committees can also play a significant role in legislative deliberation viewed through the proceduralist view. They can serve as devices to “interrupt the flow of government legislation” (Thompson 2015, 48), forcing ministers to provide an account of their proposed bills. </w:t>
      </w:r>
      <w:r w:rsidRPr="00F316BF">
        <w:rPr>
          <w:rFonts w:ascii="Times New Roman" w:eastAsia="Times New Roman" w:hAnsi="Times New Roman" w:cs="Times New Roman"/>
          <w:color w:val="000000" w:themeColor="text1"/>
          <w:lang w:eastAsia="en-GB"/>
        </w:rPr>
        <w:t>Although like the floor of the legislature, committees are also frequently characterised by partisan behaviour, they also possess features that enable conversation across difference. Committees can facilitate the formation of connections between legislators, providing small forums where they can acquire familiarity, and develop collegial connections between members of different parties</w:t>
      </w:r>
      <w:r w:rsidR="000D6E09">
        <w:rPr>
          <w:rFonts w:ascii="Times New Roman" w:eastAsia="Times New Roman" w:hAnsi="Times New Roman" w:cs="Times New Roman"/>
          <w:color w:val="000000" w:themeColor="text1"/>
          <w:lang w:eastAsia="en-GB"/>
        </w:rPr>
        <w:t xml:space="preserve"> (</w:t>
      </w:r>
      <w:proofErr w:type="spellStart"/>
      <w:r w:rsidR="000D6E09">
        <w:rPr>
          <w:rFonts w:ascii="Times New Roman" w:eastAsia="Times New Roman" w:hAnsi="Times New Roman" w:cs="Times New Roman"/>
          <w:color w:val="000000" w:themeColor="text1"/>
          <w:lang w:eastAsia="en-GB"/>
        </w:rPr>
        <w:t>Kirkand</w:t>
      </w:r>
      <w:proofErr w:type="spellEnd"/>
      <w:r w:rsidR="000D6E09">
        <w:rPr>
          <w:rFonts w:ascii="Times New Roman" w:eastAsia="Times New Roman" w:hAnsi="Times New Roman" w:cs="Times New Roman"/>
          <w:color w:val="000000" w:themeColor="text1"/>
          <w:lang w:eastAsia="en-GB"/>
        </w:rPr>
        <w:t xml:space="preserve"> 2014)</w:t>
      </w:r>
      <w:r w:rsidRPr="00F316BF">
        <w:rPr>
          <w:rFonts w:ascii="Times New Roman" w:eastAsia="Times New Roman" w:hAnsi="Times New Roman" w:cs="Times New Roman"/>
          <w:color w:val="000000" w:themeColor="text1"/>
          <w:lang w:eastAsia="en-GB"/>
        </w:rPr>
        <w:t>. Moreover, some committees are characterised by stable membership, which also promotes greater familiarity and collaborative action with other legislators</w:t>
      </w:r>
      <w:r w:rsidR="000D6E09">
        <w:rPr>
          <w:rFonts w:ascii="Times New Roman" w:eastAsia="Times New Roman" w:hAnsi="Times New Roman" w:cs="Times New Roman"/>
          <w:color w:val="000000" w:themeColor="text1"/>
          <w:lang w:eastAsia="en-GB"/>
        </w:rPr>
        <w:t xml:space="preserve"> (Arter 2003, 76; Levy 2009, 15-16)</w:t>
      </w:r>
      <w:r w:rsidRPr="00F316BF">
        <w:rPr>
          <w:rFonts w:ascii="Times New Roman" w:eastAsia="Times New Roman" w:hAnsi="Times New Roman" w:cs="Times New Roman"/>
          <w:color w:val="000000" w:themeColor="text1"/>
          <w:lang w:eastAsia="en-GB"/>
        </w:rPr>
        <w:t xml:space="preserve">. Such forums can, therefore, foster the kind of reciprocity that enables legislators to speak across party lines. </w:t>
      </w:r>
      <w:proofErr w:type="gramStart"/>
      <w:r w:rsidRPr="00F316BF">
        <w:rPr>
          <w:rFonts w:ascii="Times New Roman" w:eastAsia="Times New Roman" w:hAnsi="Times New Roman" w:cs="Times New Roman"/>
          <w:color w:val="000000" w:themeColor="text1"/>
          <w:lang w:eastAsia="en-GB"/>
        </w:rPr>
        <w:t>Opening up</w:t>
      </w:r>
      <w:proofErr w:type="gramEnd"/>
      <w:r w:rsidRPr="00F316BF">
        <w:rPr>
          <w:rFonts w:ascii="Times New Roman" w:eastAsia="Times New Roman" w:hAnsi="Times New Roman" w:cs="Times New Roman"/>
          <w:color w:val="000000" w:themeColor="text1"/>
          <w:lang w:eastAsia="en-GB"/>
        </w:rPr>
        <w:t xml:space="preserve"> the proceedings of </w:t>
      </w:r>
      <w:r w:rsidRPr="00F316BF">
        <w:rPr>
          <w:rFonts w:ascii="Times New Roman" w:eastAsia="Times New Roman" w:hAnsi="Times New Roman" w:cs="Times New Roman"/>
          <w:color w:val="000000" w:themeColor="text1"/>
          <w:lang w:eastAsia="en-GB"/>
        </w:rPr>
        <w:lastRenderedPageBreak/>
        <w:t xml:space="preserve">these committees to the public would, in such cases, allow greater understanding of the different positions on a debate in the way the proceduralist view demands. </w:t>
      </w:r>
    </w:p>
    <w:p w14:paraId="3596FD6B" w14:textId="77777777" w:rsidR="00AF176A" w:rsidRPr="00F316BF" w:rsidRDefault="00AF176A" w:rsidP="00AF176A">
      <w:pPr>
        <w:spacing w:line="360" w:lineRule="auto"/>
        <w:jc w:val="both"/>
        <w:rPr>
          <w:rFonts w:ascii="Times New Roman" w:hAnsi="Times New Roman" w:cs="Times New Roman"/>
          <w:b/>
          <w:bCs/>
          <w:color w:val="000000" w:themeColor="text1"/>
          <w:lang w:eastAsia="en-GB"/>
        </w:rPr>
      </w:pPr>
    </w:p>
    <w:p w14:paraId="0E6AEC93" w14:textId="3ADF4B9D" w:rsidR="00AF176A" w:rsidRPr="00A379C9" w:rsidRDefault="00AF176A" w:rsidP="00A379C9">
      <w:pPr>
        <w:pStyle w:val="NoSpacing"/>
        <w:jc w:val="both"/>
        <w:rPr>
          <w:rFonts w:ascii="Times New Roman" w:hAnsi="Times New Roman" w:cs="Times New Roman"/>
          <w:color w:val="000000" w:themeColor="text1"/>
          <w:lang w:eastAsia="en-GB"/>
        </w:rPr>
      </w:pPr>
      <w:r w:rsidRPr="00F316BF">
        <w:rPr>
          <w:rFonts w:ascii="Times New Roman" w:hAnsi="Times New Roman" w:cs="Times New Roman"/>
          <w:color w:val="000000" w:themeColor="text1"/>
          <w:lang w:eastAsia="en-GB"/>
        </w:rPr>
        <w:t>So, at least in theory, parliamentary committees could mitigate the deliberative costs introduced by the ADL. But are parliamentary committees in India, in fact, able to do so? The Indian parliament has, broadly speaking, two kinds of committees: ad hoc and standing committees. Ad hoc committees are appointed for a given purpose and will dissolve once they have discharged this purpose.</w:t>
      </w:r>
      <w:r w:rsidR="00A379C9">
        <w:rPr>
          <w:rFonts w:ascii="Times New Roman" w:hAnsi="Times New Roman" w:cs="Times New Roman"/>
          <w:color w:val="000000" w:themeColor="text1"/>
          <w:lang w:eastAsia="en-GB"/>
        </w:rPr>
        <w:t xml:space="preserve"> The Indian parliament allows either chamber to refer a bill to an ad hoc committee of the Lok Sabha or Rajya Sabha or a joint committee comprising members nominated by both houses. </w:t>
      </w:r>
      <w:r w:rsidRPr="00F316BF">
        <w:rPr>
          <w:rFonts w:ascii="Times New Roman" w:hAnsi="Times New Roman" w:cs="Times New Roman"/>
          <w:color w:val="000000" w:themeColor="text1"/>
          <w:lang w:eastAsia="en-GB"/>
        </w:rPr>
        <w:t>Standing committees,</w:t>
      </w:r>
      <w:r w:rsidR="00A379C9">
        <w:rPr>
          <w:rFonts w:ascii="Times New Roman" w:hAnsi="Times New Roman" w:cs="Times New Roman"/>
          <w:color w:val="000000" w:themeColor="text1"/>
          <w:lang w:eastAsia="en-GB"/>
        </w:rPr>
        <w:t xml:space="preserve"> on the other hand, are permanent. There are various such committees devoted to finances (like the Committee on Public Accounts), parliamentary administration (like the Business Advisory Committee and the Committee on Ethics), and accountability (like the Committee on Government Assurances). Prominent among the standing committees are the 24 Departmentally Related Standing Committees (DRSC). Each of these committees is made up of 31 members, 21 of whom are nominated by the Lok Sabha speaker and 10 of whom are nominated by the Rajya Sabha chair. Among other things, DRSCs are asked to examine bills referred to them by the speaker/chair of either house. </w:t>
      </w:r>
    </w:p>
    <w:p w14:paraId="683DBDD7" w14:textId="77777777" w:rsidR="00A379C9" w:rsidRPr="00A379C9" w:rsidRDefault="00A379C9" w:rsidP="00A379C9">
      <w:pPr>
        <w:pStyle w:val="NoSpacing"/>
        <w:jc w:val="both"/>
        <w:rPr>
          <w:rFonts w:ascii="Times New Roman" w:hAnsi="Times New Roman" w:cs="Times New Roman"/>
          <w:color w:val="000000" w:themeColor="text1"/>
          <w:lang w:eastAsia="en-GB"/>
        </w:rPr>
      </w:pPr>
    </w:p>
    <w:p w14:paraId="37028A36" w14:textId="22C5763C" w:rsidR="00AF176A" w:rsidRPr="00F316BF" w:rsidRDefault="00AF176A" w:rsidP="00AF176A">
      <w:pPr>
        <w:pStyle w:val="NoSpacing"/>
        <w:jc w:val="both"/>
        <w:rPr>
          <w:rFonts w:ascii="Times New Roman" w:hAnsi="Times New Roman" w:cs="Times New Roman"/>
          <w:color w:val="000000" w:themeColor="text1"/>
          <w:lang w:eastAsia="en-GB"/>
        </w:rPr>
      </w:pPr>
      <w:r w:rsidRPr="00F316BF">
        <w:rPr>
          <w:rFonts w:ascii="Times New Roman" w:hAnsi="Times New Roman" w:cs="Times New Roman"/>
          <w:color w:val="000000" w:themeColor="text1"/>
          <w:lang w:eastAsia="en-GB"/>
        </w:rPr>
        <w:t>Our ability to assess the deliberative capacity of India’s legislative committees is, however, hampered by lack of research into their functioning. Let me start by outlining what we do know about the functioning of such committees. First, referrals to committees for scrutiny of bills has been on the decline. In the current Lok Sabha, a mere 1</w:t>
      </w:r>
      <w:r w:rsidR="00A379C9">
        <w:rPr>
          <w:rFonts w:ascii="Times New Roman" w:hAnsi="Times New Roman" w:cs="Times New Roman"/>
          <w:color w:val="000000" w:themeColor="text1"/>
          <w:lang w:eastAsia="en-GB"/>
        </w:rPr>
        <w:t>6</w:t>
      </w:r>
      <w:r w:rsidRPr="00F316BF">
        <w:rPr>
          <w:rFonts w:ascii="Times New Roman" w:hAnsi="Times New Roman" w:cs="Times New Roman"/>
          <w:color w:val="000000" w:themeColor="text1"/>
          <w:lang w:eastAsia="en-GB"/>
        </w:rPr>
        <w:t xml:space="preserve">% of bills have been referred to such committees, which is </w:t>
      </w:r>
      <w:r w:rsidR="00A379C9">
        <w:rPr>
          <w:rFonts w:ascii="Times New Roman" w:hAnsi="Times New Roman" w:cs="Times New Roman"/>
          <w:color w:val="000000" w:themeColor="text1"/>
          <w:lang w:eastAsia="en-GB"/>
        </w:rPr>
        <w:t xml:space="preserve">a considerably lower proportion </w:t>
      </w:r>
      <w:proofErr w:type="gramStart"/>
      <w:r w:rsidR="00A379C9">
        <w:rPr>
          <w:rFonts w:ascii="Times New Roman" w:hAnsi="Times New Roman" w:cs="Times New Roman"/>
          <w:color w:val="000000" w:themeColor="text1"/>
          <w:lang w:eastAsia="en-GB"/>
        </w:rPr>
        <w:t xml:space="preserve">compared </w:t>
      </w:r>
      <w:r w:rsidRPr="00F316BF">
        <w:rPr>
          <w:rFonts w:ascii="Times New Roman" w:hAnsi="Times New Roman" w:cs="Times New Roman"/>
          <w:color w:val="000000" w:themeColor="text1"/>
          <w:lang w:eastAsia="en-GB"/>
        </w:rPr>
        <w:t xml:space="preserve"> to</w:t>
      </w:r>
      <w:proofErr w:type="gramEnd"/>
      <w:r w:rsidRPr="00F316BF">
        <w:rPr>
          <w:rFonts w:ascii="Times New Roman" w:hAnsi="Times New Roman" w:cs="Times New Roman"/>
          <w:color w:val="000000" w:themeColor="text1"/>
          <w:lang w:eastAsia="en-GB"/>
        </w:rPr>
        <w:t xml:space="preserve"> the previous Lok Sabha, and </w:t>
      </w:r>
      <w:r w:rsidR="00A379C9">
        <w:rPr>
          <w:rFonts w:ascii="Times New Roman" w:hAnsi="Times New Roman" w:cs="Times New Roman"/>
          <w:color w:val="000000" w:themeColor="text1"/>
          <w:lang w:eastAsia="en-GB"/>
        </w:rPr>
        <w:t>indeed under a fourth</w:t>
      </w:r>
      <w:r w:rsidRPr="00F316BF">
        <w:rPr>
          <w:rFonts w:ascii="Times New Roman" w:hAnsi="Times New Roman" w:cs="Times New Roman"/>
          <w:color w:val="000000" w:themeColor="text1"/>
          <w:lang w:eastAsia="en-GB"/>
        </w:rPr>
        <w:t xml:space="preserve"> of the proportion of bills referred to committees in the 15</w:t>
      </w:r>
      <w:r w:rsidRPr="00F316BF">
        <w:rPr>
          <w:rFonts w:ascii="Times New Roman" w:hAnsi="Times New Roman" w:cs="Times New Roman"/>
          <w:color w:val="000000" w:themeColor="text1"/>
          <w:vertAlign w:val="superscript"/>
          <w:lang w:eastAsia="en-GB"/>
        </w:rPr>
        <w:t>th</w:t>
      </w:r>
      <w:r w:rsidRPr="00F316BF">
        <w:rPr>
          <w:rFonts w:ascii="Times New Roman" w:hAnsi="Times New Roman" w:cs="Times New Roman"/>
          <w:color w:val="000000" w:themeColor="text1"/>
          <w:lang w:eastAsia="en-GB"/>
        </w:rPr>
        <w:t xml:space="preserve"> Lok Sabha</w:t>
      </w:r>
      <w:r w:rsidR="00A379C9">
        <w:rPr>
          <w:rFonts w:ascii="Times New Roman" w:hAnsi="Times New Roman" w:cs="Times New Roman"/>
          <w:color w:val="000000" w:themeColor="text1"/>
          <w:lang w:eastAsia="en-GB"/>
        </w:rPr>
        <w:t xml:space="preserve"> (PRS Legislative Research 2022; 2024)</w:t>
      </w:r>
      <w:r w:rsidRPr="00F316BF">
        <w:rPr>
          <w:rFonts w:ascii="Times New Roman" w:hAnsi="Times New Roman" w:cs="Times New Roman"/>
          <w:color w:val="000000" w:themeColor="text1"/>
          <w:lang w:eastAsia="en-GB"/>
        </w:rPr>
        <w:t>. This is a concerning trend insofar as we might hope that legislative committees could mitigate some of the deliberative costs introduced by the ADL. Second, the power to refer bills to scrutiny by a DRSC lies with the speaker of the Lok Sabha or the Chairperson of the Rajya Sabha.</w:t>
      </w:r>
      <w:r w:rsidRPr="00F316BF">
        <w:rPr>
          <w:rStyle w:val="FootnoteReference"/>
          <w:rFonts w:ascii="Times New Roman" w:hAnsi="Times New Roman" w:cs="Times New Roman"/>
          <w:color w:val="000000" w:themeColor="text1"/>
          <w:lang w:eastAsia="en-GB"/>
        </w:rPr>
        <w:footnoteReference w:id="4"/>
      </w:r>
      <w:r w:rsidRPr="00F316BF">
        <w:rPr>
          <w:rFonts w:ascii="Times New Roman" w:hAnsi="Times New Roman" w:cs="Times New Roman"/>
          <w:color w:val="000000" w:themeColor="text1"/>
          <w:lang w:eastAsia="en-GB"/>
        </w:rPr>
        <w:t xml:space="preserve"> This enables the decline in referrals to legislative committees emphasised above. Rather than vesting the power to refer a bill to legislative committees in merely two officials, perhaps the committee system could be strengthened by promoting a default referral system or establishing a non-partisan system for referring bills to a relevant committee. </w:t>
      </w:r>
    </w:p>
    <w:p w14:paraId="777D060A" w14:textId="77777777" w:rsidR="00AF176A" w:rsidRPr="00F316BF" w:rsidRDefault="00AF176A" w:rsidP="00AF176A">
      <w:pPr>
        <w:pStyle w:val="NoSpacing"/>
        <w:rPr>
          <w:rFonts w:ascii="Times New Roman" w:hAnsi="Times New Roman" w:cs="Times New Roman"/>
          <w:color w:val="000000" w:themeColor="text1"/>
          <w:lang w:eastAsia="en-GB"/>
        </w:rPr>
      </w:pPr>
    </w:p>
    <w:p w14:paraId="7CEBCB59" w14:textId="5A175895" w:rsidR="00AF176A" w:rsidRPr="00F316BF" w:rsidRDefault="00AF176A" w:rsidP="009C782C">
      <w:pPr>
        <w:pStyle w:val="NoSpacing"/>
        <w:jc w:val="both"/>
        <w:rPr>
          <w:rFonts w:ascii="Times New Roman" w:hAnsi="Times New Roman" w:cs="Times New Roman"/>
          <w:color w:val="000000" w:themeColor="text1"/>
          <w:lang w:eastAsia="en-GB"/>
        </w:rPr>
      </w:pPr>
      <w:r w:rsidRPr="00F316BF">
        <w:rPr>
          <w:rFonts w:ascii="Times New Roman" w:hAnsi="Times New Roman" w:cs="Times New Roman"/>
          <w:color w:val="000000" w:themeColor="text1"/>
          <w:lang w:eastAsia="en-GB"/>
        </w:rPr>
        <w:t>As I noted, there are further dimensions of the working of India’s legislative committees which are harder to comment upon. In other legislative contexts, membership in such committees tends to be determined by party elites, allowing elites to cherry-pick legislators and exclude those who are likely to dissent</w:t>
      </w:r>
      <w:r w:rsidR="000D6E09">
        <w:rPr>
          <w:rFonts w:ascii="Times New Roman" w:hAnsi="Times New Roman" w:cs="Times New Roman"/>
          <w:color w:val="000000" w:themeColor="text1"/>
          <w:lang w:eastAsia="en-GB"/>
        </w:rPr>
        <w:t xml:space="preserve"> (Russell and </w:t>
      </w:r>
      <w:proofErr w:type="spellStart"/>
      <w:r w:rsidR="000D6E09">
        <w:rPr>
          <w:rFonts w:ascii="Times New Roman" w:hAnsi="Times New Roman" w:cs="Times New Roman"/>
          <w:color w:val="000000" w:themeColor="text1"/>
          <w:lang w:eastAsia="en-GB"/>
        </w:rPr>
        <w:t>Gover</w:t>
      </w:r>
      <w:proofErr w:type="spellEnd"/>
      <w:r w:rsidR="000D6E09">
        <w:rPr>
          <w:rFonts w:ascii="Times New Roman" w:hAnsi="Times New Roman" w:cs="Times New Roman"/>
          <w:color w:val="000000" w:themeColor="text1"/>
          <w:lang w:eastAsia="en-GB"/>
        </w:rPr>
        <w:t xml:space="preserve"> </w:t>
      </w:r>
      <w:r w:rsidR="000D6E09" w:rsidRPr="00A379C9">
        <w:rPr>
          <w:rFonts w:ascii="Times New Roman" w:hAnsi="Times New Roman" w:cs="Times New Roman"/>
          <w:color w:val="000000" w:themeColor="text1"/>
          <w:lang w:eastAsia="en-GB"/>
        </w:rPr>
        <w:t>2017, 123; Gallagher 2000, 26)</w:t>
      </w:r>
      <w:r w:rsidRPr="00A379C9">
        <w:rPr>
          <w:rFonts w:ascii="Times New Roman" w:hAnsi="Times New Roman" w:cs="Times New Roman"/>
          <w:color w:val="000000" w:themeColor="text1"/>
          <w:lang w:eastAsia="en-GB"/>
        </w:rPr>
        <w:t xml:space="preserve">. Party elites can also influence the work of committees in other, subtler ways. For instance, in Westminster, whips </w:t>
      </w:r>
      <w:proofErr w:type="gramStart"/>
      <w:r w:rsidRPr="00A379C9">
        <w:rPr>
          <w:rFonts w:ascii="Times New Roman" w:hAnsi="Times New Roman" w:cs="Times New Roman"/>
          <w:color w:val="000000" w:themeColor="text1"/>
          <w:lang w:eastAsia="en-GB"/>
        </w:rPr>
        <w:t>are able to</w:t>
      </w:r>
      <w:proofErr w:type="gramEnd"/>
      <w:r w:rsidRPr="00A379C9">
        <w:rPr>
          <w:rFonts w:ascii="Times New Roman" w:hAnsi="Times New Roman" w:cs="Times New Roman"/>
          <w:color w:val="000000" w:themeColor="text1"/>
          <w:lang w:eastAsia="en-GB"/>
        </w:rPr>
        <w:t xml:space="preserve"> influence the timetable for evidence-taking and control who gets invited as a witness by committees</w:t>
      </w:r>
      <w:r w:rsidR="000D6E09" w:rsidRPr="00A379C9">
        <w:rPr>
          <w:rFonts w:ascii="Times New Roman" w:hAnsi="Times New Roman" w:cs="Times New Roman"/>
          <w:color w:val="000000" w:themeColor="text1"/>
          <w:lang w:eastAsia="en-GB"/>
        </w:rPr>
        <w:t xml:space="preserve"> (Levy 2010, 540-542)</w:t>
      </w:r>
      <w:r w:rsidRPr="00A379C9">
        <w:rPr>
          <w:rFonts w:ascii="Times New Roman" w:hAnsi="Times New Roman" w:cs="Times New Roman"/>
          <w:color w:val="000000" w:themeColor="text1"/>
          <w:lang w:eastAsia="en-GB"/>
        </w:rPr>
        <w:t xml:space="preserve">. These practices </w:t>
      </w:r>
      <w:r w:rsidRPr="00F316BF">
        <w:rPr>
          <w:rFonts w:ascii="Times New Roman" w:hAnsi="Times New Roman" w:cs="Times New Roman"/>
          <w:color w:val="000000" w:themeColor="text1"/>
          <w:lang w:eastAsia="en-GB"/>
        </w:rPr>
        <w:t xml:space="preserve">effect the potential epistemic contribution legislative committees can make and also threaten their ability to enact the kind of debate required from a proceduralist perspective. There is need for further research on the committee system in India to determine if, and to what extent, these concerns affect parliamentary committees. </w:t>
      </w:r>
    </w:p>
    <w:p w14:paraId="7CE500A0" w14:textId="77777777" w:rsidR="00AF176A" w:rsidRPr="00F316BF" w:rsidRDefault="00AF176A" w:rsidP="00AF176A">
      <w:pPr>
        <w:autoSpaceDE w:val="0"/>
        <w:autoSpaceDN w:val="0"/>
        <w:adjustRightInd w:val="0"/>
        <w:jc w:val="both"/>
        <w:rPr>
          <w:rFonts w:ascii="Times New Roman" w:hAnsi="Times New Roman" w:cs="Times New Roman"/>
          <w:color w:val="000000" w:themeColor="text1"/>
        </w:rPr>
      </w:pPr>
    </w:p>
    <w:p w14:paraId="73F4E12B" w14:textId="0C7E4A28" w:rsidR="002409A4" w:rsidRPr="00A67246" w:rsidRDefault="00AF176A" w:rsidP="00A67246">
      <w:pPr>
        <w:pStyle w:val="Heading2"/>
        <w:numPr>
          <w:ilvl w:val="0"/>
          <w:numId w:val="4"/>
        </w:numPr>
      </w:pPr>
      <w:r w:rsidRPr="00A67246">
        <w:lastRenderedPageBreak/>
        <w:t xml:space="preserve">Representation and the </w:t>
      </w:r>
      <w:proofErr w:type="gramStart"/>
      <w:r w:rsidRPr="00A67246">
        <w:t>Indirectly-Elected</w:t>
      </w:r>
      <w:proofErr w:type="gramEnd"/>
      <w:r w:rsidRPr="00A67246">
        <w:t xml:space="preserve"> Chamber </w:t>
      </w:r>
    </w:p>
    <w:p w14:paraId="40225B78" w14:textId="20505F85" w:rsidR="00A379C9" w:rsidRDefault="002409A4" w:rsidP="009C782C">
      <w:pPr>
        <w:pStyle w:val="NormalWeb"/>
        <w:jc w:val="both"/>
        <w:rPr>
          <w:color w:val="000000" w:themeColor="text1"/>
        </w:rPr>
      </w:pPr>
      <w:r w:rsidRPr="009C782C">
        <w:rPr>
          <w:color w:val="000000" w:themeColor="text1"/>
        </w:rPr>
        <w:t xml:space="preserve">The legislature is supposed to be function, as I argued, in a representative and deliberative capacity. Having examined Indian parliament’s deliberative function, I focus now on its representativeness. In doing so, I explore a crucial, often neglected feature of the Indian legislature: its reliance on indirect election. </w:t>
      </w:r>
      <w:r w:rsidR="00A379C9">
        <w:rPr>
          <w:color w:val="000000" w:themeColor="text1"/>
        </w:rPr>
        <w:t xml:space="preserve">The Rajya Sabha has a maximum strength of 250 members of which 238 are elected through indirect election through indirect election by state legislatures. The remaining 12 are appointed through nomination by the President (on the advice of the government). The constitution’s “nominations clause” (Article 80(3)) states that “The members to be nominated by the </w:t>
      </w:r>
      <w:proofErr w:type="spellStart"/>
      <w:proofErr w:type="gramStart"/>
      <w:r w:rsidR="00A379C9">
        <w:rPr>
          <w:color w:val="000000" w:themeColor="text1"/>
        </w:rPr>
        <w:t>President..</w:t>
      </w:r>
      <w:proofErr w:type="gramEnd"/>
      <w:r w:rsidR="00A379C9">
        <w:rPr>
          <w:color w:val="000000" w:themeColor="text1"/>
        </w:rPr>
        <w:t>shall</w:t>
      </w:r>
      <w:proofErr w:type="spellEnd"/>
      <w:r w:rsidR="00A379C9">
        <w:rPr>
          <w:color w:val="000000" w:themeColor="text1"/>
        </w:rPr>
        <w:t xml:space="preserve"> consist of </w:t>
      </w:r>
      <w:r w:rsidR="00A379C9" w:rsidRPr="00A379C9">
        <w:rPr>
          <w:color w:val="000000" w:themeColor="text1"/>
        </w:rPr>
        <w:t>persons having special knowledge or practical experience in respect of such matters as the following, namely:</w:t>
      </w:r>
      <w:r w:rsidR="00A379C9">
        <w:rPr>
          <w:color w:val="000000" w:themeColor="text1"/>
        </w:rPr>
        <w:t xml:space="preserve"> </w:t>
      </w:r>
      <w:r w:rsidR="00A379C9" w:rsidRPr="00A379C9">
        <w:rPr>
          <w:color w:val="000000" w:themeColor="text1"/>
        </w:rPr>
        <w:t>Literature, science, art and social service</w:t>
      </w:r>
      <w:r w:rsidR="00A379C9">
        <w:rPr>
          <w:color w:val="000000" w:themeColor="text1"/>
        </w:rPr>
        <w:t xml:space="preserve">”. </w:t>
      </w:r>
    </w:p>
    <w:p w14:paraId="146F2396" w14:textId="03A53AFA" w:rsidR="002409A4" w:rsidRPr="005869C3" w:rsidRDefault="002409A4" w:rsidP="009C782C">
      <w:pPr>
        <w:pStyle w:val="NormalWeb"/>
        <w:jc w:val="both"/>
        <w:rPr>
          <w:color w:val="000000" w:themeColor="text1"/>
        </w:rPr>
      </w:pPr>
      <w:r w:rsidRPr="009C782C">
        <w:rPr>
          <w:color w:val="000000" w:themeColor="text1"/>
        </w:rPr>
        <w:t xml:space="preserve">I argue that indirect election can be read as an attempt to </w:t>
      </w:r>
      <w:r w:rsidRPr="009C782C">
        <w:rPr>
          <w:i/>
          <w:iCs/>
          <w:color w:val="000000" w:themeColor="text1"/>
        </w:rPr>
        <w:t xml:space="preserve">distort </w:t>
      </w:r>
      <w:r w:rsidRPr="009C782C">
        <w:rPr>
          <w:color w:val="000000" w:themeColor="text1"/>
        </w:rPr>
        <w:t xml:space="preserve">representation, manifesting an </w:t>
      </w:r>
      <w:proofErr w:type="spellStart"/>
      <w:r w:rsidRPr="009C782C">
        <w:rPr>
          <w:color w:val="000000" w:themeColor="text1"/>
        </w:rPr>
        <w:t>epistocratic</w:t>
      </w:r>
      <w:proofErr w:type="spellEnd"/>
      <w:r w:rsidRPr="009C782C">
        <w:rPr>
          <w:color w:val="000000" w:themeColor="text1"/>
        </w:rPr>
        <w:t xml:space="preserve"> drift in India’s parliamentary democracy. </w:t>
      </w:r>
      <w:proofErr w:type="spellStart"/>
      <w:r w:rsidRPr="009C782C">
        <w:rPr>
          <w:color w:val="000000" w:themeColor="text1"/>
        </w:rPr>
        <w:t>Epistocracy</w:t>
      </w:r>
      <w:proofErr w:type="spellEnd"/>
      <w:r w:rsidRPr="009C782C">
        <w:rPr>
          <w:color w:val="000000" w:themeColor="text1"/>
        </w:rPr>
        <w:t>, which means rule of the wise, has made a comeback in contemporary democratic theory in recent years. Drawing on scholarship purportedly demonstrating pervasive ignorance, some have argued that democracy is an unworkable ideal</w:t>
      </w:r>
      <w:r w:rsidR="009C782C" w:rsidRPr="009C782C">
        <w:rPr>
          <w:color w:val="000000" w:themeColor="text1"/>
        </w:rPr>
        <w:t xml:space="preserve"> </w:t>
      </w:r>
      <w:r w:rsidR="009C782C" w:rsidRPr="009C782C">
        <w:t>(Brennan</w:t>
      </w:r>
      <w:r w:rsidR="00A379C9">
        <w:t xml:space="preserve"> </w:t>
      </w:r>
      <w:r w:rsidR="009C782C" w:rsidRPr="00A379C9">
        <w:rPr>
          <w:color w:val="000000" w:themeColor="text1"/>
        </w:rPr>
        <w:t xml:space="preserve">2016; </w:t>
      </w:r>
      <w:r w:rsidR="009C782C" w:rsidRPr="009C782C">
        <w:t xml:space="preserve">Caplan 2011). </w:t>
      </w:r>
      <w:r w:rsidRPr="009C782C">
        <w:rPr>
          <w:color w:val="000000" w:themeColor="text1"/>
        </w:rPr>
        <w:t xml:space="preserve">They foreground what we might call the problem of democracy: the idea that democratic self-governance presupposes certain levels of knowledge about </w:t>
      </w:r>
      <w:proofErr w:type="gramStart"/>
      <w:r w:rsidRPr="009C782C">
        <w:rPr>
          <w:color w:val="000000" w:themeColor="text1"/>
        </w:rPr>
        <w:t>policy-making</w:t>
      </w:r>
      <w:proofErr w:type="gramEnd"/>
      <w:r w:rsidRPr="009C782C">
        <w:rPr>
          <w:color w:val="000000" w:themeColor="text1"/>
        </w:rPr>
        <w:t xml:space="preserve"> and governance that ordinary voters lack. Consequently, democratic institutions should be replaced, or at least checked, by </w:t>
      </w:r>
      <w:proofErr w:type="spellStart"/>
      <w:r w:rsidRPr="009C782C">
        <w:rPr>
          <w:color w:val="000000" w:themeColor="text1"/>
        </w:rPr>
        <w:t>epistocratic</w:t>
      </w:r>
      <w:proofErr w:type="spellEnd"/>
      <w:r w:rsidRPr="009C782C">
        <w:rPr>
          <w:color w:val="000000" w:themeColor="text1"/>
        </w:rPr>
        <w:t xml:space="preserve"> institutions which give greater political power to those with greater knowledge and expertise. The use of indirect elections for electing Rajya Sabha members, I argue, should</w:t>
      </w:r>
      <w:r w:rsidR="005869C3">
        <w:rPr>
          <w:color w:val="000000" w:themeColor="text1"/>
        </w:rPr>
        <w:t xml:space="preserve"> be read—at least in part—as underpinned by an </w:t>
      </w:r>
      <w:proofErr w:type="spellStart"/>
      <w:r w:rsidR="005869C3">
        <w:rPr>
          <w:color w:val="000000" w:themeColor="text1"/>
        </w:rPr>
        <w:t>epistocratic</w:t>
      </w:r>
      <w:proofErr w:type="spellEnd"/>
      <w:r w:rsidR="005869C3">
        <w:rPr>
          <w:color w:val="000000" w:themeColor="text1"/>
        </w:rPr>
        <w:t xml:space="preserve"> suspicion about the capacities of ordinary Indian citizens. </w:t>
      </w:r>
      <w:r w:rsidRPr="009C782C">
        <w:rPr>
          <w:color w:val="000000" w:themeColor="text1"/>
        </w:rPr>
        <w:t>It responds to the</w:t>
      </w:r>
      <w:r>
        <w:rPr>
          <w:color w:val="000000" w:themeColor="text1"/>
        </w:rPr>
        <w:t xml:space="preserve"> problem of democracy by attempting to sever, at least for the second chamber, the connection between voters and their representatives, routing the choice of Rajya Sabha members through state legislators. I argue, however, for a reframing of the problem of democracy: the problem with democracy is not so much that it fails to choose wise leaders, but that it is susceptible to oligarchic drifts. The use of indirect election is unable to arrest this oligarchic drift and, in some ways, can facilitate it. </w:t>
      </w:r>
    </w:p>
    <w:p w14:paraId="06B4F9CD" w14:textId="77777777" w:rsidR="002409A4" w:rsidRPr="00C929DC" w:rsidRDefault="002409A4" w:rsidP="002409A4">
      <w:pPr>
        <w:autoSpaceDE w:val="0"/>
        <w:autoSpaceDN w:val="0"/>
        <w:adjustRightInd w:val="0"/>
        <w:jc w:val="both"/>
        <w:rPr>
          <w:rFonts w:ascii="Times New Roman" w:hAnsi="Times New Roman" w:cs="Times New Roman"/>
          <w:color w:val="000000" w:themeColor="text1"/>
        </w:rPr>
      </w:pPr>
    </w:p>
    <w:p w14:paraId="67DFEBD0" w14:textId="31F16723" w:rsidR="002409A4" w:rsidRPr="002409A4" w:rsidRDefault="002409A4" w:rsidP="00A67246">
      <w:pPr>
        <w:pStyle w:val="Heading3"/>
      </w:pPr>
      <w:r>
        <w:t xml:space="preserve">[a] </w:t>
      </w:r>
      <w:r w:rsidRPr="002409A4">
        <w:t xml:space="preserve">The </w:t>
      </w:r>
      <w:proofErr w:type="spellStart"/>
      <w:r w:rsidRPr="002409A4">
        <w:t>Epistocratic</w:t>
      </w:r>
      <w:proofErr w:type="spellEnd"/>
      <w:r w:rsidRPr="002409A4">
        <w:t xml:space="preserve"> Drift of the Second Chamber</w:t>
      </w:r>
    </w:p>
    <w:p w14:paraId="14666933" w14:textId="60F18F8A" w:rsidR="002409A4" w:rsidRDefault="002409A4" w:rsidP="002409A4">
      <w:pPr>
        <w:jc w:val="both"/>
        <w:rPr>
          <w:rFonts w:ascii="Times New Roman" w:hAnsi="Times New Roman" w:cs="Times New Roman"/>
          <w:color w:val="000000" w:themeColor="text1"/>
        </w:rPr>
      </w:pPr>
      <w:r>
        <w:rPr>
          <w:rFonts w:ascii="Times New Roman" w:hAnsi="Times New Roman" w:cs="Times New Roman"/>
          <w:color w:val="000000" w:themeColor="text1"/>
        </w:rPr>
        <w:t xml:space="preserve">There was little debate over the adoption of indirect election as the mode of election for Rajya Sabha members in the constituent assembly. In debates over the Government of India Act 1935—the predecessor to India’s post-independence constitution—the debate over direct versus indirect election was a contentious one. The original draft of the 1935 act provided for indirect election to both chambers of the federal legislature. After an amendment to the bill in the House of Lords, direct election was adopted for the </w:t>
      </w:r>
      <w:r w:rsidRPr="004B2B0F">
        <w:rPr>
          <w:rFonts w:ascii="Times New Roman" w:hAnsi="Times New Roman" w:cs="Times New Roman"/>
          <w:i/>
          <w:iCs/>
          <w:color w:val="000000" w:themeColor="text1"/>
        </w:rPr>
        <w:t>upper</w:t>
      </w:r>
      <w:r w:rsidRPr="004B2B0F">
        <w:rPr>
          <w:rFonts w:ascii="Times New Roman" w:hAnsi="Times New Roman" w:cs="Times New Roman"/>
          <w:color w:val="000000" w:themeColor="text1"/>
        </w:rPr>
        <w:t xml:space="preserve"> chamber</w:t>
      </w:r>
      <w:r>
        <w:rPr>
          <w:rFonts w:ascii="Times New Roman" w:hAnsi="Times New Roman" w:cs="Times New Roman"/>
          <w:i/>
          <w:iCs/>
          <w:color w:val="000000" w:themeColor="text1"/>
        </w:rPr>
        <w:t xml:space="preserve"> </w:t>
      </w:r>
      <w:r>
        <w:rPr>
          <w:rFonts w:ascii="Times New Roman" w:hAnsi="Times New Roman" w:cs="Times New Roman"/>
          <w:color w:val="000000" w:themeColor="text1"/>
        </w:rPr>
        <w:t xml:space="preserve">(Council of State), whereas the lower chamber (Federal Assembly) remained an indirectly elected one. As I have shown in previous work, an important argument for indirect election emphasised the </w:t>
      </w:r>
      <w:r>
        <w:rPr>
          <w:rFonts w:ascii="Times New Roman" w:hAnsi="Times New Roman" w:cs="Times New Roman"/>
          <w:i/>
          <w:iCs/>
          <w:color w:val="000000" w:themeColor="text1"/>
        </w:rPr>
        <w:t>magnitude</w:t>
      </w:r>
      <w:r>
        <w:rPr>
          <w:rFonts w:ascii="Times New Roman" w:hAnsi="Times New Roman" w:cs="Times New Roman"/>
          <w:color w:val="000000" w:themeColor="text1"/>
        </w:rPr>
        <w:t xml:space="preserve"> of India’s constituencies. The “</w:t>
      </w:r>
      <w:r w:rsidRPr="004B2B0F">
        <w:rPr>
          <w:rFonts w:ascii="Times New Roman" w:hAnsi="Times New Roman" w:cs="Times New Roman"/>
          <w:color w:val="000000" w:themeColor="text1"/>
        </w:rPr>
        <w:t>unwieldy and unmanageable</w:t>
      </w:r>
      <w:r>
        <w:rPr>
          <w:rFonts w:ascii="Times New Roman" w:hAnsi="Times New Roman" w:cs="Times New Roman"/>
          <w:color w:val="000000" w:themeColor="text1"/>
        </w:rPr>
        <w:t>” size of each constituency, given India’s size, was seen as precluding the kind of intimate contact between a representative and their electors that direct election assumed</w:t>
      </w:r>
      <w:r w:rsidR="000D6E09">
        <w:rPr>
          <w:rFonts w:ascii="Times New Roman" w:hAnsi="Times New Roman" w:cs="Times New Roman"/>
          <w:color w:val="000000" w:themeColor="text1"/>
        </w:rPr>
        <w:t xml:space="preserve"> (Muldoon 2009, 146-149)</w:t>
      </w:r>
      <w:r>
        <w:rPr>
          <w:rFonts w:ascii="Times New Roman" w:hAnsi="Times New Roman" w:cs="Times New Roman"/>
          <w:color w:val="000000" w:themeColor="text1"/>
        </w:rPr>
        <w:t>.</w:t>
      </w:r>
      <w:r w:rsidR="000D6E09">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Indirect election served as a way of overcoming this problem of magnitude, bridging electors and their representatives through intermediaries who could better monitor and sanction indirectly elected legislators. But there was another crucial argument for indirect election—one that emphasised the lack of education among the Indian masses. </w:t>
      </w:r>
    </w:p>
    <w:p w14:paraId="37DE8CD0" w14:textId="77777777" w:rsidR="002409A4" w:rsidRDefault="002409A4" w:rsidP="002409A4">
      <w:pPr>
        <w:jc w:val="both"/>
        <w:rPr>
          <w:rFonts w:ascii="Times New Roman" w:hAnsi="Times New Roman" w:cs="Times New Roman"/>
          <w:color w:val="000000" w:themeColor="text1"/>
        </w:rPr>
      </w:pPr>
    </w:p>
    <w:p w14:paraId="6FCCE5BF" w14:textId="3675B883" w:rsidR="002409A4" w:rsidRDefault="002409A4" w:rsidP="002409A4">
      <w:pPr>
        <w:jc w:val="both"/>
        <w:rPr>
          <w:rFonts w:ascii="Times New Roman" w:hAnsi="Times New Roman" w:cs="Times New Roman"/>
          <w:color w:val="000000" w:themeColor="text1"/>
        </w:rPr>
      </w:pPr>
      <w:r>
        <w:rPr>
          <w:rFonts w:ascii="Times New Roman" w:hAnsi="Times New Roman" w:cs="Times New Roman"/>
          <w:color w:val="000000" w:themeColor="text1"/>
        </w:rPr>
        <w:lastRenderedPageBreak/>
        <w:t>This argument was not wholly novel. Republican theorists like James Harrington and David Hume had similarly relied on indirect election as a mechanism for the selection of a “natural aristocracy” in their proposed Senates.</w:t>
      </w:r>
      <w:r w:rsidR="009C782C">
        <w:rPr>
          <w:rStyle w:val="FootnoteReference"/>
          <w:rFonts w:ascii="Times New Roman" w:hAnsi="Times New Roman" w:cs="Times New Roman"/>
          <w:color w:val="000000" w:themeColor="text1"/>
        </w:rPr>
        <w:footnoteReference w:id="5"/>
      </w:r>
      <w:r>
        <w:rPr>
          <w:rFonts w:ascii="Times New Roman" w:hAnsi="Times New Roman" w:cs="Times New Roman"/>
          <w:color w:val="000000" w:themeColor="text1"/>
        </w:rPr>
        <w:t xml:space="preserve"> The original design of the United States Senate was, in part, an expression of this republican vision. Elected by the state legislatures, the United States Senate was expected to “refine” the selection of representatives through a process of “successive filtrations”.</w:t>
      </w:r>
      <w:r w:rsidR="009C782C">
        <w:rPr>
          <w:rStyle w:val="FootnoteReference"/>
          <w:rFonts w:ascii="Times New Roman" w:hAnsi="Times New Roman" w:cs="Times New Roman"/>
          <w:color w:val="000000" w:themeColor="text1"/>
        </w:rPr>
        <w:footnoteReference w:id="6"/>
      </w:r>
      <w:r>
        <w:rPr>
          <w:rFonts w:ascii="Times New Roman" w:hAnsi="Times New Roman" w:cs="Times New Roman"/>
          <w:color w:val="000000" w:themeColor="text1"/>
        </w:rPr>
        <w:t xml:space="preserve"> This </w:t>
      </w:r>
      <w:proofErr w:type="spellStart"/>
      <w:r>
        <w:rPr>
          <w:rFonts w:ascii="Times New Roman" w:hAnsi="Times New Roman" w:cs="Times New Roman"/>
          <w:color w:val="000000" w:themeColor="text1"/>
        </w:rPr>
        <w:t>epistocratic</w:t>
      </w:r>
      <w:proofErr w:type="spellEnd"/>
      <w:r>
        <w:rPr>
          <w:rFonts w:ascii="Times New Roman" w:hAnsi="Times New Roman" w:cs="Times New Roman"/>
          <w:color w:val="000000" w:themeColor="text1"/>
        </w:rPr>
        <w:t xml:space="preserve"> understanding of indirect election was tempting to those who worried about vesting too much direct power in the hands of ordinary uneducated Indian citizens. As one member argued in parliamentary debates over the Government of India Act: </w:t>
      </w:r>
    </w:p>
    <w:p w14:paraId="2296B697" w14:textId="1E1DB400" w:rsidR="002409A4" w:rsidRPr="00161BF4" w:rsidRDefault="002409A4" w:rsidP="002409A4">
      <w:pPr>
        <w:pStyle w:val="Quote"/>
        <w:ind w:left="720"/>
        <w:jc w:val="both"/>
        <w:rPr>
          <w:rFonts w:ascii="Times New Roman" w:hAnsi="Times New Roman" w:cs="Times New Roman"/>
          <w:i w:val="0"/>
          <w:iCs w:val="0"/>
          <w:color w:val="000000" w:themeColor="text1"/>
          <w:sz w:val="20"/>
          <w:szCs w:val="20"/>
        </w:rPr>
      </w:pPr>
      <w:r w:rsidRPr="0028118E">
        <w:rPr>
          <w:rFonts w:ascii="Times New Roman" w:hAnsi="Times New Roman" w:cs="Times New Roman"/>
          <w:i w:val="0"/>
          <w:iCs w:val="0"/>
          <w:color w:val="000000" w:themeColor="text1"/>
          <w:sz w:val="20"/>
          <w:szCs w:val="20"/>
        </w:rPr>
        <w:t xml:space="preserve">The basic difficulty of the problem is that the very great majority of the population of India have not yet reached the stage in which they can effectively or wisely be entrusted with self-government. </w:t>
      </w:r>
      <w:proofErr w:type="gramStart"/>
      <w:r w:rsidRPr="0028118E">
        <w:rPr>
          <w:rFonts w:ascii="Times New Roman" w:hAnsi="Times New Roman" w:cs="Times New Roman"/>
          <w:i w:val="0"/>
          <w:iCs w:val="0"/>
          <w:color w:val="000000" w:themeColor="text1"/>
          <w:sz w:val="20"/>
          <w:szCs w:val="20"/>
        </w:rPr>
        <w:t>The vast majority of</w:t>
      </w:r>
      <w:proofErr w:type="gramEnd"/>
      <w:r w:rsidRPr="0028118E">
        <w:rPr>
          <w:rFonts w:ascii="Times New Roman" w:hAnsi="Times New Roman" w:cs="Times New Roman"/>
          <w:i w:val="0"/>
          <w:iCs w:val="0"/>
          <w:color w:val="000000" w:themeColor="text1"/>
          <w:sz w:val="20"/>
          <w:szCs w:val="20"/>
        </w:rPr>
        <w:t xml:space="preserve"> the population, whether by reason of their poverty or the districts in which they live or their illiteracy, are quite incapable of taking the same part in politics as do the electors of this country and most European countries.</w:t>
      </w:r>
      <w:r w:rsidR="009C782C">
        <w:rPr>
          <w:rStyle w:val="FootnoteReference"/>
          <w:rFonts w:ascii="Times New Roman" w:hAnsi="Times New Roman" w:cs="Times New Roman"/>
          <w:i w:val="0"/>
          <w:iCs w:val="0"/>
          <w:color w:val="000000" w:themeColor="text1"/>
          <w:sz w:val="20"/>
          <w:szCs w:val="20"/>
        </w:rPr>
        <w:footnoteReference w:id="7"/>
      </w:r>
    </w:p>
    <w:p w14:paraId="716D5F38" w14:textId="2AD8480B" w:rsidR="005869C3" w:rsidRPr="00D55E55" w:rsidRDefault="002409A4" w:rsidP="002409A4">
      <w:pPr>
        <w:jc w:val="both"/>
        <w:rPr>
          <w:rFonts w:ascii="Times New Roman" w:hAnsi="Times New Roman" w:cs="Times New Roman"/>
        </w:rPr>
      </w:pPr>
      <w:r>
        <w:rPr>
          <w:rFonts w:ascii="Times New Roman" w:hAnsi="Times New Roman" w:cs="Times New Roman"/>
        </w:rPr>
        <w:t>Notably, f</w:t>
      </w:r>
      <w:r w:rsidRPr="00D55E55">
        <w:rPr>
          <w:rFonts w:ascii="Times New Roman" w:hAnsi="Times New Roman" w:cs="Times New Roman"/>
        </w:rPr>
        <w:t>aith in a bicameral parliament with an indirectly elected chamber was not confined to colonial officials. Many Indian political elites in the interwar years supported the adoption of indirect elections to the second chamber even as they insisted that the lower house should be directly elected. The All-Parties Conference in 1928, culminating in the Nehru Report, worried about the “shouting and tub-thumping which a modern democratic election with a wide electorate involves</w:t>
      </w:r>
      <w:r w:rsidR="009C782C">
        <w:rPr>
          <w:rFonts w:ascii="Times New Roman" w:hAnsi="Times New Roman" w:cs="Times New Roman"/>
        </w:rPr>
        <w:t>”</w:t>
      </w:r>
      <w:r w:rsidR="005869C3">
        <w:rPr>
          <w:rFonts w:ascii="Times New Roman" w:hAnsi="Times New Roman" w:cs="Times New Roman"/>
        </w:rPr>
        <w:t xml:space="preserve">. </w:t>
      </w:r>
      <w:r w:rsidRPr="00D55E55">
        <w:rPr>
          <w:rFonts w:ascii="Times New Roman" w:hAnsi="Times New Roman" w:cs="Times New Roman"/>
        </w:rPr>
        <w:t>Indirect election for the second chamber was necessary, therefore, so that “the right kind of men might be chosen”</w:t>
      </w:r>
      <w:r w:rsidR="005869C3">
        <w:rPr>
          <w:rFonts w:ascii="Times New Roman" w:hAnsi="Times New Roman" w:cs="Times New Roman"/>
        </w:rPr>
        <w:t xml:space="preserve"> (All Parties Conference 1928, 94-95)</w:t>
      </w:r>
      <w:r w:rsidRPr="00D55E55">
        <w:rPr>
          <w:rFonts w:ascii="Times New Roman" w:hAnsi="Times New Roman" w:cs="Times New Roman"/>
        </w:rPr>
        <w:t xml:space="preserve">. By the time the constituent assembly met to debate the draft constitution twenty years later, the core features of India’s bicameral legislature were a settled matter. </w:t>
      </w:r>
      <w:r>
        <w:rPr>
          <w:rFonts w:ascii="Times New Roman" w:hAnsi="Times New Roman" w:cs="Times New Roman"/>
        </w:rPr>
        <w:t xml:space="preserve">The post-independence constitution would be an inverted image of the 1935 act, with a directly elected upper lower chamber, but with indirect election retained for the Rajya Sabha. There was little debate over this configuration during the making of the constitution. </w:t>
      </w:r>
      <w:r w:rsidRPr="00D55E55">
        <w:rPr>
          <w:rFonts w:ascii="Times New Roman" w:hAnsi="Times New Roman" w:cs="Times New Roman"/>
        </w:rPr>
        <w:t>KT Shah proposed an amendment that would make the Rajya Sabha a directly elected assembly. This amendment, however, was not moved and discussed in the constituent assembly.</w:t>
      </w:r>
    </w:p>
    <w:p w14:paraId="0C29BCF5" w14:textId="77777777" w:rsidR="005869C3" w:rsidRDefault="005869C3" w:rsidP="005869C3">
      <w:pPr>
        <w:tabs>
          <w:tab w:val="left" w:pos="5294"/>
        </w:tabs>
        <w:jc w:val="both"/>
        <w:rPr>
          <w:rFonts w:ascii="Times New Roman" w:hAnsi="Times New Roman" w:cs="Times New Roman"/>
        </w:rPr>
      </w:pPr>
    </w:p>
    <w:p w14:paraId="5E199030" w14:textId="6A7C48EC" w:rsidR="002409A4" w:rsidRDefault="005869C3" w:rsidP="005869C3">
      <w:pPr>
        <w:tabs>
          <w:tab w:val="left" w:pos="5294"/>
        </w:tabs>
        <w:jc w:val="both"/>
        <w:rPr>
          <w:rFonts w:ascii="Times New Roman" w:hAnsi="Times New Roman" w:cs="Times New Roman"/>
        </w:rPr>
      </w:pPr>
      <w:proofErr w:type="spellStart"/>
      <w:r>
        <w:rPr>
          <w:rFonts w:ascii="Times New Roman" w:hAnsi="Times New Roman" w:cs="Times New Roman"/>
        </w:rPr>
        <w:t>Epistocratic</w:t>
      </w:r>
      <w:proofErr w:type="spellEnd"/>
      <w:r>
        <w:rPr>
          <w:rFonts w:ascii="Times New Roman" w:hAnsi="Times New Roman" w:cs="Times New Roman"/>
        </w:rPr>
        <w:t xml:space="preserve"> suspicions about the capacities of ordinary citizens were, therefore, at least an important element of the indirectly elected nature of the Rajya Sabha. </w:t>
      </w:r>
      <w:r w:rsidR="002409A4" w:rsidRPr="00D55E55">
        <w:rPr>
          <w:rFonts w:ascii="Times New Roman" w:hAnsi="Times New Roman" w:cs="Times New Roman"/>
        </w:rPr>
        <w:t xml:space="preserve">At this point, one might be tempted to note that this reading of the Rajya Sabha’s method of election overlooks its purpose in a quasi-federal establishment. The Rajya Sabha, as the Council of State, is supposed to represent the interests of the </w:t>
      </w:r>
      <w:r w:rsidR="002409A4" w:rsidRPr="00F17BB7">
        <w:rPr>
          <w:rFonts w:ascii="Times New Roman" w:hAnsi="Times New Roman" w:cs="Times New Roman"/>
          <w:i/>
          <w:iCs/>
        </w:rPr>
        <w:t>states</w:t>
      </w:r>
      <w:r w:rsidR="002409A4" w:rsidRPr="00D55E55">
        <w:rPr>
          <w:rFonts w:ascii="Times New Roman" w:hAnsi="Times New Roman" w:cs="Times New Roman"/>
        </w:rPr>
        <w:t>.</w:t>
      </w:r>
      <w:r>
        <w:rPr>
          <w:rStyle w:val="FootnoteReference"/>
          <w:rFonts w:ascii="Times New Roman" w:hAnsi="Times New Roman" w:cs="Times New Roman"/>
        </w:rPr>
        <w:footnoteReference w:id="8"/>
      </w:r>
      <w:r w:rsidR="002409A4" w:rsidRPr="00D55E55">
        <w:rPr>
          <w:rFonts w:ascii="Times New Roman" w:hAnsi="Times New Roman" w:cs="Times New Roman"/>
        </w:rPr>
        <w:t xml:space="preserve"> The method of selection reflects this purpose, as state legislators are expected to represent the interests of their respective states </w:t>
      </w:r>
      <w:r w:rsidR="002409A4">
        <w:rPr>
          <w:rFonts w:ascii="Times New Roman" w:hAnsi="Times New Roman" w:cs="Times New Roman"/>
        </w:rPr>
        <w:t>when choosing Rajya Sabha members.</w:t>
      </w:r>
      <w:r w:rsidR="002409A4" w:rsidRPr="00D55E55">
        <w:rPr>
          <w:rFonts w:ascii="Times New Roman" w:hAnsi="Times New Roman" w:cs="Times New Roman"/>
        </w:rPr>
        <w:t xml:space="preserve"> </w:t>
      </w:r>
      <w:r w:rsidR="002409A4">
        <w:rPr>
          <w:rFonts w:ascii="Times New Roman" w:hAnsi="Times New Roman" w:cs="Times New Roman"/>
        </w:rPr>
        <w:t xml:space="preserve">Yet, foregrounding the representation of states does not automatically entail electing members of the Rajya Sabha through the state legislators. Indeed, this argument supervenes on the judgment that state legislators are </w:t>
      </w:r>
      <w:r w:rsidR="002409A4">
        <w:rPr>
          <w:rFonts w:ascii="Times New Roman" w:hAnsi="Times New Roman" w:cs="Times New Roman"/>
          <w:i/>
          <w:iCs/>
        </w:rPr>
        <w:t xml:space="preserve">better </w:t>
      </w:r>
      <w:r w:rsidR="002409A4">
        <w:rPr>
          <w:rFonts w:ascii="Times New Roman" w:hAnsi="Times New Roman" w:cs="Times New Roman"/>
        </w:rPr>
        <w:t xml:space="preserve">than the citizens of their state at </w:t>
      </w:r>
      <w:r w:rsidR="002409A4">
        <w:rPr>
          <w:rFonts w:ascii="Times New Roman" w:hAnsi="Times New Roman" w:cs="Times New Roman"/>
        </w:rPr>
        <w:lastRenderedPageBreak/>
        <w:t xml:space="preserve">protecting the interests of their state. American constitutional history is instructive in this respect. Before the seventeenth amendment was enacted in 1913, the Unites States Senate, too, was an indirectly elected body. During debates over the amendment, critics urged that ordinary citizens were fully capable of protecting their states’ interests by choosing senators who would represent those interests. They did not need state legislators or the mechanism of an indirect election to safeguard their states’ interests. On the other hand, they also noted that mediating senatorial choice through the state legislatures meant that states’ interests were </w:t>
      </w:r>
      <w:r w:rsidR="002409A4">
        <w:rPr>
          <w:rFonts w:ascii="Times New Roman" w:hAnsi="Times New Roman" w:cs="Times New Roman"/>
          <w:i/>
          <w:iCs/>
        </w:rPr>
        <w:t xml:space="preserve">less </w:t>
      </w:r>
      <w:r w:rsidR="002409A4">
        <w:rPr>
          <w:rFonts w:ascii="Times New Roman" w:hAnsi="Times New Roman" w:cs="Times New Roman"/>
        </w:rPr>
        <w:t xml:space="preserve">likely to receive attention in the Senate. This is because state legislators’ choice of senators was not determined by the interests of their state, but by the political interests of their party. Legislators in the state assembly were not casting their vote for a senator based on their autonomous judgment about who would best protect their state’s interests. On the contrary, this judgment was conditioned by the party to which the state legislator belonged, and that party’s interests in a larger majority in a federal legislative chamber. I return to this point and the implications of party control of indirect elections in section 2 below. </w:t>
      </w:r>
    </w:p>
    <w:p w14:paraId="15BD6E03" w14:textId="77777777" w:rsidR="002409A4" w:rsidRDefault="002409A4" w:rsidP="002409A4">
      <w:pPr>
        <w:jc w:val="both"/>
        <w:rPr>
          <w:rFonts w:ascii="Times New Roman" w:hAnsi="Times New Roman" w:cs="Times New Roman"/>
        </w:rPr>
      </w:pPr>
    </w:p>
    <w:p w14:paraId="61A10B49" w14:textId="2E1C79ED" w:rsidR="002409A4" w:rsidRPr="000D6E09" w:rsidRDefault="002409A4" w:rsidP="002409A4">
      <w:pPr>
        <w:jc w:val="both"/>
        <w:rPr>
          <w:rFonts w:ascii="Times New Roman" w:hAnsi="Times New Roman" w:cs="Times New Roman"/>
          <w:color w:val="000000" w:themeColor="text1"/>
        </w:rPr>
      </w:pPr>
      <w:r w:rsidRPr="00316191">
        <w:rPr>
          <w:rFonts w:ascii="Times New Roman" w:hAnsi="Times New Roman" w:cs="Times New Roman"/>
          <w:color w:val="000000" w:themeColor="text1"/>
        </w:rPr>
        <w:t xml:space="preserve">If the </w:t>
      </w:r>
      <w:proofErr w:type="spellStart"/>
      <w:r w:rsidRPr="00316191">
        <w:rPr>
          <w:rFonts w:ascii="Times New Roman" w:hAnsi="Times New Roman" w:cs="Times New Roman"/>
          <w:color w:val="000000" w:themeColor="text1"/>
        </w:rPr>
        <w:t>epistocratic</w:t>
      </w:r>
      <w:proofErr w:type="spellEnd"/>
      <w:r w:rsidRPr="00316191">
        <w:rPr>
          <w:rFonts w:ascii="Times New Roman" w:hAnsi="Times New Roman" w:cs="Times New Roman"/>
          <w:color w:val="000000" w:themeColor="text1"/>
        </w:rPr>
        <w:t xml:space="preserve"> drift of the Rajya Sabha was reflected in its mechanism of indirect election, it appeared still more clearly in a neglected aspect of India’s second chamber: its nominated members. Under the nominations clause in the constitution, the executive appoints up to twelve members of the Rajya Sabha. These nominated members comprise “persons who have special knowledge or practical experience in respect of such matters as literature, science, art and social service”. The initial draft of the constitution had proposed the election of twenty-five persons through five panels</w:t>
      </w:r>
      <w:r>
        <w:rPr>
          <w:rFonts w:ascii="Times New Roman" w:hAnsi="Times New Roman" w:cs="Times New Roman"/>
          <w:color w:val="000000" w:themeColor="text1"/>
        </w:rPr>
        <w:t xml:space="preserve">: </w:t>
      </w:r>
      <w:r w:rsidRPr="00316191">
        <w:rPr>
          <w:rFonts w:ascii="Times New Roman" w:hAnsi="Times New Roman" w:cs="Times New Roman"/>
          <w:color w:val="000000" w:themeColor="text1"/>
        </w:rPr>
        <w:t xml:space="preserve">(1) National language and culture, literature, art, </w:t>
      </w:r>
      <w:proofErr w:type="gramStart"/>
      <w:r w:rsidRPr="00316191">
        <w:rPr>
          <w:rFonts w:ascii="Times New Roman" w:hAnsi="Times New Roman" w:cs="Times New Roman"/>
          <w:color w:val="000000" w:themeColor="text1"/>
        </w:rPr>
        <w:t>education</w:t>
      </w:r>
      <w:proofErr w:type="gramEnd"/>
      <w:r w:rsidRPr="00316191">
        <w:rPr>
          <w:rFonts w:ascii="Times New Roman" w:hAnsi="Times New Roman" w:cs="Times New Roman"/>
          <w:color w:val="000000" w:themeColor="text1"/>
        </w:rPr>
        <w:t xml:space="preserve"> and such professional interests as might be defined by an Act of the Federal Parliament; (2) Agriculture and allied interests; (3) Labour; (4) Industry and commerce including banking, finance accountancy, engineering and architecture; and (5) Public administration.</w:t>
      </w:r>
    </w:p>
    <w:p w14:paraId="212275A4" w14:textId="77777777" w:rsidR="00A379C9" w:rsidRDefault="00A379C9" w:rsidP="00A379C9">
      <w:pPr>
        <w:textAlignment w:val="baseline"/>
        <w:rPr>
          <w:rFonts w:ascii="Times New Roman" w:hAnsi="Times New Roman" w:cs="Times New Roman"/>
        </w:rPr>
      </w:pPr>
    </w:p>
    <w:p w14:paraId="3EC6B679" w14:textId="62E883B9" w:rsidR="00A379C9" w:rsidRDefault="002409A4" w:rsidP="00A379C9">
      <w:pPr>
        <w:jc w:val="both"/>
        <w:textAlignment w:val="baseline"/>
        <w:rPr>
          <w:rFonts w:ascii="Times New Roman" w:hAnsi="Times New Roman" w:cs="Times New Roman"/>
        </w:rPr>
      </w:pPr>
      <w:r w:rsidRPr="00A379C9">
        <w:rPr>
          <w:rFonts w:ascii="Times New Roman" w:hAnsi="Times New Roman" w:cs="Times New Roman"/>
        </w:rPr>
        <w:t xml:space="preserve">This proposed clause was based on the Irish constitution’s provisions for the selection of its senators. The incorporation of these panels in Ireland was underpinned by an </w:t>
      </w:r>
      <w:proofErr w:type="spellStart"/>
      <w:r w:rsidRPr="00A379C9">
        <w:rPr>
          <w:rFonts w:ascii="Times New Roman" w:hAnsi="Times New Roman" w:cs="Times New Roman"/>
        </w:rPr>
        <w:t>antipartyist</w:t>
      </w:r>
      <w:proofErr w:type="spellEnd"/>
      <w:r w:rsidRPr="00A379C9">
        <w:rPr>
          <w:rFonts w:ascii="Times New Roman" w:hAnsi="Times New Roman" w:cs="Times New Roman"/>
        </w:rPr>
        <w:t xml:space="preserve"> approach, aimed at</w:t>
      </w:r>
      <w:r w:rsidR="00AF079B" w:rsidRPr="00A379C9">
        <w:rPr>
          <w:rFonts w:ascii="Times New Roman" w:hAnsi="Times New Roman" w:cs="Times New Roman"/>
        </w:rPr>
        <w:t xml:space="preserve"> establishing a “a senatorial house without the influence of party</w:t>
      </w:r>
      <w:r w:rsidR="000D6E09" w:rsidRPr="00A379C9">
        <w:rPr>
          <w:rFonts w:ascii="Times New Roman" w:hAnsi="Times New Roman" w:cs="Times New Roman"/>
        </w:rPr>
        <w:t xml:space="preserve"> (</w:t>
      </w:r>
      <w:proofErr w:type="spellStart"/>
      <w:r w:rsidR="000D6E09" w:rsidRPr="00A379C9">
        <w:rPr>
          <w:rFonts w:ascii="Times New Roman" w:hAnsi="Times New Roman" w:cs="Times New Roman"/>
        </w:rPr>
        <w:t>Cahillane</w:t>
      </w:r>
      <w:proofErr w:type="spellEnd"/>
      <w:r w:rsidR="000D6E09" w:rsidRPr="00A379C9">
        <w:rPr>
          <w:rFonts w:ascii="Times New Roman" w:hAnsi="Times New Roman" w:cs="Times New Roman"/>
        </w:rPr>
        <w:t xml:space="preserve"> 2012, 65)</w:t>
      </w:r>
      <w:r w:rsidR="00AF079B" w:rsidRPr="00A379C9">
        <w:rPr>
          <w:rFonts w:ascii="Times New Roman" w:hAnsi="Times New Roman" w:cs="Times New Roman"/>
        </w:rPr>
        <w:t>”.</w:t>
      </w:r>
      <w:r w:rsidR="000D6E09" w:rsidRPr="00A379C9">
        <w:rPr>
          <w:rFonts w:ascii="Times New Roman" w:hAnsi="Times New Roman" w:cs="Times New Roman"/>
        </w:rPr>
        <w:t xml:space="preserve"> </w:t>
      </w:r>
      <w:r w:rsidR="00AF079B" w:rsidRPr="00A379C9">
        <w:rPr>
          <w:rFonts w:ascii="Times New Roman" w:hAnsi="Times New Roman" w:cs="Times New Roman"/>
        </w:rPr>
        <w:t>The vocational panel, leaders in Ireland expected, “would have an important filter effect, ensuring that candidates of an appropriate quality were put forward”</w:t>
      </w:r>
      <w:r w:rsidR="000D6E09" w:rsidRPr="00A379C9">
        <w:rPr>
          <w:rFonts w:ascii="Times New Roman" w:hAnsi="Times New Roman" w:cs="Times New Roman"/>
        </w:rPr>
        <w:t xml:space="preserve"> (Coakley 2005)</w:t>
      </w:r>
      <w:r w:rsidR="00AF079B" w:rsidRPr="00A379C9">
        <w:rPr>
          <w:rFonts w:ascii="Times New Roman" w:hAnsi="Times New Roman" w:cs="Times New Roman"/>
        </w:rPr>
        <w:t>.</w:t>
      </w:r>
      <w:r w:rsidR="00AF079B" w:rsidRPr="00A379C9">
        <w:rPr>
          <w:rStyle w:val="FootnoteReference"/>
          <w:rFonts w:ascii="Times New Roman" w:hAnsi="Times New Roman" w:cs="Times New Roman"/>
        </w:rPr>
        <w:footnoteReference w:id="9"/>
      </w:r>
      <w:r w:rsidR="00AF079B" w:rsidRPr="00A379C9">
        <w:rPr>
          <w:rFonts w:ascii="Times New Roman" w:hAnsi="Times New Roman" w:cs="Times New Roman"/>
        </w:rPr>
        <w:t xml:space="preserve"> </w:t>
      </w:r>
      <w:r w:rsidR="00A379C9">
        <w:rPr>
          <w:rFonts w:ascii="Times New Roman" w:hAnsi="Times New Roman" w:cs="Times New Roman"/>
        </w:rPr>
        <w:t xml:space="preserve">Already by 1943, concerns had emerged in Ireland that the panels had not worked as intended. </w:t>
      </w:r>
    </w:p>
    <w:p w14:paraId="66C26DF0" w14:textId="5AF02C98" w:rsidR="00A379C9" w:rsidRDefault="00A379C9" w:rsidP="00A379C9">
      <w:pPr>
        <w:jc w:val="both"/>
        <w:textAlignment w:val="baseline"/>
        <w:rPr>
          <w:rFonts w:ascii="Times New Roman" w:hAnsi="Times New Roman" w:cs="Times New Roman"/>
        </w:rPr>
      </w:pPr>
      <w:r w:rsidRPr="00A379C9">
        <w:rPr>
          <w:rFonts w:ascii="Times New Roman" w:hAnsi="Times New Roman" w:cs="Times New Roman"/>
        </w:rPr>
        <w:t>In 1943, a commission formed in Ireland to examine the functioning of these panels had lamented that they had not resulted in the selection of “those who are most eminent in their professions or callings, but those who are most likely to be acceptable to the political parties”.</w:t>
      </w:r>
      <w:r w:rsidRPr="00A379C9">
        <w:rPr>
          <w:rStyle w:val="FootnoteReference"/>
          <w:rFonts w:ascii="Times New Roman" w:hAnsi="Times New Roman" w:cs="Times New Roman"/>
        </w:rPr>
        <w:footnoteReference w:id="10"/>
      </w:r>
      <w:r w:rsidRPr="00A379C9">
        <w:rPr>
          <w:rFonts w:ascii="Times New Roman" w:hAnsi="Times New Roman" w:cs="Times New Roman"/>
        </w:rPr>
        <w:t xml:space="preserve"> </w:t>
      </w:r>
      <w:r>
        <w:rPr>
          <w:rFonts w:ascii="Times New Roman" w:hAnsi="Times New Roman" w:cs="Times New Roman"/>
        </w:rPr>
        <w:t>The panels were discarded from India’s draft constitution after feedback from the then Taoiseach, Eamon De Valera, to the constituent assembly’s advisor, BN Rau.</w:t>
      </w:r>
    </w:p>
    <w:p w14:paraId="646B4E3C" w14:textId="77777777" w:rsidR="00A379C9" w:rsidRPr="00A379C9" w:rsidRDefault="00A379C9" w:rsidP="00A379C9">
      <w:pPr>
        <w:jc w:val="both"/>
        <w:textAlignment w:val="baseline"/>
        <w:rPr>
          <w:rFonts w:ascii="Times New Roman" w:hAnsi="Times New Roman" w:cs="Times New Roman"/>
        </w:rPr>
      </w:pPr>
    </w:p>
    <w:p w14:paraId="51D0F06B" w14:textId="77777777" w:rsidR="002409A4" w:rsidRPr="00316191" w:rsidRDefault="002409A4" w:rsidP="002409A4">
      <w:pPr>
        <w:jc w:val="both"/>
        <w:rPr>
          <w:rFonts w:ascii="Times New Roman" w:hAnsi="Times New Roman" w:cs="Times New Roman"/>
          <w:color w:val="000000" w:themeColor="text1"/>
        </w:rPr>
      </w:pPr>
      <w:r w:rsidRPr="00316191">
        <w:rPr>
          <w:rFonts w:ascii="Times New Roman" w:hAnsi="Times New Roman" w:cs="Times New Roman"/>
          <w:color w:val="000000" w:themeColor="text1"/>
        </w:rPr>
        <w:t xml:space="preserve">The nominations clause eventually adopted by the constituent assembly reduced the number of nominated places in the Rajya Sabha from twenty-five to twelve. Yet, it attempted to secure, by different means, the Irish constitution’s aim of securing the presence of “eminent” individuals in the second chamber. Persons appointed to the Rajya Sabha under the nominations clause would not have to prove their popular appeal within their field of expertise. Even the limited attempt to secure representativeness through vocational associations, as in the case of the Irish Senate, was discarded in favour of nomination by the executive. In the </w:t>
      </w:r>
      <w:r w:rsidRPr="00316191">
        <w:rPr>
          <w:rFonts w:ascii="Times New Roman" w:hAnsi="Times New Roman" w:cs="Times New Roman"/>
          <w:color w:val="000000" w:themeColor="text1"/>
        </w:rPr>
        <w:lastRenderedPageBreak/>
        <w:t xml:space="preserve">constituent assembly, the Indian nomination clause was defended as a mechanism for bringing into parliament persons who would feel “shy” in running for democratic office. </w:t>
      </w:r>
      <w:proofErr w:type="spellStart"/>
      <w:r w:rsidRPr="00316191">
        <w:rPr>
          <w:rFonts w:ascii="Times New Roman" w:hAnsi="Times New Roman" w:cs="Times New Roman"/>
          <w:color w:val="000000" w:themeColor="text1"/>
        </w:rPr>
        <w:t>Naziruddin</w:t>
      </w:r>
      <w:proofErr w:type="spellEnd"/>
      <w:r w:rsidRPr="00316191">
        <w:rPr>
          <w:rFonts w:ascii="Times New Roman" w:hAnsi="Times New Roman" w:cs="Times New Roman"/>
          <w:color w:val="000000" w:themeColor="text1"/>
        </w:rPr>
        <w:t xml:space="preserve"> Ahmad, for instance, argued that: </w:t>
      </w:r>
    </w:p>
    <w:p w14:paraId="57A428AA" w14:textId="77777777" w:rsidR="002409A4" w:rsidRPr="00316191" w:rsidRDefault="002409A4" w:rsidP="002409A4">
      <w:pPr>
        <w:pStyle w:val="NormalWeb"/>
        <w:ind w:left="720"/>
        <w:jc w:val="both"/>
        <w:rPr>
          <w:color w:val="000000" w:themeColor="text1"/>
          <w:sz w:val="20"/>
          <w:szCs w:val="20"/>
        </w:rPr>
      </w:pPr>
      <w:r w:rsidRPr="00316191">
        <w:rPr>
          <w:color w:val="000000" w:themeColor="text1"/>
          <w:sz w:val="20"/>
          <w:szCs w:val="20"/>
        </w:rPr>
        <w:t xml:space="preserve">It may be that at any future election we may lose </w:t>
      </w:r>
      <w:proofErr w:type="spellStart"/>
      <w:r w:rsidRPr="00316191">
        <w:rPr>
          <w:color w:val="000000" w:themeColor="text1"/>
          <w:sz w:val="20"/>
          <w:szCs w:val="20"/>
        </w:rPr>
        <w:t>Dr.</w:t>
      </w:r>
      <w:proofErr w:type="spellEnd"/>
      <w:r w:rsidRPr="00316191">
        <w:rPr>
          <w:color w:val="000000" w:themeColor="text1"/>
          <w:sz w:val="20"/>
          <w:szCs w:val="20"/>
        </w:rPr>
        <w:t xml:space="preserve"> Ambedkar himself, and there should be some means of bringing him in by a presidential nomination. Then there is the Rt. Honourable Mr. </w:t>
      </w:r>
      <w:proofErr w:type="spellStart"/>
      <w:r w:rsidRPr="00316191">
        <w:rPr>
          <w:color w:val="000000" w:themeColor="text1"/>
          <w:sz w:val="20"/>
          <w:szCs w:val="20"/>
        </w:rPr>
        <w:t>Jayakar</w:t>
      </w:r>
      <w:proofErr w:type="spellEnd"/>
      <w:r w:rsidRPr="00316191">
        <w:rPr>
          <w:color w:val="000000" w:themeColor="text1"/>
          <w:sz w:val="20"/>
          <w:szCs w:val="20"/>
        </w:rPr>
        <w:t xml:space="preserve">. These are </w:t>
      </w:r>
      <w:proofErr w:type="gramStart"/>
      <w:r w:rsidRPr="00316191">
        <w:rPr>
          <w:color w:val="000000" w:themeColor="text1"/>
          <w:sz w:val="20"/>
          <w:szCs w:val="20"/>
        </w:rPr>
        <w:t>really great</w:t>
      </w:r>
      <w:proofErr w:type="gramEnd"/>
      <w:r w:rsidRPr="00316191">
        <w:rPr>
          <w:color w:val="000000" w:themeColor="text1"/>
          <w:sz w:val="20"/>
          <w:szCs w:val="20"/>
        </w:rPr>
        <w:t xml:space="preserve"> men of the Law and their addition, or rather the choice of the President in their selection should be very useful.</w:t>
      </w:r>
    </w:p>
    <w:p w14:paraId="4FB8DBE5" w14:textId="2786395F" w:rsidR="002409A4" w:rsidRDefault="002409A4" w:rsidP="002409A4">
      <w:pPr>
        <w:jc w:val="both"/>
        <w:rPr>
          <w:rFonts w:ascii="Times New Roman" w:hAnsi="Times New Roman" w:cs="Times New Roman"/>
        </w:rPr>
      </w:pPr>
      <w:r w:rsidRPr="00D55E55">
        <w:rPr>
          <w:rFonts w:ascii="Times New Roman" w:hAnsi="Times New Roman" w:cs="Times New Roman"/>
        </w:rPr>
        <w:t>So far, I have argued that the adoption of indirect election</w:t>
      </w:r>
      <w:r w:rsidR="00AF079B">
        <w:rPr>
          <w:rFonts w:ascii="Times New Roman" w:hAnsi="Times New Roman" w:cs="Times New Roman"/>
        </w:rPr>
        <w:t xml:space="preserve"> (and a limited form of nominations)</w:t>
      </w:r>
      <w:r w:rsidRPr="00D55E55">
        <w:rPr>
          <w:rFonts w:ascii="Times New Roman" w:hAnsi="Times New Roman" w:cs="Times New Roman"/>
        </w:rPr>
        <w:t xml:space="preserve"> for the Rajya Sabha represents an </w:t>
      </w:r>
      <w:proofErr w:type="spellStart"/>
      <w:r w:rsidRPr="00D55E55">
        <w:rPr>
          <w:rFonts w:ascii="Times New Roman" w:hAnsi="Times New Roman" w:cs="Times New Roman"/>
        </w:rPr>
        <w:t>epistocratic</w:t>
      </w:r>
      <w:proofErr w:type="spellEnd"/>
      <w:r w:rsidRPr="00D55E55">
        <w:rPr>
          <w:rFonts w:ascii="Times New Roman" w:hAnsi="Times New Roman" w:cs="Times New Roman"/>
        </w:rPr>
        <w:t xml:space="preserve"> drift in India’s system of parliamentary government. Indirect elections were, in India, as in the US, expected to</w:t>
      </w:r>
      <w:r>
        <w:rPr>
          <w:rFonts w:ascii="Times New Roman" w:hAnsi="Times New Roman" w:cs="Times New Roman"/>
        </w:rPr>
        <w:t xml:space="preserve"> generate an unrepresentative chamber. This was a response to the perceived limitations of direct election and their application to a population that could not be relied upon to choose suitable representatives. </w:t>
      </w:r>
      <w:r w:rsidRPr="00D55E55">
        <w:rPr>
          <w:rFonts w:ascii="Times New Roman" w:hAnsi="Times New Roman" w:cs="Times New Roman"/>
        </w:rPr>
        <w:t xml:space="preserve">Does this mean that India should follow the US in replacing indirect for direct election in its second chamber? </w:t>
      </w:r>
    </w:p>
    <w:p w14:paraId="01D8CDBE" w14:textId="77777777" w:rsidR="002409A4" w:rsidRDefault="002409A4" w:rsidP="002409A4">
      <w:pPr>
        <w:jc w:val="both"/>
        <w:rPr>
          <w:rFonts w:ascii="Times New Roman" w:hAnsi="Times New Roman" w:cs="Times New Roman"/>
        </w:rPr>
      </w:pPr>
    </w:p>
    <w:p w14:paraId="75599490" w14:textId="7DBECA17" w:rsidR="002409A4" w:rsidRPr="002409A4" w:rsidRDefault="002409A4" w:rsidP="00A67246">
      <w:pPr>
        <w:pStyle w:val="Heading3"/>
      </w:pPr>
      <w:r>
        <w:t xml:space="preserve">[b] </w:t>
      </w:r>
      <w:r w:rsidRPr="002409A4">
        <w:t xml:space="preserve">The Oligarchic Drift </w:t>
      </w:r>
    </w:p>
    <w:p w14:paraId="08A54E68" w14:textId="77777777" w:rsidR="002409A4" w:rsidRDefault="002409A4" w:rsidP="002409A4">
      <w:pPr>
        <w:jc w:val="both"/>
        <w:rPr>
          <w:rFonts w:ascii="Times New Roman" w:hAnsi="Times New Roman" w:cs="Times New Roman"/>
        </w:rPr>
      </w:pPr>
      <w:r>
        <w:rPr>
          <w:rFonts w:ascii="Times New Roman" w:hAnsi="Times New Roman" w:cs="Times New Roman"/>
        </w:rPr>
        <w:t xml:space="preserve">The idea that (direct) elections result in the choice of inadequately competent representatives has been part of the history of democratic and representative institutions. But the history of democratic thought provides another critique of democratic elections: their tendency towards oligarchy. Ancient democracies, as John McCormick reminds us, were wary of the self-seeking tendencies of wealthy elites. They expected such elites to pursue their own interests over the good of the wider population. This danger was particularly acute in the face of the aristocratic dimension of elections, whereby the wealthy could hold a monopoly over elected positions. They attempted to rectify this </w:t>
      </w:r>
      <w:proofErr w:type="gramStart"/>
      <w:r>
        <w:rPr>
          <w:rFonts w:ascii="Times New Roman" w:hAnsi="Times New Roman" w:cs="Times New Roman"/>
        </w:rPr>
        <w:t>through the use of</w:t>
      </w:r>
      <w:proofErr w:type="gramEnd"/>
      <w:r>
        <w:rPr>
          <w:rFonts w:ascii="Times New Roman" w:hAnsi="Times New Roman" w:cs="Times New Roman"/>
        </w:rPr>
        <w:t xml:space="preserve"> sortition, whereby lotteries were used to assign magistracies. This allowed for the allocation of offices across different classes in society, minimising the disproportionate power wielded by economic elites. In Italian republics, the use of random selection operated alongside class-specific eligibility stipulations for some offices, specifically aimed at enhancing the power of the plebians relative to patricians. </w:t>
      </w:r>
    </w:p>
    <w:p w14:paraId="48BD9A03" w14:textId="77777777" w:rsidR="002409A4" w:rsidRDefault="002409A4" w:rsidP="002409A4">
      <w:pPr>
        <w:jc w:val="both"/>
        <w:rPr>
          <w:rFonts w:ascii="Times New Roman" w:hAnsi="Times New Roman" w:cs="Times New Roman"/>
        </w:rPr>
      </w:pPr>
    </w:p>
    <w:p w14:paraId="2CCA41B4" w14:textId="04869915" w:rsidR="002409A4" w:rsidRDefault="002409A4" w:rsidP="002409A4">
      <w:pPr>
        <w:jc w:val="both"/>
        <w:rPr>
          <w:rFonts w:ascii="Times New Roman" w:hAnsi="Times New Roman" w:cs="Times New Roman"/>
        </w:rPr>
      </w:pPr>
      <w:r w:rsidRPr="00500219">
        <w:rPr>
          <w:rFonts w:ascii="Times New Roman" w:hAnsi="Times New Roman" w:cs="Times New Roman"/>
        </w:rPr>
        <w:t>Recent years have seen the re-emergence of a form of plebian constitutionalism which emphasises ways in which democratic elections are closely linked to oligarchic drifts</w:t>
      </w:r>
      <w:r w:rsidR="00EB2D43">
        <w:rPr>
          <w:rFonts w:ascii="Times New Roman" w:hAnsi="Times New Roman" w:cs="Times New Roman"/>
        </w:rPr>
        <w:t xml:space="preserve"> (McCormick 2011; Vergara 2020; </w:t>
      </w:r>
      <w:proofErr w:type="spellStart"/>
      <w:r w:rsidR="00EB2D43">
        <w:rPr>
          <w:rFonts w:ascii="Times New Roman" w:hAnsi="Times New Roman" w:cs="Times New Roman"/>
        </w:rPr>
        <w:t>Harting</w:t>
      </w:r>
      <w:proofErr w:type="spellEnd"/>
      <w:r w:rsidR="00EB2D43">
        <w:rPr>
          <w:rFonts w:ascii="Times New Roman" w:hAnsi="Times New Roman" w:cs="Times New Roman"/>
        </w:rPr>
        <w:t xml:space="preserve"> 2024).</w:t>
      </w:r>
      <w:r w:rsidRPr="00500219">
        <w:rPr>
          <w:rFonts w:ascii="Times New Roman" w:hAnsi="Times New Roman" w:cs="Times New Roman"/>
        </w:rPr>
        <w:t xml:space="preserve"> This strand of constitutionalism “aspires to prevent socioeconomic inequality from translating into political inequality and, hence, better to ensure the liberty of average citizens” (McCormick 2010, 237). </w:t>
      </w:r>
      <w:r>
        <w:rPr>
          <w:rFonts w:ascii="Times New Roman" w:hAnsi="Times New Roman" w:cs="Times New Roman"/>
        </w:rPr>
        <w:t xml:space="preserve">Advocates of plebian constitutionalism offer a different diagnosis on the problem of democracy from the </w:t>
      </w:r>
      <w:proofErr w:type="spellStart"/>
      <w:r>
        <w:rPr>
          <w:rFonts w:ascii="Times New Roman" w:hAnsi="Times New Roman" w:cs="Times New Roman"/>
        </w:rPr>
        <w:t>epistocrat</w:t>
      </w:r>
      <w:proofErr w:type="spellEnd"/>
      <w:r>
        <w:rPr>
          <w:rFonts w:ascii="Times New Roman" w:hAnsi="Times New Roman" w:cs="Times New Roman"/>
        </w:rPr>
        <w:t xml:space="preserve">. They argue that democratic states, despite—and partly </w:t>
      </w:r>
      <w:r>
        <w:rPr>
          <w:rFonts w:ascii="Times New Roman" w:hAnsi="Times New Roman" w:cs="Times New Roman"/>
          <w:i/>
          <w:iCs/>
        </w:rPr>
        <w:t xml:space="preserve">through </w:t>
      </w:r>
      <w:r>
        <w:rPr>
          <w:rFonts w:ascii="Times New Roman" w:hAnsi="Times New Roman" w:cs="Times New Roman"/>
        </w:rPr>
        <w:t>democratic elections—resemble regimes of oligarchic control. They draw on empirical work which shows how the very wealthy tend to have disproportionate influence over policy outcomes in democratic states</w:t>
      </w:r>
      <w:r w:rsidR="00EB2D43">
        <w:rPr>
          <w:rFonts w:ascii="Times New Roman" w:hAnsi="Times New Roman" w:cs="Times New Roman"/>
        </w:rPr>
        <w:t xml:space="preserve"> (Winters 2011)</w:t>
      </w:r>
      <w:r>
        <w:rPr>
          <w:rFonts w:ascii="Times New Roman" w:hAnsi="Times New Roman" w:cs="Times New Roman"/>
        </w:rPr>
        <w:t>. This political influence is facilitated by, but also helps consolidate, large inequalities of wealth in contemporary societies. Wealthy elites bear disproportionate capacity to engage in “wealth defence” measures through the democratic process</w:t>
      </w:r>
      <w:r w:rsidR="00EB2D43">
        <w:rPr>
          <w:rFonts w:ascii="Times New Roman" w:hAnsi="Times New Roman" w:cs="Times New Roman"/>
        </w:rPr>
        <w:t xml:space="preserve"> (Winters 2011; Arlen 2019). </w:t>
      </w:r>
    </w:p>
    <w:p w14:paraId="66475D59" w14:textId="77777777" w:rsidR="002409A4" w:rsidRDefault="002409A4" w:rsidP="002409A4">
      <w:pPr>
        <w:jc w:val="both"/>
        <w:rPr>
          <w:rFonts w:ascii="Times New Roman" w:hAnsi="Times New Roman" w:cs="Times New Roman"/>
        </w:rPr>
      </w:pPr>
    </w:p>
    <w:p w14:paraId="5AD4F9B2" w14:textId="3A753749" w:rsidR="002409A4" w:rsidRDefault="002409A4" w:rsidP="002409A4">
      <w:pPr>
        <w:jc w:val="both"/>
        <w:rPr>
          <w:rFonts w:ascii="Times New Roman" w:hAnsi="Times New Roman" w:cs="Times New Roman"/>
        </w:rPr>
      </w:pPr>
      <w:r>
        <w:rPr>
          <w:rFonts w:ascii="Times New Roman" w:hAnsi="Times New Roman" w:cs="Times New Roman"/>
        </w:rPr>
        <w:t>Indian democracy is not immune from the threat of oligarchic capture. In the first instance, it, too, is characterised by major concentration of wealth. As a recent study has demonstrated, the top 1% of the country owns 40% of India’s wealth and 22.6% of its income</w:t>
      </w:r>
      <w:r w:rsidR="009D0D98">
        <w:rPr>
          <w:rFonts w:ascii="Times New Roman" w:hAnsi="Times New Roman" w:cs="Times New Roman"/>
        </w:rPr>
        <w:t xml:space="preserve"> (Bharti et al. 2024)</w:t>
      </w:r>
      <w:r>
        <w:rPr>
          <w:rFonts w:ascii="Times New Roman" w:hAnsi="Times New Roman" w:cs="Times New Roman"/>
        </w:rPr>
        <w:t xml:space="preserve"> The share of income that this top 1% controls </w:t>
      </w:r>
      <w:proofErr w:type="gramStart"/>
      <w:r>
        <w:rPr>
          <w:rFonts w:ascii="Times New Roman" w:hAnsi="Times New Roman" w:cs="Times New Roman"/>
        </w:rPr>
        <w:t>is</w:t>
      </w:r>
      <w:proofErr w:type="gramEnd"/>
      <w:r>
        <w:rPr>
          <w:rFonts w:ascii="Times New Roman" w:hAnsi="Times New Roman" w:cs="Times New Roman"/>
        </w:rPr>
        <w:t xml:space="preserve"> among the very highest in the world. As the authors of the study note, India is “now more unequal than the British Raj headed by the </w:t>
      </w:r>
      <w:r>
        <w:rPr>
          <w:rFonts w:ascii="Times New Roman" w:hAnsi="Times New Roman" w:cs="Times New Roman"/>
        </w:rPr>
        <w:lastRenderedPageBreak/>
        <w:t>colonialist forces”</w:t>
      </w:r>
      <w:r w:rsidR="009D0D98">
        <w:rPr>
          <w:rFonts w:ascii="Times New Roman" w:hAnsi="Times New Roman" w:cs="Times New Roman"/>
        </w:rPr>
        <w:t xml:space="preserve"> (Bharti et al. 2024, 3)</w:t>
      </w:r>
      <w:r>
        <w:rPr>
          <w:rFonts w:ascii="Times New Roman" w:hAnsi="Times New Roman" w:cs="Times New Roman"/>
        </w:rPr>
        <w:t xml:space="preserve">. Indeed, the top 10% of India owns 60% of the country’s wealth. </w:t>
      </w:r>
    </w:p>
    <w:p w14:paraId="377BFDC0" w14:textId="77777777" w:rsidR="002409A4" w:rsidRDefault="002409A4" w:rsidP="002409A4">
      <w:pPr>
        <w:jc w:val="both"/>
        <w:rPr>
          <w:rFonts w:ascii="Times New Roman" w:hAnsi="Times New Roman" w:cs="Times New Roman"/>
        </w:rPr>
      </w:pPr>
    </w:p>
    <w:p w14:paraId="2AC291A8" w14:textId="24B8EC1B" w:rsidR="002409A4" w:rsidRDefault="002409A4" w:rsidP="002409A4">
      <w:pPr>
        <w:jc w:val="both"/>
        <w:rPr>
          <w:rFonts w:ascii="Times New Roman" w:hAnsi="Times New Roman" w:cs="Times New Roman"/>
        </w:rPr>
      </w:pPr>
      <w:r>
        <w:rPr>
          <w:rFonts w:ascii="Times New Roman" w:hAnsi="Times New Roman" w:cs="Times New Roman"/>
        </w:rPr>
        <w:t xml:space="preserve">Moreover, the democratic process in India is open to capture by economic elites who wish to consolidate their concentration of wealth. In the aftermath of the </w:t>
      </w:r>
      <w:r w:rsidRPr="003A32B7">
        <w:rPr>
          <w:rFonts w:ascii="Times New Roman" w:hAnsi="Times New Roman" w:cs="Times New Roman"/>
          <w:i/>
          <w:iCs/>
        </w:rPr>
        <w:t>Electoral Bonds</w:t>
      </w:r>
      <w:r>
        <w:rPr>
          <w:rFonts w:ascii="Times New Roman" w:hAnsi="Times New Roman" w:cs="Times New Roman"/>
        </w:rPr>
        <w:t xml:space="preserve"> judgment, new data has come to light on the identity of donors to India’s democratic parties. This data shows, first, how a small number of individuals and corporations contribute disproportionately to political parties’ funds in India. Twenty of the largest contributors, all companies, </w:t>
      </w:r>
      <w:r w:rsidRPr="00A379C9">
        <w:rPr>
          <w:rFonts w:ascii="Times New Roman" w:hAnsi="Times New Roman" w:cs="Times New Roman"/>
          <w:color w:val="000000" w:themeColor="text1"/>
        </w:rPr>
        <w:t>contributed over half the money received by parties through electoral bonds</w:t>
      </w:r>
      <w:r w:rsidR="009D0D98" w:rsidRPr="00A379C9">
        <w:rPr>
          <w:rFonts w:ascii="Times New Roman" w:hAnsi="Times New Roman" w:cs="Times New Roman"/>
          <w:color w:val="000000" w:themeColor="text1"/>
        </w:rPr>
        <w:t xml:space="preserve"> (Hindustan Times 2024)</w:t>
      </w:r>
      <w:r w:rsidRPr="00A379C9">
        <w:rPr>
          <w:rFonts w:ascii="Times New Roman" w:hAnsi="Times New Roman" w:cs="Times New Roman"/>
          <w:color w:val="000000" w:themeColor="text1"/>
        </w:rPr>
        <w:t xml:space="preserve">. Further, nine in ten of contributions through electoral bonds were made through bonds of Rs 1 crore. </w:t>
      </w:r>
      <w:r>
        <w:rPr>
          <w:rFonts w:ascii="Times New Roman" w:hAnsi="Times New Roman" w:cs="Times New Roman"/>
        </w:rPr>
        <w:t xml:space="preserve">As such, the finances received through electoral bonds came overwhelmingly from wealthy sections of the population. </w:t>
      </w:r>
    </w:p>
    <w:p w14:paraId="055AAAE2" w14:textId="77777777" w:rsidR="002409A4" w:rsidRDefault="002409A4" w:rsidP="002409A4">
      <w:pPr>
        <w:jc w:val="both"/>
        <w:rPr>
          <w:rFonts w:ascii="Times New Roman" w:hAnsi="Times New Roman" w:cs="Times New Roman"/>
        </w:rPr>
      </w:pPr>
    </w:p>
    <w:p w14:paraId="025A5335" w14:textId="3AAEB06A" w:rsidR="002409A4" w:rsidRDefault="009D0D98" w:rsidP="002409A4">
      <w:pPr>
        <w:jc w:val="both"/>
        <w:rPr>
          <w:rFonts w:ascii="Times New Roman" w:hAnsi="Times New Roman" w:cs="Times New Roman"/>
        </w:rPr>
      </w:pPr>
      <w:r>
        <w:rPr>
          <w:rFonts w:ascii="Times New Roman" w:hAnsi="Times New Roman" w:cs="Times New Roman"/>
        </w:rPr>
        <w:t>T</w:t>
      </w:r>
      <w:r w:rsidR="002409A4">
        <w:rPr>
          <w:rFonts w:ascii="Times New Roman" w:hAnsi="Times New Roman" w:cs="Times New Roman"/>
        </w:rPr>
        <w:t xml:space="preserve">he uncovering of donors’ identities has also raised important questions about quid pro quo between donors and the party in power. By their very nature, quid pro quo arrangements are difficult to evidence. A policy beneficial to a donor may, after all, have been enacted for reasons unrelated to the donor’s contribution to a party. Policies that benefit donors of a party in government, however, warrant heightened scrutiny at the very least. Indeed, the unveiling of the electoral bonds’ data presents various cases where such scrutiny is apt. For instance, questions have been raised about the government’s policy on the allocation of the satellite spectrum which involves the use of satellites to provide broadband services. Shortly after the party received a Rs. 150 crore </w:t>
      </w:r>
      <w:proofErr w:type="gramStart"/>
      <w:r w:rsidR="002409A4">
        <w:rPr>
          <w:rFonts w:ascii="Times New Roman" w:hAnsi="Times New Roman" w:cs="Times New Roman"/>
        </w:rPr>
        <w:t>donation</w:t>
      </w:r>
      <w:proofErr w:type="gramEnd"/>
      <w:r w:rsidR="002409A4">
        <w:rPr>
          <w:rFonts w:ascii="Times New Roman" w:hAnsi="Times New Roman" w:cs="Times New Roman"/>
        </w:rPr>
        <w:t xml:space="preserve"> from a telecom company, it discarded the policy of competitive auctions for the spectrum</w:t>
      </w:r>
      <w:r>
        <w:rPr>
          <w:rFonts w:ascii="Times New Roman" w:hAnsi="Times New Roman" w:cs="Times New Roman"/>
        </w:rPr>
        <w:t xml:space="preserve"> (</w:t>
      </w:r>
      <w:proofErr w:type="spellStart"/>
      <w:r>
        <w:rPr>
          <w:rFonts w:ascii="Times New Roman" w:hAnsi="Times New Roman" w:cs="Times New Roman"/>
        </w:rPr>
        <w:t>Newslaundry</w:t>
      </w:r>
      <w:proofErr w:type="spellEnd"/>
      <w:r>
        <w:rPr>
          <w:rFonts w:ascii="Times New Roman" w:hAnsi="Times New Roman" w:cs="Times New Roman"/>
        </w:rPr>
        <w:t xml:space="preserve"> 2024)</w:t>
      </w:r>
      <w:r w:rsidR="002409A4">
        <w:rPr>
          <w:rFonts w:ascii="Times New Roman" w:hAnsi="Times New Roman" w:cs="Times New Roman"/>
        </w:rPr>
        <w:t>. Instead, the spectrum was to be allocated through a discretionary process, by administrative order. The donor company went on to be the only organisation that obtained the license and space authorisation required for an entity to apply for the spectrum. This is one of several cases commentators have described as potential evidence of policy favours that donors have been able to obtain in return for contribution to party finances. Indeed, the Supreme Court judgment on electoral bonds acknowledged the problem of quid pro quo prevalent in India’s party finance regime. “The reason for political contributions by companies is open as day light”, the Court noted. “</w:t>
      </w:r>
      <w:r w:rsidR="002409A4" w:rsidRPr="00C94D24">
        <w:rPr>
          <w:rFonts w:ascii="Times New Roman" w:hAnsi="Times New Roman" w:cs="Times New Roman"/>
        </w:rPr>
        <w:t>Even the learned Solicitor General did not deny during the course of the hearings that corporate donations are made to receive favours through quid pro quo arrangement</w:t>
      </w:r>
      <w:r w:rsidR="002409A4">
        <w:rPr>
          <w:rFonts w:ascii="Times New Roman" w:hAnsi="Times New Roman" w:cs="Times New Roman"/>
        </w:rPr>
        <w:t>s”</w:t>
      </w:r>
      <w:r>
        <w:rPr>
          <w:rFonts w:ascii="Times New Roman" w:hAnsi="Times New Roman" w:cs="Times New Roman"/>
        </w:rPr>
        <w:t xml:space="preserve"> (Supreme Court of India 2024,</w:t>
      </w:r>
      <w:r w:rsidRPr="009D0D98">
        <w:rPr>
          <w:rFonts w:ascii="Times New Roman" w:hAnsi="Times New Roman" w:cs="Times New Roman"/>
        </w:rPr>
        <w:t xml:space="preserve"> </w:t>
      </w:r>
      <w:r>
        <w:rPr>
          <w:rFonts w:ascii="Times New Roman" w:hAnsi="Times New Roman" w:cs="Times New Roman"/>
        </w:rPr>
        <w:t>141-142).</w:t>
      </w:r>
      <w:r w:rsidR="002409A4">
        <w:rPr>
          <w:rFonts w:ascii="Times New Roman" w:hAnsi="Times New Roman" w:cs="Times New Roman"/>
        </w:rPr>
        <w:t xml:space="preserve"> </w:t>
      </w:r>
    </w:p>
    <w:p w14:paraId="5E36C715" w14:textId="77777777" w:rsidR="002409A4" w:rsidRDefault="002409A4" w:rsidP="002409A4">
      <w:pPr>
        <w:jc w:val="both"/>
        <w:rPr>
          <w:rFonts w:ascii="Times New Roman" w:hAnsi="Times New Roman" w:cs="Times New Roman"/>
        </w:rPr>
      </w:pPr>
    </w:p>
    <w:p w14:paraId="76805E9F" w14:textId="77777777" w:rsidR="002409A4" w:rsidRDefault="002409A4" w:rsidP="002409A4">
      <w:pPr>
        <w:jc w:val="both"/>
        <w:rPr>
          <w:rFonts w:ascii="Times New Roman" w:hAnsi="Times New Roman" w:cs="Times New Roman"/>
        </w:rPr>
      </w:pPr>
      <w:r>
        <w:rPr>
          <w:rFonts w:ascii="Times New Roman" w:hAnsi="Times New Roman" w:cs="Times New Roman"/>
        </w:rPr>
        <w:t xml:space="preserve">Let me sum up the argument so far. Following plebian constitutionalism, I have tried to show that democratic elections </w:t>
      </w:r>
      <w:proofErr w:type="spellStart"/>
      <w:r>
        <w:rPr>
          <w:rFonts w:ascii="Times New Roman" w:hAnsi="Times New Roman" w:cs="Times New Roman"/>
        </w:rPr>
        <w:t>do</w:t>
      </w:r>
      <w:proofErr w:type="spellEnd"/>
      <w:r>
        <w:rPr>
          <w:rFonts w:ascii="Times New Roman" w:hAnsi="Times New Roman" w:cs="Times New Roman"/>
        </w:rPr>
        <w:t xml:space="preserve">, in fact, harbour a crucial pathology. This pathology, however, is not about the incompetence of representatives chosen through the electoral process. Rather, it consists in the nexus between elections and the consolidation of oligarchic power. Democratic elections risk reinforcing the power of wealthy sections of the population. The money required to run for office encourages quid pro quo arrangements between political parties and wealthy citizens on the one hand, and self-selection into democratic politics by the rich on the other. Insofar as indirect elections are a remedy to the democratic deficits of direct election, they should be able to remedy this oligarchic drift. I argue that they are not able to do so. </w:t>
      </w:r>
    </w:p>
    <w:p w14:paraId="35BB037B" w14:textId="77777777" w:rsidR="002409A4" w:rsidRDefault="002409A4" w:rsidP="002409A4">
      <w:pPr>
        <w:jc w:val="both"/>
        <w:rPr>
          <w:rFonts w:ascii="Times New Roman" w:hAnsi="Times New Roman" w:cs="Times New Roman"/>
        </w:rPr>
      </w:pPr>
    </w:p>
    <w:p w14:paraId="2F2446F9" w14:textId="1DC377DB" w:rsidR="002539DB" w:rsidRDefault="002409A4" w:rsidP="002409A4">
      <w:pPr>
        <w:jc w:val="both"/>
        <w:rPr>
          <w:rFonts w:ascii="Times New Roman" w:hAnsi="Times New Roman" w:cs="Times New Roman"/>
        </w:rPr>
      </w:pPr>
      <w:r>
        <w:rPr>
          <w:rFonts w:ascii="Times New Roman" w:hAnsi="Times New Roman" w:cs="Times New Roman"/>
        </w:rPr>
        <w:t>As of 2024, 88% of Rajya Sabha members held assets worth more than Rs 1 crore</w:t>
      </w:r>
      <w:r w:rsidR="00B44310">
        <w:rPr>
          <w:rFonts w:ascii="Times New Roman" w:hAnsi="Times New Roman" w:cs="Times New Roman"/>
        </w:rPr>
        <w:t xml:space="preserve"> (Association for Democratic Reforms 2024, 12)</w:t>
      </w:r>
      <w:r>
        <w:rPr>
          <w:rFonts w:ascii="Times New Roman" w:hAnsi="Times New Roman" w:cs="Times New Roman"/>
        </w:rPr>
        <w:t>. Indeed, almost 15% of the second chamber’s membership is made up of billionaires</w:t>
      </w:r>
      <w:r w:rsidR="00B44310">
        <w:rPr>
          <w:rFonts w:ascii="Times New Roman" w:hAnsi="Times New Roman" w:cs="Times New Roman"/>
        </w:rPr>
        <w:t xml:space="preserve"> (Association for Democratic Reforms 2024, 13)</w:t>
      </w:r>
      <w:r>
        <w:rPr>
          <w:rFonts w:ascii="Times New Roman" w:hAnsi="Times New Roman" w:cs="Times New Roman"/>
        </w:rPr>
        <w:t xml:space="preserve">. The link between the Rajya Sabha and business, too, is worth noting. </w:t>
      </w:r>
      <w:r w:rsidRPr="00A379C9">
        <w:rPr>
          <w:rFonts w:ascii="Times New Roman" w:hAnsi="Times New Roman" w:cs="Times New Roman"/>
          <w:color w:val="000000" w:themeColor="text1"/>
        </w:rPr>
        <w:t xml:space="preserve">Over a tenth of the second chamber’s members are businesspersons. As previous commentators </w:t>
      </w:r>
      <w:r>
        <w:rPr>
          <w:rFonts w:ascii="Times New Roman" w:hAnsi="Times New Roman" w:cs="Times New Roman"/>
        </w:rPr>
        <w:t xml:space="preserve">have noted, the Rajya Sabha offers a lucrative opportunity for businesspersons to exercise influence over </w:t>
      </w:r>
      <w:proofErr w:type="gramStart"/>
      <w:r>
        <w:rPr>
          <w:rFonts w:ascii="Times New Roman" w:hAnsi="Times New Roman" w:cs="Times New Roman"/>
        </w:rPr>
        <w:t>policy-making</w:t>
      </w:r>
      <w:proofErr w:type="gramEnd"/>
      <w:r w:rsidR="002539DB">
        <w:rPr>
          <w:rFonts w:ascii="Times New Roman" w:hAnsi="Times New Roman" w:cs="Times New Roman"/>
        </w:rPr>
        <w:t xml:space="preserve"> (Scroll </w:t>
      </w:r>
      <w:r w:rsidR="002539DB">
        <w:rPr>
          <w:rFonts w:ascii="Times New Roman" w:hAnsi="Times New Roman" w:cs="Times New Roman"/>
        </w:rPr>
        <w:lastRenderedPageBreak/>
        <w:t>2016; Deccan Herald 2022)</w:t>
      </w:r>
      <w:r>
        <w:rPr>
          <w:rFonts w:ascii="Times New Roman" w:hAnsi="Times New Roman" w:cs="Times New Roman"/>
        </w:rPr>
        <w:t>. Membership of the second chamber provides privileged access to the bureaucracy and the ability to become a member of committees where laws are vetted. For instance, Vijay Mallya, former Chairperson of Kingfisher airlines, currently facing extradition from the UK, was a Rajya Sabha member. During his time in parliament, Mallya was a member of the Consultative Committee for the Ministry of Civil Aviation and the Standing Committee on Commerce</w:t>
      </w:r>
      <w:r w:rsidR="002539DB">
        <w:rPr>
          <w:rFonts w:ascii="Times New Roman" w:hAnsi="Times New Roman" w:cs="Times New Roman"/>
        </w:rPr>
        <w:t xml:space="preserve"> (Scroll 2016)</w:t>
      </w:r>
      <w:r>
        <w:rPr>
          <w:rFonts w:ascii="Times New Roman" w:hAnsi="Times New Roman" w:cs="Times New Roman"/>
        </w:rPr>
        <w:t xml:space="preserve">. Another Rajya Sabha MP, Shyama </w:t>
      </w:r>
      <w:proofErr w:type="spellStart"/>
      <w:r>
        <w:rPr>
          <w:rFonts w:ascii="Times New Roman" w:hAnsi="Times New Roman" w:cs="Times New Roman"/>
        </w:rPr>
        <w:t>Charan</w:t>
      </w:r>
      <w:proofErr w:type="spellEnd"/>
      <w:r>
        <w:rPr>
          <w:rFonts w:ascii="Times New Roman" w:hAnsi="Times New Roman" w:cs="Times New Roman"/>
        </w:rPr>
        <w:t xml:space="preserve"> Gupta, a beedi business owner, created controversy by questioning the link between bidi smoking and cancer. Gupta, whose business amounted to 1% of bidi trade in India at the time, was a member of a committee on subordinate legislation exploring the use of pictorial health warnings on tobacco products</w:t>
      </w:r>
      <w:r w:rsidR="002539DB">
        <w:rPr>
          <w:rFonts w:ascii="Times New Roman" w:hAnsi="Times New Roman" w:cs="Times New Roman"/>
        </w:rPr>
        <w:t xml:space="preserve"> (Scroll 2016)</w:t>
      </w:r>
      <w:r>
        <w:rPr>
          <w:rFonts w:ascii="Times New Roman" w:hAnsi="Times New Roman" w:cs="Times New Roman"/>
        </w:rPr>
        <w:t xml:space="preserve">. </w:t>
      </w:r>
    </w:p>
    <w:p w14:paraId="1765B2ED" w14:textId="77777777" w:rsidR="002409A4" w:rsidRDefault="002409A4" w:rsidP="002409A4">
      <w:pPr>
        <w:jc w:val="both"/>
        <w:rPr>
          <w:rFonts w:ascii="Times New Roman" w:hAnsi="Times New Roman" w:cs="Times New Roman"/>
        </w:rPr>
      </w:pPr>
    </w:p>
    <w:p w14:paraId="338DDF2D" w14:textId="77777777" w:rsidR="002409A4" w:rsidRDefault="002409A4" w:rsidP="002409A4">
      <w:pPr>
        <w:jc w:val="both"/>
        <w:rPr>
          <w:rFonts w:ascii="Times New Roman" w:hAnsi="Times New Roman" w:cs="Times New Roman"/>
        </w:rPr>
      </w:pPr>
      <w:r>
        <w:rPr>
          <w:rFonts w:ascii="Times New Roman" w:hAnsi="Times New Roman" w:cs="Times New Roman"/>
        </w:rPr>
        <w:t>As I noted previously, indirect elections—as critics in the US and India argued—were not immune from the pressures of party politics. State legislators, on this line of argument, do not vote as autonomous individuals, judging the suitability of a second chamber candidate (or their ability to preserve their state’s interests). Rather, state legislators’ choice of a Senate or Rajya Sabha candidate, would be based on the preferences of the national party to which state legislators belonged. To the extent that political parties are subject to oligarchic capture, there is no reason to think that their choice of second chamber candidates would be immune from such capture. Parties which rely on vast sums of money to compete in (direct) democratic elections are vulnerable to oligarchic capture. Once these oligarchic interests take root within parties, they can also influence parties’ choices in indirect elections.</w:t>
      </w:r>
      <w:r>
        <w:rPr>
          <w:rStyle w:val="FootnoteReference"/>
          <w:rFonts w:ascii="Times New Roman" w:hAnsi="Times New Roman" w:cs="Times New Roman"/>
        </w:rPr>
        <w:footnoteReference w:id="11"/>
      </w:r>
      <w:r>
        <w:rPr>
          <w:rFonts w:ascii="Times New Roman" w:hAnsi="Times New Roman" w:cs="Times New Roman"/>
        </w:rPr>
        <w:t xml:space="preserve"> Viewed from this perspective, we can make sense of the other side of the Rajya Sabha’s link with wealthy business interests. If businesspersons stand to benefit from membership of the second chamber, parties, too, can gain advantage from promoting businesspersons to the Rajya Sabha. Offering membership of the Rajya Sabha can allow them to gain leverage over, and obtain financial contributions from, wealthy individuals. </w:t>
      </w:r>
    </w:p>
    <w:p w14:paraId="72A3F3CA" w14:textId="77777777" w:rsidR="002409A4" w:rsidRDefault="002409A4" w:rsidP="002409A4">
      <w:pPr>
        <w:jc w:val="both"/>
        <w:rPr>
          <w:rFonts w:ascii="Times New Roman" w:hAnsi="Times New Roman" w:cs="Times New Roman"/>
        </w:rPr>
      </w:pPr>
    </w:p>
    <w:p w14:paraId="16CC74FC" w14:textId="5B871341" w:rsidR="002409A4" w:rsidRPr="002409A4" w:rsidRDefault="002409A4" w:rsidP="00A67246">
      <w:pPr>
        <w:pStyle w:val="Heading3"/>
      </w:pPr>
      <w:r>
        <w:t xml:space="preserve">[c] </w:t>
      </w:r>
      <w:r w:rsidRPr="002409A4">
        <w:t xml:space="preserve">Plebeian Constitutionalism and the Indian Parliament </w:t>
      </w:r>
    </w:p>
    <w:p w14:paraId="3CB0B0E7" w14:textId="77777777" w:rsidR="002409A4" w:rsidRDefault="002409A4" w:rsidP="002409A4">
      <w:pPr>
        <w:jc w:val="both"/>
        <w:rPr>
          <w:rFonts w:ascii="Times New Roman" w:hAnsi="Times New Roman" w:cs="Times New Roman"/>
        </w:rPr>
      </w:pPr>
      <w:r>
        <w:rPr>
          <w:rFonts w:ascii="Times New Roman" w:hAnsi="Times New Roman" w:cs="Times New Roman"/>
        </w:rPr>
        <w:t xml:space="preserve">The Rajya Sabha, with its reliance on indirect election, attempted to grapple with the problem of democracy, addressing the putative deficiency of citizens through an </w:t>
      </w:r>
      <w:proofErr w:type="spellStart"/>
      <w:r>
        <w:rPr>
          <w:rFonts w:ascii="Times New Roman" w:hAnsi="Times New Roman" w:cs="Times New Roman"/>
        </w:rPr>
        <w:t>epistocratic</w:t>
      </w:r>
      <w:proofErr w:type="spellEnd"/>
      <w:r>
        <w:rPr>
          <w:rFonts w:ascii="Times New Roman" w:hAnsi="Times New Roman" w:cs="Times New Roman"/>
        </w:rPr>
        <w:t xml:space="preserve"> mechanism. The problem of democracy, however, can be reframed as one of oligarchy: the vulnerability and complicity of democratic institutions to oligarchic capture. An indirectly elected (and part nominated) Rajya Sabha fails to address that problem. Insofar as oligarchic capture generates a problem of representation, privileging the interests of the wealthy, the Indian parliament stands at risk of being highly unrepresentative of the society it is supposed to represent. </w:t>
      </w:r>
    </w:p>
    <w:p w14:paraId="617F6116" w14:textId="77777777" w:rsidR="002409A4" w:rsidRDefault="002409A4" w:rsidP="002409A4">
      <w:pPr>
        <w:jc w:val="both"/>
        <w:rPr>
          <w:rFonts w:ascii="Times New Roman" w:hAnsi="Times New Roman" w:cs="Times New Roman"/>
        </w:rPr>
      </w:pPr>
    </w:p>
    <w:p w14:paraId="6EBC7AA8" w14:textId="77777777" w:rsidR="002409A4" w:rsidRDefault="002409A4" w:rsidP="002409A4">
      <w:pPr>
        <w:jc w:val="both"/>
        <w:rPr>
          <w:rFonts w:ascii="Times New Roman" w:hAnsi="Times New Roman" w:cs="Times New Roman"/>
        </w:rPr>
      </w:pPr>
      <w:r>
        <w:rPr>
          <w:rFonts w:ascii="Times New Roman" w:hAnsi="Times New Roman" w:cs="Times New Roman"/>
        </w:rPr>
        <w:t xml:space="preserve">To address the representativeness deficits of Indian parliament, I propose an outline for a new scheme of consultative citizens’ committees (CCCs). Such committees are intended to complement, rather than replace, the process replaced by the pre-legislative consultation policy (PLCP). The PLCP, adopted in 2014, proposed a set of guidelines for departments and </w:t>
      </w:r>
      <w:r>
        <w:rPr>
          <w:rFonts w:ascii="Times New Roman" w:hAnsi="Times New Roman" w:cs="Times New Roman"/>
        </w:rPr>
        <w:lastRenderedPageBreak/>
        <w:t xml:space="preserve">ministries, for encouraging wider consultation in the making of laws. It stated that proposed legislation, justification for the legislation, its financial implications, and predicted consequences, should be placed on public record for at least thirty days. In addition, where such legislation is expected to affect a specific group of people, the PLCL asked for publicity of such materials aimed at reaching that group. Feedback collected from the public and stakeholders is to be fed back to the relevant department or ministry. The inadequacies of the PCLP </w:t>
      </w:r>
      <w:proofErr w:type="gramStart"/>
      <w:r>
        <w:rPr>
          <w:rFonts w:ascii="Times New Roman" w:hAnsi="Times New Roman" w:cs="Times New Roman"/>
        </w:rPr>
        <w:t>has</w:t>
      </w:r>
      <w:proofErr w:type="gramEnd"/>
      <w:r>
        <w:rPr>
          <w:rFonts w:ascii="Times New Roman" w:hAnsi="Times New Roman" w:cs="Times New Roman"/>
        </w:rPr>
        <w:t xml:space="preserve"> attracted concerns from commentators on India’s law-making process. There are, concerns about the </w:t>
      </w:r>
      <w:r w:rsidRPr="00CF156B">
        <w:rPr>
          <w:rFonts w:ascii="Times New Roman" w:hAnsi="Times New Roman" w:cs="Times New Roman"/>
          <w:i/>
          <w:iCs/>
        </w:rPr>
        <w:t>implementation</w:t>
      </w:r>
      <w:r>
        <w:rPr>
          <w:rFonts w:ascii="Times New Roman" w:hAnsi="Times New Roman" w:cs="Times New Roman"/>
        </w:rPr>
        <w:t xml:space="preserve"> of the policy…Concerns can also be raised about the </w:t>
      </w:r>
      <w:r w:rsidRPr="00CF156B">
        <w:rPr>
          <w:rFonts w:ascii="Times New Roman" w:hAnsi="Times New Roman" w:cs="Times New Roman"/>
          <w:i/>
          <w:iCs/>
        </w:rPr>
        <w:t>framework</w:t>
      </w:r>
      <w:r>
        <w:rPr>
          <w:rFonts w:ascii="Times New Roman" w:hAnsi="Times New Roman" w:cs="Times New Roman"/>
        </w:rPr>
        <w:t xml:space="preserve"> enacted by the policy. The pre-legislative consultative process is supposed to run for a mere thirty days. This leaves little time for groups to organise and respond to proposed legislation. </w:t>
      </w:r>
    </w:p>
    <w:p w14:paraId="4FBA6DED" w14:textId="77777777" w:rsidR="002409A4" w:rsidRDefault="002409A4" w:rsidP="002409A4">
      <w:pPr>
        <w:jc w:val="both"/>
        <w:rPr>
          <w:rFonts w:ascii="Times New Roman" w:hAnsi="Times New Roman" w:cs="Times New Roman"/>
        </w:rPr>
      </w:pPr>
    </w:p>
    <w:p w14:paraId="3E17F058" w14:textId="77777777" w:rsidR="002409A4" w:rsidRDefault="002409A4" w:rsidP="002409A4">
      <w:pPr>
        <w:jc w:val="both"/>
        <w:rPr>
          <w:rFonts w:ascii="Times New Roman" w:hAnsi="Times New Roman" w:cs="Times New Roman"/>
        </w:rPr>
      </w:pPr>
      <w:r>
        <w:rPr>
          <w:rFonts w:ascii="Times New Roman" w:hAnsi="Times New Roman" w:cs="Times New Roman"/>
        </w:rPr>
        <w:t xml:space="preserve">A better formulated and implemented PLCP would, no doubt, mark a significant step towards greater representation in India’s law-making process. It would not, however, suffice to address the threat of oligarchic capture. First, such a procedure relies on </w:t>
      </w:r>
      <w:r w:rsidRPr="00047410">
        <w:rPr>
          <w:rFonts w:ascii="Times New Roman" w:hAnsi="Times New Roman" w:cs="Times New Roman"/>
          <w:i/>
          <w:iCs/>
        </w:rPr>
        <w:t>self-selection</w:t>
      </w:r>
      <w:r>
        <w:rPr>
          <w:rFonts w:ascii="Times New Roman" w:hAnsi="Times New Roman" w:cs="Times New Roman"/>
        </w:rPr>
        <w:t>…</w:t>
      </w:r>
      <w:proofErr w:type="gramStart"/>
      <w:r>
        <w:rPr>
          <w:rFonts w:ascii="Times New Roman" w:hAnsi="Times New Roman" w:cs="Times New Roman"/>
        </w:rPr>
        <w:t>…..</w:t>
      </w:r>
      <w:proofErr w:type="gramEnd"/>
      <w:r>
        <w:rPr>
          <w:rFonts w:ascii="Times New Roman" w:hAnsi="Times New Roman" w:cs="Times New Roman"/>
        </w:rPr>
        <w:t xml:space="preserve">Second, the pre-consultative process would continue to permit wide inequalities of voice. Groups and organisations with greater finances and resources at their disposal would likely continue to have a disproportionate voice even under a reformed PLCP. While civil society organisations, including those representing disadvantaged social groups, would have the opportunity to have their say, they would likely be outflanked by those who could organise more effective campaigns. Moreover, feedback received from the latter—groups with more resources and connections—may well obtain greater prominence from the relevant ministry once the consultative process concludes. </w:t>
      </w:r>
    </w:p>
    <w:p w14:paraId="376C323E" w14:textId="77777777" w:rsidR="002409A4" w:rsidRDefault="002409A4" w:rsidP="002409A4">
      <w:pPr>
        <w:jc w:val="both"/>
        <w:rPr>
          <w:rFonts w:ascii="Times New Roman" w:hAnsi="Times New Roman" w:cs="Times New Roman"/>
        </w:rPr>
      </w:pPr>
    </w:p>
    <w:p w14:paraId="33768455" w14:textId="2FE918AC" w:rsidR="00A57236" w:rsidRPr="00A57236" w:rsidRDefault="002409A4" w:rsidP="002409A4">
      <w:pPr>
        <w:jc w:val="both"/>
        <w:rPr>
          <w:rFonts w:ascii="Times New Roman" w:hAnsi="Times New Roman" w:cs="Times New Roman"/>
          <w:i/>
          <w:iCs/>
        </w:rPr>
      </w:pPr>
      <w:r>
        <w:rPr>
          <w:rFonts w:ascii="Times New Roman" w:hAnsi="Times New Roman" w:cs="Times New Roman"/>
        </w:rPr>
        <w:t xml:space="preserve">I propose, therefore, the creation of randomly selected consultative citizens’ committees, to complement a robust pre-legislative consultative process. </w:t>
      </w:r>
      <w:r w:rsidR="00A57236">
        <w:rPr>
          <w:rFonts w:ascii="Times New Roman" w:hAnsi="Times New Roman" w:cs="Times New Roman"/>
        </w:rPr>
        <w:t>Here, it is worth adding that the traditional model of plebeian constitutionalism, grounded largely in European and North American experience, would require adapting to the Indian context. Elsewhere, random sampling is deemed sufficient to secure the selection of the “plebeian” class against the miniscule minority of socio-economic elites. In India, however, stratified sampling would be necessary to secure the representation of Dalit, Adivasi, and religious minority participants, among others. Indeed, the precise design of such committees should be based on widespread consultation, especially with traditional</w:t>
      </w:r>
      <w:r w:rsidR="00B51B98">
        <w:rPr>
          <w:rFonts w:ascii="Times New Roman" w:hAnsi="Times New Roman" w:cs="Times New Roman"/>
        </w:rPr>
        <w:t>ly</w:t>
      </w:r>
      <w:r w:rsidR="00A57236">
        <w:rPr>
          <w:rFonts w:ascii="Times New Roman" w:hAnsi="Times New Roman" w:cs="Times New Roman"/>
        </w:rPr>
        <w:t xml:space="preserve"> disadvantaged social groups. </w:t>
      </w:r>
    </w:p>
    <w:p w14:paraId="22FA495D" w14:textId="77777777" w:rsidR="00A57236" w:rsidRDefault="00A57236" w:rsidP="002409A4">
      <w:pPr>
        <w:jc w:val="both"/>
        <w:rPr>
          <w:rFonts w:ascii="Times New Roman" w:hAnsi="Times New Roman" w:cs="Times New Roman"/>
        </w:rPr>
      </w:pPr>
    </w:p>
    <w:p w14:paraId="4CD038EF" w14:textId="64BF8911" w:rsidR="002409A4" w:rsidRDefault="002409A4" w:rsidP="002409A4">
      <w:pPr>
        <w:jc w:val="both"/>
        <w:rPr>
          <w:rFonts w:ascii="Times New Roman" w:hAnsi="Times New Roman" w:cs="Times New Roman"/>
        </w:rPr>
      </w:pPr>
      <w:r>
        <w:rPr>
          <w:rFonts w:ascii="Times New Roman" w:hAnsi="Times New Roman" w:cs="Times New Roman"/>
        </w:rPr>
        <w:t xml:space="preserve">In what follows, I can only provide a brief outline of what these committees would entail. Every time a bill is proposed in parliament, a CCC would be convened before a third reading. The CCC would be made up of a random sample of roughly one hundred citizens. Stratified sampling would ensure the representation of different social groups. Once chosen at random, citizens would be legally required to serve on the PLCC, although exemptions might be made for those with exceptional circumstances (such as care duties or health conditions). Members of the CCC would be remunerated in accordance with salaries to members of parliament. The term of the CCC would be no longer than six months, with regular sittings taking place over this period. The CCC would be presented with the bill and an explanatory document prepared by representatives of the government and opposition parties. They would also hear statements, and pose questions on statements, prepared by the government and opposition parties. The government and opposition parties would, moreover, nominate experts and stakeholders which the CCC would hear from and question </w:t>
      </w:r>
      <w:proofErr w:type="gramStart"/>
      <w:r>
        <w:rPr>
          <w:rFonts w:ascii="Times New Roman" w:hAnsi="Times New Roman" w:cs="Times New Roman"/>
        </w:rPr>
        <w:t>during the course of</w:t>
      </w:r>
      <w:proofErr w:type="gramEnd"/>
      <w:r>
        <w:rPr>
          <w:rFonts w:ascii="Times New Roman" w:hAnsi="Times New Roman" w:cs="Times New Roman"/>
        </w:rPr>
        <w:t xml:space="preserve"> consultation proceedings. Members of the CCC would eventually vote on the bill through a proposed secret ballot. If the bill were negatived, it would have to return to parliament, which would have to re-initiate the bill from the beginning. A new CCC would be convened before the third reading of the bill </w:t>
      </w:r>
      <w:r>
        <w:rPr>
          <w:rFonts w:ascii="Times New Roman" w:hAnsi="Times New Roman" w:cs="Times New Roman"/>
        </w:rPr>
        <w:lastRenderedPageBreak/>
        <w:t xml:space="preserve">(which parliament may choose to amend in accordance with concerns raised by the prior CCC). The CCC would deliberate and vote again on the bill but would not be able to block its enactment at this stage. If it voted against the bill at this stage, parliament would have to discuss its vote, but could choose to override it. </w:t>
      </w:r>
    </w:p>
    <w:p w14:paraId="6B24FC71" w14:textId="77777777" w:rsidR="002409A4" w:rsidRDefault="002409A4" w:rsidP="002409A4">
      <w:pPr>
        <w:jc w:val="both"/>
        <w:rPr>
          <w:rFonts w:ascii="Times New Roman" w:hAnsi="Times New Roman" w:cs="Times New Roman"/>
        </w:rPr>
      </w:pPr>
    </w:p>
    <w:p w14:paraId="04F5702B" w14:textId="77777777" w:rsidR="002409A4" w:rsidRDefault="002409A4" w:rsidP="002409A4">
      <w:pPr>
        <w:jc w:val="both"/>
        <w:rPr>
          <w:rFonts w:ascii="Times New Roman" w:hAnsi="Times New Roman" w:cs="Times New Roman"/>
        </w:rPr>
      </w:pPr>
      <w:r>
        <w:rPr>
          <w:rFonts w:ascii="Times New Roman" w:hAnsi="Times New Roman" w:cs="Times New Roman"/>
        </w:rPr>
        <w:t>The CCCs proposed here would help alleviate, first, problems attached to representative deficits and the oligarchic drift generated by democratic elections. Democratically elected representatives, as we have seen, tend to be considerably wealthier than the average citizen, partly because of the funds required to run for office. Relying on sortition rather than election eliminates this advantage wealthy individuals enjoy. All citizen, regardless of their personal wealth or connections, have an identical chance of being selected for the CCC. Such councils, therefore, would serve as a representative sample of the wider citizenry. Second, the CCCs proposed here would also help mitigate some of the concerns raised by self-selecting consultative procedures. Rather than relying on a small, vocal minority or narrow group of civil society, they would open the consultative process to all citizens. Rules for compulsory service alongside random selection would generate committees are representative of wider society.</w:t>
      </w:r>
    </w:p>
    <w:p w14:paraId="56DCD180" w14:textId="77777777" w:rsidR="002409A4" w:rsidRDefault="002409A4" w:rsidP="002409A4">
      <w:pPr>
        <w:jc w:val="both"/>
        <w:rPr>
          <w:rFonts w:ascii="Times New Roman" w:hAnsi="Times New Roman" w:cs="Times New Roman"/>
        </w:rPr>
      </w:pPr>
    </w:p>
    <w:p w14:paraId="705DF7F5" w14:textId="77777777" w:rsidR="002409A4" w:rsidRDefault="002409A4" w:rsidP="002409A4">
      <w:pPr>
        <w:jc w:val="both"/>
        <w:rPr>
          <w:rFonts w:ascii="Times New Roman" w:hAnsi="Times New Roman" w:cs="Times New Roman"/>
        </w:rPr>
      </w:pPr>
      <w:r>
        <w:rPr>
          <w:rFonts w:ascii="Times New Roman" w:hAnsi="Times New Roman" w:cs="Times New Roman"/>
        </w:rPr>
        <w:t xml:space="preserve">It is worth noting that there are shortcomings attached to political institutions that select members randomly rather than </w:t>
      </w:r>
      <w:proofErr w:type="gramStart"/>
      <w:r>
        <w:rPr>
          <w:rFonts w:ascii="Times New Roman" w:hAnsi="Times New Roman" w:cs="Times New Roman"/>
        </w:rPr>
        <w:t>on the basis of</w:t>
      </w:r>
      <w:proofErr w:type="gramEnd"/>
      <w:r>
        <w:rPr>
          <w:rFonts w:ascii="Times New Roman" w:hAnsi="Times New Roman" w:cs="Times New Roman"/>
        </w:rPr>
        <w:t xml:space="preserve"> election. Institutions like CCC are not, therefore, intended as silver bullets to resolve every concern about Indian democracy. Rather, the proposal for a CCC builds on a central insight that underlies the thrust behind bicameral parliaments: that elected assemblies, despite all their value, suffer shortcomings that inevitably accompany democratic elections. These shortcomings cannot be rectified, as I have tried to show, through an indirectly elected second chamber. On the contrary, addressing them requires the introduction of a non-elected element in parliament aimed to enhancing the representativeness of the law-making process. This non-elected element should consist, </w:t>
      </w:r>
      <w:proofErr w:type="gramStart"/>
      <w:r>
        <w:rPr>
          <w:rFonts w:ascii="Times New Roman" w:hAnsi="Times New Roman" w:cs="Times New Roman"/>
        </w:rPr>
        <w:t>on the one hand,</w:t>
      </w:r>
      <w:proofErr w:type="gramEnd"/>
      <w:r>
        <w:rPr>
          <w:rFonts w:ascii="Times New Roman" w:hAnsi="Times New Roman" w:cs="Times New Roman"/>
        </w:rPr>
        <w:t xml:space="preserve"> of self-selection in the form of pre-legislative consultation, where civil society actors and interested citizens can raise concerns and lobby parliamentary actors. On the other hand, it should consist of randomly selected CCCs that can address some of the shortcomings attached to representation through self-selection. </w:t>
      </w:r>
    </w:p>
    <w:p w14:paraId="5FFE77C0" w14:textId="77777777" w:rsidR="002409A4" w:rsidRDefault="002409A4" w:rsidP="002409A4">
      <w:pPr>
        <w:jc w:val="both"/>
        <w:rPr>
          <w:rFonts w:ascii="Times New Roman" w:hAnsi="Times New Roman" w:cs="Times New Roman"/>
        </w:rPr>
      </w:pPr>
    </w:p>
    <w:p w14:paraId="4044E36E" w14:textId="77777777" w:rsidR="002409A4" w:rsidRDefault="002409A4" w:rsidP="002409A4">
      <w:pPr>
        <w:jc w:val="both"/>
        <w:rPr>
          <w:rFonts w:ascii="Times New Roman" w:hAnsi="Times New Roman" w:cs="Times New Roman"/>
        </w:rPr>
      </w:pPr>
      <w:r>
        <w:rPr>
          <w:rFonts w:ascii="Times New Roman" w:hAnsi="Times New Roman" w:cs="Times New Roman"/>
        </w:rPr>
        <w:t xml:space="preserve">Yet, one may legitimately raise concerns about the use of randomly selected CCCs. First, one might argue that CCCs would serve little purpose as they would be subject to manipulation or capture by political elites. Government officials in power or wealthy individuals may be able to co-opt these institutions, using them to legitimise parliamentary decisions. Second, there may be concerns raised about the </w:t>
      </w:r>
      <w:r w:rsidRPr="002F43D6">
        <w:rPr>
          <w:rFonts w:ascii="Times New Roman" w:hAnsi="Times New Roman" w:cs="Times New Roman"/>
          <w:i/>
          <w:iCs/>
        </w:rPr>
        <w:t>moral standing</w:t>
      </w:r>
      <w:r>
        <w:rPr>
          <w:rFonts w:ascii="Times New Roman" w:hAnsi="Times New Roman" w:cs="Times New Roman"/>
        </w:rPr>
        <w:t xml:space="preserve"> of randomly selected citizens to offer feedback on legislation enacted by elected representatives. While these criticisms raise meaningful concerns, I argue that they are not insurmountable. Consider, first, the vulnerability of randomly selected assemblies to manipulation. Prior experience of “</w:t>
      </w:r>
      <w:proofErr w:type="gramStart"/>
      <w:r>
        <w:rPr>
          <w:rFonts w:ascii="Times New Roman" w:hAnsi="Times New Roman" w:cs="Times New Roman"/>
        </w:rPr>
        <w:t>mini-publics</w:t>
      </w:r>
      <w:proofErr w:type="gramEnd"/>
      <w:r>
        <w:rPr>
          <w:rFonts w:ascii="Times New Roman" w:hAnsi="Times New Roman" w:cs="Times New Roman"/>
        </w:rPr>
        <w:t xml:space="preserve">”, randomly chosen assemblies, shows that such institutions are able to engage in meaningful deliberation, rather than serving as mere legitimating devices for elite decisions. Safeguarding their capacity for meaningful deliberation would require robust processes for choosing moderators and preparing briefing materials for CCC participants. Moderators would have to play a neutral role, facilitating deliberation. Participants would be briefed by partisans holding different positions on a debate, allowing them to hear from those who support a bill as well as those who oppose it. Ensuring that moderation and briefing operates in this way would require a robust process for selecting personnel responsible for the operation of the CCC. A selection panel mirrored on the now discarded process for selecting the Chief Election Commissioner might serve this purpose. It would involve selecting moderators and panellists through a committee </w:t>
      </w:r>
      <w:r>
        <w:rPr>
          <w:rFonts w:ascii="Times New Roman" w:hAnsi="Times New Roman" w:cs="Times New Roman"/>
        </w:rPr>
        <w:lastRenderedPageBreak/>
        <w:t xml:space="preserve">comprising the Prime Minister, Leader of Opposition in the Lok Sabha, and the Chief Justice of India. </w:t>
      </w:r>
    </w:p>
    <w:p w14:paraId="2DD5D545" w14:textId="77777777" w:rsidR="002409A4" w:rsidRDefault="002409A4" w:rsidP="002409A4">
      <w:pPr>
        <w:jc w:val="both"/>
        <w:rPr>
          <w:rFonts w:ascii="Times New Roman" w:hAnsi="Times New Roman" w:cs="Times New Roman"/>
        </w:rPr>
      </w:pPr>
    </w:p>
    <w:p w14:paraId="2100CA85" w14:textId="08BEDCAD" w:rsidR="002409A4" w:rsidRDefault="002409A4" w:rsidP="002409A4">
      <w:pPr>
        <w:jc w:val="both"/>
        <w:rPr>
          <w:rFonts w:ascii="Times New Roman" w:hAnsi="Times New Roman" w:cs="Times New Roman"/>
        </w:rPr>
      </w:pPr>
      <w:r>
        <w:rPr>
          <w:rFonts w:ascii="Times New Roman" w:hAnsi="Times New Roman" w:cs="Times New Roman"/>
        </w:rPr>
        <w:t>As for the moral standing of randomly selected citizens, note that the institution of the CCC already makes allowance for the priority afforded to elected representatives. CCCs can merely vote to delay and mandate a reconsideration of bills enacted by elected representatives. They cannot veto parliament’s decisions, indefinitely block them, or even amend bills against the wishes of elected parliamentarians. The limited power CCCs enjoy, however, stem from the recognition that although elected legislators must have the ultimate say in parliamentary democracy, election is an imperfect mechanism for representation. The strict control of the party over legislative flows highlighted in the first section of this chapter, and the oligarchic drift attached to democratic elections, counteract parliament’s representative capacities. This is true even though party politics and democratic elections are, in themselves, valuable and necessary for the conduct of modern democratic politics. As such, CCCs serve simply as institutional mechanisms for mitigating some of the representativeness deficits attached to parliament without supplanting the priority of elected parliamentar</w:t>
      </w:r>
      <w:r w:rsidR="00F14005">
        <w:rPr>
          <w:rFonts w:ascii="Times New Roman" w:hAnsi="Times New Roman" w:cs="Times New Roman"/>
        </w:rPr>
        <w:t xml:space="preserve">ians. </w:t>
      </w:r>
    </w:p>
    <w:p w14:paraId="582E6F02" w14:textId="4360CF13" w:rsidR="00AF176A" w:rsidRDefault="00AF176A" w:rsidP="002409A4">
      <w:pPr>
        <w:jc w:val="both"/>
        <w:rPr>
          <w:rFonts w:ascii="Times New Roman" w:hAnsi="Times New Roman" w:cs="Times New Roman"/>
        </w:rPr>
      </w:pPr>
    </w:p>
    <w:p w14:paraId="49AC9D07" w14:textId="77777777" w:rsidR="00A379C9" w:rsidRDefault="00A379C9" w:rsidP="002409A4">
      <w:pPr>
        <w:jc w:val="both"/>
        <w:rPr>
          <w:rFonts w:ascii="Times New Roman" w:hAnsi="Times New Roman" w:cs="Times New Roman"/>
        </w:rPr>
      </w:pPr>
    </w:p>
    <w:p w14:paraId="695AC42E" w14:textId="71FCFB9D" w:rsidR="00A379C9" w:rsidRDefault="00A379C9" w:rsidP="002409A4">
      <w:pPr>
        <w:jc w:val="both"/>
        <w:rPr>
          <w:rFonts w:ascii="Times New Roman" w:hAnsi="Times New Roman" w:cs="Times New Roman"/>
          <w:b/>
          <w:bCs/>
        </w:rPr>
      </w:pPr>
      <w:r w:rsidRPr="00A379C9">
        <w:rPr>
          <w:rFonts w:ascii="Times New Roman" w:hAnsi="Times New Roman" w:cs="Times New Roman"/>
          <w:b/>
          <w:bCs/>
        </w:rPr>
        <w:t>Bibliography</w:t>
      </w:r>
    </w:p>
    <w:p w14:paraId="2ACC26F4" w14:textId="7919128D" w:rsidR="00A379C9" w:rsidRPr="00A379C9" w:rsidRDefault="00A379C9" w:rsidP="00A379C9">
      <w:pPr>
        <w:autoSpaceDE w:val="0"/>
        <w:autoSpaceDN w:val="0"/>
        <w:adjustRightInd w:val="0"/>
        <w:rPr>
          <w:rFonts w:ascii="Times New Roman" w:hAnsi="Times New Roman" w:cs="Times New Roman"/>
        </w:rPr>
      </w:pPr>
    </w:p>
    <w:p w14:paraId="5C3F66CB" w14:textId="77777777" w:rsidR="00A379C9" w:rsidRP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 xml:space="preserve">All Parties Conference. 1928. The Nehru Report: An Anti-Separatist Manifesto 94–5 (Michiko &amp; </w:t>
      </w:r>
      <w:proofErr w:type="spellStart"/>
      <w:r w:rsidRPr="00A379C9">
        <w:rPr>
          <w:rFonts w:ascii="Times New Roman" w:hAnsi="Times New Roman" w:cs="Times New Roman"/>
        </w:rPr>
        <w:t>Panjathan</w:t>
      </w:r>
      <w:proofErr w:type="spellEnd"/>
      <w:r w:rsidRPr="00A379C9">
        <w:rPr>
          <w:rFonts w:ascii="Times New Roman" w:hAnsi="Times New Roman" w:cs="Times New Roman"/>
        </w:rPr>
        <w:t xml:space="preserve"> 1975) (1928). </w:t>
      </w:r>
    </w:p>
    <w:p w14:paraId="0E93CD3E" w14:textId="77777777" w:rsidR="00A379C9" w:rsidRPr="00A379C9" w:rsidRDefault="00A379C9" w:rsidP="00A379C9">
      <w:pPr>
        <w:autoSpaceDE w:val="0"/>
        <w:autoSpaceDN w:val="0"/>
        <w:adjustRightInd w:val="0"/>
        <w:rPr>
          <w:rFonts w:ascii="Times New Roman" w:hAnsi="Times New Roman" w:cs="Times New Roman"/>
        </w:rPr>
      </w:pPr>
    </w:p>
    <w:p w14:paraId="0757510B" w14:textId="77777777" w:rsidR="00A379C9" w:rsidRP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 xml:space="preserve">Arlen, Gordon. 2019. ‘Aristotle and the Problem of Oligarchic Harm: Insights for Democracy’. </w:t>
      </w:r>
      <w:r w:rsidRPr="00A379C9">
        <w:rPr>
          <w:rFonts w:ascii="Times New Roman" w:hAnsi="Times New Roman" w:cs="Times New Roman"/>
          <w:i/>
          <w:iCs/>
        </w:rPr>
        <w:t>European Journal of Political Theory</w:t>
      </w:r>
      <w:r w:rsidRPr="00A379C9">
        <w:rPr>
          <w:rFonts w:ascii="Times New Roman" w:hAnsi="Times New Roman" w:cs="Times New Roman"/>
        </w:rPr>
        <w:t xml:space="preserve"> 18, no. 3: 393–414. </w:t>
      </w:r>
    </w:p>
    <w:p w14:paraId="389912E1" w14:textId="77777777" w:rsidR="00A379C9" w:rsidRPr="00A379C9" w:rsidRDefault="00A379C9" w:rsidP="00A379C9">
      <w:pPr>
        <w:autoSpaceDE w:val="0"/>
        <w:autoSpaceDN w:val="0"/>
        <w:adjustRightInd w:val="0"/>
        <w:rPr>
          <w:rFonts w:ascii="Times New Roman" w:hAnsi="Times New Roman" w:cs="Times New Roman"/>
          <w:u w:val="single"/>
        </w:rPr>
      </w:pPr>
    </w:p>
    <w:p w14:paraId="3BCCB790" w14:textId="77777777" w:rsidR="00A379C9" w:rsidRP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 xml:space="preserve">Arter, D. (2003). ‘Committee Cohesion and the ‘Corporate Dimension’ of Parliamentary Committees: A Comparative Analysis’. </w:t>
      </w:r>
      <w:r w:rsidRPr="00A379C9">
        <w:rPr>
          <w:rFonts w:ascii="Times New Roman" w:hAnsi="Times New Roman" w:cs="Times New Roman"/>
          <w:i/>
          <w:iCs/>
        </w:rPr>
        <w:t xml:space="preserve">Journal of Legislative Studies </w:t>
      </w:r>
      <w:r w:rsidRPr="00A379C9">
        <w:rPr>
          <w:rFonts w:ascii="Times New Roman" w:hAnsi="Times New Roman" w:cs="Times New Roman"/>
        </w:rPr>
        <w:t>9(4), 76</w:t>
      </w:r>
    </w:p>
    <w:p w14:paraId="45E184DE" w14:textId="77777777" w:rsidR="00A379C9" w:rsidRPr="00A379C9" w:rsidRDefault="00A379C9" w:rsidP="00A379C9">
      <w:pPr>
        <w:autoSpaceDE w:val="0"/>
        <w:autoSpaceDN w:val="0"/>
        <w:adjustRightInd w:val="0"/>
        <w:rPr>
          <w:rFonts w:ascii="Times New Roman" w:hAnsi="Times New Roman" w:cs="Times New Roman"/>
        </w:rPr>
      </w:pPr>
    </w:p>
    <w:p w14:paraId="37AADB5E" w14:textId="77777777" w:rsidR="00A379C9" w:rsidRP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 xml:space="preserve">Association for Democratic Reforms. 2024. Analysis of Criminal Background, Financial, Education, </w:t>
      </w:r>
      <w:proofErr w:type="gramStart"/>
      <w:r w:rsidRPr="00A379C9">
        <w:rPr>
          <w:rFonts w:ascii="Times New Roman" w:hAnsi="Times New Roman" w:cs="Times New Roman"/>
        </w:rPr>
        <w:t>Gender</w:t>
      </w:r>
      <w:proofErr w:type="gramEnd"/>
      <w:r w:rsidRPr="00A379C9">
        <w:rPr>
          <w:rFonts w:ascii="Times New Roman" w:hAnsi="Times New Roman" w:cs="Times New Roman"/>
        </w:rPr>
        <w:t xml:space="preserve"> and other details of Sitting Rajya Sabha MPs 2024. Available from: </w:t>
      </w:r>
      <w:hyperlink r:id="rId8" w:history="1">
        <w:r w:rsidRPr="00A379C9">
          <w:rPr>
            <w:rFonts w:ascii="Times New Roman" w:hAnsi="Times New Roman" w:cs="Times New Roman"/>
            <w:color w:val="DCA10D"/>
          </w:rPr>
          <w:t>https://adrindia.org/content/analysis-criminal-background-financial-education-gender-and-other-details-sitting-rajya-7</w:t>
        </w:r>
      </w:hyperlink>
    </w:p>
    <w:p w14:paraId="2C12947F" w14:textId="77777777" w:rsidR="00A379C9" w:rsidRPr="00A379C9" w:rsidRDefault="00A379C9" w:rsidP="00A379C9">
      <w:pPr>
        <w:autoSpaceDE w:val="0"/>
        <w:autoSpaceDN w:val="0"/>
        <w:adjustRightInd w:val="0"/>
        <w:rPr>
          <w:rFonts w:ascii="Times New Roman" w:hAnsi="Times New Roman" w:cs="Times New Roman"/>
        </w:rPr>
      </w:pPr>
    </w:p>
    <w:p w14:paraId="30AE66A3" w14:textId="77777777" w:rsidR="00A379C9" w:rsidRP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 xml:space="preserve">Bharti, NK; Chancel, L; Piketty, T; </w:t>
      </w:r>
      <w:proofErr w:type="spellStart"/>
      <w:r w:rsidRPr="00A379C9">
        <w:rPr>
          <w:rFonts w:ascii="Times New Roman" w:hAnsi="Times New Roman" w:cs="Times New Roman"/>
        </w:rPr>
        <w:t>Somanchi</w:t>
      </w:r>
      <w:proofErr w:type="spellEnd"/>
      <w:r w:rsidRPr="00A379C9">
        <w:rPr>
          <w:rFonts w:ascii="Times New Roman" w:hAnsi="Times New Roman" w:cs="Times New Roman"/>
        </w:rPr>
        <w:t xml:space="preserve">, A. 2024. Income and Wealth Inequality in India, 1922-2023: The Rise of the Billionaire Raj. World Inequality Lab (Working Paper 2024/09). </w:t>
      </w:r>
    </w:p>
    <w:p w14:paraId="6E1B8418" w14:textId="77777777" w:rsidR="00A379C9" w:rsidRPr="00A379C9" w:rsidRDefault="00A379C9" w:rsidP="00A379C9">
      <w:pPr>
        <w:autoSpaceDE w:val="0"/>
        <w:autoSpaceDN w:val="0"/>
        <w:adjustRightInd w:val="0"/>
        <w:rPr>
          <w:rFonts w:ascii="Times New Roman" w:hAnsi="Times New Roman" w:cs="Times New Roman"/>
        </w:rPr>
      </w:pPr>
    </w:p>
    <w:p w14:paraId="2DA44B9D" w14:textId="77777777" w:rsidR="00A379C9" w:rsidRP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 xml:space="preserve">Bhatia, U. 2020. ‘Cracking the Whip: The Deliberative Costs of Strict Party Discipline’, </w:t>
      </w:r>
      <w:r w:rsidRPr="00A379C9">
        <w:rPr>
          <w:rFonts w:ascii="Times New Roman" w:hAnsi="Times New Roman" w:cs="Times New Roman"/>
          <w:i/>
          <w:iCs/>
        </w:rPr>
        <w:t>Critical Review of International Social and Political Philosophy</w:t>
      </w:r>
      <w:r w:rsidRPr="00A379C9">
        <w:rPr>
          <w:rFonts w:ascii="Times New Roman" w:hAnsi="Times New Roman" w:cs="Times New Roman"/>
        </w:rPr>
        <w:t xml:space="preserve"> 23, no. 2: 254-279. </w:t>
      </w:r>
    </w:p>
    <w:p w14:paraId="25AB18EF" w14:textId="77777777" w:rsidR="00A379C9" w:rsidRPr="00A379C9" w:rsidRDefault="00A379C9" w:rsidP="00A379C9">
      <w:pPr>
        <w:autoSpaceDE w:val="0"/>
        <w:autoSpaceDN w:val="0"/>
        <w:adjustRightInd w:val="0"/>
        <w:rPr>
          <w:rFonts w:ascii="Times New Roman" w:hAnsi="Times New Roman" w:cs="Times New Roman"/>
        </w:rPr>
      </w:pPr>
    </w:p>
    <w:p w14:paraId="12F59C0E" w14:textId="77777777" w:rsid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 xml:space="preserve">Bhatia, U. 2021. What’s the Party Like? The Status of the Political Party in Anti-Defection Jurisdictions. </w:t>
      </w:r>
      <w:r w:rsidRPr="00A379C9">
        <w:rPr>
          <w:rFonts w:ascii="Times New Roman" w:hAnsi="Times New Roman" w:cs="Times New Roman"/>
          <w:i/>
          <w:iCs/>
        </w:rPr>
        <w:t>Law &amp; Philosophy</w:t>
      </w:r>
      <w:r w:rsidRPr="00A379C9">
        <w:rPr>
          <w:rFonts w:ascii="Times New Roman" w:hAnsi="Times New Roman" w:cs="Times New Roman"/>
        </w:rPr>
        <w:t xml:space="preserve"> 40, no. 3: 305-334. </w:t>
      </w:r>
    </w:p>
    <w:p w14:paraId="35F9A1BB" w14:textId="77777777" w:rsidR="00EC7E7E" w:rsidRDefault="00EC7E7E" w:rsidP="00A379C9">
      <w:pPr>
        <w:autoSpaceDE w:val="0"/>
        <w:autoSpaceDN w:val="0"/>
        <w:adjustRightInd w:val="0"/>
        <w:rPr>
          <w:rFonts w:ascii="Times New Roman" w:hAnsi="Times New Roman" w:cs="Times New Roman"/>
        </w:rPr>
      </w:pPr>
    </w:p>
    <w:p w14:paraId="55CBEBAB" w14:textId="2C99408F" w:rsidR="00EC7E7E" w:rsidRPr="00A379C9" w:rsidRDefault="00EC7E7E" w:rsidP="00A379C9">
      <w:pPr>
        <w:autoSpaceDE w:val="0"/>
        <w:autoSpaceDN w:val="0"/>
        <w:adjustRightInd w:val="0"/>
        <w:rPr>
          <w:rFonts w:ascii="Times New Roman" w:hAnsi="Times New Roman" w:cs="Times New Roman"/>
        </w:rPr>
      </w:pPr>
      <w:r>
        <w:rPr>
          <w:rFonts w:ascii="Times New Roman" w:hAnsi="Times New Roman" w:cs="Times New Roman"/>
        </w:rPr>
        <w:t xml:space="preserve">Bhatia. U. 2022. Indirect Election as a Constitutional Device of </w:t>
      </w:r>
      <w:proofErr w:type="spellStart"/>
      <w:r>
        <w:rPr>
          <w:rFonts w:ascii="Times New Roman" w:hAnsi="Times New Roman" w:cs="Times New Roman"/>
        </w:rPr>
        <w:t>Epistocracy</w:t>
      </w:r>
      <w:proofErr w:type="spellEnd"/>
      <w:r>
        <w:rPr>
          <w:rFonts w:ascii="Times New Roman" w:hAnsi="Times New Roman" w:cs="Times New Roman"/>
        </w:rPr>
        <w:t xml:space="preserve">. International Journal of Constitutional Law 20(1): 82-111. </w:t>
      </w:r>
    </w:p>
    <w:p w14:paraId="7D553102" w14:textId="77777777" w:rsidR="00A379C9" w:rsidRPr="00A379C9" w:rsidRDefault="00A379C9" w:rsidP="00A379C9">
      <w:pPr>
        <w:autoSpaceDE w:val="0"/>
        <w:autoSpaceDN w:val="0"/>
        <w:adjustRightInd w:val="0"/>
        <w:rPr>
          <w:rFonts w:ascii="Times New Roman" w:hAnsi="Times New Roman" w:cs="Times New Roman"/>
        </w:rPr>
      </w:pPr>
    </w:p>
    <w:p w14:paraId="73708CA4" w14:textId="77777777" w:rsidR="00A379C9" w:rsidRP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 xml:space="preserve">Brennan, Jason. 2016. </w:t>
      </w:r>
      <w:r w:rsidRPr="00A379C9">
        <w:rPr>
          <w:rFonts w:ascii="Times New Roman" w:hAnsi="Times New Roman" w:cs="Times New Roman"/>
          <w:i/>
          <w:iCs/>
        </w:rPr>
        <w:t>Against Democracy</w:t>
      </w:r>
      <w:r w:rsidRPr="00A379C9">
        <w:rPr>
          <w:rFonts w:ascii="Times New Roman" w:hAnsi="Times New Roman" w:cs="Times New Roman"/>
        </w:rPr>
        <w:t>. Princeton: Princeton University Press.</w:t>
      </w:r>
    </w:p>
    <w:p w14:paraId="3FD05B53" w14:textId="77777777" w:rsidR="00A379C9" w:rsidRPr="00A379C9" w:rsidRDefault="00A379C9" w:rsidP="00A379C9">
      <w:pPr>
        <w:autoSpaceDE w:val="0"/>
        <w:autoSpaceDN w:val="0"/>
        <w:adjustRightInd w:val="0"/>
        <w:rPr>
          <w:rFonts w:ascii="Times New Roman" w:hAnsi="Times New Roman" w:cs="Times New Roman"/>
        </w:rPr>
      </w:pPr>
      <w:proofErr w:type="spellStart"/>
      <w:r w:rsidRPr="00A379C9">
        <w:rPr>
          <w:rFonts w:ascii="Times New Roman" w:hAnsi="Times New Roman" w:cs="Times New Roman"/>
        </w:rPr>
        <w:t>Cahillane</w:t>
      </w:r>
      <w:proofErr w:type="spellEnd"/>
      <w:r w:rsidRPr="00A379C9">
        <w:rPr>
          <w:rFonts w:ascii="Times New Roman" w:hAnsi="Times New Roman" w:cs="Times New Roman"/>
        </w:rPr>
        <w:t xml:space="preserve">, L. 2012. “Anti-Party Politics in the Irish Free State Constitution,” </w:t>
      </w:r>
      <w:r w:rsidRPr="00A379C9">
        <w:rPr>
          <w:rFonts w:ascii="Times New Roman" w:hAnsi="Times New Roman" w:cs="Times New Roman"/>
          <w:i/>
          <w:iCs/>
        </w:rPr>
        <w:t>Dublin University Law Journal</w:t>
      </w:r>
      <w:r w:rsidRPr="00A379C9">
        <w:rPr>
          <w:rFonts w:ascii="Times New Roman" w:hAnsi="Times New Roman" w:cs="Times New Roman"/>
        </w:rPr>
        <w:t xml:space="preserve"> 35: 34-72.</w:t>
      </w:r>
    </w:p>
    <w:p w14:paraId="45746497" w14:textId="77777777" w:rsidR="00A379C9" w:rsidRPr="00A379C9" w:rsidRDefault="00A379C9" w:rsidP="00A379C9">
      <w:pPr>
        <w:autoSpaceDE w:val="0"/>
        <w:autoSpaceDN w:val="0"/>
        <w:adjustRightInd w:val="0"/>
        <w:rPr>
          <w:rFonts w:ascii="Times New Roman" w:hAnsi="Times New Roman" w:cs="Times New Roman"/>
        </w:rPr>
      </w:pPr>
    </w:p>
    <w:p w14:paraId="374C60A3" w14:textId="77777777" w:rsid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 xml:space="preserve">Caplan, Bryan. 2011. </w:t>
      </w:r>
      <w:r w:rsidRPr="00A379C9">
        <w:rPr>
          <w:rFonts w:ascii="Times New Roman" w:hAnsi="Times New Roman" w:cs="Times New Roman"/>
          <w:i/>
          <w:iCs/>
        </w:rPr>
        <w:t>The Myth of the Rational Voter: Why Democracies Choose Bad Policies</w:t>
      </w:r>
      <w:r w:rsidRPr="00A379C9">
        <w:rPr>
          <w:rFonts w:ascii="Times New Roman" w:hAnsi="Times New Roman" w:cs="Times New Roman"/>
        </w:rPr>
        <w:t xml:space="preserve">. Princeton, NJ: Princeton University Press. </w:t>
      </w:r>
    </w:p>
    <w:p w14:paraId="1DF8E66B" w14:textId="2FD59F14" w:rsidR="00A379C9" w:rsidRPr="00A379C9" w:rsidRDefault="00A379C9" w:rsidP="00A379C9">
      <w:pPr>
        <w:pStyle w:val="NormalWeb"/>
      </w:pPr>
      <w:r w:rsidRPr="00A379C9">
        <w:t>Datta</w:t>
      </w:r>
      <w:r>
        <w:t xml:space="preserve">, P; </w:t>
      </w:r>
      <w:r w:rsidRPr="00A379C9">
        <w:t>Malhotra</w:t>
      </w:r>
      <w:r>
        <w:t xml:space="preserve">, S. </w:t>
      </w:r>
      <w:r w:rsidRPr="00A379C9">
        <w:t>&amp;</w:t>
      </w:r>
      <w:r>
        <w:t xml:space="preserve"> </w:t>
      </w:r>
      <w:r w:rsidRPr="00A379C9">
        <w:t>Tyagi</w:t>
      </w:r>
      <w:r>
        <w:t xml:space="preserve"> S. 2017. “</w:t>
      </w:r>
      <w:proofErr w:type="spellStart"/>
      <w:r w:rsidRPr="00A379C9">
        <w:t>JudicialReview</w:t>
      </w:r>
      <w:proofErr w:type="spellEnd"/>
      <w:r w:rsidRPr="00A379C9">
        <w:t xml:space="preserve"> and Money </w:t>
      </w:r>
      <w:proofErr w:type="spellStart"/>
      <w:r w:rsidRPr="00A379C9">
        <w:t>Bills</w:t>
      </w:r>
      <w:proofErr w:type="gramStart"/>
      <w:r w:rsidRPr="00A379C9">
        <w:t>,</w:t>
      </w:r>
      <w:r>
        <w:t>”</w:t>
      </w:r>
      <w:r w:rsidRPr="00A379C9">
        <w:t>NUJS</w:t>
      </w:r>
      <w:proofErr w:type="spellEnd"/>
      <w:proofErr w:type="gramEnd"/>
      <w:r w:rsidRPr="00A379C9">
        <w:t xml:space="preserve"> </w:t>
      </w:r>
      <w:r>
        <w:t>Law</w:t>
      </w:r>
      <w:r w:rsidRPr="00A379C9">
        <w:t xml:space="preserve"> R</w:t>
      </w:r>
      <w:r>
        <w:t>eview 10(2): 75-115</w:t>
      </w:r>
    </w:p>
    <w:p w14:paraId="4AE210EB" w14:textId="77777777" w:rsidR="00A379C9" w:rsidRPr="00A379C9" w:rsidRDefault="00A379C9" w:rsidP="00A379C9">
      <w:pPr>
        <w:autoSpaceDE w:val="0"/>
        <w:autoSpaceDN w:val="0"/>
        <w:adjustRightInd w:val="0"/>
        <w:rPr>
          <w:rFonts w:ascii="Times New Roman" w:hAnsi="Times New Roman" w:cs="Times New Roman"/>
        </w:rPr>
      </w:pPr>
    </w:p>
    <w:p w14:paraId="08240CC2" w14:textId="77777777" w:rsidR="00A379C9" w:rsidRPr="00A379C9" w:rsidRDefault="00A379C9" w:rsidP="00A379C9">
      <w:pPr>
        <w:autoSpaceDE w:val="0"/>
        <w:autoSpaceDN w:val="0"/>
        <w:adjustRightInd w:val="0"/>
        <w:rPr>
          <w:rFonts w:ascii="Times New Roman" w:eastAsia="MS Gothic" w:hAnsi="Times New Roman" w:cs="Times New Roman"/>
        </w:rPr>
      </w:pPr>
      <w:r w:rsidRPr="00A379C9">
        <w:rPr>
          <w:rFonts w:ascii="Times New Roman" w:hAnsi="Times New Roman" w:cs="Times New Roman"/>
        </w:rPr>
        <w:t xml:space="preserve">Deccan Herald. 2022. House for moneybags: The Rajya Sabha story (12 June 2022). Available from:  </w:t>
      </w:r>
      <w:hyperlink r:id="rId9" w:history="1">
        <w:r w:rsidRPr="00A379C9">
          <w:rPr>
            <w:rFonts w:ascii="Times New Roman" w:hAnsi="Times New Roman" w:cs="Times New Roman"/>
            <w:color w:val="DCA10D"/>
          </w:rPr>
          <w:t>https://www.deccanherald.com/india/house-for-moneybags-the-rajya-sabha-story-1117442.html</w:t>
        </w:r>
      </w:hyperlink>
      <w:r w:rsidRPr="00A379C9">
        <w:rPr>
          <w:rFonts w:ascii="Times New Roman" w:eastAsia="MS Gothic" w:hAnsi="Times New Roman" w:cs="Times New Roman"/>
        </w:rPr>
        <w:t> </w:t>
      </w:r>
    </w:p>
    <w:p w14:paraId="3DD01844" w14:textId="77777777" w:rsidR="00A379C9" w:rsidRPr="00A379C9" w:rsidRDefault="00A379C9" w:rsidP="00A379C9">
      <w:pPr>
        <w:autoSpaceDE w:val="0"/>
        <w:autoSpaceDN w:val="0"/>
        <w:adjustRightInd w:val="0"/>
        <w:rPr>
          <w:rFonts w:ascii="Times New Roman" w:hAnsi="Times New Roman" w:cs="Times New Roman"/>
        </w:rPr>
      </w:pPr>
    </w:p>
    <w:p w14:paraId="6A0A2326" w14:textId="77777777" w:rsidR="00A379C9" w:rsidRP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 xml:space="preserve">Dorey, P. (2014). Policy making in Britain: An introduction. London: Sage. </w:t>
      </w:r>
    </w:p>
    <w:p w14:paraId="21F35D3F" w14:textId="77777777" w:rsidR="00A379C9" w:rsidRPr="00A379C9" w:rsidRDefault="00A379C9" w:rsidP="00A379C9">
      <w:pPr>
        <w:autoSpaceDE w:val="0"/>
        <w:autoSpaceDN w:val="0"/>
        <w:adjustRightInd w:val="0"/>
        <w:rPr>
          <w:rFonts w:ascii="Times New Roman" w:hAnsi="Times New Roman" w:cs="Times New Roman"/>
        </w:rPr>
      </w:pPr>
      <w:proofErr w:type="spellStart"/>
      <w:r w:rsidRPr="00A379C9">
        <w:rPr>
          <w:rFonts w:ascii="Times New Roman" w:hAnsi="Times New Roman" w:cs="Times New Roman"/>
        </w:rPr>
        <w:t>FortuneIndia</w:t>
      </w:r>
      <w:proofErr w:type="spellEnd"/>
      <w:r w:rsidRPr="00A379C9">
        <w:rPr>
          <w:rFonts w:ascii="Times New Roman" w:hAnsi="Times New Roman" w:cs="Times New Roman"/>
        </w:rPr>
        <w:t xml:space="preserve">. 2024. 14% MPs in Rajya Sabha are billionaires; BJP tops at 9 (4 March 2024). Available from: </w:t>
      </w:r>
      <w:hyperlink r:id="rId10" w:history="1">
        <w:r w:rsidRPr="00A379C9">
          <w:rPr>
            <w:rFonts w:ascii="Times New Roman" w:hAnsi="Times New Roman" w:cs="Times New Roman"/>
            <w:color w:val="DCA10D"/>
          </w:rPr>
          <w:t>https://www.fortuneindia.com/macro/31-billionaires-in-rajya-sabha-bjp-tops-at-9/116028</w:t>
        </w:r>
      </w:hyperlink>
    </w:p>
    <w:p w14:paraId="6FA14578" w14:textId="77777777" w:rsidR="00A379C9" w:rsidRPr="00A379C9" w:rsidRDefault="00A379C9" w:rsidP="00A379C9">
      <w:pPr>
        <w:autoSpaceDE w:val="0"/>
        <w:autoSpaceDN w:val="0"/>
        <w:adjustRightInd w:val="0"/>
        <w:rPr>
          <w:rFonts w:ascii="Times New Roman" w:hAnsi="Times New Roman" w:cs="Times New Roman"/>
        </w:rPr>
      </w:pPr>
    </w:p>
    <w:p w14:paraId="104CF7B5" w14:textId="77777777" w:rsidR="00A379C9" w:rsidRP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 xml:space="preserve">Gallagher, M. (2000). </w:t>
      </w:r>
      <w:r w:rsidRPr="00A379C9">
        <w:rPr>
          <w:rFonts w:ascii="Times New Roman" w:hAnsi="Times New Roman" w:cs="Times New Roman"/>
          <w:i/>
          <w:iCs/>
        </w:rPr>
        <w:t xml:space="preserve">Parliamentary Control of the Executive in Ireland: Non-party, Interparty, </w:t>
      </w:r>
      <w:proofErr w:type="gramStart"/>
      <w:r w:rsidRPr="00A379C9">
        <w:rPr>
          <w:rFonts w:ascii="Times New Roman" w:hAnsi="Times New Roman" w:cs="Times New Roman"/>
          <w:i/>
          <w:iCs/>
        </w:rPr>
        <w:t>Cross-party</w:t>
      </w:r>
      <w:proofErr w:type="gramEnd"/>
      <w:r w:rsidRPr="00A379C9">
        <w:rPr>
          <w:rFonts w:ascii="Times New Roman" w:hAnsi="Times New Roman" w:cs="Times New Roman"/>
          <w:i/>
          <w:iCs/>
        </w:rPr>
        <w:t xml:space="preserve"> and Intra-party. </w:t>
      </w:r>
      <w:r w:rsidRPr="00A379C9">
        <w:rPr>
          <w:rFonts w:ascii="Times New Roman" w:hAnsi="Times New Roman" w:cs="Times New Roman"/>
        </w:rPr>
        <w:t xml:space="preserve">Paper presented at the joint sessions of the European Consortium of Political Research in Copenhagen, 26. </w:t>
      </w:r>
    </w:p>
    <w:p w14:paraId="3BC3A7F3" w14:textId="77777777" w:rsidR="00A379C9" w:rsidRPr="00A379C9" w:rsidRDefault="00A379C9" w:rsidP="00A379C9">
      <w:pPr>
        <w:autoSpaceDE w:val="0"/>
        <w:autoSpaceDN w:val="0"/>
        <w:adjustRightInd w:val="0"/>
        <w:rPr>
          <w:rFonts w:ascii="Times New Roman" w:hAnsi="Times New Roman" w:cs="Times New Roman"/>
        </w:rPr>
      </w:pPr>
    </w:p>
    <w:p w14:paraId="73C7889B" w14:textId="77777777" w:rsidR="00A379C9" w:rsidRPr="00A379C9" w:rsidRDefault="00A379C9" w:rsidP="00A379C9">
      <w:pPr>
        <w:autoSpaceDE w:val="0"/>
        <w:autoSpaceDN w:val="0"/>
        <w:adjustRightInd w:val="0"/>
        <w:rPr>
          <w:rFonts w:ascii="Times New Roman" w:hAnsi="Times New Roman" w:cs="Times New Roman"/>
        </w:rPr>
      </w:pPr>
      <w:proofErr w:type="spellStart"/>
      <w:r w:rsidRPr="00A379C9">
        <w:rPr>
          <w:rFonts w:ascii="Times New Roman" w:hAnsi="Times New Roman" w:cs="Times New Roman"/>
        </w:rPr>
        <w:t>Harting</w:t>
      </w:r>
      <w:proofErr w:type="spellEnd"/>
      <w:r w:rsidRPr="00A379C9">
        <w:rPr>
          <w:rFonts w:ascii="Times New Roman" w:hAnsi="Times New Roman" w:cs="Times New Roman"/>
        </w:rPr>
        <w:t>, V. (2024). ‘</w:t>
      </w:r>
      <w:proofErr w:type="spellStart"/>
      <w:r w:rsidRPr="00A379C9">
        <w:rPr>
          <w:rFonts w:ascii="Times New Roman" w:hAnsi="Times New Roman" w:cs="Times New Roman"/>
        </w:rPr>
        <w:t>Lottocracy</w:t>
      </w:r>
      <w:proofErr w:type="spellEnd"/>
      <w:r w:rsidRPr="00A379C9">
        <w:rPr>
          <w:rFonts w:ascii="Times New Roman" w:hAnsi="Times New Roman" w:cs="Times New Roman"/>
        </w:rPr>
        <w:t xml:space="preserve"> and Class-Specific Political Institutions: A Plebeian Constitutionalist </w:t>
      </w:r>
      <w:proofErr w:type="spellStart"/>
      <w:r w:rsidRPr="00A379C9">
        <w:rPr>
          <w:rFonts w:ascii="Times New Roman" w:hAnsi="Times New Roman" w:cs="Times New Roman"/>
        </w:rPr>
        <w:t>Defense</w:t>
      </w:r>
      <w:proofErr w:type="spellEnd"/>
      <w:r w:rsidRPr="00A379C9">
        <w:rPr>
          <w:rFonts w:ascii="Times New Roman" w:hAnsi="Times New Roman" w:cs="Times New Roman"/>
        </w:rPr>
        <w:t xml:space="preserve">’. </w:t>
      </w:r>
      <w:r w:rsidRPr="00A379C9">
        <w:rPr>
          <w:rFonts w:ascii="Times New Roman" w:hAnsi="Times New Roman" w:cs="Times New Roman"/>
          <w:i/>
          <w:iCs/>
        </w:rPr>
        <w:t>Journal of Social Philosophy</w:t>
      </w:r>
      <w:r w:rsidRPr="00A379C9">
        <w:rPr>
          <w:rFonts w:ascii="Times New Roman" w:hAnsi="Times New Roman" w:cs="Times New Roman"/>
        </w:rPr>
        <w:t xml:space="preserve"> (Online First). Available from: </w:t>
      </w:r>
      <w:hyperlink r:id="rId11" w:history="1">
        <w:r w:rsidRPr="00A379C9">
          <w:rPr>
            <w:rFonts w:ascii="Times New Roman" w:hAnsi="Times New Roman" w:cs="Times New Roman"/>
            <w:color w:val="DCA10D"/>
            <w:u w:val="single" w:color="DCA10D"/>
          </w:rPr>
          <w:t>https://doi.org/10.1111/josp.12564</w:t>
        </w:r>
      </w:hyperlink>
      <w:r w:rsidRPr="00A379C9">
        <w:rPr>
          <w:rFonts w:ascii="Times New Roman" w:hAnsi="Times New Roman" w:cs="Times New Roman"/>
        </w:rPr>
        <w:t>.</w:t>
      </w:r>
    </w:p>
    <w:p w14:paraId="40ED269E" w14:textId="77777777" w:rsidR="00A379C9" w:rsidRPr="00A379C9" w:rsidRDefault="00A379C9" w:rsidP="00A379C9">
      <w:pPr>
        <w:autoSpaceDE w:val="0"/>
        <w:autoSpaceDN w:val="0"/>
        <w:adjustRightInd w:val="0"/>
        <w:rPr>
          <w:rFonts w:ascii="Times New Roman" w:hAnsi="Times New Roman" w:cs="Times New Roman"/>
        </w:rPr>
      </w:pPr>
    </w:p>
    <w:p w14:paraId="48D0A8CE" w14:textId="77777777" w:rsidR="00A379C9" w:rsidRPr="00A379C9" w:rsidRDefault="00A379C9" w:rsidP="00A379C9">
      <w:pPr>
        <w:autoSpaceDE w:val="0"/>
        <w:autoSpaceDN w:val="0"/>
        <w:adjustRightInd w:val="0"/>
        <w:rPr>
          <w:rFonts w:ascii="Times New Roman" w:hAnsi="Times New Roman" w:cs="Times New Roman"/>
          <w:b/>
          <w:bCs/>
        </w:rPr>
      </w:pPr>
      <w:r w:rsidRPr="00A379C9">
        <w:rPr>
          <w:rFonts w:ascii="Times New Roman" w:hAnsi="Times New Roman" w:cs="Times New Roman"/>
        </w:rPr>
        <w:t xml:space="preserve">Hindustan Times, </w:t>
      </w:r>
      <w:proofErr w:type="gramStart"/>
      <w:r w:rsidRPr="00A379C9">
        <w:rPr>
          <w:rFonts w:ascii="Times New Roman" w:hAnsi="Times New Roman" w:cs="Times New Roman"/>
          <w:b/>
          <w:bCs/>
        </w:rPr>
        <w:t>What</w:t>
      </w:r>
      <w:proofErr w:type="gramEnd"/>
      <w:r w:rsidRPr="00A379C9">
        <w:rPr>
          <w:rFonts w:ascii="Times New Roman" w:hAnsi="Times New Roman" w:cs="Times New Roman"/>
          <w:b/>
          <w:bCs/>
        </w:rPr>
        <w:t xml:space="preserve"> does Electoral Bond data published by the ECI tell us? (15 March 2024). Available from: </w:t>
      </w:r>
      <w:hyperlink r:id="rId12" w:history="1">
        <w:r w:rsidRPr="00A379C9">
          <w:rPr>
            <w:rFonts w:ascii="Times New Roman" w:hAnsi="Times New Roman" w:cs="Times New Roman"/>
            <w:b/>
            <w:bCs/>
            <w:color w:val="DCA10D"/>
          </w:rPr>
          <w:t>https://www.hindustantimes.com/india-news/what-does-electoral-bond-data-published-by-the-eci-tell-us-101710465967881.html</w:t>
        </w:r>
      </w:hyperlink>
      <w:r w:rsidRPr="00A379C9">
        <w:rPr>
          <w:rFonts w:ascii="Times New Roman" w:hAnsi="Times New Roman" w:cs="Times New Roman"/>
          <w:b/>
          <w:bCs/>
        </w:rPr>
        <w:t xml:space="preserve"> </w:t>
      </w:r>
    </w:p>
    <w:p w14:paraId="4D38703C" w14:textId="77777777" w:rsidR="00A379C9" w:rsidRPr="00A379C9" w:rsidRDefault="00A379C9" w:rsidP="00A379C9">
      <w:pPr>
        <w:autoSpaceDE w:val="0"/>
        <w:autoSpaceDN w:val="0"/>
        <w:adjustRightInd w:val="0"/>
        <w:rPr>
          <w:rFonts w:ascii="Times New Roman" w:hAnsi="Times New Roman" w:cs="Times New Roman"/>
          <w:b/>
          <w:bCs/>
        </w:rPr>
      </w:pPr>
    </w:p>
    <w:p w14:paraId="07E8C27A" w14:textId="77777777" w:rsidR="00A379C9" w:rsidRPr="00A379C9" w:rsidRDefault="00A379C9" w:rsidP="00A379C9">
      <w:pPr>
        <w:autoSpaceDE w:val="0"/>
        <w:autoSpaceDN w:val="0"/>
        <w:adjustRightInd w:val="0"/>
        <w:rPr>
          <w:rFonts w:ascii="Times New Roman" w:hAnsi="Times New Roman" w:cs="Times New Roman"/>
        </w:rPr>
      </w:pPr>
      <w:proofErr w:type="spellStart"/>
      <w:r w:rsidRPr="00A379C9">
        <w:rPr>
          <w:rFonts w:ascii="Times New Roman" w:hAnsi="Times New Roman" w:cs="Times New Roman"/>
        </w:rPr>
        <w:t>Kirkand</w:t>
      </w:r>
      <w:proofErr w:type="spellEnd"/>
      <w:r w:rsidRPr="00A379C9">
        <w:rPr>
          <w:rFonts w:ascii="Times New Roman" w:hAnsi="Times New Roman" w:cs="Times New Roman"/>
        </w:rPr>
        <w:t xml:space="preserve">. J. (2014). ‘Chamber Size Effects on the Collaborative Structure of Legislatures’. </w:t>
      </w:r>
      <w:r w:rsidRPr="00A379C9">
        <w:rPr>
          <w:rFonts w:ascii="Times New Roman" w:hAnsi="Times New Roman" w:cs="Times New Roman"/>
          <w:i/>
          <w:iCs/>
        </w:rPr>
        <w:t>Legislative Studies Quarterly</w:t>
      </w:r>
      <w:r w:rsidRPr="00A379C9">
        <w:rPr>
          <w:rFonts w:ascii="Times New Roman" w:hAnsi="Times New Roman" w:cs="Times New Roman"/>
        </w:rPr>
        <w:t xml:space="preserve"> 39(2), 169–198. </w:t>
      </w:r>
    </w:p>
    <w:p w14:paraId="0EEC8823" w14:textId="77777777" w:rsidR="00A379C9" w:rsidRPr="00A379C9" w:rsidRDefault="00A379C9" w:rsidP="00A379C9">
      <w:pPr>
        <w:autoSpaceDE w:val="0"/>
        <w:autoSpaceDN w:val="0"/>
        <w:adjustRightInd w:val="0"/>
        <w:rPr>
          <w:rFonts w:ascii="Times New Roman" w:hAnsi="Times New Roman" w:cs="Times New Roman"/>
        </w:rPr>
      </w:pPr>
    </w:p>
    <w:p w14:paraId="07797B6B" w14:textId="77777777" w:rsidR="00A379C9" w:rsidRPr="00A379C9" w:rsidRDefault="00A379C9" w:rsidP="00A379C9">
      <w:pPr>
        <w:autoSpaceDE w:val="0"/>
        <w:autoSpaceDN w:val="0"/>
        <w:adjustRightInd w:val="0"/>
        <w:rPr>
          <w:rFonts w:ascii="Times New Roman" w:hAnsi="Times New Roman" w:cs="Times New Roman"/>
        </w:rPr>
      </w:pPr>
      <w:proofErr w:type="spellStart"/>
      <w:r w:rsidRPr="00A379C9">
        <w:rPr>
          <w:rFonts w:ascii="Times New Roman" w:hAnsi="Times New Roman" w:cs="Times New Roman"/>
        </w:rPr>
        <w:t>Landemore</w:t>
      </w:r>
      <w:proofErr w:type="spellEnd"/>
      <w:r w:rsidRPr="00A379C9">
        <w:rPr>
          <w:rFonts w:ascii="Times New Roman" w:hAnsi="Times New Roman" w:cs="Times New Roman"/>
        </w:rPr>
        <w:t xml:space="preserve">, H. (2013). </w:t>
      </w:r>
      <w:r w:rsidRPr="00A379C9">
        <w:rPr>
          <w:rFonts w:ascii="Times New Roman" w:hAnsi="Times New Roman" w:cs="Times New Roman"/>
          <w:i/>
          <w:iCs/>
        </w:rPr>
        <w:t xml:space="preserve">Democratic reason: Politics, collective intelligence, and the rule </w:t>
      </w:r>
      <w:proofErr w:type="gramStart"/>
      <w:r w:rsidRPr="00A379C9">
        <w:rPr>
          <w:rFonts w:ascii="Times New Roman" w:hAnsi="Times New Roman" w:cs="Times New Roman"/>
          <w:i/>
          <w:iCs/>
        </w:rPr>
        <w:t>of  the</w:t>
      </w:r>
      <w:proofErr w:type="gramEnd"/>
      <w:r w:rsidRPr="00A379C9">
        <w:rPr>
          <w:rFonts w:ascii="Times New Roman" w:hAnsi="Times New Roman" w:cs="Times New Roman"/>
          <w:i/>
          <w:iCs/>
        </w:rPr>
        <w:t xml:space="preserve"> many.</w:t>
      </w:r>
      <w:r w:rsidRPr="00A379C9">
        <w:rPr>
          <w:rFonts w:ascii="Times New Roman" w:hAnsi="Times New Roman" w:cs="Times New Roman"/>
        </w:rPr>
        <w:t xml:space="preserve"> Princeton, NJ</w:t>
      </w:r>
      <w:proofErr w:type="gramStart"/>
      <w:r w:rsidRPr="00A379C9">
        <w:rPr>
          <w:rFonts w:ascii="Times New Roman" w:hAnsi="Times New Roman" w:cs="Times New Roman"/>
        </w:rPr>
        <w:t>: :</w:t>
      </w:r>
      <w:proofErr w:type="gramEnd"/>
      <w:r w:rsidRPr="00A379C9">
        <w:rPr>
          <w:rFonts w:ascii="Times New Roman" w:hAnsi="Times New Roman" w:cs="Times New Roman"/>
        </w:rPr>
        <w:t xml:space="preserve"> Princeton University Press.</w:t>
      </w:r>
    </w:p>
    <w:p w14:paraId="6A5BFEB4" w14:textId="77777777" w:rsidR="00A379C9" w:rsidRPr="00A379C9" w:rsidRDefault="00A379C9" w:rsidP="00A379C9">
      <w:pPr>
        <w:autoSpaceDE w:val="0"/>
        <w:autoSpaceDN w:val="0"/>
        <w:adjustRightInd w:val="0"/>
        <w:rPr>
          <w:rFonts w:ascii="Times New Roman" w:hAnsi="Times New Roman" w:cs="Times New Roman"/>
        </w:rPr>
      </w:pPr>
    </w:p>
    <w:p w14:paraId="5A807B15" w14:textId="77777777" w:rsidR="00A379C9" w:rsidRP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Laski, H.J. 1938</w:t>
      </w:r>
      <w:r w:rsidRPr="00A379C9">
        <w:rPr>
          <w:rFonts w:ascii="Times New Roman" w:hAnsi="Times New Roman" w:cs="Times New Roman"/>
          <w:i/>
          <w:iCs/>
        </w:rPr>
        <w:t>. Parliamentary government in England; a commentary</w:t>
      </w:r>
      <w:r w:rsidRPr="00A379C9">
        <w:rPr>
          <w:rFonts w:ascii="Times New Roman" w:hAnsi="Times New Roman" w:cs="Times New Roman"/>
        </w:rPr>
        <w:t xml:space="preserve">. New York: Viking Press. </w:t>
      </w:r>
    </w:p>
    <w:p w14:paraId="547F717D" w14:textId="77777777" w:rsidR="00A379C9" w:rsidRPr="00A379C9" w:rsidRDefault="00A379C9" w:rsidP="00A379C9">
      <w:pPr>
        <w:autoSpaceDE w:val="0"/>
        <w:autoSpaceDN w:val="0"/>
        <w:adjustRightInd w:val="0"/>
        <w:rPr>
          <w:rFonts w:ascii="Times New Roman" w:hAnsi="Times New Roman" w:cs="Times New Roman"/>
        </w:rPr>
      </w:pPr>
    </w:p>
    <w:p w14:paraId="0DFEABD9" w14:textId="77777777" w:rsidR="00A379C9" w:rsidRP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 xml:space="preserve">Levy, J. (2009). </w:t>
      </w:r>
      <w:r w:rsidRPr="00A379C9">
        <w:rPr>
          <w:rFonts w:ascii="Times New Roman" w:hAnsi="Times New Roman" w:cs="Times New Roman"/>
          <w:i/>
          <w:iCs/>
        </w:rPr>
        <w:t>Strengthening Parliament’s Powers of Scrutiny? An Assessment of the Introduction of Public Bill Committees.</w:t>
      </w:r>
      <w:r w:rsidRPr="00A379C9">
        <w:rPr>
          <w:rFonts w:ascii="Times New Roman" w:hAnsi="Times New Roman" w:cs="Times New Roman"/>
        </w:rPr>
        <w:t xml:space="preserve"> London: The Constitution Unit, 15-16. </w:t>
      </w:r>
    </w:p>
    <w:p w14:paraId="62BFE7B5" w14:textId="77777777" w:rsidR="00A379C9" w:rsidRPr="00A379C9" w:rsidRDefault="00A379C9" w:rsidP="00A379C9">
      <w:pPr>
        <w:autoSpaceDE w:val="0"/>
        <w:autoSpaceDN w:val="0"/>
        <w:adjustRightInd w:val="0"/>
        <w:rPr>
          <w:rFonts w:ascii="Times New Roman" w:hAnsi="Times New Roman" w:cs="Times New Roman"/>
        </w:rPr>
      </w:pPr>
    </w:p>
    <w:p w14:paraId="7E1367CA" w14:textId="77777777" w:rsidR="00A379C9" w:rsidRP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 xml:space="preserve">Levy, J., (2010). ‘Public Bill Committees: An Assessment Scrutiny Sought; Scrutiny Gained.’ </w:t>
      </w:r>
      <w:r w:rsidRPr="00A379C9">
        <w:rPr>
          <w:rFonts w:ascii="Times New Roman" w:hAnsi="Times New Roman" w:cs="Times New Roman"/>
          <w:i/>
          <w:iCs/>
        </w:rPr>
        <w:t>Parliamentary Affairs</w:t>
      </w:r>
      <w:r w:rsidRPr="00A379C9">
        <w:rPr>
          <w:rFonts w:ascii="Times New Roman" w:hAnsi="Times New Roman" w:cs="Times New Roman"/>
        </w:rPr>
        <w:t xml:space="preserve"> 63(3), 540-42. </w:t>
      </w:r>
    </w:p>
    <w:p w14:paraId="2692B5D9" w14:textId="77777777" w:rsidR="00A379C9" w:rsidRPr="00A379C9" w:rsidRDefault="00A379C9" w:rsidP="00A379C9">
      <w:pPr>
        <w:autoSpaceDE w:val="0"/>
        <w:autoSpaceDN w:val="0"/>
        <w:adjustRightInd w:val="0"/>
        <w:rPr>
          <w:rFonts w:ascii="Times New Roman" w:hAnsi="Times New Roman" w:cs="Times New Roman"/>
        </w:rPr>
      </w:pPr>
    </w:p>
    <w:p w14:paraId="4981A6EB" w14:textId="77777777" w:rsidR="00A379C9" w:rsidRPr="00A379C9" w:rsidRDefault="00A379C9" w:rsidP="00A379C9">
      <w:pPr>
        <w:autoSpaceDE w:val="0"/>
        <w:autoSpaceDN w:val="0"/>
        <w:adjustRightInd w:val="0"/>
        <w:rPr>
          <w:rFonts w:ascii="Times New Roman" w:hAnsi="Times New Roman" w:cs="Times New Roman"/>
          <w:i/>
          <w:iCs/>
        </w:rPr>
      </w:pPr>
      <w:proofErr w:type="spellStart"/>
      <w:r w:rsidRPr="00A379C9">
        <w:rPr>
          <w:rFonts w:ascii="Times New Roman" w:hAnsi="Times New Roman" w:cs="Times New Roman"/>
        </w:rPr>
        <w:t>Leydet</w:t>
      </w:r>
      <w:proofErr w:type="spellEnd"/>
      <w:r w:rsidRPr="00A379C9">
        <w:rPr>
          <w:rFonts w:ascii="Times New Roman" w:hAnsi="Times New Roman" w:cs="Times New Roman"/>
        </w:rPr>
        <w:t xml:space="preserve">, D. (2015). Partisan legislatures and democratic deliberation. </w:t>
      </w:r>
      <w:r w:rsidRPr="00A379C9">
        <w:rPr>
          <w:rFonts w:ascii="Times New Roman" w:hAnsi="Times New Roman" w:cs="Times New Roman"/>
          <w:i/>
          <w:iCs/>
        </w:rPr>
        <w:t xml:space="preserve">Journal of </w:t>
      </w:r>
    </w:p>
    <w:p w14:paraId="0DED6CDA" w14:textId="77777777" w:rsidR="00A379C9" w:rsidRP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 xml:space="preserve">McCormick JP (2011) </w:t>
      </w:r>
      <w:r w:rsidRPr="00A379C9">
        <w:rPr>
          <w:rFonts w:ascii="Times New Roman" w:hAnsi="Times New Roman" w:cs="Times New Roman"/>
          <w:i/>
          <w:iCs/>
        </w:rPr>
        <w:t>Machiavellian Democracy</w:t>
      </w:r>
      <w:r w:rsidRPr="00A379C9">
        <w:rPr>
          <w:rFonts w:ascii="Times New Roman" w:hAnsi="Times New Roman" w:cs="Times New Roman"/>
        </w:rPr>
        <w:t>. Cambridge: Cambridge University Press.</w:t>
      </w:r>
    </w:p>
    <w:p w14:paraId="57983B7D" w14:textId="77777777" w:rsidR="00A379C9" w:rsidRPr="00A379C9" w:rsidRDefault="00A379C9" w:rsidP="00A379C9">
      <w:pPr>
        <w:autoSpaceDE w:val="0"/>
        <w:autoSpaceDN w:val="0"/>
        <w:adjustRightInd w:val="0"/>
        <w:rPr>
          <w:rFonts w:ascii="Times New Roman" w:hAnsi="Times New Roman" w:cs="Times New Roman"/>
        </w:rPr>
      </w:pPr>
    </w:p>
    <w:p w14:paraId="687594C0" w14:textId="77777777" w:rsidR="00A379C9" w:rsidRP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 xml:space="preserve">McCormick, John P. ‘“Greater, More </w:t>
      </w:r>
      <w:proofErr w:type="spellStart"/>
      <w:r w:rsidRPr="00A379C9">
        <w:rPr>
          <w:rFonts w:ascii="Times New Roman" w:hAnsi="Times New Roman" w:cs="Times New Roman"/>
        </w:rPr>
        <w:t>Honorable</w:t>
      </w:r>
      <w:proofErr w:type="spellEnd"/>
      <w:r w:rsidRPr="00A379C9">
        <w:rPr>
          <w:rFonts w:ascii="Times New Roman" w:hAnsi="Times New Roman" w:cs="Times New Roman"/>
        </w:rPr>
        <w:t xml:space="preserve"> and More Useful to the Republic”: Plebeian Offices in Machiavelli’s “Perfect” Constitution’. </w:t>
      </w:r>
      <w:r w:rsidRPr="00A379C9">
        <w:rPr>
          <w:rFonts w:ascii="Times New Roman" w:hAnsi="Times New Roman" w:cs="Times New Roman"/>
          <w:i/>
          <w:iCs/>
        </w:rPr>
        <w:t>International Journal of Constitutional Law</w:t>
      </w:r>
      <w:r w:rsidRPr="00A379C9">
        <w:rPr>
          <w:rFonts w:ascii="Times New Roman" w:hAnsi="Times New Roman" w:cs="Times New Roman"/>
        </w:rPr>
        <w:t xml:space="preserve"> 8, no. 2 (2010): 237–62. </w:t>
      </w:r>
    </w:p>
    <w:p w14:paraId="53DCE744" w14:textId="77777777" w:rsidR="00A379C9" w:rsidRPr="00A379C9" w:rsidRDefault="00A379C9" w:rsidP="00A379C9">
      <w:pPr>
        <w:autoSpaceDE w:val="0"/>
        <w:autoSpaceDN w:val="0"/>
        <w:adjustRightInd w:val="0"/>
        <w:rPr>
          <w:rFonts w:ascii="Times New Roman" w:hAnsi="Times New Roman" w:cs="Times New Roman"/>
        </w:rPr>
      </w:pPr>
    </w:p>
    <w:p w14:paraId="01D87461" w14:textId="77777777" w:rsidR="00A379C9" w:rsidRP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 xml:space="preserve">Muir, R. 1940 [1930]. </w:t>
      </w:r>
      <w:r w:rsidRPr="00A379C9">
        <w:rPr>
          <w:rFonts w:ascii="Times New Roman" w:hAnsi="Times New Roman" w:cs="Times New Roman"/>
          <w:i/>
          <w:iCs/>
        </w:rPr>
        <w:t>How Britain is Governed</w:t>
      </w:r>
      <w:r w:rsidRPr="00A379C9">
        <w:rPr>
          <w:rFonts w:ascii="Times New Roman" w:hAnsi="Times New Roman" w:cs="Times New Roman"/>
        </w:rPr>
        <w:t xml:space="preserve">. London: Constable &amp; Co. </w:t>
      </w:r>
    </w:p>
    <w:p w14:paraId="295140A1" w14:textId="77777777" w:rsidR="00A379C9" w:rsidRPr="00A379C9" w:rsidRDefault="00A379C9" w:rsidP="00A379C9">
      <w:pPr>
        <w:autoSpaceDE w:val="0"/>
        <w:autoSpaceDN w:val="0"/>
        <w:adjustRightInd w:val="0"/>
        <w:rPr>
          <w:rFonts w:ascii="Times New Roman" w:hAnsi="Times New Roman" w:cs="Times New Roman"/>
        </w:rPr>
      </w:pPr>
    </w:p>
    <w:p w14:paraId="67F54C8E" w14:textId="0A375A5F" w:rsidR="00A379C9" w:rsidRPr="00A379C9" w:rsidRDefault="00A379C9" w:rsidP="00A379C9">
      <w:pPr>
        <w:autoSpaceDE w:val="0"/>
        <w:autoSpaceDN w:val="0"/>
        <w:adjustRightInd w:val="0"/>
        <w:rPr>
          <w:rFonts w:ascii="Times New Roman" w:hAnsi="Times New Roman" w:cs="Times New Roman"/>
          <w:b/>
          <w:bCs/>
        </w:rPr>
      </w:pPr>
      <w:proofErr w:type="spellStart"/>
      <w:r w:rsidRPr="001D563D">
        <w:rPr>
          <w:rFonts w:ascii="Times New Roman" w:hAnsi="Times New Roman" w:cs="Times New Roman"/>
        </w:rPr>
        <w:t>Newslaundry</w:t>
      </w:r>
      <w:proofErr w:type="spellEnd"/>
      <w:r w:rsidR="001D563D">
        <w:rPr>
          <w:rFonts w:ascii="Times New Roman" w:hAnsi="Times New Roman" w:cs="Times New Roman"/>
        </w:rPr>
        <w:t xml:space="preserve">. 2024. </w:t>
      </w:r>
      <w:r w:rsidRPr="001D563D">
        <w:rPr>
          <w:rFonts w:ascii="Times New Roman" w:hAnsi="Times New Roman" w:cs="Times New Roman"/>
        </w:rPr>
        <w:t xml:space="preserve">Bharti group’s Rs 150 crore bond donation to BJP coincided with Modi government’s telecom </w:t>
      </w:r>
      <w:proofErr w:type="spellStart"/>
      <w:r w:rsidRPr="001D563D">
        <w:rPr>
          <w:rFonts w:ascii="Times New Roman" w:hAnsi="Times New Roman" w:cs="Times New Roman"/>
        </w:rPr>
        <w:t>u-turn</w:t>
      </w:r>
      <w:proofErr w:type="spellEnd"/>
      <w:r w:rsidRPr="001D563D">
        <w:rPr>
          <w:rFonts w:ascii="Times New Roman" w:hAnsi="Times New Roman" w:cs="Times New Roman"/>
        </w:rPr>
        <w:t xml:space="preserve"> (27 March 2024). Available from: </w:t>
      </w:r>
      <w:hyperlink r:id="rId13" w:history="1">
        <w:r w:rsidRPr="00A379C9">
          <w:rPr>
            <w:rFonts w:ascii="Times New Roman" w:hAnsi="Times New Roman" w:cs="Times New Roman"/>
            <w:b/>
            <w:bCs/>
            <w:color w:val="DCA10D"/>
          </w:rPr>
          <w:t>https://www.newslaundry.com/2024/03/27/bharti-groups-rs-150-crore-bond-donation-to-bjp-coincided-with-modi-governments-telecom-u-turn</w:t>
        </w:r>
      </w:hyperlink>
    </w:p>
    <w:p w14:paraId="4CE9F99F" w14:textId="77777777" w:rsidR="00A379C9" w:rsidRDefault="00A379C9" w:rsidP="00A379C9">
      <w:pPr>
        <w:autoSpaceDE w:val="0"/>
        <w:autoSpaceDN w:val="0"/>
        <w:adjustRightInd w:val="0"/>
        <w:rPr>
          <w:rFonts w:ascii="Times New Roman" w:hAnsi="Times New Roman" w:cs="Times New Roman"/>
          <w:b/>
          <w:bCs/>
        </w:rPr>
      </w:pPr>
    </w:p>
    <w:p w14:paraId="403726C0" w14:textId="77836763" w:rsidR="00A379C9" w:rsidRDefault="00A379C9" w:rsidP="00A379C9">
      <w:pPr>
        <w:autoSpaceDE w:val="0"/>
        <w:autoSpaceDN w:val="0"/>
        <w:adjustRightInd w:val="0"/>
        <w:rPr>
          <w:rFonts w:ascii="Times New Roman" w:hAnsi="Times New Roman" w:cs="Times New Roman"/>
        </w:rPr>
      </w:pPr>
      <w:r>
        <w:rPr>
          <w:rFonts w:ascii="Times New Roman" w:hAnsi="Times New Roman" w:cs="Times New Roman"/>
        </w:rPr>
        <w:t xml:space="preserve">Parthasarathy, S. 2019. </w:t>
      </w:r>
      <w:r w:rsidRPr="00A379C9">
        <w:rPr>
          <w:rFonts w:ascii="Times New Roman" w:hAnsi="Times New Roman" w:cs="Times New Roman"/>
        </w:rPr>
        <w:t>Trickeries of the money bill</w:t>
      </w:r>
      <w:r>
        <w:rPr>
          <w:rFonts w:ascii="Times New Roman" w:hAnsi="Times New Roman" w:cs="Times New Roman"/>
        </w:rPr>
        <w:t xml:space="preserve"> (11 April 2019). Available from:  </w:t>
      </w:r>
      <w:hyperlink r:id="rId14" w:history="1">
        <w:r w:rsidRPr="0016794D">
          <w:rPr>
            <w:rStyle w:val="Hyperlink"/>
            <w:rFonts w:ascii="Times New Roman" w:hAnsi="Times New Roman" w:cs="Times New Roman"/>
          </w:rPr>
          <w:t>https://www.thehindu.com/opinion/lead/trickeries-of-the-money-bill/article26799226.ece</w:t>
        </w:r>
      </w:hyperlink>
      <w:r>
        <w:rPr>
          <w:rFonts w:ascii="Times New Roman" w:hAnsi="Times New Roman" w:cs="Times New Roman"/>
        </w:rPr>
        <w:t xml:space="preserve"> </w:t>
      </w:r>
    </w:p>
    <w:p w14:paraId="46451626" w14:textId="77777777" w:rsidR="00A379C9" w:rsidRPr="00A379C9" w:rsidRDefault="00A379C9" w:rsidP="00A379C9">
      <w:pPr>
        <w:autoSpaceDE w:val="0"/>
        <w:autoSpaceDN w:val="0"/>
        <w:adjustRightInd w:val="0"/>
        <w:rPr>
          <w:rFonts w:ascii="Times New Roman" w:hAnsi="Times New Roman" w:cs="Times New Roman"/>
        </w:rPr>
      </w:pPr>
    </w:p>
    <w:p w14:paraId="52C7C76F" w14:textId="44697084" w:rsidR="00A379C9" w:rsidRP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 xml:space="preserve">PRS Legislative Research. 2022. Vital Stats: Parliament functioning in Budget Session 2022 (7 April 2022). Available from: </w:t>
      </w:r>
      <w:hyperlink r:id="rId15" w:history="1">
        <w:r w:rsidRPr="00A379C9">
          <w:rPr>
            <w:rStyle w:val="Hyperlink"/>
            <w:rFonts w:ascii="Times New Roman" w:hAnsi="Times New Roman" w:cs="Times New Roman"/>
          </w:rPr>
          <w:t>https://prsindia.org/files/parliament/session_track/2022/vital_stats/Vital%20Stats-Budget%20Session%202022.pdf</w:t>
        </w:r>
      </w:hyperlink>
      <w:r w:rsidRPr="00A379C9">
        <w:rPr>
          <w:rFonts w:ascii="Times New Roman" w:hAnsi="Times New Roman" w:cs="Times New Roman"/>
        </w:rPr>
        <w:t xml:space="preserve"> </w:t>
      </w:r>
    </w:p>
    <w:p w14:paraId="418E66B4" w14:textId="77777777" w:rsidR="00A379C9" w:rsidRPr="00A379C9" w:rsidRDefault="00A379C9" w:rsidP="00A379C9">
      <w:pPr>
        <w:autoSpaceDE w:val="0"/>
        <w:autoSpaceDN w:val="0"/>
        <w:adjustRightInd w:val="0"/>
        <w:rPr>
          <w:rFonts w:ascii="Times New Roman" w:hAnsi="Times New Roman" w:cs="Times New Roman"/>
        </w:rPr>
      </w:pPr>
    </w:p>
    <w:p w14:paraId="17B8F210" w14:textId="39090382" w:rsidR="00A379C9" w:rsidRP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 xml:space="preserve">PRS Legislative Research. 2024. Vital Stats: Functioning of the 17th Lok Sabha (10 February 2024). Available from: </w:t>
      </w:r>
      <w:hyperlink r:id="rId16" w:history="1">
        <w:r w:rsidRPr="00A379C9">
          <w:rPr>
            <w:rStyle w:val="Hyperlink"/>
            <w:rFonts w:ascii="Times New Roman" w:hAnsi="Times New Roman" w:cs="Times New Roman"/>
          </w:rPr>
          <w:t>https://prsindia.org/files/parliament/vital_stats/Functioning-17th_Lok_Sabha.pdf</w:t>
        </w:r>
      </w:hyperlink>
      <w:r w:rsidRPr="00A379C9">
        <w:rPr>
          <w:rFonts w:ascii="Times New Roman" w:hAnsi="Times New Roman" w:cs="Times New Roman"/>
        </w:rPr>
        <w:t xml:space="preserve"> </w:t>
      </w:r>
    </w:p>
    <w:p w14:paraId="218CFBBE" w14:textId="77777777" w:rsidR="00A379C9" w:rsidRPr="00A379C9" w:rsidRDefault="00A379C9" w:rsidP="00A379C9">
      <w:pPr>
        <w:autoSpaceDE w:val="0"/>
        <w:autoSpaceDN w:val="0"/>
        <w:adjustRightInd w:val="0"/>
        <w:rPr>
          <w:rFonts w:ascii="Times New Roman" w:hAnsi="Times New Roman" w:cs="Times New Roman"/>
          <w:i/>
          <w:iCs/>
        </w:rPr>
      </w:pPr>
    </w:p>
    <w:p w14:paraId="72CAE515" w14:textId="5D52B7BC" w:rsidR="00A379C9" w:rsidRP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 xml:space="preserve">Ramkumar, M. &amp; Singh, A. 2022. The Road Not Taken: India's Failure to Entrench the Rights of the Opposition. </w:t>
      </w:r>
      <w:r w:rsidRPr="00A379C9">
        <w:rPr>
          <w:rFonts w:ascii="Times New Roman" w:hAnsi="Times New Roman" w:cs="Times New Roman"/>
          <w:i/>
          <w:iCs/>
        </w:rPr>
        <w:t xml:space="preserve">Comparative Constitutional Law and Administrative Law Journal </w:t>
      </w:r>
      <w:r w:rsidRPr="00A379C9">
        <w:rPr>
          <w:rFonts w:ascii="Times New Roman" w:hAnsi="Times New Roman" w:cs="Times New Roman"/>
        </w:rPr>
        <w:t>6(2): 55-86.</w:t>
      </w:r>
    </w:p>
    <w:p w14:paraId="706587D3" w14:textId="77777777" w:rsidR="00A379C9" w:rsidRPr="00A379C9" w:rsidRDefault="00A379C9" w:rsidP="00A379C9">
      <w:pPr>
        <w:autoSpaceDE w:val="0"/>
        <w:autoSpaceDN w:val="0"/>
        <w:adjustRightInd w:val="0"/>
        <w:rPr>
          <w:rFonts w:ascii="Times New Roman" w:hAnsi="Times New Roman" w:cs="Times New Roman"/>
        </w:rPr>
      </w:pPr>
    </w:p>
    <w:p w14:paraId="03989202" w14:textId="77777777" w:rsidR="00A379C9" w:rsidRPr="00A379C9" w:rsidRDefault="00A379C9" w:rsidP="00A379C9">
      <w:pPr>
        <w:autoSpaceDE w:val="0"/>
        <w:autoSpaceDN w:val="0"/>
        <w:adjustRightInd w:val="0"/>
        <w:rPr>
          <w:rFonts w:ascii="Times New Roman" w:hAnsi="Times New Roman" w:cs="Times New Roman"/>
        </w:rPr>
      </w:pPr>
    </w:p>
    <w:p w14:paraId="797069F8" w14:textId="2D29396E" w:rsidR="00A379C9" w:rsidRP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 xml:space="preserve">Russell, M., &amp; </w:t>
      </w:r>
      <w:proofErr w:type="spellStart"/>
      <w:r w:rsidRPr="00A379C9">
        <w:rPr>
          <w:rFonts w:ascii="Times New Roman" w:hAnsi="Times New Roman" w:cs="Times New Roman"/>
        </w:rPr>
        <w:t>Gover</w:t>
      </w:r>
      <w:proofErr w:type="spellEnd"/>
      <w:r w:rsidRPr="00A379C9">
        <w:rPr>
          <w:rFonts w:ascii="Times New Roman" w:hAnsi="Times New Roman" w:cs="Times New Roman"/>
        </w:rPr>
        <w:t xml:space="preserve">, D. (2017). Legislation at Westminster. Oxford: Oxford University Press. </w:t>
      </w:r>
    </w:p>
    <w:p w14:paraId="49353CCF" w14:textId="77777777" w:rsidR="00A379C9" w:rsidRPr="00A379C9" w:rsidRDefault="00A379C9" w:rsidP="00A379C9">
      <w:pPr>
        <w:autoSpaceDE w:val="0"/>
        <w:autoSpaceDN w:val="0"/>
        <w:adjustRightInd w:val="0"/>
        <w:rPr>
          <w:rFonts w:ascii="Times New Roman" w:hAnsi="Times New Roman" w:cs="Times New Roman"/>
        </w:rPr>
      </w:pPr>
    </w:p>
    <w:p w14:paraId="689E48ED" w14:textId="77777777" w:rsidR="00A379C9" w:rsidRP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Scroll. 2016. How do so many industrialists get into the Rajya Sabha? (21 March 2016). Available from:  https://scroll.in/article/805332/how-do-so-many-industrialists-get-into-the-rajya-sabha</w:t>
      </w:r>
    </w:p>
    <w:p w14:paraId="07A981E6" w14:textId="77777777" w:rsidR="00A379C9" w:rsidRPr="00A379C9" w:rsidRDefault="00A379C9" w:rsidP="00A379C9">
      <w:pPr>
        <w:autoSpaceDE w:val="0"/>
        <w:autoSpaceDN w:val="0"/>
        <w:adjustRightInd w:val="0"/>
        <w:rPr>
          <w:rFonts w:ascii="Times New Roman" w:hAnsi="Times New Roman" w:cs="Times New Roman"/>
          <w:u w:val="single"/>
        </w:rPr>
      </w:pPr>
    </w:p>
    <w:p w14:paraId="62FEC2D6" w14:textId="1A6AA0DA" w:rsidR="00A379C9" w:rsidRP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 xml:space="preserve">Selinger, W. 2019. </w:t>
      </w:r>
      <w:r w:rsidRPr="00A379C9">
        <w:rPr>
          <w:rFonts w:ascii="Times New Roman" w:hAnsi="Times New Roman" w:cs="Times New Roman"/>
          <w:i/>
          <w:iCs/>
        </w:rPr>
        <w:t xml:space="preserve">Parliamentarism: From Burke to Weber. </w:t>
      </w:r>
      <w:r w:rsidRPr="00A379C9">
        <w:rPr>
          <w:rFonts w:ascii="Times New Roman" w:hAnsi="Times New Roman" w:cs="Times New Roman"/>
        </w:rPr>
        <w:t xml:space="preserve">Cambridge: Cambridge University Press. </w:t>
      </w:r>
    </w:p>
    <w:p w14:paraId="6095C738" w14:textId="77777777" w:rsidR="00A379C9" w:rsidRPr="00A379C9" w:rsidRDefault="00A379C9" w:rsidP="00A379C9">
      <w:pPr>
        <w:autoSpaceDE w:val="0"/>
        <w:autoSpaceDN w:val="0"/>
        <w:adjustRightInd w:val="0"/>
        <w:rPr>
          <w:rFonts w:ascii="Times New Roman" w:hAnsi="Times New Roman" w:cs="Times New Roman"/>
        </w:rPr>
      </w:pPr>
    </w:p>
    <w:p w14:paraId="628586D9" w14:textId="77777777" w:rsidR="00A379C9" w:rsidRP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Supreme Court of India. 1992. KIHOTO HOLLOHAN v. ZACHILLHU. [1992] 1 SCR.</w:t>
      </w:r>
    </w:p>
    <w:p w14:paraId="37931D62" w14:textId="77777777" w:rsidR="00A379C9" w:rsidRP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 xml:space="preserve">Supreme Court of India. 2024. Association for Democratic Reforms v Union of India. 2024 INSC 113. </w:t>
      </w:r>
    </w:p>
    <w:p w14:paraId="7C3019FC" w14:textId="77777777" w:rsidR="00A379C9" w:rsidRPr="00A379C9" w:rsidRDefault="00A379C9" w:rsidP="00A379C9">
      <w:pPr>
        <w:autoSpaceDE w:val="0"/>
        <w:autoSpaceDN w:val="0"/>
        <w:adjustRightInd w:val="0"/>
        <w:rPr>
          <w:rFonts w:ascii="Times New Roman" w:hAnsi="Times New Roman" w:cs="Times New Roman"/>
        </w:rPr>
      </w:pPr>
    </w:p>
    <w:p w14:paraId="32D2CB86" w14:textId="080C3F20" w:rsidR="00A379C9" w:rsidRP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 xml:space="preserve">The Wire. Leader of Opposition is a Statutory Position, the '10% Rule' is Not Founded in Law (1 June 2019). Available from: </w:t>
      </w:r>
      <w:hyperlink r:id="rId17" w:history="1">
        <w:r w:rsidRPr="00A379C9">
          <w:rPr>
            <w:rStyle w:val="Hyperlink"/>
            <w:rFonts w:ascii="Times New Roman" w:hAnsi="Times New Roman" w:cs="Times New Roman"/>
          </w:rPr>
          <w:t>https://thewire.in/government/leader-of-opposition-parliament-lok-sabha</w:t>
        </w:r>
      </w:hyperlink>
      <w:r w:rsidRPr="00A379C9">
        <w:rPr>
          <w:rFonts w:ascii="Times New Roman" w:hAnsi="Times New Roman" w:cs="Times New Roman"/>
        </w:rPr>
        <w:t xml:space="preserve"> </w:t>
      </w:r>
    </w:p>
    <w:p w14:paraId="58C574A1" w14:textId="77777777" w:rsidR="00A379C9" w:rsidRPr="00A379C9" w:rsidRDefault="00A379C9" w:rsidP="00A379C9">
      <w:pPr>
        <w:autoSpaceDE w:val="0"/>
        <w:autoSpaceDN w:val="0"/>
        <w:adjustRightInd w:val="0"/>
        <w:rPr>
          <w:rFonts w:ascii="Times New Roman" w:hAnsi="Times New Roman" w:cs="Times New Roman"/>
        </w:rPr>
      </w:pPr>
    </w:p>
    <w:p w14:paraId="21DAF752" w14:textId="77777777" w:rsidR="00A379C9" w:rsidRPr="00A379C9" w:rsidRDefault="00A379C9" w:rsidP="00A379C9">
      <w:pPr>
        <w:autoSpaceDE w:val="0"/>
        <w:autoSpaceDN w:val="0"/>
        <w:adjustRightInd w:val="0"/>
        <w:jc w:val="both"/>
        <w:rPr>
          <w:rFonts w:ascii="Times New Roman" w:hAnsi="Times New Roman" w:cs="Times New Roman"/>
        </w:rPr>
      </w:pPr>
      <w:r w:rsidRPr="00A379C9">
        <w:rPr>
          <w:rFonts w:ascii="Times New Roman" w:hAnsi="Times New Roman" w:cs="Times New Roman"/>
        </w:rPr>
        <w:t xml:space="preserve">Thompson L. (2015). </w:t>
      </w:r>
      <w:r w:rsidRPr="00A379C9">
        <w:rPr>
          <w:rFonts w:ascii="Times New Roman" w:hAnsi="Times New Roman" w:cs="Times New Roman"/>
          <w:i/>
          <w:iCs/>
        </w:rPr>
        <w:t>Making British Law Committees in Action</w:t>
      </w:r>
      <w:r w:rsidRPr="00A379C9">
        <w:rPr>
          <w:rFonts w:ascii="Times New Roman" w:hAnsi="Times New Roman" w:cs="Times New Roman"/>
        </w:rPr>
        <w:t xml:space="preserve">. Basingstoke: Palgrave Macmillan, 48. </w:t>
      </w:r>
    </w:p>
    <w:p w14:paraId="2E246DC3" w14:textId="77777777" w:rsidR="00A379C9" w:rsidRPr="00A379C9" w:rsidRDefault="00A379C9" w:rsidP="00A379C9">
      <w:pPr>
        <w:autoSpaceDE w:val="0"/>
        <w:autoSpaceDN w:val="0"/>
        <w:adjustRightInd w:val="0"/>
        <w:jc w:val="both"/>
        <w:rPr>
          <w:rFonts w:ascii="Times New Roman" w:hAnsi="Times New Roman" w:cs="Times New Roman"/>
        </w:rPr>
      </w:pPr>
    </w:p>
    <w:p w14:paraId="684EB989" w14:textId="77777777" w:rsidR="00A379C9" w:rsidRP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 xml:space="preserve">Vergara, C (2020) </w:t>
      </w:r>
      <w:r w:rsidRPr="00A379C9">
        <w:rPr>
          <w:rFonts w:ascii="Times New Roman" w:hAnsi="Times New Roman" w:cs="Times New Roman"/>
          <w:i/>
          <w:iCs/>
        </w:rPr>
        <w:t>Systemic Corruption: Constitutional Ideas for an Anti-Oligarchic Republic</w:t>
      </w:r>
      <w:r w:rsidRPr="00A379C9">
        <w:rPr>
          <w:rFonts w:ascii="Times New Roman" w:hAnsi="Times New Roman" w:cs="Times New Roman"/>
        </w:rPr>
        <w:t>. Princeton: Princeton University Press</w:t>
      </w:r>
    </w:p>
    <w:p w14:paraId="7955EBDD" w14:textId="77777777" w:rsidR="00A379C9" w:rsidRPr="00A379C9" w:rsidRDefault="00A379C9" w:rsidP="00A379C9">
      <w:pPr>
        <w:autoSpaceDE w:val="0"/>
        <w:autoSpaceDN w:val="0"/>
        <w:adjustRightInd w:val="0"/>
        <w:rPr>
          <w:rFonts w:ascii="Times New Roman" w:hAnsi="Times New Roman" w:cs="Times New Roman"/>
        </w:rPr>
      </w:pPr>
    </w:p>
    <w:p w14:paraId="2F30B82E" w14:textId="77777777" w:rsidR="00A379C9" w:rsidRP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 xml:space="preserve">Waldron. J. 1995. ‘The Dignity of Legislation’. </w:t>
      </w:r>
      <w:r w:rsidRPr="00A379C9">
        <w:rPr>
          <w:rFonts w:ascii="Times New Roman" w:hAnsi="Times New Roman" w:cs="Times New Roman"/>
          <w:i/>
          <w:iCs/>
        </w:rPr>
        <w:t xml:space="preserve">Maryland Law Review </w:t>
      </w:r>
      <w:r w:rsidRPr="00A379C9">
        <w:rPr>
          <w:rFonts w:ascii="Times New Roman" w:hAnsi="Times New Roman" w:cs="Times New Roman"/>
        </w:rPr>
        <w:t>54, no. 2: 633-655.</w:t>
      </w:r>
    </w:p>
    <w:p w14:paraId="599129DE" w14:textId="77777777" w:rsidR="00A379C9" w:rsidRPr="00A379C9" w:rsidRDefault="00A379C9" w:rsidP="00A379C9">
      <w:pPr>
        <w:autoSpaceDE w:val="0"/>
        <w:autoSpaceDN w:val="0"/>
        <w:adjustRightInd w:val="0"/>
        <w:rPr>
          <w:rFonts w:ascii="Times New Roman" w:hAnsi="Times New Roman" w:cs="Times New Roman"/>
        </w:rPr>
      </w:pPr>
    </w:p>
    <w:p w14:paraId="7B167667" w14:textId="77777777" w:rsidR="00A379C9" w:rsidRP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 xml:space="preserve">White, J., &amp; </w:t>
      </w:r>
      <w:proofErr w:type="spellStart"/>
      <w:r w:rsidRPr="00A379C9">
        <w:rPr>
          <w:rFonts w:ascii="Times New Roman" w:hAnsi="Times New Roman" w:cs="Times New Roman"/>
        </w:rPr>
        <w:t>Ypi</w:t>
      </w:r>
      <w:proofErr w:type="spellEnd"/>
      <w:r w:rsidRPr="00A379C9">
        <w:rPr>
          <w:rFonts w:ascii="Times New Roman" w:hAnsi="Times New Roman" w:cs="Times New Roman"/>
        </w:rPr>
        <w:t xml:space="preserve">, L. (2016). The meaning of partisanship. Oxford: Oxford University Press. </w:t>
      </w:r>
    </w:p>
    <w:p w14:paraId="6B0547E3" w14:textId="77777777" w:rsidR="00A379C9" w:rsidRPr="00A379C9" w:rsidRDefault="00A379C9" w:rsidP="00A379C9">
      <w:pPr>
        <w:autoSpaceDE w:val="0"/>
        <w:autoSpaceDN w:val="0"/>
        <w:adjustRightInd w:val="0"/>
        <w:rPr>
          <w:rFonts w:ascii="Times New Roman" w:hAnsi="Times New Roman" w:cs="Times New Roman"/>
        </w:rPr>
      </w:pPr>
    </w:p>
    <w:p w14:paraId="27C94861" w14:textId="77777777" w:rsidR="00A379C9" w:rsidRPr="00A379C9" w:rsidRDefault="00A379C9" w:rsidP="00A379C9">
      <w:pPr>
        <w:autoSpaceDE w:val="0"/>
        <w:autoSpaceDN w:val="0"/>
        <w:adjustRightInd w:val="0"/>
        <w:rPr>
          <w:rFonts w:ascii="Times New Roman" w:hAnsi="Times New Roman" w:cs="Times New Roman"/>
        </w:rPr>
      </w:pPr>
      <w:r w:rsidRPr="00A379C9">
        <w:rPr>
          <w:rFonts w:ascii="Times New Roman" w:hAnsi="Times New Roman" w:cs="Times New Roman"/>
        </w:rPr>
        <w:t xml:space="preserve">Winters, J. 2011. </w:t>
      </w:r>
      <w:r w:rsidRPr="00A379C9">
        <w:rPr>
          <w:rFonts w:ascii="Times New Roman" w:hAnsi="Times New Roman" w:cs="Times New Roman"/>
          <w:i/>
          <w:iCs/>
        </w:rPr>
        <w:t>Oligarchy</w:t>
      </w:r>
      <w:r w:rsidRPr="00A379C9">
        <w:rPr>
          <w:rFonts w:ascii="Times New Roman" w:hAnsi="Times New Roman" w:cs="Times New Roman"/>
        </w:rPr>
        <w:t>. Cambridge: Cambridge University Press.</w:t>
      </w:r>
    </w:p>
    <w:p w14:paraId="73BAB447" w14:textId="77777777" w:rsidR="00A379C9" w:rsidRPr="00A379C9" w:rsidRDefault="00A379C9" w:rsidP="002409A4">
      <w:pPr>
        <w:jc w:val="both"/>
        <w:rPr>
          <w:rFonts w:ascii="Times New Roman" w:hAnsi="Times New Roman" w:cs="Times New Roman"/>
          <w:b/>
          <w:bCs/>
        </w:rPr>
      </w:pPr>
    </w:p>
    <w:sectPr w:rsidR="00A379C9" w:rsidRPr="00A379C9" w:rsidSect="0055303D">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FB3C7" w14:textId="77777777" w:rsidR="00036729" w:rsidRDefault="00036729" w:rsidP="00AF176A">
      <w:r>
        <w:separator/>
      </w:r>
    </w:p>
  </w:endnote>
  <w:endnote w:type="continuationSeparator" w:id="0">
    <w:p w14:paraId="304B5ECE" w14:textId="77777777" w:rsidR="00036729" w:rsidRDefault="00036729" w:rsidP="00AF1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askerville">
    <w:panose1 w:val="02020502070401020303"/>
    <w:charset w:val="00"/>
    <w:family w:val="roman"/>
    <w:pitch w:val="variable"/>
    <w:sig w:usb0="80000067" w:usb1="02000000"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79481507"/>
      <w:docPartObj>
        <w:docPartGallery w:val="Page Numbers (Bottom of Page)"/>
        <w:docPartUnique/>
      </w:docPartObj>
    </w:sdtPr>
    <w:sdtContent>
      <w:p w14:paraId="54EB43C9" w14:textId="349D5E89" w:rsidR="005869C3" w:rsidRDefault="005869C3" w:rsidP="0016794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E7C9B6" w14:textId="77777777" w:rsidR="00CB4FF7" w:rsidRDefault="00CB4FF7" w:rsidP="005869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9897095"/>
      <w:docPartObj>
        <w:docPartGallery w:val="Page Numbers (Bottom of Page)"/>
        <w:docPartUnique/>
      </w:docPartObj>
    </w:sdtPr>
    <w:sdtContent>
      <w:p w14:paraId="4B9E66C6" w14:textId="23E3A8FB" w:rsidR="005869C3" w:rsidRDefault="005869C3" w:rsidP="0016794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57121E1D" w14:textId="77777777" w:rsidR="00CB4FF7" w:rsidRDefault="00CB4FF7" w:rsidP="005869C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1D92A" w14:textId="77777777" w:rsidR="00CB4FF7" w:rsidRDefault="00CB4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C8711" w14:textId="77777777" w:rsidR="00036729" w:rsidRDefault="00036729" w:rsidP="00AF176A">
      <w:r>
        <w:separator/>
      </w:r>
    </w:p>
  </w:footnote>
  <w:footnote w:type="continuationSeparator" w:id="0">
    <w:p w14:paraId="52956046" w14:textId="77777777" w:rsidR="00036729" w:rsidRDefault="00036729" w:rsidP="00AF176A">
      <w:r>
        <w:continuationSeparator/>
      </w:r>
    </w:p>
  </w:footnote>
  <w:footnote w:id="1">
    <w:p w14:paraId="0EF8A226" w14:textId="77777777" w:rsidR="00AF176A" w:rsidRPr="00655C6A" w:rsidRDefault="00AF176A" w:rsidP="00AF176A">
      <w:pPr>
        <w:pStyle w:val="FootnoteText"/>
        <w:rPr>
          <w:rFonts w:ascii="Baskerville" w:hAnsi="Baskerville"/>
        </w:rPr>
      </w:pPr>
      <w:r w:rsidRPr="00655C6A">
        <w:rPr>
          <w:rStyle w:val="FootnoteReference"/>
          <w:rFonts w:ascii="Baskerville" w:hAnsi="Baskerville"/>
        </w:rPr>
        <w:footnoteRef/>
      </w:r>
      <w:r w:rsidRPr="00655C6A">
        <w:rPr>
          <w:rFonts w:ascii="Baskerville" w:hAnsi="Baskerville"/>
        </w:rPr>
        <w:t xml:space="preserve"> </w:t>
      </w:r>
      <w:r w:rsidRPr="00655C6A">
        <w:rPr>
          <w:rFonts w:ascii="Baskerville" w:hAnsi="Baskerville"/>
          <w:i/>
        </w:rPr>
        <w:t>Anil Thomas v Indian National Congress</w:t>
      </w:r>
      <w:r w:rsidRPr="00655C6A">
        <w:rPr>
          <w:rFonts w:ascii="Baskerville" w:hAnsi="Baskerville"/>
        </w:rPr>
        <w:t xml:space="preserve"> in the High Court of Kerala, Civil Writ Petition No.31413 of 2017 (B), 6</w:t>
      </w:r>
      <w:r w:rsidRPr="00655C6A">
        <w:rPr>
          <w:rFonts w:ascii="Baskerville" w:hAnsi="Baskerville"/>
          <w:vertAlign w:val="superscript"/>
        </w:rPr>
        <w:t xml:space="preserve"> </w:t>
      </w:r>
      <w:r w:rsidRPr="00655C6A">
        <w:rPr>
          <w:rFonts w:ascii="Baskerville" w:hAnsi="Baskerville"/>
        </w:rPr>
        <w:t xml:space="preserve">December 2017, para 21. </w:t>
      </w:r>
    </w:p>
  </w:footnote>
  <w:footnote w:id="2">
    <w:p w14:paraId="73715070" w14:textId="77777777" w:rsidR="00AF176A" w:rsidRDefault="00AF176A" w:rsidP="00AF176A">
      <w:pPr>
        <w:pStyle w:val="FootnoteText"/>
      </w:pPr>
      <w:r w:rsidRPr="00655C6A">
        <w:rPr>
          <w:rStyle w:val="FootnoteReference"/>
          <w:rFonts w:ascii="Baskerville" w:hAnsi="Baskerville"/>
        </w:rPr>
        <w:footnoteRef/>
      </w:r>
      <w:r w:rsidRPr="00655C6A">
        <w:rPr>
          <w:rFonts w:ascii="Baskerville" w:hAnsi="Baskerville"/>
        </w:rPr>
        <w:t xml:space="preserve"> </w:t>
      </w:r>
      <w:r w:rsidRPr="00E85770">
        <w:rPr>
          <w:rFonts w:ascii="Baskerville" w:hAnsi="Baskerville"/>
          <w:i/>
        </w:rPr>
        <w:t>Ibid</w:t>
      </w:r>
      <w:r w:rsidRPr="00655C6A">
        <w:rPr>
          <w:rFonts w:ascii="Baskerville" w:hAnsi="Baskerville"/>
        </w:rPr>
        <w:t>., para 22.</w:t>
      </w:r>
      <w:r>
        <w:t xml:space="preserve"> </w:t>
      </w:r>
    </w:p>
  </w:footnote>
  <w:footnote w:id="3">
    <w:p w14:paraId="5D27C136" w14:textId="77777777" w:rsidR="00AF176A" w:rsidRPr="0007572A" w:rsidRDefault="00AF176A" w:rsidP="00AF176A">
      <w:pPr>
        <w:pStyle w:val="FootnoteText"/>
        <w:spacing w:line="276" w:lineRule="auto"/>
        <w:jc w:val="both"/>
        <w:rPr>
          <w:rFonts w:ascii="Times New Roman" w:hAnsi="Times New Roman" w:cs="Times New Roman"/>
        </w:rPr>
      </w:pPr>
      <w:r w:rsidRPr="0007572A">
        <w:rPr>
          <w:rStyle w:val="FootnoteReference"/>
          <w:rFonts w:ascii="Times New Roman" w:hAnsi="Times New Roman" w:cs="Times New Roman"/>
        </w:rPr>
        <w:footnoteRef/>
      </w:r>
      <w:r w:rsidRPr="0007572A">
        <w:rPr>
          <w:rFonts w:ascii="Times New Roman" w:hAnsi="Times New Roman" w:cs="Times New Roman"/>
        </w:rPr>
        <w:t xml:space="preserve"> For examples of citizens’ involvement in legislative processes, see Hendriks, C. and Kay, A. (2017). From ‘Opening Up’ to Democratic Renewal: Deepening Public Engagement in Legislative. </w:t>
      </w:r>
      <w:r w:rsidRPr="0007572A">
        <w:rPr>
          <w:rFonts w:ascii="Times New Roman" w:hAnsi="Times New Roman" w:cs="Times New Roman"/>
          <w:i/>
        </w:rPr>
        <w:t>Government and Opposition.</w:t>
      </w:r>
      <w:r w:rsidRPr="0007572A">
        <w:rPr>
          <w:rFonts w:ascii="Times New Roman" w:hAnsi="Times New Roman" w:cs="Times New Roman"/>
        </w:rPr>
        <w:t xml:space="preserve"> </w:t>
      </w:r>
      <w:proofErr w:type="spellStart"/>
      <w:r w:rsidRPr="0007572A">
        <w:rPr>
          <w:rFonts w:ascii="Times New Roman" w:hAnsi="Times New Roman" w:cs="Times New Roman"/>
        </w:rPr>
        <w:t>OnlineFirst</w:t>
      </w:r>
      <w:proofErr w:type="spellEnd"/>
      <w:r w:rsidRPr="0007572A">
        <w:rPr>
          <w:rFonts w:ascii="Times New Roman" w:hAnsi="Times New Roman" w:cs="Times New Roman"/>
        </w:rPr>
        <w:t xml:space="preserve">: 07 August 2017, 15-16. </w:t>
      </w:r>
    </w:p>
  </w:footnote>
  <w:footnote w:id="4">
    <w:p w14:paraId="55E57104" w14:textId="77777777" w:rsidR="00AF176A" w:rsidRPr="009C782C" w:rsidRDefault="00AF176A" w:rsidP="009C782C">
      <w:pPr>
        <w:pStyle w:val="NoSpacing"/>
        <w:rPr>
          <w:rFonts w:ascii="Times New Roman" w:hAnsi="Times New Roman" w:cs="Times New Roman"/>
          <w:sz w:val="20"/>
          <w:szCs w:val="20"/>
        </w:rPr>
      </w:pPr>
      <w:r w:rsidRPr="009C782C">
        <w:rPr>
          <w:rStyle w:val="FootnoteReference"/>
          <w:rFonts w:ascii="Times New Roman" w:hAnsi="Times New Roman" w:cs="Times New Roman"/>
          <w:sz w:val="20"/>
          <w:szCs w:val="20"/>
        </w:rPr>
        <w:footnoteRef/>
      </w:r>
      <w:r w:rsidRPr="009C782C">
        <w:rPr>
          <w:rFonts w:ascii="Times New Roman" w:hAnsi="Times New Roman" w:cs="Times New Roman"/>
          <w:sz w:val="20"/>
          <w:szCs w:val="20"/>
        </w:rPr>
        <w:t xml:space="preserve"> AN INTRODUCTORY GUIDE: DEPARTMENTALLY RELATED STANDING COMMITTEES, New Delhi: Lok Sabha Secretariat, p. 12).</w:t>
      </w:r>
    </w:p>
  </w:footnote>
  <w:footnote w:id="5">
    <w:p w14:paraId="6F7C958E" w14:textId="5D378853" w:rsidR="009C782C" w:rsidRPr="00A379C9" w:rsidRDefault="009C782C">
      <w:pPr>
        <w:pStyle w:val="FootnoteText"/>
        <w:rPr>
          <w:color w:val="000000" w:themeColor="text1"/>
        </w:rPr>
      </w:pPr>
      <w:r w:rsidRPr="00A379C9">
        <w:rPr>
          <w:rStyle w:val="FootnoteReference"/>
          <w:color w:val="000000" w:themeColor="text1"/>
        </w:rPr>
        <w:footnoteRef/>
      </w:r>
      <w:r w:rsidRPr="00A379C9">
        <w:rPr>
          <w:color w:val="000000" w:themeColor="text1"/>
        </w:rPr>
        <w:t xml:space="preserve"> James Harrington, </w:t>
      </w:r>
      <w:r w:rsidRPr="00A379C9">
        <w:rPr>
          <w:i/>
          <w:iCs/>
          <w:color w:val="000000" w:themeColor="text1"/>
        </w:rPr>
        <w:t xml:space="preserve">The Commonwealth of </w:t>
      </w:r>
      <w:proofErr w:type="spellStart"/>
      <w:proofErr w:type="gramStart"/>
      <w:r w:rsidRPr="00A379C9">
        <w:rPr>
          <w:i/>
          <w:iCs/>
          <w:color w:val="000000" w:themeColor="text1"/>
        </w:rPr>
        <w:t>Oceana</w:t>
      </w:r>
      <w:proofErr w:type="spellEnd"/>
      <w:proofErr w:type="gramEnd"/>
      <w:r w:rsidRPr="00A379C9">
        <w:rPr>
          <w:i/>
          <w:iCs/>
          <w:color w:val="000000" w:themeColor="text1"/>
        </w:rPr>
        <w:t xml:space="preserve"> and a System of Politics</w:t>
      </w:r>
      <w:r w:rsidRPr="00A379C9">
        <w:rPr>
          <w:color w:val="000000" w:themeColor="text1"/>
        </w:rPr>
        <w:t xml:space="preserve"> 142, 38 (J.G.A. Pocock ed., 1992); David Hume, </w:t>
      </w:r>
      <w:r w:rsidRPr="00A379C9">
        <w:rPr>
          <w:i/>
          <w:iCs/>
          <w:color w:val="000000" w:themeColor="text1"/>
        </w:rPr>
        <w:t>Essay: Moral, Political and Literar</w:t>
      </w:r>
      <w:r w:rsidRPr="00A379C9">
        <w:rPr>
          <w:color w:val="000000" w:themeColor="text1"/>
        </w:rPr>
        <w:t>y 522–3 (Eugene Miller ed., Liberty Fund 1985).</w:t>
      </w:r>
    </w:p>
  </w:footnote>
  <w:footnote w:id="6">
    <w:p w14:paraId="5D3443B1" w14:textId="4521AAC6" w:rsidR="009C782C" w:rsidRDefault="009C782C">
      <w:pPr>
        <w:pStyle w:val="FootnoteText"/>
      </w:pPr>
      <w:r w:rsidRPr="00A379C9">
        <w:rPr>
          <w:rStyle w:val="FootnoteReference"/>
          <w:color w:val="000000" w:themeColor="text1"/>
        </w:rPr>
        <w:footnoteRef/>
      </w:r>
      <w:r w:rsidRPr="00A379C9">
        <w:rPr>
          <w:color w:val="000000" w:themeColor="text1"/>
        </w:rPr>
        <w:t xml:space="preserve"> The Federalist No. 10, at 53 (James Madison) (Lawrence Goldman ed., 2008); James Madison, [May 31, 1787], in 1 the Records of the Federal Convention, 45.</w:t>
      </w:r>
    </w:p>
  </w:footnote>
  <w:footnote w:id="7">
    <w:p w14:paraId="748F27A8" w14:textId="2E25A7CE" w:rsidR="009C782C" w:rsidRDefault="009C782C">
      <w:pPr>
        <w:pStyle w:val="FootnoteText"/>
      </w:pPr>
      <w:r>
        <w:rPr>
          <w:rStyle w:val="FootnoteReference"/>
        </w:rPr>
        <w:footnoteRef/>
      </w:r>
      <w:r>
        <w:t xml:space="preserve"> </w:t>
      </w:r>
      <w:r w:rsidRPr="009C782C">
        <w:t>HC De</w:t>
      </w:r>
      <w:r>
        <w:t>b</w:t>
      </w:r>
      <w:r w:rsidRPr="009C782C">
        <w:t xml:space="preserve"> (10 Dec. 1934) (296) col. 90 (Viscount </w:t>
      </w:r>
      <w:proofErr w:type="spellStart"/>
      <w:r w:rsidRPr="009C782C">
        <w:t>Wolmer</w:t>
      </w:r>
      <w:proofErr w:type="spellEnd"/>
      <w:r w:rsidRPr="009C782C">
        <w:t>) (UK).</w:t>
      </w:r>
    </w:p>
    <w:p w14:paraId="171FC1F0" w14:textId="77777777" w:rsidR="009C782C" w:rsidRDefault="009C782C">
      <w:pPr>
        <w:pStyle w:val="FootnoteText"/>
      </w:pPr>
    </w:p>
  </w:footnote>
  <w:footnote w:id="8">
    <w:p w14:paraId="3D067FF1" w14:textId="0C7FF1EE" w:rsidR="005869C3" w:rsidRDefault="005869C3" w:rsidP="005869C3">
      <w:pPr>
        <w:pStyle w:val="FootnoteText"/>
        <w:jc w:val="both"/>
      </w:pPr>
      <w:r>
        <w:rPr>
          <w:rStyle w:val="FootnoteReference"/>
        </w:rPr>
        <w:footnoteRef/>
      </w:r>
      <w:r>
        <w:t xml:space="preserve"> As I have argued elsewhere (Bhatia 2022), the Rajya Sabha, like other second chambers, is a complex body which tries to achieve many ends. My reading is compatible with the idea that the Rajya Sabha is primarily intended to serve as a “federalist” component in Indian parliament. However, it pushes back against the suggestion that </w:t>
      </w:r>
      <w:r w:rsidRPr="005869C3">
        <w:rPr>
          <w:i/>
          <w:iCs/>
        </w:rPr>
        <w:t>indirect election</w:t>
      </w:r>
      <w:r>
        <w:t xml:space="preserve"> is a mechanism for that </w:t>
      </w:r>
      <w:proofErr w:type="gramStart"/>
      <w:r>
        <w:t>particular end</w:t>
      </w:r>
      <w:proofErr w:type="gramEnd"/>
      <w:r>
        <w:t>, rather than a different end (</w:t>
      </w:r>
      <w:proofErr w:type="spellStart"/>
      <w:r>
        <w:t>ie</w:t>
      </w:r>
      <w:proofErr w:type="spellEnd"/>
      <w:r>
        <w:t xml:space="preserve"> </w:t>
      </w:r>
      <w:proofErr w:type="spellStart"/>
      <w:r>
        <w:t>epistocratic</w:t>
      </w:r>
      <w:proofErr w:type="spellEnd"/>
      <w:r>
        <w:t xml:space="preserve"> protection against less capable citizens). </w:t>
      </w:r>
    </w:p>
    <w:p w14:paraId="4F597FAD" w14:textId="77777777" w:rsidR="005869C3" w:rsidRDefault="005869C3">
      <w:pPr>
        <w:pStyle w:val="FootnoteText"/>
      </w:pPr>
    </w:p>
  </w:footnote>
  <w:footnote w:id="9">
    <w:p w14:paraId="169EE12C" w14:textId="06A162E7" w:rsidR="00AF079B" w:rsidRDefault="00AF079B">
      <w:pPr>
        <w:pStyle w:val="FootnoteText"/>
      </w:pPr>
      <w:r>
        <w:rPr>
          <w:rStyle w:val="FootnoteReference"/>
        </w:rPr>
        <w:footnoteRef/>
      </w:r>
      <w:r>
        <w:t xml:space="preserve"> </w:t>
      </w:r>
      <w:r w:rsidRPr="00AF079B">
        <w:t>J Coakley, 'Ireland's Unique Electoral Experiment: The Senate Election of 1925' (2005) 20(3) Irish Political Studies 231, 236.</w:t>
      </w:r>
    </w:p>
  </w:footnote>
  <w:footnote w:id="10">
    <w:p w14:paraId="17EF0CE2" w14:textId="77777777" w:rsidR="00A379C9" w:rsidRDefault="00A379C9" w:rsidP="00A379C9">
      <w:pPr>
        <w:pStyle w:val="FootnoteText"/>
      </w:pPr>
      <w:r>
        <w:rPr>
          <w:rStyle w:val="FootnoteReference"/>
        </w:rPr>
        <w:footnoteRef/>
      </w:r>
      <w:r>
        <w:t xml:space="preserve"> Report of the Commission on Vocational Organisation 1943, cited in Report on the Committee on the Constitution (Dublin: Stationery Press, 1967), 128. </w:t>
      </w:r>
    </w:p>
  </w:footnote>
  <w:footnote w:id="11">
    <w:p w14:paraId="36660DC2" w14:textId="77777777" w:rsidR="002409A4" w:rsidRPr="008E5447" w:rsidRDefault="002409A4" w:rsidP="002409A4">
      <w:pPr>
        <w:rPr>
          <w:rFonts w:ascii="Times New Roman" w:hAnsi="Times New Roman" w:cs="Times New Roman"/>
        </w:rPr>
      </w:pPr>
      <w:r>
        <w:rPr>
          <w:rStyle w:val="FootnoteReference"/>
        </w:rPr>
        <w:footnoteRef/>
      </w:r>
      <w:r>
        <w:t xml:space="preserve"> </w:t>
      </w:r>
      <w:r w:rsidRPr="008E5447">
        <w:rPr>
          <w:rFonts w:ascii="Times New Roman" w:hAnsi="Times New Roman" w:cs="Times New Roman"/>
        </w:rPr>
        <w:t xml:space="preserve">The process for elections to the Rajya Sabha reinforces the strong hold that political parties enjoy in determining the composition of India’s second chamber. </w:t>
      </w:r>
      <w:r>
        <w:rPr>
          <w:rFonts w:ascii="Times New Roman" w:hAnsi="Times New Roman" w:cs="Times New Roman"/>
        </w:rPr>
        <w:t xml:space="preserve">Until 2003, elections to the Rajya Sabha took place through a secret ballot. An amendment to the voting rules, however, has made it compulsory for state legislators to disclose their vote to agents appointed by their respective parties. As such, even though the anti-defection law is inapplicable to Rajya Sabha elections, parties continue to exercise strong control over these elections.   </w:t>
      </w:r>
    </w:p>
    <w:p w14:paraId="042AA339" w14:textId="77777777" w:rsidR="002409A4" w:rsidRDefault="002409A4" w:rsidP="002409A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F6BC6" w14:textId="77777777" w:rsidR="00CB4FF7" w:rsidRDefault="00CB4F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A1408" w14:textId="77777777" w:rsidR="00CB4FF7" w:rsidRDefault="00CB4F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FD5CA" w14:textId="77777777" w:rsidR="00CB4FF7" w:rsidRDefault="00CB4F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A0058"/>
    <w:multiLevelType w:val="hybridMultilevel"/>
    <w:tmpl w:val="AE28B4CC"/>
    <w:lvl w:ilvl="0" w:tplc="9AEA91C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FE63E0"/>
    <w:multiLevelType w:val="hybridMultilevel"/>
    <w:tmpl w:val="5ED4828E"/>
    <w:lvl w:ilvl="0" w:tplc="3C62D2F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9638F2"/>
    <w:multiLevelType w:val="hybridMultilevel"/>
    <w:tmpl w:val="B19415BE"/>
    <w:lvl w:ilvl="0" w:tplc="6450BD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3E30FCC"/>
    <w:multiLevelType w:val="hybridMultilevel"/>
    <w:tmpl w:val="D8D023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51775883">
    <w:abstractNumId w:val="2"/>
  </w:num>
  <w:num w:numId="2" w16cid:durableId="1265651986">
    <w:abstractNumId w:val="3"/>
  </w:num>
  <w:num w:numId="3" w16cid:durableId="1044600287">
    <w:abstractNumId w:val="1"/>
  </w:num>
  <w:num w:numId="4" w16cid:durableId="527262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76A"/>
    <w:rsid w:val="00036729"/>
    <w:rsid w:val="000D6E09"/>
    <w:rsid w:val="00143B03"/>
    <w:rsid w:val="001D563D"/>
    <w:rsid w:val="002409A4"/>
    <w:rsid w:val="002539DB"/>
    <w:rsid w:val="00255854"/>
    <w:rsid w:val="002D66FB"/>
    <w:rsid w:val="003B619C"/>
    <w:rsid w:val="003E34A0"/>
    <w:rsid w:val="004E7BCE"/>
    <w:rsid w:val="004F07A2"/>
    <w:rsid w:val="004F5F6C"/>
    <w:rsid w:val="0055303D"/>
    <w:rsid w:val="005869C3"/>
    <w:rsid w:val="005E2D11"/>
    <w:rsid w:val="0066529E"/>
    <w:rsid w:val="006A1E46"/>
    <w:rsid w:val="0075178F"/>
    <w:rsid w:val="007874BE"/>
    <w:rsid w:val="00842F98"/>
    <w:rsid w:val="00894774"/>
    <w:rsid w:val="008B4C78"/>
    <w:rsid w:val="009C782C"/>
    <w:rsid w:val="009D0D98"/>
    <w:rsid w:val="00A379C9"/>
    <w:rsid w:val="00A57236"/>
    <w:rsid w:val="00A67246"/>
    <w:rsid w:val="00AF079B"/>
    <w:rsid w:val="00AF176A"/>
    <w:rsid w:val="00B44310"/>
    <w:rsid w:val="00B51B98"/>
    <w:rsid w:val="00C92613"/>
    <w:rsid w:val="00CA7FEC"/>
    <w:rsid w:val="00CB4FF7"/>
    <w:rsid w:val="00CE692D"/>
    <w:rsid w:val="00EB2D43"/>
    <w:rsid w:val="00EC7E7E"/>
    <w:rsid w:val="00F14005"/>
    <w:rsid w:val="00F165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7B9D2CE"/>
  <w15:chartTrackingRefBased/>
  <w15:docId w15:val="{465BE166-C1A9-4349-A316-ADF21386F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76A"/>
  </w:style>
  <w:style w:type="paragraph" w:styleId="Heading1">
    <w:name w:val="heading 1"/>
    <w:basedOn w:val="Normal"/>
    <w:next w:val="Normal"/>
    <w:link w:val="Heading1Char"/>
    <w:uiPriority w:val="9"/>
    <w:qFormat/>
    <w:rsid w:val="00AF17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F17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F17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F17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17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176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176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176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176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7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F17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F17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F17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17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17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17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17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176A"/>
    <w:rPr>
      <w:rFonts w:eastAsiaTheme="majorEastAsia" w:cstheme="majorBidi"/>
      <w:color w:val="272727" w:themeColor="text1" w:themeTint="D8"/>
    </w:rPr>
  </w:style>
  <w:style w:type="paragraph" w:styleId="Title">
    <w:name w:val="Title"/>
    <w:basedOn w:val="Normal"/>
    <w:next w:val="Normal"/>
    <w:link w:val="TitleChar"/>
    <w:uiPriority w:val="10"/>
    <w:qFormat/>
    <w:rsid w:val="00AF17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17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176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17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176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F176A"/>
    <w:rPr>
      <w:i/>
      <w:iCs/>
      <w:color w:val="404040" w:themeColor="text1" w:themeTint="BF"/>
    </w:rPr>
  </w:style>
  <w:style w:type="paragraph" w:styleId="ListParagraph">
    <w:name w:val="List Paragraph"/>
    <w:basedOn w:val="Normal"/>
    <w:uiPriority w:val="34"/>
    <w:qFormat/>
    <w:rsid w:val="00AF176A"/>
    <w:pPr>
      <w:ind w:left="720"/>
      <w:contextualSpacing/>
    </w:pPr>
  </w:style>
  <w:style w:type="character" w:styleId="IntenseEmphasis">
    <w:name w:val="Intense Emphasis"/>
    <w:basedOn w:val="DefaultParagraphFont"/>
    <w:uiPriority w:val="21"/>
    <w:qFormat/>
    <w:rsid w:val="00AF176A"/>
    <w:rPr>
      <w:i/>
      <w:iCs/>
      <w:color w:val="0F4761" w:themeColor="accent1" w:themeShade="BF"/>
    </w:rPr>
  </w:style>
  <w:style w:type="paragraph" w:styleId="IntenseQuote">
    <w:name w:val="Intense Quote"/>
    <w:basedOn w:val="Normal"/>
    <w:next w:val="Normal"/>
    <w:link w:val="IntenseQuoteChar"/>
    <w:uiPriority w:val="30"/>
    <w:qFormat/>
    <w:rsid w:val="00AF17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176A"/>
    <w:rPr>
      <w:i/>
      <w:iCs/>
      <w:color w:val="0F4761" w:themeColor="accent1" w:themeShade="BF"/>
    </w:rPr>
  </w:style>
  <w:style w:type="character" w:styleId="IntenseReference">
    <w:name w:val="Intense Reference"/>
    <w:basedOn w:val="DefaultParagraphFont"/>
    <w:uiPriority w:val="32"/>
    <w:qFormat/>
    <w:rsid w:val="00AF176A"/>
    <w:rPr>
      <w:b/>
      <w:bCs/>
      <w:smallCaps/>
      <w:color w:val="0F4761" w:themeColor="accent1" w:themeShade="BF"/>
      <w:spacing w:val="5"/>
    </w:rPr>
  </w:style>
  <w:style w:type="paragraph" w:styleId="FootnoteText">
    <w:name w:val="footnote text"/>
    <w:basedOn w:val="Normal"/>
    <w:link w:val="FootnoteTextChar"/>
    <w:uiPriority w:val="99"/>
    <w:unhideWhenUsed/>
    <w:rsid w:val="00AF176A"/>
    <w:rPr>
      <w:sz w:val="20"/>
      <w:szCs w:val="20"/>
    </w:rPr>
  </w:style>
  <w:style w:type="character" w:customStyle="1" w:styleId="FootnoteTextChar">
    <w:name w:val="Footnote Text Char"/>
    <w:basedOn w:val="DefaultParagraphFont"/>
    <w:link w:val="FootnoteText"/>
    <w:uiPriority w:val="99"/>
    <w:rsid w:val="00AF176A"/>
    <w:rPr>
      <w:sz w:val="20"/>
      <w:szCs w:val="20"/>
    </w:rPr>
  </w:style>
  <w:style w:type="character" w:styleId="FootnoteReference">
    <w:name w:val="footnote reference"/>
    <w:basedOn w:val="DefaultParagraphFont"/>
    <w:uiPriority w:val="99"/>
    <w:unhideWhenUsed/>
    <w:rsid w:val="00AF176A"/>
    <w:rPr>
      <w:vertAlign w:val="superscript"/>
    </w:rPr>
  </w:style>
  <w:style w:type="character" w:styleId="Hyperlink">
    <w:name w:val="Hyperlink"/>
    <w:basedOn w:val="DefaultParagraphFont"/>
    <w:uiPriority w:val="99"/>
    <w:unhideWhenUsed/>
    <w:rsid w:val="00AF176A"/>
    <w:rPr>
      <w:color w:val="467886" w:themeColor="hyperlink"/>
      <w:u w:val="single"/>
    </w:rPr>
  </w:style>
  <w:style w:type="paragraph" w:styleId="Header">
    <w:name w:val="header"/>
    <w:basedOn w:val="Normal"/>
    <w:link w:val="HeaderChar"/>
    <w:uiPriority w:val="99"/>
    <w:unhideWhenUsed/>
    <w:rsid w:val="00AF176A"/>
    <w:pPr>
      <w:tabs>
        <w:tab w:val="center" w:pos="4513"/>
        <w:tab w:val="right" w:pos="9026"/>
      </w:tabs>
    </w:pPr>
  </w:style>
  <w:style w:type="character" w:customStyle="1" w:styleId="HeaderChar">
    <w:name w:val="Header Char"/>
    <w:basedOn w:val="DefaultParagraphFont"/>
    <w:link w:val="Header"/>
    <w:uiPriority w:val="99"/>
    <w:rsid w:val="00AF176A"/>
  </w:style>
  <w:style w:type="paragraph" w:styleId="Footer">
    <w:name w:val="footer"/>
    <w:basedOn w:val="Normal"/>
    <w:link w:val="FooterChar"/>
    <w:uiPriority w:val="99"/>
    <w:unhideWhenUsed/>
    <w:rsid w:val="00AF176A"/>
    <w:pPr>
      <w:tabs>
        <w:tab w:val="center" w:pos="4513"/>
        <w:tab w:val="right" w:pos="9026"/>
      </w:tabs>
    </w:pPr>
  </w:style>
  <w:style w:type="character" w:customStyle="1" w:styleId="FooterChar">
    <w:name w:val="Footer Char"/>
    <w:basedOn w:val="DefaultParagraphFont"/>
    <w:link w:val="Footer"/>
    <w:uiPriority w:val="99"/>
    <w:rsid w:val="00AF176A"/>
  </w:style>
  <w:style w:type="character" w:customStyle="1" w:styleId="apple-converted-space">
    <w:name w:val="apple-converted-space"/>
    <w:basedOn w:val="DefaultParagraphFont"/>
    <w:rsid w:val="00AF176A"/>
  </w:style>
  <w:style w:type="paragraph" w:styleId="NoSpacing">
    <w:name w:val="No Spacing"/>
    <w:uiPriority w:val="1"/>
    <w:qFormat/>
    <w:rsid w:val="00AF176A"/>
  </w:style>
  <w:style w:type="character" w:styleId="CommentReference">
    <w:name w:val="annotation reference"/>
    <w:basedOn w:val="DefaultParagraphFont"/>
    <w:uiPriority w:val="99"/>
    <w:semiHidden/>
    <w:unhideWhenUsed/>
    <w:rsid w:val="00AF176A"/>
    <w:rPr>
      <w:sz w:val="16"/>
      <w:szCs w:val="16"/>
    </w:rPr>
  </w:style>
  <w:style w:type="paragraph" w:styleId="CommentText">
    <w:name w:val="annotation text"/>
    <w:basedOn w:val="Normal"/>
    <w:link w:val="CommentTextChar"/>
    <w:uiPriority w:val="99"/>
    <w:semiHidden/>
    <w:unhideWhenUsed/>
    <w:rsid w:val="00AF176A"/>
    <w:rPr>
      <w:sz w:val="20"/>
      <w:szCs w:val="20"/>
    </w:rPr>
  </w:style>
  <w:style w:type="character" w:customStyle="1" w:styleId="CommentTextChar">
    <w:name w:val="Comment Text Char"/>
    <w:basedOn w:val="DefaultParagraphFont"/>
    <w:link w:val="CommentText"/>
    <w:uiPriority w:val="99"/>
    <w:semiHidden/>
    <w:rsid w:val="00AF176A"/>
    <w:rPr>
      <w:sz w:val="20"/>
      <w:szCs w:val="20"/>
    </w:rPr>
  </w:style>
  <w:style w:type="paragraph" w:styleId="NormalWeb">
    <w:name w:val="Normal (Web)"/>
    <w:basedOn w:val="Normal"/>
    <w:uiPriority w:val="99"/>
    <w:unhideWhenUsed/>
    <w:rsid w:val="00AF176A"/>
    <w:pPr>
      <w:spacing w:before="100" w:beforeAutospacing="1" w:after="100" w:afterAutospacing="1"/>
    </w:pPr>
    <w:rPr>
      <w:rFonts w:ascii="Times New Roman" w:eastAsia="Times New Roman" w:hAnsi="Times New Roman" w:cs="Times New Roman"/>
      <w:lang w:eastAsia="en-GB"/>
    </w:rPr>
  </w:style>
  <w:style w:type="character" w:styleId="FollowedHyperlink">
    <w:name w:val="FollowedHyperlink"/>
    <w:basedOn w:val="DefaultParagraphFont"/>
    <w:uiPriority w:val="99"/>
    <w:semiHidden/>
    <w:unhideWhenUsed/>
    <w:rsid w:val="00255854"/>
    <w:rPr>
      <w:color w:val="96607D" w:themeColor="followedHyperlink"/>
      <w:u w:val="single"/>
    </w:rPr>
  </w:style>
  <w:style w:type="character" w:styleId="PageNumber">
    <w:name w:val="page number"/>
    <w:basedOn w:val="DefaultParagraphFont"/>
    <w:uiPriority w:val="99"/>
    <w:semiHidden/>
    <w:unhideWhenUsed/>
    <w:rsid w:val="005869C3"/>
  </w:style>
  <w:style w:type="character" w:styleId="UnresolvedMention">
    <w:name w:val="Unresolved Mention"/>
    <w:basedOn w:val="DefaultParagraphFont"/>
    <w:uiPriority w:val="99"/>
    <w:semiHidden/>
    <w:unhideWhenUsed/>
    <w:rsid w:val="00A379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533711">
      <w:bodyDiv w:val="1"/>
      <w:marLeft w:val="0"/>
      <w:marRight w:val="0"/>
      <w:marTop w:val="0"/>
      <w:marBottom w:val="0"/>
      <w:divBdr>
        <w:top w:val="none" w:sz="0" w:space="0" w:color="auto"/>
        <w:left w:val="none" w:sz="0" w:space="0" w:color="auto"/>
        <w:bottom w:val="none" w:sz="0" w:space="0" w:color="auto"/>
        <w:right w:val="none" w:sz="0" w:space="0" w:color="auto"/>
      </w:divBdr>
      <w:divsChild>
        <w:div w:id="968707895">
          <w:marLeft w:val="0"/>
          <w:marRight w:val="0"/>
          <w:marTop w:val="0"/>
          <w:marBottom w:val="0"/>
          <w:divBdr>
            <w:top w:val="none" w:sz="0" w:space="0" w:color="auto"/>
            <w:left w:val="none" w:sz="0" w:space="0" w:color="auto"/>
            <w:bottom w:val="none" w:sz="0" w:space="0" w:color="auto"/>
            <w:right w:val="none" w:sz="0" w:space="0" w:color="auto"/>
          </w:divBdr>
          <w:divsChild>
            <w:div w:id="754785927">
              <w:marLeft w:val="0"/>
              <w:marRight w:val="0"/>
              <w:marTop w:val="0"/>
              <w:marBottom w:val="0"/>
              <w:divBdr>
                <w:top w:val="none" w:sz="0" w:space="0" w:color="auto"/>
                <w:left w:val="none" w:sz="0" w:space="0" w:color="auto"/>
                <w:bottom w:val="none" w:sz="0" w:space="0" w:color="auto"/>
                <w:right w:val="none" w:sz="0" w:space="0" w:color="auto"/>
              </w:divBdr>
              <w:divsChild>
                <w:div w:id="89778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19562">
      <w:bodyDiv w:val="1"/>
      <w:marLeft w:val="0"/>
      <w:marRight w:val="0"/>
      <w:marTop w:val="0"/>
      <w:marBottom w:val="0"/>
      <w:divBdr>
        <w:top w:val="none" w:sz="0" w:space="0" w:color="auto"/>
        <w:left w:val="none" w:sz="0" w:space="0" w:color="auto"/>
        <w:bottom w:val="none" w:sz="0" w:space="0" w:color="auto"/>
        <w:right w:val="none" w:sz="0" w:space="0" w:color="auto"/>
      </w:divBdr>
      <w:divsChild>
        <w:div w:id="843015489">
          <w:marLeft w:val="0"/>
          <w:marRight w:val="0"/>
          <w:marTop w:val="0"/>
          <w:marBottom w:val="0"/>
          <w:divBdr>
            <w:top w:val="none" w:sz="0" w:space="0" w:color="auto"/>
            <w:left w:val="none" w:sz="0" w:space="0" w:color="auto"/>
            <w:bottom w:val="none" w:sz="0" w:space="0" w:color="auto"/>
            <w:right w:val="none" w:sz="0" w:space="0" w:color="auto"/>
          </w:divBdr>
          <w:divsChild>
            <w:div w:id="350382128">
              <w:marLeft w:val="0"/>
              <w:marRight w:val="0"/>
              <w:marTop w:val="0"/>
              <w:marBottom w:val="0"/>
              <w:divBdr>
                <w:top w:val="none" w:sz="0" w:space="0" w:color="auto"/>
                <w:left w:val="none" w:sz="0" w:space="0" w:color="auto"/>
                <w:bottom w:val="none" w:sz="0" w:space="0" w:color="auto"/>
                <w:right w:val="none" w:sz="0" w:space="0" w:color="auto"/>
              </w:divBdr>
              <w:divsChild>
                <w:div w:id="22993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582822">
      <w:bodyDiv w:val="1"/>
      <w:marLeft w:val="0"/>
      <w:marRight w:val="0"/>
      <w:marTop w:val="0"/>
      <w:marBottom w:val="0"/>
      <w:divBdr>
        <w:top w:val="none" w:sz="0" w:space="0" w:color="auto"/>
        <w:left w:val="none" w:sz="0" w:space="0" w:color="auto"/>
        <w:bottom w:val="none" w:sz="0" w:space="0" w:color="auto"/>
        <w:right w:val="none" w:sz="0" w:space="0" w:color="auto"/>
      </w:divBdr>
      <w:divsChild>
        <w:div w:id="303971901">
          <w:marLeft w:val="0"/>
          <w:marRight w:val="0"/>
          <w:marTop w:val="0"/>
          <w:marBottom w:val="0"/>
          <w:divBdr>
            <w:top w:val="none" w:sz="0" w:space="0" w:color="auto"/>
            <w:left w:val="none" w:sz="0" w:space="0" w:color="auto"/>
            <w:bottom w:val="none" w:sz="0" w:space="0" w:color="auto"/>
            <w:right w:val="none" w:sz="0" w:space="0" w:color="auto"/>
          </w:divBdr>
          <w:divsChild>
            <w:div w:id="1354067422">
              <w:marLeft w:val="0"/>
              <w:marRight w:val="0"/>
              <w:marTop w:val="0"/>
              <w:marBottom w:val="0"/>
              <w:divBdr>
                <w:top w:val="none" w:sz="0" w:space="0" w:color="auto"/>
                <w:left w:val="none" w:sz="0" w:space="0" w:color="auto"/>
                <w:bottom w:val="none" w:sz="0" w:space="0" w:color="auto"/>
                <w:right w:val="none" w:sz="0" w:space="0" w:color="auto"/>
              </w:divBdr>
              <w:divsChild>
                <w:div w:id="45876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650101">
      <w:bodyDiv w:val="1"/>
      <w:marLeft w:val="0"/>
      <w:marRight w:val="0"/>
      <w:marTop w:val="0"/>
      <w:marBottom w:val="0"/>
      <w:divBdr>
        <w:top w:val="none" w:sz="0" w:space="0" w:color="auto"/>
        <w:left w:val="none" w:sz="0" w:space="0" w:color="auto"/>
        <w:bottom w:val="none" w:sz="0" w:space="0" w:color="auto"/>
        <w:right w:val="none" w:sz="0" w:space="0" w:color="auto"/>
      </w:divBdr>
      <w:divsChild>
        <w:div w:id="2109613330">
          <w:marLeft w:val="0"/>
          <w:marRight w:val="0"/>
          <w:marTop w:val="0"/>
          <w:marBottom w:val="0"/>
          <w:divBdr>
            <w:top w:val="none" w:sz="0" w:space="0" w:color="auto"/>
            <w:left w:val="none" w:sz="0" w:space="0" w:color="auto"/>
            <w:bottom w:val="none" w:sz="0" w:space="0" w:color="auto"/>
            <w:right w:val="none" w:sz="0" w:space="0" w:color="auto"/>
          </w:divBdr>
          <w:divsChild>
            <w:div w:id="2147355282">
              <w:marLeft w:val="0"/>
              <w:marRight w:val="0"/>
              <w:marTop w:val="0"/>
              <w:marBottom w:val="0"/>
              <w:divBdr>
                <w:top w:val="none" w:sz="0" w:space="0" w:color="auto"/>
                <w:left w:val="none" w:sz="0" w:space="0" w:color="auto"/>
                <w:bottom w:val="none" w:sz="0" w:space="0" w:color="auto"/>
                <w:right w:val="none" w:sz="0" w:space="0" w:color="auto"/>
              </w:divBdr>
              <w:divsChild>
                <w:div w:id="59120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017169">
      <w:bodyDiv w:val="1"/>
      <w:marLeft w:val="0"/>
      <w:marRight w:val="0"/>
      <w:marTop w:val="0"/>
      <w:marBottom w:val="0"/>
      <w:divBdr>
        <w:top w:val="none" w:sz="0" w:space="0" w:color="auto"/>
        <w:left w:val="none" w:sz="0" w:space="0" w:color="auto"/>
        <w:bottom w:val="none" w:sz="0" w:space="0" w:color="auto"/>
        <w:right w:val="none" w:sz="0" w:space="0" w:color="auto"/>
      </w:divBdr>
      <w:divsChild>
        <w:div w:id="304548747">
          <w:marLeft w:val="0"/>
          <w:marRight w:val="0"/>
          <w:marTop w:val="0"/>
          <w:marBottom w:val="0"/>
          <w:divBdr>
            <w:top w:val="none" w:sz="0" w:space="0" w:color="auto"/>
            <w:left w:val="none" w:sz="0" w:space="0" w:color="auto"/>
            <w:bottom w:val="none" w:sz="0" w:space="0" w:color="auto"/>
            <w:right w:val="none" w:sz="0" w:space="0" w:color="auto"/>
          </w:divBdr>
          <w:divsChild>
            <w:div w:id="1783258946">
              <w:marLeft w:val="0"/>
              <w:marRight w:val="0"/>
              <w:marTop w:val="0"/>
              <w:marBottom w:val="0"/>
              <w:divBdr>
                <w:top w:val="none" w:sz="0" w:space="0" w:color="auto"/>
                <w:left w:val="none" w:sz="0" w:space="0" w:color="auto"/>
                <w:bottom w:val="none" w:sz="0" w:space="0" w:color="auto"/>
                <w:right w:val="none" w:sz="0" w:space="0" w:color="auto"/>
              </w:divBdr>
              <w:divsChild>
                <w:div w:id="138964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159856">
      <w:bodyDiv w:val="1"/>
      <w:marLeft w:val="0"/>
      <w:marRight w:val="0"/>
      <w:marTop w:val="0"/>
      <w:marBottom w:val="0"/>
      <w:divBdr>
        <w:top w:val="none" w:sz="0" w:space="0" w:color="auto"/>
        <w:left w:val="none" w:sz="0" w:space="0" w:color="auto"/>
        <w:bottom w:val="none" w:sz="0" w:space="0" w:color="auto"/>
        <w:right w:val="none" w:sz="0" w:space="0" w:color="auto"/>
      </w:divBdr>
      <w:divsChild>
        <w:div w:id="271742005">
          <w:marLeft w:val="0"/>
          <w:marRight w:val="0"/>
          <w:marTop w:val="0"/>
          <w:marBottom w:val="0"/>
          <w:divBdr>
            <w:top w:val="none" w:sz="0" w:space="0" w:color="auto"/>
            <w:left w:val="none" w:sz="0" w:space="0" w:color="auto"/>
            <w:bottom w:val="none" w:sz="0" w:space="0" w:color="auto"/>
            <w:right w:val="none" w:sz="0" w:space="0" w:color="auto"/>
          </w:divBdr>
          <w:divsChild>
            <w:div w:id="43215039">
              <w:marLeft w:val="0"/>
              <w:marRight w:val="0"/>
              <w:marTop w:val="0"/>
              <w:marBottom w:val="0"/>
              <w:divBdr>
                <w:top w:val="none" w:sz="0" w:space="0" w:color="auto"/>
                <w:left w:val="none" w:sz="0" w:space="0" w:color="auto"/>
                <w:bottom w:val="none" w:sz="0" w:space="0" w:color="auto"/>
                <w:right w:val="none" w:sz="0" w:space="0" w:color="auto"/>
              </w:divBdr>
              <w:divsChild>
                <w:div w:id="41779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31357">
      <w:bodyDiv w:val="1"/>
      <w:marLeft w:val="0"/>
      <w:marRight w:val="0"/>
      <w:marTop w:val="0"/>
      <w:marBottom w:val="0"/>
      <w:divBdr>
        <w:top w:val="none" w:sz="0" w:space="0" w:color="auto"/>
        <w:left w:val="none" w:sz="0" w:space="0" w:color="auto"/>
        <w:bottom w:val="none" w:sz="0" w:space="0" w:color="auto"/>
        <w:right w:val="none" w:sz="0" w:space="0" w:color="auto"/>
      </w:divBdr>
    </w:div>
    <w:div w:id="1526167494">
      <w:bodyDiv w:val="1"/>
      <w:marLeft w:val="0"/>
      <w:marRight w:val="0"/>
      <w:marTop w:val="0"/>
      <w:marBottom w:val="0"/>
      <w:divBdr>
        <w:top w:val="none" w:sz="0" w:space="0" w:color="auto"/>
        <w:left w:val="none" w:sz="0" w:space="0" w:color="auto"/>
        <w:bottom w:val="none" w:sz="0" w:space="0" w:color="auto"/>
        <w:right w:val="none" w:sz="0" w:space="0" w:color="auto"/>
      </w:divBdr>
      <w:divsChild>
        <w:div w:id="871723011">
          <w:marLeft w:val="0"/>
          <w:marRight w:val="0"/>
          <w:marTop w:val="0"/>
          <w:marBottom w:val="0"/>
          <w:divBdr>
            <w:top w:val="none" w:sz="0" w:space="0" w:color="auto"/>
            <w:left w:val="none" w:sz="0" w:space="0" w:color="auto"/>
            <w:bottom w:val="none" w:sz="0" w:space="0" w:color="auto"/>
            <w:right w:val="none" w:sz="0" w:space="0" w:color="auto"/>
          </w:divBdr>
          <w:divsChild>
            <w:div w:id="2023320051">
              <w:marLeft w:val="0"/>
              <w:marRight w:val="0"/>
              <w:marTop w:val="0"/>
              <w:marBottom w:val="0"/>
              <w:divBdr>
                <w:top w:val="none" w:sz="0" w:space="0" w:color="auto"/>
                <w:left w:val="none" w:sz="0" w:space="0" w:color="auto"/>
                <w:bottom w:val="none" w:sz="0" w:space="0" w:color="auto"/>
                <w:right w:val="none" w:sz="0" w:space="0" w:color="auto"/>
              </w:divBdr>
              <w:divsChild>
                <w:div w:id="90387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97240">
      <w:bodyDiv w:val="1"/>
      <w:marLeft w:val="0"/>
      <w:marRight w:val="0"/>
      <w:marTop w:val="0"/>
      <w:marBottom w:val="0"/>
      <w:divBdr>
        <w:top w:val="none" w:sz="0" w:space="0" w:color="auto"/>
        <w:left w:val="none" w:sz="0" w:space="0" w:color="auto"/>
        <w:bottom w:val="none" w:sz="0" w:space="0" w:color="auto"/>
        <w:right w:val="none" w:sz="0" w:space="0" w:color="auto"/>
      </w:divBdr>
      <w:divsChild>
        <w:div w:id="720984206">
          <w:marLeft w:val="0"/>
          <w:marRight w:val="0"/>
          <w:marTop w:val="0"/>
          <w:marBottom w:val="0"/>
          <w:divBdr>
            <w:top w:val="none" w:sz="0" w:space="0" w:color="auto"/>
            <w:left w:val="none" w:sz="0" w:space="0" w:color="auto"/>
            <w:bottom w:val="none" w:sz="0" w:space="0" w:color="auto"/>
            <w:right w:val="none" w:sz="0" w:space="0" w:color="auto"/>
          </w:divBdr>
          <w:divsChild>
            <w:div w:id="761292208">
              <w:marLeft w:val="0"/>
              <w:marRight w:val="0"/>
              <w:marTop w:val="0"/>
              <w:marBottom w:val="0"/>
              <w:divBdr>
                <w:top w:val="none" w:sz="0" w:space="0" w:color="auto"/>
                <w:left w:val="none" w:sz="0" w:space="0" w:color="auto"/>
                <w:bottom w:val="none" w:sz="0" w:space="0" w:color="auto"/>
                <w:right w:val="none" w:sz="0" w:space="0" w:color="auto"/>
              </w:divBdr>
              <w:divsChild>
                <w:div w:id="59810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731023">
      <w:bodyDiv w:val="1"/>
      <w:marLeft w:val="0"/>
      <w:marRight w:val="0"/>
      <w:marTop w:val="0"/>
      <w:marBottom w:val="0"/>
      <w:divBdr>
        <w:top w:val="none" w:sz="0" w:space="0" w:color="auto"/>
        <w:left w:val="none" w:sz="0" w:space="0" w:color="auto"/>
        <w:bottom w:val="none" w:sz="0" w:space="0" w:color="auto"/>
        <w:right w:val="none" w:sz="0" w:space="0" w:color="auto"/>
      </w:divBdr>
      <w:divsChild>
        <w:div w:id="1058818690">
          <w:marLeft w:val="0"/>
          <w:marRight w:val="0"/>
          <w:marTop w:val="0"/>
          <w:marBottom w:val="0"/>
          <w:divBdr>
            <w:top w:val="none" w:sz="0" w:space="0" w:color="auto"/>
            <w:left w:val="none" w:sz="0" w:space="0" w:color="auto"/>
            <w:bottom w:val="none" w:sz="0" w:space="0" w:color="auto"/>
            <w:right w:val="none" w:sz="0" w:space="0" w:color="auto"/>
          </w:divBdr>
          <w:divsChild>
            <w:div w:id="626787116">
              <w:marLeft w:val="0"/>
              <w:marRight w:val="0"/>
              <w:marTop w:val="0"/>
              <w:marBottom w:val="0"/>
              <w:divBdr>
                <w:top w:val="none" w:sz="0" w:space="0" w:color="auto"/>
                <w:left w:val="none" w:sz="0" w:space="0" w:color="auto"/>
                <w:bottom w:val="none" w:sz="0" w:space="0" w:color="auto"/>
                <w:right w:val="none" w:sz="0" w:space="0" w:color="auto"/>
              </w:divBdr>
              <w:divsChild>
                <w:div w:id="29526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32585">
      <w:bodyDiv w:val="1"/>
      <w:marLeft w:val="0"/>
      <w:marRight w:val="0"/>
      <w:marTop w:val="0"/>
      <w:marBottom w:val="0"/>
      <w:divBdr>
        <w:top w:val="none" w:sz="0" w:space="0" w:color="auto"/>
        <w:left w:val="none" w:sz="0" w:space="0" w:color="auto"/>
        <w:bottom w:val="none" w:sz="0" w:space="0" w:color="auto"/>
        <w:right w:val="none" w:sz="0" w:space="0" w:color="auto"/>
      </w:divBdr>
      <w:divsChild>
        <w:div w:id="944658805">
          <w:marLeft w:val="0"/>
          <w:marRight w:val="0"/>
          <w:marTop w:val="0"/>
          <w:marBottom w:val="0"/>
          <w:divBdr>
            <w:top w:val="none" w:sz="0" w:space="0" w:color="auto"/>
            <w:left w:val="none" w:sz="0" w:space="0" w:color="auto"/>
            <w:bottom w:val="none" w:sz="0" w:space="0" w:color="auto"/>
            <w:right w:val="none" w:sz="0" w:space="0" w:color="auto"/>
          </w:divBdr>
          <w:divsChild>
            <w:div w:id="1393843234">
              <w:marLeft w:val="0"/>
              <w:marRight w:val="0"/>
              <w:marTop w:val="0"/>
              <w:marBottom w:val="0"/>
              <w:divBdr>
                <w:top w:val="none" w:sz="0" w:space="0" w:color="auto"/>
                <w:left w:val="none" w:sz="0" w:space="0" w:color="auto"/>
                <w:bottom w:val="none" w:sz="0" w:space="0" w:color="auto"/>
                <w:right w:val="none" w:sz="0" w:space="0" w:color="auto"/>
              </w:divBdr>
              <w:divsChild>
                <w:div w:id="136054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rindia.org/content/analysis-criminal-background-financial-education-gender-and-other-details-sitting-rajya-7" TargetMode="External"/><Relationship Id="rId13" Type="http://schemas.openxmlformats.org/officeDocument/2006/relationships/hyperlink" Target="https://www.newslaundry.com/2024/03/27/bharti-groups-rs-150-crore-bond-donation-to-bjp-coincided-with-modi-governments-telecom-u-turn"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hindustantimes.com/india-news/what-does-electoral-bond-data-published-by-the-eci-tell-us-101710465967881.html" TargetMode="External"/><Relationship Id="rId17" Type="http://schemas.openxmlformats.org/officeDocument/2006/relationships/hyperlink" Target="https://thewire.in/government/leader-of-opposition-parliament-lok-sabh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rsindia.org/files/parliament/vital_stats/Functioning-17th_Lok_Sabha.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11/josp.1256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rsindia.org/files/parliament/session_track/2022/vital_stats/Vital%20Stats-Budget%20Session%202022.pdf" TargetMode="External"/><Relationship Id="rId23" Type="http://schemas.openxmlformats.org/officeDocument/2006/relationships/footer" Target="footer3.xml"/><Relationship Id="rId10" Type="http://schemas.openxmlformats.org/officeDocument/2006/relationships/hyperlink" Target="https://www.fortuneindia.com/macro/31-billionaires-in-rajya-sabha-bjp-tops-at-9/116028"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deccanherald.com/india/house-for-moneybags-the-rajya-sabha-story-1117442.html" TargetMode="External"/><Relationship Id="rId14" Type="http://schemas.openxmlformats.org/officeDocument/2006/relationships/hyperlink" Target="https://www.thehindu.com/opinion/lead/trickeries-of-the-money-bill/article26799226.ece"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9D403-2B07-F94B-9D5B-98A4AF097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21</Pages>
  <Words>11281</Words>
  <Characters>64306</Characters>
  <Application>Microsoft Office Word</Application>
  <DocSecurity>0</DocSecurity>
  <Lines>535</Lines>
  <Paragraphs>150</Paragraphs>
  <ScaleCrop>false</ScaleCrop>
  <Company/>
  <LinksUpToDate>false</LinksUpToDate>
  <CharactersWithSpaces>75437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Udit Bhatia</dc:creator>
  <cp:keywords/>
  <dc:description/>
  <cp:lastModifiedBy>Udit Bhatia</cp:lastModifiedBy>
  <cp:revision>3</cp:revision>
  <dcterms:created xsi:type="dcterms:W3CDTF">2024-06-03T01:57:00Z</dcterms:created>
  <dcterms:modified xsi:type="dcterms:W3CDTF">2024-08-03T08:10:00Z</dcterms:modified>
</cp:coreProperties>
</file>