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281AA" w14:textId="558B97B0" w:rsidR="00540DB8" w:rsidRPr="00540DB8" w:rsidRDefault="00540DB8" w:rsidP="00321D34">
      <w:pPr>
        <w:spacing w:after="120" w:line="240" w:lineRule="auto"/>
        <w:jc w:val="both"/>
        <w:rPr>
          <w:bCs/>
          <w:sz w:val="24"/>
          <w:szCs w:val="24"/>
        </w:rPr>
      </w:pPr>
      <w:r w:rsidRPr="00540DB8">
        <w:rPr>
          <w:bCs/>
          <w:sz w:val="24"/>
          <w:szCs w:val="24"/>
        </w:rPr>
        <w:t xml:space="preserve">For a more up to date version, please see the following (open access) link: </w:t>
      </w:r>
      <w:hyperlink r:id="rId7" w:history="1">
        <w:r w:rsidRPr="00540DB8">
          <w:rPr>
            <w:rStyle w:val="Hyperlink"/>
            <w:bCs/>
            <w:sz w:val="24"/>
            <w:szCs w:val="24"/>
          </w:rPr>
          <w:t>https://link.springer.com/article/10.1007/s10612-024-09785-1</w:t>
        </w:r>
      </w:hyperlink>
      <w:r w:rsidRPr="00540DB8">
        <w:rPr>
          <w:bCs/>
          <w:sz w:val="24"/>
          <w:szCs w:val="24"/>
        </w:rPr>
        <w:t xml:space="preserve"> </w:t>
      </w:r>
    </w:p>
    <w:p w14:paraId="304A0CF3" w14:textId="6B16DD3E" w:rsidR="00AA1C0E" w:rsidRPr="00321D34" w:rsidRDefault="00D30D25" w:rsidP="00321D34">
      <w:pPr>
        <w:spacing w:after="120" w:line="240" w:lineRule="auto"/>
        <w:jc w:val="both"/>
        <w:rPr>
          <w:b/>
          <w:sz w:val="24"/>
          <w:szCs w:val="24"/>
        </w:rPr>
      </w:pPr>
      <w:r w:rsidRPr="00321D34">
        <w:rPr>
          <w:b/>
          <w:sz w:val="24"/>
          <w:szCs w:val="24"/>
        </w:rPr>
        <w:t xml:space="preserve">Critical Criminology, </w:t>
      </w:r>
      <w:r w:rsidR="00451DD7" w:rsidRPr="00321D34">
        <w:rPr>
          <w:b/>
          <w:sz w:val="24"/>
          <w:szCs w:val="24"/>
        </w:rPr>
        <w:t xml:space="preserve">Special Issue </w:t>
      </w:r>
    </w:p>
    <w:p w14:paraId="501D001C" w14:textId="22AE74EE" w:rsidR="0038269B" w:rsidRDefault="00AA1C0E" w:rsidP="00321D34">
      <w:pPr>
        <w:spacing w:after="120" w:line="240" w:lineRule="auto"/>
        <w:jc w:val="both"/>
        <w:rPr>
          <w:b/>
          <w:sz w:val="24"/>
          <w:szCs w:val="24"/>
        </w:rPr>
      </w:pPr>
      <w:r w:rsidRPr="00321D34">
        <w:rPr>
          <w:b/>
          <w:sz w:val="24"/>
          <w:szCs w:val="24"/>
        </w:rPr>
        <w:t xml:space="preserve">Introduction: </w:t>
      </w:r>
      <w:r w:rsidR="00451DD7" w:rsidRPr="00321D34">
        <w:rPr>
          <w:b/>
          <w:sz w:val="24"/>
          <w:szCs w:val="24"/>
          <w:highlight w:val="white"/>
        </w:rPr>
        <w:t xml:space="preserve">Critical Engagements with Gender, Race and Class in </w:t>
      </w:r>
      <w:proofErr w:type="spellStart"/>
      <w:r w:rsidR="00451DD7" w:rsidRPr="00321D34">
        <w:rPr>
          <w:b/>
          <w:sz w:val="24"/>
          <w:szCs w:val="24"/>
          <w:highlight w:val="white"/>
        </w:rPr>
        <w:t>Crimmigration</w:t>
      </w:r>
      <w:proofErr w:type="spellEnd"/>
      <w:r w:rsidRPr="00321D34">
        <w:rPr>
          <w:b/>
          <w:sz w:val="24"/>
          <w:szCs w:val="24"/>
          <w:highlight w:val="white"/>
        </w:rPr>
        <w:t xml:space="preserve"> </w:t>
      </w:r>
      <w:r w:rsidR="00451DD7" w:rsidRPr="00321D34">
        <w:rPr>
          <w:b/>
          <w:sz w:val="24"/>
          <w:szCs w:val="24"/>
          <w:highlight w:val="white"/>
        </w:rPr>
        <w:t>Controls</w:t>
      </w:r>
    </w:p>
    <w:p w14:paraId="49F60A88" w14:textId="70E9C1C3" w:rsidR="00176C6F" w:rsidRPr="00176C6F" w:rsidRDefault="00176C6F" w:rsidP="00176C6F">
      <w:pPr>
        <w:pStyle w:val="ListParagraph"/>
        <w:numPr>
          <w:ilvl w:val="0"/>
          <w:numId w:val="5"/>
        </w:numPr>
        <w:spacing w:after="120" w:line="240" w:lineRule="auto"/>
        <w:jc w:val="both"/>
        <w:rPr>
          <w:b/>
          <w:sz w:val="24"/>
          <w:szCs w:val="24"/>
        </w:rPr>
      </w:pPr>
      <w:r w:rsidRPr="00176C6F">
        <w:rPr>
          <w:b/>
          <w:sz w:val="24"/>
          <w:szCs w:val="24"/>
        </w:rPr>
        <w:t xml:space="preserve">Monish Bhatia, Matilde Rosina, and Niina </w:t>
      </w:r>
      <w:proofErr w:type="spellStart"/>
      <w:r w:rsidRPr="00176C6F">
        <w:rPr>
          <w:b/>
          <w:sz w:val="24"/>
          <w:szCs w:val="24"/>
        </w:rPr>
        <w:t>Vuolajarvi</w:t>
      </w:r>
      <w:proofErr w:type="spellEnd"/>
    </w:p>
    <w:p w14:paraId="7F78171A" w14:textId="77777777" w:rsidR="00176C6F" w:rsidRDefault="00176C6F" w:rsidP="00321D34">
      <w:pPr>
        <w:spacing w:after="120" w:line="240" w:lineRule="auto"/>
        <w:jc w:val="both"/>
        <w:rPr>
          <w:b/>
          <w:sz w:val="24"/>
          <w:szCs w:val="24"/>
        </w:rPr>
      </w:pPr>
    </w:p>
    <w:p w14:paraId="46AF4E31" w14:textId="13C02982" w:rsidR="00BE3C16" w:rsidRPr="00176C6F" w:rsidRDefault="00176C6F" w:rsidP="00321D34">
      <w:pPr>
        <w:spacing w:after="120" w:line="240" w:lineRule="auto"/>
        <w:jc w:val="both"/>
        <w:rPr>
          <w:bCs/>
          <w:sz w:val="24"/>
          <w:szCs w:val="24"/>
        </w:rPr>
      </w:pPr>
      <w:r w:rsidRPr="00176C6F">
        <w:rPr>
          <w:bCs/>
          <w:sz w:val="24"/>
          <w:szCs w:val="24"/>
        </w:rPr>
        <w:t xml:space="preserve">Monish Bhatia: </w:t>
      </w:r>
      <w:hyperlink r:id="rId8" w:history="1">
        <w:r w:rsidRPr="00176C6F">
          <w:rPr>
            <w:rStyle w:val="Hyperlink"/>
            <w:bCs/>
            <w:sz w:val="24"/>
            <w:szCs w:val="24"/>
          </w:rPr>
          <w:t>monish.bhatia@york.ac.uk</w:t>
        </w:r>
      </w:hyperlink>
    </w:p>
    <w:p w14:paraId="0B19B5D6" w14:textId="50731EA8" w:rsidR="00176C6F" w:rsidRPr="00176C6F" w:rsidRDefault="00176C6F" w:rsidP="00321D34">
      <w:pPr>
        <w:spacing w:after="120" w:line="240" w:lineRule="auto"/>
        <w:jc w:val="both"/>
        <w:rPr>
          <w:bCs/>
          <w:sz w:val="24"/>
          <w:szCs w:val="24"/>
        </w:rPr>
      </w:pPr>
      <w:r w:rsidRPr="00176C6F">
        <w:rPr>
          <w:bCs/>
          <w:sz w:val="24"/>
          <w:szCs w:val="24"/>
        </w:rPr>
        <w:t xml:space="preserve">Matilde Rosina: </w:t>
      </w:r>
      <w:hyperlink r:id="rId9" w:history="1">
        <w:r w:rsidRPr="00176C6F">
          <w:rPr>
            <w:rStyle w:val="Hyperlink"/>
            <w:bCs/>
            <w:sz w:val="24"/>
            <w:szCs w:val="24"/>
          </w:rPr>
          <w:t>matilde.rosina@brunel.ac.uk</w:t>
        </w:r>
      </w:hyperlink>
    </w:p>
    <w:p w14:paraId="1D8001A9" w14:textId="499EBD56" w:rsidR="00176C6F" w:rsidRPr="00176C6F" w:rsidRDefault="00176C6F" w:rsidP="00321D34">
      <w:pPr>
        <w:spacing w:after="120" w:line="240" w:lineRule="auto"/>
        <w:jc w:val="both"/>
        <w:rPr>
          <w:rFonts w:ascii="Roboto" w:hAnsi="Roboto"/>
          <w:bCs/>
          <w:color w:val="5E5E5E"/>
          <w:sz w:val="21"/>
          <w:szCs w:val="21"/>
          <w:shd w:val="clear" w:color="auto" w:fill="FFFFFF"/>
        </w:rPr>
      </w:pPr>
      <w:r w:rsidRPr="00176C6F">
        <w:rPr>
          <w:bCs/>
          <w:sz w:val="24"/>
          <w:szCs w:val="24"/>
        </w:rPr>
        <w:t xml:space="preserve">Niina </w:t>
      </w:r>
      <w:proofErr w:type="spellStart"/>
      <w:r w:rsidRPr="00176C6F">
        <w:rPr>
          <w:bCs/>
          <w:sz w:val="24"/>
          <w:szCs w:val="24"/>
        </w:rPr>
        <w:t>Vuolajarvi</w:t>
      </w:r>
      <w:proofErr w:type="spellEnd"/>
      <w:r w:rsidRPr="00176C6F">
        <w:rPr>
          <w:bCs/>
          <w:sz w:val="24"/>
          <w:szCs w:val="24"/>
        </w:rPr>
        <w:t xml:space="preserve">: </w:t>
      </w:r>
      <w:hyperlink r:id="rId10" w:history="1">
        <w:r w:rsidRPr="00176C6F">
          <w:rPr>
            <w:rStyle w:val="Hyperlink"/>
            <w:bCs/>
            <w:sz w:val="24"/>
            <w:szCs w:val="24"/>
          </w:rPr>
          <w:t>n.vuolajarvi@lse.ac.uk</w:t>
        </w:r>
      </w:hyperlink>
      <w:r w:rsidRPr="00176C6F">
        <w:rPr>
          <w:bCs/>
          <w:sz w:val="24"/>
          <w:szCs w:val="24"/>
        </w:rPr>
        <w:t xml:space="preserve"> </w:t>
      </w:r>
      <w:r w:rsidRPr="00176C6F">
        <w:rPr>
          <w:rFonts w:ascii="Roboto" w:hAnsi="Roboto"/>
          <w:bCs/>
          <w:color w:val="5E5E5E"/>
          <w:sz w:val="21"/>
          <w:szCs w:val="21"/>
          <w:shd w:val="clear" w:color="auto" w:fill="FFFFFF"/>
        </w:rPr>
        <w:t xml:space="preserve"> </w:t>
      </w:r>
    </w:p>
    <w:p w14:paraId="79002C59" w14:textId="77777777" w:rsidR="00176C6F" w:rsidRPr="00321D34" w:rsidRDefault="00176C6F" w:rsidP="00321D34">
      <w:pPr>
        <w:spacing w:after="120" w:line="240" w:lineRule="auto"/>
        <w:jc w:val="both"/>
        <w:rPr>
          <w:b/>
          <w:sz w:val="24"/>
          <w:szCs w:val="24"/>
        </w:rPr>
      </w:pPr>
    </w:p>
    <w:p w14:paraId="112936AA" w14:textId="47224150" w:rsidR="0059722D" w:rsidRPr="00321D34" w:rsidRDefault="00AA1C0E" w:rsidP="00321D34">
      <w:pPr>
        <w:pStyle w:val="Heading1"/>
        <w:rPr>
          <w:rFonts w:ascii="Arial" w:hAnsi="Arial" w:cs="Arial"/>
        </w:rPr>
      </w:pPr>
      <w:bookmarkStart w:id="0" w:name="_cpohs5x9jjd1" w:colFirst="0" w:colLast="0"/>
      <w:bookmarkStart w:id="1" w:name="_wsf75taad43s" w:colFirst="0" w:colLast="0"/>
      <w:bookmarkEnd w:id="0"/>
      <w:bookmarkEnd w:id="1"/>
      <w:r w:rsidRPr="00321D34">
        <w:rPr>
          <w:rFonts w:ascii="Arial" w:hAnsi="Arial" w:cs="Arial"/>
        </w:rPr>
        <w:t>Introduction</w:t>
      </w:r>
    </w:p>
    <w:p w14:paraId="5EF747BE" w14:textId="4D318BE9" w:rsidR="00EB2C64" w:rsidRPr="00321D34" w:rsidRDefault="00451DD7" w:rsidP="00321D34">
      <w:pPr>
        <w:spacing w:after="120" w:line="240" w:lineRule="auto"/>
        <w:jc w:val="both"/>
        <w:rPr>
          <w:sz w:val="24"/>
          <w:szCs w:val="24"/>
        </w:rPr>
      </w:pPr>
      <w:r w:rsidRPr="00321D34">
        <w:rPr>
          <w:sz w:val="24"/>
          <w:szCs w:val="24"/>
        </w:rPr>
        <w:t>In recent years, the escalation of policing</w:t>
      </w:r>
      <w:r w:rsidR="00647F33" w:rsidRPr="00321D34">
        <w:rPr>
          <w:sz w:val="24"/>
          <w:szCs w:val="24"/>
        </w:rPr>
        <w:t xml:space="preserve">, </w:t>
      </w:r>
      <w:r w:rsidRPr="00321D34">
        <w:rPr>
          <w:sz w:val="24"/>
          <w:szCs w:val="24"/>
        </w:rPr>
        <w:t>bordering practices, detentio</w:t>
      </w:r>
      <w:r w:rsidR="00647F33" w:rsidRPr="00321D34">
        <w:rPr>
          <w:sz w:val="24"/>
          <w:szCs w:val="24"/>
        </w:rPr>
        <w:t>n</w:t>
      </w:r>
      <w:r w:rsidRPr="00321D34">
        <w:rPr>
          <w:sz w:val="24"/>
          <w:szCs w:val="24"/>
        </w:rPr>
        <w:t xml:space="preserve">, and deportation has become a common phenomenon around the world. There is an expansion of the </w:t>
      </w:r>
      <w:proofErr w:type="spellStart"/>
      <w:r w:rsidRPr="00321D34">
        <w:rPr>
          <w:sz w:val="24"/>
          <w:szCs w:val="24"/>
        </w:rPr>
        <w:t>crimmigration</w:t>
      </w:r>
      <w:proofErr w:type="spellEnd"/>
      <w:r w:rsidRPr="00321D34">
        <w:rPr>
          <w:sz w:val="24"/>
          <w:szCs w:val="24"/>
        </w:rPr>
        <w:t xml:space="preserve"> system (Stumpf, 2006), which has increasingly blurred the boundaries between </w:t>
      </w:r>
      <w:r w:rsidR="005167C1">
        <w:rPr>
          <w:sz w:val="24"/>
          <w:szCs w:val="24"/>
        </w:rPr>
        <w:t xml:space="preserve">the </w:t>
      </w:r>
      <w:r w:rsidRPr="00321D34">
        <w:rPr>
          <w:sz w:val="24"/>
          <w:szCs w:val="24"/>
        </w:rPr>
        <w:t xml:space="preserve">immigration and criminal justice spheres. </w:t>
      </w:r>
    </w:p>
    <w:p w14:paraId="5810DFC4" w14:textId="1449FFFC" w:rsidR="00221E58" w:rsidRPr="00E9211D" w:rsidRDefault="00451DD7" w:rsidP="00E9211D">
      <w:pPr>
        <w:pStyle w:val="paragraph"/>
        <w:spacing w:before="0" w:beforeAutospacing="0" w:after="120" w:afterAutospacing="0"/>
        <w:jc w:val="both"/>
        <w:textAlignment w:val="baseline"/>
        <w:rPr>
          <w:rFonts w:ascii="Arial" w:hAnsi="Arial" w:cs="Arial"/>
          <w:color w:val="0078D4"/>
        </w:rPr>
      </w:pPr>
      <w:r w:rsidRPr="00321D34">
        <w:rPr>
          <w:rFonts w:ascii="Arial" w:hAnsi="Arial" w:cs="Arial"/>
        </w:rPr>
        <w:t xml:space="preserve">Take the example of the UK: there are now over 88 immigration crimes, which are prosecutable via criminal courts. The British Nationality and Borders Act further expanded these crimes by increasing the sanctions for irregular entry and stay. And non-nationals prosecuted for crimes are subject to deportation proceedings, amounting to what the literature terms as “double punishment” (Turnbull and </w:t>
      </w:r>
      <w:proofErr w:type="spellStart"/>
      <w:r w:rsidRPr="00321D34">
        <w:rPr>
          <w:rFonts w:ascii="Arial" w:hAnsi="Arial" w:cs="Arial"/>
        </w:rPr>
        <w:t>Hassleberg</w:t>
      </w:r>
      <w:proofErr w:type="spellEnd"/>
      <w:r w:rsidRPr="00321D34">
        <w:rPr>
          <w:rFonts w:ascii="Arial" w:hAnsi="Arial" w:cs="Arial"/>
        </w:rPr>
        <w:t xml:space="preserve">, 2017; </w:t>
      </w:r>
      <w:proofErr w:type="spellStart"/>
      <w:r w:rsidRPr="00321D34">
        <w:rPr>
          <w:rFonts w:ascii="Arial" w:hAnsi="Arial" w:cs="Arial"/>
        </w:rPr>
        <w:t>Maugendre</w:t>
      </w:r>
      <w:proofErr w:type="spellEnd"/>
      <w:r w:rsidRPr="00321D34">
        <w:rPr>
          <w:rFonts w:ascii="Arial" w:hAnsi="Arial" w:cs="Arial"/>
        </w:rPr>
        <w:t>, 2012). The state has also deployed a punitive drag-net, and various third parties including landlords,</w:t>
      </w:r>
      <w:r w:rsidR="00E4425F">
        <w:rPr>
          <w:rFonts w:ascii="Arial" w:hAnsi="Arial" w:cs="Arial"/>
        </w:rPr>
        <w:t xml:space="preserve"> welfare services,</w:t>
      </w:r>
      <w:r w:rsidRPr="00321D34">
        <w:rPr>
          <w:rFonts w:ascii="Arial" w:hAnsi="Arial" w:cs="Arial"/>
        </w:rPr>
        <w:t xml:space="preserve"> employers, and healthcare providers, can now report those deemed as ‘illegal’ migrants to the authorities</w:t>
      </w:r>
      <w:r w:rsidR="00E4425F">
        <w:rPr>
          <w:rFonts w:ascii="Arial" w:hAnsi="Arial" w:cs="Arial"/>
        </w:rPr>
        <w:t xml:space="preserve"> (Bhatia, 2020)</w:t>
      </w:r>
      <w:r w:rsidRPr="00321D34">
        <w:rPr>
          <w:rFonts w:ascii="Arial" w:hAnsi="Arial" w:cs="Arial"/>
        </w:rPr>
        <w:t xml:space="preserve">. </w:t>
      </w:r>
    </w:p>
    <w:p w14:paraId="63242FA8" w14:textId="4C745250" w:rsidR="002D2FB7" w:rsidRPr="00E9211D" w:rsidRDefault="00451DD7" w:rsidP="00321D34">
      <w:pPr>
        <w:spacing w:after="120" w:line="240" w:lineRule="auto"/>
        <w:jc w:val="both"/>
        <w:rPr>
          <w:rStyle w:val="normaltextrun"/>
          <w:sz w:val="24"/>
          <w:szCs w:val="24"/>
        </w:rPr>
      </w:pPr>
      <w:r w:rsidRPr="00E9211D">
        <w:rPr>
          <w:sz w:val="24"/>
          <w:szCs w:val="24"/>
        </w:rPr>
        <w:t xml:space="preserve">Beyond the UK, the processes and practices contributing to the </w:t>
      </w:r>
      <w:proofErr w:type="spellStart"/>
      <w:r w:rsidRPr="00E9211D">
        <w:rPr>
          <w:sz w:val="24"/>
          <w:szCs w:val="24"/>
        </w:rPr>
        <w:t>criminalisation</w:t>
      </w:r>
      <w:proofErr w:type="spellEnd"/>
      <w:r w:rsidRPr="00E9211D">
        <w:rPr>
          <w:sz w:val="24"/>
          <w:szCs w:val="24"/>
        </w:rPr>
        <w:t xml:space="preserve"> of migration and punitive turn in</w:t>
      </w:r>
      <w:r w:rsidR="00E41E96">
        <w:rPr>
          <w:sz w:val="24"/>
          <w:szCs w:val="24"/>
        </w:rPr>
        <w:t xml:space="preserve"> </w:t>
      </w:r>
      <w:r w:rsidR="00E41E96" w:rsidRPr="005A7BC6">
        <w:rPr>
          <w:sz w:val="24"/>
          <w:szCs w:val="24"/>
        </w:rPr>
        <w:t>the</w:t>
      </w:r>
      <w:r w:rsidRPr="005A7BC6">
        <w:rPr>
          <w:sz w:val="24"/>
          <w:szCs w:val="24"/>
        </w:rPr>
        <w:t xml:space="preserve"> confinement of minorities (in prisons, detentions, and community) have intensified in both the Global North and South (Rosina, 2022; FRA, 2014; </w:t>
      </w:r>
      <w:r w:rsidRPr="005A7BC6">
        <w:rPr>
          <w:sz w:val="24"/>
        </w:rPr>
        <w:t xml:space="preserve">Bhatia, </w:t>
      </w:r>
      <w:r w:rsidRPr="005A7BC6">
        <w:rPr>
          <w:sz w:val="24"/>
          <w:szCs w:val="24"/>
        </w:rPr>
        <w:t>202</w:t>
      </w:r>
      <w:r w:rsidR="00E4425F" w:rsidRPr="005A7BC6">
        <w:rPr>
          <w:sz w:val="24"/>
          <w:szCs w:val="24"/>
        </w:rPr>
        <w:t>1</w:t>
      </w:r>
      <w:r w:rsidRPr="005A7BC6">
        <w:rPr>
          <w:sz w:val="24"/>
          <w:szCs w:val="24"/>
        </w:rPr>
        <w:t xml:space="preserve">; Franko, 2019). </w:t>
      </w:r>
      <w:r w:rsidR="00E9211D" w:rsidRPr="005A7BC6">
        <w:rPr>
          <w:sz w:val="24"/>
          <w:szCs w:val="24"/>
        </w:rPr>
        <w:t xml:space="preserve">It is enough to think of </w:t>
      </w:r>
      <w:r w:rsidR="00E9211D" w:rsidRPr="005A7BC6">
        <w:rPr>
          <w:rStyle w:val="normaltextrun"/>
          <w:sz w:val="24"/>
          <w:szCs w:val="24"/>
        </w:rPr>
        <w:t>t</w:t>
      </w:r>
      <w:r w:rsidR="00EF415D" w:rsidRPr="005A7BC6">
        <w:rPr>
          <w:rStyle w:val="normaltextrun"/>
          <w:sz w:val="24"/>
          <w:szCs w:val="24"/>
        </w:rPr>
        <w:t>he</w:t>
      </w:r>
      <w:r w:rsidR="002D2FB7" w:rsidRPr="005A7BC6">
        <w:rPr>
          <w:rStyle w:val="normaltextrun"/>
          <w:sz w:val="24"/>
          <w:szCs w:val="24"/>
        </w:rPr>
        <w:t xml:space="preserve"> crime of migration</w:t>
      </w:r>
      <w:r w:rsidR="00E9211D" w:rsidRPr="005A7BC6">
        <w:rPr>
          <w:rStyle w:val="normaltextrun"/>
          <w:sz w:val="24"/>
          <w:szCs w:val="24"/>
        </w:rPr>
        <w:t>, which</w:t>
      </w:r>
      <w:r w:rsidR="002D2FB7" w:rsidRPr="005A7BC6">
        <w:rPr>
          <w:rStyle w:val="normaltextrun"/>
          <w:sz w:val="24"/>
          <w:szCs w:val="24"/>
        </w:rPr>
        <w:t xml:space="preserve"> is </w:t>
      </w:r>
      <w:r w:rsidR="00E9211D" w:rsidRPr="005A7BC6">
        <w:rPr>
          <w:rStyle w:val="normaltextrun"/>
          <w:sz w:val="24"/>
          <w:szCs w:val="24"/>
        </w:rPr>
        <w:t xml:space="preserve">today </w:t>
      </w:r>
      <w:r w:rsidR="002D2FB7" w:rsidRPr="005A7BC6">
        <w:rPr>
          <w:rStyle w:val="normaltextrun"/>
          <w:sz w:val="24"/>
          <w:szCs w:val="24"/>
        </w:rPr>
        <w:t>a crucial element in</w:t>
      </w:r>
      <w:r w:rsidR="002D2FB7" w:rsidRPr="00E9211D">
        <w:rPr>
          <w:rStyle w:val="normaltextrun"/>
          <w:sz w:val="24"/>
          <w:szCs w:val="24"/>
        </w:rPr>
        <w:t xml:space="preserve"> </w:t>
      </w:r>
      <w:r w:rsidR="00E9211D" w:rsidRPr="00E9211D">
        <w:rPr>
          <w:rStyle w:val="normaltextrun"/>
          <w:sz w:val="24"/>
          <w:szCs w:val="24"/>
        </w:rPr>
        <w:t>all but two</w:t>
      </w:r>
      <w:r w:rsidR="002D2FB7" w:rsidRPr="00E9211D">
        <w:rPr>
          <w:rStyle w:val="normaltextrun"/>
          <w:sz w:val="24"/>
          <w:szCs w:val="24"/>
        </w:rPr>
        <w:t xml:space="preserve"> </w:t>
      </w:r>
      <w:r w:rsidR="00E9211D" w:rsidRPr="00E9211D">
        <w:rPr>
          <w:rStyle w:val="normaltextrun"/>
          <w:sz w:val="24"/>
          <w:szCs w:val="24"/>
        </w:rPr>
        <w:t>EU member states (FRA 2014), and of</w:t>
      </w:r>
      <w:r w:rsidR="001C60D6">
        <w:rPr>
          <w:rStyle w:val="normaltextrun"/>
          <w:sz w:val="24"/>
          <w:szCs w:val="24"/>
        </w:rPr>
        <w:t xml:space="preserve"> the increasing discourse portraying migrants as criminals or as a “hybrid” threat that allows for the circumvention of humanitarian obligations.</w:t>
      </w:r>
    </w:p>
    <w:p w14:paraId="3062015B" w14:textId="33FD6066" w:rsidR="00231DD8" w:rsidRPr="00321D34" w:rsidRDefault="00457D12" w:rsidP="00321D34">
      <w:pPr>
        <w:pStyle w:val="paragraph"/>
        <w:spacing w:before="0" w:beforeAutospacing="0" w:after="120" w:afterAutospacing="0"/>
        <w:jc w:val="both"/>
        <w:textAlignment w:val="baseline"/>
        <w:rPr>
          <w:rStyle w:val="eop"/>
          <w:rFonts w:ascii="Arial" w:hAnsi="Arial" w:cs="Arial"/>
        </w:rPr>
      </w:pPr>
      <w:r w:rsidRPr="00321D34">
        <w:rPr>
          <w:rStyle w:val="normaltextrun"/>
          <w:rFonts w:ascii="Arial" w:hAnsi="Arial" w:cs="Arial"/>
        </w:rPr>
        <w:t>What are the reasons behind such pushes for criminalisation, and what their implications? How do people manage</w:t>
      </w:r>
      <w:r w:rsidR="00E41E96">
        <w:rPr>
          <w:rStyle w:val="normaltextrun"/>
          <w:rFonts w:ascii="Arial" w:hAnsi="Arial" w:cs="Arial"/>
        </w:rPr>
        <w:t xml:space="preserve">, respond to, and </w:t>
      </w:r>
      <w:r w:rsidRPr="00321D34">
        <w:rPr>
          <w:rStyle w:val="normaltextrun"/>
          <w:rFonts w:ascii="Arial" w:hAnsi="Arial" w:cs="Arial"/>
        </w:rPr>
        <w:t>counter these practices? How does migrant criminalisation intersect with gender, sexuality, race, class, and caste?</w:t>
      </w:r>
      <w:r w:rsidRPr="00321D34">
        <w:rPr>
          <w:rStyle w:val="eop"/>
          <w:rFonts w:ascii="Arial" w:hAnsi="Arial" w:cs="Arial"/>
        </w:rPr>
        <w:t> </w:t>
      </w:r>
      <w:r w:rsidR="00D06BFC" w:rsidRPr="00321D34">
        <w:rPr>
          <w:rStyle w:val="eop"/>
          <w:rFonts w:ascii="Arial" w:hAnsi="Arial" w:cs="Arial"/>
        </w:rPr>
        <w:t xml:space="preserve">These are the questions at the core of this special issue, which aims to expand the discussion on the criminalisation of migration, through </w:t>
      </w:r>
      <w:r w:rsidR="00C7214F" w:rsidRPr="00321D34">
        <w:rPr>
          <w:rStyle w:val="eop"/>
          <w:rFonts w:ascii="Arial" w:hAnsi="Arial" w:cs="Arial"/>
        </w:rPr>
        <w:t xml:space="preserve">a </w:t>
      </w:r>
      <w:r w:rsidR="00C665A2" w:rsidRPr="00321D34">
        <w:rPr>
          <w:rStyle w:val="eop"/>
          <w:rFonts w:ascii="Arial" w:hAnsi="Arial" w:cs="Arial"/>
        </w:rPr>
        <w:t>set of intersectional and interdisciplinary analyses.</w:t>
      </w:r>
    </w:p>
    <w:p w14:paraId="1C884D21" w14:textId="77777777" w:rsidR="006E4F16" w:rsidRPr="00321D34" w:rsidRDefault="006E4F16" w:rsidP="00321D34">
      <w:pPr>
        <w:pStyle w:val="paragraph"/>
        <w:spacing w:before="0" w:beforeAutospacing="0" w:after="120" w:afterAutospacing="0"/>
        <w:jc w:val="both"/>
        <w:textAlignment w:val="baseline"/>
        <w:rPr>
          <w:rStyle w:val="eop"/>
          <w:rFonts w:ascii="Arial" w:hAnsi="Arial" w:cs="Arial"/>
        </w:rPr>
      </w:pPr>
    </w:p>
    <w:p w14:paraId="71D57435" w14:textId="54FF7A8F" w:rsidR="00CC7C16" w:rsidRPr="00321D34" w:rsidRDefault="00CC7C16" w:rsidP="00321D34">
      <w:pPr>
        <w:pStyle w:val="Heading1"/>
        <w:rPr>
          <w:rFonts w:ascii="Arial" w:hAnsi="Arial" w:cs="Arial"/>
        </w:rPr>
      </w:pPr>
      <w:proofErr w:type="spellStart"/>
      <w:r w:rsidRPr="00321D34">
        <w:rPr>
          <w:rStyle w:val="eop"/>
          <w:rFonts w:ascii="Arial" w:hAnsi="Arial" w:cs="Arial"/>
        </w:rPr>
        <w:t>Crimmigration</w:t>
      </w:r>
      <w:proofErr w:type="spellEnd"/>
    </w:p>
    <w:p w14:paraId="2C8212CC" w14:textId="1A5A0451" w:rsidR="00E76839" w:rsidRPr="00321D34" w:rsidRDefault="00E76839" w:rsidP="00321D34">
      <w:pPr>
        <w:spacing w:after="120" w:line="240" w:lineRule="auto"/>
        <w:jc w:val="both"/>
        <w:rPr>
          <w:strike/>
          <w:sz w:val="24"/>
          <w:szCs w:val="24"/>
        </w:rPr>
      </w:pPr>
      <w:r w:rsidRPr="00321D34">
        <w:rPr>
          <w:sz w:val="24"/>
          <w:szCs w:val="24"/>
        </w:rPr>
        <w:t>The above</w:t>
      </w:r>
      <w:r w:rsidR="00FA19B7">
        <w:rPr>
          <w:sz w:val="24"/>
          <w:szCs w:val="24"/>
        </w:rPr>
        <w:t>-mentioned restrictions</w:t>
      </w:r>
      <w:r w:rsidRPr="00321D34">
        <w:rPr>
          <w:sz w:val="24"/>
          <w:szCs w:val="24"/>
        </w:rPr>
        <w:t xml:space="preserve"> h</w:t>
      </w:r>
      <w:r w:rsidR="00540172">
        <w:rPr>
          <w:sz w:val="24"/>
          <w:szCs w:val="24"/>
        </w:rPr>
        <w:t>ave</w:t>
      </w:r>
      <w:r w:rsidRPr="00321D34">
        <w:rPr>
          <w:sz w:val="24"/>
          <w:szCs w:val="24"/>
        </w:rPr>
        <w:t xml:space="preserve"> often been studied through the lenses of </w:t>
      </w:r>
      <w:r w:rsidR="00540172">
        <w:rPr>
          <w:sz w:val="24"/>
          <w:szCs w:val="24"/>
        </w:rPr>
        <w:t>‘</w:t>
      </w:r>
      <w:proofErr w:type="spellStart"/>
      <w:r w:rsidRPr="00321D34">
        <w:rPr>
          <w:sz w:val="24"/>
          <w:szCs w:val="24"/>
        </w:rPr>
        <w:t>crimmigration</w:t>
      </w:r>
      <w:proofErr w:type="spellEnd"/>
      <w:r w:rsidR="00540172">
        <w:rPr>
          <w:sz w:val="24"/>
          <w:szCs w:val="24"/>
        </w:rPr>
        <w:t>’</w:t>
      </w:r>
      <w:r w:rsidRPr="00321D34">
        <w:rPr>
          <w:sz w:val="24"/>
          <w:szCs w:val="24"/>
        </w:rPr>
        <w:t xml:space="preserve">. </w:t>
      </w:r>
      <w:r w:rsidR="0058260A" w:rsidRPr="00321D34">
        <w:rPr>
          <w:rStyle w:val="normaltextrun"/>
          <w:sz w:val="24"/>
          <w:szCs w:val="24"/>
        </w:rPr>
        <w:t xml:space="preserve">While </w:t>
      </w:r>
      <w:proofErr w:type="spellStart"/>
      <w:r w:rsidR="0058260A" w:rsidRPr="00321D34">
        <w:rPr>
          <w:rStyle w:val="normaltextrun"/>
          <w:sz w:val="24"/>
          <w:szCs w:val="24"/>
        </w:rPr>
        <w:t>crimmigration</w:t>
      </w:r>
      <w:proofErr w:type="spellEnd"/>
      <w:r w:rsidR="0058260A" w:rsidRPr="00321D34">
        <w:rPr>
          <w:rStyle w:val="normaltextrun"/>
          <w:sz w:val="24"/>
          <w:szCs w:val="24"/>
        </w:rPr>
        <w:t xml:space="preserve"> scholars define </w:t>
      </w:r>
      <w:proofErr w:type="spellStart"/>
      <w:r w:rsidR="0058260A" w:rsidRPr="00321D34">
        <w:rPr>
          <w:rStyle w:val="normaltextrun"/>
          <w:sz w:val="24"/>
          <w:szCs w:val="24"/>
        </w:rPr>
        <w:t>criminalisation</w:t>
      </w:r>
      <w:proofErr w:type="spellEnd"/>
      <w:r w:rsidR="0058260A" w:rsidRPr="00321D34">
        <w:rPr>
          <w:rStyle w:val="normaltextrun"/>
          <w:sz w:val="24"/>
          <w:szCs w:val="24"/>
        </w:rPr>
        <w:t xml:space="preserve"> as the increasing </w:t>
      </w:r>
      <w:r w:rsidR="0058260A" w:rsidRPr="00321D34">
        <w:rPr>
          <w:rStyle w:val="normaltextrun"/>
          <w:sz w:val="24"/>
          <w:szCs w:val="24"/>
        </w:rPr>
        <w:lastRenderedPageBreak/>
        <w:t xml:space="preserve">resemblance between migration and the criminal law, European-based academics tend to understand the concept in a broader way, often including restrictive measures beyond criminal law such as administrative detention, surveillance, and policing (Provera 2015). </w:t>
      </w:r>
    </w:p>
    <w:p w14:paraId="112936AB" w14:textId="58EA512E" w:rsidR="0059722D" w:rsidRPr="00321D34" w:rsidRDefault="00451DD7" w:rsidP="00321D34">
      <w:pPr>
        <w:spacing w:after="120" w:line="240" w:lineRule="auto"/>
        <w:jc w:val="both"/>
        <w:rPr>
          <w:sz w:val="24"/>
          <w:szCs w:val="24"/>
        </w:rPr>
      </w:pPr>
      <w:r w:rsidRPr="00321D34">
        <w:rPr>
          <w:sz w:val="24"/>
          <w:szCs w:val="24"/>
        </w:rPr>
        <w:t xml:space="preserve">While path-breaking, the literature on </w:t>
      </w:r>
      <w:proofErr w:type="spellStart"/>
      <w:r w:rsidRPr="00321D34">
        <w:rPr>
          <w:sz w:val="24"/>
          <w:szCs w:val="24"/>
        </w:rPr>
        <w:t>crimmigration</w:t>
      </w:r>
      <w:proofErr w:type="spellEnd"/>
      <w:r w:rsidRPr="00321D34">
        <w:rPr>
          <w:sz w:val="24"/>
          <w:szCs w:val="24"/>
        </w:rPr>
        <w:t xml:space="preserve"> </w:t>
      </w:r>
      <w:r w:rsidR="009175C2" w:rsidRPr="00321D34">
        <w:rPr>
          <w:sz w:val="24"/>
          <w:szCs w:val="24"/>
        </w:rPr>
        <w:t xml:space="preserve">has </w:t>
      </w:r>
      <w:r w:rsidRPr="00321D34">
        <w:rPr>
          <w:sz w:val="24"/>
          <w:szCs w:val="24"/>
        </w:rPr>
        <w:t>also</w:t>
      </w:r>
      <w:r w:rsidR="009175C2" w:rsidRPr="00321D34">
        <w:rPr>
          <w:sz w:val="24"/>
          <w:szCs w:val="24"/>
        </w:rPr>
        <w:t xml:space="preserve"> been</w:t>
      </w:r>
      <w:r w:rsidRPr="00321D34">
        <w:rPr>
          <w:sz w:val="24"/>
          <w:szCs w:val="24"/>
        </w:rPr>
        <w:t xml:space="preserve"> critiqued for not engaging productively with race (Garner, 2015; Armenta, 2017</w:t>
      </w:r>
      <w:r w:rsidR="00E4425F">
        <w:rPr>
          <w:sz w:val="24"/>
          <w:szCs w:val="24"/>
        </w:rPr>
        <w:t>; Bhatia, 2020</w:t>
      </w:r>
      <w:r w:rsidRPr="00321D34">
        <w:rPr>
          <w:sz w:val="24"/>
          <w:szCs w:val="24"/>
        </w:rPr>
        <w:t xml:space="preserve">) and gender (Hartry, 2012). Also, scholarship has not adequately unpacked the social, legal and historical contexts in which immigrants are </w:t>
      </w:r>
      <w:proofErr w:type="spellStart"/>
      <w:r w:rsidRPr="00321D34">
        <w:rPr>
          <w:sz w:val="24"/>
          <w:szCs w:val="24"/>
        </w:rPr>
        <w:t>criminalised</w:t>
      </w:r>
      <w:proofErr w:type="spellEnd"/>
      <w:r w:rsidRPr="00321D34">
        <w:rPr>
          <w:sz w:val="24"/>
          <w:szCs w:val="24"/>
        </w:rPr>
        <w:t xml:space="preserve"> and punished (Abrego and </w:t>
      </w:r>
      <w:proofErr w:type="spellStart"/>
      <w:r w:rsidRPr="00321D34">
        <w:rPr>
          <w:sz w:val="24"/>
          <w:szCs w:val="24"/>
        </w:rPr>
        <w:t>Schmalzbauer</w:t>
      </w:r>
      <w:proofErr w:type="spellEnd"/>
      <w:r w:rsidRPr="00321D34">
        <w:rPr>
          <w:sz w:val="24"/>
          <w:szCs w:val="24"/>
        </w:rPr>
        <w:t xml:space="preserve">, 2018). </w:t>
      </w:r>
    </w:p>
    <w:p w14:paraId="1B9397AE" w14:textId="3630F2FD" w:rsidR="00EB2C64" w:rsidRPr="00321D34" w:rsidRDefault="00451DD7" w:rsidP="00321D34">
      <w:pPr>
        <w:spacing w:after="120" w:line="240" w:lineRule="auto"/>
        <w:jc w:val="both"/>
        <w:rPr>
          <w:sz w:val="24"/>
          <w:szCs w:val="24"/>
        </w:rPr>
      </w:pPr>
      <w:r w:rsidRPr="00321D34">
        <w:rPr>
          <w:sz w:val="24"/>
          <w:szCs w:val="24"/>
        </w:rPr>
        <w:t xml:space="preserve">The </w:t>
      </w:r>
      <w:proofErr w:type="spellStart"/>
      <w:r w:rsidRPr="00321D34">
        <w:rPr>
          <w:sz w:val="24"/>
          <w:szCs w:val="24"/>
        </w:rPr>
        <w:t>criminalisation</w:t>
      </w:r>
      <w:proofErr w:type="spellEnd"/>
      <w:r w:rsidRPr="00321D34">
        <w:rPr>
          <w:sz w:val="24"/>
          <w:szCs w:val="24"/>
        </w:rPr>
        <w:t xml:space="preserve"> and </w:t>
      </w:r>
      <w:r w:rsidRPr="00D34167">
        <w:rPr>
          <w:sz w:val="24"/>
          <w:szCs w:val="24"/>
        </w:rPr>
        <w:t>policing of migration does not affect people equally, instead it is highly racialized and has differing effects based on gender,</w:t>
      </w:r>
      <w:r w:rsidR="00E4425F" w:rsidRPr="00D34167">
        <w:rPr>
          <w:sz w:val="24"/>
          <w:szCs w:val="24"/>
        </w:rPr>
        <w:t xml:space="preserve"> race,</w:t>
      </w:r>
      <w:r w:rsidRPr="00D34167">
        <w:rPr>
          <w:sz w:val="24"/>
          <w:szCs w:val="24"/>
        </w:rPr>
        <w:t xml:space="preserve"> </w:t>
      </w:r>
      <w:r w:rsidRPr="00D34167">
        <w:rPr>
          <w:sz w:val="24"/>
        </w:rPr>
        <w:t>sexuality</w:t>
      </w:r>
      <w:r w:rsidR="00E4425F" w:rsidRPr="00D34167">
        <w:rPr>
          <w:sz w:val="24"/>
          <w:szCs w:val="24"/>
        </w:rPr>
        <w:t xml:space="preserve">, </w:t>
      </w:r>
      <w:r w:rsidRPr="00D34167">
        <w:rPr>
          <w:sz w:val="24"/>
          <w:szCs w:val="24"/>
        </w:rPr>
        <w:t>class</w:t>
      </w:r>
      <w:r w:rsidR="00E4425F" w:rsidRPr="00D34167">
        <w:rPr>
          <w:sz w:val="24"/>
        </w:rPr>
        <w:t xml:space="preserve"> and </w:t>
      </w:r>
      <w:r w:rsidR="00E4425F" w:rsidRPr="00D34167">
        <w:rPr>
          <w:sz w:val="24"/>
          <w:szCs w:val="24"/>
        </w:rPr>
        <w:t>other identity markers</w:t>
      </w:r>
      <w:r w:rsidRPr="00D34167">
        <w:rPr>
          <w:sz w:val="24"/>
          <w:szCs w:val="24"/>
        </w:rPr>
        <w:t xml:space="preserve"> (</w:t>
      </w:r>
      <w:proofErr w:type="spellStart"/>
      <w:r w:rsidRPr="00D34167">
        <w:rPr>
          <w:sz w:val="24"/>
          <w:szCs w:val="24"/>
        </w:rPr>
        <w:t>Vuolajärvi</w:t>
      </w:r>
      <w:proofErr w:type="spellEnd"/>
      <w:r w:rsidRPr="00D34167">
        <w:rPr>
          <w:sz w:val="24"/>
          <w:szCs w:val="24"/>
        </w:rPr>
        <w:t xml:space="preserve"> 2019; Bhatia, 2023). Black feminists have long argued that oppression cannot be viewed from a single axis framework and is better understood as being formed by intersecting and interlocking systems (Davis, 1981; Crenshaw, 1991; Razack, 1998).</w:t>
      </w:r>
      <w:r w:rsidRPr="00321D34">
        <w:rPr>
          <w:sz w:val="24"/>
          <w:szCs w:val="24"/>
        </w:rPr>
        <w:t xml:space="preserve"> </w:t>
      </w:r>
    </w:p>
    <w:p w14:paraId="763B2152" w14:textId="77777777" w:rsidR="006E4F16" w:rsidRPr="00321D34" w:rsidRDefault="006E4F16" w:rsidP="00321D34">
      <w:pPr>
        <w:spacing w:after="120" w:line="240" w:lineRule="auto"/>
        <w:jc w:val="both"/>
        <w:rPr>
          <w:sz w:val="24"/>
          <w:szCs w:val="24"/>
        </w:rPr>
      </w:pPr>
    </w:p>
    <w:p w14:paraId="446946EF" w14:textId="19D8FB38" w:rsidR="00DE7B1D" w:rsidRPr="00321D34" w:rsidRDefault="00DE7B1D" w:rsidP="00321D34">
      <w:pPr>
        <w:pStyle w:val="Heading1"/>
        <w:rPr>
          <w:rFonts w:ascii="Arial" w:hAnsi="Arial" w:cs="Arial"/>
        </w:rPr>
      </w:pPr>
      <w:r w:rsidRPr="00321D34">
        <w:rPr>
          <w:rFonts w:ascii="Arial" w:hAnsi="Arial" w:cs="Arial"/>
        </w:rPr>
        <w:t>Contribution of the special issue</w:t>
      </w:r>
    </w:p>
    <w:p w14:paraId="112936AC" w14:textId="4BCA9660" w:rsidR="0059722D" w:rsidRPr="00321D34" w:rsidRDefault="0021223D" w:rsidP="00321D34">
      <w:pPr>
        <w:spacing w:after="120" w:line="240" w:lineRule="auto"/>
        <w:jc w:val="both"/>
        <w:rPr>
          <w:sz w:val="24"/>
          <w:szCs w:val="24"/>
        </w:rPr>
      </w:pPr>
      <w:r w:rsidRPr="00321D34">
        <w:rPr>
          <w:sz w:val="24"/>
          <w:szCs w:val="24"/>
        </w:rPr>
        <w:t>T</w:t>
      </w:r>
      <w:r w:rsidR="00451DD7" w:rsidRPr="00321D34">
        <w:rPr>
          <w:sz w:val="24"/>
          <w:szCs w:val="24"/>
        </w:rPr>
        <w:t xml:space="preserve">his special issue aims to advance the discussions on the </w:t>
      </w:r>
      <w:proofErr w:type="spellStart"/>
      <w:r w:rsidR="00451DD7" w:rsidRPr="00321D34">
        <w:rPr>
          <w:sz w:val="24"/>
          <w:szCs w:val="24"/>
        </w:rPr>
        <w:t>criminalisation</w:t>
      </w:r>
      <w:proofErr w:type="spellEnd"/>
      <w:r w:rsidR="00451DD7" w:rsidRPr="00321D34">
        <w:rPr>
          <w:sz w:val="24"/>
          <w:szCs w:val="24"/>
        </w:rPr>
        <w:t xml:space="preserve">, policing, and punishment of non-nationals by taking an intersectional perspective and multi-method approach that brings gender, race, and class in discussion with </w:t>
      </w:r>
      <w:proofErr w:type="spellStart"/>
      <w:r w:rsidR="00451DD7" w:rsidRPr="00321D34">
        <w:rPr>
          <w:sz w:val="24"/>
          <w:szCs w:val="24"/>
        </w:rPr>
        <w:t>crimmigration</w:t>
      </w:r>
      <w:proofErr w:type="spellEnd"/>
      <w:r w:rsidR="00451DD7" w:rsidRPr="00321D34">
        <w:rPr>
          <w:sz w:val="24"/>
          <w:szCs w:val="24"/>
        </w:rPr>
        <w:t xml:space="preserve">. </w:t>
      </w:r>
    </w:p>
    <w:p w14:paraId="11CD6AAB" w14:textId="016F3E82" w:rsidR="00E73DCF" w:rsidRPr="00E9211D" w:rsidRDefault="00451DD7" w:rsidP="00321D34">
      <w:pPr>
        <w:spacing w:after="120" w:line="240" w:lineRule="auto"/>
        <w:jc w:val="both"/>
        <w:rPr>
          <w:sz w:val="24"/>
          <w:szCs w:val="24"/>
        </w:rPr>
      </w:pPr>
      <w:r w:rsidRPr="00321D34">
        <w:rPr>
          <w:sz w:val="24"/>
          <w:szCs w:val="24"/>
        </w:rPr>
        <w:t>The special issue provide</w:t>
      </w:r>
      <w:r w:rsidR="0021223D" w:rsidRPr="00321D34">
        <w:rPr>
          <w:sz w:val="24"/>
          <w:szCs w:val="24"/>
        </w:rPr>
        <w:t>s</w:t>
      </w:r>
      <w:r w:rsidRPr="00321D34">
        <w:rPr>
          <w:sz w:val="24"/>
          <w:szCs w:val="24"/>
        </w:rPr>
        <w:t xml:space="preserve"> a critical overview of the existing theoretical discussions on the </w:t>
      </w:r>
      <w:proofErr w:type="gramStart"/>
      <w:r w:rsidRPr="00321D34">
        <w:rPr>
          <w:sz w:val="24"/>
          <w:szCs w:val="24"/>
        </w:rPr>
        <w:t>topic, and</w:t>
      </w:r>
      <w:proofErr w:type="gramEnd"/>
      <w:r w:rsidRPr="00321D34">
        <w:rPr>
          <w:sz w:val="24"/>
          <w:szCs w:val="24"/>
        </w:rPr>
        <w:t xml:space="preserve"> examine</w:t>
      </w:r>
      <w:r w:rsidR="0021223D" w:rsidRPr="00321D34">
        <w:rPr>
          <w:sz w:val="24"/>
          <w:szCs w:val="24"/>
        </w:rPr>
        <w:t>s</w:t>
      </w:r>
      <w:r w:rsidRPr="00321D34">
        <w:rPr>
          <w:sz w:val="24"/>
          <w:szCs w:val="24"/>
        </w:rPr>
        <w:t xml:space="preserve"> the various dimensions and the lived experiences of </w:t>
      </w:r>
      <w:proofErr w:type="spellStart"/>
      <w:r w:rsidRPr="00321D34">
        <w:rPr>
          <w:sz w:val="24"/>
          <w:szCs w:val="24"/>
        </w:rPr>
        <w:t>criminalisation</w:t>
      </w:r>
      <w:proofErr w:type="spellEnd"/>
      <w:r w:rsidRPr="00321D34">
        <w:rPr>
          <w:sz w:val="24"/>
          <w:szCs w:val="24"/>
        </w:rPr>
        <w:t xml:space="preserve">, policing, confinement and </w:t>
      </w:r>
      <w:r w:rsidR="001E6178">
        <w:rPr>
          <w:sz w:val="24"/>
          <w:szCs w:val="24"/>
        </w:rPr>
        <w:t>deportation</w:t>
      </w:r>
      <w:r w:rsidRPr="00321D34">
        <w:rPr>
          <w:sz w:val="24"/>
          <w:szCs w:val="24"/>
        </w:rPr>
        <w:t xml:space="preserve">. First, we go beyond the Anglo-centric focus of much of the </w:t>
      </w:r>
      <w:proofErr w:type="spellStart"/>
      <w:r w:rsidRPr="00321D34">
        <w:rPr>
          <w:sz w:val="24"/>
          <w:szCs w:val="24"/>
        </w:rPr>
        <w:t>crimmigration</w:t>
      </w:r>
      <w:proofErr w:type="spellEnd"/>
      <w:r w:rsidRPr="00321D34">
        <w:rPr>
          <w:sz w:val="24"/>
          <w:szCs w:val="24"/>
        </w:rPr>
        <w:t xml:space="preserve"> literature, to explore whether and to what extent </w:t>
      </w:r>
      <w:proofErr w:type="spellStart"/>
      <w:r w:rsidRPr="00321D34">
        <w:rPr>
          <w:sz w:val="24"/>
          <w:szCs w:val="24"/>
        </w:rPr>
        <w:t>criminalising</w:t>
      </w:r>
      <w:proofErr w:type="spellEnd"/>
      <w:r w:rsidRPr="00321D34">
        <w:rPr>
          <w:sz w:val="24"/>
          <w:szCs w:val="24"/>
        </w:rPr>
        <w:t xml:space="preserve"> practices apply in contexts such as continental and Eastern Europe</w:t>
      </w:r>
      <w:r w:rsidR="00A03A6E">
        <w:rPr>
          <w:sz w:val="24"/>
          <w:szCs w:val="24"/>
        </w:rPr>
        <w:t>,</w:t>
      </w:r>
      <w:r w:rsidRPr="00321D34">
        <w:rPr>
          <w:sz w:val="24"/>
          <w:szCs w:val="24"/>
        </w:rPr>
        <w:t xml:space="preserve"> South Asia</w:t>
      </w:r>
      <w:r w:rsidR="00A03A6E">
        <w:rPr>
          <w:sz w:val="24"/>
          <w:szCs w:val="24"/>
        </w:rPr>
        <w:t xml:space="preserve"> and Latin America</w:t>
      </w:r>
      <w:r w:rsidRPr="00321D34">
        <w:rPr>
          <w:sz w:val="24"/>
          <w:szCs w:val="24"/>
        </w:rPr>
        <w:t xml:space="preserve">. Second, we aim to broaden the focus by tracing different histories of </w:t>
      </w:r>
      <w:proofErr w:type="spellStart"/>
      <w:r w:rsidRPr="00321D34">
        <w:rPr>
          <w:sz w:val="24"/>
          <w:szCs w:val="24"/>
        </w:rPr>
        <w:t>criminalising</w:t>
      </w:r>
      <w:proofErr w:type="spellEnd"/>
      <w:r w:rsidRPr="00321D34">
        <w:rPr>
          <w:sz w:val="24"/>
          <w:szCs w:val="24"/>
        </w:rPr>
        <w:t xml:space="preserve"> discourses and practices to administrative-based punitive systems and biometric control of populations, and how these are connected to the control of “dangerous populations” often marked by gender, race</w:t>
      </w:r>
      <w:r w:rsidR="00A14348">
        <w:rPr>
          <w:sz w:val="24"/>
          <w:szCs w:val="24"/>
        </w:rPr>
        <w:t>,</w:t>
      </w:r>
      <w:r w:rsidRPr="00321D34">
        <w:rPr>
          <w:sz w:val="24"/>
          <w:szCs w:val="24"/>
        </w:rPr>
        <w:t xml:space="preserve"> and class. Finally, we include both top-down (macro) and bottom-up (micro) approaches, in the belief that both are necessary to inform our understanding of </w:t>
      </w:r>
      <w:proofErr w:type="spellStart"/>
      <w:r w:rsidRPr="00321D34">
        <w:rPr>
          <w:sz w:val="24"/>
          <w:szCs w:val="24"/>
        </w:rPr>
        <w:t>criminalising</w:t>
      </w:r>
      <w:proofErr w:type="spellEnd"/>
      <w:r w:rsidRPr="00321D34">
        <w:rPr>
          <w:sz w:val="24"/>
          <w:szCs w:val="24"/>
        </w:rPr>
        <w:t xml:space="preserve"> practices and the intersecting differences they produce. </w:t>
      </w:r>
    </w:p>
    <w:p w14:paraId="71CB50A3" w14:textId="16B2462D" w:rsidR="006E4F16" w:rsidRPr="00321D34" w:rsidRDefault="007835AD" w:rsidP="00176C6F">
      <w:pPr>
        <w:pStyle w:val="paragraph"/>
        <w:spacing w:before="0" w:beforeAutospacing="0" w:after="120" w:afterAutospacing="0"/>
        <w:jc w:val="both"/>
        <w:textAlignment w:val="baseline"/>
        <w:rPr>
          <w:rFonts w:ascii="Arial" w:hAnsi="Arial" w:cs="Arial"/>
        </w:rPr>
      </w:pPr>
      <w:r w:rsidRPr="00321D34">
        <w:rPr>
          <w:rStyle w:val="normaltextrun"/>
          <w:rFonts w:ascii="Arial" w:hAnsi="Arial" w:cs="Arial"/>
        </w:rPr>
        <w:t>The special issue engages with an array of criminalisation trends and practices, ranging from</w:t>
      </w:r>
      <w:r w:rsidR="0091209E" w:rsidRPr="00321D34">
        <w:rPr>
          <w:rStyle w:val="normaltextrun"/>
          <w:rFonts w:ascii="Arial" w:hAnsi="Arial" w:cs="Arial"/>
        </w:rPr>
        <w:t xml:space="preserve"> </w:t>
      </w:r>
      <w:r w:rsidRPr="00321D34">
        <w:rPr>
          <w:rStyle w:val="normaltextrun"/>
          <w:rFonts w:ascii="Arial" w:hAnsi="Arial" w:cs="Arial"/>
        </w:rPr>
        <w:t>detention</w:t>
      </w:r>
      <w:r w:rsidR="001E6178">
        <w:rPr>
          <w:rStyle w:val="normaltextrun"/>
          <w:rFonts w:ascii="Arial" w:hAnsi="Arial" w:cs="Arial"/>
        </w:rPr>
        <w:t xml:space="preserve"> and confinement in the community,</w:t>
      </w:r>
      <w:r w:rsidRPr="00321D34">
        <w:rPr>
          <w:rStyle w:val="normaltextrun"/>
          <w:rFonts w:ascii="Arial" w:hAnsi="Arial" w:cs="Arial"/>
        </w:rPr>
        <w:t xml:space="preserve"> to </w:t>
      </w:r>
      <w:r w:rsidR="001E6178">
        <w:rPr>
          <w:rStyle w:val="normaltextrun"/>
          <w:rFonts w:ascii="Arial" w:hAnsi="Arial" w:cs="Arial"/>
        </w:rPr>
        <w:t>deportation</w:t>
      </w:r>
      <w:r w:rsidR="00E4425F">
        <w:rPr>
          <w:rStyle w:val="normaltextrun"/>
          <w:rFonts w:ascii="Arial" w:hAnsi="Arial" w:cs="Arial"/>
        </w:rPr>
        <w:t>,</w:t>
      </w:r>
      <w:r w:rsidRPr="00321D34">
        <w:rPr>
          <w:rStyle w:val="normaltextrun"/>
          <w:rFonts w:ascii="Arial" w:hAnsi="Arial" w:cs="Arial"/>
        </w:rPr>
        <w:t xml:space="preserve"> and </w:t>
      </w:r>
      <w:proofErr w:type="gramStart"/>
      <w:r w:rsidRPr="00321D34">
        <w:rPr>
          <w:rStyle w:val="normaltextrun"/>
          <w:rFonts w:ascii="Arial" w:hAnsi="Arial" w:cs="Arial"/>
        </w:rPr>
        <w:t>nominally-open</w:t>
      </w:r>
      <w:proofErr w:type="gramEnd"/>
      <w:r w:rsidRPr="00321D34">
        <w:rPr>
          <w:rStyle w:val="normaltextrun"/>
          <w:rFonts w:ascii="Arial" w:hAnsi="Arial" w:cs="Arial"/>
        </w:rPr>
        <w:t xml:space="preserve"> (but de-facto closed) borders. It also puts the emphasis on neglected issues related to gender and sexuality in criminalisation debates, including the criminalisation of migrant sex work, as well as colonial and racialised legacies behind criminalisation, including ethnic profiling. Finally, it emphasises the neoliberal logics underlying how ‘globalisation creates migration and criminalises immigrants’ (to borrow Bacon’s 2010 book title) and how criminalisation practices ‘differentially include’ (</w:t>
      </w:r>
      <w:proofErr w:type="spellStart"/>
      <w:r w:rsidRPr="00321D34">
        <w:rPr>
          <w:rStyle w:val="normaltextrun"/>
          <w:rFonts w:ascii="Arial" w:hAnsi="Arial" w:cs="Arial"/>
        </w:rPr>
        <w:t>Mezzadra</w:t>
      </w:r>
      <w:proofErr w:type="spellEnd"/>
      <w:r w:rsidRPr="00321D34">
        <w:rPr>
          <w:rStyle w:val="normaltextrun"/>
          <w:rFonts w:ascii="Arial" w:hAnsi="Arial" w:cs="Arial"/>
        </w:rPr>
        <w:t xml:space="preserve"> &amp; Neilson 2013) migrants as part of the workforce.</w:t>
      </w:r>
      <w:r w:rsidRPr="00321D34">
        <w:rPr>
          <w:rStyle w:val="eop"/>
          <w:rFonts w:ascii="Arial" w:hAnsi="Arial" w:cs="Arial"/>
        </w:rPr>
        <w:t> </w:t>
      </w:r>
    </w:p>
    <w:p w14:paraId="112936CB" w14:textId="4811E6AD" w:rsidR="0059722D" w:rsidRPr="00321D34" w:rsidRDefault="00DE7B1D" w:rsidP="00321D34">
      <w:pPr>
        <w:pStyle w:val="Heading1"/>
        <w:rPr>
          <w:rFonts w:ascii="Arial" w:hAnsi="Arial" w:cs="Arial"/>
        </w:rPr>
      </w:pPr>
      <w:r w:rsidRPr="00324856">
        <w:rPr>
          <w:rFonts w:ascii="Arial" w:hAnsi="Arial" w:cs="Arial"/>
        </w:rPr>
        <w:t>Overview of the volume</w:t>
      </w:r>
      <w:bookmarkStart w:id="2" w:name="_pfsscdr4bm9z" w:colFirst="0" w:colLast="0"/>
      <w:bookmarkEnd w:id="2"/>
    </w:p>
    <w:p w14:paraId="27C1D465" w14:textId="08030F35" w:rsidR="00D62EAB" w:rsidRPr="00321D34" w:rsidRDefault="000B6620" w:rsidP="00321D34">
      <w:pPr>
        <w:pStyle w:val="m2153717510465044969msolistparagraph"/>
        <w:shd w:val="clear" w:color="auto" w:fill="FFFFFF"/>
        <w:spacing w:before="0" w:beforeAutospacing="0" w:after="120" w:afterAutospacing="0"/>
        <w:jc w:val="both"/>
        <w:rPr>
          <w:rFonts w:ascii="Arial" w:hAnsi="Arial" w:cs="Arial"/>
          <w:bCs/>
          <w:color w:val="222222"/>
          <w:lang w:val="en-GB"/>
        </w:rPr>
      </w:pPr>
      <w:r w:rsidRPr="00321D34">
        <w:rPr>
          <w:rFonts w:ascii="Arial" w:hAnsi="Arial" w:cs="Arial"/>
          <w:bCs/>
          <w:color w:val="222222"/>
          <w:lang w:val="en-GB"/>
        </w:rPr>
        <w:t xml:space="preserve">In </w:t>
      </w:r>
      <w:r w:rsidR="00451DD7">
        <w:rPr>
          <w:rFonts w:ascii="Arial" w:hAnsi="Arial" w:cs="Arial"/>
          <w:bCs/>
          <w:color w:val="222222"/>
          <w:lang w:val="en-GB"/>
        </w:rPr>
        <w:t>the</w:t>
      </w:r>
      <w:r w:rsidRPr="00321D34">
        <w:rPr>
          <w:rFonts w:ascii="Arial" w:hAnsi="Arial" w:cs="Arial"/>
          <w:bCs/>
          <w:color w:val="222222"/>
          <w:lang w:val="en-GB"/>
        </w:rPr>
        <w:t xml:space="preserve"> article on ‘</w:t>
      </w:r>
      <w:r w:rsidR="00D62EAB" w:rsidRPr="00321D34">
        <w:rPr>
          <w:rFonts w:ascii="Arial" w:hAnsi="Arial" w:cs="Arial"/>
          <w:bCs/>
          <w:color w:val="222222"/>
          <w:lang w:val="en-GB"/>
        </w:rPr>
        <w:t>Structural Intersections, Hierarchical Citizenship and Criminalisation of the Migrant in Assam</w:t>
      </w:r>
      <w:r w:rsidRPr="00321D34">
        <w:rPr>
          <w:rFonts w:ascii="Arial" w:hAnsi="Arial" w:cs="Arial"/>
          <w:bCs/>
          <w:color w:val="222222"/>
          <w:lang w:val="en-GB"/>
        </w:rPr>
        <w:t xml:space="preserve">’, </w:t>
      </w:r>
      <w:r w:rsidRPr="00321D34">
        <w:rPr>
          <w:rFonts w:ascii="Arial" w:hAnsi="Arial" w:cs="Arial"/>
          <w:b/>
          <w:color w:val="222222"/>
          <w:lang w:val="en-GB"/>
        </w:rPr>
        <w:t>Anindita Chakrabarty</w:t>
      </w:r>
      <w:r w:rsidR="00375453" w:rsidRPr="00321D34">
        <w:rPr>
          <w:rFonts w:ascii="Arial" w:hAnsi="Arial" w:cs="Arial"/>
          <w:bCs/>
          <w:color w:val="222222"/>
          <w:lang w:val="en-GB"/>
        </w:rPr>
        <w:t xml:space="preserve"> traces the colonial legacy that led to the binary </w:t>
      </w:r>
      <w:r w:rsidR="00375453" w:rsidRPr="00BD3DB6">
        <w:rPr>
          <w:rFonts w:ascii="Arial" w:hAnsi="Arial"/>
          <w:color w:val="222222"/>
          <w:lang w:val="en-GB"/>
        </w:rPr>
        <w:t>distinction between natives and outsiders</w:t>
      </w:r>
      <w:r w:rsidR="00766D8C">
        <w:rPr>
          <w:rFonts w:ascii="Arial" w:hAnsi="Arial"/>
          <w:color w:val="222222"/>
          <w:lang w:val="en-GB"/>
        </w:rPr>
        <w:t xml:space="preserve"> in the </w:t>
      </w:r>
      <w:r w:rsidR="00766D8C" w:rsidRPr="00766D8C">
        <w:rPr>
          <w:rFonts w:ascii="Arial" w:hAnsi="Arial"/>
          <w:color w:val="222222"/>
          <w:lang w:val="en-GB"/>
        </w:rPr>
        <w:t>in the North‒east Indian state of Assam</w:t>
      </w:r>
      <w:r w:rsidR="00375453" w:rsidRPr="00321D34">
        <w:rPr>
          <w:rFonts w:ascii="Arial" w:hAnsi="Arial" w:cs="Arial"/>
          <w:bCs/>
          <w:color w:val="222222"/>
          <w:lang w:val="en-GB"/>
        </w:rPr>
        <w:t>.</w:t>
      </w:r>
      <w:r w:rsidR="000D319B" w:rsidRPr="00321D34">
        <w:rPr>
          <w:rFonts w:ascii="Arial" w:hAnsi="Arial" w:cs="Arial"/>
          <w:bCs/>
          <w:color w:val="222222"/>
          <w:lang w:val="en-GB"/>
        </w:rPr>
        <w:t xml:space="preserve"> </w:t>
      </w:r>
      <w:r w:rsidR="00CB74E2" w:rsidRPr="00321D34">
        <w:rPr>
          <w:rFonts w:ascii="Arial" w:hAnsi="Arial" w:cs="Arial"/>
          <w:bCs/>
          <w:color w:val="222222"/>
          <w:lang w:val="en-GB"/>
        </w:rPr>
        <w:t xml:space="preserve">She argues that such distinction is based on a Brahminical culture and on the </w:t>
      </w:r>
      <w:r w:rsidR="00E03BCF" w:rsidRPr="00321D34">
        <w:rPr>
          <w:rFonts w:ascii="Arial" w:hAnsi="Arial" w:cs="Arial"/>
          <w:bCs/>
          <w:color w:val="222222"/>
          <w:lang w:val="en-GB"/>
        </w:rPr>
        <w:t>overlap of gender, ethnicity, religion, class and caste factors</w:t>
      </w:r>
      <w:r w:rsidR="00D8078D" w:rsidRPr="00321D34">
        <w:rPr>
          <w:rFonts w:ascii="Arial" w:hAnsi="Arial" w:cs="Arial"/>
          <w:bCs/>
          <w:color w:val="222222"/>
          <w:lang w:val="en-GB"/>
        </w:rPr>
        <w:t xml:space="preserve">, which together define </w:t>
      </w:r>
      <w:r w:rsidR="0047353D" w:rsidRPr="00321D34">
        <w:rPr>
          <w:rFonts w:ascii="Arial" w:hAnsi="Arial" w:cs="Arial"/>
          <w:bCs/>
          <w:color w:val="222222"/>
          <w:lang w:val="en-GB"/>
        </w:rPr>
        <w:t>who is a legitimate and ‘authentic’ citizen</w:t>
      </w:r>
      <w:r w:rsidR="00334442" w:rsidRPr="00321D34">
        <w:rPr>
          <w:rFonts w:ascii="Arial" w:hAnsi="Arial" w:cs="Arial"/>
          <w:bCs/>
          <w:color w:val="222222"/>
          <w:lang w:val="en-GB"/>
        </w:rPr>
        <w:t>. Asking why Bengali-speaking Muslims, and lower-caste Hindus and women</w:t>
      </w:r>
      <w:r w:rsidR="00631A41" w:rsidRPr="00321D34">
        <w:rPr>
          <w:rFonts w:ascii="Arial" w:hAnsi="Arial" w:cs="Arial"/>
          <w:bCs/>
          <w:color w:val="222222"/>
          <w:lang w:val="en-GB"/>
        </w:rPr>
        <w:t>,</w:t>
      </w:r>
      <w:r w:rsidR="00334442" w:rsidRPr="00321D34">
        <w:rPr>
          <w:rFonts w:ascii="Arial" w:hAnsi="Arial" w:cs="Arial"/>
          <w:bCs/>
          <w:color w:val="222222"/>
          <w:lang w:val="en-GB"/>
        </w:rPr>
        <w:t xml:space="preserve"> are often </w:t>
      </w:r>
      <w:r w:rsidR="00B4067A" w:rsidRPr="00321D34">
        <w:rPr>
          <w:rFonts w:ascii="Arial" w:hAnsi="Arial" w:cs="Arial"/>
          <w:bCs/>
          <w:color w:val="222222"/>
          <w:lang w:val="en-GB"/>
        </w:rPr>
        <w:t>‘convenient proxies’ for Bangladeshis who migrated irregularly</w:t>
      </w:r>
      <w:r w:rsidR="00631A41" w:rsidRPr="00321D34">
        <w:rPr>
          <w:rFonts w:ascii="Arial" w:hAnsi="Arial" w:cs="Arial"/>
          <w:bCs/>
          <w:color w:val="222222"/>
          <w:lang w:val="en-GB"/>
        </w:rPr>
        <w:t xml:space="preserve">, </w:t>
      </w:r>
      <w:r w:rsidR="00C64387" w:rsidRPr="00321D34">
        <w:rPr>
          <w:rFonts w:ascii="Arial" w:hAnsi="Arial" w:cs="Arial"/>
          <w:bCs/>
          <w:color w:val="222222"/>
          <w:lang w:val="en-GB"/>
        </w:rPr>
        <w:t>Chakrabarty focuse</w:t>
      </w:r>
      <w:r w:rsidR="00233EFA">
        <w:rPr>
          <w:rFonts w:ascii="Arial" w:hAnsi="Arial" w:cs="Arial"/>
          <w:bCs/>
          <w:color w:val="222222"/>
          <w:lang w:val="en-GB"/>
        </w:rPr>
        <w:t>s</w:t>
      </w:r>
      <w:r w:rsidR="00C64387" w:rsidRPr="00321D34">
        <w:rPr>
          <w:rFonts w:ascii="Arial" w:hAnsi="Arial" w:cs="Arial"/>
          <w:bCs/>
          <w:color w:val="222222"/>
          <w:lang w:val="en-GB"/>
        </w:rPr>
        <w:t xml:space="preserve"> on the lived realities of these people, aiming to dismantle hierarchies of identities. </w:t>
      </w:r>
    </w:p>
    <w:p w14:paraId="038B14FA" w14:textId="4CF5FB19" w:rsidR="006F3A62" w:rsidRPr="00BD3DB6" w:rsidRDefault="00E56DA2" w:rsidP="00321D34">
      <w:pPr>
        <w:shd w:val="clear" w:color="auto" w:fill="FFFFFF"/>
        <w:spacing w:after="120" w:line="240" w:lineRule="auto"/>
        <w:jc w:val="both"/>
        <w:rPr>
          <w:sz w:val="24"/>
        </w:rPr>
      </w:pPr>
      <w:r w:rsidRPr="00321D34">
        <w:rPr>
          <w:sz w:val="24"/>
          <w:szCs w:val="24"/>
        </w:rPr>
        <w:t xml:space="preserve">In </w:t>
      </w:r>
      <w:r w:rsidR="00DE0643" w:rsidRPr="00321D34">
        <w:rPr>
          <w:sz w:val="24"/>
          <w:szCs w:val="24"/>
        </w:rPr>
        <w:t>the</w:t>
      </w:r>
      <w:r w:rsidRPr="00321D34">
        <w:rPr>
          <w:sz w:val="24"/>
          <w:szCs w:val="24"/>
        </w:rPr>
        <w:t xml:space="preserve"> </w:t>
      </w:r>
      <w:r w:rsidR="00DE0643" w:rsidRPr="00321D34">
        <w:rPr>
          <w:sz w:val="24"/>
          <w:szCs w:val="24"/>
        </w:rPr>
        <w:t>article</w:t>
      </w:r>
      <w:r w:rsidRPr="00321D34">
        <w:rPr>
          <w:sz w:val="24"/>
          <w:szCs w:val="24"/>
        </w:rPr>
        <w:t xml:space="preserve"> on ‘</w:t>
      </w:r>
      <w:r w:rsidR="006F3A62" w:rsidRPr="00321D34">
        <w:rPr>
          <w:sz w:val="24"/>
          <w:szCs w:val="24"/>
        </w:rPr>
        <w:t xml:space="preserve">Imposed mobility, legal ambiguity, </w:t>
      </w:r>
      <w:proofErr w:type="spellStart"/>
      <w:r w:rsidR="006F3A62" w:rsidRPr="00321D34">
        <w:rPr>
          <w:sz w:val="24"/>
          <w:szCs w:val="24"/>
        </w:rPr>
        <w:t>institutionali</w:t>
      </w:r>
      <w:r w:rsidR="006577D3">
        <w:rPr>
          <w:sz w:val="24"/>
          <w:szCs w:val="24"/>
        </w:rPr>
        <w:t>s</w:t>
      </w:r>
      <w:r w:rsidR="006F3A62" w:rsidRPr="00321D34">
        <w:rPr>
          <w:sz w:val="24"/>
          <w:szCs w:val="24"/>
        </w:rPr>
        <w:t>ed</w:t>
      </w:r>
      <w:proofErr w:type="spellEnd"/>
      <w:r w:rsidR="006F3A62" w:rsidRPr="00321D34">
        <w:rPr>
          <w:sz w:val="24"/>
          <w:szCs w:val="24"/>
        </w:rPr>
        <w:t xml:space="preserve"> abandonment: Exploring sex work </w:t>
      </w:r>
      <w:proofErr w:type="spellStart"/>
      <w:r w:rsidR="006F3A62" w:rsidRPr="00321D34">
        <w:rPr>
          <w:sz w:val="24"/>
          <w:szCs w:val="24"/>
        </w:rPr>
        <w:t>crimscape</w:t>
      </w:r>
      <w:proofErr w:type="spellEnd"/>
      <w:r w:rsidR="006F3A62" w:rsidRPr="00321D34">
        <w:rPr>
          <w:sz w:val="24"/>
          <w:szCs w:val="24"/>
        </w:rPr>
        <w:t xml:space="preserve"> in contemporary Poland</w:t>
      </w:r>
      <w:r w:rsidRPr="00321D34">
        <w:rPr>
          <w:sz w:val="24"/>
          <w:szCs w:val="24"/>
        </w:rPr>
        <w:t xml:space="preserve">’, </w:t>
      </w:r>
      <w:r w:rsidRPr="00321D34">
        <w:rPr>
          <w:b/>
          <w:bCs/>
          <w:sz w:val="24"/>
          <w:szCs w:val="24"/>
        </w:rPr>
        <w:t>Agata Dziuban</w:t>
      </w:r>
      <w:r w:rsidR="005C77D4" w:rsidRPr="00321D34">
        <w:rPr>
          <w:sz w:val="24"/>
          <w:szCs w:val="24"/>
        </w:rPr>
        <w:t xml:space="preserve"> </w:t>
      </w:r>
      <w:proofErr w:type="spellStart"/>
      <w:r w:rsidR="005C77D4" w:rsidRPr="00321D34">
        <w:rPr>
          <w:sz w:val="24"/>
          <w:szCs w:val="24"/>
        </w:rPr>
        <w:t>conceptualises</w:t>
      </w:r>
      <w:proofErr w:type="spellEnd"/>
      <w:r w:rsidR="005C77D4" w:rsidRPr="00321D34">
        <w:rPr>
          <w:sz w:val="24"/>
          <w:szCs w:val="24"/>
        </w:rPr>
        <w:t xml:space="preserve"> the contemporary landscape of sex work </w:t>
      </w:r>
      <w:proofErr w:type="spellStart"/>
      <w:r w:rsidR="005C77D4" w:rsidRPr="00321D34">
        <w:rPr>
          <w:sz w:val="24"/>
          <w:szCs w:val="24"/>
        </w:rPr>
        <w:t>criminalisation</w:t>
      </w:r>
      <w:proofErr w:type="spellEnd"/>
      <w:r w:rsidR="001A755D">
        <w:rPr>
          <w:sz w:val="24"/>
          <w:szCs w:val="24"/>
        </w:rPr>
        <w:t xml:space="preserve"> in Poland</w:t>
      </w:r>
      <w:r w:rsidR="005C77D4" w:rsidRPr="00321D34">
        <w:rPr>
          <w:sz w:val="24"/>
          <w:szCs w:val="24"/>
        </w:rPr>
        <w:t xml:space="preserve">. </w:t>
      </w:r>
      <w:proofErr w:type="spellStart"/>
      <w:r w:rsidR="00E37020">
        <w:rPr>
          <w:sz w:val="24"/>
          <w:szCs w:val="24"/>
        </w:rPr>
        <w:t>Conceptualised</w:t>
      </w:r>
      <w:proofErr w:type="spellEnd"/>
      <w:r w:rsidR="00E37020" w:rsidRPr="00321D34">
        <w:rPr>
          <w:sz w:val="24"/>
          <w:szCs w:val="24"/>
        </w:rPr>
        <w:t xml:space="preserve"> </w:t>
      </w:r>
      <w:r w:rsidR="005C77D4" w:rsidRPr="00321D34">
        <w:rPr>
          <w:sz w:val="24"/>
          <w:szCs w:val="24"/>
        </w:rPr>
        <w:t>as a ‘</w:t>
      </w:r>
      <w:proofErr w:type="spellStart"/>
      <w:r w:rsidR="005C77D4" w:rsidRPr="00321D34">
        <w:rPr>
          <w:sz w:val="24"/>
          <w:szCs w:val="24"/>
        </w:rPr>
        <w:t>crimscape</w:t>
      </w:r>
      <w:proofErr w:type="spellEnd"/>
      <w:r w:rsidR="005C77D4" w:rsidRPr="00321D34">
        <w:rPr>
          <w:sz w:val="24"/>
          <w:szCs w:val="24"/>
        </w:rPr>
        <w:t xml:space="preserve">’, </w:t>
      </w:r>
      <w:r w:rsidR="00E37020">
        <w:rPr>
          <w:sz w:val="24"/>
          <w:szCs w:val="24"/>
        </w:rPr>
        <w:t>this</w:t>
      </w:r>
      <w:r w:rsidR="00E37020" w:rsidRPr="00321D34">
        <w:rPr>
          <w:sz w:val="24"/>
          <w:szCs w:val="24"/>
        </w:rPr>
        <w:t xml:space="preserve"> </w:t>
      </w:r>
      <w:r w:rsidR="009E2409" w:rsidRPr="00321D34">
        <w:rPr>
          <w:sz w:val="24"/>
          <w:szCs w:val="24"/>
        </w:rPr>
        <w:t xml:space="preserve">emerges to include an intricate net of policies on sex work, migration, </w:t>
      </w:r>
      <w:proofErr w:type="spellStart"/>
      <w:r w:rsidR="009E2409" w:rsidRPr="00321D34">
        <w:rPr>
          <w:sz w:val="24"/>
          <w:szCs w:val="24"/>
        </w:rPr>
        <w:t>labour</w:t>
      </w:r>
      <w:proofErr w:type="spellEnd"/>
      <w:r w:rsidR="009E2409" w:rsidRPr="00321D34">
        <w:rPr>
          <w:sz w:val="24"/>
          <w:szCs w:val="24"/>
        </w:rPr>
        <w:t>, tax, and traffickin</w:t>
      </w:r>
      <w:r w:rsidR="00922A5D" w:rsidRPr="00321D34">
        <w:rPr>
          <w:sz w:val="24"/>
          <w:szCs w:val="24"/>
        </w:rPr>
        <w:t xml:space="preserve">g, all working together to shape the lived realities of migrant sex workers. Relying on ethnographic fieldwork and interviews with Ukrainian sex workers, the article shows that the above </w:t>
      </w:r>
      <w:r w:rsidR="00AF7F63" w:rsidRPr="00321D34">
        <w:rPr>
          <w:sz w:val="24"/>
          <w:szCs w:val="24"/>
        </w:rPr>
        <w:t>worsen</w:t>
      </w:r>
      <w:r w:rsidR="00922A5D" w:rsidRPr="00321D34">
        <w:rPr>
          <w:sz w:val="24"/>
          <w:szCs w:val="24"/>
        </w:rPr>
        <w:t xml:space="preserve"> the precarious status of migrant sex workers, </w:t>
      </w:r>
      <w:r w:rsidR="00E87B9A" w:rsidRPr="00321D34">
        <w:rPr>
          <w:sz w:val="24"/>
          <w:szCs w:val="24"/>
        </w:rPr>
        <w:t xml:space="preserve">increasing uncertainty and policing, </w:t>
      </w:r>
      <w:r w:rsidR="00DE0643" w:rsidRPr="00321D34">
        <w:rPr>
          <w:sz w:val="24"/>
          <w:szCs w:val="24"/>
        </w:rPr>
        <w:t>while also</w:t>
      </w:r>
      <w:r w:rsidR="00E87B9A" w:rsidRPr="00321D34">
        <w:rPr>
          <w:sz w:val="24"/>
          <w:szCs w:val="24"/>
        </w:rPr>
        <w:t xml:space="preserve"> reducing protection and rights.</w:t>
      </w:r>
      <w:r w:rsidR="004F47E9" w:rsidRPr="00321D34">
        <w:rPr>
          <w:sz w:val="24"/>
          <w:szCs w:val="24"/>
        </w:rPr>
        <w:t xml:space="preserve"> Dziuban argues that the </w:t>
      </w:r>
      <w:r w:rsidR="008554FC" w:rsidRPr="00321D34">
        <w:rPr>
          <w:sz w:val="24"/>
          <w:szCs w:val="24"/>
        </w:rPr>
        <w:t xml:space="preserve">sex work </w:t>
      </w:r>
      <w:proofErr w:type="spellStart"/>
      <w:r w:rsidR="008554FC" w:rsidRPr="00321D34">
        <w:rPr>
          <w:sz w:val="24"/>
          <w:szCs w:val="24"/>
        </w:rPr>
        <w:t>crimscape</w:t>
      </w:r>
      <w:proofErr w:type="spellEnd"/>
      <w:r w:rsidR="008554FC" w:rsidRPr="00321D34">
        <w:rPr>
          <w:sz w:val="24"/>
          <w:szCs w:val="24"/>
        </w:rPr>
        <w:t>, in Poland, leads to three conditions for sex workers:</w:t>
      </w:r>
      <w:bookmarkStart w:id="3" w:name="_Hlk141618253"/>
      <w:r w:rsidR="006F3A62" w:rsidRPr="00321D34">
        <w:rPr>
          <w:sz w:val="24"/>
          <w:szCs w:val="24"/>
        </w:rPr>
        <w:t xml:space="preserve"> </w:t>
      </w:r>
      <w:r w:rsidR="008554FC" w:rsidRPr="00321D34">
        <w:rPr>
          <w:sz w:val="24"/>
          <w:szCs w:val="24"/>
        </w:rPr>
        <w:t>‘</w:t>
      </w:r>
      <w:r w:rsidR="006F3A62" w:rsidRPr="00BD3DB6">
        <w:rPr>
          <w:sz w:val="24"/>
        </w:rPr>
        <w:t xml:space="preserve">imposed mobility, legal ambiguity, and </w:t>
      </w:r>
      <w:proofErr w:type="spellStart"/>
      <w:r w:rsidR="006F3A62" w:rsidRPr="00BD3DB6">
        <w:rPr>
          <w:sz w:val="24"/>
        </w:rPr>
        <w:t>institutionali</w:t>
      </w:r>
      <w:r w:rsidR="00373AE7">
        <w:rPr>
          <w:sz w:val="24"/>
        </w:rPr>
        <w:t>s</w:t>
      </w:r>
      <w:r w:rsidR="006F3A62" w:rsidRPr="00BD3DB6">
        <w:rPr>
          <w:sz w:val="24"/>
        </w:rPr>
        <w:t>ed</w:t>
      </w:r>
      <w:proofErr w:type="spellEnd"/>
      <w:r w:rsidR="006F3A62" w:rsidRPr="00BD3DB6">
        <w:rPr>
          <w:sz w:val="24"/>
        </w:rPr>
        <w:t xml:space="preserve"> abandonment</w:t>
      </w:r>
      <w:r w:rsidR="008554FC" w:rsidRPr="00BD3DB6">
        <w:rPr>
          <w:sz w:val="24"/>
        </w:rPr>
        <w:t>’</w:t>
      </w:r>
      <w:r w:rsidR="006F3A62" w:rsidRPr="00BD3DB6">
        <w:rPr>
          <w:sz w:val="24"/>
        </w:rPr>
        <w:t>.</w:t>
      </w:r>
      <w:bookmarkEnd w:id="3"/>
    </w:p>
    <w:p w14:paraId="112936E8" w14:textId="4744DCB1" w:rsidR="0059722D" w:rsidRPr="00321D34" w:rsidRDefault="00EE5AC9" w:rsidP="00321D34">
      <w:pPr>
        <w:spacing w:after="120" w:line="240" w:lineRule="auto"/>
        <w:jc w:val="both"/>
        <w:rPr>
          <w:sz w:val="24"/>
          <w:szCs w:val="24"/>
        </w:rPr>
      </w:pPr>
      <w:bookmarkStart w:id="4" w:name="_Hlk132623128"/>
      <w:r w:rsidRPr="00321D34">
        <w:rPr>
          <w:sz w:val="24"/>
          <w:szCs w:val="24"/>
        </w:rPr>
        <w:t xml:space="preserve">In </w:t>
      </w:r>
      <w:r w:rsidR="00DE0643" w:rsidRPr="00321D34">
        <w:rPr>
          <w:sz w:val="24"/>
          <w:szCs w:val="24"/>
        </w:rPr>
        <w:t>the</w:t>
      </w:r>
      <w:r w:rsidRPr="00321D34">
        <w:rPr>
          <w:sz w:val="24"/>
          <w:szCs w:val="24"/>
        </w:rPr>
        <w:t xml:space="preserve"> article titled ‘</w:t>
      </w:r>
      <w:r w:rsidR="00A16162" w:rsidRPr="00321D34">
        <w:rPr>
          <w:sz w:val="24"/>
          <w:szCs w:val="24"/>
        </w:rPr>
        <w:t xml:space="preserve">A place of safety? Women, </w:t>
      </w:r>
      <w:proofErr w:type="spellStart"/>
      <w:r w:rsidR="00A16162" w:rsidRPr="00321D34">
        <w:rPr>
          <w:sz w:val="24"/>
          <w:szCs w:val="24"/>
        </w:rPr>
        <w:t>crimmigration</w:t>
      </w:r>
      <w:proofErr w:type="spellEnd"/>
      <w:r w:rsidR="00A16162" w:rsidRPr="00321D34">
        <w:rPr>
          <w:sz w:val="24"/>
          <w:szCs w:val="24"/>
        </w:rPr>
        <w:t xml:space="preserve"> control and a </w:t>
      </w:r>
      <w:proofErr w:type="spellStart"/>
      <w:r w:rsidR="00A16162" w:rsidRPr="00321D34">
        <w:rPr>
          <w:sz w:val="24"/>
          <w:szCs w:val="24"/>
        </w:rPr>
        <w:t>stigmatised</w:t>
      </w:r>
      <w:proofErr w:type="spellEnd"/>
      <w:r w:rsidR="00A16162" w:rsidRPr="00321D34">
        <w:rPr>
          <w:sz w:val="24"/>
          <w:szCs w:val="24"/>
        </w:rPr>
        <w:t xml:space="preserve"> identity</w:t>
      </w:r>
      <w:bookmarkEnd w:id="4"/>
      <w:r w:rsidRPr="00321D34">
        <w:rPr>
          <w:sz w:val="24"/>
          <w:szCs w:val="24"/>
        </w:rPr>
        <w:t xml:space="preserve">’, </w:t>
      </w:r>
      <w:r w:rsidRPr="00321D34">
        <w:rPr>
          <w:b/>
          <w:bCs/>
          <w:sz w:val="24"/>
          <w:szCs w:val="24"/>
        </w:rPr>
        <w:t xml:space="preserve">Amy </w:t>
      </w:r>
      <w:proofErr w:type="spellStart"/>
      <w:r w:rsidRPr="00321D34">
        <w:rPr>
          <w:b/>
          <w:bCs/>
          <w:sz w:val="24"/>
          <w:szCs w:val="24"/>
        </w:rPr>
        <w:t>Cortvriend</w:t>
      </w:r>
      <w:proofErr w:type="spellEnd"/>
      <w:r w:rsidRPr="00321D34">
        <w:rPr>
          <w:sz w:val="24"/>
          <w:szCs w:val="24"/>
        </w:rPr>
        <w:t xml:space="preserve"> </w:t>
      </w:r>
      <w:r w:rsidR="006B02C3" w:rsidRPr="00321D34">
        <w:rPr>
          <w:sz w:val="24"/>
          <w:szCs w:val="24"/>
        </w:rPr>
        <w:t xml:space="preserve">explores how the </w:t>
      </w:r>
      <w:r w:rsidR="006B02C3" w:rsidRPr="00321D34">
        <w:rPr>
          <w:color w:val="242424"/>
          <w:sz w:val="24"/>
          <w:szCs w:val="24"/>
        </w:rPr>
        <w:t xml:space="preserve">experiences of asylum seekers subjected to </w:t>
      </w:r>
      <w:proofErr w:type="spellStart"/>
      <w:r w:rsidR="006B02C3" w:rsidRPr="00321D34">
        <w:rPr>
          <w:color w:val="242424"/>
          <w:sz w:val="24"/>
          <w:szCs w:val="24"/>
        </w:rPr>
        <w:t>crimmigration</w:t>
      </w:r>
      <w:proofErr w:type="spellEnd"/>
      <w:r w:rsidR="006B02C3" w:rsidRPr="00321D34">
        <w:rPr>
          <w:color w:val="242424"/>
          <w:sz w:val="24"/>
          <w:szCs w:val="24"/>
        </w:rPr>
        <w:t xml:space="preserve"> controls are influenced by factors such as gender, race, and socioeconomic status. </w:t>
      </w:r>
      <w:r w:rsidR="008B2866" w:rsidRPr="00321D34">
        <w:rPr>
          <w:color w:val="242424"/>
          <w:sz w:val="24"/>
          <w:szCs w:val="24"/>
        </w:rPr>
        <w:t xml:space="preserve">Specifically, the study illustrates how </w:t>
      </w:r>
      <w:r w:rsidRPr="00321D34">
        <w:rPr>
          <w:color w:val="242424"/>
          <w:sz w:val="24"/>
          <w:szCs w:val="24"/>
        </w:rPr>
        <w:t xml:space="preserve">the intersecting identities of female asylum seekers intersect with societal stigma. Drawing on research involving 16 asylum seekers in the United Kingdom, which utilized narrative interviews, ethnography, and text messaging as a diary method, the study reveals that </w:t>
      </w:r>
      <w:r w:rsidRPr="00BD3DB6">
        <w:rPr>
          <w:color w:val="242424"/>
          <w:sz w:val="24"/>
        </w:rPr>
        <w:t>the</w:t>
      </w:r>
      <w:r w:rsidR="00886EBC" w:rsidRPr="00BD3DB6">
        <w:rPr>
          <w:color w:val="242424"/>
          <w:sz w:val="24"/>
        </w:rPr>
        <w:t>se women’s</w:t>
      </w:r>
      <w:r w:rsidRPr="00BD3DB6">
        <w:rPr>
          <w:color w:val="242424"/>
          <w:sz w:val="24"/>
        </w:rPr>
        <w:t xml:space="preserve"> identities </w:t>
      </w:r>
      <w:r w:rsidR="003D6A31" w:rsidRPr="00BD3DB6">
        <w:rPr>
          <w:color w:val="242424"/>
          <w:sz w:val="24"/>
        </w:rPr>
        <w:t>are</w:t>
      </w:r>
      <w:r w:rsidRPr="00BD3DB6">
        <w:rPr>
          <w:color w:val="242424"/>
          <w:sz w:val="24"/>
        </w:rPr>
        <w:t xml:space="preserve"> shaped by </w:t>
      </w:r>
      <w:proofErr w:type="spellStart"/>
      <w:r w:rsidRPr="00BD3DB6">
        <w:rPr>
          <w:color w:val="242424"/>
          <w:sz w:val="24"/>
        </w:rPr>
        <w:t>crimmigration</w:t>
      </w:r>
      <w:proofErr w:type="spellEnd"/>
      <w:r w:rsidRPr="00BD3DB6">
        <w:rPr>
          <w:color w:val="242424"/>
          <w:sz w:val="24"/>
        </w:rPr>
        <w:t xml:space="preserve"> controls, leading to the formation of a stigmatized identity</w:t>
      </w:r>
      <w:r w:rsidRPr="00321D34">
        <w:rPr>
          <w:color w:val="242424"/>
          <w:sz w:val="24"/>
          <w:szCs w:val="24"/>
        </w:rPr>
        <w:t>. Despite efforts to conceal their immigration status, the stigma associated with being an asylum seeker becomes internalized, becoming the primary identity for women</w:t>
      </w:r>
      <w:r w:rsidR="00A44AC3">
        <w:rPr>
          <w:color w:val="242424"/>
          <w:sz w:val="24"/>
          <w:szCs w:val="24"/>
        </w:rPr>
        <w:t xml:space="preserve"> and</w:t>
      </w:r>
      <w:r w:rsidRPr="00321D34">
        <w:rPr>
          <w:color w:val="242424"/>
          <w:sz w:val="24"/>
          <w:szCs w:val="24"/>
        </w:rPr>
        <w:t xml:space="preserve"> resulting in various adverse effects, including social isolation.</w:t>
      </w:r>
    </w:p>
    <w:p w14:paraId="52129891" w14:textId="20C90201" w:rsidR="00324856" w:rsidRDefault="00176C6F" w:rsidP="00321D34">
      <w:pPr>
        <w:spacing w:after="120" w:line="240" w:lineRule="auto"/>
        <w:jc w:val="both"/>
        <w:rPr>
          <w:rFonts w:eastAsia="Times New Roman"/>
          <w:bCs/>
          <w:sz w:val="24"/>
          <w:szCs w:val="24"/>
        </w:rPr>
      </w:pPr>
      <w:r>
        <w:rPr>
          <w:rFonts w:eastAsia="Times New Roman"/>
          <w:bCs/>
          <w:sz w:val="24"/>
          <w:szCs w:val="24"/>
        </w:rPr>
        <w:t>In</w:t>
      </w:r>
      <w:r w:rsidR="00FB61F0" w:rsidRPr="00321D34">
        <w:rPr>
          <w:rFonts w:eastAsia="Times New Roman"/>
          <w:bCs/>
          <w:sz w:val="24"/>
          <w:szCs w:val="24"/>
        </w:rPr>
        <w:t xml:space="preserve"> ‘</w:t>
      </w:r>
      <w:r w:rsidR="008C2DF3" w:rsidRPr="00321D34">
        <w:rPr>
          <w:rFonts w:eastAsia="Times New Roman"/>
          <w:bCs/>
          <w:sz w:val="24"/>
          <w:szCs w:val="24"/>
        </w:rPr>
        <w:t>“I’ve been hurt every single day here, you know:” a feminist abolitionist analysis of immigration detention violence</w:t>
      </w:r>
      <w:r w:rsidR="00FB61F0" w:rsidRPr="00321D34">
        <w:rPr>
          <w:rFonts w:eastAsia="Times New Roman"/>
          <w:bCs/>
          <w:sz w:val="24"/>
          <w:szCs w:val="24"/>
        </w:rPr>
        <w:t>’,</w:t>
      </w:r>
      <w:r w:rsidR="00FB61F0" w:rsidRPr="00321D34">
        <w:rPr>
          <w:bCs/>
          <w:sz w:val="24"/>
          <w:szCs w:val="24"/>
        </w:rPr>
        <w:t xml:space="preserve"> </w:t>
      </w:r>
      <w:r w:rsidR="00FB61F0" w:rsidRPr="00321D34">
        <w:rPr>
          <w:rFonts w:eastAsia="Times New Roman"/>
          <w:b/>
          <w:sz w:val="24"/>
          <w:szCs w:val="24"/>
        </w:rPr>
        <w:t>Francesca Esposito, Teresa Degenhardt, and Aminata Kalokoh</w:t>
      </w:r>
      <w:r w:rsidR="00FB61F0" w:rsidRPr="00321D34">
        <w:rPr>
          <w:rFonts w:eastAsia="Times New Roman"/>
          <w:bCs/>
          <w:sz w:val="24"/>
          <w:szCs w:val="24"/>
        </w:rPr>
        <w:t xml:space="preserve"> </w:t>
      </w:r>
      <w:r w:rsidR="00B97107" w:rsidRPr="00321D34">
        <w:rPr>
          <w:rFonts w:eastAsia="Times New Roman"/>
          <w:bCs/>
          <w:sz w:val="24"/>
          <w:szCs w:val="24"/>
        </w:rPr>
        <w:t xml:space="preserve">examine British immigration detention </w:t>
      </w:r>
      <w:proofErr w:type="spellStart"/>
      <w:r w:rsidR="00B97107" w:rsidRPr="00321D34">
        <w:rPr>
          <w:rFonts w:eastAsia="Times New Roman"/>
          <w:bCs/>
          <w:sz w:val="24"/>
          <w:szCs w:val="24"/>
        </w:rPr>
        <w:t>centres</w:t>
      </w:r>
      <w:proofErr w:type="spellEnd"/>
      <w:r w:rsidR="00B97107" w:rsidRPr="00321D34">
        <w:rPr>
          <w:rFonts w:eastAsia="Times New Roman"/>
          <w:bCs/>
          <w:sz w:val="24"/>
          <w:szCs w:val="24"/>
        </w:rPr>
        <w:t xml:space="preserve"> through </w:t>
      </w:r>
      <w:r w:rsidR="00887663">
        <w:rPr>
          <w:rFonts w:eastAsia="Times New Roman"/>
          <w:bCs/>
          <w:sz w:val="24"/>
          <w:szCs w:val="24"/>
        </w:rPr>
        <w:t>intersectional</w:t>
      </w:r>
      <w:r w:rsidR="00887663" w:rsidRPr="00321D34">
        <w:rPr>
          <w:rFonts w:eastAsia="Times New Roman"/>
          <w:bCs/>
          <w:sz w:val="24"/>
          <w:szCs w:val="24"/>
        </w:rPr>
        <w:t xml:space="preserve"> </w:t>
      </w:r>
      <w:r w:rsidR="00B97107" w:rsidRPr="00321D34">
        <w:rPr>
          <w:rFonts w:eastAsia="Times New Roman"/>
          <w:bCs/>
          <w:sz w:val="24"/>
          <w:szCs w:val="24"/>
        </w:rPr>
        <w:t xml:space="preserve">lenses. Focusing on detained women’s lived experiences, and </w:t>
      </w:r>
      <w:r w:rsidR="00810354" w:rsidRPr="00321D34">
        <w:rPr>
          <w:rFonts w:eastAsia="Times New Roman"/>
          <w:bCs/>
          <w:sz w:val="24"/>
          <w:szCs w:val="24"/>
        </w:rPr>
        <w:t xml:space="preserve">drawing from abolition feminist analyses, the authors argue that </w:t>
      </w:r>
      <w:r w:rsidR="00810354" w:rsidRPr="00BD3DB6">
        <w:rPr>
          <w:sz w:val="24"/>
        </w:rPr>
        <w:t xml:space="preserve">detention </w:t>
      </w:r>
      <w:proofErr w:type="spellStart"/>
      <w:r w:rsidR="00810354" w:rsidRPr="00BD3DB6">
        <w:rPr>
          <w:sz w:val="24"/>
        </w:rPr>
        <w:t>centres</w:t>
      </w:r>
      <w:proofErr w:type="spellEnd"/>
      <w:r w:rsidR="00810354" w:rsidRPr="00BD3DB6">
        <w:rPr>
          <w:sz w:val="24"/>
        </w:rPr>
        <w:t xml:space="preserve"> are a place of</w:t>
      </w:r>
      <w:r w:rsidR="00CA00DB" w:rsidRPr="00BD3DB6">
        <w:rPr>
          <w:sz w:val="24"/>
        </w:rPr>
        <w:t xml:space="preserve"> intersectional violence – namely a violence that is gendered, </w:t>
      </w:r>
      <w:proofErr w:type="spellStart"/>
      <w:r w:rsidR="00CA00DB" w:rsidRPr="00BD3DB6">
        <w:rPr>
          <w:sz w:val="24"/>
        </w:rPr>
        <w:t>racialised</w:t>
      </w:r>
      <w:proofErr w:type="spellEnd"/>
      <w:r w:rsidR="00CA00DB" w:rsidRPr="00BD3DB6">
        <w:rPr>
          <w:sz w:val="24"/>
        </w:rPr>
        <w:t>, and class-based</w:t>
      </w:r>
      <w:r w:rsidR="00CA00DB" w:rsidRPr="001E6178">
        <w:rPr>
          <w:rFonts w:eastAsia="Times New Roman"/>
          <w:bCs/>
          <w:sz w:val="24"/>
          <w:szCs w:val="24"/>
        </w:rPr>
        <w:t>.</w:t>
      </w:r>
    </w:p>
    <w:p w14:paraId="47968786" w14:textId="6EBEC5D1" w:rsidR="00324856" w:rsidRDefault="00176C6F" w:rsidP="00321D34">
      <w:pPr>
        <w:spacing w:after="120" w:line="240" w:lineRule="auto"/>
        <w:jc w:val="both"/>
        <w:rPr>
          <w:rFonts w:eastAsia="Times New Roman"/>
          <w:bCs/>
          <w:sz w:val="24"/>
          <w:szCs w:val="24"/>
        </w:rPr>
      </w:pPr>
      <w:bookmarkStart w:id="5" w:name="_Toc139662250"/>
      <w:bookmarkStart w:id="6" w:name="_Toc140142048"/>
      <w:bookmarkStart w:id="7" w:name="_Toc148709614"/>
      <w:bookmarkStart w:id="8" w:name="_Toc148709847"/>
      <w:bookmarkStart w:id="9" w:name="_Toc148709957"/>
      <w:bookmarkStart w:id="10" w:name="_Toc148867620"/>
      <w:r>
        <w:rPr>
          <w:sz w:val="24"/>
        </w:rPr>
        <w:t>Finally, in</w:t>
      </w:r>
      <w:r w:rsidR="00324856" w:rsidRPr="00324856">
        <w:rPr>
          <w:sz w:val="24"/>
        </w:rPr>
        <w:t xml:space="preserve"> ‘Illegally Crossing an Open Border: The Experiences of Venezuelan Women’s Journeys </w:t>
      </w:r>
      <w:bookmarkEnd w:id="5"/>
      <w:r w:rsidR="00324856" w:rsidRPr="00324856">
        <w:rPr>
          <w:sz w:val="24"/>
        </w:rPr>
        <w:t xml:space="preserve">to Colombia through </w:t>
      </w:r>
      <w:proofErr w:type="spellStart"/>
      <w:r w:rsidR="00324856" w:rsidRPr="00324856">
        <w:rPr>
          <w:sz w:val="24"/>
        </w:rPr>
        <w:t>Unauthorised</w:t>
      </w:r>
      <w:proofErr w:type="spellEnd"/>
      <w:r w:rsidR="00324856" w:rsidRPr="00324856">
        <w:rPr>
          <w:sz w:val="24"/>
        </w:rPr>
        <w:t xml:space="preserve"> Routes</w:t>
      </w:r>
      <w:bookmarkEnd w:id="6"/>
      <w:bookmarkEnd w:id="7"/>
      <w:bookmarkEnd w:id="8"/>
      <w:bookmarkEnd w:id="9"/>
      <w:bookmarkEnd w:id="10"/>
      <w:r w:rsidR="00324856" w:rsidRPr="00324856">
        <w:rPr>
          <w:sz w:val="24"/>
        </w:rPr>
        <w:t xml:space="preserve">’, </w:t>
      </w:r>
      <w:r w:rsidR="00324856" w:rsidRPr="00324856">
        <w:rPr>
          <w:b/>
          <w:sz w:val="24"/>
        </w:rPr>
        <w:t>Carlos Iglesias</w:t>
      </w:r>
      <w:r w:rsidR="00324856" w:rsidRPr="00324856">
        <w:rPr>
          <w:sz w:val="24"/>
        </w:rPr>
        <w:t xml:space="preserve"> explores the journey of Venezuelan female migrants to Columbia. </w:t>
      </w:r>
      <w:r w:rsidR="00324856" w:rsidRPr="00324856">
        <w:rPr>
          <w:color w:val="242424"/>
          <w:sz w:val="24"/>
        </w:rPr>
        <w:t xml:space="preserve">The article argues that, while the Colombian government professes an open-door policy and ostensibly welcomes Venezuelans without constraints, there exist discrepancies between this benevolent rhetoric and its practical application. Consequently, many migrants, particularly women from low socioeconomic backgrounds and single mothers, are compelled to enter Colombia through </w:t>
      </w:r>
      <w:proofErr w:type="spellStart"/>
      <w:r w:rsidR="00324856" w:rsidRPr="00324856">
        <w:rPr>
          <w:color w:val="242424"/>
          <w:sz w:val="24"/>
        </w:rPr>
        <w:t>unauthorised</w:t>
      </w:r>
      <w:proofErr w:type="spellEnd"/>
      <w:r w:rsidR="00324856" w:rsidRPr="00324856">
        <w:rPr>
          <w:color w:val="242424"/>
          <w:sz w:val="24"/>
        </w:rPr>
        <w:t xml:space="preserve"> routes. Drawing from the accounts of nine female migrants, the article concludes that, contrary to prevalent rhetoric often attributing clandestine migration to smugglers, female migrants take an active role in organizing their journeys and may resort to bypassing migration policies as a means of resistance</w:t>
      </w:r>
      <w:r w:rsidR="00324856" w:rsidRPr="001E6178">
        <w:rPr>
          <w:color w:val="242424"/>
          <w:sz w:val="24"/>
          <w:szCs w:val="24"/>
        </w:rPr>
        <w:t>.</w:t>
      </w:r>
    </w:p>
    <w:p w14:paraId="5A662CF5" w14:textId="01E62051" w:rsidR="009152C4" w:rsidRPr="00324856" w:rsidRDefault="001E6178" w:rsidP="00321D34">
      <w:pPr>
        <w:spacing w:after="120" w:line="240" w:lineRule="auto"/>
        <w:jc w:val="both"/>
        <w:rPr>
          <w:color w:val="242424"/>
          <w:sz w:val="24"/>
        </w:rPr>
      </w:pPr>
      <w:r w:rsidRPr="00324856">
        <w:rPr>
          <w:color w:val="242424"/>
          <w:sz w:val="24"/>
        </w:rPr>
        <w:t>T</w:t>
      </w:r>
      <w:r w:rsidR="00324856" w:rsidRPr="00324856">
        <w:rPr>
          <w:color w:val="242424"/>
          <w:sz w:val="24"/>
        </w:rPr>
        <w:t>wo</w:t>
      </w:r>
      <w:r w:rsidR="00DE0643" w:rsidRPr="00324856">
        <w:rPr>
          <w:color w:val="242424"/>
          <w:sz w:val="24"/>
        </w:rPr>
        <w:t xml:space="preserve"> further articles are included in the special </w:t>
      </w:r>
      <w:r w:rsidR="001C06AF" w:rsidRPr="00324856">
        <w:rPr>
          <w:color w:val="242424"/>
          <w:sz w:val="24"/>
        </w:rPr>
        <w:t>issue but</w:t>
      </w:r>
      <w:r w:rsidR="00DE0643" w:rsidRPr="00324856">
        <w:rPr>
          <w:color w:val="242424"/>
          <w:sz w:val="24"/>
        </w:rPr>
        <w:t xml:space="preserve"> will be published in the Autumn edition of this Journal, for reasons of space.</w:t>
      </w:r>
    </w:p>
    <w:p w14:paraId="04A993AD" w14:textId="77777777" w:rsidR="0022576B" w:rsidRPr="00324856" w:rsidRDefault="0022576B" w:rsidP="00321D34">
      <w:pPr>
        <w:spacing w:after="120" w:line="240" w:lineRule="auto"/>
        <w:jc w:val="both"/>
        <w:rPr>
          <w:sz w:val="24"/>
          <w:szCs w:val="24"/>
          <w:highlight w:val="yellow"/>
        </w:rPr>
      </w:pPr>
    </w:p>
    <w:p w14:paraId="5A73FFEF" w14:textId="38F821DA" w:rsidR="004A5900" w:rsidRPr="00324856" w:rsidRDefault="00456205" w:rsidP="00321D34">
      <w:pPr>
        <w:spacing w:after="120" w:line="240" w:lineRule="auto"/>
        <w:jc w:val="both"/>
        <w:rPr>
          <w:sz w:val="24"/>
          <w:szCs w:val="24"/>
        </w:rPr>
      </w:pPr>
      <w:r w:rsidRPr="00324856">
        <w:rPr>
          <w:sz w:val="24"/>
          <w:szCs w:val="24"/>
        </w:rPr>
        <w:t>In ‘</w:t>
      </w:r>
      <w:r w:rsidR="001C06AF" w:rsidRPr="00324856">
        <w:rPr>
          <w:sz w:val="24"/>
          <w:szCs w:val="24"/>
        </w:rPr>
        <w:t>Air-</w:t>
      </w:r>
      <w:r w:rsidR="004A5900" w:rsidRPr="00324856">
        <w:rPr>
          <w:sz w:val="24"/>
          <w:szCs w:val="24"/>
        </w:rPr>
        <w:t xml:space="preserve">Deportation, </w:t>
      </w:r>
      <w:r w:rsidR="001C06AF" w:rsidRPr="00324856">
        <w:rPr>
          <w:sz w:val="24"/>
          <w:szCs w:val="24"/>
        </w:rPr>
        <w:t>R</w:t>
      </w:r>
      <w:r w:rsidR="004A5900" w:rsidRPr="00324856">
        <w:rPr>
          <w:sz w:val="24"/>
          <w:szCs w:val="24"/>
        </w:rPr>
        <w:t xml:space="preserve">acism and </w:t>
      </w:r>
      <w:r w:rsidR="001C06AF" w:rsidRPr="00324856">
        <w:rPr>
          <w:sz w:val="24"/>
          <w:szCs w:val="24"/>
        </w:rPr>
        <w:t>V</w:t>
      </w:r>
      <w:r w:rsidR="004A5900" w:rsidRPr="00324856">
        <w:rPr>
          <w:sz w:val="24"/>
          <w:szCs w:val="24"/>
        </w:rPr>
        <w:t>iolence</w:t>
      </w:r>
      <w:r w:rsidRPr="00324856">
        <w:rPr>
          <w:sz w:val="24"/>
          <w:szCs w:val="24"/>
        </w:rPr>
        <w:t xml:space="preserve">, </w:t>
      </w:r>
      <w:r w:rsidR="00133F20" w:rsidRPr="00324856">
        <w:rPr>
          <w:b/>
          <w:bCs/>
          <w:sz w:val="24"/>
          <w:szCs w:val="24"/>
        </w:rPr>
        <w:t>Monish Bhatia</w:t>
      </w:r>
      <w:r w:rsidR="00133F20" w:rsidRPr="00324856">
        <w:rPr>
          <w:sz w:val="24"/>
          <w:szCs w:val="24"/>
        </w:rPr>
        <w:t xml:space="preserve"> </w:t>
      </w:r>
      <w:r w:rsidR="001E6178" w:rsidRPr="00324856">
        <w:rPr>
          <w:sz w:val="24"/>
          <w:szCs w:val="24"/>
        </w:rPr>
        <w:t xml:space="preserve">draws in narratives and experiences of </w:t>
      </w:r>
      <w:r w:rsidR="001C06AF" w:rsidRPr="00324856">
        <w:rPr>
          <w:sz w:val="24"/>
          <w:szCs w:val="24"/>
        </w:rPr>
        <w:t xml:space="preserve">asylum seekers subjected to enforced removal to highlight the violence in the deportation process. The article shows how violence, in its various forms, is central to the air deportation process. The violence, as argued here, is not spectacular or unusual. It is rather strategic, impersonal, mundane, </w:t>
      </w:r>
      <w:proofErr w:type="spellStart"/>
      <w:r w:rsidR="001C06AF" w:rsidRPr="00324856">
        <w:rPr>
          <w:sz w:val="24"/>
          <w:szCs w:val="24"/>
        </w:rPr>
        <w:t>institutionalised</w:t>
      </w:r>
      <w:proofErr w:type="spellEnd"/>
      <w:r w:rsidR="001C06AF" w:rsidRPr="00324856">
        <w:rPr>
          <w:sz w:val="24"/>
          <w:szCs w:val="24"/>
        </w:rPr>
        <w:t>, and built into the policies, procedures, and practices. The violence is cumulative, sustained, repeated, patterned, and disguised.</w:t>
      </w:r>
    </w:p>
    <w:p w14:paraId="68971CC7" w14:textId="32BE03CD" w:rsidR="00532A1C" w:rsidRPr="00C62987" w:rsidRDefault="00176C6F" w:rsidP="00463EDD">
      <w:pPr>
        <w:spacing w:after="120" w:line="240" w:lineRule="auto"/>
        <w:jc w:val="both"/>
        <w:rPr>
          <w:rFonts w:eastAsia="Times New Roman" w:cstheme="minorHAnsi"/>
        </w:rPr>
      </w:pPr>
      <w:r>
        <w:rPr>
          <w:sz w:val="24"/>
          <w:szCs w:val="24"/>
        </w:rPr>
        <w:t>And</w:t>
      </w:r>
      <w:r w:rsidR="00DE0643" w:rsidRPr="00324856">
        <w:rPr>
          <w:sz w:val="24"/>
          <w:szCs w:val="24"/>
        </w:rPr>
        <w:t>, i</w:t>
      </w:r>
      <w:r w:rsidR="00133F20" w:rsidRPr="00324856">
        <w:rPr>
          <w:sz w:val="24"/>
          <w:szCs w:val="24"/>
        </w:rPr>
        <w:t>n ‘</w:t>
      </w:r>
      <w:r w:rsidR="00A64CCE" w:rsidRPr="00324856">
        <w:rPr>
          <w:sz w:val="24"/>
          <w:szCs w:val="24"/>
        </w:rPr>
        <w:t xml:space="preserve">Challenging </w:t>
      </w:r>
      <w:proofErr w:type="spellStart"/>
      <w:r w:rsidR="00A64CCE" w:rsidRPr="00324856">
        <w:rPr>
          <w:sz w:val="24"/>
          <w:szCs w:val="24"/>
        </w:rPr>
        <w:t>Crimmigration</w:t>
      </w:r>
      <w:proofErr w:type="spellEnd"/>
      <w:r w:rsidR="00A64CCE" w:rsidRPr="00324856">
        <w:rPr>
          <w:sz w:val="24"/>
          <w:szCs w:val="24"/>
        </w:rPr>
        <w:t xml:space="preserve"> </w:t>
      </w:r>
      <w:proofErr w:type="spellStart"/>
      <w:r w:rsidR="00A64CCE" w:rsidRPr="00324856">
        <w:rPr>
          <w:sz w:val="24"/>
          <w:szCs w:val="24"/>
        </w:rPr>
        <w:t>Racialising</w:t>
      </w:r>
      <w:proofErr w:type="spellEnd"/>
      <w:r w:rsidR="00A64CCE" w:rsidRPr="00324856">
        <w:rPr>
          <w:sz w:val="24"/>
          <w:szCs w:val="24"/>
        </w:rPr>
        <w:t xml:space="preserve"> Politics Through Co-</w:t>
      </w:r>
      <w:proofErr w:type="gramStart"/>
      <w:r w:rsidR="00A64CCE" w:rsidRPr="00324856">
        <w:rPr>
          <w:sz w:val="24"/>
          <w:szCs w:val="24"/>
        </w:rPr>
        <w:t>creative</w:t>
      </w:r>
      <w:proofErr w:type="gramEnd"/>
      <w:r w:rsidR="00A64CCE" w:rsidRPr="00324856">
        <w:rPr>
          <w:sz w:val="24"/>
          <w:szCs w:val="24"/>
        </w:rPr>
        <w:t xml:space="preserve"> Ethnographic Filmmaking with Migrant Sex Workers’</w:t>
      </w:r>
      <w:r w:rsidR="00133F20" w:rsidRPr="00324856">
        <w:rPr>
          <w:sz w:val="24"/>
          <w:szCs w:val="24"/>
        </w:rPr>
        <w:t xml:space="preserve">’, </w:t>
      </w:r>
      <w:r w:rsidR="00133F20" w:rsidRPr="00324856">
        <w:rPr>
          <w:b/>
          <w:bCs/>
          <w:sz w:val="24"/>
          <w:szCs w:val="24"/>
        </w:rPr>
        <w:t>Nick Mai</w:t>
      </w:r>
      <w:r w:rsidR="00133F20" w:rsidRPr="00324856">
        <w:rPr>
          <w:sz w:val="24"/>
          <w:szCs w:val="24"/>
        </w:rPr>
        <w:t xml:space="preserve"> </w:t>
      </w:r>
      <w:r w:rsidR="00FD6DF6" w:rsidRPr="00324856">
        <w:rPr>
          <w:sz w:val="24"/>
          <w:szCs w:val="24"/>
        </w:rPr>
        <w:t xml:space="preserve">argues that </w:t>
      </w:r>
      <w:r w:rsidR="004B79D8" w:rsidRPr="00324856">
        <w:rPr>
          <w:sz w:val="24"/>
        </w:rPr>
        <w:t>collaborative filmmaking with migrant sex workers challenges</w:t>
      </w:r>
      <w:r w:rsidR="00C87885" w:rsidRPr="00324856">
        <w:rPr>
          <w:sz w:val="24"/>
        </w:rPr>
        <w:t xml:space="preserve"> the </w:t>
      </w:r>
      <w:r w:rsidR="004B79D8" w:rsidRPr="00324856">
        <w:rPr>
          <w:sz w:val="24"/>
        </w:rPr>
        <w:t>prevailing narratives</w:t>
      </w:r>
      <w:r w:rsidR="00C87885" w:rsidRPr="00324856">
        <w:rPr>
          <w:sz w:val="24"/>
        </w:rPr>
        <w:t xml:space="preserve"> that </w:t>
      </w:r>
      <w:r w:rsidR="004B79D8" w:rsidRPr="00324856">
        <w:rPr>
          <w:sz w:val="24"/>
        </w:rPr>
        <w:t xml:space="preserve">often portray them solely as either </w:t>
      </w:r>
      <w:r w:rsidR="00C87885" w:rsidRPr="00324856">
        <w:rPr>
          <w:sz w:val="24"/>
        </w:rPr>
        <w:t>criminals</w:t>
      </w:r>
      <w:r w:rsidR="004B79D8" w:rsidRPr="00324856">
        <w:rPr>
          <w:sz w:val="24"/>
        </w:rPr>
        <w:t xml:space="preserve"> or victim</w:t>
      </w:r>
      <w:r w:rsidR="004B79D8" w:rsidRPr="00324856">
        <w:rPr>
          <w:sz w:val="24"/>
          <w:szCs w:val="24"/>
        </w:rPr>
        <w:t xml:space="preserve">s. </w:t>
      </w:r>
      <w:r w:rsidR="007830FC" w:rsidRPr="00324856">
        <w:rPr>
          <w:sz w:val="24"/>
          <w:szCs w:val="24"/>
        </w:rPr>
        <w:t>The article</w:t>
      </w:r>
      <w:r w:rsidR="004B79D8" w:rsidRPr="00324856">
        <w:rPr>
          <w:sz w:val="24"/>
          <w:szCs w:val="24"/>
        </w:rPr>
        <w:t xml:space="preserve"> focus</w:t>
      </w:r>
      <w:r w:rsidR="007830FC" w:rsidRPr="00324856">
        <w:rPr>
          <w:sz w:val="24"/>
          <w:szCs w:val="24"/>
        </w:rPr>
        <w:t>es</w:t>
      </w:r>
      <w:r w:rsidR="004B79D8" w:rsidRPr="00324856">
        <w:rPr>
          <w:sz w:val="24"/>
          <w:szCs w:val="24"/>
        </w:rPr>
        <w:t xml:space="preserve"> on two films co-created with Latinx trans women in New York and Chinese cis women in Paris. These films </w:t>
      </w:r>
      <w:r w:rsidR="00415FF1" w:rsidRPr="00324856">
        <w:rPr>
          <w:sz w:val="24"/>
          <w:szCs w:val="24"/>
        </w:rPr>
        <w:t>are</w:t>
      </w:r>
      <w:r w:rsidR="004B79D8" w:rsidRPr="00324856">
        <w:rPr>
          <w:sz w:val="24"/>
          <w:szCs w:val="24"/>
        </w:rPr>
        <w:t xml:space="preserve"> used to illustrate how the self-representation of these individuals challenges the systems of deportability, stigma, and social marginalization resulting from their direct </w:t>
      </w:r>
      <w:proofErr w:type="spellStart"/>
      <w:r w:rsidR="004B79D8" w:rsidRPr="00324856">
        <w:rPr>
          <w:sz w:val="24"/>
          <w:szCs w:val="24"/>
        </w:rPr>
        <w:t>criminali</w:t>
      </w:r>
      <w:r w:rsidR="00AE632C" w:rsidRPr="00324856">
        <w:rPr>
          <w:sz w:val="24"/>
          <w:szCs w:val="24"/>
        </w:rPr>
        <w:t>s</w:t>
      </w:r>
      <w:r w:rsidR="004B79D8" w:rsidRPr="00324856">
        <w:rPr>
          <w:sz w:val="24"/>
          <w:szCs w:val="24"/>
        </w:rPr>
        <w:t>ation</w:t>
      </w:r>
      <w:proofErr w:type="spellEnd"/>
      <w:r w:rsidR="004B79D8" w:rsidRPr="00324856">
        <w:rPr>
          <w:sz w:val="24"/>
          <w:szCs w:val="24"/>
        </w:rPr>
        <w:t xml:space="preserve"> in the US and indirect </w:t>
      </w:r>
      <w:proofErr w:type="spellStart"/>
      <w:r w:rsidR="004B79D8" w:rsidRPr="00324856">
        <w:rPr>
          <w:sz w:val="24"/>
          <w:szCs w:val="24"/>
        </w:rPr>
        <w:t>criminali</w:t>
      </w:r>
      <w:r w:rsidR="00AE632C" w:rsidRPr="00324856">
        <w:rPr>
          <w:sz w:val="24"/>
          <w:szCs w:val="24"/>
        </w:rPr>
        <w:t>s</w:t>
      </w:r>
      <w:r w:rsidR="004B79D8" w:rsidRPr="00324856">
        <w:rPr>
          <w:sz w:val="24"/>
          <w:szCs w:val="24"/>
        </w:rPr>
        <w:t>ation</w:t>
      </w:r>
      <w:proofErr w:type="spellEnd"/>
      <w:r w:rsidR="004B79D8" w:rsidRPr="00324856">
        <w:rPr>
          <w:sz w:val="24"/>
          <w:szCs w:val="24"/>
        </w:rPr>
        <w:t xml:space="preserve"> via the </w:t>
      </w:r>
      <w:proofErr w:type="spellStart"/>
      <w:r w:rsidR="004B79D8" w:rsidRPr="00324856">
        <w:rPr>
          <w:sz w:val="24"/>
          <w:szCs w:val="24"/>
        </w:rPr>
        <w:t>penali</w:t>
      </w:r>
      <w:r w:rsidR="00AE632C" w:rsidRPr="00324856">
        <w:rPr>
          <w:sz w:val="24"/>
          <w:szCs w:val="24"/>
        </w:rPr>
        <w:t>s</w:t>
      </w:r>
      <w:r w:rsidR="004B79D8" w:rsidRPr="00324856">
        <w:rPr>
          <w:sz w:val="24"/>
          <w:szCs w:val="24"/>
        </w:rPr>
        <w:t>ation</w:t>
      </w:r>
      <w:proofErr w:type="spellEnd"/>
      <w:r w:rsidR="004B79D8" w:rsidRPr="00324856">
        <w:rPr>
          <w:sz w:val="24"/>
          <w:szCs w:val="24"/>
        </w:rPr>
        <w:t xml:space="preserve"> of clients in France.</w:t>
      </w:r>
      <w:r w:rsidR="004B79D8" w:rsidRPr="00321D34">
        <w:rPr>
          <w:sz w:val="24"/>
          <w:szCs w:val="24"/>
        </w:rPr>
        <w:t xml:space="preserve"> </w:t>
      </w:r>
    </w:p>
    <w:p w14:paraId="70F0D183" w14:textId="77777777" w:rsidR="004A5900" w:rsidRPr="00321D34" w:rsidRDefault="004A5900" w:rsidP="00321D34">
      <w:pPr>
        <w:spacing w:after="120" w:line="240" w:lineRule="auto"/>
        <w:jc w:val="both"/>
        <w:rPr>
          <w:color w:val="242424"/>
          <w:sz w:val="24"/>
          <w:szCs w:val="24"/>
          <w:highlight w:val="white"/>
        </w:rPr>
      </w:pPr>
    </w:p>
    <w:p w14:paraId="11293705" w14:textId="30206CCC" w:rsidR="0059722D" w:rsidRPr="00321D34" w:rsidRDefault="0059722D" w:rsidP="00321D34">
      <w:pPr>
        <w:spacing w:after="120" w:line="240" w:lineRule="auto"/>
        <w:jc w:val="both"/>
        <w:rPr>
          <w:sz w:val="24"/>
          <w:szCs w:val="24"/>
        </w:rPr>
      </w:pPr>
      <w:bookmarkStart w:id="11" w:name="_ohiz6lpw7zwv" w:colFirst="0" w:colLast="0"/>
      <w:bookmarkStart w:id="12" w:name="_1222xg3z5hpj" w:colFirst="0" w:colLast="0"/>
      <w:bookmarkEnd w:id="11"/>
      <w:bookmarkEnd w:id="12"/>
    </w:p>
    <w:p w14:paraId="76EFFE4E" w14:textId="77777777" w:rsidR="00DE0643" w:rsidRPr="00321D34" w:rsidRDefault="00DE0643" w:rsidP="00321D34">
      <w:pPr>
        <w:spacing w:after="120" w:line="240" w:lineRule="auto"/>
        <w:jc w:val="both"/>
        <w:rPr>
          <w:b/>
          <w:sz w:val="24"/>
          <w:szCs w:val="24"/>
        </w:rPr>
      </w:pPr>
      <w:bookmarkStart w:id="13" w:name="_ba44czpxy7jt" w:colFirst="0" w:colLast="0"/>
      <w:bookmarkEnd w:id="13"/>
      <w:r w:rsidRPr="00321D34">
        <w:rPr>
          <w:sz w:val="24"/>
          <w:szCs w:val="24"/>
        </w:rPr>
        <w:br w:type="page"/>
      </w:r>
    </w:p>
    <w:p w14:paraId="11293706" w14:textId="57E7E95A" w:rsidR="0059722D" w:rsidRPr="00321D34" w:rsidRDefault="00451DD7" w:rsidP="00321D34">
      <w:pPr>
        <w:pStyle w:val="Heading1"/>
        <w:rPr>
          <w:rFonts w:ascii="Arial" w:hAnsi="Arial" w:cs="Arial"/>
        </w:rPr>
      </w:pPr>
      <w:r w:rsidRPr="00321D34">
        <w:rPr>
          <w:rFonts w:ascii="Arial" w:hAnsi="Arial" w:cs="Arial"/>
        </w:rPr>
        <w:t>References</w:t>
      </w:r>
    </w:p>
    <w:p w14:paraId="11293707" w14:textId="77777777" w:rsidR="0059722D" w:rsidRPr="00321D34" w:rsidRDefault="00451DD7" w:rsidP="00321D34">
      <w:pPr>
        <w:spacing w:after="120" w:line="240" w:lineRule="auto"/>
        <w:ind w:left="280" w:hanging="280"/>
        <w:jc w:val="both"/>
        <w:rPr>
          <w:color w:val="222222"/>
          <w:sz w:val="24"/>
          <w:szCs w:val="24"/>
          <w:highlight w:val="white"/>
        </w:rPr>
      </w:pPr>
      <w:r w:rsidRPr="00321D34">
        <w:rPr>
          <w:color w:val="222222"/>
          <w:sz w:val="24"/>
          <w:szCs w:val="24"/>
          <w:highlight w:val="white"/>
        </w:rPr>
        <w:t xml:space="preserve">Abrego, L. J., &amp; </w:t>
      </w:r>
      <w:proofErr w:type="spellStart"/>
      <w:r w:rsidRPr="00321D34">
        <w:rPr>
          <w:color w:val="222222"/>
          <w:sz w:val="24"/>
          <w:szCs w:val="24"/>
          <w:highlight w:val="white"/>
        </w:rPr>
        <w:t>Schmalzbauer</w:t>
      </w:r>
      <w:proofErr w:type="spellEnd"/>
      <w:r w:rsidRPr="00321D34">
        <w:rPr>
          <w:color w:val="222222"/>
          <w:sz w:val="24"/>
          <w:szCs w:val="24"/>
          <w:highlight w:val="white"/>
        </w:rPr>
        <w:t xml:space="preserve">, L. (2018, March). Illegality, motherhood, and place: Undocumented Latinas making meaning and negotiating daily life. In </w:t>
      </w:r>
      <w:r w:rsidRPr="00321D34">
        <w:rPr>
          <w:i/>
          <w:color w:val="222222"/>
          <w:sz w:val="24"/>
          <w:szCs w:val="24"/>
          <w:highlight w:val="white"/>
        </w:rPr>
        <w:t>Women's Studies International Forum</w:t>
      </w:r>
      <w:r w:rsidRPr="00321D34">
        <w:rPr>
          <w:color w:val="222222"/>
          <w:sz w:val="24"/>
          <w:szCs w:val="24"/>
          <w:highlight w:val="white"/>
        </w:rPr>
        <w:t xml:space="preserve"> (Vol. 67, pp. 10-17). Pergamon.</w:t>
      </w:r>
    </w:p>
    <w:p w14:paraId="11293708" w14:textId="77777777" w:rsidR="0059722D" w:rsidRPr="00321D34" w:rsidRDefault="00451DD7" w:rsidP="00321D34">
      <w:pPr>
        <w:spacing w:after="120" w:line="240" w:lineRule="auto"/>
        <w:ind w:left="280" w:hanging="280"/>
        <w:jc w:val="both"/>
        <w:rPr>
          <w:sz w:val="24"/>
          <w:szCs w:val="24"/>
        </w:rPr>
      </w:pPr>
      <w:r w:rsidRPr="00321D34">
        <w:rPr>
          <w:color w:val="222222"/>
          <w:sz w:val="24"/>
          <w:szCs w:val="24"/>
          <w:highlight w:val="white"/>
        </w:rPr>
        <w:t xml:space="preserve">Armenta, A. (2017). Racializing </w:t>
      </w:r>
      <w:proofErr w:type="spellStart"/>
      <w:r w:rsidRPr="00321D34">
        <w:rPr>
          <w:color w:val="222222"/>
          <w:sz w:val="24"/>
          <w:szCs w:val="24"/>
          <w:highlight w:val="white"/>
        </w:rPr>
        <w:t>crimmigration</w:t>
      </w:r>
      <w:proofErr w:type="spellEnd"/>
      <w:r w:rsidRPr="00321D34">
        <w:rPr>
          <w:color w:val="222222"/>
          <w:sz w:val="24"/>
          <w:szCs w:val="24"/>
          <w:highlight w:val="white"/>
        </w:rPr>
        <w:t xml:space="preserve">: Structural racism, colorblindness, and the institutional production of immigrant criminality. </w:t>
      </w:r>
      <w:r w:rsidRPr="00321D34">
        <w:rPr>
          <w:i/>
          <w:color w:val="222222"/>
          <w:sz w:val="24"/>
          <w:szCs w:val="24"/>
          <w:highlight w:val="white"/>
        </w:rPr>
        <w:t>Sociology of race and ethnicity</w:t>
      </w:r>
      <w:r w:rsidRPr="00321D34">
        <w:rPr>
          <w:color w:val="222222"/>
          <w:sz w:val="24"/>
          <w:szCs w:val="24"/>
          <w:highlight w:val="white"/>
        </w:rPr>
        <w:t xml:space="preserve">, </w:t>
      </w:r>
      <w:r w:rsidRPr="00321D34">
        <w:rPr>
          <w:i/>
          <w:color w:val="222222"/>
          <w:sz w:val="24"/>
          <w:szCs w:val="24"/>
          <w:highlight w:val="white"/>
        </w:rPr>
        <w:t>3</w:t>
      </w:r>
      <w:r w:rsidRPr="00321D34">
        <w:rPr>
          <w:color w:val="222222"/>
          <w:sz w:val="24"/>
          <w:szCs w:val="24"/>
          <w:highlight w:val="white"/>
        </w:rPr>
        <w:t>(1), 82-95.</w:t>
      </w:r>
    </w:p>
    <w:p w14:paraId="11293709" w14:textId="77777777" w:rsidR="0059722D" w:rsidRPr="00321D34" w:rsidRDefault="00451DD7" w:rsidP="00321D34">
      <w:pPr>
        <w:spacing w:after="120" w:line="240" w:lineRule="auto"/>
        <w:ind w:left="280" w:hanging="280"/>
        <w:jc w:val="both"/>
        <w:rPr>
          <w:sz w:val="24"/>
          <w:szCs w:val="24"/>
        </w:rPr>
      </w:pPr>
      <w:r w:rsidRPr="00321D34">
        <w:rPr>
          <w:sz w:val="24"/>
          <w:szCs w:val="24"/>
        </w:rPr>
        <w:t xml:space="preserve">Bacon, David (2010), </w:t>
      </w:r>
      <w:r w:rsidRPr="00321D34">
        <w:rPr>
          <w:i/>
          <w:sz w:val="24"/>
          <w:szCs w:val="24"/>
        </w:rPr>
        <w:t>Illegal People: How Globalization Creates Migration and Criminalizes Immigrants</w:t>
      </w:r>
      <w:r w:rsidRPr="00321D34">
        <w:rPr>
          <w:sz w:val="24"/>
          <w:szCs w:val="24"/>
        </w:rPr>
        <w:t>, Boston: Beacon Press.</w:t>
      </w:r>
    </w:p>
    <w:p w14:paraId="1129370A" w14:textId="77777777" w:rsidR="0059722D" w:rsidRDefault="00451DD7" w:rsidP="00321D34">
      <w:pPr>
        <w:spacing w:after="120" w:line="240" w:lineRule="auto"/>
        <w:ind w:left="280" w:hanging="280"/>
        <w:jc w:val="both"/>
        <w:rPr>
          <w:color w:val="222222"/>
          <w:sz w:val="24"/>
          <w:szCs w:val="24"/>
          <w:highlight w:val="white"/>
        </w:rPr>
      </w:pPr>
      <w:r w:rsidRPr="00321D34">
        <w:rPr>
          <w:color w:val="222222"/>
          <w:sz w:val="24"/>
          <w:szCs w:val="24"/>
          <w:highlight w:val="white"/>
        </w:rPr>
        <w:t xml:space="preserve">Bhatia, M. (2020). </w:t>
      </w:r>
      <w:proofErr w:type="spellStart"/>
      <w:r w:rsidRPr="00321D34">
        <w:rPr>
          <w:color w:val="222222"/>
          <w:sz w:val="24"/>
          <w:szCs w:val="24"/>
          <w:highlight w:val="white"/>
        </w:rPr>
        <w:t>Crimmigration</w:t>
      </w:r>
      <w:proofErr w:type="spellEnd"/>
      <w:r w:rsidRPr="00321D34">
        <w:rPr>
          <w:color w:val="222222"/>
          <w:sz w:val="24"/>
          <w:szCs w:val="24"/>
          <w:highlight w:val="white"/>
        </w:rPr>
        <w:t xml:space="preserve">, imprisonment and racist violence: Narratives of people seeking asylum in Great Britain. </w:t>
      </w:r>
      <w:r w:rsidRPr="00321D34">
        <w:rPr>
          <w:i/>
          <w:color w:val="222222"/>
          <w:sz w:val="24"/>
          <w:szCs w:val="24"/>
          <w:highlight w:val="white"/>
        </w:rPr>
        <w:t>Journal of sociology</w:t>
      </w:r>
      <w:r w:rsidRPr="00321D34">
        <w:rPr>
          <w:color w:val="222222"/>
          <w:sz w:val="24"/>
          <w:szCs w:val="24"/>
          <w:highlight w:val="white"/>
        </w:rPr>
        <w:t xml:space="preserve">, </w:t>
      </w:r>
      <w:r w:rsidRPr="00321D34">
        <w:rPr>
          <w:i/>
          <w:color w:val="222222"/>
          <w:sz w:val="24"/>
          <w:szCs w:val="24"/>
          <w:highlight w:val="white"/>
        </w:rPr>
        <w:t>56</w:t>
      </w:r>
      <w:r w:rsidRPr="00321D34">
        <w:rPr>
          <w:color w:val="222222"/>
          <w:sz w:val="24"/>
          <w:szCs w:val="24"/>
          <w:highlight w:val="white"/>
        </w:rPr>
        <w:t>(1), 36-52.</w:t>
      </w:r>
    </w:p>
    <w:p w14:paraId="30901D99" w14:textId="1CB0E589" w:rsidR="00E4425F" w:rsidRPr="00E4425F" w:rsidRDefault="00E4425F" w:rsidP="00321D34">
      <w:pPr>
        <w:spacing w:after="120" w:line="240" w:lineRule="auto"/>
        <w:ind w:left="280" w:hanging="280"/>
        <w:jc w:val="both"/>
        <w:rPr>
          <w:color w:val="222222"/>
          <w:sz w:val="24"/>
          <w:szCs w:val="24"/>
          <w:highlight w:val="white"/>
        </w:rPr>
      </w:pPr>
      <w:r w:rsidRPr="00BD3DB6">
        <w:rPr>
          <w:color w:val="222222"/>
          <w:sz w:val="24"/>
          <w:shd w:val="clear" w:color="auto" w:fill="FFFFFF"/>
        </w:rPr>
        <w:t>Bhatia, M. (</w:t>
      </w:r>
      <w:r w:rsidRPr="00E4425F">
        <w:rPr>
          <w:color w:val="222222"/>
          <w:sz w:val="24"/>
          <w:szCs w:val="24"/>
          <w:shd w:val="clear" w:color="auto" w:fill="FFFFFF"/>
        </w:rPr>
        <w:t>2021). State Violence in India: From Border Killings to the National Register of Citizens and the Citizenship Amendment Act. In Bhatia, M., and Canning, V (eds). </w:t>
      </w:r>
      <w:r w:rsidRPr="00E4425F">
        <w:rPr>
          <w:i/>
          <w:iCs/>
          <w:color w:val="222222"/>
          <w:sz w:val="24"/>
          <w:szCs w:val="24"/>
          <w:shd w:val="clear" w:color="auto" w:fill="FFFFFF"/>
        </w:rPr>
        <w:t>Stealing Time: Migration, Temporalities and State Violence</w:t>
      </w:r>
      <w:r w:rsidRPr="00E4425F">
        <w:rPr>
          <w:color w:val="222222"/>
          <w:sz w:val="24"/>
          <w:szCs w:val="24"/>
          <w:shd w:val="clear" w:color="auto" w:fill="FFFFFF"/>
        </w:rPr>
        <w:t>, London: Palgrave, 171-196.</w:t>
      </w:r>
    </w:p>
    <w:p w14:paraId="1129370B" w14:textId="1E061DDA" w:rsidR="0059722D" w:rsidRPr="00321D34" w:rsidRDefault="00451DD7" w:rsidP="00321D34">
      <w:pPr>
        <w:spacing w:after="120" w:line="240" w:lineRule="auto"/>
        <w:ind w:left="280" w:hanging="280"/>
        <w:jc w:val="both"/>
        <w:rPr>
          <w:color w:val="222222"/>
          <w:sz w:val="24"/>
          <w:szCs w:val="24"/>
          <w:highlight w:val="white"/>
        </w:rPr>
      </w:pPr>
      <w:r w:rsidRPr="00321D34">
        <w:rPr>
          <w:color w:val="222222"/>
          <w:sz w:val="24"/>
          <w:szCs w:val="24"/>
          <w:highlight w:val="white"/>
        </w:rPr>
        <w:t>Bhatia, M. (202</w:t>
      </w:r>
      <w:r w:rsidR="00E4425F">
        <w:rPr>
          <w:color w:val="222222"/>
          <w:sz w:val="24"/>
          <w:szCs w:val="24"/>
          <w:highlight w:val="white"/>
        </w:rPr>
        <w:t>3</w:t>
      </w:r>
      <w:r w:rsidRPr="00321D34">
        <w:rPr>
          <w:color w:val="222222"/>
          <w:sz w:val="24"/>
          <w:szCs w:val="24"/>
          <w:highlight w:val="white"/>
        </w:rPr>
        <w:t xml:space="preserve">). Reproductive injustice in Britain: punishing illegalized migrant women from the Global South and separating families. </w:t>
      </w:r>
      <w:r w:rsidRPr="00321D34">
        <w:rPr>
          <w:i/>
          <w:color w:val="222222"/>
          <w:sz w:val="24"/>
          <w:szCs w:val="24"/>
          <w:highlight w:val="white"/>
        </w:rPr>
        <w:t>Identities</w:t>
      </w:r>
      <w:r w:rsidRPr="00321D34">
        <w:rPr>
          <w:color w:val="222222"/>
          <w:sz w:val="24"/>
          <w:szCs w:val="24"/>
          <w:highlight w:val="white"/>
        </w:rPr>
        <w:t>, 1-19.</w:t>
      </w:r>
    </w:p>
    <w:p w14:paraId="1129370C" w14:textId="77777777" w:rsidR="0059722D" w:rsidRPr="00321D34" w:rsidRDefault="00451DD7" w:rsidP="00321D34">
      <w:pPr>
        <w:spacing w:after="120" w:line="240" w:lineRule="auto"/>
        <w:ind w:left="280" w:hanging="280"/>
        <w:jc w:val="both"/>
        <w:rPr>
          <w:color w:val="333333"/>
          <w:sz w:val="24"/>
          <w:szCs w:val="24"/>
          <w:highlight w:val="white"/>
        </w:rPr>
      </w:pPr>
      <w:r w:rsidRPr="00321D34">
        <w:rPr>
          <w:color w:val="333333"/>
          <w:sz w:val="24"/>
          <w:szCs w:val="24"/>
          <w:highlight w:val="white"/>
        </w:rPr>
        <w:t xml:space="preserve">Crenshaw, K. 1991. “Mapping the Margins: Intersectionality, Identity Politics, and Violence Against Women of Color.” </w:t>
      </w:r>
      <w:r w:rsidRPr="00321D34">
        <w:rPr>
          <w:i/>
          <w:color w:val="333333"/>
          <w:sz w:val="24"/>
          <w:szCs w:val="24"/>
          <w:highlight w:val="white"/>
        </w:rPr>
        <w:t>Stanford Law Review</w:t>
      </w:r>
      <w:r w:rsidRPr="00321D34">
        <w:rPr>
          <w:color w:val="333333"/>
          <w:sz w:val="24"/>
          <w:szCs w:val="24"/>
          <w:highlight w:val="white"/>
        </w:rPr>
        <w:t xml:space="preserve"> 43: 1241–1299.</w:t>
      </w:r>
    </w:p>
    <w:p w14:paraId="1129370D" w14:textId="77777777" w:rsidR="0059722D" w:rsidRPr="00321D34" w:rsidRDefault="00451DD7" w:rsidP="00321D34">
      <w:pPr>
        <w:spacing w:after="120" w:line="240" w:lineRule="auto"/>
        <w:ind w:left="280" w:hanging="280"/>
        <w:jc w:val="both"/>
        <w:rPr>
          <w:color w:val="333333"/>
          <w:sz w:val="24"/>
          <w:szCs w:val="24"/>
          <w:highlight w:val="white"/>
        </w:rPr>
      </w:pPr>
      <w:r w:rsidRPr="00321D34">
        <w:rPr>
          <w:color w:val="333333"/>
          <w:sz w:val="24"/>
          <w:szCs w:val="24"/>
          <w:highlight w:val="white"/>
        </w:rPr>
        <w:t xml:space="preserve">Davis, A. Y. 1981. </w:t>
      </w:r>
      <w:r w:rsidRPr="00321D34">
        <w:rPr>
          <w:i/>
          <w:color w:val="333333"/>
          <w:sz w:val="24"/>
          <w:szCs w:val="24"/>
          <w:highlight w:val="white"/>
        </w:rPr>
        <w:t>Women, Race, and Class</w:t>
      </w:r>
      <w:r w:rsidRPr="00321D34">
        <w:rPr>
          <w:color w:val="333333"/>
          <w:sz w:val="24"/>
          <w:szCs w:val="24"/>
          <w:highlight w:val="white"/>
        </w:rPr>
        <w:t>. New York: Vintage.</w:t>
      </w:r>
    </w:p>
    <w:p w14:paraId="1129370E" w14:textId="77777777" w:rsidR="0059722D" w:rsidRPr="00321D34" w:rsidRDefault="00451DD7" w:rsidP="00321D34">
      <w:pPr>
        <w:spacing w:after="120" w:line="240" w:lineRule="auto"/>
        <w:ind w:left="280" w:hanging="280"/>
        <w:jc w:val="both"/>
        <w:rPr>
          <w:sz w:val="24"/>
          <w:szCs w:val="24"/>
        </w:rPr>
      </w:pPr>
      <w:r w:rsidRPr="00321D34">
        <w:rPr>
          <w:sz w:val="24"/>
          <w:szCs w:val="24"/>
        </w:rPr>
        <w:t xml:space="preserve">FRA (2014), </w:t>
      </w:r>
      <w:proofErr w:type="spellStart"/>
      <w:r w:rsidRPr="00321D34">
        <w:rPr>
          <w:sz w:val="24"/>
          <w:szCs w:val="24"/>
        </w:rPr>
        <w:t>Criminalisation</w:t>
      </w:r>
      <w:proofErr w:type="spellEnd"/>
      <w:r w:rsidRPr="00321D34">
        <w:rPr>
          <w:sz w:val="24"/>
          <w:szCs w:val="24"/>
        </w:rPr>
        <w:t xml:space="preserve"> of migrants in an irregular situation and of persons engaging with them, EU Agency for Fundamental Rights, </w:t>
      </w:r>
      <w:hyperlink r:id="rId11">
        <w:r w:rsidRPr="00321D34">
          <w:rPr>
            <w:color w:val="1155CC"/>
            <w:sz w:val="24"/>
            <w:szCs w:val="24"/>
            <w:u w:val="single"/>
          </w:rPr>
          <w:t>https://fra.europa.eu/en/publication/2014/criminalisation-migrants-irregular-situation-and-persons-engaging-them</w:t>
        </w:r>
      </w:hyperlink>
      <w:r w:rsidRPr="00321D34">
        <w:rPr>
          <w:sz w:val="24"/>
          <w:szCs w:val="24"/>
        </w:rPr>
        <w:t xml:space="preserve"> </w:t>
      </w:r>
    </w:p>
    <w:p w14:paraId="1129370F" w14:textId="77777777" w:rsidR="0059722D" w:rsidRPr="00321D34" w:rsidRDefault="00451DD7" w:rsidP="00321D34">
      <w:pPr>
        <w:spacing w:after="120" w:line="240" w:lineRule="auto"/>
        <w:ind w:left="280" w:hanging="280"/>
        <w:jc w:val="both"/>
        <w:rPr>
          <w:color w:val="222222"/>
          <w:sz w:val="24"/>
          <w:szCs w:val="24"/>
          <w:highlight w:val="white"/>
        </w:rPr>
      </w:pPr>
      <w:r w:rsidRPr="00321D34">
        <w:rPr>
          <w:color w:val="222222"/>
          <w:sz w:val="24"/>
          <w:szCs w:val="24"/>
          <w:highlight w:val="white"/>
        </w:rPr>
        <w:t xml:space="preserve">Franko, K. (2019). </w:t>
      </w:r>
      <w:r w:rsidRPr="00321D34">
        <w:rPr>
          <w:i/>
          <w:color w:val="222222"/>
          <w:sz w:val="24"/>
          <w:szCs w:val="24"/>
          <w:highlight w:val="white"/>
        </w:rPr>
        <w:t xml:space="preserve">The </w:t>
      </w:r>
      <w:proofErr w:type="spellStart"/>
      <w:r w:rsidRPr="00321D34">
        <w:rPr>
          <w:i/>
          <w:color w:val="222222"/>
          <w:sz w:val="24"/>
          <w:szCs w:val="24"/>
          <w:highlight w:val="white"/>
        </w:rPr>
        <w:t>crimmigrant</w:t>
      </w:r>
      <w:proofErr w:type="spellEnd"/>
      <w:r w:rsidRPr="00321D34">
        <w:rPr>
          <w:i/>
          <w:color w:val="222222"/>
          <w:sz w:val="24"/>
          <w:szCs w:val="24"/>
          <w:highlight w:val="white"/>
        </w:rPr>
        <w:t xml:space="preserve"> other: Migration and penal power</w:t>
      </w:r>
      <w:r w:rsidRPr="00321D34">
        <w:rPr>
          <w:color w:val="222222"/>
          <w:sz w:val="24"/>
          <w:szCs w:val="24"/>
          <w:highlight w:val="white"/>
        </w:rPr>
        <w:t>. Routledge.</w:t>
      </w:r>
    </w:p>
    <w:p w14:paraId="11293710" w14:textId="77777777" w:rsidR="0059722D" w:rsidRPr="00321D34" w:rsidRDefault="00451DD7" w:rsidP="00321D34">
      <w:pPr>
        <w:spacing w:after="120" w:line="240" w:lineRule="auto"/>
        <w:ind w:left="280" w:hanging="280"/>
        <w:jc w:val="both"/>
        <w:rPr>
          <w:color w:val="222222"/>
          <w:sz w:val="24"/>
          <w:szCs w:val="24"/>
          <w:highlight w:val="white"/>
        </w:rPr>
      </w:pPr>
      <w:r w:rsidRPr="00321D34">
        <w:rPr>
          <w:color w:val="222222"/>
          <w:sz w:val="24"/>
          <w:szCs w:val="24"/>
          <w:highlight w:val="white"/>
        </w:rPr>
        <w:t xml:space="preserve">Garner, S. (2015). </w:t>
      </w:r>
      <w:proofErr w:type="spellStart"/>
      <w:r w:rsidRPr="00321D34">
        <w:rPr>
          <w:color w:val="222222"/>
          <w:sz w:val="24"/>
          <w:szCs w:val="24"/>
          <w:highlight w:val="white"/>
        </w:rPr>
        <w:t>Crimmigration</w:t>
      </w:r>
      <w:proofErr w:type="spellEnd"/>
      <w:r w:rsidRPr="00321D34">
        <w:rPr>
          <w:color w:val="222222"/>
          <w:sz w:val="24"/>
          <w:szCs w:val="24"/>
          <w:highlight w:val="white"/>
        </w:rPr>
        <w:t xml:space="preserve">: When criminology (nearly) met the sociology of race and ethnicity. </w:t>
      </w:r>
      <w:r w:rsidRPr="00321D34">
        <w:rPr>
          <w:i/>
          <w:color w:val="222222"/>
          <w:sz w:val="24"/>
          <w:szCs w:val="24"/>
          <w:highlight w:val="white"/>
        </w:rPr>
        <w:t>Sociology of Race and Ethnicity</w:t>
      </w:r>
      <w:r w:rsidRPr="00321D34">
        <w:rPr>
          <w:color w:val="222222"/>
          <w:sz w:val="24"/>
          <w:szCs w:val="24"/>
          <w:highlight w:val="white"/>
        </w:rPr>
        <w:t xml:space="preserve">, </w:t>
      </w:r>
      <w:r w:rsidRPr="00321D34">
        <w:rPr>
          <w:i/>
          <w:color w:val="222222"/>
          <w:sz w:val="24"/>
          <w:szCs w:val="24"/>
          <w:highlight w:val="white"/>
        </w:rPr>
        <w:t>1</w:t>
      </w:r>
      <w:r w:rsidRPr="00321D34">
        <w:rPr>
          <w:color w:val="222222"/>
          <w:sz w:val="24"/>
          <w:szCs w:val="24"/>
          <w:highlight w:val="white"/>
        </w:rPr>
        <w:t>(1), 198-203.</w:t>
      </w:r>
    </w:p>
    <w:p w14:paraId="11293711" w14:textId="77777777" w:rsidR="0059722D" w:rsidRPr="00321D34" w:rsidRDefault="00451DD7" w:rsidP="00321D34">
      <w:pPr>
        <w:spacing w:after="120" w:line="240" w:lineRule="auto"/>
        <w:ind w:left="280" w:hanging="280"/>
        <w:jc w:val="both"/>
        <w:rPr>
          <w:color w:val="222222"/>
          <w:sz w:val="24"/>
          <w:szCs w:val="24"/>
          <w:highlight w:val="white"/>
        </w:rPr>
      </w:pPr>
      <w:r w:rsidRPr="00321D34">
        <w:rPr>
          <w:color w:val="222222"/>
          <w:sz w:val="24"/>
          <w:szCs w:val="24"/>
          <w:highlight w:val="white"/>
        </w:rPr>
        <w:t xml:space="preserve">Hartry, A. S. (2012). Gendering </w:t>
      </w:r>
      <w:proofErr w:type="spellStart"/>
      <w:r w:rsidRPr="00321D34">
        <w:rPr>
          <w:color w:val="222222"/>
          <w:sz w:val="24"/>
          <w:szCs w:val="24"/>
          <w:highlight w:val="white"/>
        </w:rPr>
        <w:t>crimmigration</w:t>
      </w:r>
      <w:proofErr w:type="spellEnd"/>
      <w:r w:rsidRPr="00321D34">
        <w:rPr>
          <w:color w:val="222222"/>
          <w:sz w:val="24"/>
          <w:szCs w:val="24"/>
          <w:highlight w:val="white"/>
        </w:rPr>
        <w:t xml:space="preserve">: The intersection of gender, immigration, and the criminal justice system. </w:t>
      </w:r>
      <w:r w:rsidRPr="00321D34">
        <w:rPr>
          <w:i/>
          <w:color w:val="222222"/>
          <w:sz w:val="24"/>
          <w:szCs w:val="24"/>
          <w:highlight w:val="white"/>
        </w:rPr>
        <w:t>Berkeley J. Gender L. &amp; Just.</w:t>
      </w:r>
      <w:r w:rsidRPr="00321D34">
        <w:rPr>
          <w:color w:val="222222"/>
          <w:sz w:val="24"/>
          <w:szCs w:val="24"/>
          <w:highlight w:val="white"/>
        </w:rPr>
        <w:t xml:space="preserve">, </w:t>
      </w:r>
      <w:r w:rsidRPr="00321D34">
        <w:rPr>
          <w:i/>
          <w:color w:val="222222"/>
          <w:sz w:val="24"/>
          <w:szCs w:val="24"/>
          <w:highlight w:val="white"/>
        </w:rPr>
        <w:t>27</w:t>
      </w:r>
      <w:r w:rsidRPr="00321D34">
        <w:rPr>
          <w:color w:val="222222"/>
          <w:sz w:val="24"/>
          <w:szCs w:val="24"/>
          <w:highlight w:val="white"/>
        </w:rPr>
        <w:t>, 1.</w:t>
      </w:r>
    </w:p>
    <w:p w14:paraId="11293712" w14:textId="77777777" w:rsidR="0059722D" w:rsidRPr="00321D34" w:rsidRDefault="00451DD7" w:rsidP="00321D34">
      <w:pPr>
        <w:spacing w:after="120" w:line="240" w:lineRule="auto"/>
        <w:ind w:left="280" w:hanging="280"/>
        <w:jc w:val="both"/>
        <w:rPr>
          <w:sz w:val="24"/>
          <w:szCs w:val="24"/>
        </w:rPr>
      </w:pPr>
      <w:proofErr w:type="spellStart"/>
      <w:r w:rsidRPr="00321D34">
        <w:rPr>
          <w:sz w:val="24"/>
          <w:szCs w:val="24"/>
        </w:rPr>
        <w:t>Kanstroom</w:t>
      </w:r>
      <w:proofErr w:type="spellEnd"/>
      <w:r w:rsidRPr="00321D34">
        <w:rPr>
          <w:sz w:val="24"/>
          <w:szCs w:val="24"/>
        </w:rPr>
        <w:t xml:space="preserve">, Daniel (2000), ‘Deportation, Social Control, and Punishment: Some Thoughts About Why Hard Laws Make Bad Cases’, </w:t>
      </w:r>
      <w:r w:rsidRPr="00321D34">
        <w:rPr>
          <w:i/>
          <w:sz w:val="24"/>
          <w:szCs w:val="24"/>
        </w:rPr>
        <w:t>Harvard Law Review,</w:t>
      </w:r>
      <w:r w:rsidRPr="00321D34">
        <w:rPr>
          <w:sz w:val="24"/>
          <w:szCs w:val="24"/>
        </w:rPr>
        <w:t xml:space="preserve"> 11: 1889–1935.</w:t>
      </w:r>
    </w:p>
    <w:p w14:paraId="11293713" w14:textId="77777777" w:rsidR="0059722D" w:rsidRPr="00321D34" w:rsidRDefault="00451DD7" w:rsidP="00321D34">
      <w:pPr>
        <w:spacing w:after="120" w:line="240" w:lineRule="auto"/>
        <w:ind w:left="280" w:hanging="280"/>
        <w:jc w:val="both"/>
        <w:rPr>
          <w:sz w:val="24"/>
          <w:szCs w:val="24"/>
        </w:rPr>
      </w:pPr>
      <w:proofErr w:type="spellStart"/>
      <w:r w:rsidRPr="00321D34">
        <w:rPr>
          <w:sz w:val="24"/>
          <w:szCs w:val="24"/>
        </w:rPr>
        <w:t>Maugendre</w:t>
      </w:r>
      <w:proofErr w:type="spellEnd"/>
      <w:r w:rsidRPr="00321D34">
        <w:rPr>
          <w:sz w:val="24"/>
          <w:szCs w:val="24"/>
        </w:rPr>
        <w:t xml:space="preserve">, Stéphane (2012), ‘À </w:t>
      </w:r>
      <w:proofErr w:type="spellStart"/>
      <w:r w:rsidRPr="00321D34">
        <w:rPr>
          <w:sz w:val="24"/>
          <w:szCs w:val="24"/>
        </w:rPr>
        <w:t>quand</w:t>
      </w:r>
      <w:proofErr w:type="spellEnd"/>
      <w:r w:rsidRPr="00321D34">
        <w:rPr>
          <w:sz w:val="24"/>
          <w:szCs w:val="24"/>
        </w:rPr>
        <w:t xml:space="preserve"> la fin de la double </w:t>
      </w:r>
      <w:proofErr w:type="spellStart"/>
      <w:r w:rsidRPr="00321D34">
        <w:rPr>
          <w:sz w:val="24"/>
          <w:szCs w:val="24"/>
        </w:rPr>
        <w:t>peine</w:t>
      </w:r>
      <w:proofErr w:type="spellEnd"/>
      <w:r w:rsidRPr="00321D34">
        <w:rPr>
          <w:sz w:val="24"/>
          <w:szCs w:val="24"/>
        </w:rPr>
        <w:t xml:space="preserve">?’, </w:t>
      </w:r>
      <w:r w:rsidRPr="00321D34">
        <w:rPr>
          <w:i/>
          <w:sz w:val="24"/>
          <w:szCs w:val="24"/>
        </w:rPr>
        <w:t>Plein Droit</w:t>
      </w:r>
      <w:r w:rsidRPr="00321D34">
        <w:rPr>
          <w:sz w:val="24"/>
          <w:szCs w:val="24"/>
        </w:rPr>
        <w:t xml:space="preserve">, 93, </w:t>
      </w:r>
      <w:hyperlink r:id="rId12">
        <w:r w:rsidRPr="00321D34">
          <w:rPr>
            <w:color w:val="1155CC"/>
            <w:sz w:val="24"/>
            <w:szCs w:val="24"/>
            <w:u w:val="single"/>
          </w:rPr>
          <w:t>http://www.gisti.org/spip.php?article4532</w:t>
        </w:r>
      </w:hyperlink>
      <w:r w:rsidRPr="00321D34">
        <w:rPr>
          <w:sz w:val="24"/>
          <w:szCs w:val="24"/>
        </w:rPr>
        <w:t>.</w:t>
      </w:r>
    </w:p>
    <w:p w14:paraId="11293714" w14:textId="77777777" w:rsidR="0059722D" w:rsidRPr="00321D34" w:rsidRDefault="00451DD7" w:rsidP="00321D34">
      <w:pPr>
        <w:spacing w:after="120" w:line="240" w:lineRule="auto"/>
        <w:ind w:left="280" w:hanging="280"/>
        <w:jc w:val="both"/>
        <w:rPr>
          <w:sz w:val="24"/>
          <w:szCs w:val="24"/>
        </w:rPr>
      </w:pPr>
      <w:proofErr w:type="spellStart"/>
      <w:r w:rsidRPr="00321D34">
        <w:rPr>
          <w:color w:val="222222"/>
          <w:sz w:val="24"/>
          <w:szCs w:val="24"/>
          <w:highlight w:val="white"/>
        </w:rPr>
        <w:t>Menjívar</w:t>
      </w:r>
      <w:proofErr w:type="spellEnd"/>
      <w:r w:rsidRPr="00321D34">
        <w:rPr>
          <w:color w:val="222222"/>
          <w:sz w:val="24"/>
          <w:szCs w:val="24"/>
          <w:highlight w:val="white"/>
        </w:rPr>
        <w:t>, C., Gómez Cervantes, A., &amp; Alvord, D. (2018). The expansion of “</w:t>
      </w:r>
      <w:proofErr w:type="spellStart"/>
      <w:r w:rsidRPr="00321D34">
        <w:rPr>
          <w:color w:val="222222"/>
          <w:sz w:val="24"/>
          <w:szCs w:val="24"/>
          <w:highlight w:val="white"/>
        </w:rPr>
        <w:t>crimmigration</w:t>
      </w:r>
      <w:proofErr w:type="spellEnd"/>
      <w:r w:rsidRPr="00321D34">
        <w:rPr>
          <w:color w:val="222222"/>
          <w:sz w:val="24"/>
          <w:szCs w:val="24"/>
          <w:highlight w:val="white"/>
        </w:rPr>
        <w:t xml:space="preserve">,” mass detention, and deportation. </w:t>
      </w:r>
      <w:r w:rsidRPr="00321D34">
        <w:rPr>
          <w:i/>
          <w:color w:val="222222"/>
          <w:sz w:val="24"/>
          <w:szCs w:val="24"/>
          <w:highlight w:val="white"/>
        </w:rPr>
        <w:t>Sociology Compass</w:t>
      </w:r>
      <w:r w:rsidRPr="00321D34">
        <w:rPr>
          <w:color w:val="222222"/>
          <w:sz w:val="24"/>
          <w:szCs w:val="24"/>
          <w:highlight w:val="white"/>
        </w:rPr>
        <w:t xml:space="preserve">, </w:t>
      </w:r>
      <w:r w:rsidRPr="00321D34">
        <w:rPr>
          <w:i/>
          <w:color w:val="222222"/>
          <w:sz w:val="24"/>
          <w:szCs w:val="24"/>
          <w:highlight w:val="white"/>
        </w:rPr>
        <w:t>12</w:t>
      </w:r>
      <w:r w:rsidRPr="00321D34">
        <w:rPr>
          <w:color w:val="222222"/>
          <w:sz w:val="24"/>
          <w:szCs w:val="24"/>
          <w:highlight w:val="white"/>
        </w:rPr>
        <w:t>(4).</w:t>
      </w:r>
    </w:p>
    <w:p w14:paraId="11293715" w14:textId="77777777" w:rsidR="0059722D" w:rsidRPr="00321D34" w:rsidRDefault="00451DD7" w:rsidP="00321D34">
      <w:pPr>
        <w:spacing w:after="120" w:line="240" w:lineRule="auto"/>
        <w:ind w:left="280" w:hanging="280"/>
        <w:jc w:val="both"/>
        <w:rPr>
          <w:sz w:val="24"/>
          <w:szCs w:val="24"/>
        </w:rPr>
      </w:pPr>
      <w:r w:rsidRPr="00321D34">
        <w:rPr>
          <w:sz w:val="24"/>
          <w:szCs w:val="24"/>
        </w:rPr>
        <w:t xml:space="preserve">Provera, Mark (2015), ‘The </w:t>
      </w:r>
      <w:proofErr w:type="spellStart"/>
      <w:r w:rsidRPr="00321D34">
        <w:rPr>
          <w:sz w:val="24"/>
          <w:szCs w:val="24"/>
        </w:rPr>
        <w:t>Criminalisation</w:t>
      </w:r>
      <w:proofErr w:type="spellEnd"/>
      <w:r w:rsidRPr="00321D34">
        <w:rPr>
          <w:sz w:val="24"/>
          <w:szCs w:val="24"/>
        </w:rPr>
        <w:t xml:space="preserve"> of Irregular Migration in the European Union’</w:t>
      </w:r>
      <w:r w:rsidRPr="00321D34">
        <w:rPr>
          <w:i/>
          <w:sz w:val="24"/>
          <w:szCs w:val="24"/>
        </w:rPr>
        <w:t>,</w:t>
      </w:r>
      <w:r w:rsidRPr="00321D34">
        <w:rPr>
          <w:sz w:val="24"/>
          <w:szCs w:val="24"/>
        </w:rPr>
        <w:t xml:space="preserve"> </w:t>
      </w:r>
      <w:r w:rsidRPr="00321D34">
        <w:rPr>
          <w:i/>
          <w:sz w:val="24"/>
          <w:szCs w:val="24"/>
        </w:rPr>
        <w:t>CEPS Paper in Liberty and Security in Europe</w:t>
      </w:r>
      <w:r w:rsidRPr="00321D34">
        <w:rPr>
          <w:sz w:val="24"/>
          <w:szCs w:val="24"/>
        </w:rPr>
        <w:t>, No. 80/February 2015.</w:t>
      </w:r>
    </w:p>
    <w:p w14:paraId="11293716" w14:textId="77777777" w:rsidR="0059722D" w:rsidRPr="00321D34" w:rsidRDefault="00451DD7" w:rsidP="00321D34">
      <w:pPr>
        <w:spacing w:after="120" w:line="240" w:lineRule="auto"/>
        <w:ind w:left="280" w:hanging="280"/>
        <w:jc w:val="both"/>
        <w:rPr>
          <w:sz w:val="24"/>
          <w:szCs w:val="24"/>
        </w:rPr>
      </w:pPr>
      <w:r w:rsidRPr="00321D34">
        <w:rPr>
          <w:color w:val="222222"/>
          <w:sz w:val="24"/>
          <w:szCs w:val="24"/>
          <w:highlight w:val="white"/>
        </w:rPr>
        <w:t xml:space="preserve">Razack, S. (1998). </w:t>
      </w:r>
      <w:r w:rsidRPr="00321D34">
        <w:rPr>
          <w:i/>
          <w:color w:val="222222"/>
          <w:sz w:val="24"/>
          <w:szCs w:val="24"/>
          <w:highlight w:val="white"/>
        </w:rPr>
        <w:t>Looking white people in the eye: Gender, race, and culture in courtrooms and classrooms</w:t>
      </w:r>
      <w:r w:rsidRPr="00321D34">
        <w:rPr>
          <w:color w:val="222222"/>
          <w:sz w:val="24"/>
          <w:szCs w:val="24"/>
          <w:highlight w:val="white"/>
        </w:rPr>
        <w:t>. University of Toronto Press.</w:t>
      </w:r>
    </w:p>
    <w:p w14:paraId="11293717" w14:textId="77777777" w:rsidR="0059722D" w:rsidRPr="00321D34" w:rsidRDefault="00451DD7" w:rsidP="00321D34">
      <w:pPr>
        <w:spacing w:after="120" w:line="240" w:lineRule="auto"/>
        <w:ind w:left="280" w:hanging="280"/>
        <w:jc w:val="both"/>
        <w:rPr>
          <w:sz w:val="24"/>
          <w:szCs w:val="24"/>
        </w:rPr>
      </w:pPr>
      <w:r w:rsidRPr="00321D34">
        <w:rPr>
          <w:sz w:val="24"/>
          <w:szCs w:val="24"/>
        </w:rPr>
        <w:t xml:space="preserve">Rosina, Matilde (2022), </w:t>
      </w:r>
      <w:r w:rsidRPr="00321D34">
        <w:rPr>
          <w:i/>
          <w:sz w:val="24"/>
          <w:szCs w:val="24"/>
        </w:rPr>
        <w:t xml:space="preserve">The </w:t>
      </w:r>
      <w:proofErr w:type="spellStart"/>
      <w:r w:rsidRPr="00321D34">
        <w:rPr>
          <w:i/>
          <w:sz w:val="24"/>
          <w:szCs w:val="24"/>
        </w:rPr>
        <w:t>Criminalisation</w:t>
      </w:r>
      <w:proofErr w:type="spellEnd"/>
      <w:r w:rsidRPr="00321D34">
        <w:rPr>
          <w:i/>
          <w:sz w:val="24"/>
          <w:szCs w:val="24"/>
        </w:rPr>
        <w:t xml:space="preserve"> of Irregular Migration in Europe: </w:t>
      </w:r>
      <w:proofErr w:type="spellStart"/>
      <w:r w:rsidRPr="00321D34">
        <w:rPr>
          <w:i/>
          <w:sz w:val="24"/>
          <w:szCs w:val="24"/>
        </w:rPr>
        <w:t>Globalisation</w:t>
      </w:r>
      <w:proofErr w:type="spellEnd"/>
      <w:r w:rsidRPr="00321D34">
        <w:rPr>
          <w:i/>
          <w:sz w:val="24"/>
          <w:szCs w:val="24"/>
        </w:rPr>
        <w:t>, Deterrence, and Vicious Cycles</w:t>
      </w:r>
      <w:r w:rsidRPr="00321D34">
        <w:rPr>
          <w:sz w:val="24"/>
          <w:szCs w:val="24"/>
        </w:rPr>
        <w:t>, London: Palgrave Macmillan.</w:t>
      </w:r>
    </w:p>
    <w:p w14:paraId="11293718" w14:textId="77777777" w:rsidR="0059722D" w:rsidRPr="00321D34" w:rsidRDefault="00451DD7" w:rsidP="00321D34">
      <w:pPr>
        <w:spacing w:after="120" w:line="240" w:lineRule="auto"/>
        <w:ind w:left="280" w:hanging="280"/>
        <w:jc w:val="both"/>
        <w:rPr>
          <w:sz w:val="24"/>
          <w:szCs w:val="24"/>
        </w:rPr>
      </w:pPr>
      <w:r w:rsidRPr="00321D34">
        <w:rPr>
          <w:sz w:val="24"/>
          <w:szCs w:val="24"/>
        </w:rPr>
        <w:t xml:space="preserve">Sandro </w:t>
      </w:r>
      <w:proofErr w:type="spellStart"/>
      <w:r w:rsidRPr="00321D34">
        <w:rPr>
          <w:sz w:val="24"/>
          <w:szCs w:val="24"/>
        </w:rPr>
        <w:t>Mezzadra</w:t>
      </w:r>
      <w:proofErr w:type="spellEnd"/>
      <w:r w:rsidRPr="00321D34">
        <w:rPr>
          <w:sz w:val="24"/>
          <w:szCs w:val="24"/>
        </w:rPr>
        <w:t xml:space="preserve"> &amp; Brett Neilson (2013), </w:t>
      </w:r>
      <w:r w:rsidRPr="00321D34">
        <w:rPr>
          <w:i/>
          <w:sz w:val="24"/>
          <w:szCs w:val="24"/>
        </w:rPr>
        <w:t>Border as method, or, the multiplication of labor</w:t>
      </w:r>
      <w:r w:rsidRPr="00321D34">
        <w:rPr>
          <w:sz w:val="24"/>
          <w:szCs w:val="24"/>
        </w:rPr>
        <w:t>, Durham: Duke University Press.</w:t>
      </w:r>
    </w:p>
    <w:p w14:paraId="11293719" w14:textId="77777777" w:rsidR="0059722D" w:rsidRPr="00321D34" w:rsidRDefault="00451DD7" w:rsidP="00321D34">
      <w:pPr>
        <w:spacing w:after="120" w:line="240" w:lineRule="auto"/>
        <w:ind w:left="280" w:hanging="280"/>
        <w:jc w:val="both"/>
        <w:rPr>
          <w:sz w:val="24"/>
          <w:szCs w:val="24"/>
        </w:rPr>
      </w:pPr>
      <w:r w:rsidRPr="00321D34">
        <w:rPr>
          <w:sz w:val="24"/>
          <w:szCs w:val="24"/>
        </w:rPr>
        <w:t xml:space="preserve">Stumpf, Juliet (2006), ‘The </w:t>
      </w:r>
      <w:proofErr w:type="spellStart"/>
      <w:r w:rsidRPr="00321D34">
        <w:rPr>
          <w:sz w:val="24"/>
          <w:szCs w:val="24"/>
        </w:rPr>
        <w:t>Crimmigration</w:t>
      </w:r>
      <w:proofErr w:type="spellEnd"/>
      <w:r w:rsidRPr="00321D34">
        <w:rPr>
          <w:sz w:val="24"/>
          <w:szCs w:val="24"/>
        </w:rPr>
        <w:t xml:space="preserve"> Crisis: Immigrants Crime and Sovereign Power’, </w:t>
      </w:r>
      <w:r w:rsidRPr="00321D34">
        <w:rPr>
          <w:i/>
          <w:sz w:val="24"/>
          <w:szCs w:val="24"/>
        </w:rPr>
        <w:t xml:space="preserve">American University Law Review, </w:t>
      </w:r>
      <w:r w:rsidRPr="00321D34">
        <w:rPr>
          <w:sz w:val="24"/>
          <w:szCs w:val="24"/>
        </w:rPr>
        <w:t>56 (2): 367–419.</w:t>
      </w:r>
    </w:p>
    <w:p w14:paraId="1129371A" w14:textId="496276A9" w:rsidR="0059722D" w:rsidRPr="00321D34" w:rsidRDefault="00451DD7" w:rsidP="00321D34">
      <w:pPr>
        <w:spacing w:after="120" w:line="240" w:lineRule="auto"/>
        <w:ind w:left="280" w:hanging="280"/>
        <w:jc w:val="both"/>
        <w:rPr>
          <w:color w:val="222222"/>
          <w:sz w:val="24"/>
          <w:szCs w:val="24"/>
          <w:highlight w:val="white"/>
        </w:rPr>
      </w:pPr>
      <w:r w:rsidRPr="00321D34">
        <w:rPr>
          <w:color w:val="222222"/>
          <w:sz w:val="24"/>
          <w:szCs w:val="24"/>
          <w:highlight w:val="white"/>
        </w:rPr>
        <w:t xml:space="preserve">Turnbull, S., &amp; Hasselberg, I. (2017). From prison to detention: The carceral trajectories of foreign-national prisoners in the United Kingdom. </w:t>
      </w:r>
      <w:r w:rsidRPr="00321D34">
        <w:rPr>
          <w:i/>
          <w:color w:val="222222"/>
          <w:sz w:val="24"/>
          <w:szCs w:val="24"/>
          <w:highlight w:val="white"/>
        </w:rPr>
        <w:t>Punishment &amp; Society</w:t>
      </w:r>
      <w:r w:rsidRPr="00321D34">
        <w:rPr>
          <w:color w:val="222222"/>
          <w:sz w:val="24"/>
          <w:szCs w:val="24"/>
          <w:highlight w:val="white"/>
        </w:rPr>
        <w:t xml:space="preserve">, </w:t>
      </w:r>
      <w:r w:rsidRPr="00321D34">
        <w:rPr>
          <w:i/>
          <w:color w:val="222222"/>
          <w:sz w:val="24"/>
          <w:szCs w:val="24"/>
          <w:highlight w:val="white"/>
        </w:rPr>
        <w:t>19</w:t>
      </w:r>
      <w:r w:rsidRPr="00321D34">
        <w:rPr>
          <w:color w:val="222222"/>
          <w:sz w:val="24"/>
          <w:szCs w:val="24"/>
          <w:highlight w:val="white"/>
        </w:rPr>
        <w:t>(2), 135-154.</w:t>
      </w:r>
    </w:p>
    <w:p w14:paraId="1129371B" w14:textId="77777777" w:rsidR="0059722D" w:rsidRPr="00321D34" w:rsidRDefault="00451DD7" w:rsidP="00321D34">
      <w:pPr>
        <w:spacing w:after="120" w:line="240" w:lineRule="auto"/>
        <w:ind w:left="280" w:hanging="280"/>
        <w:jc w:val="both"/>
        <w:rPr>
          <w:color w:val="222222"/>
          <w:sz w:val="24"/>
          <w:szCs w:val="24"/>
          <w:highlight w:val="white"/>
        </w:rPr>
      </w:pPr>
      <w:proofErr w:type="spellStart"/>
      <w:r w:rsidRPr="00321D34">
        <w:rPr>
          <w:color w:val="222222"/>
          <w:sz w:val="24"/>
          <w:szCs w:val="24"/>
          <w:highlight w:val="white"/>
        </w:rPr>
        <w:t>Vuolajärvi</w:t>
      </w:r>
      <w:proofErr w:type="spellEnd"/>
      <w:r w:rsidRPr="00321D34">
        <w:rPr>
          <w:color w:val="222222"/>
          <w:sz w:val="24"/>
          <w:szCs w:val="24"/>
          <w:highlight w:val="white"/>
        </w:rPr>
        <w:t xml:space="preserve">, N. (2019). Governing in the name of caring—the Nordic model of prostitution and its punitive consequences for migrants who sell sex. </w:t>
      </w:r>
      <w:r w:rsidRPr="00321D34">
        <w:rPr>
          <w:i/>
          <w:color w:val="222222"/>
          <w:sz w:val="24"/>
          <w:szCs w:val="24"/>
          <w:highlight w:val="white"/>
        </w:rPr>
        <w:t>Sexuality research and social policy</w:t>
      </w:r>
      <w:r w:rsidRPr="00321D34">
        <w:rPr>
          <w:color w:val="222222"/>
          <w:sz w:val="24"/>
          <w:szCs w:val="24"/>
          <w:highlight w:val="white"/>
        </w:rPr>
        <w:t xml:space="preserve">, </w:t>
      </w:r>
      <w:r w:rsidRPr="00321D34">
        <w:rPr>
          <w:i/>
          <w:color w:val="222222"/>
          <w:sz w:val="24"/>
          <w:szCs w:val="24"/>
          <w:highlight w:val="white"/>
        </w:rPr>
        <w:t>16</w:t>
      </w:r>
      <w:r w:rsidRPr="00321D34">
        <w:rPr>
          <w:color w:val="222222"/>
          <w:sz w:val="24"/>
          <w:szCs w:val="24"/>
          <w:highlight w:val="white"/>
        </w:rPr>
        <w:t>(2), 151-165.</w:t>
      </w:r>
    </w:p>
    <w:p w14:paraId="1129371C" w14:textId="77777777" w:rsidR="0059722D" w:rsidRPr="00321D34" w:rsidRDefault="00451DD7" w:rsidP="00321D34">
      <w:pPr>
        <w:spacing w:after="120" w:line="240" w:lineRule="auto"/>
        <w:jc w:val="both"/>
        <w:rPr>
          <w:sz w:val="24"/>
          <w:szCs w:val="24"/>
        </w:rPr>
      </w:pPr>
      <w:r w:rsidRPr="00321D34">
        <w:rPr>
          <w:sz w:val="24"/>
          <w:szCs w:val="24"/>
        </w:rPr>
        <w:t xml:space="preserve"> </w:t>
      </w:r>
    </w:p>
    <w:p w14:paraId="1129371D" w14:textId="77777777" w:rsidR="0059722D" w:rsidRPr="00321D34" w:rsidRDefault="0059722D" w:rsidP="00321D34">
      <w:pPr>
        <w:spacing w:after="120" w:line="240" w:lineRule="auto"/>
        <w:jc w:val="both"/>
        <w:rPr>
          <w:sz w:val="24"/>
          <w:szCs w:val="24"/>
        </w:rPr>
      </w:pPr>
    </w:p>
    <w:sectPr w:rsidR="0059722D" w:rsidRPr="00321D34">
      <w:headerReference w:type="default" r:id="rId13"/>
      <w:footerReference w:type="even"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CC569" w14:textId="77777777" w:rsidR="00CF3257" w:rsidRDefault="00CF3257" w:rsidP="00166457">
      <w:pPr>
        <w:spacing w:line="240" w:lineRule="auto"/>
      </w:pPr>
      <w:r>
        <w:separator/>
      </w:r>
    </w:p>
  </w:endnote>
  <w:endnote w:type="continuationSeparator" w:id="0">
    <w:p w14:paraId="36934326" w14:textId="77777777" w:rsidR="00CF3257" w:rsidRDefault="00CF3257" w:rsidP="00166457">
      <w:pPr>
        <w:spacing w:line="240" w:lineRule="auto"/>
      </w:pPr>
      <w:r>
        <w:continuationSeparator/>
      </w:r>
    </w:p>
  </w:endnote>
  <w:endnote w:type="continuationNotice" w:id="1">
    <w:p w14:paraId="3CDA90CF" w14:textId="77777777" w:rsidR="00CF3257" w:rsidRDefault="00CF32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66174961"/>
      <w:docPartObj>
        <w:docPartGallery w:val="Page Numbers (Bottom of Page)"/>
        <w:docPartUnique/>
      </w:docPartObj>
    </w:sdtPr>
    <w:sdtContent>
      <w:p w14:paraId="07AAFF0B" w14:textId="172A0773" w:rsidR="00166457" w:rsidRDefault="00166457" w:rsidP="008335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881549" w14:textId="77777777" w:rsidR="00166457" w:rsidRDefault="00166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90184900"/>
      <w:docPartObj>
        <w:docPartGallery w:val="Page Numbers (Bottom of Page)"/>
        <w:docPartUnique/>
      </w:docPartObj>
    </w:sdtPr>
    <w:sdtContent>
      <w:p w14:paraId="16BA6E7D" w14:textId="4081B79D" w:rsidR="00166457" w:rsidRDefault="00166457" w:rsidP="008335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60EE5DD" w14:textId="77777777" w:rsidR="00166457" w:rsidRDefault="00166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AC682" w14:textId="77777777" w:rsidR="00CF3257" w:rsidRDefault="00CF3257" w:rsidP="00166457">
      <w:pPr>
        <w:spacing w:line="240" w:lineRule="auto"/>
      </w:pPr>
      <w:r>
        <w:separator/>
      </w:r>
    </w:p>
  </w:footnote>
  <w:footnote w:type="continuationSeparator" w:id="0">
    <w:p w14:paraId="6B6E1E9A" w14:textId="77777777" w:rsidR="00CF3257" w:rsidRDefault="00CF3257" w:rsidP="00166457">
      <w:pPr>
        <w:spacing w:line="240" w:lineRule="auto"/>
      </w:pPr>
      <w:r>
        <w:continuationSeparator/>
      </w:r>
    </w:p>
  </w:footnote>
  <w:footnote w:type="continuationNotice" w:id="1">
    <w:p w14:paraId="56F2B5E2" w14:textId="77777777" w:rsidR="00CF3257" w:rsidRDefault="00CF325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44A34" w14:textId="77777777" w:rsidR="00D43F01" w:rsidRDefault="00D43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27B8E"/>
    <w:multiLevelType w:val="multilevel"/>
    <w:tmpl w:val="99A285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762413"/>
    <w:multiLevelType w:val="hybridMultilevel"/>
    <w:tmpl w:val="5EFEA560"/>
    <w:lvl w:ilvl="0" w:tplc="2D7EC7C4">
      <w:start w:val="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11160B"/>
    <w:multiLevelType w:val="multilevel"/>
    <w:tmpl w:val="A7304A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30276D"/>
    <w:multiLevelType w:val="multilevel"/>
    <w:tmpl w:val="99A285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5200C5A"/>
    <w:multiLevelType w:val="multilevel"/>
    <w:tmpl w:val="15CC7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5908060">
    <w:abstractNumId w:val="4"/>
  </w:num>
  <w:num w:numId="2" w16cid:durableId="1107772234">
    <w:abstractNumId w:val="3"/>
  </w:num>
  <w:num w:numId="3" w16cid:durableId="956108285">
    <w:abstractNumId w:val="2"/>
  </w:num>
  <w:num w:numId="4" w16cid:durableId="1441337591">
    <w:abstractNumId w:val="0"/>
  </w:num>
  <w:num w:numId="5" w16cid:durableId="961304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22D"/>
    <w:rsid w:val="00020CDD"/>
    <w:rsid w:val="0004175E"/>
    <w:rsid w:val="00044CB3"/>
    <w:rsid w:val="0005619A"/>
    <w:rsid w:val="00070364"/>
    <w:rsid w:val="00094B6D"/>
    <w:rsid w:val="000A375F"/>
    <w:rsid w:val="000B6620"/>
    <w:rsid w:val="000D319B"/>
    <w:rsid w:val="000E09A8"/>
    <w:rsid w:val="0010427C"/>
    <w:rsid w:val="00105A5C"/>
    <w:rsid w:val="001068B4"/>
    <w:rsid w:val="001078C2"/>
    <w:rsid w:val="00133F20"/>
    <w:rsid w:val="00136209"/>
    <w:rsid w:val="00164BFF"/>
    <w:rsid w:val="00166457"/>
    <w:rsid w:val="00176C6F"/>
    <w:rsid w:val="00177BBF"/>
    <w:rsid w:val="001A755D"/>
    <w:rsid w:val="001C06AF"/>
    <w:rsid w:val="001C60D6"/>
    <w:rsid w:val="001E28BA"/>
    <w:rsid w:val="001E6178"/>
    <w:rsid w:val="001F6AFF"/>
    <w:rsid w:val="0020074B"/>
    <w:rsid w:val="0020172F"/>
    <w:rsid w:val="0021223D"/>
    <w:rsid w:val="00221E58"/>
    <w:rsid w:val="0022576B"/>
    <w:rsid w:val="00231DD8"/>
    <w:rsid w:val="0023335A"/>
    <w:rsid w:val="002337A0"/>
    <w:rsid w:val="00233EFA"/>
    <w:rsid w:val="00270E56"/>
    <w:rsid w:val="002722ED"/>
    <w:rsid w:val="002961A5"/>
    <w:rsid w:val="002A6D97"/>
    <w:rsid w:val="002A7419"/>
    <w:rsid w:val="002D2FB7"/>
    <w:rsid w:val="002D42DA"/>
    <w:rsid w:val="00321D34"/>
    <w:rsid w:val="0032309C"/>
    <w:rsid w:val="00324856"/>
    <w:rsid w:val="00327AEF"/>
    <w:rsid w:val="00334442"/>
    <w:rsid w:val="003472CA"/>
    <w:rsid w:val="00366203"/>
    <w:rsid w:val="00373AE7"/>
    <w:rsid w:val="00375453"/>
    <w:rsid w:val="0038269B"/>
    <w:rsid w:val="003A1C08"/>
    <w:rsid w:val="003A21A0"/>
    <w:rsid w:val="003A7911"/>
    <w:rsid w:val="003C3F4E"/>
    <w:rsid w:val="003D6A31"/>
    <w:rsid w:val="00413026"/>
    <w:rsid w:val="00415FF1"/>
    <w:rsid w:val="00433273"/>
    <w:rsid w:val="00445413"/>
    <w:rsid w:val="00451DD7"/>
    <w:rsid w:val="00456205"/>
    <w:rsid w:val="00457D12"/>
    <w:rsid w:val="00463EDD"/>
    <w:rsid w:val="00466D6C"/>
    <w:rsid w:val="0047353D"/>
    <w:rsid w:val="004A5900"/>
    <w:rsid w:val="004B79D8"/>
    <w:rsid w:val="004C4000"/>
    <w:rsid w:val="004C6B4D"/>
    <w:rsid w:val="004E6B26"/>
    <w:rsid w:val="004F47E9"/>
    <w:rsid w:val="004F6213"/>
    <w:rsid w:val="005167C1"/>
    <w:rsid w:val="00532A1C"/>
    <w:rsid w:val="00540172"/>
    <w:rsid w:val="00540DB8"/>
    <w:rsid w:val="005802DA"/>
    <w:rsid w:val="0058260A"/>
    <w:rsid w:val="0059722D"/>
    <w:rsid w:val="005A7BC6"/>
    <w:rsid w:val="005C77D4"/>
    <w:rsid w:val="005D0EA7"/>
    <w:rsid w:val="005E1BBF"/>
    <w:rsid w:val="005F48A1"/>
    <w:rsid w:val="005F71A9"/>
    <w:rsid w:val="00600379"/>
    <w:rsid w:val="00631A41"/>
    <w:rsid w:val="00632D90"/>
    <w:rsid w:val="0064323B"/>
    <w:rsid w:val="00647F33"/>
    <w:rsid w:val="00655C0A"/>
    <w:rsid w:val="006577D3"/>
    <w:rsid w:val="006861AA"/>
    <w:rsid w:val="006B02C3"/>
    <w:rsid w:val="006B37FA"/>
    <w:rsid w:val="006B6125"/>
    <w:rsid w:val="006D51D8"/>
    <w:rsid w:val="006E4F16"/>
    <w:rsid w:val="006F3A62"/>
    <w:rsid w:val="00712F58"/>
    <w:rsid w:val="00717830"/>
    <w:rsid w:val="0072033F"/>
    <w:rsid w:val="00766D8C"/>
    <w:rsid w:val="00775F6E"/>
    <w:rsid w:val="007830FC"/>
    <w:rsid w:val="007835AD"/>
    <w:rsid w:val="00791761"/>
    <w:rsid w:val="007B3A2E"/>
    <w:rsid w:val="007C0C2E"/>
    <w:rsid w:val="007D0033"/>
    <w:rsid w:val="00810354"/>
    <w:rsid w:val="00810B43"/>
    <w:rsid w:val="00830453"/>
    <w:rsid w:val="008554FC"/>
    <w:rsid w:val="00875C71"/>
    <w:rsid w:val="00886EBC"/>
    <w:rsid w:val="00887663"/>
    <w:rsid w:val="00893BE5"/>
    <w:rsid w:val="008B2866"/>
    <w:rsid w:val="008B4174"/>
    <w:rsid w:val="008C2DF3"/>
    <w:rsid w:val="008D067A"/>
    <w:rsid w:val="008E7371"/>
    <w:rsid w:val="0091209E"/>
    <w:rsid w:val="009152C4"/>
    <w:rsid w:val="009175C2"/>
    <w:rsid w:val="00917A5C"/>
    <w:rsid w:val="00922A5D"/>
    <w:rsid w:val="00930350"/>
    <w:rsid w:val="00932BB9"/>
    <w:rsid w:val="00936BF3"/>
    <w:rsid w:val="0097069F"/>
    <w:rsid w:val="00986904"/>
    <w:rsid w:val="009A1BA7"/>
    <w:rsid w:val="009B614C"/>
    <w:rsid w:val="009E2409"/>
    <w:rsid w:val="009F0B74"/>
    <w:rsid w:val="009F3994"/>
    <w:rsid w:val="00A03A6E"/>
    <w:rsid w:val="00A03ECA"/>
    <w:rsid w:val="00A05224"/>
    <w:rsid w:val="00A14348"/>
    <w:rsid w:val="00A16162"/>
    <w:rsid w:val="00A36B11"/>
    <w:rsid w:val="00A43539"/>
    <w:rsid w:val="00A44AC3"/>
    <w:rsid w:val="00A64CCE"/>
    <w:rsid w:val="00A73275"/>
    <w:rsid w:val="00A770DA"/>
    <w:rsid w:val="00A844B2"/>
    <w:rsid w:val="00AA05AB"/>
    <w:rsid w:val="00AA1C0E"/>
    <w:rsid w:val="00AB57BB"/>
    <w:rsid w:val="00AD7B2B"/>
    <w:rsid w:val="00AE632C"/>
    <w:rsid w:val="00AF7F63"/>
    <w:rsid w:val="00B115E5"/>
    <w:rsid w:val="00B262A1"/>
    <w:rsid w:val="00B4067A"/>
    <w:rsid w:val="00B536F0"/>
    <w:rsid w:val="00B54272"/>
    <w:rsid w:val="00B828F8"/>
    <w:rsid w:val="00B97107"/>
    <w:rsid w:val="00BA052F"/>
    <w:rsid w:val="00BD3DB6"/>
    <w:rsid w:val="00BD594B"/>
    <w:rsid w:val="00BE0077"/>
    <w:rsid w:val="00BE0CE5"/>
    <w:rsid w:val="00BE3C16"/>
    <w:rsid w:val="00C22978"/>
    <w:rsid w:val="00C314F7"/>
    <w:rsid w:val="00C64387"/>
    <w:rsid w:val="00C665A2"/>
    <w:rsid w:val="00C7214F"/>
    <w:rsid w:val="00C87885"/>
    <w:rsid w:val="00CA00DB"/>
    <w:rsid w:val="00CA1207"/>
    <w:rsid w:val="00CB74E2"/>
    <w:rsid w:val="00CC7C16"/>
    <w:rsid w:val="00CF3257"/>
    <w:rsid w:val="00D00D02"/>
    <w:rsid w:val="00D02BA6"/>
    <w:rsid w:val="00D02F3D"/>
    <w:rsid w:val="00D06BFC"/>
    <w:rsid w:val="00D13132"/>
    <w:rsid w:val="00D30D25"/>
    <w:rsid w:val="00D34167"/>
    <w:rsid w:val="00D43F01"/>
    <w:rsid w:val="00D44404"/>
    <w:rsid w:val="00D62EAB"/>
    <w:rsid w:val="00D8078D"/>
    <w:rsid w:val="00DC128C"/>
    <w:rsid w:val="00DD1E75"/>
    <w:rsid w:val="00DE0643"/>
    <w:rsid w:val="00DE7B1D"/>
    <w:rsid w:val="00E01466"/>
    <w:rsid w:val="00E03BCF"/>
    <w:rsid w:val="00E0447C"/>
    <w:rsid w:val="00E11EF0"/>
    <w:rsid w:val="00E30E8F"/>
    <w:rsid w:val="00E31B43"/>
    <w:rsid w:val="00E33866"/>
    <w:rsid w:val="00E37020"/>
    <w:rsid w:val="00E41E96"/>
    <w:rsid w:val="00E4425F"/>
    <w:rsid w:val="00E50BD8"/>
    <w:rsid w:val="00E56DA2"/>
    <w:rsid w:val="00E57980"/>
    <w:rsid w:val="00E62C96"/>
    <w:rsid w:val="00E73DCF"/>
    <w:rsid w:val="00E76839"/>
    <w:rsid w:val="00E868B5"/>
    <w:rsid w:val="00E87B9A"/>
    <w:rsid w:val="00E9211D"/>
    <w:rsid w:val="00EB2C64"/>
    <w:rsid w:val="00EC4484"/>
    <w:rsid w:val="00EE1D73"/>
    <w:rsid w:val="00EE5AC9"/>
    <w:rsid w:val="00EF2AE0"/>
    <w:rsid w:val="00EF415D"/>
    <w:rsid w:val="00F02977"/>
    <w:rsid w:val="00F045D2"/>
    <w:rsid w:val="00F135A4"/>
    <w:rsid w:val="00F15E50"/>
    <w:rsid w:val="00F16F62"/>
    <w:rsid w:val="00F31DF8"/>
    <w:rsid w:val="00F8095F"/>
    <w:rsid w:val="00F92CD6"/>
    <w:rsid w:val="00FA19B7"/>
    <w:rsid w:val="00FB61F0"/>
    <w:rsid w:val="00FC241A"/>
    <w:rsid w:val="00FC6A32"/>
    <w:rsid w:val="00FD6DF6"/>
    <w:rsid w:val="00FF7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369E"/>
  <w15:docId w15:val="{3979DDC5-1508-F548-8828-C9899FF1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CC7C16"/>
    <w:pPr>
      <w:spacing w:after="120" w:line="240" w:lineRule="auto"/>
      <w:jc w:val="both"/>
      <w:outlineLvl w:val="0"/>
    </w:pPr>
    <w:rPr>
      <w:rFonts w:ascii="Calibri" w:hAnsi="Calibri" w:cs="Calibri"/>
      <w:b/>
      <w:sz w:val="24"/>
      <w:szCs w:val="24"/>
    </w:rPr>
  </w:style>
  <w:style w:type="paragraph" w:styleId="Heading2">
    <w:name w:val="heading 2"/>
    <w:basedOn w:val="Normal"/>
    <w:next w:val="Normal"/>
    <w:uiPriority w:val="9"/>
    <w:unhideWhenUsed/>
    <w:qFormat/>
    <w:rsid w:val="004A5900"/>
    <w:pPr>
      <w:spacing w:after="120" w:line="240" w:lineRule="auto"/>
      <w:jc w:val="both"/>
      <w:outlineLvl w:val="1"/>
    </w:pPr>
    <w:rPr>
      <w:rFonts w:ascii="Calibri" w:hAnsi="Calibri" w:cs="Calibri"/>
      <w:b/>
      <w:i/>
      <w:iCs/>
      <w:color w:val="242424"/>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9175C2"/>
    <w:pPr>
      <w:spacing w:line="240" w:lineRule="auto"/>
    </w:pPr>
  </w:style>
  <w:style w:type="paragraph" w:customStyle="1" w:styleId="paragraph">
    <w:name w:val="paragraph"/>
    <w:basedOn w:val="Normal"/>
    <w:rsid w:val="00E73DCF"/>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eop">
    <w:name w:val="eop"/>
    <w:basedOn w:val="DefaultParagraphFont"/>
    <w:rsid w:val="00E73DCF"/>
  </w:style>
  <w:style w:type="character" w:customStyle="1" w:styleId="normaltextrun">
    <w:name w:val="normaltextrun"/>
    <w:basedOn w:val="DefaultParagraphFont"/>
    <w:rsid w:val="00E73DCF"/>
  </w:style>
  <w:style w:type="paragraph" w:customStyle="1" w:styleId="m2153717510465044969msolistparagraph">
    <w:name w:val="m_2153717510465044969msolistparagraph"/>
    <w:basedOn w:val="Normal"/>
    <w:rsid w:val="00D62EA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166457"/>
    <w:pPr>
      <w:tabs>
        <w:tab w:val="center" w:pos="4513"/>
        <w:tab w:val="right" w:pos="9026"/>
      </w:tabs>
      <w:spacing w:line="240" w:lineRule="auto"/>
    </w:pPr>
  </w:style>
  <w:style w:type="character" w:customStyle="1" w:styleId="HeaderChar">
    <w:name w:val="Header Char"/>
    <w:basedOn w:val="DefaultParagraphFont"/>
    <w:link w:val="Header"/>
    <w:uiPriority w:val="99"/>
    <w:rsid w:val="00166457"/>
  </w:style>
  <w:style w:type="paragraph" w:styleId="Footer">
    <w:name w:val="footer"/>
    <w:basedOn w:val="Normal"/>
    <w:link w:val="FooterChar"/>
    <w:uiPriority w:val="99"/>
    <w:unhideWhenUsed/>
    <w:rsid w:val="00166457"/>
    <w:pPr>
      <w:tabs>
        <w:tab w:val="center" w:pos="4513"/>
        <w:tab w:val="right" w:pos="9026"/>
      </w:tabs>
      <w:spacing w:line="240" w:lineRule="auto"/>
    </w:pPr>
  </w:style>
  <w:style w:type="character" w:customStyle="1" w:styleId="FooterChar">
    <w:name w:val="Footer Char"/>
    <w:basedOn w:val="DefaultParagraphFont"/>
    <w:link w:val="Footer"/>
    <w:uiPriority w:val="99"/>
    <w:rsid w:val="00166457"/>
  </w:style>
  <w:style w:type="character" w:styleId="PageNumber">
    <w:name w:val="page number"/>
    <w:basedOn w:val="DefaultParagraphFont"/>
    <w:uiPriority w:val="99"/>
    <w:semiHidden/>
    <w:unhideWhenUsed/>
    <w:rsid w:val="00166457"/>
  </w:style>
  <w:style w:type="character" w:styleId="CommentReference">
    <w:name w:val="annotation reference"/>
    <w:basedOn w:val="DefaultParagraphFont"/>
    <w:uiPriority w:val="99"/>
    <w:semiHidden/>
    <w:unhideWhenUsed/>
    <w:rsid w:val="001E6178"/>
    <w:rPr>
      <w:sz w:val="16"/>
      <w:szCs w:val="16"/>
    </w:rPr>
  </w:style>
  <w:style w:type="paragraph" w:styleId="CommentText">
    <w:name w:val="annotation text"/>
    <w:basedOn w:val="Normal"/>
    <w:link w:val="CommentTextChar"/>
    <w:uiPriority w:val="99"/>
    <w:unhideWhenUsed/>
    <w:rsid w:val="001E6178"/>
    <w:pPr>
      <w:spacing w:line="240" w:lineRule="auto"/>
    </w:pPr>
    <w:rPr>
      <w:sz w:val="20"/>
      <w:szCs w:val="20"/>
    </w:rPr>
  </w:style>
  <w:style w:type="character" w:customStyle="1" w:styleId="CommentTextChar">
    <w:name w:val="Comment Text Char"/>
    <w:basedOn w:val="DefaultParagraphFont"/>
    <w:link w:val="CommentText"/>
    <w:uiPriority w:val="99"/>
    <w:rsid w:val="001E6178"/>
    <w:rPr>
      <w:sz w:val="20"/>
      <w:szCs w:val="20"/>
    </w:rPr>
  </w:style>
  <w:style w:type="paragraph" w:styleId="CommentSubject">
    <w:name w:val="annotation subject"/>
    <w:basedOn w:val="CommentText"/>
    <w:next w:val="CommentText"/>
    <w:link w:val="CommentSubjectChar"/>
    <w:uiPriority w:val="99"/>
    <w:semiHidden/>
    <w:unhideWhenUsed/>
    <w:rsid w:val="001E6178"/>
    <w:rPr>
      <w:b/>
      <w:bCs/>
    </w:rPr>
  </w:style>
  <w:style w:type="character" w:customStyle="1" w:styleId="CommentSubjectChar">
    <w:name w:val="Comment Subject Char"/>
    <w:basedOn w:val="CommentTextChar"/>
    <w:link w:val="CommentSubject"/>
    <w:uiPriority w:val="99"/>
    <w:semiHidden/>
    <w:rsid w:val="001E6178"/>
    <w:rPr>
      <w:b/>
      <w:bCs/>
      <w:sz w:val="20"/>
      <w:szCs w:val="20"/>
    </w:rPr>
  </w:style>
  <w:style w:type="character" w:styleId="Hyperlink">
    <w:name w:val="Hyperlink"/>
    <w:basedOn w:val="DefaultParagraphFont"/>
    <w:uiPriority w:val="99"/>
    <w:unhideWhenUsed/>
    <w:rsid w:val="00176C6F"/>
    <w:rPr>
      <w:color w:val="0000FF" w:themeColor="hyperlink"/>
      <w:u w:val="single"/>
    </w:rPr>
  </w:style>
  <w:style w:type="character" w:styleId="UnresolvedMention">
    <w:name w:val="Unresolved Mention"/>
    <w:basedOn w:val="DefaultParagraphFont"/>
    <w:uiPriority w:val="99"/>
    <w:semiHidden/>
    <w:unhideWhenUsed/>
    <w:rsid w:val="00176C6F"/>
    <w:rPr>
      <w:color w:val="605E5C"/>
      <w:shd w:val="clear" w:color="auto" w:fill="E1DFDD"/>
    </w:rPr>
  </w:style>
  <w:style w:type="paragraph" w:styleId="ListParagraph">
    <w:name w:val="List Paragraph"/>
    <w:basedOn w:val="Normal"/>
    <w:uiPriority w:val="34"/>
    <w:qFormat/>
    <w:rsid w:val="00176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781003">
      <w:bodyDiv w:val="1"/>
      <w:marLeft w:val="0"/>
      <w:marRight w:val="0"/>
      <w:marTop w:val="0"/>
      <w:marBottom w:val="0"/>
      <w:divBdr>
        <w:top w:val="none" w:sz="0" w:space="0" w:color="auto"/>
        <w:left w:val="none" w:sz="0" w:space="0" w:color="auto"/>
        <w:bottom w:val="none" w:sz="0" w:space="0" w:color="auto"/>
        <w:right w:val="none" w:sz="0" w:space="0" w:color="auto"/>
      </w:divBdr>
      <w:divsChild>
        <w:div w:id="10573371">
          <w:marLeft w:val="0"/>
          <w:marRight w:val="0"/>
          <w:marTop w:val="0"/>
          <w:marBottom w:val="0"/>
          <w:divBdr>
            <w:top w:val="none" w:sz="0" w:space="0" w:color="auto"/>
            <w:left w:val="none" w:sz="0" w:space="0" w:color="auto"/>
            <w:bottom w:val="none" w:sz="0" w:space="0" w:color="auto"/>
            <w:right w:val="none" w:sz="0" w:space="0" w:color="auto"/>
          </w:divBdr>
        </w:div>
        <w:div w:id="1681202114">
          <w:marLeft w:val="0"/>
          <w:marRight w:val="0"/>
          <w:marTop w:val="0"/>
          <w:marBottom w:val="0"/>
          <w:divBdr>
            <w:top w:val="none" w:sz="0" w:space="0" w:color="auto"/>
            <w:left w:val="none" w:sz="0" w:space="0" w:color="auto"/>
            <w:bottom w:val="none" w:sz="0" w:space="0" w:color="auto"/>
            <w:right w:val="none" w:sz="0" w:space="0" w:color="auto"/>
          </w:divBdr>
        </w:div>
        <w:div w:id="1746758611">
          <w:marLeft w:val="0"/>
          <w:marRight w:val="0"/>
          <w:marTop w:val="0"/>
          <w:marBottom w:val="0"/>
          <w:divBdr>
            <w:top w:val="none" w:sz="0" w:space="0" w:color="auto"/>
            <w:left w:val="none" w:sz="0" w:space="0" w:color="auto"/>
            <w:bottom w:val="none" w:sz="0" w:space="0" w:color="auto"/>
            <w:right w:val="none" w:sz="0" w:space="0" w:color="auto"/>
          </w:divBdr>
        </w:div>
        <w:div w:id="410659824">
          <w:marLeft w:val="0"/>
          <w:marRight w:val="0"/>
          <w:marTop w:val="0"/>
          <w:marBottom w:val="0"/>
          <w:divBdr>
            <w:top w:val="none" w:sz="0" w:space="0" w:color="auto"/>
            <w:left w:val="none" w:sz="0" w:space="0" w:color="auto"/>
            <w:bottom w:val="none" w:sz="0" w:space="0" w:color="auto"/>
            <w:right w:val="none" w:sz="0" w:space="0" w:color="auto"/>
          </w:divBdr>
        </w:div>
        <w:div w:id="971209710">
          <w:marLeft w:val="0"/>
          <w:marRight w:val="0"/>
          <w:marTop w:val="0"/>
          <w:marBottom w:val="0"/>
          <w:divBdr>
            <w:top w:val="none" w:sz="0" w:space="0" w:color="auto"/>
            <w:left w:val="none" w:sz="0" w:space="0" w:color="auto"/>
            <w:bottom w:val="none" w:sz="0" w:space="0" w:color="auto"/>
            <w:right w:val="none" w:sz="0" w:space="0" w:color="auto"/>
          </w:divBdr>
        </w:div>
        <w:div w:id="361320613">
          <w:marLeft w:val="0"/>
          <w:marRight w:val="0"/>
          <w:marTop w:val="0"/>
          <w:marBottom w:val="0"/>
          <w:divBdr>
            <w:top w:val="none" w:sz="0" w:space="0" w:color="auto"/>
            <w:left w:val="none" w:sz="0" w:space="0" w:color="auto"/>
            <w:bottom w:val="none" w:sz="0" w:space="0" w:color="auto"/>
            <w:right w:val="none" w:sz="0" w:space="0" w:color="auto"/>
          </w:divBdr>
        </w:div>
        <w:div w:id="2078163983">
          <w:marLeft w:val="0"/>
          <w:marRight w:val="0"/>
          <w:marTop w:val="0"/>
          <w:marBottom w:val="0"/>
          <w:divBdr>
            <w:top w:val="none" w:sz="0" w:space="0" w:color="auto"/>
            <w:left w:val="none" w:sz="0" w:space="0" w:color="auto"/>
            <w:bottom w:val="none" w:sz="0" w:space="0" w:color="auto"/>
            <w:right w:val="none" w:sz="0" w:space="0" w:color="auto"/>
          </w:divBdr>
        </w:div>
        <w:div w:id="23597545">
          <w:marLeft w:val="0"/>
          <w:marRight w:val="0"/>
          <w:marTop w:val="0"/>
          <w:marBottom w:val="0"/>
          <w:divBdr>
            <w:top w:val="none" w:sz="0" w:space="0" w:color="auto"/>
            <w:left w:val="none" w:sz="0" w:space="0" w:color="auto"/>
            <w:bottom w:val="none" w:sz="0" w:space="0" w:color="auto"/>
            <w:right w:val="none" w:sz="0" w:space="0" w:color="auto"/>
          </w:divBdr>
        </w:div>
        <w:div w:id="5066755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onish.bhatia@york.ac.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nk.springer.com/article/10.1007/s10612-024-09785-1" TargetMode="External"/><Relationship Id="rId12" Type="http://schemas.openxmlformats.org/officeDocument/2006/relationships/hyperlink" Target="http://www.gisti.org/spip.php?article453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a.europa.eu/en/publication/2014/criminalisation-migrants-irregular-situation-and-persons-engaging-the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n.vuolajarvi@lse.ac.uk" TargetMode="External"/><Relationship Id="rId4" Type="http://schemas.openxmlformats.org/officeDocument/2006/relationships/webSettings" Target="webSettings.xml"/><Relationship Id="rId9" Type="http://schemas.openxmlformats.org/officeDocument/2006/relationships/hyperlink" Target="mailto:matilde.rosina@brunel.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2232</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 Bh</dc:creator>
  <cp:lastModifiedBy>Monish Bhatia</cp:lastModifiedBy>
  <cp:revision>2</cp:revision>
  <dcterms:created xsi:type="dcterms:W3CDTF">2024-09-22T10:37:00Z</dcterms:created>
  <dcterms:modified xsi:type="dcterms:W3CDTF">2024-09-22T10:37:00Z</dcterms:modified>
</cp:coreProperties>
</file>